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817DF">
      <w:pPr>
        <w:spacing w:line="360" w:lineRule="auto"/>
        <w:jc w:val="center"/>
        <w:rPr>
          <w:rFonts w:hint="eastAsia" w:ascii="仿宋" w:hAnsi="仿宋" w:eastAsia="仿宋" w:cs="仿宋"/>
          <w:b/>
          <w:color w:val="auto"/>
          <w:sz w:val="44"/>
          <w:szCs w:val="44"/>
        </w:rPr>
      </w:pPr>
      <w:bookmarkStart w:id="515" w:name="_GoBack"/>
    </w:p>
    <w:p w14:paraId="2978B9B4">
      <w:pPr>
        <w:adjustRightInd/>
        <w:spacing w:line="360" w:lineRule="auto"/>
        <w:jc w:val="center"/>
        <w:rPr>
          <w:rFonts w:hint="eastAsia" w:ascii="仿宋" w:hAnsi="仿宋" w:eastAsia="仿宋" w:cs="仿宋"/>
          <w:b/>
          <w:color w:val="auto"/>
          <w:sz w:val="48"/>
          <w:szCs w:val="48"/>
        </w:rPr>
      </w:pPr>
    </w:p>
    <w:p w14:paraId="1778F341">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 xml:space="preserve">杭州市公安局上城区分局2025年经济及刑事类犯罪案件专项审计服务 </w:t>
      </w:r>
    </w:p>
    <w:p w14:paraId="1618B552">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招标文件</w:t>
      </w:r>
    </w:p>
    <w:p w14:paraId="4CF0C0D0">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14:paraId="4B21C3FA">
      <w:pPr>
        <w:snapToGrid w:val="0"/>
        <w:spacing w:line="360" w:lineRule="auto"/>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编号:</w:t>
      </w:r>
      <w:r>
        <w:rPr>
          <w:rFonts w:hint="eastAsia" w:ascii="仿宋" w:hAnsi="仿宋" w:eastAsia="仿宋" w:cs="仿宋"/>
          <w:color w:val="auto"/>
          <w:sz w:val="32"/>
          <w:szCs w:val="32"/>
        </w:rPr>
        <w:t>ZJXR-SCGA2025-</w:t>
      </w:r>
      <w:r>
        <w:rPr>
          <w:rFonts w:hint="eastAsia" w:ascii="仿宋" w:hAnsi="仿宋" w:eastAsia="仿宋" w:cs="仿宋"/>
          <w:color w:val="auto"/>
          <w:sz w:val="32"/>
          <w:szCs w:val="32"/>
          <w:lang w:val="en-US" w:eastAsia="zh-CN"/>
        </w:rPr>
        <w:t>03</w:t>
      </w:r>
    </w:p>
    <w:p w14:paraId="6968348B">
      <w:pPr>
        <w:snapToGrid w:val="0"/>
        <w:spacing w:line="360" w:lineRule="auto"/>
        <w:jc w:val="center"/>
        <w:rPr>
          <w:rFonts w:hint="eastAsia" w:ascii="仿宋" w:hAnsi="仿宋" w:eastAsia="仿宋" w:cs="仿宋"/>
          <w:color w:val="auto"/>
          <w:sz w:val="30"/>
          <w:szCs w:val="30"/>
        </w:rPr>
      </w:pPr>
    </w:p>
    <w:p w14:paraId="5DB4B9D2">
      <w:pPr>
        <w:adjustRightInd/>
        <w:spacing w:line="360" w:lineRule="auto"/>
        <w:rPr>
          <w:rFonts w:hint="eastAsia" w:ascii="仿宋" w:hAnsi="仿宋" w:eastAsia="仿宋" w:cs="仿宋"/>
          <w:color w:val="auto"/>
          <w:sz w:val="28"/>
          <w:szCs w:val="20"/>
        </w:rPr>
      </w:pPr>
    </w:p>
    <w:p w14:paraId="79499AC2">
      <w:pPr>
        <w:spacing w:line="360" w:lineRule="auto"/>
        <w:jc w:val="center"/>
        <w:rPr>
          <w:rFonts w:hint="eastAsia" w:ascii="仿宋" w:hAnsi="仿宋" w:eastAsia="仿宋" w:cs="仿宋"/>
          <w:b/>
          <w:color w:val="auto"/>
          <w:sz w:val="44"/>
          <w:szCs w:val="44"/>
        </w:rPr>
      </w:pPr>
    </w:p>
    <w:p w14:paraId="17C2ECC8">
      <w:pPr>
        <w:spacing w:line="360" w:lineRule="auto"/>
        <w:jc w:val="center"/>
        <w:rPr>
          <w:rFonts w:hint="eastAsia" w:ascii="仿宋" w:hAnsi="仿宋" w:eastAsia="仿宋" w:cs="仿宋"/>
          <w:b/>
          <w:color w:val="auto"/>
          <w:sz w:val="44"/>
          <w:szCs w:val="44"/>
        </w:rPr>
      </w:pPr>
    </w:p>
    <w:p w14:paraId="2C026224">
      <w:pPr>
        <w:spacing w:line="360" w:lineRule="auto"/>
        <w:jc w:val="center"/>
        <w:rPr>
          <w:rFonts w:hint="eastAsia" w:ascii="仿宋" w:hAnsi="仿宋" w:eastAsia="仿宋" w:cs="仿宋"/>
          <w:color w:val="auto"/>
          <w:sz w:val="24"/>
        </w:rPr>
      </w:pPr>
    </w:p>
    <w:p w14:paraId="727BBC5E">
      <w:pPr>
        <w:spacing w:line="360" w:lineRule="auto"/>
        <w:jc w:val="center"/>
        <w:rPr>
          <w:rFonts w:hint="eastAsia" w:ascii="仿宋" w:hAnsi="仿宋" w:eastAsia="仿宋" w:cs="仿宋"/>
          <w:color w:val="auto"/>
          <w:sz w:val="24"/>
        </w:rPr>
      </w:pPr>
    </w:p>
    <w:p w14:paraId="0FF65252">
      <w:pPr>
        <w:spacing w:line="360" w:lineRule="auto"/>
        <w:rPr>
          <w:rFonts w:hint="eastAsia" w:ascii="仿宋" w:hAnsi="仿宋" w:eastAsia="仿宋" w:cs="仿宋"/>
          <w:color w:val="auto"/>
          <w:sz w:val="32"/>
          <w:szCs w:val="32"/>
        </w:rPr>
      </w:pPr>
    </w:p>
    <w:p w14:paraId="77C0C41D">
      <w:pPr>
        <w:snapToGrid w:val="0"/>
        <w:spacing w:line="360" w:lineRule="auto"/>
        <w:jc w:val="center"/>
        <w:rPr>
          <w:rFonts w:hint="eastAsia" w:ascii="仿宋" w:hAnsi="仿宋" w:eastAsia="仿宋" w:cs="仿宋"/>
          <w:color w:val="auto"/>
          <w:sz w:val="32"/>
          <w:szCs w:val="32"/>
        </w:rPr>
      </w:pPr>
    </w:p>
    <w:p w14:paraId="393092CF">
      <w:pPr>
        <w:snapToGrid w:val="0"/>
        <w:spacing w:line="360" w:lineRule="auto"/>
        <w:jc w:val="center"/>
        <w:rPr>
          <w:rFonts w:hint="eastAsia" w:ascii="仿宋" w:hAnsi="仿宋" w:eastAsia="仿宋" w:cs="仿宋"/>
          <w:color w:val="auto"/>
          <w:sz w:val="32"/>
          <w:szCs w:val="32"/>
        </w:rPr>
      </w:pPr>
    </w:p>
    <w:p w14:paraId="177CD5DC">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采购人：杭州市公安局上城区分局</w:t>
      </w:r>
    </w:p>
    <w:p w14:paraId="2B25176A">
      <w:pPr>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采购代理机构：浙江鑫润工程管理有限公司</w:t>
      </w:r>
    </w:p>
    <w:p w14:paraId="490003B7">
      <w:pPr>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二〇二五年</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 xml:space="preserve">一 </w:t>
      </w:r>
      <w:r>
        <w:rPr>
          <w:rFonts w:hint="eastAsia" w:ascii="仿宋" w:hAnsi="仿宋" w:eastAsia="仿宋" w:cs="仿宋"/>
          <w:bCs/>
          <w:color w:val="auto"/>
          <w:sz w:val="32"/>
          <w:szCs w:val="32"/>
        </w:rPr>
        <w:t>日</w:t>
      </w:r>
    </w:p>
    <w:p w14:paraId="209B64E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br w:type="page"/>
      </w:r>
      <w:bookmarkStart w:id="0" w:name="_Hlt67893495"/>
      <w:bookmarkEnd w:id="0"/>
    </w:p>
    <w:p w14:paraId="047A3767">
      <w:pPr>
        <w:adjustRightInd/>
        <w:spacing w:line="360" w:lineRule="auto"/>
        <w:jc w:val="center"/>
        <w:outlineLvl w:val="0"/>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5FAC2336">
      <w:pPr>
        <w:spacing w:line="360" w:lineRule="auto"/>
        <w:rPr>
          <w:rFonts w:hint="eastAsia" w:ascii="仿宋" w:hAnsi="仿宋" w:eastAsia="仿宋" w:cs="仿宋"/>
          <w:color w:val="auto"/>
          <w:sz w:val="32"/>
          <w:szCs w:val="32"/>
        </w:rPr>
      </w:pPr>
    </w:p>
    <w:p w14:paraId="69CFC2AE">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14:paraId="626C74E9">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14:paraId="75CDF777">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14:paraId="799B94DA">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14:paraId="60AA5C84">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14:paraId="02AC0E65">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14:paraId="1DB0F563">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14:paraId="28C28F64">
      <w:pPr>
        <w:spacing w:line="360" w:lineRule="auto"/>
        <w:ind w:firstLine="549" w:firstLineChars="229"/>
        <w:rPr>
          <w:rFonts w:hint="eastAsia" w:ascii="仿宋" w:hAnsi="仿宋" w:eastAsia="仿宋" w:cs="仿宋"/>
          <w:color w:val="auto"/>
          <w:sz w:val="24"/>
        </w:rPr>
      </w:pPr>
    </w:p>
    <w:p w14:paraId="4B03B131">
      <w:pPr>
        <w:spacing w:line="360" w:lineRule="auto"/>
        <w:ind w:firstLine="549" w:firstLineChars="229"/>
        <w:rPr>
          <w:rFonts w:hint="eastAsia" w:ascii="仿宋" w:hAnsi="仿宋" w:eastAsia="仿宋" w:cs="仿宋"/>
          <w:color w:val="auto"/>
          <w:sz w:val="24"/>
        </w:rPr>
      </w:pPr>
    </w:p>
    <w:p w14:paraId="67B171AD">
      <w:pPr>
        <w:spacing w:line="360" w:lineRule="auto"/>
        <w:ind w:firstLine="549" w:firstLineChars="229"/>
        <w:rPr>
          <w:rFonts w:hint="eastAsia" w:ascii="仿宋" w:hAnsi="仿宋" w:eastAsia="仿宋" w:cs="仿宋"/>
          <w:color w:val="auto"/>
          <w:sz w:val="24"/>
        </w:rPr>
      </w:pPr>
    </w:p>
    <w:p w14:paraId="1D62E1A0">
      <w:pPr>
        <w:spacing w:line="360" w:lineRule="auto"/>
        <w:ind w:firstLine="549" w:firstLineChars="229"/>
        <w:rPr>
          <w:rFonts w:hint="eastAsia" w:ascii="仿宋" w:hAnsi="仿宋" w:eastAsia="仿宋" w:cs="仿宋"/>
          <w:color w:val="auto"/>
          <w:sz w:val="24"/>
        </w:rPr>
      </w:pPr>
    </w:p>
    <w:p w14:paraId="7576808D">
      <w:pPr>
        <w:spacing w:line="360" w:lineRule="auto"/>
        <w:ind w:firstLine="549" w:firstLineChars="229"/>
        <w:rPr>
          <w:rFonts w:hint="eastAsia" w:ascii="仿宋" w:hAnsi="仿宋" w:eastAsia="仿宋" w:cs="仿宋"/>
          <w:color w:val="auto"/>
          <w:sz w:val="24"/>
        </w:rPr>
      </w:pPr>
    </w:p>
    <w:p w14:paraId="5E2EA1B9">
      <w:pPr>
        <w:spacing w:line="360" w:lineRule="auto"/>
        <w:ind w:firstLine="549" w:firstLineChars="229"/>
        <w:rPr>
          <w:rFonts w:hint="eastAsia" w:ascii="仿宋" w:hAnsi="仿宋" w:eastAsia="仿宋" w:cs="仿宋"/>
          <w:color w:val="auto"/>
          <w:sz w:val="24"/>
        </w:rPr>
      </w:pPr>
    </w:p>
    <w:p w14:paraId="3DFF23D4">
      <w:pPr>
        <w:spacing w:line="360" w:lineRule="auto"/>
        <w:ind w:firstLine="549" w:firstLineChars="229"/>
        <w:rPr>
          <w:rFonts w:hint="eastAsia" w:ascii="仿宋" w:hAnsi="仿宋" w:eastAsia="仿宋" w:cs="仿宋"/>
          <w:color w:val="auto"/>
          <w:sz w:val="24"/>
        </w:rPr>
      </w:pPr>
    </w:p>
    <w:p w14:paraId="000E4BE5">
      <w:pPr>
        <w:spacing w:line="360" w:lineRule="auto"/>
        <w:ind w:firstLine="549" w:firstLineChars="229"/>
        <w:rPr>
          <w:rFonts w:hint="eastAsia" w:ascii="仿宋" w:hAnsi="仿宋" w:eastAsia="仿宋" w:cs="仿宋"/>
          <w:color w:val="auto"/>
          <w:sz w:val="24"/>
        </w:rPr>
      </w:pPr>
    </w:p>
    <w:p w14:paraId="3F82356E">
      <w:pPr>
        <w:spacing w:line="360" w:lineRule="auto"/>
        <w:ind w:firstLine="549" w:firstLineChars="229"/>
        <w:rPr>
          <w:rFonts w:hint="eastAsia" w:ascii="仿宋" w:hAnsi="仿宋" w:eastAsia="仿宋" w:cs="仿宋"/>
          <w:color w:val="auto"/>
          <w:sz w:val="24"/>
        </w:rPr>
      </w:pPr>
    </w:p>
    <w:p w14:paraId="0148A15F">
      <w:pPr>
        <w:spacing w:line="360" w:lineRule="auto"/>
        <w:ind w:firstLine="549" w:firstLineChars="229"/>
        <w:rPr>
          <w:rFonts w:hint="eastAsia" w:ascii="仿宋" w:hAnsi="仿宋" w:eastAsia="仿宋" w:cs="仿宋"/>
          <w:color w:val="auto"/>
          <w:sz w:val="24"/>
        </w:rPr>
      </w:pPr>
    </w:p>
    <w:p w14:paraId="5A63638C">
      <w:pPr>
        <w:spacing w:line="360" w:lineRule="auto"/>
        <w:ind w:firstLine="549" w:firstLineChars="229"/>
        <w:rPr>
          <w:rFonts w:hint="eastAsia" w:ascii="仿宋" w:hAnsi="仿宋" w:eastAsia="仿宋" w:cs="仿宋"/>
          <w:color w:val="auto"/>
          <w:sz w:val="24"/>
        </w:rPr>
      </w:pPr>
    </w:p>
    <w:p w14:paraId="31EEC7E1">
      <w:pPr>
        <w:adjustRightInd/>
        <w:spacing w:line="380" w:lineRule="exact"/>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36"/>
        </w:rPr>
        <w:br w:type="page"/>
      </w:r>
      <w:bookmarkEnd w:id="2"/>
      <w:bookmarkStart w:id="3" w:name="_Hlt74729822"/>
      <w:bookmarkEnd w:id="3"/>
      <w:bookmarkStart w:id="4" w:name="_Hlt74649545"/>
      <w:bookmarkEnd w:id="4"/>
      <w:bookmarkStart w:id="5" w:name="_Hlt74707423"/>
      <w:bookmarkEnd w:id="5"/>
      <w:bookmarkStart w:id="6" w:name="_Hlt74728647"/>
      <w:bookmarkEnd w:id="6"/>
      <w:bookmarkStart w:id="7" w:name="_Toc91899870"/>
      <w:bookmarkStart w:id="8" w:name="_Toc91899871"/>
      <w:r>
        <w:rPr>
          <w:rFonts w:hint="eastAsia" w:ascii="仿宋" w:hAnsi="仿宋" w:eastAsia="仿宋" w:cs="仿宋"/>
          <w:b/>
          <w:color w:val="auto"/>
          <w:sz w:val="36"/>
          <w:szCs w:val="20"/>
        </w:rPr>
        <w:t>第一部分 招标公告</w:t>
      </w:r>
    </w:p>
    <w:p w14:paraId="3076D5C3">
      <w:pPr>
        <w:pBdr>
          <w:top w:val="single" w:color="auto" w:sz="4" w:space="1"/>
          <w:left w:val="single" w:color="auto" w:sz="4" w:space="4"/>
          <w:bottom w:val="single" w:color="auto" w:sz="4" w:space="1"/>
          <w:right w:val="single" w:color="auto" w:sz="4" w:space="4"/>
        </w:pBd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59F35734">
      <w:pPr>
        <w:pBdr>
          <w:top w:val="single" w:color="auto" w:sz="4" w:space="1"/>
          <w:left w:val="single" w:color="auto" w:sz="4" w:space="4"/>
          <w:bottom w:val="single" w:color="auto" w:sz="4" w:space="1"/>
          <w:right w:val="single" w:color="auto" w:sz="4" w:space="4"/>
        </w:pBdr>
        <w:spacing w:line="380" w:lineRule="exact"/>
        <w:ind w:firstLine="482" w:firstLineChars="200"/>
        <w:rPr>
          <w:rFonts w:hint="eastAsia" w:ascii="仿宋" w:hAnsi="仿宋" w:eastAsia="仿宋" w:cs="仿宋"/>
          <w:color w:val="auto"/>
          <w:sz w:val="24"/>
          <w:u w:val="single"/>
        </w:rPr>
      </w:pPr>
      <w:r>
        <w:rPr>
          <w:rFonts w:hint="eastAsia" w:ascii="仿宋" w:hAnsi="仿宋" w:eastAsia="仿宋" w:cs="仿宋"/>
          <w:b/>
          <w:bCs/>
          <w:color w:val="auto"/>
          <w:sz w:val="24"/>
          <w:u w:val="single"/>
        </w:rPr>
        <w:t>杭州市公安局上城区分局2025年经济及刑事类犯罪案件专项审计服务</w:t>
      </w:r>
      <w:r>
        <w:rPr>
          <w:rFonts w:hint="eastAsia" w:ascii="仿宋" w:hAnsi="仿宋" w:eastAsia="仿宋" w:cs="仿宋"/>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仿宋" w:hAnsi="仿宋" w:eastAsia="仿宋" w:cs="仿宋"/>
          <w:snapToGrid/>
          <w:color w:val="auto"/>
          <w:kern w:val="2"/>
          <w:sz w:val="24"/>
          <w:szCs w:val="24"/>
        </w:rPr>
        <w:t>https://www.zcygov.cn/）获取（下载）招标文件，并于</w:t>
      </w:r>
      <w:r>
        <w:rPr>
          <w:rStyle w:val="76"/>
          <w:rFonts w:hint="eastAsia" w:ascii="仿宋" w:hAnsi="仿宋" w:eastAsia="仿宋" w:cs="仿宋"/>
          <w:snapToGrid/>
          <w:color w:val="auto"/>
          <w:kern w:val="2"/>
          <w:sz w:val="24"/>
          <w:szCs w:val="24"/>
        </w:rPr>
        <w:t>2025年</w:t>
      </w:r>
      <w:r>
        <w:rPr>
          <w:rStyle w:val="76"/>
          <w:rFonts w:hint="eastAsia" w:ascii="仿宋" w:hAnsi="仿宋" w:eastAsia="仿宋" w:cs="仿宋"/>
          <w:snapToGrid/>
          <w:color w:val="auto"/>
          <w:kern w:val="2"/>
          <w:sz w:val="24"/>
          <w:szCs w:val="24"/>
          <w:lang w:val="en-US" w:eastAsia="zh-CN"/>
        </w:rPr>
        <w:t>07</w:t>
      </w:r>
      <w:r>
        <w:rPr>
          <w:rStyle w:val="76"/>
          <w:rFonts w:hint="eastAsia" w:ascii="仿宋" w:hAnsi="仿宋" w:eastAsia="仿宋" w:cs="仿宋"/>
          <w:snapToGrid/>
          <w:color w:val="auto"/>
          <w:kern w:val="2"/>
          <w:sz w:val="24"/>
          <w:szCs w:val="24"/>
        </w:rPr>
        <w:t>月</w:t>
      </w:r>
      <w:r>
        <w:rPr>
          <w:rStyle w:val="76"/>
          <w:rFonts w:hint="eastAsia" w:ascii="仿宋" w:hAnsi="仿宋" w:eastAsia="仿宋" w:cs="仿宋"/>
          <w:snapToGrid/>
          <w:color w:val="auto"/>
          <w:kern w:val="2"/>
          <w:sz w:val="24"/>
          <w:szCs w:val="24"/>
          <w:lang w:val="en-US" w:eastAsia="zh-CN"/>
        </w:rPr>
        <w:t>22</w:t>
      </w:r>
      <w:r>
        <w:rPr>
          <w:rStyle w:val="76"/>
          <w:rFonts w:hint="eastAsia" w:ascii="仿宋" w:hAnsi="仿宋" w:eastAsia="仿宋" w:cs="仿宋"/>
          <w:snapToGrid/>
          <w:color w:val="auto"/>
          <w:kern w:val="2"/>
          <w:sz w:val="24"/>
          <w:szCs w:val="24"/>
        </w:rPr>
        <w:t>日</w:t>
      </w:r>
      <w:r>
        <w:rPr>
          <w:rStyle w:val="76"/>
          <w:rFonts w:hint="eastAsia" w:ascii="仿宋" w:hAnsi="仿宋" w:eastAsia="仿宋" w:cs="仿宋"/>
          <w:snapToGrid/>
          <w:color w:val="auto"/>
          <w:kern w:val="2"/>
          <w:sz w:val="24"/>
          <w:szCs w:val="24"/>
        </w:rPr>
        <w:t>1</w:t>
      </w:r>
      <w:r>
        <w:rPr>
          <w:rStyle w:val="76"/>
          <w:rFonts w:hint="eastAsia" w:ascii="仿宋" w:hAnsi="仿宋" w:eastAsia="仿宋" w:cs="仿宋"/>
          <w:snapToGrid/>
          <w:color w:val="auto"/>
          <w:kern w:val="2"/>
          <w:sz w:val="24"/>
          <w:szCs w:val="24"/>
          <w:lang w:val="en-US" w:eastAsia="zh-CN"/>
        </w:rPr>
        <w:t>4</w:t>
      </w:r>
      <w:r>
        <w:rPr>
          <w:rStyle w:val="76"/>
          <w:rFonts w:hint="eastAsia" w:ascii="仿宋" w:hAnsi="仿宋" w:eastAsia="仿宋" w:cs="仿宋"/>
          <w:snapToGrid/>
          <w:color w:val="auto"/>
          <w:kern w:val="2"/>
          <w:sz w:val="24"/>
          <w:szCs w:val="24"/>
        </w:rPr>
        <w:t>点</w:t>
      </w:r>
      <w:r>
        <w:rPr>
          <w:rStyle w:val="76"/>
          <w:rFonts w:hint="eastAsia" w:ascii="仿宋" w:hAnsi="仿宋" w:eastAsia="仿宋" w:cs="仿宋"/>
          <w:snapToGrid/>
          <w:color w:val="auto"/>
          <w:kern w:val="2"/>
          <w:sz w:val="24"/>
          <w:szCs w:val="24"/>
          <w:lang w:val="en-US" w:eastAsia="zh-CN"/>
        </w:rPr>
        <w:t>0</w:t>
      </w:r>
      <w:r>
        <w:rPr>
          <w:rStyle w:val="76"/>
          <w:rFonts w:hint="eastAsia" w:ascii="仿宋" w:hAnsi="仿宋" w:eastAsia="仿宋" w:cs="仿宋"/>
          <w:snapToGrid/>
          <w:color w:val="auto"/>
          <w:kern w:val="2"/>
          <w:sz w:val="24"/>
          <w:szCs w:val="24"/>
        </w:rPr>
        <w:t>0分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67655D06">
      <w:pPr>
        <w:adjustRightInd/>
        <w:spacing w:line="380" w:lineRule="exact"/>
        <w:jc w:val="left"/>
        <w:outlineLvl w:val="0"/>
        <w:rPr>
          <w:rFonts w:hint="eastAsia" w:ascii="仿宋" w:hAnsi="仿宋" w:eastAsia="仿宋" w:cs="仿宋"/>
          <w:b/>
          <w:color w:val="auto"/>
          <w:sz w:val="24"/>
          <w:szCs w:val="16"/>
        </w:rPr>
      </w:pPr>
      <w:r>
        <w:rPr>
          <w:rFonts w:hint="eastAsia" w:ascii="仿宋" w:hAnsi="仿宋" w:eastAsia="仿宋" w:cs="仿宋"/>
          <w:b/>
          <w:color w:val="auto"/>
          <w:sz w:val="24"/>
          <w:szCs w:val="16"/>
        </w:rPr>
        <w:t>一、项目基本情况</w:t>
      </w:r>
    </w:p>
    <w:p w14:paraId="36AEA80A">
      <w:pPr>
        <w:spacing w:line="380" w:lineRule="exact"/>
        <w:ind w:firstLine="420"/>
        <w:rPr>
          <w:rFonts w:hint="default" w:ascii="仿宋" w:hAnsi="仿宋" w:eastAsia="仿宋" w:cs="仿宋"/>
          <w:color w:val="auto"/>
          <w:sz w:val="24"/>
          <w:lang w:val="en-US" w:eastAsia="zh-CN"/>
        </w:rPr>
      </w:pPr>
      <w:r>
        <w:rPr>
          <w:rFonts w:hint="eastAsia" w:ascii="仿宋" w:hAnsi="仿宋" w:eastAsia="仿宋" w:cs="仿宋"/>
          <w:b/>
          <w:color w:val="auto"/>
          <w:sz w:val="24"/>
        </w:rPr>
        <w:t>项目编号：</w:t>
      </w:r>
      <w:r>
        <w:rPr>
          <w:rFonts w:hint="eastAsia" w:ascii="仿宋" w:hAnsi="仿宋" w:eastAsia="仿宋" w:cs="仿宋"/>
          <w:color w:val="auto"/>
          <w:sz w:val="24"/>
        </w:rPr>
        <w:t>ZJXR-SCGA2025-</w:t>
      </w:r>
      <w:r>
        <w:rPr>
          <w:rFonts w:hint="eastAsia" w:ascii="仿宋" w:hAnsi="仿宋" w:eastAsia="仿宋" w:cs="仿宋"/>
          <w:color w:val="auto"/>
          <w:sz w:val="24"/>
          <w:lang w:val="en-US" w:eastAsia="zh-CN"/>
        </w:rPr>
        <w:t>03</w:t>
      </w:r>
    </w:p>
    <w:p w14:paraId="657160F2">
      <w:pPr>
        <w:spacing w:line="380" w:lineRule="exact"/>
        <w:ind w:firstLine="420"/>
        <w:rPr>
          <w:rFonts w:hint="eastAsia" w:ascii="仿宋" w:hAnsi="仿宋" w:eastAsia="仿宋" w:cs="仿宋"/>
          <w:color w:val="auto"/>
          <w:sz w:val="24"/>
        </w:rPr>
      </w:pPr>
      <w:r>
        <w:rPr>
          <w:rFonts w:hint="eastAsia" w:ascii="仿宋" w:hAnsi="仿宋" w:eastAsia="仿宋" w:cs="仿宋"/>
          <w:b/>
          <w:color w:val="auto"/>
          <w:sz w:val="24"/>
        </w:rPr>
        <w:t>项目名称：</w:t>
      </w:r>
      <w:r>
        <w:rPr>
          <w:rFonts w:hint="eastAsia" w:ascii="仿宋" w:hAnsi="仿宋" w:eastAsia="仿宋" w:cs="仿宋"/>
          <w:color w:val="auto"/>
          <w:sz w:val="24"/>
        </w:rPr>
        <w:t xml:space="preserve">杭州市公安局上城区分局2025年经济及刑事类犯罪案件专项审计服务 </w:t>
      </w:r>
    </w:p>
    <w:p w14:paraId="49A11189">
      <w:pPr>
        <w:spacing w:line="380" w:lineRule="exact"/>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b/>
          <w:color w:val="auto"/>
          <w:sz w:val="24"/>
        </w:rPr>
        <w:t>预算金额（元）：</w:t>
      </w:r>
      <w:r>
        <w:rPr>
          <w:rFonts w:hint="eastAsia" w:ascii="仿宋" w:hAnsi="仿宋" w:eastAsia="仿宋" w:cs="仿宋"/>
          <w:color w:val="auto"/>
          <w:sz w:val="24"/>
        </w:rPr>
        <w:t>5000000.00 </w:t>
      </w:r>
    </w:p>
    <w:p w14:paraId="432A84A5">
      <w:pPr>
        <w:spacing w:line="380" w:lineRule="exact"/>
        <w:ind w:firstLine="420"/>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color w:val="auto"/>
          <w:sz w:val="24"/>
        </w:rPr>
        <w:t>5000000.00 </w:t>
      </w:r>
    </w:p>
    <w:p w14:paraId="512F798B">
      <w:pPr>
        <w:spacing w:line="380" w:lineRule="exact"/>
        <w:ind w:firstLine="420"/>
        <w:rPr>
          <w:rFonts w:hint="eastAsia" w:ascii="仿宋" w:hAnsi="仿宋" w:eastAsia="仿宋" w:cs="仿宋"/>
          <w:color w:val="auto"/>
          <w:sz w:val="24"/>
        </w:rPr>
      </w:pPr>
      <w:r>
        <w:rPr>
          <w:rFonts w:hint="eastAsia" w:ascii="仿宋" w:hAnsi="仿宋" w:eastAsia="仿宋" w:cs="仿宋"/>
          <w:b/>
          <w:color w:val="auto"/>
          <w:sz w:val="24"/>
        </w:rPr>
        <w:t>采购需求：</w:t>
      </w:r>
      <w:r>
        <w:rPr>
          <w:rFonts w:hint="eastAsia" w:ascii="仿宋" w:hAnsi="仿宋" w:eastAsia="仿宋" w:cs="仿宋"/>
          <w:color w:val="auto"/>
          <w:sz w:val="24"/>
        </w:rPr>
        <w:t xml:space="preserve">杭州市公安局上城区分局2025年经济及刑事类犯罪案件专项审计服务 </w:t>
      </w:r>
      <w:r>
        <w:rPr>
          <w:rFonts w:hint="eastAsia" w:ascii="仿宋" w:hAnsi="仿宋" w:eastAsia="仿宋" w:cs="仿宋"/>
          <w:bCs/>
          <w:color w:val="auto"/>
          <w:sz w:val="24"/>
        </w:rPr>
        <w:t>主要内容：根据采购方委托的事项或内容进行审计，对与查证案件相关的会计资料、经营信息资料及财产和资金资料等，依照国家有关法律和审计准则，出具真实、有效的书面审计意见。</w:t>
      </w:r>
      <w:r>
        <w:rPr>
          <w:rFonts w:hint="eastAsia" w:ascii="仿宋" w:hAnsi="仿宋" w:eastAsia="仿宋" w:cs="仿宋"/>
          <w:color w:val="auto"/>
          <w:sz w:val="24"/>
        </w:rPr>
        <w:t>具体以招标文件第三部分采购需求为准，供应商可点击本公告下方“浏览采购文件”查看采购需求。</w:t>
      </w:r>
    </w:p>
    <w:p w14:paraId="2556ADE7">
      <w:pPr>
        <w:spacing w:line="380" w:lineRule="exact"/>
        <w:ind w:firstLine="420"/>
        <w:rPr>
          <w:rFonts w:hint="eastAsia" w:ascii="仿宋" w:hAnsi="仿宋" w:eastAsia="仿宋" w:cs="仿宋"/>
          <w:b/>
          <w:color w:val="auto"/>
          <w:sz w:val="24"/>
        </w:rPr>
      </w:pPr>
      <w:r>
        <w:rPr>
          <w:rFonts w:hint="eastAsia" w:ascii="仿宋" w:hAnsi="仿宋" w:eastAsia="仿宋" w:cs="仿宋"/>
          <w:b/>
          <w:color w:val="auto"/>
          <w:sz w:val="24"/>
        </w:rPr>
        <w:t>合同履约期限：</w:t>
      </w:r>
      <w:r>
        <w:rPr>
          <w:rFonts w:hint="eastAsia" w:ascii="仿宋" w:hAnsi="仿宋" w:eastAsia="仿宋" w:cs="仿宋"/>
          <w:bCs/>
          <w:color w:val="auto"/>
          <w:sz w:val="24"/>
        </w:rPr>
        <w:t>1年，</w:t>
      </w:r>
      <w:r>
        <w:rPr>
          <w:rFonts w:hint="eastAsia" w:ascii="仿宋" w:hAnsi="仿宋" w:eastAsia="仿宋" w:cs="仿宋"/>
          <w:color w:val="auto"/>
          <w:sz w:val="24"/>
        </w:rPr>
        <w:t>具体以招标文件第三部分采购需求为准</w:t>
      </w:r>
      <w:r>
        <w:rPr>
          <w:rFonts w:hint="eastAsia" w:ascii="仿宋" w:hAnsi="仿宋" w:eastAsia="仿宋" w:cs="仿宋"/>
          <w:bCs/>
          <w:color w:val="auto"/>
          <w:sz w:val="24"/>
        </w:rPr>
        <w:t>。</w:t>
      </w:r>
    </w:p>
    <w:p w14:paraId="095A39AF">
      <w:pPr>
        <w:spacing w:line="380" w:lineRule="exact"/>
        <w:ind w:firstLine="420"/>
        <w:rPr>
          <w:rFonts w:hint="eastAsia"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74754820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65639BFB">
      <w:pPr>
        <w:adjustRightInd/>
        <w:spacing w:line="380" w:lineRule="exact"/>
        <w:jc w:val="left"/>
        <w:outlineLvl w:val="0"/>
        <w:rPr>
          <w:rFonts w:hint="eastAsia" w:ascii="仿宋" w:hAnsi="仿宋" w:eastAsia="仿宋" w:cs="仿宋"/>
          <w:b/>
          <w:color w:val="auto"/>
          <w:sz w:val="24"/>
          <w:szCs w:val="16"/>
        </w:rPr>
      </w:pPr>
      <w:r>
        <w:rPr>
          <w:rFonts w:hint="eastAsia" w:ascii="仿宋" w:hAnsi="仿宋" w:eastAsia="仿宋" w:cs="仿宋"/>
          <w:b/>
          <w:color w:val="auto"/>
          <w:sz w:val="24"/>
          <w:szCs w:val="16"/>
        </w:rPr>
        <w:t>二、申请人的资格要求：</w:t>
      </w:r>
    </w:p>
    <w:p w14:paraId="3963C8DF">
      <w:pPr>
        <w:spacing w:line="380" w:lineRule="exact"/>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41DE0F0">
      <w:pPr>
        <w:spacing w:line="380" w:lineRule="exact"/>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w:t>
      </w:r>
    </w:p>
    <w:p w14:paraId="494B2D6E">
      <w:pPr>
        <w:spacing w:line="380" w:lineRule="exact"/>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szCs w:val="20"/>
        </w:rPr>
        <w:t>3.落实政府采购政策需满足的资格要求：</w:t>
      </w:r>
    </w:p>
    <w:p w14:paraId="641AB16C">
      <w:pPr>
        <w:spacing w:line="380" w:lineRule="exact"/>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59783230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6F155B9E">
      <w:pPr>
        <w:spacing w:line="380" w:lineRule="exact"/>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41445526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sz w:val="24"/>
        </w:rPr>
        <w:t>服务全部由符合政策要求的中小企业承接，提供中小企业声明函；</w:t>
      </w:r>
    </w:p>
    <w:p w14:paraId="21689F02">
      <w:pPr>
        <w:snapToGrid w:val="0"/>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4.本项目的特定资格要求：</w:t>
      </w:r>
    </w:p>
    <w:p w14:paraId="45A8C4B3">
      <w:pPr>
        <w:snapToGrid w:val="0"/>
        <w:spacing w:line="380" w:lineRule="exact"/>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kern w:val="0"/>
          <w:sz w:val="24"/>
        </w:rPr>
        <w:t>无。</w:t>
      </w:r>
    </w:p>
    <w:p w14:paraId="768EF0F9">
      <w:pPr>
        <w:snapToGrid w:val="0"/>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BF7A83">
      <w:pPr>
        <w:adjustRightInd/>
        <w:spacing w:line="380" w:lineRule="exact"/>
        <w:jc w:val="left"/>
        <w:outlineLvl w:val="0"/>
        <w:rPr>
          <w:rFonts w:hint="eastAsia" w:ascii="仿宋" w:hAnsi="仿宋" w:eastAsia="仿宋" w:cs="仿宋"/>
          <w:b/>
          <w:color w:val="auto"/>
          <w:sz w:val="24"/>
          <w:szCs w:val="16"/>
        </w:rPr>
      </w:pPr>
      <w:r>
        <w:rPr>
          <w:rFonts w:hint="eastAsia" w:ascii="仿宋" w:hAnsi="仿宋" w:eastAsia="仿宋" w:cs="仿宋"/>
          <w:b/>
          <w:color w:val="auto"/>
          <w:sz w:val="24"/>
          <w:szCs w:val="16"/>
        </w:rPr>
        <w:t>三、获取招标文件</w:t>
      </w:r>
    </w:p>
    <w:p w14:paraId="20CBEFC0">
      <w:pPr>
        <w:spacing w:line="38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2025年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22</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，每天上午00:00至12:00，下午12:00至23:59（北京时间，线上获取法定节假日均可，线下获取文件法定节假日除外）</w:t>
      </w:r>
    </w:p>
    <w:p w14:paraId="4AB94B67">
      <w:pPr>
        <w:spacing w:line="38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政采云平台（https://www.zcygov.cn/）</w:t>
      </w:r>
    </w:p>
    <w:p w14:paraId="418E802A">
      <w:pPr>
        <w:spacing w:line="38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14:paraId="12D7AB9E">
      <w:pPr>
        <w:spacing w:line="38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0</w:t>
      </w:r>
    </w:p>
    <w:p w14:paraId="76DF9680">
      <w:pPr>
        <w:adjustRightInd/>
        <w:spacing w:line="380" w:lineRule="exact"/>
        <w:jc w:val="left"/>
        <w:outlineLvl w:val="0"/>
        <w:rPr>
          <w:rFonts w:hint="eastAsia" w:ascii="仿宋" w:hAnsi="仿宋" w:eastAsia="仿宋" w:cs="仿宋"/>
          <w:b/>
          <w:color w:val="auto"/>
          <w:sz w:val="24"/>
          <w:szCs w:val="16"/>
        </w:rPr>
      </w:pPr>
      <w:r>
        <w:rPr>
          <w:rFonts w:hint="eastAsia" w:ascii="仿宋" w:hAnsi="仿宋" w:eastAsia="仿宋" w:cs="仿宋"/>
          <w:b/>
          <w:color w:val="auto"/>
          <w:sz w:val="24"/>
          <w:szCs w:val="16"/>
        </w:rPr>
        <w:t>四、提交投标文件截止时间、开标时间和地点</w:t>
      </w:r>
    </w:p>
    <w:p w14:paraId="7A9D9EFD">
      <w:pPr>
        <w:spacing w:line="38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2025年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22</w:t>
      </w:r>
      <w:r>
        <w:rPr>
          <w:rFonts w:hint="eastAsia" w:ascii="仿宋" w:hAnsi="仿宋" w:eastAsia="仿宋" w:cs="仿宋"/>
          <w:color w:val="auto"/>
          <w:sz w:val="24"/>
          <w:u w:val="single"/>
        </w:rPr>
        <w:t>日1</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0BE93EBC">
      <w:pPr>
        <w:spacing w:line="38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政采云平台（https://www.zcygov.cn/）</w:t>
      </w:r>
    </w:p>
    <w:p w14:paraId="0E18584A">
      <w:pPr>
        <w:spacing w:line="380" w:lineRule="exact"/>
        <w:ind w:firstLine="482" w:firstLineChars="200"/>
        <w:rPr>
          <w:rFonts w:hint="eastAsia" w:ascii="仿宋" w:hAnsi="仿宋" w:eastAsia="仿宋" w:cs="仿宋"/>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2025年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22</w:t>
      </w:r>
      <w:r>
        <w:rPr>
          <w:rFonts w:hint="eastAsia" w:ascii="仿宋" w:hAnsi="仿宋" w:eastAsia="仿宋" w:cs="仿宋"/>
          <w:color w:val="auto"/>
          <w:sz w:val="24"/>
          <w:u w:val="single"/>
        </w:rPr>
        <w:t>日1</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p>
    <w:p w14:paraId="56FFC5E1">
      <w:pPr>
        <w:spacing w:line="38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2D572F04">
      <w:pPr>
        <w:adjustRightInd/>
        <w:spacing w:line="380" w:lineRule="exact"/>
        <w:jc w:val="left"/>
        <w:outlineLvl w:val="0"/>
        <w:rPr>
          <w:rFonts w:hint="eastAsia" w:ascii="仿宋" w:hAnsi="仿宋" w:eastAsia="仿宋" w:cs="仿宋"/>
          <w:b/>
          <w:color w:val="auto"/>
          <w:sz w:val="24"/>
          <w:szCs w:val="16"/>
        </w:rPr>
      </w:pPr>
      <w:r>
        <w:rPr>
          <w:rFonts w:hint="eastAsia" w:ascii="仿宋" w:hAnsi="仿宋" w:eastAsia="仿宋" w:cs="仿宋"/>
          <w:b/>
          <w:color w:val="auto"/>
          <w:sz w:val="24"/>
          <w:szCs w:val="16"/>
        </w:rPr>
        <w:t>五、公告期限</w:t>
      </w:r>
    </w:p>
    <w:p w14:paraId="04B383F9">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75DAA0ED">
      <w:pPr>
        <w:adjustRightInd/>
        <w:spacing w:line="380" w:lineRule="exact"/>
        <w:jc w:val="left"/>
        <w:outlineLvl w:val="0"/>
        <w:rPr>
          <w:rFonts w:hint="eastAsia" w:ascii="仿宋" w:hAnsi="仿宋" w:eastAsia="仿宋" w:cs="仿宋"/>
          <w:b/>
          <w:color w:val="auto"/>
          <w:sz w:val="24"/>
          <w:szCs w:val="16"/>
        </w:rPr>
      </w:pPr>
      <w:r>
        <w:rPr>
          <w:rFonts w:hint="eastAsia" w:ascii="仿宋" w:hAnsi="仿宋" w:eastAsia="仿宋" w:cs="仿宋"/>
          <w:b/>
          <w:color w:val="auto"/>
          <w:sz w:val="24"/>
          <w:szCs w:val="16"/>
        </w:rPr>
        <w:t>六、其他补充事宜</w:t>
      </w:r>
    </w:p>
    <w:p w14:paraId="5F5C8A26">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C2CBCED">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58CA3B">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531644">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68A30EE">
      <w:pPr>
        <w:adjustRightInd/>
        <w:spacing w:line="380" w:lineRule="exact"/>
        <w:jc w:val="left"/>
        <w:outlineLvl w:val="0"/>
        <w:rPr>
          <w:rFonts w:hint="eastAsia" w:ascii="仿宋" w:hAnsi="仿宋" w:eastAsia="仿宋" w:cs="仿宋"/>
          <w:b/>
          <w:color w:val="auto"/>
          <w:sz w:val="24"/>
          <w:szCs w:val="16"/>
        </w:rPr>
      </w:pPr>
      <w:r>
        <w:rPr>
          <w:rFonts w:hint="eastAsia" w:ascii="仿宋" w:hAnsi="仿宋" w:eastAsia="仿宋" w:cs="仿宋"/>
          <w:b/>
          <w:color w:val="auto"/>
          <w:sz w:val="24"/>
          <w:szCs w:val="16"/>
        </w:rPr>
        <w:t>七、对本次采购提出询问、质疑、投诉，请按以下方式联系</w:t>
      </w:r>
    </w:p>
    <w:p w14:paraId="1E83E89D">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1.采购人信息</w:t>
      </w:r>
    </w:p>
    <w:p w14:paraId="457F93D2">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名    称：杭州市公安局上城区分局</w:t>
      </w:r>
    </w:p>
    <w:p w14:paraId="4A56AF63">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olor w:val="auto"/>
          <w:sz w:val="24"/>
        </w:rPr>
        <w:t>杭州市上城区候潮东路175号</w:t>
      </w:r>
    </w:p>
    <w:p w14:paraId="7A934978">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传    真：/</w:t>
      </w:r>
    </w:p>
    <w:p w14:paraId="7F767EFF">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olor w:val="auto"/>
          <w:sz w:val="24"/>
        </w:rPr>
        <w:t>钟警官</w:t>
      </w:r>
    </w:p>
    <w:p w14:paraId="7FF2E6F5">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项目联系方式（询问）：</w:t>
      </w:r>
      <w:r>
        <w:rPr>
          <w:rFonts w:hint="eastAsia" w:ascii="仿宋" w:hAnsi="仿宋" w:eastAsia="仿宋" w:cs="宋体"/>
          <w:color w:val="auto"/>
          <w:sz w:val="24"/>
        </w:rPr>
        <w:t>13588815240</w:t>
      </w:r>
    </w:p>
    <w:p w14:paraId="24933B9E">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质疑联系人：</w:t>
      </w:r>
      <w:r>
        <w:rPr>
          <w:rFonts w:hint="eastAsia" w:ascii="仿宋" w:hAnsi="仿宋" w:eastAsia="仿宋"/>
          <w:color w:val="auto"/>
          <w:sz w:val="24"/>
        </w:rPr>
        <w:t>裘主任</w:t>
      </w:r>
    </w:p>
    <w:p w14:paraId="3F62E48E">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质疑联系方式：</w:t>
      </w:r>
      <w:r>
        <w:rPr>
          <w:rFonts w:hint="eastAsia" w:ascii="仿宋" w:hAnsi="仿宋" w:eastAsia="仿宋"/>
          <w:color w:val="auto"/>
          <w:sz w:val="24"/>
        </w:rPr>
        <w:t>13606709884</w:t>
      </w:r>
      <w:r>
        <w:rPr>
          <w:rFonts w:hint="eastAsia" w:ascii="仿宋" w:hAnsi="仿宋" w:eastAsia="仿宋" w:cs="仿宋"/>
          <w:color w:val="auto"/>
          <w:sz w:val="24"/>
        </w:rPr>
        <w:t>（请通过以下路径在线提起质疑：政采云-项目采购-询问质疑投诉-质疑列表）</w:t>
      </w:r>
    </w:p>
    <w:p w14:paraId="4FE6F25A">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2.采购代理机构信息</w:t>
      </w:r>
    </w:p>
    <w:p w14:paraId="69EC4D92">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名    称：浙江鑫润工程管理有限公司</w:t>
      </w:r>
    </w:p>
    <w:p w14:paraId="2968C2F1">
      <w:pPr>
        <w:spacing w:line="380" w:lineRule="exact"/>
        <w:ind w:firstLine="420"/>
        <w:rPr>
          <w:rFonts w:hint="eastAsia" w:ascii="仿宋" w:hAnsi="仿宋" w:eastAsia="仿宋" w:cs="宋体"/>
          <w:color w:val="auto"/>
          <w:sz w:val="24"/>
        </w:rPr>
      </w:pPr>
      <w:r>
        <w:rPr>
          <w:rFonts w:hint="eastAsia" w:ascii="仿宋" w:hAnsi="仿宋" w:eastAsia="仿宋" w:cs="仿宋"/>
          <w:color w:val="auto"/>
          <w:sz w:val="24"/>
        </w:rPr>
        <w:t>地    址：</w:t>
      </w:r>
      <w:r>
        <w:rPr>
          <w:rFonts w:hint="eastAsia" w:ascii="仿宋" w:hAnsi="仿宋" w:eastAsia="仿宋" w:cs="宋体"/>
          <w:color w:val="auto"/>
          <w:sz w:val="24"/>
        </w:rPr>
        <w:t>杭州市上城区市民街69号民林金融中心B座5楼</w:t>
      </w:r>
    </w:p>
    <w:p w14:paraId="330B566B">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传    真：/</w:t>
      </w:r>
    </w:p>
    <w:p w14:paraId="54FF098E">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项目联系人（询问）：方锐</w:t>
      </w:r>
    </w:p>
    <w:p w14:paraId="571E7FC0">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项目联系方式（询问）：18258914900</w:t>
      </w:r>
    </w:p>
    <w:p w14:paraId="4817C98F">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质疑联系人：周小丽</w:t>
      </w:r>
    </w:p>
    <w:p w14:paraId="539C4080">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质疑联系方式：13867156431（请通过以下路径在线提起质疑：政采云-项目采购-询问质疑投诉-质疑列表）</w:t>
      </w:r>
    </w:p>
    <w:p w14:paraId="2C634844">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3.同级政府采购监督管理部门</w:t>
      </w:r>
    </w:p>
    <w:p w14:paraId="77D82367">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名    称：杭州市上城区财政局/浙江省政府采购行政裁决服务中心（杭州）</w:t>
      </w:r>
    </w:p>
    <w:p w14:paraId="39D32A4B">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地    址：杭州市上城区清泰街549号城建综合大楼11楼（快递仅限ems或顺丰）</w:t>
      </w:r>
    </w:p>
    <w:p w14:paraId="750A4D18">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传    真：/</w:t>
      </w:r>
    </w:p>
    <w:p w14:paraId="273C875C">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联系人：朱女士、王女士</w:t>
      </w:r>
    </w:p>
    <w:p w14:paraId="58218ECA">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监督投诉电话：0571-87227671,0571-87800218</w:t>
      </w:r>
    </w:p>
    <w:p w14:paraId="1A6FC855">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政策咨询电话：沈先生、陈先生，0571-89580457、0571-89580460 政府采购监管部门工作人员</w:t>
      </w:r>
    </w:p>
    <w:p w14:paraId="4D651C66">
      <w:pPr>
        <w:spacing w:line="380" w:lineRule="exact"/>
        <w:ind w:firstLine="42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14:paraId="3AFF65BF">
      <w:pPr>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72EF316B">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5D47B853">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 投标人须知</w:t>
      </w:r>
      <w:bookmarkEnd w:id="7"/>
    </w:p>
    <w:p w14:paraId="23773C12">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4A9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6" w:hRule="atLeast"/>
          <w:tblHeader/>
        </w:trPr>
        <w:tc>
          <w:tcPr>
            <w:tcW w:w="629" w:type="dxa"/>
            <w:vAlign w:val="center"/>
          </w:tcPr>
          <w:p w14:paraId="304831F1">
            <w:pPr>
              <w:snapToGrid w:val="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vAlign w:val="center"/>
          </w:tcPr>
          <w:p w14:paraId="5CB0B541">
            <w:pPr>
              <w:snapToGrid w:val="0"/>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vAlign w:val="center"/>
          </w:tcPr>
          <w:p w14:paraId="02265C21">
            <w:pPr>
              <w:snapToGrid w:val="0"/>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30AC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 w:hRule="atLeast"/>
          <w:tblHeader/>
        </w:trPr>
        <w:tc>
          <w:tcPr>
            <w:tcW w:w="629" w:type="dxa"/>
            <w:vAlign w:val="center"/>
          </w:tcPr>
          <w:p w14:paraId="3343E899">
            <w:pPr>
              <w:snapToGrid w:val="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vAlign w:val="center"/>
          </w:tcPr>
          <w:p w14:paraId="4F3F06CE">
            <w:pPr>
              <w:snapToGrid w:val="0"/>
              <w:jc w:val="center"/>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6095" w:type="dxa"/>
            <w:vAlign w:val="center"/>
          </w:tcPr>
          <w:p w14:paraId="3FF4E2C7">
            <w:pPr>
              <w:rPr>
                <w:rFonts w:hint="eastAsia" w:ascii="仿宋" w:hAnsi="仿宋" w:eastAsia="仿宋" w:cs="仿宋"/>
                <w:color w:val="auto"/>
                <w:sz w:val="24"/>
              </w:rPr>
            </w:pPr>
            <w:r>
              <w:rPr>
                <w:rFonts w:hint="eastAsia" w:ascii="仿宋" w:hAnsi="仿宋" w:eastAsia="仿宋" w:cs="仿宋"/>
                <w:color w:val="auto"/>
                <w:sz w:val="24"/>
              </w:rPr>
              <w:t>服务类。</w:t>
            </w:r>
          </w:p>
        </w:tc>
      </w:tr>
      <w:tr w14:paraId="19D6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7130E164">
            <w:pPr>
              <w:snapToGrid w:val="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vAlign w:val="center"/>
          </w:tcPr>
          <w:p w14:paraId="7B439A6F">
            <w:pPr>
              <w:snapToGrid w:val="0"/>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vAlign w:val="center"/>
          </w:tcPr>
          <w:p w14:paraId="6B887DBF">
            <w:pPr>
              <w:snapToGrid w:val="0"/>
              <w:rPr>
                <w:rFonts w:hint="eastAsia" w:ascii="仿宋" w:hAnsi="仿宋" w:eastAsia="仿宋" w:cs="仿宋"/>
                <w:color w:val="auto"/>
                <w:kern w:val="0"/>
                <w:sz w:val="24"/>
              </w:rPr>
            </w:pPr>
            <w:r>
              <w:rPr>
                <w:rFonts w:hint="eastAsia" w:ascii="仿宋" w:hAnsi="仿宋" w:eastAsia="仿宋" w:cs="仿宋"/>
                <w:color w:val="auto"/>
                <w:kern w:val="0"/>
                <w:sz w:val="24"/>
              </w:rPr>
              <w:t>（1）标的：</w:t>
            </w:r>
            <w:r>
              <w:rPr>
                <w:rFonts w:hint="eastAsia" w:ascii="仿宋" w:hAnsi="仿宋" w:eastAsia="仿宋" w:cs="仿宋"/>
                <w:b/>
                <w:bCs/>
                <w:color w:val="auto"/>
                <w:sz w:val="24"/>
                <w:u w:val="single"/>
              </w:rPr>
              <w:t xml:space="preserve">杭州市公安局上城区分局2025年经济及刑事类犯罪案件专项审计服务 </w:t>
            </w:r>
            <w:r>
              <w:rPr>
                <w:rFonts w:hint="eastAsia" w:ascii="仿宋" w:hAnsi="仿宋" w:eastAsia="仿宋" w:cs="仿宋"/>
                <w:color w:val="auto"/>
                <w:kern w:val="0"/>
                <w:sz w:val="24"/>
              </w:rPr>
              <w:t>，属于</w:t>
            </w:r>
            <w:r>
              <w:rPr>
                <w:rFonts w:hint="eastAsia" w:ascii="仿宋" w:hAnsi="仿宋" w:eastAsia="仿宋" w:cs="仿宋"/>
                <w:color w:val="auto"/>
                <w:spacing w:val="-106"/>
                <w:sz w:val="24"/>
              </w:rPr>
              <w:t xml:space="preserve"> </w:t>
            </w:r>
            <w:r>
              <w:rPr>
                <w:rFonts w:hint="eastAsia" w:ascii="仿宋" w:hAnsi="仿宋" w:eastAsia="仿宋" w:cs="仿宋"/>
                <w:color w:val="auto"/>
                <w:spacing w:val="-109"/>
                <w:sz w:val="24"/>
                <w:u w:val="single"/>
              </w:rPr>
              <w:t xml:space="preserve"> </w:t>
            </w:r>
            <w:r>
              <w:rPr>
                <w:rFonts w:hint="eastAsia" w:ascii="仿宋" w:hAnsi="仿宋" w:eastAsia="仿宋" w:cs="仿宋"/>
                <w:b/>
                <w:bCs/>
                <w:color w:val="auto"/>
                <w:sz w:val="24"/>
                <w:u w:val="single"/>
              </w:rPr>
              <w:t>其他未列明</w:t>
            </w:r>
            <w:r>
              <w:rPr>
                <w:rFonts w:hint="eastAsia" w:ascii="仿宋" w:hAnsi="仿宋" w:eastAsia="仿宋" w:cs="仿宋"/>
                <w:color w:val="auto"/>
                <w:kern w:val="0"/>
                <w:sz w:val="24"/>
              </w:rPr>
              <w:t>行业；</w:t>
            </w:r>
          </w:p>
          <w:p w14:paraId="6E4CF81A">
            <w:pPr>
              <w:snapToGrid w:val="0"/>
              <w:rPr>
                <w:rFonts w:hint="eastAsia" w:ascii="仿宋" w:hAnsi="仿宋" w:eastAsia="仿宋" w:cs="仿宋"/>
                <w:color w:val="auto"/>
              </w:rPr>
            </w:pPr>
            <w:r>
              <w:rPr>
                <w:rFonts w:hint="eastAsia" w:ascii="仿宋" w:hAnsi="仿宋" w:eastAsia="仿宋" w:cs="仿宋"/>
                <w:color w:val="auto"/>
                <w:kern w:val="0"/>
                <w:sz w:val="24"/>
              </w:rPr>
              <w:t>根据《关于印发中小企业划型标准规定的通知》（工信部联企业〔2011〕300号）第四条</w:t>
            </w:r>
            <w:r>
              <w:rPr>
                <w:rFonts w:hint="eastAsia" w:ascii="仿宋" w:hAnsi="仿宋" w:eastAsia="仿宋" w:cs="仿宋"/>
                <w:color w:val="auto"/>
                <w:sz w:val="24"/>
              </w:rPr>
              <w:t>第（十六）项</w:t>
            </w:r>
            <w:r>
              <w:rPr>
                <w:rFonts w:hint="eastAsia" w:ascii="仿宋" w:hAnsi="仿宋" w:eastAsia="仿宋" w:cs="仿宋"/>
                <w:color w:val="auto"/>
                <w:spacing w:val="-1"/>
                <w:sz w:val="24"/>
              </w:rPr>
              <w:t>规定：</w:t>
            </w:r>
            <w:r>
              <w:rPr>
                <w:rFonts w:hint="eastAsia" w:ascii="仿宋" w:hAnsi="仿宋" w:eastAsia="仿宋" w:cs="仿宋"/>
                <w:color w:val="auto"/>
                <w:spacing w:val="-106"/>
                <w:sz w:val="24"/>
              </w:rPr>
              <w:t xml:space="preserve"> </w:t>
            </w:r>
            <w:r>
              <w:rPr>
                <w:rFonts w:hint="eastAsia" w:ascii="仿宋" w:hAnsi="仿宋" w:eastAsia="仿宋" w:cs="仿宋"/>
                <w:color w:val="auto"/>
                <w:spacing w:val="-109"/>
                <w:sz w:val="24"/>
                <w:u w:val="single"/>
              </w:rPr>
              <w:t xml:space="preserve"> </w:t>
            </w:r>
            <w:r>
              <w:rPr>
                <w:rFonts w:hint="eastAsia" w:ascii="仿宋" w:hAnsi="仿宋" w:eastAsia="仿宋" w:cs="仿宋"/>
                <w:b/>
                <w:bCs/>
                <w:color w:val="auto"/>
                <w:sz w:val="24"/>
                <w:u w:val="single"/>
              </w:rPr>
              <w:t>其他未列明</w:t>
            </w:r>
            <w:r>
              <w:rPr>
                <w:rFonts w:hint="eastAsia" w:ascii="仿宋" w:hAnsi="仿宋" w:eastAsia="仿宋" w:cs="仿宋"/>
                <w:color w:val="auto"/>
                <w:spacing w:val="-2"/>
                <w:sz w:val="24"/>
              </w:rPr>
              <w:t>行业，</w:t>
            </w:r>
            <w:r>
              <w:rPr>
                <w:rFonts w:hint="eastAsia" w:ascii="仿宋" w:hAnsi="仿宋" w:eastAsia="仿宋" w:cs="仿宋"/>
                <w:color w:val="auto"/>
                <w:kern w:val="0"/>
                <w:sz w:val="24"/>
              </w:rPr>
              <w:t>从业人员300人以下的为中小微型企业。其中，从业人员100人及以上的为中型企业；从业人员10人及以上的为小型企业；从业人员10人以下的为微型企业。</w:t>
            </w:r>
          </w:p>
        </w:tc>
      </w:tr>
      <w:tr w14:paraId="5BFB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9" w:hRule="atLeast"/>
          <w:tblHeader/>
        </w:trPr>
        <w:tc>
          <w:tcPr>
            <w:tcW w:w="629" w:type="dxa"/>
            <w:vAlign w:val="center"/>
          </w:tcPr>
          <w:p w14:paraId="66D0A66E">
            <w:pPr>
              <w:snapToGrid w:val="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vAlign w:val="center"/>
          </w:tcPr>
          <w:p w14:paraId="6D8DBBB3">
            <w:pPr>
              <w:snapToGrid w:val="0"/>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vAlign w:val="center"/>
          </w:tcPr>
          <w:p w14:paraId="7166B7E3">
            <w:pPr>
              <w:rPr>
                <w:rFonts w:hint="eastAsia" w:ascii="仿宋" w:hAnsi="仿宋" w:eastAsia="仿宋" w:cs="仿宋"/>
                <w:color w:val="auto"/>
                <w:kern w:val="0"/>
                <w:sz w:val="24"/>
              </w:rPr>
            </w:pPr>
            <w:sdt>
              <w:sdtPr>
                <w:rPr>
                  <w:rFonts w:hint="eastAsia" w:ascii="仿宋" w:hAnsi="仿宋" w:eastAsia="仿宋" w:cs="仿宋"/>
                  <w:color w:val="auto"/>
                  <w:kern w:val="0"/>
                  <w:sz w:val="24"/>
                </w:rPr>
                <w:id w:val="292530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14:paraId="0CA97508">
            <w:pPr>
              <w:rPr>
                <w:rFonts w:hint="eastAsia" w:ascii="仿宋" w:hAnsi="仿宋" w:eastAsia="仿宋" w:cs="仿宋"/>
                <w:color w:val="auto"/>
              </w:rPr>
            </w:pPr>
            <w:sdt>
              <w:sdtPr>
                <w:rPr>
                  <w:rFonts w:hint="eastAsia" w:ascii="仿宋" w:hAnsi="仿宋" w:eastAsia="仿宋" w:cs="仿宋"/>
                  <w:color w:val="auto"/>
                  <w:kern w:val="0"/>
                  <w:sz w:val="24"/>
                </w:rPr>
                <w:id w:val="45069696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可以就</w:t>
            </w:r>
            <w:r>
              <w:rPr>
                <w:rFonts w:hint="eastAsia" w:ascii="仿宋" w:hAnsi="仿宋" w:eastAsia="仿宋" w:cs="仿宋"/>
                <w:color w:val="auto"/>
                <w:sz w:val="24"/>
                <w:u w:val="single"/>
              </w:rPr>
              <w:t>/</w:t>
            </w:r>
            <w:r>
              <w:rPr>
                <w:rFonts w:hint="eastAsia" w:ascii="仿宋" w:hAnsi="仿宋" w:eastAsia="仿宋" w:cs="仿宋"/>
                <w:color w:val="auto"/>
                <w:kern w:val="0"/>
                <w:sz w:val="24"/>
              </w:rPr>
              <w:t>采购进口产品。</w:t>
            </w:r>
          </w:p>
        </w:tc>
      </w:tr>
      <w:tr w14:paraId="3AD6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7" w:hRule="atLeast"/>
          <w:tblHeader/>
        </w:trPr>
        <w:tc>
          <w:tcPr>
            <w:tcW w:w="629" w:type="dxa"/>
            <w:vAlign w:val="center"/>
          </w:tcPr>
          <w:p w14:paraId="56B42C88">
            <w:pPr>
              <w:snapToGrid w:val="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vAlign w:val="center"/>
          </w:tcPr>
          <w:p w14:paraId="591D3F09">
            <w:pPr>
              <w:snapToGrid w:val="0"/>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vAlign w:val="center"/>
          </w:tcPr>
          <w:p w14:paraId="5208301C">
            <w:pPr>
              <w:rPr>
                <w:rFonts w:hint="eastAsia" w:ascii="仿宋" w:hAnsi="仿宋" w:eastAsia="仿宋" w:cs="仿宋"/>
                <w:color w:val="auto"/>
                <w:sz w:val="24"/>
              </w:rPr>
            </w:pPr>
            <w:sdt>
              <w:sdtPr>
                <w:rPr>
                  <w:rFonts w:hint="eastAsia" w:ascii="仿宋" w:hAnsi="仿宋" w:eastAsia="仿宋" w:cs="仿宋"/>
                  <w:color w:val="auto"/>
                  <w:kern w:val="0"/>
                  <w:sz w:val="24"/>
                </w:rPr>
                <w:id w:val="54654123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部分    </w:t>
            </w:r>
            <w:r>
              <w:rPr>
                <w:rFonts w:hint="eastAsia" w:ascii="仿宋" w:hAnsi="仿宋" w:eastAsia="仿宋" w:cs="仿宋"/>
                <w:color w:val="auto"/>
                <w:sz w:val="24"/>
              </w:rPr>
              <w:t>工作分包。</w:t>
            </w:r>
            <w:sdt>
              <w:sdtPr>
                <w:rPr>
                  <w:rFonts w:hint="eastAsia" w:ascii="仿宋" w:hAnsi="仿宋" w:eastAsia="仿宋" w:cs="仿宋"/>
                  <w:color w:val="auto"/>
                  <w:kern w:val="0"/>
                  <w:sz w:val="24"/>
                </w:rPr>
                <w:id w:val="681655650"/>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w:t>
            </w:r>
            <w:r>
              <w:rPr>
                <w:rFonts w:hint="eastAsia" w:ascii="仿宋" w:hAnsi="仿宋" w:eastAsia="仿宋" w:cs="仿宋"/>
                <w:color w:val="auto"/>
                <w:sz w:val="24"/>
              </w:rPr>
              <w:t>不同意分包。</w:t>
            </w:r>
          </w:p>
          <w:p w14:paraId="1F2A74F8">
            <w:pPr>
              <w:rPr>
                <w:rFonts w:hint="eastAsia"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14:paraId="6853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5" w:hRule="atLeast"/>
          <w:tblHeader/>
        </w:trPr>
        <w:tc>
          <w:tcPr>
            <w:tcW w:w="629" w:type="dxa"/>
            <w:vAlign w:val="center"/>
          </w:tcPr>
          <w:p w14:paraId="43204082">
            <w:pPr>
              <w:snapToGrid w:val="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vAlign w:val="center"/>
          </w:tcPr>
          <w:p w14:paraId="47578C99">
            <w:pPr>
              <w:snapToGrid w:val="0"/>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vAlign w:val="center"/>
          </w:tcPr>
          <w:p w14:paraId="04B9AD77">
            <w:pPr>
              <w:rPr>
                <w:rFonts w:hint="eastAsia" w:ascii="仿宋" w:hAnsi="仿宋" w:eastAsia="仿宋" w:cs="仿宋"/>
                <w:color w:val="auto"/>
                <w:sz w:val="24"/>
              </w:rPr>
            </w:pPr>
            <w:sdt>
              <w:sdtPr>
                <w:rPr>
                  <w:rFonts w:hint="eastAsia" w:ascii="仿宋" w:hAnsi="仿宋" w:eastAsia="仿宋" w:cs="仿宋"/>
                  <w:color w:val="auto"/>
                  <w:kern w:val="0"/>
                  <w:sz w:val="24"/>
                </w:rPr>
                <w:id w:val="186549752"/>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62406693">
            <w:pPr>
              <w:rPr>
                <w:rFonts w:hint="eastAsia" w:ascii="仿宋" w:hAnsi="仿宋" w:eastAsia="仿宋" w:cs="仿宋"/>
                <w:color w:val="auto"/>
                <w:sz w:val="24"/>
                <w:szCs w:val="20"/>
              </w:rPr>
            </w:pPr>
            <w:sdt>
              <w:sdtPr>
                <w:rPr>
                  <w:rFonts w:hint="eastAsia" w:ascii="仿宋" w:hAnsi="仿宋" w:eastAsia="仿宋" w:cs="仿宋"/>
                  <w:color w:val="auto"/>
                  <w:kern w:val="0"/>
                  <w:sz w:val="24"/>
                </w:rPr>
                <w:id w:val="38899905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 </w:t>
            </w:r>
            <w:r>
              <w:rPr>
                <w:rFonts w:hint="eastAsia" w:ascii="仿宋" w:hAnsi="仿宋" w:eastAsia="仿宋" w:cs="仿宋"/>
                <w:color w:val="auto"/>
                <w:sz w:val="24"/>
                <w:szCs w:val="20"/>
              </w:rPr>
              <w:t>。</w:t>
            </w:r>
          </w:p>
          <w:p w14:paraId="5BAC0605">
            <w:pPr>
              <w:pStyle w:val="81"/>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☐C不统一组织，供应商在获取采购文件后，自行至项目现场考察。地点：</w:t>
            </w:r>
            <w:r>
              <w:rPr>
                <w:rFonts w:hint="eastAsia" w:ascii="仿宋" w:hAnsi="仿宋" w:eastAsia="仿宋" w:cs="仿宋"/>
                <w:color w:val="auto"/>
                <w:sz w:val="24"/>
                <w:u w:val="single"/>
              </w:rPr>
              <w:t xml:space="preserve"> / </w:t>
            </w:r>
            <w:r>
              <w:rPr>
                <w:rFonts w:hint="eastAsia" w:ascii="仿宋" w:hAnsi="仿宋" w:eastAsia="仿宋" w:cs="仿宋"/>
                <w:color w:val="auto"/>
                <w:sz w:val="24"/>
                <w:szCs w:val="24"/>
              </w:rPr>
              <w:t>，联系人：</w:t>
            </w:r>
            <w:r>
              <w:rPr>
                <w:rFonts w:hint="eastAsia" w:ascii="仿宋" w:hAnsi="仿宋" w:eastAsia="仿宋" w:cs="仿宋"/>
                <w:color w:val="auto"/>
                <w:sz w:val="24"/>
                <w:u w:val="single"/>
              </w:rPr>
              <w:t xml:space="preserve"> / </w:t>
            </w:r>
            <w:r>
              <w:rPr>
                <w:rFonts w:hint="eastAsia" w:ascii="仿宋" w:hAnsi="仿宋" w:eastAsia="仿宋" w:cs="仿宋"/>
                <w:color w:val="auto"/>
                <w:sz w:val="24"/>
                <w:szCs w:val="24"/>
              </w:rPr>
              <w:t>，联系方式：</w:t>
            </w:r>
            <w:r>
              <w:rPr>
                <w:rFonts w:hint="eastAsia" w:ascii="仿宋" w:hAnsi="仿宋" w:eastAsia="仿宋" w:cs="仿宋"/>
                <w:color w:val="auto"/>
                <w:sz w:val="24"/>
                <w:u w:val="single"/>
              </w:rPr>
              <w:t xml:space="preserve"> / </w:t>
            </w:r>
            <w:r>
              <w:rPr>
                <w:rFonts w:hint="eastAsia" w:ascii="仿宋" w:hAnsi="仿宋" w:eastAsia="仿宋" w:cs="仿宋"/>
                <w:color w:val="auto"/>
                <w:sz w:val="24"/>
                <w:szCs w:val="24"/>
              </w:rPr>
              <w:t>。</w:t>
            </w:r>
          </w:p>
          <w:p w14:paraId="716FC7E1">
            <w:pPr>
              <w:pStyle w:val="81"/>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rPr>
              <w:t>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tc>
      </w:tr>
      <w:tr w14:paraId="241D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 w:hRule="atLeast"/>
          <w:tblHeader/>
        </w:trPr>
        <w:tc>
          <w:tcPr>
            <w:tcW w:w="629" w:type="dxa"/>
            <w:vAlign w:val="center"/>
          </w:tcPr>
          <w:p w14:paraId="762A9586">
            <w:pPr>
              <w:snapToGrid w:val="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843" w:type="dxa"/>
            <w:vAlign w:val="center"/>
          </w:tcPr>
          <w:p w14:paraId="5AB7325C">
            <w:pPr>
              <w:snapToGrid w:val="0"/>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vAlign w:val="center"/>
          </w:tcPr>
          <w:p w14:paraId="4113D6DA">
            <w:pPr>
              <w:rPr>
                <w:rFonts w:hint="eastAsia" w:ascii="仿宋" w:hAnsi="仿宋" w:eastAsia="仿宋" w:cs="仿宋"/>
                <w:color w:val="auto"/>
                <w:sz w:val="24"/>
              </w:rPr>
            </w:pPr>
            <w:sdt>
              <w:sdtPr>
                <w:rPr>
                  <w:rFonts w:hint="eastAsia" w:ascii="仿宋" w:hAnsi="仿宋" w:eastAsia="仿宋" w:cs="仿宋"/>
                  <w:color w:val="auto"/>
                  <w:kern w:val="0"/>
                  <w:sz w:val="24"/>
                </w:rPr>
                <w:id w:val="98628233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14:paraId="31264476">
            <w:pPr>
              <w:rPr>
                <w:rFonts w:hint="eastAsia" w:ascii="仿宋" w:hAnsi="仿宋" w:eastAsia="仿宋" w:cs="仿宋"/>
                <w:b/>
                <w:color w:val="auto"/>
                <w:sz w:val="24"/>
              </w:rPr>
            </w:pPr>
            <w:sdt>
              <w:sdtPr>
                <w:rPr>
                  <w:rFonts w:hint="eastAsia" w:ascii="仿宋" w:hAnsi="仿宋" w:eastAsia="仿宋" w:cs="仿宋"/>
                  <w:color w:val="auto"/>
                  <w:kern w:val="0"/>
                  <w:sz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B要求提供。</w:t>
            </w:r>
          </w:p>
        </w:tc>
      </w:tr>
      <w:tr w14:paraId="313E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2" w:hRule="atLeast"/>
          <w:tblHeader/>
        </w:trPr>
        <w:tc>
          <w:tcPr>
            <w:tcW w:w="629" w:type="dxa"/>
            <w:vAlign w:val="center"/>
          </w:tcPr>
          <w:p w14:paraId="0C4DAFDE">
            <w:pPr>
              <w:snapToGrid w:val="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843" w:type="dxa"/>
            <w:vAlign w:val="center"/>
          </w:tcPr>
          <w:p w14:paraId="1B6086A2">
            <w:pPr>
              <w:snapToGrid w:val="0"/>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vAlign w:val="center"/>
          </w:tcPr>
          <w:p w14:paraId="6119A40E">
            <w:pPr>
              <w:rPr>
                <w:rFonts w:hint="eastAsia" w:ascii="仿宋" w:hAnsi="仿宋" w:eastAsia="仿宋" w:cs="仿宋"/>
                <w:color w:val="auto"/>
                <w:sz w:val="24"/>
              </w:rPr>
            </w:pPr>
            <w:sdt>
              <w:sdtPr>
                <w:rPr>
                  <w:rFonts w:hint="eastAsia" w:ascii="仿宋" w:hAnsi="仿宋" w:eastAsia="仿宋" w:cs="仿宋"/>
                  <w:color w:val="auto"/>
                  <w:kern w:val="0"/>
                  <w:sz w:val="24"/>
                </w:rPr>
                <w:id w:val="914107133"/>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2FB7978F">
            <w:pPr>
              <w:rPr>
                <w:rFonts w:hint="eastAsia" w:ascii="仿宋" w:hAnsi="仿宋" w:eastAsia="仿宋" w:cs="仿宋"/>
                <w:b/>
                <w:color w:val="auto"/>
                <w:kern w:val="0"/>
                <w:sz w:val="24"/>
                <w:lang w:val="zh-CN"/>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p>
        </w:tc>
      </w:tr>
      <w:tr w14:paraId="237F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5" w:hRule="atLeast"/>
          <w:tblHeader/>
        </w:trPr>
        <w:tc>
          <w:tcPr>
            <w:tcW w:w="629" w:type="dxa"/>
            <w:vMerge w:val="restart"/>
            <w:vAlign w:val="center"/>
          </w:tcPr>
          <w:p w14:paraId="386D49AF">
            <w:pPr>
              <w:snapToGrid w:val="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843" w:type="dxa"/>
            <w:vMerge w:val="restart"/>
            <w:vAlign w:val="center"/>
          </w:tcPr>
          <w:p w14:paraId="53B0933E">
            <w:pPr>
              <w:snapToGrid w:val="0"/>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vAlign w:val="center"/>
          </w:tcPr>
          <w:p w14:paraId="380D951B">
            <w:pPr>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7C1DEFA4">
            <w:pPr>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2D88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tblHeader/>
        </w:trPr>
        <w:tc>
          <w:tcPr>
            <w:tcW w:w="629" w:type="dxa"/>
            <w:vMerge w:val="continue"/>
            <w:vAlign w:val="center"/>
          </w:tcPr>
          <w:p w14:paraId="69B956D9">
            <w:pPr>
              <w:snapToGrid w:val="0"/>
              <w:jc w:val="center"/>
              <w:rPr>
                <w:rFonts w:hint="eastAsia" w:ascii="仿宋" w:hAnsi="仿宋" w:eastAsia="仿宋" w:cs="仿宋"/>
                <w:color w:val="auto"/>
                <w:sz w:val="24"/>
              </w:rPr>
            </w:pPr>
          </w:p>
        </w:tc>
        <w:tc>
          <w:tcPr>
            <w:tcW w:w="1843" w:type="dxa"/>
            <w:vMerge w:val="continue"/>
            <w:vAlign w:val="center"/>
          </w:tcPr>
          <w:p w14:paraId="0645BE78">
            <w:pPr>
              <w:snapToGrid w:val="0"/>
              <w:jc w:val="center"/>
              <w:rPr>
                <w:rFonts w:hint="eastAsia" w:ascii="仿宋" w:hAnsi="仿宋" w:eastAsia="仿宋" w:cs="仿宋"/>
                <w:b/>
                <w:color w:val="auto"/>
                <w:sz w:val="24"/>
              </w:rPr>
            </w:pPr>
          </w:p>
        </w:tc>
        <w:tc>
          <w:tcPr>
            <w:tcW w:w="6095" w:type="dxa"/>
            <w:vAlign w:val="center"/>
          </w:tcPr>
          <w:p w14:paraId="3CA8A9D5">
            <w:pPr>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14:paraId="166A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924F668">
            <w:pPr>
              <w:snapToGrid w:val="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843" w:type="dxa"/>
            <w:vAlign w:val="center"/>
          </w:tcPr>
          <w:p w14:paraId="7A0DD689">
            <w:pPr>
              <w:snapToGrid w:val="0"/>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vAlign w:val="center"/>
          </w:tcPr>
          <w:p w14:paraId="7FEC2F0A">
            <w:pPr>
              <w:pStyle w:val="81"/>
              <w:snapToGrid w:val="0"/>
              <w:spacing w:line="240" w:lineRule="auto"/>
              <w:ind w:firstLine="0" w:firstLineChars="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2D59AC8">
            <w:pPr>
              <w:pStyle w:val="81"/>
              <w:spacing w:line="240" w:lineRule="auto"/>
              <w:ind w:firstLine="480"/>
              <w:jc w:val="both"/>
              <w:rPr>
                <w:rFonts w:hint="eastAsia" w:ascii="仿宋" w:hAnsi="仿宋" w:eastAsia="仿宋" w:cs="仿宋"/>
                <w:color w:val="auto"/>
                <w:kern w:val="2"/>
                <w:sz w:val="24"/>
                <w:szCs w:val="24"/>
              </w:rPr>
            </w:pPr>
            <w:sdt>
              <w:sdtPr>
                <w:rPr>
                  <w:rFonts w:hint="eastAsia" w:ascii="仿宋" w:hAnsi="仿宋" w:eastAsia="仿宋" w:cs="仿宋"/>
                  <w:color w:val="auto"/>
                  <w:kern w:val="2"/>
                  <w:sz w:val="24"/>
                  <w:szCs w:val="24"/>
                </w:rPr>
                <w:id w:val="147461840"/>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rPr>
              </w:sdtEndPr>
              <w:sdtContent>
                <w:r>
                  <w:rPr>
                    <w:rFonts w:hint="eastAsia" w:ascii="仿宋" w:hAnsi="仿宋" w:eastAsia="仿宋" w:cs="仿宋"/>
                    <w:color w:val="auto"/>
                    <w:kern w:val="2"/>
                    <w:sz w:val="24"/>
                    <w:szCs w:val="24"/>
                  </w:rPr>
                  <w:t>☐</w:t>
                </w:r>
              </w:sdtContent>
            </w:sdt>
            <w:r>
              <w:rPr>
                <w:rFonts w:hint="eastAsia" w:ascii="仿宋" w:hAnsi="仿宋" w:eastAsia="仿宋" w:cs="仿宋"/>
                <w:color w:val="auto"/>
                <w:kern w:val="2"/>
                <w:sz w:val="24"/>
                <w:szCs w:val="24"/>
              </w:rPr>
              <w:t>强制采购。产品：</w:t>
            </w:r>
          </w:p>
          <w:p w14:paraId="779F9FC7">
            <w:pPr>
              <w:pStyle w:val="81"/>
              <w:spacing w:line="240" w:lineRule="auto"/>
              <w:ind w:firstLine="48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□优先采购节能产品。产品：</w:t>
            </w:r>
          </w:p>
          <w:p w14:paraId="41C18D2E">
            <w:pPr>
              <w:pStyle w:val="81"/>
              <w:spacing w:line="240" w:lineRule="auto"/>
              <w:ind w:firstLine="48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□优先采购环保产品。产品：</w:t>
            </w:r>
          </w:p>
          <w:p w14:paraId="3951E92A">
            <w:pPr>
              <w:pStyle w:val="81"/>
              <w:spacing w:line="240" w:lineRule="auto"/>
              <w:ind w:firstLine="480"/>
              <w:jc w:val="both"/>
              <w:rPr>
                <w:rFonts w:hint="eastAsia" w:ascii="仿宋" w:hAnsi="仿宋" w:eastAsia="仿宋" w:cs="仿宋"/>
                <w:color w:val="auto"/>
              </w:rPr>
            </w:pPr>
            <w:r>
              <w:rPr>
                <w:rFonts w:hint="eastAsia" w:ascii="仿宋" w:hAnsi="仿宋" w:eastAsia="仿宋" w:cs="仿宋"/>
                <w:color w:val="auto"/>
                <w:kern w:val="2"/>
                <w:sz w:val="24"/>
                <w:szCs w:val="24"/>
              </w:rPr>
              <w:t>☑无</w:t>
            </w:r>
          </w:p>
        </w:tc>
      </w:tr>
      <w:tr w14:paraId="10E5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19569894">
            <w:pPr>
              <w:snapToGrid w:val="0"/>
              <w:jc w:val="center"/>
              <w:rPr>
                <w:rFonts w:hint="eastAsia" w:ascii="仿宋" w:hAnsi="仿宋" w:eastAsia="仿宋" w:cs="仿宋"/>
                <w:color w:val="auto"/>
                <w:sz w:val="24"/>
              </w:rPr>
            </w:pPr>
          </w:p>
          <w:p w14:paraId="2A28126D">
            <w:pPr>
              <w:snapToGrid w:val="0"/>
              <w:jc w:val="center"/>
              <w:rPr>
                <w:rFonts w:hint="eastAsia" w:ascii="仿宋" w:hAnsi="仿宋" w:eastAsia="仿宋" w:cs="仿宋"/>
                <w:color w:val="auto"/>
                <w:sz w:val="24"/>
              </w:rPr>
            </w:pPr>
          </w:p>
          <w:p w14:paraId="5E579CF6">
            <w:pPr>
              <w:snapToGrid w:val="0"/>
              <w:jc w:val="center"/>
              <w:rPr>
                <w:rFonts w:hint="eastAsia" w:ascii="仿宋" w:hAnsi="仿宋" w:eastAsia="仿宋" w:cs="仿宋"/>
                <w:color w:val="auto"/>
                <w:sz w:val="24"/>
              </w:rPr>
            </w:pPr>
          </w:p>
          <w:p w14:paraId="622D8080">
            <w:pPr>
              <w:snapToGrid w:val="0"/>
              <w:jc w:val="center"/>
              <w:rPr>
                <w:rFonts w:hint="eastAsia" w:ascii="仿宋" w:hAnsi="仿宋" w:eastAsia="仿宋" w:cs="仿宋"/>
                <w:color w:val="auto"/>
                <w:sz w:val="24"/>
              </w:rPr>
            </w:pPr>
          </w:p>
          <w:p w14:paraId="06A7A75D">
            <w:pPr>
              <w:snapToGrid w:val="0"/>
              <w:jc w:val="center"/>
              <w:rPr>
                <w:rFonts w:hint="eastAsia" w:ascii="仿宋" w:hAnsi="仿宋" w:eastAsia="仿宋" w:cs="仿宋"/>
                <w:color w:val="auto"/>
                <w:sz w:val="24"/>
              </w:rPr>
            </w:pPr>
          </w:p>
          <w:p w14:paraId="68CC4DBC">
            <w:pPr>
              <w:snapToGrid w:val="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vAlign w:val="center"/>
          </w:tcPr>
          <w:p w14:paraId="00CF12EC">
            <w:pPr>
              <w:snapToGrid w:val="0"/>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vAlign w:val="center"/>
          </w:tcPr>
          <w:p w14:paraId="2315913F">
            <w:pPr>
              <w:snapToGrid w:val="0"/>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14:paraId="0D71E97E">
            <w:pPr>
              <w:snapToGrid w:val="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66175050">
            <w:pPr>
              <w:snapToGrid w:val="0"/>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14:paraId="277104D6">
            <w:pPr>
              <w:snapToGrid w:val="0"/>
              <w:ind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14:paraId="35D359F6">
            <w:pPr>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082F1281">
            <w:pPr>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14:paraId="28AE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86" w:hRule="atLeast"/>
          <w:tblHeader/>
        </w:trPr>
        <w:tc>
          <w:tcPr>
            <w:tcW w:w="629" w:type="dxa"/>
            <w:vAlign w:val="center"/>
          </w:tcPr>
          <w:p w14:paraId="526E024D">
            <w:pPr>
              <w:snapToGrid w:val="0"/>
              <w:jc w:val="center"/>
              <w:rPr>
                <w:rFonts w:hint="eastAsia" w:ascii="仿宋" w:hAnsi="仿宋" w:eastAsia="仿宋" w:cs="仿宋"/>
                <w:color w:val="auto"/>
                <w:sz w:val="24"/>
              </w:rPr>
            </w:pPr>
          </w:p>
          <w:p w14:paraId="615B31AA">
            <w:pPr>
              <w:snapToGrid w:val="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vAlign w:val="center"/>
          </w:tcPr>
          <w:p w14:paraId="028D43F8">
            <w:pPr>
              <w:snapToGrid w:val="0"/>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vAlign w:val="center"/>
          </w:tcPr>
          <w:p w14:paraId="00752237">
            <w:pPr>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841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4" w:hRule="atLeast"/>
          <w:tblHeader/>
        </w:trPr>
        <w:tc>
          <w:tcPr>
            <w:tcW w:w="629" w:type="dxa"/>
            <w:vAlign w:val="center"/>
          </w:tcPr>
          <w:p w14:paraId="43355D4B">
            <w:pPr>
              <w:snapToGrid w:val="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vAlign w:val="center"/>
          </w:tcPr>
          <w:p w14:paraId="7148CF90">
            <w:pPr>
              <w:snapToGrid w:val="0"/>
              <w:jc w:val="center"/>
              <w:rPr>
                <w:rFonts w:hint="eastAsia"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095" w:type="dxa"/>
            <w:vAlign w:val="center"/>
          </w:tcPr>
          <w:p w14:paraId="114FAA39">
            <w:pPr>
              <w:pStyle w:val="32"/>
              <w:rPr>
                <w:rFonts w:hint="eastAsia" w:ascii="仿宋" w:hAnsi="仿宋" w:eastAsia="仿宋" w:cs="仿宋"/>
                <w:color w:val="auto"/>
                <w:kern w:val="28"/>
                <w:sz w:val="24"/>
              </w:rPr>
            </w:pPr>
            <w:r>
              <w:rPr>
                <w:rFonts w:hint="eastAsia" w:ascii="仿宋" w:hAnsi="仿宋" w:eastAsia="仿宋" w:cs="仿宋"/>
                <w:color w:val="auto"/>
                <w:kern w:val="28"/>
                <w:sz w:val="24"/>
                <w:szCs w:val="24"/>
              </w:rPr>
              <w:t>备份投标文件送达地点：</w:t>
            </w:r>
            <w:r>
              <w:rPr>
                <w:rFonts w:hint="eastAsia" w:ascii="仿宋" w:hAnsi="仿宋" w:eastAsia="仿宋" w:cs="宋体"/>
                <w:b/>
                <w:bCs/>
                <w:color w:val="auto"/>
                <w:sz w:val="24"/>
                <w:u w:val="single"/>
              </w:rPr>
              <w:t>杭州市上城区市民街69号民林金融中心B座5楼</w:t>
            </w:r>
            <w:r>
              <w:rPr>
                <w:rFonts w:hint="eastAsia" w:ascii="仿宋" w:hAnsi="仿宋" w:eastAsia="仿宋" w:cs="仿宋"/>
                <w:color w:val="auto"/>
                <w:kern w:val="28"/>
                <w:sz w:val="24"/>
                <w:szCs w:val="24"/>
              </w:rPr>
              <w:t>；备份投标文件签收人员联系电话：</w:t>
            </w:r>
            <w:r>
              <w:rPr>
                <w:rFonts w:hint="eastAsia" w:ascii="仿宋" w:hAnsi="仿宋" w:eastAsia="仿宋" w:cs="仿宋"/>
                <w:b/>
                <w:bCs/>
                <w:color w:val="auto"/>
                <w:sz w:val="24"/>
                <w:u w:val="single"/>
              </w:rPr>
              <w:t>方锐，18258914900</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采购人、采购代理机构不强制或变相强制投标人提交备份投标文件。</w:t>
            </w:r>
          </w:p>
        </w:tc>
      </w:tr>
      <w:tr w14:paraId="0644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55B4EC44">
            <w:pPr>
              <w:snapToGrid w:val="0"/>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843" w:type="dxa"/>
            <w:vMerge w:val="restart"/>
            <w:vAlign w:val="center"/>
          </w:tcPr>
          <w:p w14:paraId="18D8C1E6">
            <w:pPr>
              <w:snapToGrid w:val="0"/>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vAlign w:val="center"/>
          </w:tcPr>
          <w:p w14:paraId="4E935C30">
            <w:pPr>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tc>
      </w:tr>
      <w:tr w14:paraId="23B1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099B47BF">
            <w:pPr>
              <w:snapToGrid w:val="0"/>
              <w:jc w:val="center"/>
              <w:rPr>
                <w:rFonts w:hint="eastAsia" w:ascii="仿宋" w:hAnsi="仿宋" w:eastAsia="仿宋" w:cs="仿宋"/>
                <w:color w:val="auto"/>
                <w:sz w:val="24"/>
              </w:rPr>
            </w:pPr>
          </w:p>
        </w:tc>
        <w:tc>
          <w:tcPr>
            <w:tcW w:w="1843" w:type="dxa"/>
            <w:vMerge w:val="continue"/>
            <w:vAlign w:val="center"/>
          </w:tcPr>
          <w:p w14:paraId="251C2A4D">
            <w:pPr>
              <w:snapToGrid w:val="0"/>
              <w:jc w:val="center"/>
              <w:rPr>
                <w:rFonts w:hint="eastAsia" w:ascii="仿宋" w:hAnsi="仿宋" w:eastAsia="仿宋" w:cs="仿宋"/>
                <w:b/>
                <w:color w:val="auto"/>
                <w:sz w:val="24"/>
              </w:rPr>
            </w:pPr>
          </w:p>
        </w:tc>
        <w:tc>
          <w:tcPr>
            <w:tcW w:w="6095" w:type="dxa"/>
            <w:vAlign w:val="center"/>
          </w:tcPr>
          <w:p w14:paraId="448FA37D">
            <w:pPr>
              <w:rPr>
                <w:rFonts w:hint="eastAsia" w:ascii="仿宋" w:hAnsi="仿宋" w:eastAsia="仿宋" w:cs="仿宋"/>
                <w:snapToGrid w:val="0"/>
                <w:color w:val="auto"/>
                <w:kern w:val="28"/>
                <w:sz w:val="24"/>
              </w:rPr>
            </w:pPr>
            <w:sdt>
              <w:sdtPr>
                <w:rPr>
                  <w:rFonts w:hint="eastAsia" w:ascii="仿宋" w:hAnsi="仿宋" w:eastAsia="仿宋" w:cs="仿宋"/>
                  <w:color w:val="auto"/>
                  <w:kern w:val="0"/>
                  <w:sz w:val="24"/>
                </w:rPr>
                <w:id w:val="62113802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snapToGrid w:val="0"/>
                <w:color w:val="auto"/>
                <w:kern w:val="28"/>
                <w:sz w:val="24"/>
              </w:rPr>
              <w:t>联合体投标的，联合体各方均需按招标文件第四部分评标标准要求提供资信证明文件，否则视为不符合相关要求。</w:t>
            </w:r>
          </w:p>
          <w:p w14:paraId="557FD23E">
            <w:pPr>
              <w:rPr>
                <w:rFonts w:hint="eastAsia" w:ascii="仿宋" w:hAnsi="仿宋" w:eastAsia="仿宋" w:cs="仿宋"/>
                <w:snapToGrid w:val="0"/>
                <w:color w:val="auto"/>
                <w:kern w:val="28"/>
                <w:sz w:val="24"/>
              </w:rPr>
            </w:pPr>
            <w:sdt>
              <w:sdtPr>
                <w:rPr>
                  <w:rFonts w:hint="eastAsia" w:ascii="仿宋" w:hAnsi="仿宋" w:eastAsia="仿宋" w:cs="仿宋"/>
                  <w:color w:val="auto"/>
                  <w:kern w:val="0"/>
                  <w:sz w:val="24"/>
                </w:rPr>
                <w:id w:val="1829922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snapToGrid w:val="0"/>
                <w:color w:val="auto"/>
                <w:kern w:val="28"/>
                <w:sz w:val="24"/>
              </w:rPr>
              <w:t>联合体投标的，联合体中有一方或者联合体成员根据分工按招标文件第四部分评标标准要求提供资信证明文件的，视为符合了相关要求。</w:t>
            </w:r>
          </w:p>
        </w:tc>
      </w:tr>
      <w:tr w14:paraId="121F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6AB84260">
            <w:pPr>
              <w:snapToGrid w:val="0"/>
              <w:jc w:val="center"/>
              <w:rPr>
                <w:rFonts w:hint="eastAsia" w:ascii="仿宋" w:hAnsi="仿宋" w:eastAsia="仿宋" w:cs="仿宋"/>
                <w:color w:val="auto"/>
                <w:sz w:val="24"/>
              </w:rPr>
            </w:pPr>
          </w:p>
        </w:tc>
        <w:tc>
          <w:tcPr>
            <w:tcW w:w="1843" w:type="dxa"/>
            <w:vMerge w:val="continue"/>
            <w:vAlign w:val="center"/>
          </w:tcPr>
          <w:p w14:paraId="39D74912">
            <w:pPr>
              <w:snapToGrid w:val="0"/>
              <w:jc w:val="center"/>
              <w:rPr>
                <w:rFonts w:hint="eastAsia" w:ascii="仿宋" w:hAnsi="仿宋" w:eastAsia="仿宋" w:cs="仿宋"/>
                <w:b/>
                <w:color w:val="auto"/>
                <w:sz w:val="24"/>
              </w:rPr>
            </w:pPr>
          </w:p>
        </w:tc>
        <w:tc>
          <w:tcPr>
            <w:tcW w:w="6095" w:type="dxa"/>
            <w:shd w:val="clear" w:color="auto" w:fill="auto"/>
            <w:vAlign w:val="center"/>
          </w:tcPr>
          <w:p w14:paraId="131B1C78">
            <w:pPr>
              <w:rPr>
                <w:rFonts w:hint="eastAsia" w:ascii="仿宋" w:hAnsi="仿宋" w:eastAsia="仿宋" w:cs="仿宋"/>
                <w:color w:val="auto"/>
                <w:kern w:val="0"/>
                <w:sz w:val="24"/>
              </w:rPr>
            </w:pPr>
            <w:r>
              <w:rPr>
                <w:rFonts w:hint="eastAsia" w:ascii="仿宋" w:hAnsi="仿宋" w:eastAsia="仿宋" w:cs="宋体"/>
                <w:snapToGrid w:val="0"/>
                <w:color w:val="auto"/>
                <w:kern w:val="28"/>
                <w:sz w:val="24"/>
              </w:rPr>
              <w:t>如遇“政府采购云平台”电子化开标或评审程序调整的，按调整后程序执行。</w:t>
            </w:r>
          </w:p>
        </w:tc>
      </w:tr>
      <w:tr w14:paraId="3A3A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6EFE06D9">
            <w:pPr>
              <w:snapToGrid w:val="0"/>
              <w:jc w:val="center"/>
              <w:rPr>
                <w:rFonts w:hint="eastAsia" w:ascii="仿宋" w:hAnsi="仿宋" w:eastAsia="仿宋" w:cs="仿宋"/>
                <w:color w:val="auto"/>
                <w:sz w:val="24"/>
              </w:rPr>
            </w:pPr>
          </w:p>
        </w:tc>
        <w:tc>
          <w:tcPr>
            <w:tcW w:w="1843" w:type="dxa"/>
            <w:vMerge w:val="continue"/>
            <w:vAlign w:val="center"/>
          </w:tcPr>
          <w:p w14:paraId="2259B882">
            <w:pPr>
              <w:snapToGrid w:val="0"/>
              <w:jc w:val="center"/>
              <w:rPr>
                <w:rFonts w:hint="eastAsia" w:ascii="仿宋" w:hAnsi="仿宋" w:eastAsia="仿宋" w:cs="仿宋"/>
                <w:b/>
                <w:color w:val="auto"/>
                <w:sz w:val="24"/>
              </w:rPr>
            </w:pPr>
          </w:p>
        </w:tc>
        <w:tc>
          <w:tcPr>
            <w:tcW w:w="6095" w:type="dxa"/>
            <w:shd w:val="clear" w:color="auto" w:fill="auto"/>
            <w:vAlign w:val="center"/>
          </w:tcPr>
          <w:p w14:paraId="67080880">
            <w:pPr>
              <w:rPr>
                <w:rFonts w:hint="eastAsia" w:ascii="仿宋" w:hAnsi="仿宋" w:eastAsia="仿宋" w:cs="仿宋"/>
                <w:color w:val="auto"/>
                <w:kern w:val="0"/>
                <w:sz w:val="24"/>
              </w:rPr>
            </w:pPr>
            <w:r>
              <w:rPr>
                <w:rFonts w:hint="eastAsia" w:ascii="仿宋" w:hAnsi="仿宋" w:eastAsia="仿宋" w:cs="宋体"/>
                <w:snapToGrid w:val="0"/>
                <w:color w:val="auto"/>
                <w:kern w:val="28"/>
                <w:sz w:val="24"/>
              </w:rPr>
              <w:t>通过“政府采购云平台”公布开标一览表有关内容后，供应商应通过“政府采购云平台”进行确认，在收到采购人或采购代理机构的通知后仍不予确认的应说明理由，否则视为无异议。</w:t>
            </w:r>
          </w:p>
        </w:tc>
      </w:tr>
      <w:tr w14:paraId="30A4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02FAA195">
            <w:pPr>
              <w:snapToGrid w:val="0"/>
              <w:jc w:val="center"/>
              <w:rPr>
                <w:rFonts w:hint="eastAsia" w:ascii="仿宋" w:hAnsi="仿宋" w:eastAsia="仿宋" w:cs="仿宋"/>
                <w:color w:val="auto"/>
                <w:sz w:val="24"/>
              </w:rPr>
            </w:pPr>
          </w:p>
        </w:tc>
        <w:tc>
          <w:tcPr>
            <w:tcW w:w="1843" w:type="dxa"/>
            <w:vMerge w:val="continue"/>
            <w:vAlign w:val="center"/>
          </w:tcPr>
          <w:p w14:paraId="641581FB">
            <w:pPr>
              <w:snapToGrid w:val="0"/>
              <w:jc w:val="center"/>
              <w:rPr>
                <w:rFonts w:hint="eastAsia" w:ascii="仿宋" w:hAnsi="仿宋" w:eastAsia="仿宋" w:cs="仿宋"/>
                <w:b/>
                <w:color w:val="auto"/>
                <w:sz w:val="24"/>
              </w:rPr>
            </w:pPr>
          </w:p>
        </w:tc>
        <w:tc>
          <w:tcPr>
            <w:tcW w:w="6095" w:type="dxa"/>
            <w:shd w:val="clear" w:color="auto" w:fill="auto"/>
            <w:vAlign w:val="center"/>
          </w:tcPr>
          <w:p w14:paraId="28286483">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评审因素及拟签订的合同文本对应的要求视为采购需求的一部分。</w:t>
            </w:r>
          </w:p>
        </w:tc>
      </w:tr>
      <w:tr w14:paraId="753D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39F66BD4">
            <w:pPr>
              <w:snapToGrid w:val="0"/>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1843" w:type="dxa"/>
            <w:vAlign w:val="center"/>
          </w:tcPr>
          <w:p w14:paraId="3D9378C3">
            <w:pPr>
              <w:snapToGrid w:val="0"/>
              <w:jc w:val="center"/>
              <w:rPr>
                <w:rFonts w:hint="eastAsia" w:ascii="仿宋" w:hAnsi="仿宋" w:eastAsia="仿宋" w:cs="仿宋"/>
                <w:b/>
                <w:color w:val="auto"/>
                <w:sz w:val="24"/>
              </w:rPr>
            </w:pPr>
            <w:r>
              <w:rPr>
                <w:rFonts w:hint="eastAsia" w:ascii="仿宋" w:hAnsi="仿宋" w:eastAsia="仿宋" w:cs="仿宋"/>
                <w:b/>
                <w:color w:val="auto"/>
                <w:sz w:val="24"/>
                <w:lang w:val="en"/>
              </w:rPr>
              <w:t>中标候选人数量</w:t>
            </w:r>
          </w:p>
        </w:tc>
        <w:tc>
          <w:tcPr>
            <w:tcW w:w="6095" w:type="dxa"/>
            <w:vAlign w:val="center"/>
          </w:tcPr>
          <w:p w14:paraId="5D8C9506">
            <w:pPr>
              <w:rPr>
                <w:rFonts w:hint="eastAsia" w:ascii="仿宋" w:hAnsi="仿宋" w:eastAsia="仿宋" w:cs="仿宋"/>
                <w:color w:val="auto"/>
                <w:kern w:val="0"/>
                <w:sz w:val="24"/>
                <w:lang w:val="en"/>
              </w:rPr>
            </w:pPr>
            <w:r>
              <w:rPr>
                <w:rFonts w:hint="eastAsia" w:ascii="仿宋" w:hAnsi="仿宋" w:eastAsia="仿宋" w:cs="仿宋"/>
                <w:color w:val="auto"/>
                <w:kern w:val="0"/>
                <w:sz w:val="24"/>
                <w:lang w:val="en"/>
              </w:rPr>
              <w:t>本项目推荐的中标候选人数量：</w:t>
            </w:r>
            <w:r>
              <w:rPr>
                <w:rFonts w:hint="eastAsia" w:ascii="仿宋" w:hAnsi="仿宋" w:eastAsia="仿宋" w:cs="仿宋"/>
                <w:color w:val="auto"/>
                <w:kern w:val="0"/>
                <w:sz w:val="24"/>
                <w:u w:val="single"/>
              </w:rPr>
              <w:t xml:space="preserve"> 1 </w:t>
            </w:r>
            <w:r>
              <w:rPr>
                <w:rFonts w:hint="eastAsia" w:ascii="仿宋" w:hAnsi="仿宋" w:eastAsia="仿宋" w:cs="仿宋"/>
                <w:color w:val="auto"/>
                <w:kern w:val="0"/>
                <w:sz w:val="24"/>
                <w:lang w:val="en"/>
              </w:rPr>
              <w:t>。</w:t>
            </w:r>
          </w:p>
        </w:tc>
      </w:tr>
      <w:tr w14:paraId="0FAC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639D7B16">
            <w:pPr>
              <w:snapToGrid w:val="0"/>
              <w:jc w:val="center"/>
              <w:rPr>
                <w:rFonts w:hint="eastAsia" w:ascii="仿宋" w:hAnsi="仿宋" w:eastAsia="仿宋" w:cs="仿宋"/>
                <w:color w:val="auto"/>
                <w:sz w:val="24"/>
              </w:rPr>
            </w:pPr>
            <w:r>
              <w:rPr>
                <w:rFonts w:hint="eastAsia" w:ascii="仿宋" w:hAnsi="仿宋" w:eastAsia="仿宋" w:cs="仿宋"/>
                <w:color w:val="auto"/>
                <w:sz w:val="24"/>
              </w:rPr>
              <w:t>15</w:t>
            </w:r>
          </w:p>
        </w:tc>
        <w:tc>
          <w:tcPr>
            <w:tcW w:w="1843" w:type="dxa"/>
            <w:vAlign w:val="center"/>
          </w:tcPr>
          <w:p w14:paraId="2B87F667">
            <w:pPr>
              <w:snapToGrid w:val="0"/>
              <w:jc w:val="center"/>
              <w:rPr>
                <w:rFonts w:hint="eastAsia" w:ascii="仿宋" w:hAnsi="仿宋" w:eastAsia="仿宋" w:cs="仿宋"/>
                <w:b/>
                <w:color w:val="auto"/>
                <w:sz w:val="24"/>
              </w:rPr>
            </w:pPr>
            <w:r>
              <w:rPr>
                <w:rFonts w:hint="eastAsia" w:ascii="仿宋" w:hAnsi="仿宋" w:eastAsia="仿宋" w:cs="仿宋"/>
                <w:b/>
                <w:color w:val="auto"/>
                <w:sz w:val="24"/>
                <w:lang w:val="en"/>
              </w:rPr>
              <w:t>代理费用收取方式及标准</w:t>
            </w:r>
          </w:p>
        </w:tc>
        <w:tc>
          <w:tcPr>
            <w:tcW w:w="6095" w:type="dxa"/>
            <w:vAlign w:val="center"/>
          </w:tcPr>
          <w:p w14:paraId="1A04871E">
            <w:pPr>
              <w:pStyle w:val="32"/>
              <w:spacing w:line="360" w:lineRule="exact"/>
              <w:jc w:val="left"/>
              <w:rPr>
                <w:rFonts w:hint="eastAsia" w:ascii="仿宋" w:hAnsi="仿宋" w:eastAsia="仿宋"/>
                <w:color w:val="auto"/>
                <w:kern w:val="28"/>
                <w:sz w:val="24"/>
                <w:szCs w:val="24"/>
              </w:rPr>
            </w:pPr>
            <w:r>
              <w:rPr>
                <w:rFonts w:hint="eastAsia" w:ascii="仿宋" w:hAnsi="仿宋" w:eastAsia="仿宋"/>
                <w:color w:val="auto"/>
                <w:kern w:val="28"/>
                <w:sz w:val="24"/>
                <w:szCs w:val="24"/>
              </w:rPr>
              <w:t>（1）本项目代理服务费以中标金额为计算基础，按照下表服务类收费标准向中标人收取，不足8000元按8000计取。以上费用，中标人应当自中标结果公告发布之日起5个工作日内一次性向采购代理机构支付。</w:t>
            </w:r>
          </w:p>
          <w:tbl>
            <w:tblPr>
              <w:tblStyle w:val="62"/>
              <w:tblW w:w="4785"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16"/>
              <w:gridCol w:w="818"/>
              <w:gridCol w:w="818"/>
              <w:gridCol w:w="808"/>
            </w:tblGrid>
            <w:tr w14:paraId="7C00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blCellSpacing w:w="0" w:type="dxa"/>
                <w:jc w:val="center"/>
              </w:trPr>
              <w:tc>
                <w:tcPr>
                  <w:tcW w:w="3323" w:type="dxa"/>
                  <w:vAlign w:val="center"/>
                </w:tcPr>
                <w:p w14:paraId="3AC03821">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              服务类型     中标金额（万元）</w:t>
                  </w:r>
                </w:p>
              </w:tc>
              <w:tc>
                <w:tcPr>
                  <w:tcW w:w="819" w:type="dxa"/>
                  <w:vAlign w:val="center"/>
                </w:tcPr>
                <w:p w14:paraId="7B362699">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货物招标</w:t>
                  </w:r>
                </w:p>
              </w:tc>
              <w:tc>
                <w:tcPr>
                  <w:tcW w:w="819" w:type="dxa"/>
                  <w:vAlign w:val="center"/>
                </w:tcPr>
                <w:p w14:paraId="6773A8E6">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服务招标</w:t>
                  </w:r>
                </w:p>
              </w:tc>
              <w:tc>
                <w:tcPr>
                  <w:tcW w:w="809" w:type="dxa"/>
                  <w:vAlign w:val="center"/>
                </w:tcPr>
                <w:p w14:paraId="5B23805B">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工程招标</w:t>
                  </w:r>
                </w:p>
              </w:tc>
            </w:tr>
            <w:tr w14:paraId="3DD4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23" w:type="dxa"/>
                  <w:vAlign w:val="center"/>
                </w:tcPr>
                <w:p w14:paraId="27F76552">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100以下</w:t>
                  </w:r>
                </w:p>
              </w:tc>
              <w:tc>
                <w:tcPr>
                  <w:tcW w:w="819" w:type="dxa"/>
                  <w:vAlign w:val="center"/>
                </w:tcPr>
                <w:p w14:paraId="58F6CC16">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1.5％</w:t>
                  </w:r>
                </w:p>
              </w:tc>
              <w:tc>
                <w:tcPr>
                  <w:tcW w:w="819" w:type="dxa"/>
                  <w:vAlign w:val="center"/>
                </w:tcPr>
                <w:p w14:paraId="0F0044E8">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1.5％</w:t>
                  </w:r>
                </w:p>
              </w:tc>
              <w:tc>
                <w:tcPr>
                  <w:tcW w:w="809" w:type="dxa"/>
                  <w:vAlign w:val="center"/>
                </w:tcPr>
                <w:p w14:paraId="186034C0">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1.0％</w:t>
                  </w:r>
                </w:p>
              </w:tc>
            </w:tr>
            <w:tr w14:paraId="3649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23" w:type="dxa"/>
                  <w:vAlign w:val="center"/>
                </w:tcPr>
                <w:p w14:paraId="1A64C514">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100—500</w:t>
                  </w:r>
                </w:p>
              </w:tc>
              <w:tc>
                <w:tcPr>
                  <w:tcW w:w="819" w:type="dxa"/>
                  <w:vAlign w:val="center"/>
                </w:tcPr>
                <w:p w14:paraId="26E93EB9">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1.1％</w:t>
                  </w:r>
                </w:p>
              </w:tc>
              <w:tc>
                <w:tcPr>
                  <w:tcW w:w="819" w:type="dxa"/>
                  <w:vAlign w:val="center"/>
                </w:tcPr>
                <w:p w14:paraId="5D180A5C">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0.8％</w:t>
                  </w:r>
                </w:p>
              </w:tc>
              <w:tc>
                <w:tcPr>
                  <w:tcW w:w="809" w:type="dxa"/>
                  <w:vAlign w:val="center"/>
                </w:tcPr>
                <w:p w14:paraId="7E524C60">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0.7％</w:t>
                  </w:r>
                </w:p>
              </w:tc>
            </w:tr>
            <w:tr w14:paraId="6D45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23" w:type="dxa"/>
                  <w:vAlign w:val="center"/>
                </w:tcPr>
                <w:p w14:paraId="29ADB12B">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500—1000</w:t>
                  </w:r>
                </w:p>
              </w:tc>
              <w:tc>
                <w:tcPr>
                  <w:tcW w:w="819" w:type="dxa"/>
                  <w:vAlign w:val="center"/>
                </w:tcPr>
                <w:p w14:paraId="0772910C">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0.8％</w:t>
                  </w:r>
                </w:p>
              </w:tc>
              <w:tc>
                <w:tcPr>
                  <w:tcW w:w="819" w:type="dxa"/>
                  <w:vAlign w:val="center"/>
                </w:tcPr>
                <w:p w14:paraId="51332557">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0.45％</w:t>
                  </w:r>
                </w:p>
              </w:tc>
              <w:tc>
                <w:tcPr>
                  <w:tcW w:w="809" w:type="dxa"/>
                  <w:vAlign w:val="center"/>
                </w:tcPr>
                <w:p w14:paraId="322C6C59">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0.55％</w:t>
                  </w:r>
                </w:p>
              </w:tc>
            </w:tr>
            <w:tr w14:paraId="2CD9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23" w:type="dxa"/>
                  <w:vAlign w:val="center"/>
                </w:tcPr>
                <w:p w14:paraId="19C6F781">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1000—5000</w:t>
                  </w:r>
                </w:p>
              </w:tc>
              <w:tc>
                <w:tcPr>
                  <w:tcW w:w="819" w:type="dxa"/>
                  <w:vAlign w:val="center"/>
                </w:tcPr>
                <w:p w14:paraId="0111E283">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0.5％</w:t>
                  </w:r>
                </w:p>
              </w:tc>
              <w:tc>
                <w:tcPr>
                  <w:tcW w:w="819" w:type="dxa"/>
                  <w:vAlign w:val="center"/>
                </w:tcPr>
                <w:p w14:paraId="262B7C7B">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0.25％</w:t>
                  </w:r>
                </w:p>
              </w:tc>
              <w:tc>
                <w:tcPr>
                  <w:tcW w:w="809" w:type="dxa"/>
                  <w:vAlign w:val="center"/>
                </w:tcPr>
                <w:p w14:paraId="6D5339B2">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0.35％</w:t>
                  </w:r>
                </w:p>
              </w:tc>
            </w:tr>
            <w:tr w14:paraId="0CDD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23" w:type="dxa"/>
                  <w:vAlign w:val="center"/>
                </w:tcPr>
                <w:p w14:paraId="2AE3FF6A">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5000—10000</w:t>
                  </w:r>
                </w:p>
              </w:tc>
              <w:tc>
                <w:tcPr>
                  <w:tcW w:w="819" w:type="dxa"/>
                  <w:vAlign w:val="center"/>
                </w:tcPr>
                <w:p w14:paraId="07CA57C8">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0.25％</w:t>
                  </w:r>
                </w:p>
              </w:tc>
              <w:tc>
                <w:tcPr>
                  <w:tcW w:w="819" w:type="dxa"/>
                  <w:vAlign w:val="center"/>
                </w:tcPr>
                <w:p w14:paraId="78965810">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0.1％</w:t>
                  </w:r>
                </w:p>
              </w:tc>
              <w:tc>
                <w:tcPr>
                  <w:tcW w:w="809" w:type="dxa"/>
                  <w:vAlign w:val="center"/>
                </w:tcPr>
                <w:p w14:paraId="3ABD57CC">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0.2％</w:t>
                  </w:r>
                </w:p>
              </w:tc>
            </w:tr>
            <w:tr w14:paraId="650E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23" w:type="dxa"/>
                  <w:vAlign w:val="center"/>
                </w:tcPr>
                <w:p w14:paraId="3B13FD17">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10000——100000</w:t>
                  </w:r>
                </w:p>
              </w:tc>
              <w:tc>
                <w:tcPr>
                  <w:tcW w:w="819" w:type="dxa"/>
                  <w:vAlign w:val="center"/>
                </w:tcPr>
                <w:p w14:paraId="08E130DA">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0.05％</w:t>
                  </w:r>
                </w:p>
              </w:tc>
              <w:tc>
                <w:tcPr>
                  <w:tcW w:w="819" w:type="dxa"/>
                  <w:vAlign w:val="center"/>
                </w:tcPr>
                <w:p w14:paraId="421BD856">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0.05％</w:t>
                  </w:r>
                </w:p>
              </w:tc>
              <w:tc>
                <w:tcPr>
                  <w:tcW w:w="809" w:type="dxa"/>
                  <w:vAlign w:val="center"/>
                </w:tcPr>
                <w:p w14:paraId="41473D79">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0.05％</w:t>
                  </w:r>
                </w:p>
              </w:tc>
            </w:tr>
            <w:tr w14:paraId="0FE8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3323" w:type="dxa"/>
                  <w:vAlign w:val="center"/>
                </w:tcPr>
                <w:p w14:paraId="6B670F1D">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1000000以上</w:t>
                  </w:r>
                </w:p>
              </w:tc>
              <w:tc>
                <w:tcPr>
                  <w:tcW w:w="819" w:type="dxa"/>
                  <w:vAlign w:val="center"/>
                </w:tcPr>
                <w:p w14:paraId="6BBBC3B8">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0.01％</w:t>
                  </w:r>
                </w:p>
              </w:tc>
              <w:tc>
                <w:tcPr>
                  <w:tcW w:w="819" w:type="dxa"/>
                  <w:vAlign w:val="center"/>
                </w:tcPr>
                <w:p w14:paraId="1D50512C">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0.01％</w:t>
                  </w:r>
                </w:p>
              </w:tc>
              <w:tc>
                <w:tcPr>
                  <w:tcW w:w="809" w:type="dxa"/>
                  <w:vAlign w:val="center"/>
                </w:tcPr>
                <w:p w14:paraId="2D46CB0B">
                  <w:pPr>
                    <w:widowControl/>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0.01％</w:t>
                  </w:r>
                </w:p>
              </w:tc>
            </w:tr>
          </w:tbl>
          <w:p w14:paraId="5ACB1468">
            <w:pPr>
              <w:pStyle w:val="32"/>
              <w:spacing w:line="360" w:lineRule="exact"/>
              <w:jc w:val="left"/>
              <w:rPr>
                <w:rFonts w:hint="eastAsia" w:ascii="仿宋" w:hAnsi="仿宋" w:eastAsia="仿宋"/>
                <w:color w:val="auto"/>
                <w:kern w:val="28"/>
                <w:sz w:val="24"/>
                <w:szCs w:val="24"/>
              </w:rPr>
            </w:pPr>
            <w:r>
              <w:rPr>
                <w:rFonts w:hint="eastAsia" w:ascii="仿宋" w:hAnsi="仿宋" w:eastAsia="仿宋"/>
                <w:color w:val="auto"/>
                <w:kern w:val="28"/>
                <w:sz w:val="24"/>
                <w:szCs w:val="24"/>
              </w:rPr>
              <w:t>（2）代理服务费支付：</w:t>
            </w:r>
          </w:p>
          <w:p w14:paraId="3BDAB831">
            <w:pPr>
              <w:pStyle w:val="32"/>
              <w:spacing w:line="360" w:lineRule="exact"/>
              <w:jc w:val="left"/>
              <w:rPr>
                <w:rFonts w:hint="eastAsia" w:ascii="仿宋" w:hAnsi="仿宋" w:eastAsia="仿宋"/>
                <w:color w:val="auto"/>
                <w:kern w:val="28"/>
                <w:sz w:val="24"/>
                <w:szCs w:val="24"/>
              </w:rPr>
            </w:pPr>
            <w:r>
              <w:rPr>
                <w:rFonts w:hint="eastAsia" w:ascii="仿宋" w:hAnsi="仿宋" w:eastAsia="仿宋"/>
                <w:color w:val="auto"/>
                <w:kern w:val="28"/>
                <w:sz w:val="24"/>
                <w:szCs w:val="24"/>
              </w:rPr>
              <w:t>①代理服务费缴纳形式：汇票/支票/电汇/现金</w:t>
            </w:r>
          </w:p>
          <w:p w14:paraId="50D9048B">
            <w:pPr>
              <w:pStyle w:val="32"/>
              <w:spacing w:line="360" w:lineRule="exact"/>
              <w:jc w:val="left"/>
              <w:rPr>
                <w:rFonts w:hint="eastAsia" w:ascii="仿宋" w:hAnsi="仿宋" w:eastAsia="仿宋"/>
                <w:color w:val="auto"/>
                <w:kern w:val="28"/>
                <w:sz w:val="24"/>
                <w:szCs w:val="24"/>
              </w:rPr>
            </w:pPr>
            <w:r>
              <w:rPr>
                <w:rFonts w:hint="eastAsia" w:ascii="仿宋" w:hAnsi="仿宋" w:eastAsia="仿宋"/>
                <w:color w:val="auto"/>
                <w:kern w:val="28"/>
                <w:sz w:val="24"/>
                <w:szCs w:val="24"/>
              </w:rPr>
              <w:t>②代理服务费汇入以下账户：</w:t>
            </w:r>
          </w:p>
          <w:p w14:paraId="3090330C">
            <w:pPr>
              <w:pStyle w:val="32"/>
              <w:spacing w:line="360" w:lineRule="exact"/>
              <w:jc w:val="left"/>
              <w:rPr>
                <w:rFonts w:hint="eastAsia" w:ascii="仿宋" w:hAnsi="仿宋" w:eastAsia="仿宋"/>
                <w:color w:val="auto"/>
                <w:kern w:val="28"/>
                <w:sz w:val="24"/>
                <w:szCs w:val="24"/>
              </w:rPr>
            </w:pPr>
            <w:r>
              <w:rPr>
                <w:rFonts w:hint="eastAsia" w:ascii="仿宋" w:hAnsi="仿宋" w:eastAsia="仿宋"/>
                <w:color w:val="auto"/>
                <w:kern w:val="28"/>
                <w:sz w:val="24"/>
                <w:szCs w:val="24"/>
              </w:rPr>
              <w:t>收款单位（户名）：浙江鑫润工程管理有限公司</w:t>
            </w:r>
          </w:p>
          <w:p w14:paraId="27031214">
            <w:pPr>
              <w:pStyle w:val="32"/>
              <w:spacing w:line="360" w:lineRule="exact"/>
              <w:jc w:val="left"/>
              <w:rPr>
                <w:rFonts w:hint="eastAsia" w:ascii="仿宋" w:hAnsi="仿宋" w:eastAsia="仿宋"/>
                <w:color w:val="auto"/>
                <w:kern w:val="28"/>
                <w:sz w:val="24"/>
                <w:szCs w:val="24"/>
              </w:rPr>
            </w:pPr>
            <w:r>
              <w:rPr>
                <w:rFonts w:hint="eastAsia" w:ascii="仿宋" w:hAnsi="仿宋" w:eastAsia="仿宋"/>
                <w:color w:val="auto"/>
                <w:kern w:val="28"/>
                <w:sz w:val="24"/>
                <w:szCs w:val="24"/>
              </w:rPr>
              <w:t>开户行：杭州联合银行彭埠支行</w:t>
            </w:r>
          </w:p>
          <w:p w14:paraId="3BD93E04">
            <w:pPr>
              <w:pStyle w:val="32"/>
              <w:widowControl/>
              <w:adjustRightInd/>
              <w:spacing w:line="360" w:lineRule="exact"/>
              <w:jc w:val="left"/>
              <w:rPr>
                <w:rFonts w:hint="eastAsia" w:ascii="仿宋" w:hAnsi="仿宋" w:eastAsia="仿宋"/>
                <w:color w:val="auto"/>
                <w:kern w:val="28"/>
                <w:sz w:val="24"/>
                <w:szCs w:val="24"/>
              </w:rPr>
            </w:pPr>
            <w:r>
              <w:rPr>
                <w:rFonts w:hint="eastAsia" w:ascii="仿宋" w:hAnsi="仿宋" w:eastAsia="仿宋"/>
                <w:color w:val="auto"/>
                <w:kern w:val="28"/>
                <w:sz w:val="24"/>
                <w:szCs w:val="24"/>
              </w:rPr>
              <w:t>账  号：2010 0010 4473 948</w:t>
            </w:r>
          </w:p>
          <w:p w14:paraId="182CF480">
            <w:pPr>
              <w:rPr>
                <w:rFonts w:hint="eastAsia" w:ascii="仿宋" w:hAnsi="仿宋" w:eastAsia="仿宋" w:cs="仿宋"/>
                <w:color w:val="auto"/>
                <w:kern w:val="0"/>
                <w:sz w:val="24"/>
                <w:lang w:val="en"/>
              </w:rPr>
            </w:pPr>
            <w:r>
              <w:rPr>
                <w:rFonts w:hint="eastAsia" w:ascii="仿宋" w:hAnsi="仿宋" w:eastAsia="仿宋"/>
                <w:color w:val="auto"/>
                <w:kern w:val="28"/>
                <w:sz w:val="24"/>
              </w:rPr>
              <w:t>（3）增值税发票开具资料：单位名称、税号（统一社会信用代码）、开户行名称、账号、地址及联系电话。</w:t>
            </w:r>
          </w:p>
        </w:tc>
      </w:tr>
      <w:bookmarkEnd w:id="8"/>
    </w:tbl>
    <w:p w14:paraId="698B2EC2">
      <w:pPr>
        <w:adjustRightInd/>
        <w:spacing w:line="360" w:lineRule="auto"/>
        <w:ind w:firstLine="3845" w:firstLineChars="1197"/>
        <w:outlineLvl w:val="0"/>
        <w:rPr>
          <w:rFonts w:hint="eastAsia" w:ascii="仿宋" w:hAnsi="仿宋" w:eastAsia="仿宋" w:cs="仿宋"/>
          <w:b/>
          <w:color w:val="auto"/>
          <w:sz w:val="32"/>
          <w:szCs w:val="20"/>
        </w:rPr>
        <w:sectPr>
          <w:headerReference r:id="rId4" w:type="first"/>
          <w:footerReference r:id="rId7" w:type="first"/>
          <w:headerReference r:id="rId3" w:type="default"/>
          <w:footerReference r:id="rId5" w:type="default"/>
          <w:footerReference r:id="rId6" w:type="even"/>
          <w:pgSz w:w="11906" w:h="16838"/>
          <w:pgMar w:top="1417" w:right="1417" w:bottom="1417" w:left="1701" w:header="851" w:footer="992" w:gutter="0"/>
          <w:cols w:space="0" w:num="1"/>
          <w:titlePg/>
          <w:docGrid w:linePitch="312" w:charSpace="0"/>
        </w:sectPr>
      </w:pPr>
      <w:bookmarkStart w:id="9" w:name="_Toc164416483"/>
    </w:p>
    <w:p w14:paraId="1B8DA517">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24032A51">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1.适用范围</w:t>
      </w:r>
    </w:p>
    <w:p w14:paraId="287B196E">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158B46B0">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2.定义</w:t>
      </w:r>
    </w:p>
    <w:p w14:paraId="1B238A7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2.1“采购人”系指招标公告中载明的本项目的采购人。</w:t>
      </w:r>
    </w:p>
    <w:p w14:paraId="3D84618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2.2“采购代理机构”系指招标公告中载明的本项目的采购代理机构。</w:t>
      </w:r>
    </w:p>
    <w:p w14:paraId="1A9E77E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2.3“投标人”系指是指响应招标、参加投标竞争的法人、其他组织或者自然人。</w:t>
      </w:r>
    </w:p>
    <w:p w14:paraId="4C697B3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2.4“负责人”系指法人企业的法定负责人，或其他组织为法律、行政法规规定代表单位行使职权的主要负责人，或自然人本人。</w:t>
      </w:r>
    </w:p>
    <w:p w14:paraId="05A867E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A63BD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14:paraId="0C519E4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sz w:val="24"/>
        </w:rPr>
        <w:t>”系指适用本项目的要求，“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”系指不适用本项目的要求。</w:t>
      </w:r>
    </w:p>
    <w:p w14:paraId="32323CCC">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3.采购项目需要落实的政府采购政策</w:t>
      </w:r>
    </w:p>
    <w:p w14:paraId="4C5335A0">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2F3D1AF6">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3.2支持绿色发展</w:t>
      </w:r>
    </w:p>
    <w:p w14:paraId="56400F0E">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28E750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3.2.2修缮、装修类项目采购建材的，采购人应将绿色建筑和绿色建材性能、指标等作为实质性条件纳入招标文件和合同。</w:t>
      </w:r>
    </w:p>
    <w:p w14:paraId="5E2DACA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451AD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0B24AA31">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14:paraId="18A1D0B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D1288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7D0C2B96">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6F11F50">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7B4B29C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3.3.3对于未预留份额专门面向中小企业的政府采购服务项目，以及预留份额政府采购服务项目中的非预留部分标项，对小型和微型企业的投标报价给予10%-20%</w:t>
      </w:r>
      <w:r>
        <w:rPr>
          <w:rFonts w:hint="eastAsia" w:ascii="仿宋" w:hAnsi="仿宋" w:eastAsia="仿宋" w:cs="仿宋"/>
          <w:b/>
          <w:bCs/>
          <w:color w:val="auto"/>
          <w:sz w:val="24"/>
        </w:rPr>
        <w:t>（招标文件第四部分评标办法明确具体的扣除比例，未明确的，给予10%的扣除）</w:t>
      </w:r>
      <w:r>
        <w:rPr>
          <w:rFonts w:hint="eastAsia" w:ascii="仿宋" w:hAnsi="仿宋" w:eastAsia="仿宋" w:cs="仿宋"/>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w:t>
      </w:r>
      <w:r>
        <w:rPr>
          <w:rFonts w:hint="eastAsia" w:ascii="仿宋" w:hAnsi="仿宋" w:eastAsia="仿宋" w:cs="仿宋"/>
          <w:b/>
          <w:bCs/>
          <w:color w:val="auto"/>
          <w:sz w:val="24"/>
        </w:rPr>
        <w:t>（招标文件第四部分评标办法明确具体的扣除比例，未明确的，给予4%的扣除）</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14:paraId="0D8EE92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3E941F3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7E5FD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w:t>
      </w:r>
      <w:r>
        <w:rPr>
          <w:rFonts w:hint="eastAsia" w:ascii="仿宋" w:hAnsi="仿宋" w:eastAsia="仿宋" w:cs="仿宋"/>
          <w:color w:val="auto"/>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rPr>
        <w:t>。</w:t>
      </w:r>
    </w:p>
    <w:p w14:paraId="322F934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14:paraId="66329C6E">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14:paraId="3EA80F4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3.4.1首台套、“制造精品”、“专精特新”等创新产品按规定享受政府采购支持政策。</w:t>
      </w:r>
    </w:p>
    <w:p w14:paraId="505F4FD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3.4.2采购人应当贯彻落实知识产权保护相关法律法规，应当采购使用正版软件。</w:t>
      </w:r>
    </w:p>
    <w:p w14:paraId="7387C42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14:paraId="3A7CD11A">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r>
        <w:rPr>
          <w:rFonts w:hint="eastAsia" w:ascii="仿宋" w:hAnsi="仿宋" w:eastAsia="仿宋" w:cs="仿宋"/>
          <w:color w:val="auto"/>
          <w:sz w:val="24"/>
        </w:rPr>
        <w:cr/>
      </w:r>
      <w:r>
        <w:rPr>
          <w:rFonts w:hint="eastAsia" w:ascii="仿宋" w:hAnsi="仿宋" w:eastAsia="仿宋" w:cs="仿宋"/>
          <w:b/>
          <w:color w:val="auto"/>
          <w:sz w:val="24"/>
        </w:rPr>
        <w:t>4.询问、质疑、投诉、补偿救济</w:t>
      </w:r>
    </w:p>
    <w:p w14:paraId="616EB07B">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7536F2">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4.2供应商询问</w:t>
      </w:r>
    </w:p>
    <w:p w14:paraId="21C9E112">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8CC2C74">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4.3供应商质疑</w:t>
      </w:r>
    </w:p>
    <w:p w14:paraId="2BD251D5">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14:paraId="3E9A1D3D">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960843A">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46BD8175">
      <w:pPr>
        <w:pStyle w:val="32"/>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14:paraId="6F1C3DEB">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w:t>
      </w:r>
      <w:r>
        <w:rPr>
          <w:rFonts w:hint="eastAsia" w:ascii="仿宋" w:hAnsi="仿宋" w:eastAsia="仿宋" w:cs="仿宋"/>
          <w:color w:val="auto"/>
          <w:sz w:val="24"/>
        </w:rPr>
        <w:t>供应商提出质疑应当提交质疑函和必要的证明材料。质疑函应当包括下列内容：</w:t>
      </w:r>
    </w:p>
    <w:p w14:paraId="29804719">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4.3.3.1供应商的姓名或者名称、地址、邮编、联系人及联系电话；</w:t>
      </w:r>
    </w:p>
    <w:p w14:paraId="3934651F">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4.3.3.2质疑项目的名称、编号；</w:t>
      </w:r>
    </w:p>
    <w:p w14:paraId="2A182457">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4.3.3.3具体、明确的质疑事项和与质疑事项相关的请求；</w:t>
      </w:r>
    </w:p>
    <w:p w14:paraId="7B36DB6B">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4.3.3.4事实依据；</w:t>
      </w:r>
    </w:p>
    <w:p w14:paraId="028C9275">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4.3.3.5必要的法律依据；</w:t>
      </w:r>
    </w:p>
    <w:p w14:paraId="65DB4C46">
      <w:pPr>
        <w:pStyle w:val="32"/>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4.3.3.6提出质疑的日期。</w:t>
      </w:r>
    </w:p>
    <w:p w14:paraId="2909F4FF">
      <w:pPr>
        <w:pStyle w:val="889"/>
        <w:shd w:val="clear" w:color="auto" w:fill="FFFFFF"/>
        <w:snapToGrid w:val="0"/>
        <w:spacing w:before="0" w:beforeAutospacing="0" w:after="240" w:afterAutospacing="0" w:line="360" w:lineRule="auto"/>
        <w:ind w:firstLine="400"/>
        <w:contextualSpacing/>
        <w:rPr>
          <w:rFonts w:hint="eastAsia" w:ascii="仿宋" w:hAnsi="仿宋" w:eastAsia="仿宋" w:cs="仿宋"/>
          <w:color w:val="auto"/>
          <w:lang w:val="zh-CN"/>
        </w:rPr>
      </w:pPr>
      <w:r>
        <w:rPr>
          <w:rFonts w:hint="eastAsia" w:ascii="仿宋" w:hAnsi="仿宋" w:eastAsia="仿宋" w:cs="仿宋"/>
          <w:color w:val="auto"/>
        </w:rPr>
        <w:t>供</w:t>
      </w:r>
      <w:r>
        <w:rPr>
          <w:rFonts w:hint="eastAsia" w:ascii="仿宋" w:hAnsi="仿宋" w:eastAsia="仿宋" w:cs="仿宋"/>
          <w:color w:val="auto"/>
          <w:lang w:val="zh-CN"/>
        </w:rPr>
        <w:t>应商提交的质疑函需一式三份。供应商为自然人的，应当由本人签字；供应商为法人或者其他组织的，应当由法定代表人、主要负责人，或者其授权代表签字或者盖章，并加盖公章。</w:t>
      </w:r>
    </w:p>
    <w:p w14:paraId="7E08A3C3">
      <w:pPr>
        <w:pStyle w:val="889"/>
        <w:shd w:val="clear" w:color="auto" w:fill="FFFFFF"/>
        <w:snapToGrid w:val="0"/>
        <w:spacing w:after="240" w:afterAutospacing="0" w:line="360" w:lineRule="auto"/>
        <w:ind w:firstLine="400"/>
        <w:contextualSpacing/>
        <w:rPr>
          <w:rFonts w:hint="eastAsia" w:ascii="仿宋" w:hAnsi="仿宋" w:eastAsia="仿宋" w:cs="仿宋"/>
          <w:color w:val="auto"/>
          <w:lang w:val="zh-CN"/>
        </w:rPr>
      </w:pPr>
      <w:r>
        <w:rPr>
          <w:rFonts w:hint="eastAsia" w:ascii="仿宋" w:hAnsi="仿宋" w:eastAsia="仿宋" w:cs="仿宋"/>
          <w:color w:val="auto"/>
          <w:lang w:val="zh-CN"/>
        </w:rPr>
        <w:t>质疑函范本及制作说明详见附件2。</w:t>
      </w:r>
    </w:p>
    <w:p w14:paraId="2C7F7AD5">
      <w:pPr>
        <w:pStyle w:val="889"/>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4.3.4对同一采购程序环节的质疑，供应商须在法定质疑期内一次性提出。</w:t>
      </w:r>
    </w:p>
    <w:p w14:paraId="3198151F">
      <w:pPr>
        <w:pStyle w:val="889"/>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26F14A3">
      <w:pPr>
        <w:pStyle w:val="889"/>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.6询问或者质疑事项可能影响采购结果的，采购人应当暂停签订合同，已经签订合同的，应当中止履行合同。</w:t>
      </w:r>
    </w:p>
    <w:p w14:paraId="6A778AE7">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4.4供应商投诉</w:t>
      </w:r>
    </w:p>
    <w:p w14:paraId="0718AA05">
      <w:pPr>
        <w:pStyle w:val="889"/>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4.4.1质疑供应商对采购人、采购代理机构的答复不满意或者采购人、采购代理机构未在规定的时间内作出答复的，可以在答复期满后十五个工作日内向同级政府采购监督管理部门提出投诉。</w:t>
      </w:r>
    </w:p>
    <w:p w14:paraId="583F3D15">
      <w:pPr>
        <w:pStyle w:val="889"/>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14:paraId="0D174279">
      <w:pPr>
        <w:pStyle w:val="889"/>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4.4.3供应商投诉应当有明确的请求和必要的证明材料。</w:t>
      </w:r>
    </w:p>
    <w:p w14:paraId="505DC864">
      <w:pPr>
        <w:pStyle w:val="889"/>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4.4.4以联合体形式参加政府采购活动的，其投诉应当由组成联合体的所有供应商共同提出。</w:t>
      </w:r>
    </w:p>
    <w:p w14:paraId="38DD7327">
      <w:pPr>
        <w:pStyle w:val="889"/>
        <w:shd w:val="clear" w:color="auto" w:fill="FFFFFF"/>
        <w:snapToGrid w:val="0"/>
        <w:spacing w:after="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2977C4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4.5补偿救济</w:t>
      </w:r>
    </w:p>
    <w:p w14:paraId="28888DB6">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采购人因政策变化、规划调整而不履行政府采购合同的，供应商可依据《杭州市涉企补偿救济实施办法（试行）》向采购人提起补偿申请。</w:t>
      </w:r>
    </w:p>
    <w:p w14:paraId="19B13CA3">
      <w:pPr>
        <w:pStyle w:val="889"/>
        <w:shd w:val="clear" w:color="auto" w:fill="FFFFFF"/>
        <w:snapToGrid w:val="0"/>
        <w:spacing w:before="0" w:beforeAutospacing="0" w:after="0" w:afterAutospacing="0" w:line="360" w:lineRule="auto"/>
        <w:ind w:firstLine="400"/>
        <w:contextualSpacing/>
        <w:rPr>
          <w:rFonts w:hint="eastAsia" w:ascii="仿宋" w:hAnsi="仿宋" w:eastAsia="仿宋" w:cs="仿宋"/>
          <w:color w:val="auto"/>
          <w:sz w:val="18"/>
          <w:szCs w:val="18"/>
        </w:rPr>
      </w:pPr>
      <w:r>
        <w:rPr>
          <w:rFonts w:hint="eastAsia" w:ascii="仿宋" w:hAnsi="仿宋" w:eastAsia="仿宋" w:cs="仿宋"/>
          <w:color w:val="auto"/>
        </w:rPr>
        <w:t>投诉书范本及制作说明详见附件3。</w:t>
      </w:r>
    </w:p>
    <w:p w14:paraId="3F6FF190">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14:paraId="4492EB91">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14:paraId="5363F3BD">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5.1招标文件包括下列文件及附件：</w:t>
      </w:r>
    </w:p>
    <w:p w14:paraId="3C8A803D">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14:paraId="28667130">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14:paraId="7D110DC8">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124ABF93">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14:paraId="58A41F13">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2B491058">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14:paraId="2D04BDC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14:paraId="29F19C3E">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6.招标文件的澄清、修改</w:t>
      </w:r>
    </w:p>
    <w:p w14:paraId="3503B04B">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14:paraId="698F08CE">
      <w:pPr>
        <w:pStyle w:val="131"/>
        <w:snapToGrid w:val="0"/>
        <w:spacing w:before="0"/>
        <w:ind w:firstLine="480"/>
        <w:rPr>
          <w:rFonts w:hint="eastAsia" w:ascii="仿宋" w:hAnsi="仿宋" w:eastAsia="仿宋" w:cs="仿宋"/>
          <w:color w:val="auto"/>
          <w:sz w:val="18"/>
          <w:szCs w:val="18"/>
        </w:rPr>
      </w:pPr>
      <w:r>
        <w:rPr>
          <w:rFonts w:hint="eastAsia" w:ascii="仿宋" w:hAnsi="仿宋" w:eastAsia="仿宋" w:cs="仿宋"/>
          <w:color w:val="auto"/>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51C5B1">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14:paraId="6F19DEA1">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7.招标文件的获取</w:t>
      </w:r>
    </w:p>
    <w:p w14:paraId="4E7EC3B1">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14:paraId="70264B38">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14:paraId="08208F18">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641E46FC">
      <w:pPr>
        <w:pStyle w:val="32"/>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14:paraId="78962562">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32519C3">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10.投标文件的语言</w:t>
      </w:r>
    </w:p>
    <w:p w14:paraId="315A1CBE">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690D62C3">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11.投标文件的组成</w:t>
      </w:r>
    </w:p>
    <w:p w14:paraId="4192C674">
      <w:pPr>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11.1资格文件：</w:t>
      </w:r>
    </w:p>
    <w:p w14:paraId="36D43465">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14:paraId="05EAE1E2">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r>
        <w:rPr>
          <w:rFonts w:hint="eastAsia" w:ascii="仿宋" w:hAnsi="仿宋" w:eastAsia="仿宋" w:cs="仿宋"/>
          <w:snapToGrid w:val="0"/>
          <w:color w:val="auto"/>
          <w:kern w:val="28"/>
          <w:sz w:val="24"/>
          <w:szCs w:val="20"/>
        </w:rPr>
        <w:t>联合协议（如果有)；</w:t>
      </w:r>
    </w:p>
    <w:p w14:paraId="1EE850C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516EB1B0">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1EA381E9">
      <w:pPr>
        <w:snapToGrid w:val="0"/>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11.</w:t>
      </w:r>
      <w:r>
        <w:rPr>
          <w:rFonts w:hint="eastAsia" w:ascii="仿宋" w:hAnsi="仿宋" w:eastAsia="仿宋" w:cs="仿宋"/>
          <w:b/>
          <w:bCs/>
          <w:color w:val="auto"/>
          <w:sz w:val="24"/>
        </w:rPr>
        <w:t>2商务技术</w:t>
      </w:r>
      <w:r>
        <w:rPr>
          <w:rFonts w:hint="eastAsia" w:ascii="仿宋" w:hAnsi="仿宋" w:eastAsia="仿宋" w:cs="仿宋"/>
          <w:b/>
          <w:bCs/>
          <w:color w:val="auto"/>
          <w:sz w:val="24"/>
          <w:lang w:val="zh-CN"/>
        </w:rPr>
        <w:t>文件：</w:t>
      </w:r>
    </w:p>
    <w:p w14:paraId="01BB7A60">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p>
    <w:p w14:paraId="1052673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14:paraId="444EF84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2498D02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15775A9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1EDC141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7BFAEAF9">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64155CFF">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229D9D4C">
      <w:pPr>
        <w:snapToGrid w:val="0"/>
        <w:spacing w:line="360" w:lineRule="auto"/>
        <w:ind w:firstLine="482" w:firstLineChars="200"/>
        <w:rPr>
          <w:rFonts w:hint="eastAsia" w:ascii="仿宋" w:hAnsi="仿宋" w:eastAsia="仿宋" w:cs="仿宋"/>
          <w:b/>
          <w:bCs/>
          <w:color w:val="auto"/>
          <w:sz w:val="24"/>
          <w:u w:val="single"/>
          <w:lang w:val="zh-CN"/>
        </w:rPr>
      </w:pPr>
      <w:r>
        <w:rPr>
          <w:rFonts w:hint="eastAsia" w:ascii="仿宋" w:hAnsi="仿宋" w:eastAsia="仿宋" w:cs="仿宋"/>
          <w:b/>
          <w:bCs/>
          <w:color w:val="auto"/>
          <w:kern w:val="0"/>
          <w:sz w:val="24"/>
          <w:lang w:val="zh-CN"/>
        </w:rPr>
        <w:t>11.</w:t>
      </w:r>
      <w:r>
        <w:rPr>
          <w:rFonts w:hint="eastAsia" w:ascii="仿宋" w:hAnsi="仿宋" w:eastAsia="仿宋" w:cs="仿宋"/>
          <w:b/>
          <w:bCs/>
          <w:color w:val="auto"/>
          <w:kern w:val="0"/>
          <w:sz w:val="24"/>
        </w:rPr>
        <w:t>3</w:t>
      </w:r>
      <w:r>
        <w:rPr>
          <w:rFonts w:hint="eastAsia" w:ascii="仿宋" w:hAnsi="仿宋" w:eastAsia="仿宋" w:cs="仿宋"/>
          <w:b/>
          <w:bCs/>
          <w:color w:val="auto"/>
          <w:sz w:val="24"/>
        </w:rPr>
        <w:t>报价文件：</w:t>
      </w:r>
    </w:p>
    <w:p w14:paraId="13A82D5A">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35E086C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11.3.2中小企业声明函。</w:t>
      </w:r>
    </w:p>
    <w:p w14:paraId="019F32CC">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14:paraId="536C7FEB">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投标人提供虚假材料投标的，投标无效。</w:t>
      </w:r>
    </w:p>
    <w:p w14:paraId="047442FA">
      <w:pPr>
        <w:spacing w:line="360" w:lineRule="auto"/>
        <w:ind w:firstLine="720" w:firstLineChars="300"/>
        <w:rPr>
          <w:rFonts w:hint="eastAsia" w:ascii="仿宋" w:hAnsi="仿宋" w:eastAsia="仿宋" w:cs="仿宋"/>
          <w:color w:val="auto"/>
        </w:rPr>
      </w:pPr>
      <w:r>
        <w:rPr>
          <w:rFonts w:hint="eastAsia" w:ascii="仿宋" w:hAnsi="仿宋" w:eastAsia="仿宋" w:cs="仿宋"/>
          <w:color w:val="auto"/>
          <w:sz w:val="24"/>
          <w:shd w:val="clear" w:color="auto" w:fill="FFFFFF"/>
        </w:rPr>
        <w:t>投标人应对投标文件中材料的真实性、合法性负责。投标人可事先在公开官网查询、核对相关证书和报告内容，确保投标（响应）文件资料准确无误。</w:t>
      </w:r>
    </w:p>
    <w:p w14:paraId="7B3A1F46">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12</w:t>
      </w:r>
      <w:r>
        <w:rPr>
          <w:rFonts w:hint="eastAsia" w:ascii="仿宋" w:hAnsi="仿宋" w:eastAsia="仿宋" w:cs="仿宋"/>
          <w:b/>
          <w:color w:val="auto"/>
          <w:sz w:val="24"/>
          <w:szCs w:val="24"/>
          <w:lang w:val="zh-CN"/>
        </w:rPr>
        <w:t>.</w:t>
      </w:r>
      <w:r>
        <w:rPr>
          <w:rFonts w:hint="eastAsia" w:ascii="仿宋" w:hAnsi="仿宋" w:eastAsia="仿宋" w:cs="仿宋"/>
          <w:b/>
          <w:color w:val="auto"/>
          <w:sz w:val="24"/>
          <w:szCs w:val="24"/>
        </w:rPr>
        <w:t>投标文件的编制</w:t>
      </w:r>
    </w:p>
    <w:p w14:paraId="7FCEB1F1">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78D71F2">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8593372">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211770C9">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14:paraId="1B4E96BA">
      <w:pPr>
        <w:pStyle w:val="131"/>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14:paraId="30F930E4">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14:paraId="62D57411">
      <w:pPr>
        <w:pStyle w:val="131"/>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14:paraId="31D296D4">
      <w:pPr>
        <w:pStyle w:val="131"/>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14.投标文件的提交、补充、修改、撤回</w:t>
      </w:r>
    </w:p>
    <w:p w14:paraId="76F11702">
      <w:pPr>
        <w:pStyle w:val="131"/>
        <w:spacing w:before="0"/>
        <w:ind w:firstLine="480"/>
        <w:rPr>
          <w:rFonts w:hint="eastAsia" w:ascii="仿宋" w:hAnsi="仿宋" w:eastAsia="仿宋" w:cs="仿宋"/>
          <w:color w:val="auto"/>
          <w:szCs w:val="24"/>
        </w:rPr>
      </w:pPr>
      <w:r>
        <w:rPr>
          <w:rFonts w:hint="eastAsia" w:ascii="仿宋" w:hAnsi="仿宋" w:eastAsia="仿宋" w:cs="仿宋"/>
          <w:color w:val="auto"/>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0C9952">
      <w:pPr>
        <w:pStyle w:val="131"/>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062A059">
      <w:pPr>
        <w:pStyle w:val="131"/>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2AE7411">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14:paraId="49A75BDC">
      <w:pPr>
        <w:pStyle w:val="32"/>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14:paraId="347BDCCA">
      <w:pPr>
        <w:pStyle w:val="32"/>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14:paraId="0ED2115F">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2BF110C7">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5A1D5CA9">
      <w:pPr>
        <w:pStyle w:val="32"/>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14:paraId="3378AC57">
      <w:pPr>
        <w:pStyle w:val="131"/>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14:paraId="3778637E">
      <w:pPr>
        <w:pStyle w:val="24"/>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有招标文件第四部分4.2规定的情形之一的，投标无效：</w:t>
      </w:r>
    </w:p>
    <w:p w14:paraId="208DA31B">
      <w:pPr>
        <w:pStyle w:val="131"/>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14:paraId="74B6FD79">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2B2713C7">
      <w:pPr>
        <w:pStyle w:val="131"/>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14:paraId="152E86D9">
      <w:pPr>
        <w:pStyle w:val="131"/>
        <w:spacing w:before="0"/>
        <w:ind w:firstLine="480"/>
        <w:rPr>
          <w:rFonts w:hint="eastAsia" w:ascii="仿宋" w:hAnsi="仿宋" w:eastAsia="仿宋" w:cs="仿宋"/>
          <w:b/>
          <w:color w:val="auto"/>
          <w:sz w:val="32"/>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34F7E63C">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四、开标、资格审查与信用信息查询</w:t>
      </w:r>
    </w:p>
    <w:p w14:paraId="25485681">
      <w:pPr>
        <w:pStyle w:val="557"/>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p>
    <w:p w14:paraId="632B4A02">
      <w:pPr>
        <w:pStyle w:val="557"/>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18.1采购代理机构按照招标文件规定的时间通过电子交易平台组织开标，所有投标人均应当准时在线参加。投标人不足3家的，不得开标。</w:t>
      </w:r>
    </w:p>
    <w:p w14:paraId="0EC322F2">
      <w:pPr>
        <w:pStyle w:val="557"/>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6F2046D3">
      <w:pPr>
        <w:pStyle w:val="557"/>
        <w:spacing w:before="0" w:line="360" w:lineRule="auto"/>
        <w:ind w:left="0" w:firstLine="482" w:firstLineChars="200"/>
        <w:contextualSpacing/>
        <w:rPr>
          <w:rFonts w:hint="eastAsia" w:ascii="仿宋" w:hAnsi="仿宋" w:eastAsia="仿宋" w:cs="仿宋"/>
          <w:b/>
          <w:bCs/>
          <w:color w:val="auto"/>
          <w:sz w:val="24"/>
        </w:rPr>
      </w:pPr>
      <w:r>
        <w:rPr>
          <w:rFonts w:hint="eastAsia" w:ascii="仿宋" w:hAnsi="仿宋" w:eastAsia="仿宋" w:cs="仿宋"/>
          <w:b/>
          <w:bCs/>
          <w:color w:val="auto"/>
          <w:sz w:val="24"/>
        </w:rPr>
        <w:t>18.3投标文件未按时解密，投标人提供了备份投标文件的，以备份投标文件作为依据，否则视为投标文件撤回。投标文件已按时解密的，备份投标文件自动失效。</w:t>
      </w:r>
    </w:p>
    <w:p w14:paraId="4449ED3C">
      <w:pPr>
        <w:pStyle w:val="557"/>
        <w:spacing w:before="0" w:line="360" w:lineRule="auto"/>
        <w:ind w:left="0" w:firstLine="482" w:firstLineChars="200"/>
        <w:contextualSpacing/>
        <w:rPr>
          <w:rFonts w:hint="eastAsia" w:ascii="仿宋" w:hAnsi="仿宋" w:eastAsia="仿宋" w:cs="仿宋"/>
          <w:b/>
          <w:bCs/>
          <w:color w:val="auto"/>
          <w:sz w:val="24"/>
        </w:rPr>
      </w:pPr>
      <w:r>
        <w:rPr>
          <w:rFonts w:hint="eastAsia" w:ascii="仿宋" w:hAnsi="仿宋" w:eastAsia="仿宋" w:cs="仿宋"/>
          <w:b/>
          <w:bCs/>
          <w:color w:val="auto"/>
          <w:sz w:val="24"/>
        </w:rPr>
        <w:t>18.4结束解密后30分钟内，供应商应通过邮件形式将经授权代表签署的《政府采购活动现场确认声明书》（格式见采购文件最后一页内容）扫描件发至代理机构经办人邮箱，未发送视为对开标过程及结果无异议。</w:t>
      </w:r>
    </w:p>
    <w:p w14:paraId="631EF5E1">
      <w:pPr>
        <w:pStyle w:val="557"/>
        <w:spacing w:before="0" w:line="360" w:lineRule="auto"/>
        <w:ind w:left="0" w:firstLine="482" w:firstLineChars="200"/>
        <w:contextualSpacing/>
        <w:rPr>
          <w:rFonts w:hint="eastAsia" w:ascii="仿宋" w:hAnsi="仿宋" w:eastAsia="仿宋" w:cs="仿宋"/>
          <w:b/>
          <w:bCs/>
          <w:color w:val="auto"/>
          <w:sz w:val="24"/>
        </w:rPr>
      </w:pPr>
      <w:r>
        <w:rPr>
          <w:rFonts w:hint="eastAsia" w:ascii="仿宋" w:hAnsi="仿宋" w:eastAsia="仿宋" w:cs="仿宋"/>
          <w:b/>
          <w:bCs/>
          <w:color w:val="auto"/>
          <w:sz w:val="24"/>
        </w:rPr>
        <w:t>18.5采购机构点击【开启报价文件】，开启报价成功后进入报价评审流程。各供应商代表应当在接到系统通知后30分钟内自行完成在线签字确认，逾期未在线签字确认的视为对开标过程及结果无异议。</w:t>
      </w:r>
    </w:p>
    <w:p w14:paraId="35CBA5D6">
      <w:pPr>
        <w:widowControl/>
        <w:spacing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14:paraId="60A5C83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14:paraId="52FE34FA">
      <w:pPr>
        <w:pStyle w:val="131"/>
        <w:spacing w:before="0"/>
        <w:ind w:firstLine="480"/>
        <w:rPr>
          <w:rFonts w:hint="eastAsia"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14:paraId="7D433C99">
      <w:pPr>
        <w:pStyle w:val="131"/>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3对未通过资格审查的投标人，采购人或采购代理机构告知其未通过的原因。</w:t>
      </w:r>
    </w:p>
    <w:p w14:paraId="1778BB5C">
      <w:pPr>
        <w:pStyle w:val="131"/>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14:paraId="0DB882FB">
      <w:pPr>
        <w:pStyle w:val="131"/>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14:paraId="7A858064">
      <w:pPr>
        <w:pStyle w:val="131"/>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20.1信用信息查询渠道及截止时间：采购代理机构将在资格审查时通过“信用中国”网站(www.creditchina.gov.cn)、中国政府采购网(www.ccgp.gov.cn)渠道查询投标人接受资格时的信用记录。</w:t>
      </w:r>
    </w:p>
    <w:p w14:paraId="6E9B78C8">
      <w:pPr>
        <w:pStyle w:val="131"/>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14:paraId="5D75859E">
      <w:pPr>
        <w:pStyle w:val="131"/>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14:paraId="0093ED12">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45FA89E1">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14:paraId="37885B60">
      <w:pPr>
        <w:spacing w:line="360" w:lineRule="auto"/>
        <w:rPr>
          <w:rFonts w:hint="eastAsia" w:ascii="仿宋" w:hAnsi="仿宋" w:eastAsia="仿宋" w:cs="仿宋"/>
          <w:b/>
          <w:color w:val="auto"/>
          <w:sz w:val="24"/>
        </w:rPr>
      </w:pPr>
      <w:bookmarkStart w:id="10" w:name="_Toc91899903"/>
      <w:r>
        <w:rPr>
          <w:rFonts w:hint="eastAsia" w:ascii="仿宋" w:hAnsi="仿宋" w:eastAsia="仿宋" w:cs="仿宋"/>
          <w:b/>
          <w:color w:val="auto"/>
          <w:sz w:val="24"/>
        </w:rPr>
        <w:t>21.</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14:paraId="052640A1">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六、定标</w:t>
      </w:r>
    </w:p>
    <w:p w14:paraId="278A104B">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22.确定中标供应商</w:t>
      </w:r>
    </w:p>
    <w:p w14:paraId="769FE2BC">
      <w:pPr>
        <w:pStyle w:val="131"/>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ECA502A">
      <w:pPr>
        <w:pStyle w:val="131"/>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23.中标通知与中标结果公告</w:t>
      </w:r>
    </w:p>
    <w:p w14:paraId="62723D7D">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14:paraId="53ADC358">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1" w:name="_Hlk101184471"/>
      <w:r>
        <w:rPr>
          <w:rFonts w:hint="eastAsia" w:ascii="仿宋" w:hAnsi="仿宋" w:eastAsia="仿宋" w:cs="仿宋"/>
          <w:color w:val="auto"/>
          <w:sz w:val="24"/>
        </w:rPr>
        <w:t>资格审查情况、评审专家抽取规则、符合性审查情况、</w:t>
      </w:r>
      <w:bookmarkEnd w:id="11"/>
      <w:r>
        <w:rPr>
          <w:rFonts w:hint="eastAsia" w:ascii="仿宋" w:hAnsi="仿宋" w:eastAsia="仿宋" w:cs="仿宋"/>
          <w:color w:val="auto"/>
          <w:sz w:val="24"/>
        </w:rPr>
        <w:t>未中标情况说明、中标公告期限以及评审专家名单、评分汇总及明细。</w:t>
      </w:r>
    </w:p>
    <w:p w14:paraId="4C2BE621">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14:paraId="4B284DB0">
      <w:pPr>
        <w:pStyle w:val="131"/>
        <w:snapToGrid w:val="0"/>
        <w:spacing w:before="0"/>
        <w:ind w:firstLine="480"/>
        <w:rPr>
          <w:rFonts w:hint="eastAsia" w:ascii="仿宋" w:hAnsi="仿宋" w:eastAsia="仿宋" w:cs="仿宋"/>
          <w:b/>
          <w:color w:val="auto"/>
          <w:sz w:val="32"/>
        </w:rPr>
      </w:pPr>
      <w:r>
        <w:rPr>
          <w:rFonts w:hint="eastAsia" w:ascii="仿宋" w:hAnsi="仿宋" w:eastAsia="仿宋" w:cs="仿宋"/>
          <w:bCs/>
          <w:color w:val="auto"/>
          <w:szCs w:val="24"/>
        </w:rPr>
        <w:t>23.4由于中标、成交供应商原因导致重新采购的，应当承担支付代理费和专家评审费等费用在内的赔偿责任。</w:t>
      </w:r>
    </w:p>
    <w:p w14:paraId="643940A3">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七、合同授予</w:t>
      </w:r>
    </w:p>
    <w:p w14:paraId="0371960B">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24.</w:t>
      </w:r>
      <w:r>
        <w:rPr>
          <w:rFonts w:hint="eastAsia" w:ascii="仿宋" w:hAnsi="仿宋" w:eastAsia="仿宋" w:cs="仿宋"/>
          <w:color w:val="auto"/>
        </w:rPr>
        <w:t>合同主要条款详见第五部分拟签订的合同文本。</w:t>
      </w:r>
    </w:p>
    <w:p w14:paraId="3795DBE5">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25.合同的签订</w:t>
      </w:r>
    </w:p>
    <w:p w14:paraId="0B21A701">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510776E">
      <w:pPr>
        <w:pStyle w:val="131"/>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3C274EE">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14:paraId="560C8A41">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14:paraId="3A20B781">
      <w:pPr>
        <w:pStyle w:val="131"/>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14:paraId="142CAC2E">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26.履约保证金</w:t>
      </w:r>
    </w:p>
    <w:p w14:paraId="10D60BCC">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E8F5597">
      <w:pPr>
        <w:tabs>
          <w:tab w:val="left" w:pos="0"/>
        </w:tabs>
        <w:spacing w:line="360" w:lineRule="auto"/>
        <w:ind w:firstLine="482"/>
        <w:rPr>
          <w:rFonts w:hint="eastAsia" w:ascii="仿宋" w:hAnsi="仿宋" w:eastAsia="仿宋" w:cs="仿宋"/>
          <w:color w:val="auto"/>
          <w:kern w:val="0"/>
          <w:sz w:val="24"/>
        </w:rPr>
      </w:pPr>
      <w:r>
        <w:rPr>
          <w:rFonts w:hint="eastAsia" w:ascii="仿宋" w:hAnsi="仿宋" w:eastAsia="仿宋" w:cs="仿宋"/>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BD382CE">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27.预付款</w:t>
      </w:r>
    </w:p>
    <w:p w14:paraId="5C4E09E7">
      <w:pPr>
        <w:adjustRightInd/>
        <w:spacing w:line="360" w:lineRule="auto"/>
        <w:ind w:firstLine="480" w:firstLineChars="200"/>
        <w:rPr>
          <w:rFonts w:hint="eastAsia" w:ascii="仿宋" w:hAnsi="仿宋" w:eastAsia="仿宋" w:cs="仿宋"/>
          <w:b/>
          <w:color w:val="auto"/>
          <w:sz w:val="32"/>
        </w:rPr>
      </w:pPr>
      <w:r>
        <w:rPr>
          <w:rFonts w:hint="eastAsia" w:ascii="仿宋" w:hAnsi="仿宋" w:eastAsia="仿宋" w:cs="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95763。</w:t>
      </w:r>
    </w:p>
    <w:p w14:paraId="38DEC06E">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八、电子交易活动的中止</w:t>
      </w:r>
    </w:p>
    <w:p w14:paraId="548909CF">
      <w:pPr>
        <w:pStyle w:val="131"/>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bCs/>
          <w:color w:val="auto"/>
          <w:szCs w:val="24"/>
        </w:rPr>
        <w:t>8</w:t>
      </w:r>
      <w:r>
        <w:rPr>
          <w:rFonts w:hint="eastAsia" w:ascii="仿宋" w:hAnsi="仿宋" w:eastAsia="仿宋" w:cs="仿宋"/>
          <w:b/>
          <w:color w:val="auto"/>
          <w:szCs w:val="24"/>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14:paraId="284A3FD7">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28.1电子交易平台发生故障而无法登录访问的；</w:t>
      </w:r>
    </w:p>
    <w:p w14:paraId="437FD553">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28.2电子交易平台应用或数据库出现错误，不能进行正常操作的；</w:t>
      </w:r>
    </w:p>
    <w:p w14:paraId="1A27B02A">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28.3电子交易平台发现严重安全漏洞，有潜在泄密危险的；</w:t>
      </w:r>
    </w:p>
    <w:p w14:paraId="7F9DFB05">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28.4病毒发作导致不能进行正常操作的；</w:t>
      </w:r>
    </w:p>
    <w:p w14:paraId="6AB3DEC2">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28.5其他无法保证电子交易的公平、公正和安全的情况。</w:t>
      </w:r>
    </w:p>
    <w:p w14:paraId="1175A0B4">
      <w:pPr>
        <w:pStyle w:val="131"/>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68A2E644">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九、验收</w:t>
      </w:r>
    </w:p>
    <w:p w14:paraId="4C68A67A">
      <w:pPr>
        <w:pStyle w:val="24"/>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30.验收</w:t>
      </w:r>
    </w:p>
    <w:p w14:paraId="65C7861D">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70E0AD">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30.2采购人可以邀请参加本项目的其他投标人或者第三方机构参与验收。参与验收的投标人或者第三方机构的意见作为验收书的参考资料一并存档。</w:t>
      </w:r>
    </w:p>
    <w:p w14:paraId="2F681408">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D53FD0">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DFDDE48">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F457A8D">
      <w:pPr>
        <w:pStyle w:val="79"/>
        <w:rPr>
          <w:rFonts w:hint="eastAsia" w:ascii="仿宋" w:hAnsi="仿宋" w:eastAsia="仿宋" w:cs="仿宋"/>
          <w:color w:val="auto"/>
        </w:rPr>
      </w:pPr>
    </w:p>
    <w:bookmarkEnd w:id="10"/>
    <w:p w14:paraId="777B3994">
      <w:pPr>
        <w:tabs>
          <w:tab w:val="left" w:pos="0"/>
        </w:tabs>
        <w:spacing w:line="360" w:lineRule="auto"/>
        <w:ind w:firstLine="480"/>
        <w:rPr>
          <w:rFonts w:hint="eastAsia" w:ascii="仿宋" w:hAnsi="仿宋" w:eastAsia="仿宋" w:cs="仿宋"/>
          <w:color w:val="auto"/>
          <w:kern w:val="0"/>
          <w:sz w:val="24"/>
        </w:rPr>
        <w:sectPr>
          <w:pgSz w:w="11906" w:h="16838"/>
          <w:pgMar w:top="1417" w:right="1417" w:bottom="1417" w:left="1701" w:header="851" w:footer="992" w:gutter="0"/>
          <w:cols w:space="0" w:num="1"/>
          <w:titlePg/>
          <w:docGrid w:linePitch="312" w:charSpace="0"/>
        </w:sectPr>
      </w:pPr>
      <w:bookmarkStart w:id="12" w:name="_Hlt68073093"/>
      <w:bookmarkEnd w:id="12"/>
      <w:bookmarkStart w:id="13" w:name="_Hlt68057669"/>
      <w:bookmarkEnd w:id="13"/>
      <w:bookmarkStart w:id="14" w:name="_Hlt74729768"/>
      <w:bookmarkEnd w:id="14"/>
      <w:bookmarkStart w:id="15" w:name="_Hlt75236101"/>
      <w:bookmarkEnd w:id="15"/>
      <w:bookmarkStart w:id="16" w:name="_Hlt75236011"/>
      <w:bookmarkEnd w:id="16"/>
      <w:bookmarkStart w:id="17" w:name="_Hlt68072998"/>
      <w:bookmarkEnd w:id="17"/>
      <w:bookmarkStart w:id="18" w:name="_Hlt74707468"/>
      <w:bookmarkEnd w:id="18"/>
      <w:bookmarkStart w:id="19" w:name="_Hlt75236290"/>
      <w:bookmarkEnd w:id="19"/>
      <w:bookmarkStart w:id="20" w:name="_Hlt68403820"/>
      <w:bookmarkEnd w:id="20"/>
      <w:bookmarkStart w:id="21" w:name="_Hlt74730295"/>
      <w:bookmarkEnd w:id="21"/>
      <w:bookmarkStart w:id="22" w:name="_Hlt74714665"/>
      <w:bookmarkEnd w:id="22"/>
      <w:bookmarkStart w:id="23" w:name="_Hlt68072990"/>
      <w:bookmarkEnd w:id="23"/>
    </w:p>
    <w:bookmarkEnd w:id="9"/>
    <w:p w14:paraId="4D5CD21C">
      <w:pPr>
        <w:spacing w:line="420" w:lineRule="exact"/>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第三部分</w:t>
      </w:r>
      <w:r>
        <w:rPr>
          <w:rFonts w:hint="eastAsia" w:ascii="仿宋" w:hAnsi="仿宋" w:eastAsia="仿宋" w:cs="仿宋"/>
          <w:b/>
          <w:color w:val="auto"/>
          <w:sz w:val="36"/>
          <w:szCs w:val="20"/>
        </w:rPr>
        <w:t xml:space="preserve"> </w:t>
      </w:r>
      <w:r>
        <w:rPr>
          <w:rFonts w:hint="eastAsia" w:ascii="仿宋" w:hAnsi="仿宋" w:eastAsia="仿宋" w:cs="仿宋"/>
          <w:b/>
          <w:color w:val="auto"/>
          <w:sz w:val="36"/>
          <w:szCs w:val="36"/>
        </w:rPr>
        <w:t>采购需求</w:t>
      </w:r>
    </w:p>
    <w:p w14:paraId="7CF55303">
      <w:pPr>
        <w:spacing w:before="120" w:beforeLines="50" w:line="340" w:lineRule="exact"/>
        <w:rPr>
          <w:rFonts w:hint="eastAsia" w:ascii="仿宋" w:hAnsi="仿宋" w:eastAsia="仿宋"/>
          <w:b/>
          <w:color w:val="auto"/>
          <w:sz w:val="28"/>
          <w:szCs w:val="28"/>
        </w:rPr>
      </w:pPr>
      <w:r>
        <w:rPr>
          <w:rFonts w:hint="eastAsia" w:ascii="仿宋" w:hAnsi="仿宋" w:eastAsia="仿宋"/>
          <w:b/>
          <w:color w:val="auto"/>
          <w:sz w:val="28"/>
          <w:szCs w:val="28"/>
        </w:rPr>
        <w:t>一、采购内容一览表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2877"/>
        <w:gridCol w:w="694"/>
        <w:gridCol w:w="534"/>
        <w:gridCol w:w="1581"/>
        <w:gridCol w:w="1691"/>
        <w:gridCol w:w="1137"/>
      </w:tblGrid>
      <w:tr w14:paraId="73E5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73" w:type="pct"/>
            <w:tcBorders>
              <w:top w:val="single" w:color="auto" w:sz="4" w:space="0"/>
              <w:left w:val="single" w:color="auto" w:sz="4" w:space="0"/>
              <w:bottom w:val="single" w:color="auto" w:sz="4" w:space="0"/>
              <w:right w:val="single" w:color="auto" w:sz="4" w:space="0"/>
            </w:tcBorders>
            <w:vAlign w:val="center"/>
          </w:tcPr>
          <w:p w14:paraId="6A7E87EF">
            <w:pPr>
              <w:spacing w:before="120" w:beforeLines="50" w:line="340" w:lineRule="exact"/>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序号</w:t>
            </w:r>
          </w:p>
        </w:tc>
        <w:tc>
          <w:tcPr>
            <w:tcW w:w="1596" w:type="pct"/>
            <w:tcBorders>
              <w:top w:val="single" w:color="auto" w:sz="4" w:space="0"/>
              <w:left w:val="single" w:color="auto" w:sz="4" w:space="0"/>
              <w:bottom w:val="single" w:color="auto" w:sz="4" w:space="0"/>
              <w:right w:val="single" w:color="auto" w:sz="4" w:space="0"/>
            </w:tcBorders>
            <w:vAlign w:val="center"/>
          </w:tcPr>
          <w:p w14:paraId="1331C0C1">
            <w:pPr>
              <w:spacing w:before="120" w:beforeLines="50" w:line="340" w:lineRule="exact"/>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标项名称</w:t>
            </w:r>
          </w:p>
        </w:tc>
        <w:tc>
          <w:tcPr>
            <w:tcW w:w="385" w:type="pct"/>
            <w:tcBorders>
              <w:top w:val="single" w:color="auto" w:sz="4" w:space="0"/>
              <w:left w:val="single" w:color="auto" w:sz="4" w:space="0"/>
              <w:bottom w:val="single" w:color="auto" w:sz="4" w:space="0"/>
              <w:right w:val="single" w:color="auto" w:sz="4" w:space="0"/>
            </w:tcBorders>
            <w:vAlign w:val="center"/>
          </w:tcPr>
          <w:p w14:paraId="76BC7949">
            <w:pPr>
              <w:spacing w:before="120" w:beforeLines="50" w:line="340" w:lineRule="exact"/>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数量</w:t>
            </w:r>
          </w:p>
        </w:tc>
        <w:tc>
          <w:tcPr>
            <w:tcW w:w="296" w:type="pct"/>
            <w:tcBorders>
              <w:top w:val="single" w:color="auto" w:sz="4" w:space="0"/>
              <w:left w:val="single" w:color="auto" w:sz="4" w:space="0"/>
              <w:bottom w:val="single" w:color="auto" w:sz="4" w:space="0"/>
              <w:right w:val="single" w:color="auto" w:sz="4" w:space="0"/>
            </w:tcBorders>
            <w:vAlign w:val="center"/>
          </w:tcPr>
          <w:p w14:paraId="3785E92B">
            <w:pPr>
              <w:spacing w:before="120" w:beforeLines="50" w:line="340" w:lineRule="exact"/>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单位</w:t>
            </w:r>
          </w:p>
        </w:tc>
        <w:tc>
          <w:tcPr>
            <w:tcW w:w="877" w:type="pct"/>
            <w:tcBorders>
              <w:top w:val="single" w:color="auto" w:sz="4" w:space="0"/>
              <w:left w:val="single" w:color="auto" w:sz="4" w:space="0"/>
              <w:bottom w:val="single" w:color="auto" w:sz="4" w:space="0"/>
              <w:right w:val="single" w:color="auto" w:sz="4" w:space="0"/>
            </w:tcBorders>
            <w:vAlign w:val="center"/>
          </w:tcPr>
          <w:p w14:paraId="274EF602">
            <w:pPr>
              <w:spacing w:before="120" w:beforeLines="50" w:line="340" w:lineRule="exact"/>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预算金额</w:t>
            </w:r>
          </w:p>
        </w:tc>
        <w:tc>
          <w:tcPr>
            <w:tcW w:w="938" w:type="pct"/>
            <w:tcBorders>
              <w:top w:val="single" w:color="auto" w:sz="4" w:space="0"/>
              <w:left w:val="single" w:color="auto" w:sz="4" w:space="0"/>
              <w:bottom w:val="single" w:color="auto" w:sz="4" w:space="0"/>
              <w:right w:val="single" w:color="auto" w:sz="4" w:space="0"/>
            </w:tcBorders>
            <w:vAlign w:val="center"/>
          </w:tcPr>
          <w:p w14:paraId="1B4066F9">
            <w:pPr>
              <w:spacing w:before="120" w:beforeLines="50" w:line="340" w:lineRule="exact"/>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服务周期</w:t>
            </w:r>
          </w:p>
        </w:tc>
        <w:tc>
          <w:tcPr>
            <w:tcW w:w="631" w:type="pct"/>
            <w:tcBorders>
              <w:top w:val="single" w:color="auto" w:sz="4" w:space="0"/>
              <w:left w:val="single" w:color="auto" w:sz="4" w:space="0"/>
              <w:bottom w:val="single" w:color="auto" w:sz="4" w:space="0"/>
              <w:right w:val="single" w:color="auto" w:sz="4" w:space="0"/>
            </w:tcBorders>
            <w:vAlign w:val="center"/>
          </w:tcPr>
          <w:p w14:paraId="10BB136F">
            <w:pPr>
              <w:spacing w:before="120" w:beforeLines="50" w:line="340" w:lineRule="exact"/>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备注</w:t>
            </w:r>
          </w:p>
        </w:tc>
      </w:tr>
      <w:tr w14:paraId="23E1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73" w:type="pct"/>
            <w:tcBorders>
              <w:top w:val="single" w:color="auto" w:sz="4" w:space="0"/>
              <w:left w:val="single" w:color="auto" w:sz="4" w:space="0"/>
              <w:bottom w:val="single" w:color="auto" w:sz="4" w:space="0"/>
              <w:right w:val="single" w:color="auto" w:sz="4" w:space="0"/>
            </w:tcBorders>
            <w:vAlign w:val="center"/>
          </w:tcPr>
          <w:p w14:paraId="3EC45A57">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1</w:t>
            </w:r>
          </w:p>
        </w:tc>
        <w:tc>
          <w:tcPr>
            <w:tcW w:w="1596" w:type="pct"/>
            <w:tcBorders>
              <w:top w:val="single" w:color="auto" w:sz="4" w:space="0"/>
              <w:left w:val="single" w:color="auto" w:sz="4" w:space="0"/>
              <w:bottom w:val="single" w:color="auto" w:sz="4" w:space="0"/>
              <w:right w:val="single" w:color="auto" w:sz="4" w:space="0"/>
            </w:tcBorders>
            <w:vAlign w:val="center"/>
          </w:tcPr>
          <w:p w14:paraId="0DCA9167">
            <w:pPr>
              <w:spacing w:line="340" w:lineRule="exact"/>
              <w:jc w:val="center"/>
              <w:rPr>
                <w:rFonts w:hint="eastAsia" w:ascii="仿宋" w:hAnsi="仿宋" w:eastAsia="仿宋" w:cs="宋体"/>
                <w:color w:val="auto"/>
                <w:kern w:val="0"/>
                <w:sz w:val="24"/>
              </w:rPr>
            </w:pPr>
            <w:r>
              <w:rPr>
                <w:rFonts w:hint="eastAsia" w:ascii="仿宋" w:hAnsi="仿宋" w:eastAsia="仿宋" w:cs="仿宋"/>
                <w:color w:val="auto"/>
                <w:sz w:val="24"/>
              </w:rPr>
              <w:t>杭州市公安局上城区分局2025年经济及刑事类犯罪案件专项审计服务</w:t>
            </w:r>
          </w:p>
        </w:tc>
        <w:tc>
          <w:tcPr>
            <w:tcW w:w="385" w:type="pct"/>
            <w:tcBorders>
              <w:top w:val="single" w:color="auto" w:sz="4" w:space="0"/>
              <w:left w:val="single" w:color="auto" w:sz="4" w:space="0"/>
              <w:bottom w:val="single" w:color="auto" w:sz="4" w:space="0"/>
              <w:right w:val="single" w:color="auto" w:sz="4" w:space="0"/>
            </w:tcBorders>
            <w:vAlign w:val="center"/>
          </w:tcPr>
          <w:p w14:paraId="2F38CF12">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1</w:t>
            </w:r>
          </w:p>
        </w:tc>
        <w:tc>
          <w:tcPr>
            <w:tcW w:w="296" w:type="pct"/>
            <w:tcBorders>
              <w:top w:val="single" w:color="auto" w:sz="4" w:space="0"/>
              <w:left w:val="single" w:color="auto" w:sz="4" w:space="0"/>
              <w:bottom w:val="single" w:color="auto" w:sz="4" w:space="0"/>
              <w:right w:val="single" w:color="auto" w:sz="4" w:space="0"/>
            </w:tcBorders>
            <w:vAlign w:val="center"/>
          </w:tcPr>
          <w:p w14:paraId="316CB749">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项</w:t>
            </w:r>
          </w:p>
        </w:tc>
        <w:tc>
          <w:tcPr>
            <w:tcW w:w="877" w:type="pct"/>
            <w:tcBorders>
              <w:top w:val="single" w:color="auto" w:sz="4" w:space="0"/>
              <w:left w:val="single" w:color="auto" w:sz="4" w:space="0"/>
              <w:bottom w:val="single" w:color="auto" w:sz="4" w:space="0"/>
              <w:right w:val="single" w:color="auto" w:sz="4" w:space="0"/>
            </w:tcBorders>
            <w:vAlign w:val="center"/>
          </w:tcPr>
          <w:p w14:paraId="32C04BE1">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500.00万元</w:t>
            </w:r>
          </w:p>
        </w:tc>
        <w:tc>
          <w:tcPr>
            <w:tcW w:w="938" w:type="pct"/>
            <w:tcBorders>
              <w:top w:val="single" w:color="auto" w:sz="4" w:space="0"/>
              <w:left w:val="single" w:color="auto" w:sz="4" w:space="0"/>
              <w:bottom w:val="single" w:color="auto" w:sz="4" w:space="0"/>
              <w:right w:val="single" w:color="auto" w:sz="4" w:space="0"/>
            </w:tcBorders>
            <w:vAlign w:val="center"/>
          </w:tcPr>
          <w:p w14:paraId="162BC0D8">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合同签订之日起至满1年</w:t>
            </w:r>
          </w:p>
        </w:tc>
        <w:tc>
          <w:tcPr>
            <w:tcW w:w="631" w:type="pct"/>
            <w:tcBorders>
              <w:top w:val="single" w:color="auto" w:sz="4" w:space="0"/>
              <w:left w:val="single" w:color="auto" w:sz="4" w:space="0"/>
              <w:bottom w:val="single" w:color="auto" w:sz="4" w:space="0"/>
              <w:right w:val="single" w:color="auto" w:sz="4" w:space="0"/>
            </w:tcBorders>
            <w:vAlign w:val="center"/>
          </w:tcPr>
          <w:p w14:paraId="2791EA99">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最终按实际案件结算</w:t>
            </w:r>
          </w:p>
        </w:tc>
      </w:tr>
    </w:tbl>
    <w:p w14:paraId="255E23E9">
      <w:pPr>
        <w:spacing w:before="120" w:beforeLines="50" w:line="340" w:lineRule="exact"/>
        <w:rPr>
          <w:rFonts w:hint="eastAsia" w:ascii="仿宋" w:hAnsi="仿宋" w:eastAsia="仿宋"/>
          <w:b/>
          <w:color w:val="auto"/>
          <w:sz w:val="28"/>
          <w:szCs w:val="28"/>
        </w:rPr>
      </w:pPr>
      <w:r>
        <w:rPr>
          <w:rFonts w:hint="eastAsia" w:ascii="仿宋" w:hAnsi="仿宋" w:eastAsia="仿宋"/>
          <w:b/>
          <w:color w:val="auto"/>
          <w:sz w:val="28"/>
          <w:szCs w:val="28"/>
        </w:rPr>
        <w:t>二、项目需求</w:t>
      </w:r>
    </w:p>
    <w:p w14:paraId="2794780A">
      <w:pPr>
        <w:spacing w:before="120" w:beforeLines="50" w:line="340" w:lineRule="exact"/>
        <w:ind w:firstLine="482" w:firstLineChars="200"/>
        <w:rPr>
          <w:rFonts w:hint="eastAsia" w:ascii="仿宋" w:hAnsi="仿宋" w:eastAsia="仿宋" w:cs="宋体"/>
          <w:b/>
          <w:bCs/>
          <w:color w:val="auto"/>
          <w:kern w:val="0"/>
          <w:sz w:val="24"/>
        </w:rPr>
      </w:pPr>
      <w:r>
        <w:rPr>
          <w:rFonts w:hint="eastAsia" w:ascii="仿宋" w:hAnsi="仿宋" w:eastAsia="仿宋" w:cs="宋体"/>
          <w:b/>
          <w:bCs/>
          <w:color w:val="auto"/>
          <w:kern w:val="0"/>
          <w:sz w:val="24"/>
        </w:rPr>
        <w:t>（一）服务内容及范围</w:t>
      </w:r>
    </w:p>
    <w:p w14:paraId="05CDDBAC">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本项目为</w:t>
      </w:r>
      <w:r>
        <w:rPr>
          <w:rFonts w:hint="eastAsia" w:ascii="仿宋" w:hAnsi="仿宋" w:eastAsia="仿宋" w:cs="仿宋"/>
          <w:color w:val="auto"/>
          <w:sz w:val="24"/>
        </w:rPr>
        <w:t>杭州市公安局上城区分局2025年经济及刑事类犯罪案件专项审计服务</w:t>
      </w:r>
      <w:r>
        <w:rPr>
          <w:rFonts w:hint="eastAsia" w:ascii="仿宋" w:hAnsi="仿宋" w:eastAsia="仿宋" w:cs="宋体"/>
          <w:color w:val="auto"/>
          <w:kern w:val="0"/>
          <w:sz w:val="24"/>
        </w:rPr>
        <w:t>，主要服务内容为，根据采购方委托的事项或内容进行审计，对与查证案件相关的会计资料、经营信息资料及财产和资金资料等，依照国家有关法律和审计准则，出具真实、有效的书面审计意见。</w:t>
      </w:r>
    </w:p>
    <w:p w14:paraId="45710643">
      <w:pPr>
        <w:spacing w:before="120" w:beforeLines="50" w:line="340" w:lineRule="exact"/>
        <w:ind w:firstLine="482" w:firstLineChars="200"/>
        <w:rPr>
          <w:rFonts w:hint="eastAsia" w:ascii="仿宋" w:hAnsi="仿宋" w:eastAsia="仿宋" w:cs="宋体"/>
          <w:b/>
          <w:bCs/>
          <w:color w:val="auto"/>
          <w:kern w:val="0"/>
          <w:sz w:val="24"/>
        </w:rPr>
      </w:pPr>
      <w:r>
        <w:rPr>
          <w:rFonts w:hint="eastAsia" w:ascii="仿宋" w:hAnsi="仿宋" w:eastAsia="仿宋" w:cs="宋体"/>
          <w:b/>
          <w:bCs/>
          <w:color w:val="auto"/>
          <w:kern w:val="0"/>
          <w:sz w:val="24"/>
        </w:rPr>
        <w:t>（二）服务要求</w:t>
      </w:r>
    </w:p>
    <w:p w14:paraId="1C0A1BB3">
      <w:pPr>
        <w:spacing w:before="120" w:beforeLines="50" w:line="340" w:lineRule="exact"/>
        <w:ind w:firstLine="482" w:firstLineChars="200"/>
        <w:rPr>
          <w:rFonts w:hint="eastAsia" w:ascii="仿宋" w:hAnsi="仿宋" w:eastAsia="仿宋" w:cs="宋体"/>
          <w:color w:val="auto"/>
          <w:kern w:val="0"/>
          <w:sz w:val="24"/>
        </w:rPr>
      </w:pPr>
      <w:r>
        <w:rPr>
          <w:rFonts w:hint="eastAsia" w:ascii="仿宋" w:hAnsi="仿宋" w:eastAsia="仿宋" w:cs="宋体"/>
          <w:b/>
          <w:bCs/>
          <w:color w:val="auto"/>
          <w:kern w:val="0"/>
          <w:sz w:val="24"/>
        </w:rPr>
        <w:t>（1）服务内容：</w:t>
      </w:r>
      <w:r>
        <w:rPr>
          <w:rFonts w:hint="eastAsia" w:ascii="仿宋" w:hAnsi="仿宋" w:eastAsia="仿宋" w:cs="宋体"/>
          <w:color w:val="auto"/>
          <w:kern w:val="0"/>
          <w:sz w:val="24"/>
        </w:rPr>
        <w:t>审计公安局经济类刑事案件等。审计的基本内容如下：</w:t>
      </w:r>
    </w:p>
    <w:p w14:paraId="4AD54FF5">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①审查被审计单位及项目的涉案资金总体情况及资金操作模式；</w:t>
      </w:r>
    </w:p>
    <w:p w14:paraId="7469511A">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②审查涉案资金的来源德尔真实性、完整性及资金流入和流出情况；</w:t>
      </w:r>
    </w:p>
    <w:p w14:paraId="07595041">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③审查涉案公司的基本情况、经营模式、整体资产负债情况、财务状况、分析确认其盈亏及其亏损原因；</w:t>
      </w:r>
    </w:p>
    <w:p w14:paraId="08688032">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④查明涉案公司涉案人员在资金运作过程中是否存在提现、私分、挥霍或者转移、隐匿资金等情况</w:t>
      </w:r>
    </w:p>
    <w:p w14:paraId="2C0AA295">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⑤查证涉案资金去向，并根据公安机关要求协助查找追缴账款线索；</w:t>
      </w:r>
    </w:p>
    <w:p w14:paraId="2F0BEC3F">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⑥根据案件需要认为需审查的其他经济情况；</w:t>
      </w:r>
    </w:p>
    <w:p w14:paraId="7772F69D">
      <w:pPr>
        <w:spacing w:before="120" w:beforeLines="50" w:line="340" w:lineRule="exact"/>
        <w:ind w:firstLine="482" w:firstLineChars="200"/>
        <w:rPr>
          <w:rFonts w:hint="eastAsia" w:ascii="仿宋" w:hAnsi="仿宋" w:eastAsia="仿宋" w:cs="宋体"/>
          <w:b/>
          <w:bCs/>
          <w:color w:val="auto"/>
          <w:kern w:val="0"/>
          <w:sz w:val="24"/>
        </w:rPr>
      </w:pPr>
      <w:r>
        <w:rPr>
          <w:rFonts w:hint="eastAsia" w:ascii="仿宋" w:hAnsi="仿宋" w:eastAsia="仿宋" w:cs="宋体"/>
          <w:b/>
          <w:bCs/>
          <w:color w:val="auto"/>
          <w:kern w:val="0"/>
          <w:sz w:val="24"/>
        </w:rPr>
        <w:t>（2）服务人员要求：</w:t>
      </w:r>
    </w:p>
    <w:p w14:paraId="106BDB0D">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highlight w:val="none"/>
        </w:rPr>
        <w:t>投标人整体配备注册会计师不少于</w:t>
      </w:r>
      <w:r>
        <w:rPr>
          <w:rFonts w:hint="eastAsia" w:ascii="仿宋" w:hAnsi="仿宋" w:eastAsia="仿宋" w:cs="宋体"/>
          <w:color w:val="auto"/>
          <w:kern w:val="0"/>
          <w:sz w:val="24"/>
          <w:highlight w:val="none"/>
          <w:lang w:eastAsia="zh-CN"/>
        </w:rPr>
        <w:t>3</w:t>
      </w:r>
      <w:r>
        <w:rPr>
          <w:rFonts w:hint="eastAsia" w:ascii="仿宋" w:hAnsi="仿宋" w:eastAsia="仿宋" w:cs="宋体"/>
          <w:color w:val="auto"/>
          <w:kern w:val="0"/>
          <w:sz w:val="24"/>
          <w:highlight w:val="none"/>
          <w:lang w:val="en-US" w:eastAsia="zh-CN"/>
        </w:rPr>
        <w:t>0</w:t>
      </w:r>
      <w:r>
        <w:rPr>
          <w:rFonts w:hint="eastAsia" w:ascii="仿宋" w:hAnsi="仿宋" w:eastAsia="仿宋" w:cs="宋体"/>
          <w:color w:val="auto"/>
          <w:kern w:val="0"/>
          <w:sz w:val="24"/>
          <w:highlight w:val="none"/>
        </w:rPr>
        <w:t>人</w:t>
      </w:r>
      <w:r>
        <w:rPr>
          <w:rFonts w:hint="eastAsia" w:ascii="仿宋" w:hAnsi="仿宋" w:eastAsia="仿宋" w:cs="宋体"/>
          <w:color w:val="auto"/>
          <w:kern w:val="0"/>
          <w:sz w:val="24"/>
        </w:rPr>
        <w:t>，应为中标后每个审计项目至少配备项目负责人1人、审计人员4人，负责与采购人对接项目相关事宜，并根据具体案件情况，还应按采购人要求的数量提供额外的审计人员开展服务。案件侦办过程中，派出人员应按采购人要求提供远程或者驻场服务。投标人派出的项目负责人及审计人员，需由招标人进行为期两周的试用，试用不合格的，投标人应重新调整派出人员至符合招标人工作要求。试用不合格的人员，试用期间费用从总的审计服务费中进行扣除。更换三次人员仍无法满足采购人工作要求的，采购人可直接解除合同。</w:t>
      </w:r>
    </w:p>
    <w:p w14:paraId="14BF3880">
      <w:pPr>
        <w:spacing w:before="120" w:beforeLines="50" w:line="340" w:lineRule="exact"/>
        <w:ind w:firstLine="482" w:firstLineChars="200"/>
        <w:rPr>
          <w:rFonts w:hint="eastAsia" w:ascii="仿宋" w:hAnsi="仿宋" w:eastAsia="仿宋" w:cs="宋体"/>
          <w:b/>
          <w:bCs/>
          <w:color w:val="auto"/>
          <w:kern w:val="0"/>
          <w:sz w:val="24"/>
        </w:rPr>
      </w:pPr>
      <w:r>
        <w:rPr>
          <w:rFonts w:hint="eastAsia" w:ascii="仿宋" w:hAnsi="仿宋" w:eastAsia="仿宋" w:cs="宋体"/>
          <w:b/>
          <w:bCs/>
          <w:color w:val="auto"/>
          <w:kern w:val="0"/>
          <w:sz w:val="24"/>
        </w:rPr>
        <w:t>（3）服务时间要求：</w:t>
      </w:r>
    </w:p>
    <w:p w14:paraId="06E73183">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审计服务过程中，投标人应按照采购人根据具体案件侦办要求确定的时间节点完成相关工作，如对犯罪嫌疑人已采取刑事强制措施的，投标人应按照强制措施的相应时间完成审计任务。因投标人原因，未能按采购人要求的时间完成相关工作的，应考核扣减相应审计费用。如案件情况紧急，投标人应根据采购人需求做到2小时内即时响应配合。如因投标人未能即时响应导致案件侦办受影响的，采购人可终止合同、至追究投标人责任。数据提供后15天需出具初步报告，30天出具最终报告。</w:t>
      </w:r>
    </w:p>
    <w:p w14:paraId="6E632C1A">
      <w:pPr>
        <w:spacing w:before="120" w:beforeLines="50" w:line="340" w:lineRule="exact"/>
        <w:ind w:firstLine="482" w:firstLineChars="200"/>
        <w:rPr>
          <w:rFonts w:hint="eastAsia" w:ascii="仿宋" w:hAnsi="仿宋" w:eastAsia="仿宋" w:cs="宋体"/>
          <w:b/>
          <w:bCs/>
          <w:color w:val="auto"/>
          <w:kern w:val="0"/>
          <w:sz w:val="24"/>
        </w:rPr>
      </w:pPr>
      <w:r>
        <w:rPr>
          <w:rFonts w:hint="eastAsia" w:ascii="仿宋" w:hAnsi="仿宋" w:eastAsia="仿宋" w:cs="宋体"/>
          <w:b/>
          <w:bCs/>
          <w:color w:val="auto"/>
          <w:kern w:val="0"/>
          <w:sz w:val="24"/>
        </w:rPr>
        <w:t>（4）保密要求：</w:t>
      </w:r>
    </w:p>
    <w:p w14:paraId="6D9FE684">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投标人中标后，投标人及派出审计人员需签订保密承诺，人员未经采购人同意不得调整更换，根据案件工作要求，审计人员需驻现场办公。投标人应按采购人要求加强现场及人员管理，未经允许不得将资料及数据带出工作地点，不得使用通信工具进行拍摄、录音等。一旦发生失泄密情况，应考核扣减审计费用、</w:t>
      </w:r>
      <w:bookmarkStart w:id="24" w:name="_Hlk144026169"/>
      <w:r>
        <w:rPr>
          <w:rFonts w:hint="eastAsia" w:ascii="仿宋" w:hAnsi="仿宋" w:eastAsia="仿宋" w:cs="宋体"/>
          <w:color w:val="auto"/>
          <w:kern w:val="0"/>
          <w:sz w:val="24"/>
        </w:rPr>
        <w:t>终止合同、至追究投标人责任。</w:t>
      </w:r>
    </w:p>
    <w:bookmarkEnd w:id="24"/>
    <w:p w14:paraId="2A5B4692">
      <w:pPr>
        <w:spacing w:before="120" w:beforeLines="50" w:line="340" w:lineRule="exact"/>
        <w:ind w:firstLine="482" w:firstLineChars="200"/>
        <w:rPr>
          <w:rFonts w:hint="eastAsia" w:ascii="仿宋" w:hAnsi="仿宋" w:eastAsia="仿宋" w:cs="宋体"/>
          <w:b/>
          <w:bCs/>
          <w:color w:val="auto"/>
          <w:kern w:val="0"/>
          <w:sz w:val="24"/>
        </w:rPr>
      </w:pPr>
      <w:r>
        <w:rPr>
          <w:rFonts w:hint="eastAsia" w:ascii="仿宋" w:hAnsi="仿宋" w:eastAsia="仿宋" w:cs="宋体"/>
          <w:b/>
          <w:bCs/>
          <w:color w:val="auto"/>
          <w:kern w:val="0"/>
          <w:sz w:val="24"/>
        </w:rPr>
        <w:t>（5）审计工作要求：</w:t>
      </w:r>
    </w:p>
    <w:p w14:paraId="0AAF292E">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①审计工作应根据具体案件的情况，制定有针对性的审计方案。</w:t>
      </w:r>
    </w:p>
    <w:p w14:paraId="7CCB90E4">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②审计结论必须能够客观真实的反映审计资料的事实属性。</w:t>
      </w:r>
    </w:p>
    <w:p w14:paraId="28826A19">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③审计结论的依据必须充足、真实、合法，可以作为案件证据使用。</w:t>
      </w:r>
    </w:p>
    <w:p w14:paraId="2E2D10E2">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④对被审查单位、项目及个人的审查过程及内容均有书面记录，以便采购人查阅；</w:t>
      </w:r>
    </w:p>
    <w:p w14:paraId="11ED72BD">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⑤完成本项目全部内容后应出具相应的审计报告，格式及内容需满足交易人要求；</w:t>
      </w:r>
    </w:p>
    <w:p w14:paraId="5D577ED2">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⑥在审计报告中必须说明办案审计的方法、过程及得出结论的依据，必要时应附上相关的书面依据、证据。</w:t>
      </w:r>
    </w:p>
    <w:p w14:paraId="00A9270B">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⑦对不能得出具体结论、但又存在疑点的问题，应对疑点的成因等做出书面说明，并提供相关的书面材料依据。</w:t>
      </w:r>
    </w:p>
    <w:p w14:paraId="744B81EC">
      <w:pPr>
        <w:spacing w:before="120" w:beforeLines="50" w:line="340" w:lineRule="exact"/>
        <w:ind w:firstLine="482" w:firstLineChars="200"/>
        <w:rPr>
          <w:rFonts w:hint="eastAsia" w:ascii="仿宋" w:hAnsi="仿宋" w:eastAsia="仿宋" w:cs="宋体"/>
          <w:b/>
          <w:bCs/>
          <w:color w:val="auto"/>
          <w:kern w:val="0"/>
          <w:sz w:val="24"/>
        </w:rPr>
      </w:pPr>
      <w:r>
        <w:rPr>
          <w:rFonts w:hint="eastAsia" w:ascii="仿宋" w:hAnsi="仿宋" w:eastAsia="仿宋" w:cs="宋体"/>
          <w:b/>
          <w:bCs/>
          <w:color w:val="auto"/>
          <w:kern w:val="0"/>
          <w:sz w:val="24"/>
        </w:rPr>
        <w:t>（6）服务管理要求：</w:t>
      </w:r>
    </w:p>
    <w:p w14:paraId="0FC42C08">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①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14:paraId="73D9E022">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②项目负责人应为中标人在职人员，具有类似本项目的服务管理经验，项目组人员的数量应足够满足本项目服务需要，具有良好的职业道德和严谨的工作作风。</w:t>
      </w:r>
    </w:p>
    <w:p w14:paraId="08785F28">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③中标人在组织项目服务实施期间，应按采购人实际服务需求落实所对应提供的服务工作，中标人在项目服务实施期间应做好相关管理记录，保证满足采购人服务需求。</w:t>
      </w:r>
    </w:p>
    <w:p w14:paraId="0CE73D1A">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④经采购人确认的项目负责人和项目组人员及数量，未经采购人书面批准不得随意调换或撤离，若自行更换或撤离，按照合同违约处理。</w:t>
      </w:r>
    </w:p>
    <w:p w14:paraId="1E1FD16F">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⑤审计服务所涉及的资料，应按委托项目建立档案，含书面原件、电子文档及软件文档，档案保存年限按相关标准执行。</w:t>
      </w:r>
    </w:p>
    <w:p w14:paraId="45B251A3">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⑥中标人应具备有关行业管理部门规定的在杭州实施本项目服务所需的资质、资格和一切手续，由此引起的所有有关事宜及费用由投标人自行负责。</w:t>
      </w:r>
    </w:p>
    <w:p w14:paraId="64F2AA89">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⑦中标人应对其审计报价准确性和真实性等相关要求负责。</w:t>
      </w:r>
    </w:p>
    <w:p w14:paraId="4C853F2F">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⑧审计单位承接委托任务后只可在联合体范围内进行委托或分包，否则采购人将取消其中标资格。</w:t>
      </w:r>
    </w:p>
    <w:p w14:paraId="2ED5B9C1">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⑨中标人应具备完善的信息安全管理体系，确保审计服务过程中的涉案信息数据安全，防止相关信息泄露或滥用。</w:t>
      </w:r>
    </w:p>
    <w:p w14:paraId="5843E61F">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⑩中标人应具备处理海量案件资金及其他相关数据的处理能力，能够快速、准确地分析涉案数据情况及 资金流向，辅助公安机关进行案件侦办。</w:t>
      </w:r>
    </w:p>
    <w:p w14:paraId="3FE01844">
      <w:pPr>
        <w:spacing w:before="120" w:beforeLines="50" w:line="340" w:lineRule="exact"/>
        <w:ind w:firstLine="482" w:firstLineChars="200"/>
        <w:rPr>
          <w:rFonts w:hint="eastAsia" w:ascii="仿宋" w:hAnsi="仿宋" w:eastAsia="仿宋" w:cs="宋体"/>
          <w:b/>
          <w:bCs/>
          <w:color w:val="auto"/>
          <w:kern w:val="0"/>
          <w:sz w:val="24"/>
        </w:rPr>
      </w:pPr>
      <w:r>
        <w:rPr>
          <w:rFonts w:hint="eastAsia" w:ascii="仿宋" w:hAnsi="仿宋" w:eastAsia="仿宋" w:cs="宋体"/>
          <w:b/>
          <w:bCs/>
          <w:color w:val="auto"/>
          <w:kern w:val="0"/>
          <w:sz w:val="24"/>
        </w:rPr>
        <w:t>（7）服务质量需求</w:t>
      </w:r>
    </w:p>
    <w:p w14:paraId="130FBCDA">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①投标人应熟悉国家、省，市有关部门关于公司财务审计管理方面的法律、法规及相关政策，并有丰富的项目经验，应根据有关规定，本着为采购人查清案件及追赃挽损的原则，科学、客观，公正地开展审计工作，同时按时保质提供司法审计报告,并对报告的真实性、准确性负责，并负有保密责任。</w:t>
      </w:r>
    </w:p>
    <w:p w14:paraId="5DCCA9FF">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②投标人管理制度健全，审计服务方案完善、有详细的保密制度、质量保证措施和进度计划安排及保证措施。</w:t>
      </w:r>
    </w:p>
    <w:p w14:paraId="0FA27B53">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③投标人应针对本项目提出服务承诺，服务承诺至少应包括遵纪守法、恪守职业道德、廉洁从业、保证服务质量等方面。</w:t>
      </w:r>
    </w:p>
    <w:p w14:paraId="6761D0E7">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④审计服务工作中的各项取证资料要完整，作好档案管理工作，方便采购人及相关部门使用。</w:t>
      </w:r>
    </w:p>
    <w:p w14:paraId="2E981F23">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⑤严格按照采购人的有关规定和要求实施审计服务，接受采购人的指导、监督和管理，同时按采购人的质量和进度要求及时提供结果以及与服务事项相关的资料。按采购人规定的格式、要求起草有关文书和其他材料。</w:t>
      </w:r>
    </w:p>
    <w:p w14:paraId="1CEF46CD">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⑥不得以任何借口违反独立审计准则和质量控制准则，降低执业质量，愿意接受相关部门对项目质量的审查考核。</w:t>
      </w:r>
    </w:p>
    <w:p w14:paraId="227BEC15">
      <w:pPr>
        <w:spacing w:before="120" w:beforeLines="50" w:line="340" w:lineRule="exact"/>
        <w:ind w:firstLine="482" w:firstLineChars="200"/>
        <w:rPr>
          <w:rFonts w:hint="eastAsia" w:ascii="仿宋" w:hAnsi="仿宋" w:eastAsia="仿宋" w:cs="宋体"/>
          <w:b/>
          <w:bCs/>
          <w:color w:val="auto"/>
          <w:kern w:val="0"/>
          <w:sz w:val="24"/>
        </w:rPr>
      </w:pPr>
      <w:r>
        <w:rPr>
          <w:rFonts w:hint="eastAsia" w:ascii="仿宋" w:hAnsi="仿宋" w:eastAsia="仿宋" w:cs="宋体"/>
          <w:b/>
          <w:bCs/>
          <w:color w:val="auto"/>
          <w:kern w:val="0"/>
          <w:sz w:val="24"/>
        </w:rPr>
        <w:t>（8）服务时间和地点要求</w:t>
      </w:r>
    </w:p>
    <w:p w14:paraId="071CB1A8">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①服务地点：交易人指定地点；</w:t>
      </w:r>
    </w:p>
    <w:p w14:paraId="72D82D34">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②报告出具时间要求：数据提供后20天需出具初步报告，40天出具最终报告；</w:t>
      </w:r>
    </w:p>
    <w:p w14:paraId="6A4B266A">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③合同签订日为起始时间，案件移送法院日为合同初步完成时间。对交易要求中未尽事项，根据公安机关实际办案需求及后期检察院与法院要求完成相关审计工作。</w:t>
      </w:r>
    </w:p>
    <w:p w14:paraId="600D9A88">
      <w:pPr>
        <w:spacing w:before="120" w:beforeLines="50" w:line="340" w:lineRule="exact"/>
        <w:rPr>
          <w:rFonts w:hint="eastAsia" w:ascii="仿宋" w:hAnsi="仿宋" w:eastAsia="仿宋"/>
          <w:b/>
          <w:color w:val="auto"/>
          <w:sz w:val="28"/>
          <w:szCs w:val="28"/>
        </w:rPr>
      </w:pPr>
      <w:r>
        <w:rPr>
          <w:rFonts w:hint="eastAsia" w:ascii="仿宋" w:hAnsi="仿宋" w:eastAsia="仿宋"/>
          <w:b/>
          <w:color w:val="auto"/>
          <w:sz w:val="28"/>
          <w:szCs w:val="28"/>
        </w:rPr>
        <w:t>三、其他要求</w:t>
      </w:r>
    </w:p>
    <w:p w14:paraId="04EE2E13">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①严格遵守国家法律和政策要求；</w:t>
      </w:r>
    </w:p>
    <w:p w14:paraId="406A3A23">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②严格遵守审计人员的职业操守与职业道德；</w:t>
      </w:r>
    </w:p>
    <w:p w14:paraId="46452323">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③对于审计对象</w:t>
      </w:r>
      <w:r>
        <w:rPr>
          <w:rFonts w:ascii="仿宋" w:hAnsi="仿宋" w:eastAsia="仿宋" w:cs="宋体"/>
          <w:color w:val="auto"/>
          <w:kern w:val="0"/>
          <w:sz w:val="24"/>
        </w:rPr>
        <w:t>情况</w:t>
      </w:r>
      <w:r>
        <w:rPr>
          <w:rFonts w:hint="eastAsia" w:ascii="仿宋" w:hAnsi="仿宋" w:eastAsia="仿宋" w:cs="宋体"/>
          <w:color w:val="auto"/>
          <w:kern w:val="0"/>
          <w:sz w:val="24"/>
        </w:rPr>
        <w:t>必须保密，避免在未定罪前影响被审计对象的正常经营或声誉；</w:t>
      </w:r>
    </w:p>
    <w:p w14:paraId="6561C80F">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④对于审计结论必须保密，避免泄露给涉案人或利害关系人，造成犯罪嫌疑人逃逸或毁灭证据等后果；</w:t>
      </w:r>
    </w:p>
    <w:p w14:paraId="7344D930">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⑤对于审计资料中涉及的商业秘密必须保密，不能用于牟利或外泄给同类经营者；</w:t>
      </w:r>
    </w:p>
    <w:p w14:paraId="334CFC4D">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⑥对审计涉及的会计资料、证据保管不善，造成资料、证据灭失的，依法追究法律责任；</w:t>
      </w:r>
    </w:p>
    <w:p w14:paraId="2B77E52C">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⑦与被审计人员或单位存在利害关系的人员，必须依法回避；</w:t>
      </w:r>
    </w:p>
    <w:p w14:paraId="319FA29A">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⑧泄露审计结果给涉案人员，造成犯罪嫌疑人逃逸或毁灭证据等的，依法追究法律责任；</w:t>
      </w:r>
    </w:p>
    <w:p w14:paraId="542DAAB6">
      <w:pPr>
        <w:spacing w:before="120" w:beforeLines="50" w:line="340" w:lineRule="exact"/>
        <w:rPr>
          <w:rFonts w:hint="eastAsia" w:ascii="仿宋" w:hAnsi="仿宋" w:eastAsia="仿宋"/>
          <w:b/>
          <w:color w:val="auto"/>
          <w:sz w:val="28"/>
          <w:szCs w:val="28"/>
        </w:rPr>
      </w:pPr>
      <w:r>
        <w:rPr>
          <w:rFonts w:hint="eastAsia" w:ascii="仿宋" w:hAnsi="仿宋" w:eastAsia="仿宋"/>
          <w:b/>
          <w:color w:val="auto"/>
          <w:sz w:val="28"/>
          <w:szCs w:val="28"/>
        </w:rPr>
        <w:t>四、报价要求</w:t>
      </w:r>
    </w:p>
    <w:p w14:paraId="76FAEDDE">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▲1.本项目投标报价含项目所需的设备费、车辆、人工费及人员保险福利费、税金、利润，完成合同所需的一切本身和不可缺的所有工作开支、政策性文件规定及合同包含的所有风险、责任等各项一切费用，</w:t>
      </w:r>
      <w:r>
        <w:rPr>
          <w:rFonts w:hint="eastAsia" w:ascii="仿宋" w:hAnsi="仿宋" w:eastAsia="仿宋" w:cs="宋体"/>
          <w:b/>
          <w:bCs/>
          <w:color w:val="auto"/>
          <w:kern w:val="0"/>
          <w:sz w:val="24"/>
        </w:rPr>
        <w:t>最终按实际结算审计费。</w:t>
      </w:r>
    </w:p>
    <w:p w14:paraId="1384511E">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2.供应商应充分考虑服务工作所投入的人力、物力成本，管理费，利润，税金及其他费用等。本次投标报价为人民币价。</w:t>
      </w:r>
    </w:p>
    <w:p w14:paraId="56289BED">
      <w:pPr>
        <w:spacing w:before="120" w:beforeLines="50" w:line="340" w:lineRule="exact"/>
        <w:ind w:firstLine="480" w:firstLineChars="200"/>
        <w:rPr>
          <w:rFonts w:hint="eastAsia" w:ascii="仿宋" w:hAnsi="仿宋" w:eastAsia="仿宋" w:cs="宋体"/>
          <w:color w:val="auto"/>
          <w:kern w:val="0"/>
          <w:sz w:val="24"/>
        </w:rPr>
      </w:pPr>
      <w:r>
        <w:rPr>
          <w:rFonts w:ascii="仿宋" w:hAnsi="仿宋" w:eastAsia="仿宋" w:cs="宋体"/>
          <w:color w:val="auto"/>
          <w:kern w:val="0"/>
          <w:sz w:val="24"/>
        </w:rPr>
        <w:t>3.</w:t>
      </w:r>
      <w:r>
        <w:rPr>
          <w:rFonts w:hint="eastAsia" w:ascii="仿宋" w:hAnsi="仿宋" w:eastAsia="仿宋" w:cs="宋体"/>
          <w:color w:val="auto"/>
          <w:kern w:val="0"/>
          <w:sz w:val="24"/>
        </w:rPr>
        <w:t>根据案件最终标的金额，依据浙江高法鉴（2004）11号《浙江省人民法院对外委托司法鉴定部分鉴定项目协商收费参考意见》，通过累进费率（见下表）计算后，</w:t>
      </w:r>
      <w:bookmarkStart w:id="25" w:name="_Hlk143117685"/>
      <w:r>
        <w:rPr>
          <w:rFonts w:hint="eastAsia" w:ascii="仿宋" w:hAnsi="仿宋" w:eastAsia="仿宋" w:cs="宋体"/>
          <w:color w:val="auto"/>
          <w:kern w:val="0"/>
          <w:sz w:val="24"/>
        </w:rPr>
        <w:t>按投标折扣率*收费标准开展结算支付。</w:t>
      </w:r>
    </w:p>
    <w:bookmarkEnd w:id="25"/>
    <w:tbl>
      <w:tblPr>
        <w:tblStyle w:val="62"/>
        <w:tblW w:w="5000" w:type="pct"/>
        <w:tblInd w:w="0" w:type="dxa"/>
        <w:tblLayout w:type="autofit"/>
        <w:tblCellMar>
          <w:top w:w="0" w:type="dxa"/>
          <w:left w:w="108" w:type="dxa"/>
          <w:bottom w:w="0" w:type="dxa"/>
          <w:right w:w="108" w:type="dxa"/>
        </w:tblCellMar>
      </w:tblPr>
      <w:tblGrid>
        <w:gridCol w:w="3620"/>
        <w:gridCol w:w="2372"/>
        <w:gridCol w:w="3013"/>
      </w:tblGrid>
      <w:tr w14:paraId="3ABA390C">
        <w:tblPrEx>
          <w:tblCellMar>
            <w:top w:w="0" w:type="dxa"/>
            <w:left w:w="108" w:type="dxa"/>
            <w:bottom w:w="0" w:type="dxa"/>
            <w:right w:w="108" w:type="dxa"/>
          </w:tblCellMar>
        </w:tblPrEx>
        <w:trPr>
          <w:trHeight w:val="285" w:hRule="atLeast"/>
        </w:trPr>
        <w:tc>
          <w:tcPr>
            <w:tcW w:w="20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F2BD7E">
            <w:pPr>
              <w:spacing w:before="120" w:beforeLines="50" w:line="340" w:lineRule="exact"/>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审计总额</w:t>
            </w:r>
          </w:p>
        </w:tc>
        <w:tc>
          <w:tcPr>
            <w:tcW w:w="1317" w:type="pct"/>
            <w:tcBorders>
              <w:top w:val="single" w:color="auto" w:sz="4" w:space="0"/>
              <w:left w:val="nil"/>
              <w:bottom w:val="single" w:color="auto" w:sz="4" w:space="0"/>
              <w:right w:val="single" w:color="auto" w:sz="4" w:space="0"/>
            </w:tcBorders>
            <w:shd w:val="clear" w:color="auto" w:fill="auto"/>
            <w:noWrap/>
            <w:vAlign w:val="center"/>
          </w:tcPr>
          <w:p w14:paraId="715C8847">
            <w:pPr>
              <w:spacing w:before="120" w:beforeLines="50" w:line="340" w:lineRule="exact"/>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费率</w:t>
            </w:r>
          </w:p>
        </w:tc>
        <w:tc>
          <w:tcPr>
            <w:tcW w:w="1673" w:type="pct"/>
            <w:tcBorders>
              <w:top w:val="single" w:color="auto" w:sz="4" w:space="0"/>
              <w:left w:val="nil"/>
              <w:bottom w:val="single" w:color="auto" w:sz="4" w:space="0"/>
              <w:right w:val="single" w:color="auto" w:sz="4" w:space="0"/>
            </w:tcBorders>
            <w:shd w:val="clear" w:color="auto" w:fill="auto"/>
            <w:noWrap/>
            <w:vAlign w:val="center"/>
          </w:tcPr>
          <w:p w14:paraId="05E4EF3A">
            <w:pPr>
              <w:spacing w:before="120" w:beforeLines="50" w:line="340" w:lineRule="exact"/>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收费标准</w:t>
            </w:r>
          </w:p>
        </w:tc>
      </w:tr>
      <w:tr w14:paraId="5AC5CF60">
        <w:tblPrEx>
          <w:tblCellMar>
            <w:top w:w="0" w:type="dxa"/>
            <w:left w:w="108" w:type="dxa"/>
            <w:bottom w:w="0" w:type="dxa"/>
            <w:right w:w="108" w:type="dxa"/>
          </w:tblCellMar>
        </w:tblPrEx>
        <w:trPr>
          <w:trHeight w:val="285" w:hRule="atLeast"/>
        </w:trPr>
        <w:tc>
          <w:tcPr>
            <w:tcW w:w="2010" w:type="pct"/>
            <w:tcBorders>
              <w:top w:val="nil"/>
              <w:left w:val="single" w:color="auto" w:sz="4" w:space="0"/>
              <w:bottom w:val="single" w:color="auto" w:sz="4" w:space="0"/>
              <w:right w:val="single" w:color="auto" w:sz="4" w:space="0"/>
            </w:tcBorders>
            <w:shd w:val="clear" w:color="auto" w:fill="auto"/>
            <w:noWrap/>
            <w:vAlign w:val="center"/>
          </w:tcPr>
          <w:p w14:paraId="152B44F3">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100</w:t>
            </w:r>
            <w:r>
              <w:rPr>
                <w:rFonts w:hint="eastAsia" w:ascii="仿宋" w:hAnsi="仿宋" w:eastAsia="仿宋" w:cs="宋体"/>
                <w:color w:val="auto"/>
                <w:kern w:val="0"/>
                <w:sz w:val="24"/>
              </w:rPr>
              <w:t>万</w:t>
            </w:r>
          </w:p>
        </w:tc>
        <w:tc>
          <w:tcPr>
            <w:tcW w:w="1317" w:type="pct"/>
            <w:tcBorders>
              <w:top w:val="nil"/>
              <w:left w:val="nil"/>
              <w:bottom w:val="single" w:color="auto" w:sz="4" w:space="0"/>
              <w:right w:val="single" w:color="auto" w:sz="4" w:space="0"/>
            </w:tcBorders>
            <w:shd w:val="clear" w:color="auto" w:fill="auto"/>
            <w:noWrap/>
            <w:vAlign w:val="center"/>
          </w:tcPr>
          <w:p w14:paraId="3800CB9C">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千分之五</w:t>
            </w:r>
          </w:p>
        </w:tc>
        <w:tc>
          <w:tcPr>
            <w:tcW w:w="1673" w:type="pct"/>
            <w:tcBorders>
              <w:top w:val="nil"/>
              <w:left w:val="nil"/>
              <w:bottom w:val="single" w:color="auto" w:sz="4" w:space="0"/>
              <w:right w:val="single" w:color="auto" w:sz="4" w:space="0"/>
            </w:tcBorders>
            <w:shd w:val="clear" w:color="auto" w:fill="auto"/>
            <w:noWrap/>
            <w:vAlign w:val="center"/>
          </w:tcPr>
          <w:p w14:paraId="118FF565">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5000</w:t>
            </w:r>
          </w:p>
        </w:tc>
      </w:tr>
      <w:tr w14:paraId="26F6A74D">
        <w:tblPrEx>
          <w:tblCellMar>
            <w:top w:w="0" w:type="dxa"/>
            <w:left w:w="108" w:type="dxa"/>
            <w:bottom w:w="0" w:type="dxa"/>
            <w:right w:w="108" w:type="dxa"/>
          </w:tblCellMar>
        </w:tblPrEx>
        <w:trPr>
          <w:trHeight w:val="285" w:hRule="atLeast"/>
        </w:trPr>
        <w:tc>
          <w:tcPr>
            <w:tcW w:w="2010" w:type="pct"/>
            <w:tcBorders>
              <w:top w:val="nil"/>
              <w:left w:val="single" w:color="auto" w:sz="4" w:space="0"/>
              <w:bottom w:val="single" w:color="auto" w:sz="4" w:space="0"/>
              <w:right w:val="single" w:color="auto" w:sz="4" w:space="0"/>
            </w:tcBorders>
            <w:shd w:val="clear" w:color="auto" w:fill="auto"/>
            <w:noWrap/>
            <w:vAlign w:val="center"/>
          </w:tcPr>
          <w:p w14:paraId="71B16BBD">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100-200</w:t>
            </w:r>
            <w:r>
              <w:rPr>
                <w:rFonts w:hint="eastAsia" w:ascii="仿宋" w:hAnsi="仿宋" w:eastAsia="仿宋" w:cs="宋体"/>
                <w:color w:val="auto"/>
                <w:kern w:val="0"/>
                <w:sz w:val="24"/>
              </w:rPr>
              <w:t>万</w:t>
            </w:r>
          </w:p>
        </w:tc>
        <w:tc>
          <w:tcPr>
            <w:tcW w:w="1317" w:type="pct"/>
            <w:tcBorders>
              <w:top w:val="nil"/>
              <w:left w:val="nil"/>
              <w:bottom w:val="single" w:color="auto" w:sz="4" w:space="0"/>
              <w:right w:val="single" w:color="auto" w:sz="4" w:space="0"/>
            </w:tcBorders>
            <w:shd w:val="clear" w:color="auto" w:fill="auto"/>
            <w:noWrap/>
            <w:vAlign w:val="center"/>
          </w:tcPr>
          <w:p w14:paraId="3E7F3802">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千分之四</w:t>
            </w:r>
          </w:p>
        </w:tc>
        <w:tc>
          <w:tcPr>
            <w:tcW w:w="1673" w:type="pct"/>
            <w:tcBorders>
              <w:top w:val="nil"/>
              <w:left w:val="nil"/>
              <w:bottom w:val="single" w:color="auto" w:sz="4" w:space="0"/>
              <w:right w:val="single" w:color="auto" w:sz="4" w:space="0"/>
            </w:tcBorders>
            <w:shd w:val="clear" w:color="auto" w:fill="auto"/>
            <w:noWrap/>
            <w:vAlign w:val="center"/>
          </w:tcPr>
          <w:p w14:paraId="3194726E">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4000</w:t>
            </w:r>
          </w:p>
        </w:tc>
      </w:tr>
      <w:tr w14:paraId="579F4666">
        <w:tblPrEx>
          <w:tblCellMar>
            <w:top w:w="0" w:type="dxa"/>
            <w:left w:w="108" w:type="dxa"/>
            <w:bottom w:w="0" w:type="dxa"/>
            <w:right w:w="108" w:type="dxa"/>
          </w:tblCellMar>
        </w:tblPrEx>
        <w:trPr>
          <w:trHeight w:val="285" w:hRule="atLeast"/>
        </w:trPr>
        <w:tc>
          <w:tcPr>
            <w:tcW w:w="2010" w:type="pct"/>
            <w:tcBorders>
              <w:top w:val="nil"/>
              <w:left w:val="single" w:color="auto" w:sz="4" w:space="0"/>
              <w:bottom w:val="single" w:color="auto" w:sz="4" w:space="0"/>
              <w:right w:val="single" w:color="auto" w:sz="4" w:space="0"/>
            </w:tcBorders>
            <w:shd w:val="clear" w:color="auto" w:fill="auto"/>
            <w:noWrap/>
            <w:vAlign w:val="center"/>
          </w:tcPr>
          <w:p w14:paraId="5F7CF76F">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200-500</w:t>
            </w:r>
            <w:r>
              <w:rPr>
                <w:rFonts w:hint="eastAsia" w:ascii="仿宋" w:hAnsi="仿宋" w:eastAsia="仿宋" w:cs="宋体"/>
                <w:color w:val="auto"/>
                <w:kern w:val="0"/>
                <w:sz w:val="24"/>
              </w:rPr>
              <w:t>万</w:t>
            </w:r>
          </w:p>
        </w:tc>
        <w:tc>
          <w:tcPr>
            <w:tcW w:w="1317" w:type="pct"/>
            <w:tcBorders>
              <w:top w:val="nil"/>
              <w:left w:val="nil"/>
              <w:bottom w:val="single" w:color="auto" w:sz="4" w:space="0"/>
              <w:right w:val="single" w:color="auto" w:sz="4" w:space="0"/>
            </w:tcBorders>
            <w:shd w:val="clear" w:color="auto" w:fill="auto"/>
            <w:noWrap/>
            <w:vAlign w:val="center"/>
          </w:tcPr>
          <w:p w14:paraId="582D3B95">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千分之三</w:t>
            </w:r>
          </w:p>
        </w:tc>
        <w:tc>
          <w:tcPr>
            <w:tcW w:w="1673" w:type="pct"/>
            <w:tcBorders>
              <w:top w:val="nil"/>
              <w:left w:val="nil"/>
              <w:bottom w:val="single" w:color="auto" w:sz="4" w:space="0"/>
              <w:right w:val="single" w:color="auto" w:sz="4" w:space="0"/>
            </w:tcBorders>
            <w:shd w:val="clear" w:color="auto" w:fill="auto"/>
            <w:noWrap/>
            <w:vAlign w:val="center"/>
          </w:tcPr>
          <w:p w14:paraId="5A53B04C">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9000</w:t>
            </w:r>
          </w:p>
        </w:tc>
      </w:tr>
      <w:tr w14:paraId="03A9D477">
        <w:tblPrEx>
          <w:tblCellMar>
            <w:top w:w="0" w:type="dxa"/>
            <w:left w:w="108" w:type="dxa"/>
            <w:bottom w:w="0" w:type="dxa"/>
            <w:right w:w="108" w:type="dxa"/>
          </w:tblCellMar>
        </w:tblPrEx>
        <w:trPr>
          <w:trHeight w:val="285" w:hRule="atLeast"/>
        </w:trPr>
        <w:tc>
          <w:tcPr>
            <w:tcW w:w="2010" w:type="pct"/>
            <w:tcBorders>
              <w:top w:val="nil"/>
              <w:left w:val="single" w:color="auto" w:sz="4" w:space="0"/>
              <w:bottom w:val="single" w:color="auto" w:sz="4" w:space="0"/>
              <w:right w:val="single" w:color="auto" w:sz="4" w:space="0"/>
            </w:tcBorders>
            <w:shd w:val="clear" w:color="auto" w:fill="auto"/>
            <w:noWrap/>
            <w:vAlign w:val="center"/>
          </w:tcPr>
          <w:p w14:paraId="145C9B63">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500-1000</w:t>
            </w:r>
            <w:r>
              <w:rPr>
                <w:rFonts w:hint="eastAsia" w:ascii="仿宋" w:hAnsi="仿宋" w:eastAsia="仿宋" w:cs="宋体"/>
                <w:color w:val="auto"/>
                <w:kern w:val="0"/>
                <w:sz w:val="24"/>
              </w:rPr>
              <w:t>万</w:t>
            </w:r>
          </w:p>
        </w:tc>
        <w:tc>
          <w:tcPr>
            <w:tcW w:w="1317" w:type="pct"/>
            <w:tcBorders>
              <w:top w:val="nil"/>
              <w:left w:val="nil"/>
              <w:bottom w:val="single" w:color="auto" w:sz="4" w:space="0"/>
              <w:right w:val="single" w:color="auto" w:sz="4" w:space="0"/>
            </w:tcBorders>
            <w:shd w:val="clear" w:color="auto" w:fill="auto"/>
            <w:noWrap/>
            <w:vAlign w:val="center"/>
          </w:tcPr>
          <w:p w14:paraId="3FC1E0C2">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千分之二</w:t>
            </w:r>
          </w:p>
        </w:tc>
        <w:tc>
          <w:tcPr>
            <w:tcW w:w="1673" w:type="pct"/>
            <w:tcBorders>
              <w:top w:val="nil"/>
              <w:left w:val="nil"/>
              <w:bottom w:val="single" w:color="auto" w:sz="4" w:space="0"/>
              <w:right w:val="single" w:color="auto" w:sz="4" w:space="0"/>
            </w:tcBorders>
            <w:shd w:val="clear" w:color="auto" w:fill="auto"/>
            <w:noWrap/>
            <w:vAlign w:val="center"/>
          </w:tcPr>
          <w:p w14:paraId="0BD84A5F">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10000</w:t>
            </w:r>
          </w:p>
        </w:tc>
      </w:tr>
      <w:tr w14:paraId="42514C6D">
        <w:tblPrEx>
          <w:tblCellMar>
            <w:top w:w="0" w:type="dxa"/>
            <w:left w:w="108" w:type="dxa"/>
            <w:bottom w:w="0" w:type="dxa"/>
            <w:right w:w="108" w:type="dxa"/>
          </w:tblCellMar>
        </w:tblPrEx>
        <w:trPr>
          <w:trHeight w:val="285" w:hRule="atLeast"/>
        </w:trPr>
        <w:tc>
          <w:tcPr>
            <w:tcW w:w="2010" w:type="pct"/>
            <w:tcBorders>
              <w:top w:val="nil"/>
              <w:left w:val="single" w:color="auto" w:sz="4" w:space="0"/>
              <w:bottom w:val="single" w:color="auto" w:sz="4" w:space="0"/>
              <w:right w:val="single" w:color="auto" w:sz="4" w:space="0"/>
            </w:tcBorders>
            <w:shd w:val="clear" w:color="auto" w:fill="auto"/>
            <w:noWrap/>
            <w:vAlign w:val="center"/>
          </w:tcPr>
          <w:p w14:paraId="25488451">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1000-2000</w:t>
            </w:r>
            <w:r>
              <w:rPr>
                <w:rFonts w:hint="eastAsia" w:ascii="仿宋" w:hAnsi="仿宋" w:eastAsia="仿宋" w:cs="宋体"/>
                <w:color w:val="auto"/>
                <w:kern w:val="0"/>
                <w:sz w:val="24"/>
              </w:rPr>
              <w:t>万</w:t>
            </w:r>
          </w:p>
        </w:tc>
        <w:tc>
          <w:tcPr>
            <w:tcW w:w="1317" w:type="pct"/>
            <w:tcBorders>
              <w:top w:val="nil"/>
              <w:left w:val="nil"/>
              <w:bottom w:val="single" w:color="auto" w:sz="4" w:space="0"/>
              <w:right w:val="single" w:color="auto" w:sz="4" w:space="0"/>
            </w:tcBorders>
            <w:shd w:val="clear" w:color="auto" w:fill="auto"/>
            <w:noWrap/>
            <w:vAlign w:val="center"/>
          </w:tcPr>
          <w:p w14:paraId="6A08DBE8">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千分之一</w:t>
            </w:r>
          </w:p>
        </w:tc>
        <w:tc>
          <w:tcPr>
            <w:tcW w:w="1673" w:type="pct"/>
            <w:tcBorders>
              <w:top w:val="nil"/>
              <w:left w:val="nil"/>
              <w:bottom w:val="single" w:color="auto" w:sz="4" w:space="0"/>
              <w:right w:val="single" w:color="auto" w:sz="4" w:space="0"/>
            </w:tcBorders>
            <w:shd w:val="clear" w:color="auto" w:fill="auto"/>
            <w:noWrap/>
            <w:vAlign w:val="center"/>
          </w:tcPr>
          <w:p w14:paraId="70E9543B">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10000</w:t>
            </w:r>
          </w:p>
        </w:tc>
      </w:tr>
      <w:tr w14:paraId="4CF3EBDE">
        <w:tblPrEx>
          <w:tblCellMar>
            <w:top w:w="0" w:type="dxa"/>
            <w:left w:w="108" w:type="dxa"/>
            <w:bottom w:w="0" w:type="dxa"/>
            <w:right w:w="108" w:type="dxa"/>
          </w:tblCellMar>
        </w:tblPrEx>
        <w:trPr>
          <w:trHeight w:val="285" w:hRule="atLeast"/>
        </w:trPr>
        <w:tc>
          <w:tcPr>
            <w:tcW w:w="2010" w:type="pct"/>
            <w:tcBorders>
              <w:top w:val="nil"/>
              <w:left w:val="single" w:color="auto" w:sz="4" w:space="0"/>
              <w:bottom w:val="single" w:color="auto" w:sz="4" w:space="0"/>
              <w:right w:val="single" w:color="auto" w:sz="4" w:space="0"/>
            </w:tcBorders>
            <w:shd w:val="clear" w:color="auto" w:fill="auto"/>
            <w:noWrap/>
            <w:vAlign w:val="center"/>
          </w:tcPr>
          <w:p w14:paraId="43EDC824">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2000-5000</w:t>
            </w:r>
            <w:r>
              <w:rPr>
                <w:rFonts w:hint="eastAsia" w:ascii="仿宋" w:hAnsi="仿宋" w:eastAsia="仿宋" w:cs="宋体"/>
                <w:color w:val="auto"/>
                <w:kern w:val="0"/>
                <w:sz w:val="24"/>
              </w:rPr>
              <w:t>万</w:t>
            </w:r>
          </w:p>
        </w:tc>
        <w:tc>
          <w:tcPr>
            <w:tcW w:w="1317" w:type="pct"/>
            <w:tcBorders>
              <w:top w:val="nil"/>
              <w:left w:val="nil"/>
              <w:bottom w:val="single" w:color="auto" w:sz="4" w:space="0"/>
              <w:right w:val="single" w:color="auto" w:sz="4" w:space="0"/>
            </w:tcBorders>
            <w:shd w:val="clear" w:color="auto" w:fill="auto"/>
            <w:noWrap/>
            <w:vAlign w:val="center"/>
          </w:tcPr>
          <w:p w14:paraId="1423DF0D">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万分之五</w:t>
            </w:r>
          </w:p>
        </w:tc>
        <w:tc>
          <w:tcPr>
            <w:tcW w:w="1673" w:type="pct"/>
            <w:tcBorders>
              <w:top w:val="nil"/>
              <w:left w:val="nil"/>
              <w:bottom w:val="single" w:color="auto" w:sz="4" w:space="0"/>
              <w:right w:val="single" w:color="auto" w:sz="4" w:space="0"/>
            </w:tcBorders>
            <w:shd w:val="clear" w:color="auto" w:fill="auto"/>
            <w:noWrap/>
            <w:vAlign w:val="center"/>
          </w:tcPr>
          <w:p w14:paraId="3F30C49F">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15000</w:t>
            </w:r>
          </w:p>
        </w:tc>
      </w:tr>
      <w:tr w14:paraId="0F87B4FB">
        <w:tblPrEx>
          <w:tblCellMar>
            <w:top w:w="0" w:type="dxa"/>
            <w:left w:w="108" w:type="dxa"/>
            <w:bottom w:w="0" w:type="dxa"/>
            <w:right w:w="108" w:type="dxa"/>
          </w:tblCellMar>
        </w:tblPrEx>
        <w:trPr>
          <w:trHeight w:val="285" w:hRule="atLeast"/>
        </w:trPr>
        <w:tc>
          <w:tcPr>
            <w:tcW w:w="2010" w:type="pct"/>
            <w:tcBorders>
              <w:top w:val="nil"/>
              <w:left w:val="single" w:color="auto" w:sz="4" w:space="0"/>
              <w:bottom w:val="single" w:color="auto" w:sz="4" w:space="0"/>
              <w:right w:val="single" w:color="auto" w:sz="4" w:space="0"/>
            </w:tcBorders>
            <w:shd w:val="clear" w:color="auto" w:fill="auto"/>
            <w:noWrap/>
            <w:vAlign w:val="center"/>
          </w:tcPr>
          <w:p w14:paraId="44AC70E6">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5000-10000</w:t>
            </w:r>
            <w:r>
              <w:rPr>
                <w:rFonts w:hint="eastAsia" w:ascii="仿宋" w:hAnsi="仿宋" w:eastAsia="仿宋" w:cs="宋体"/>
                <w:color w:val="auto"/>
                <w:kern w:val="0"/>
                <w:sz w:val="24"/>
              </w:rPr>
              <w:t>万</w:t>
            </w:r>
          </w:p>
        </w:tc>
        <w:tc>
          <w:tcPr>
            <w:tcW w:w="1317" w:type="pct"/>
            <w:tcBorders>
              <w:top w:val="nil"/>
              <w:left w:val="nil"/>
              <w:bottom w:val="single" w:color="auto" w:sz="4" w:space="0"/>
              <w:right w:val="single" w:color="auto" w:sz="4" w:space="0"/>
            </w:tcBorders>
            <w:shd w:val="clear" w:color="auto" w:fill="auto"/>
            <w:noWrap/>
            <w:vAlign w:val="center"/>
          </w:tcPr>
          <w:p w14:paraId="26740BD0">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万分之三</w:t>
            </w:r>
          </w:p>
        </w:tc>
        <w:tc>
          <w:tcPr>
            <w:tcW w:w="1673" w:type="pct"/>
            <w:tcBorders>
              <w:top w:val="nil"/>
              <w:left w:val="nil"/>
              <w:bottom w:val="single" w:color="auto" w:sz="4" w:space="0"/>
              <w:right w:val="single" w:color="auto" w:sz="4" w:space="0"/>
            </w:tcBorders>
            <w:shd w:val="clear" w:color="auto" w:fill="auto"/>
            <w:noWrap/>
            <w:vAlign w:val="center"/>
          </w:tcPr>
          <w:p w14:paraId="4CF5DF63">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15000</w:t>
            </w:r>
          </w:p>
        </w:tc>
      </w:tr>
      <w:tr w14:paraId="38069094">
        <w:tblPrEx>
          <w:tblCellMar>
            <w:top w:w="0" w:type="dxa"/>
            <w:left w:w="108" w:type="dxa"/>
            <w:bottom w:w="0" w:type="dxa"/>
            <w:right w:w="108" w:type="dxa"/>
          </w:tblCellMar>
        </w:tblPrEx>
        <w:trPr>
          <w:trHeight w:val="285" w:hRule="atLeast"/>
        </w:trPr>
        <w:tc>
          <w:tcPr>
            <w:tcW w:w="2010" w:type="pct"/>
            <w:tcBorders>
              <w:top w:val="nil"/>
              <w:left w:val="single" w:color="auto" w:sz="4" w:space="0"/>
              <w:bottom w:val="single" w:color="auto" w:sz="4" w:space="0"/>
              <w:right w:val="single" w:color="auto" w:sz="4" w:space="0"/>
            </w:tcBorders>
            <w:shd w:val="clear" w:color="auto" w:fill="auto"/>
            <w:noWrap/>
            <w:vAlign w:val="center"/>
          </w:tcPr>
          <w:p w14:paraId="6436B6C1">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10000</w:t>
            </w:r>
            <w:r>
              <w:rPr>
                <w:rFonts w:hint="eastAsia" w:ascii="仿宋" w:hAnsi="仿宋" w:eastAsia="仿宋" w:cs="宋体"/>
                <w:color w:val="auto"/>
                <w:kern w:val="0"/>
                <w:sz w:val="24"/>
              </w:rPr>
              <w:t>万以上</w:t>
            </w:r>
          </w:p>
        </w:tc>
        <w:tc>
          <w:tcPr>
            <w:tcW w:w="1317" w:type="pct"/>
            <w:tcBorders>
              <w:top w:val="nil"/>
              <w:left w:val="nil"/>
              <w:bottom w:val="single" w:color="auto" w:sz="4" w:space="0"/>
              <w:right w:val="single" w:color="auto" w:sz="4" w:space="0"/>
            </w:tcBorders>
            <w:shd w:val="clear" w:color="auto" w:fill="auto"/>
            <w:noWrap/>
            <w:vAlign w:val="center"/>
          </w:tcPr>
          <w:p w14:paraId="220E0573">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万分之二</w:t>
            </w:r>
          </w:p>
        </w:tc>
        <w:tc>
          <w:tcPr>
            <w:tcW w:w="1673" w:type="pct"/>
            <w:tcBorders>
              <w:top w:val="nil"/>
              <w:left w:val="nil"/>
              <w:bottom w:val="single" w:color="auto" w:sz="4" w:space="0"/>
              <w:right w:val="single" w:color="auto" w:sz="4" w:space="0"/>
            </w:tcBorders>
            <w:shd w:val="clear" w:color="auto" w:fill="auto"/>
            <w:noWrap/>
            <w:vAlign w:val="center"/>
          </w:tcPr>
          <w:p w14:paraId="0EF3BF82">
            <w:pPr>
              <w:spacing w:before="120" w:beforeLines="50" w:line="340" w:lineRule="exact"/>
              <w:ind w:firstLine="480" w:firstLineChars="200"/>
              <w:jc w:val="center"/>
              <w:rPr>
                <w:rFonts w:hint="eastAsia" w:ascii="仿宋" w:hAnsi="仿宋" w:eastAsia="仿宋" w:cs="宋体"/>
                <w:color w:val="auto"/>
                <w:kern w:val="0"/>
                <w:sz w:val="24"/>
              </w:rPr>
            </w:pPr>
          </w:p>
        </w:tc>
      </w:tr>
    </w:tbl>
    <w:p w14:paraId="6EE55A00">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4</w:t>
      </w:r>
      <w:r>
        <w:rPr>
          <w:rFonts w:ascii="仿宋" w:hAnsi="仿宋" w:eastAsia="仿宋" w:cs="宋体"/>
          <w:color w:val="auto"/>
          <w:kern w:val="0"/>
          <w:sz w:val="24"/>
        </w:rPr>
        <w:t>.</w:t>
      </w:r>
      <w:r>
        <w:rPr>
          <w:rFonts w:hint="eastAsia" w:ascii="仿宋" w:hAnsi="仿宋" w:eastAsia="仿宋" w:cs="宋体"/>
          <w:color w:val="auto"/>
          <w:kern w:val="0"/>
          <w:sz w:val="24"/>
        </w:rPr>
        <w:t>如案件金额较小但案情复杂，按认定金额计算不足以反映案件复杂度的，且按实际人员成本及工作量计算费用超过认定金额收费标准的，按实际人员成本按投标折扣率*收费标准开展结算支付。具体标准如下：</w:t>
      </w:r>
    </w:p>
    <w:tbl>
      <w:tblPr>
        <w:tblStyle w:val="62"/>
        <w:tblW w:w="5000" w:type="pct"/>
        <w:tblInd w:w="0" w:type="dxa"/>
        <w:tblLayout w:type="autofit"/>
        <w:tblCellMar>
          <w:top w:w="0" w:type="dxa"/>
          <w:left w:w="108" w:type="dxa"/>
          <w:bottom w:w="0" w:type="dxa"/>
          <w:right w:w="108" w:type="dxa"/>
        </w:tblCellMar>
      </w:tblPr>
      <w:tblGrid>
        <w:gridCol w:w="6436"/>
        <w:gridCol w:w="2569"/>
      </w:tblGrid>
      <w:tr w14:paraId="66060139">
        <w:tblPrEx>
          <w:tblCellMar>
            <w:top w:w="0" w:type="dxa"/>
            <w:left w:w="108" w:type="dxa"/>
            <w:bottom w:w="0" w:type="dxa"/>
            <w:right w:w="108" w:type="dxa"/>
          </w:tblCellMar>
        </w:tblPrEx>
        <w:trPr>
          <w:trHeight w:val="276"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BAA2D7">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按工作量计时收费</w:t>
            </w:r>
          </w:p>
        </w:tc>
      </w:tr>
      <w:tr w14:paraId="5C054ACD">
        <w:tblPrEx>
          <w:tblCellMar>
            <w:top w:w="0" w:type="dxa"/>
            <w:left w:w="108" w:type="dxa"/>
            <w:bottom w:w="0" w:type="dxa"/>
            <w:right w:w="108" w:type="dxa"/>
          </w:tblCellMar>
        </w:tblPrEx>
        <w:trPr>
          <w:trHeight w:val="276" w:hRule="atLeast"/>
        </w:trPr>
        <w:tc>
          <w:tcPr>
            <w:tcW w:w="3604" w:type="pct"/>
            <w:tcBorders>
              <w:top w:val="nil"/>
              <w:left w:val="single" w:color="auto" w:sz="4" w:space="0"/>
              <w:bottom w:val="single" w:color="auto" w:sz="4" w:space="0"/>
              <w:right w:val="single" w:color="auto" w:sz="4" w:space="0"/>
            </w:tcBorders>
            <w:shd w:val="clear" w:color="auto" w:fill="auto"/>
            <w:noWrap/>
            <w:vAlign w:val="center"/>
          </w:tcPr>
          <w:p w14:paraId="0F69CFF0">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注册会计师或高级专业技术职称人员</w:t>
            </w:r>
          </w:p>
        </w:tc>
        <w:tc>
          <w:tcPr>
            <w:tcW w:w="1396" w:type="pct"/>
            <w:tcBorders>
              <w:top w:val="single" w:color="auto" w:sz="4" w:space="0"/>
              <w:left w:val="nil"/>
              <w:bottom w:val="single" w:color="auto" w:sz="4" w:space="0"/>
              <w:right w:val="single" w:color="auto" w:sz="4" w:space="0"/>
            </w:tcBorders>
            <w:shd w:val="clear" w:color="auto" w:fill="auto"/>
            <w:noWrap/>
            <w:vAlign w:val="center"/>
          </w:tcPr>
          <w:p w14:paraId="695AD0B3">
            <w:pPr>
              <w:spacing w:before="120" w:beforeLines="50" w:line="340" w:lineRule="exact"/>
              <w:jc w:val="center"/>
              <w:rPr>
                <w:rFonts w:hint="eastAsia" w:ascii="仿宋" w:hAnsi="仿宋" w:eastAsia="仿宋" w:cs="宋体"/>
                <w:color w:val="auto"/>
                <w:kern w:val="0"/>
                <w:sz w:val="24"/>
              </w:rPr>
            </w:pPr>
            <w:r>
              <w:rPr>
                <w:rFonts w:ascii="仿宋" w:hAnsi="仿宋" w:eastAsia="仿宋" w:cs="宋体"/>
                <w:bCs/>
                <w:color w:val="auto"/>
                <w:kern w:val="0"/>
                <w:sz w:val="24"/>
              </w:rPr>
              <w:t>800</w:t>
            </w:r>
            <w:r>
              <w:rPr>
                <w:rFonts w:hint="eastAsia" w:ascii="仿宋" w:hAnsi="仿宋" w:eastAsia="仿宋" w:cs="宋体"/>
                <w:bCs/>
                <w:color w:val="auto"/>
                <w:kern w:val="0"/>
                <w:sz w:val="24"/>
              </w:rPr>
              <w:t>元</w:t>
            </w:r>
            <w:r>
              <w:rPr>
                <w:rFonts w:ascii="仿宋" w:hAnsi="仿宋" w:eastAsia="仿宋" w:cs="宋体"/>
                <w:bCs/>
                <w:color w:val="auto"/>
                <w:kern w:val="0"/>
                <w:sz w:val="24"/>
              </w:rPr>
              <w:t>/</w:t>
            </w:r>
            <w:r>
              <w:rPr>
                <w:rFonts w:hint="eastAsia" w:ascii="仿宋" w:hAnsi="仿宋" w:eastAsia="仿宋" w:cs="宋体"/>
                <w:bCs/>
                <w:color w:val="auto"/>
                <w:kern w:val="0"/>
                <w:sz w:val="24"/>
              </w:rPr>
              <w:t>半天</w:t>
            </w:r>
            <w:r>
              <w:rPr>
                <w:rFonts w:hint="eastAsia" w:ascii="微软雅黑" w:hAnsi="微软雅黑" w:eastAsia="微软雅黑" w:cs="微软雅黑"/>
                <w:bCs/>
                <w:color w:val="auto"/>
                <w:kern w:val="0"/>
                <w:sz w:val="24"/>
              </w:rPr>
              <w:t>•</w:t>
            </w:r>
            <w:r>
              <w:rPr>
                <w:rFonts w:hint="eastAsia" w:ascii="仿宋" w:hAnsi="仿宋" w:eastAsia="仿宋" w:cs="宋体"/>
                <w:bCs/>
                <w:color w:val="auto"/>
                <w:kern w:val="0"/>
                <w:sz w:val="24"/>
              </w:rPr>
              <w:t>人</w:t>
            </w:r>
          </w:p>
        </w:tc>
      </w:tr>
      <w:tr w14:paraId="324121A7">
        <w:tblPrEx>
          <w:tblCellMar>
            <w:top w:w="0" w:type="dxa"/>
            <w:left w:w="108" w:type="dxa"/>
            <w:bottom w:w="0" w:type="dxa"/>
            <w:right w:w="108" w:type="dxa"/>
          </w:tblCellMar>
        </w:tblPrEx>
        <w:trPr>
          <w:trHeight w:val="276" w:hRule="atLeast"/>
        </w:trPr>
        <w:tc>
          <w:tcPr>
            <w:tcW w:w="36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138A44">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助理人员</w:t>
            </w:r>
          </w:p>
        </w:tc>
        <w:tc>
          <w:tcPr>
            <w:tcW w:w="1396" w:type="pct"/>
            <w:tcBorders>
              <w:top w:val="single" w:color="auto" w:sz="4" w:space="0"/>
              <w:left w:val="nil"/>
              <w:bottom w:val="single" w:color="auto" w:sz="4" w:space="0"/>
              <w:right w:val="single" w:color="auto" w:sz="4" w:space="0"/>
            </w:tcBorders>
            <w:shd w:val="clear" w:color="auto" w:fill="auto"/>
            <w:noWrap/>
            <w:vAlign w:val="center"/>
          </w:tcPr>
          <w:p w14:paraId="52AC2CD7">
            <w:pPr>
              <w:spacing w:before="120" w:beforeLines="50" w:line="340" w:lineRule="exact"/>
              <w:jc w:val="center"/>
              <w:rPr>
                <w:rFonts w:hint="eastAsia" w:ascii="仿宋" w:hAnsi="仿宋" w:eastAsia="仿宋" w:cs="宋体"/>
                <w:bCs/>
                <w:color w:val="auto"/>
                <w:kern w:val="0"/>
                <w:sz w:val="24"/>
              </w:rPr>
            </w:pPr>
            <w:r>
              <w:rPr>
                <w:rFonts w:ascii="仿宋" w:hAnsi="仿宋" w:eastAsia="仿宋" w:cs="宋体"/>
                <w:bCs/>
                <w:color w:val="auto"/>
                <w:kern w:val="0"/>
                <w:sz w:val="24"/>
              </w:rPr>
              <w:t>500</w:t>
            </w:r>
            <w:r>
              <w:rPr>
                <w:rFonts w:hint="eastAsia" w:ascii="仿宋" w:hAnsi="仿宋" w:eastAsia="仿宋" w:cs="宋体"/>
                <w:bCs/>
                <w:color w:val="auto"/>
                <w:kern w:val="0"/>
                <w:sz w:val="24"/>
              </w:rPr>
              <w:t>元</w:t>
            </w:r>
            <w:r>
              <w:rPr>
                <w:rFonts w:ascii="仿宋" w:hAnsi="仿宋" w:eastAsia="仿宋" w:cs="宋体"/>
                <w:bCs/>
                <w:color w:val="auto"/>
                <w:kern w:val="0"/>
                <w:sz w:val="24"/>
              </w:rPr>
              <w:t>/</w:t>
            </w:r>
            <w:r>
              <w:rPr>
                <w:rFonts w:hint="eastAsia" w:ascii="仿宋" w:hAnsi="仿宋" w:eastAsia="仿宋" w:cs="宋体"/>
                <w:bCs/>
                <w:color w:val="auto"/>
                <w:kern w:val="0"/>
                <w:sz w:val="24"/>
              </w:rPr>
              <w:t>半天</w:t>
            </w:r>
            <w:r>
              <w:rPr>
                <w:rFonts w:hint="eastAsia" w:ascii="微软雅黑" w:hAnsi="微软雅黑" w:eastAsia="微软雅黑" w:cs="微软雅黑"/>
                <w:bCs/>
                <w:color w:val="auto"/>
                <w:kern w:val="0"/>
                <w:sz w:val="24"/>
              </w:rPr>
              <w:t>•</w:t>
            </w:r>
            <w:r>
              <w:rPr>
                <w:rFonts w:hint="eastAsia" w:ascii="仿宋" w:hAnsi="仿宋" w:eastAsia="仿宋" w:cs="仿宋"/>
                <w:bCs/>
                <w:color w:val="auto"/>
                <w:kern w:val="0"/>
                <w:sz w:val="24"/>
              </w:rPr>
              <w:t>人</w:t>
            </w:r>
          </w:p>
        </w:tc>
      </w:tr>
      <w:tr w14:paraId="5E33F6A7">
        <w:tblPrEx>
          <w:tblCellMar>
            <w:top w:w="0" w:type="dxa"/>
            <w:left w:w="108" w:type="dxa"/>
            <w:bottom w:w="0" w:type="dxa"/>
            <w:right w:w="108" w:type="dxa"/>
          </w:tblCellMar>
        </w:tblPrEx>
        <w:trPr>
          <w:trHeight w:val="1263"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B4CC94">
            <w:pPr>
              <w:spacing w:before="120" w:beforeLines="50" w:line="340" w:lineRule="exact"/>
              <w:rPr>
                <w:rFonts w:hint="eastAsia" w:ascii="仿宋" w:hAnsi="仿宋" w:eastAsia="仿宋" w:cs="宋体"/>
                <w:color w:val="auto"/>
                <w:kern w:val="0"/>
                <w:sz w:val="24"/>
              </w:rPr>
            </w:pPr>
            <w:r>
              <w:rPr>
                <w:rFonts w:hint="eastAsia" w:ascii="仿宋" w:hAnsi="仿宋" w:eastAsia="仿宋" w:cs="宋体"/>
                <w:color w:val="auto"/>
                <w:kern w:val="0"/>
                <w:sz w:val="24"/>
              </w:rPr>
              <w:t>其他服务人员每人收费要求（最高限价）：院士、全国知名专家，不超过2400元/半天；正高级专业技术职称人员，不超过1600元/半天；中级及以下专业技术职称人员，不超过500元/半天。</w:t>
            </w:r>
          </w:p>
          <w:p w14:paraId="3E18F320">
            <w:pPr>
              <w:spacing w:before="120" w:beforeLines="50" w:line="340" w:lineRule="exact"/>
              <w:rPr>
                <w:rFonts w:hint="eastAsia" w:hAnsi="宋体" w:cs="宋体"/>
                <w:bCs/>
                <w:color w:val="auto"/>
                <w:kern w:val="0"/>
                <w:sz w:val="24"/>
              </w:rPr>
            </w:pPr>
            <w:r>
              <w:rPr>
                <w:rFonts w:hint="eastAsia" w:ascii="仿宋" w:hAnsi="仿宋" w:eastAsia="仿宋" w:cs="宋体"/>
                <w:color w:val="auto"/>
                <w:kern w:val="0"/>
                <w:sz w:val="24"/>
              </w:rPr>
              <w:t>注：一天工作时间按</w:t>
            </w:r>
            <w:r>
              <w:rPr>
                <w:rFonts w:ascii="仿宋" w:hAnsi="仿宋" w:eastAsia="仿宋" w:cs="宋体"/>
                <w:color w:val="auto"/>
                <w:kern w:val="0"/>
                <w:sz w:val="24"/>
              </w:rPr>
              <w:t>8</w:t>
            </w:r>
            <w:r>
              <w:rPr>
                <w:rFonts w:hint="eastAsia" w:ascii="仿宋" w:hAnsi="仿宋" w:eastAsia="仿宋" w:cs="宋体"/>
                <w:color w:val="auto"/>
                <w:kern w:val="0"/>
                <w:sz w:val="24"/>
              </w:rPr>
              <w:t>小时计算。</w:t>
            </w:r>
          </w:p>
        </w:tc>
      </w:tr>
    </w:tbl>
    <w:p w14:paraId="0A8A5151">
      <w:pPr>
        <w:spacing w:before="120" w:beforeLines="50" w:line="340" w:lineRule="exact"/>
        <w:rPr>
          <w:rFonts w:hint="eastAsia" w:ascii="仿宋" w:hAnsi="仿宋" w:eastAsia="仿宋"/>
          <w:b/>
          <w:color w:val="auto"/>
          <w:sz w:val="28"/>
          <w:szCs w:val="28"/>
        </w:rPr>
      </w:pPr>
      <w:r>
        <w:rPr>
          <w:rFonts w:hint="eastAsia" w:ascii="仿宋" w:hAnsi="仿宋" w:eastAsia="仿宋"/>
          <w:b/>
          <w:color w:val="auto"/>
          <w:sz w:val="28"/>
          <w:szCs w:val="28"/>
        </w:rPr>
        <w:t>五、商务要求</w:t>
      </w:r>
    </w:p>
    <w:p w14:paraId="775E526F">
      <w:pPr>
        <w:spacing w:before="120" w:beforeLines="50" w:line="340" w:lineRule="exact"/>
        <w:ind w:firstLine="482" w:firstLineChars="200"/>
        <w:rPr>
          <w:rFonts w:hint="eastAsia" w:ascii="仿宋" w:hAnsi="仿宋" w:eastAsia="仿宋" w:cs="宋体"/>
          <w:b/>
          <w:bCs/>
          <w:color w:val="auto"/>
          <w:kern w:val="0"/>
          <w:sz w:val="24"/>
        </w:rPr>
      </w:pPr>
      <w:r>
        <w:rPr>
          <w:rFonts w:hint="eastAsia" w:ascii="仿宋" w:hAnsi="仿宋" w:eastAsia="仿宋" w:cs="宋体"/>
          <w:b/>
          <w:bCs/>
          <w:color w:val="auto"/>
          <w:kern w:val="0"/>
          <w:sz w:val="24"/>
        </w:rPr>
        <w:t>（一）签订合同</w:t>
      </w:r>
    </w:p>
    <w:p w14:paraId="788D6D7F">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1、本项目合同甲方（采购人）为杭州市公安局上城区分局，乙方（供应商）为中标人，合同款支付给乙方（供应商）。双方应当规定的时间内按招标文件确定的事项及投标文件响应内容签订本合同。</w:t>
      </w:r>
    </w:p>
    <w:p w14:paraId="64AEA708">
      <w:pPr>
        <w:spacing w:before="120" w:beforeLines="50" w:line="340" w:lineRule="exact"/>
        <w:ind w:firstLine="482" w:firstLineChars="200"/>
        <w:rPr>
          <w:rFonts w:hint="eastAsia" w:ascii="仿宋" w:hAnsi="仿宋" w:eastAsia="仿宋" w:cs="宋体"/>
          <w:b/>
          <w:bCs/>
          <w:color w:val="auto"/>
          <w:kern w:val="0"/>
          <w:sz w:val="24"/>
        </w:rPr>
      </w:pPr>
      <w:r>
        <w:rPr>
          <w:rFonts w:hint="eastAsia" w:ascii="仿宋" w:hAnsi="仿宋" w:eastAsia="仿宋" w:cs="宋体"/>
          <w:b/>
          <w:bCs/>
          <w:color w:val="auto"/>
          <w:kern w:val="0"/>
          <w:sz w:val="24"/>
        </w:rPr>
        <w:t>（二）付款方式和条件</w:t>
      </w:r>
    </w:p>
    <w:p w14:paraId="1B4ACE87">
      <w:pPr>
        <w:tabs>
          <w:tab w:val="left" w:pos="0"/>
        </w:tabs>
        <w:spacing w:line="340" w:lineRule="exact"/>
        <w:ind w:firstLine="480" w:firstLineChars="200"/>
        <w:rPr>
          <w:rFonts w:hint="eastAsia" w:ascii="仿宋" w:hAnsi="仿宋" w:eastAsia="仿宋" w:cs="Helvetica"/>
          <w:color w:val="auto"/>
          <w:kern w:val="0"/>
          <w:sz w:val="24"/>
          <w:lang w:bidi="ar"/>
        </w:rPr>
      </w:pPr>
      <w:r>
        <w:rPr>
          <w:rFonts w:ascii="仿宋" w:hAnsi="仿宋" w:eastAsia="仿宋" w:cs="Helvetica"/>
          <w:color w:val="auto"/>
          <w:kern w:val="0"/>
          <w:sz w:val="24"/>
          <w:lang w:bidi="ar"/>
        </w:rPr>
        <w:t>1.</w:t>
      </w:r>
      <w:r>
        <w:rPr>
          <w:rFonts w:hint="eastAsia" w:ascii="仿宋" w:hAnsi="仿宋" w:eastAsia="仿宋" w:cs="Helvetica"/>
          <w:color w:val="auto"/>
          <w:kern w:val="0"/>
          <w:sz w:val="24"/>
          <w:lang w:bidi="ar"/>
        </w:rPr>
        <w:t>预付款：中标人</w:t>
      </w:r>
      <w:r>
        <w:rPr>
          <w:rFonts w:ascii="仿宋" w:hAnsi="仿宋" w:eastAsia="仿宋" w:cs="Helvetica"/>
          <w:color w:val="auto"/>
          <w:kern w:val="0"/>
          <w:sz w:val="24"/>
          <w:lang w:bidi="ar"/>
        </w:rPr>
        <w:t>提交银行、保险公司等金融机构出具的预付款保函（保函数额与预付款金额相同）；合同生效并具备实施条件后7个工作日内，采购人向中标人支付合同金额（报单价部分按预算金额计）40%的预付款。剩余合同款项在验收合格后，凭验收合格证明材料、发票、履约保证金凭证到采购人处结算。采购人在7个工作日内向</w:t>
      </w:r>
      <w:r>
        <w:rPr>
          <w:rFonts w:hint="eastAsia" w:ascii="仿宋" w:hAnsi="仿宋" w:eastAsia="仿宋" w:cs="Helvetica"/>
          <w:color w:val="auto"/>
          <w:kern w:val="0"/>
          <w:sz w:val="24"/>
          <w:lang w:bidi="ar"/>
        </w:rPr>
        <w:t>中标人</w:t>
      </w:r>
      <w:r>
        <w:rPr>
          <w:rFonts w:ascii="仿宋" w:hAnsi="仿宋" w:eastAsia="仿宋" w:cs="Helvetica"/>
          <w:color w:val="auto"/>
          <w:kern w:val="0"/>
          <w:sz w:val="24"/>
          <w:lang w:bidi="ar"/>
        </w:rPr>
        <w:t>支付全部合同余款。</w:t>
      </w:r>
    </w:p>
    <w:p w14:paraId="1FE1C4BF">
      <w:pPr>
        <w:tabs>
          <w:tab w:val="left" w:pos="0"/>
        </w:tabs>
        <w:spacing w:line="340" w:lineRule="exact"/>
        <w:ind w:firstLine="480" w:firstLineChars="200"/>
        <w:rPr>
          <w:rFonts w:hint="eastAsia" w:ascii="仿宋" w:hAnsi="仿宋" w:eastAsia="仿宋" w:cs="Helvetica"/>
          <w:color w:val="auto"/>
          <w:kern w:val="0"/>
          <w:sz w:val="24"/>
          <w:lang w:bidi="ar"/>
        </w:rPr>
      </w:pPr>
      <w:r>
        <w:rPr>
          <w:rFonts w:ascii="仿宋" w:hAnsi="仿宋" w:eastAsia="仿宋" w:cs="Helvetica"/>
          <w:color w:val="auto"/>
          <w:kern w:val="0"/>
          <w:sz w:val="24"/>
          <w:lang w:bidi="ar"/>
        </w:rPr>
        <w:t>2.</w:t>
      </w:r>
      <w:r>
        <w:rPr>
          <w:rFonts w:hint="eastAsia" w:ascii="仿宋" w:hAnsi="仿宋" w:eastAsia="仿宋" w:cs="Helvetica"/>
          <w:color w:val="auto"/>
          <w:kern w:val="0"/>
          <w:sz w:val="24"/>
          <w:lang w:bidi="ar"/>
        </w:rPr>
        <w:t>付款方式：</w:t>
      </w:r>
      <w:r>
        <w:rPr>
          <w:rFonts w:ascii="仿宋" w:hAnsi="仿宋" w:eastAsia="仿宋" w:cs="Helvetica"/>
          <w:color w:val="auto"/>
          <w:kern w:val="0"/>
          <w:sz w:val="24"/>
          <w:lang w:bidi="ar"/>
        </w:rPr>
        <w:t>在签订合同前，</w:t>
      </w:r>
      <w:r>
        <w:rPr>
          <w:rFonts w:hint="eastAsia" w:ascii="仿宋" w:hAnsi="仿宋" w:eastAsia="仿宋" w:cs="Helvetica"/>
          <w:color w:val="auto"/>
          <w:kern w:val="0"/>
          <w:sz w:val="24"/>
          <w:lang w:bidi="ar"/>
        </w:rPr>
        <w:t>中标人</w:t>
      </w:r>
      <w:r>
        <w:rPr>
          <w:rFonts w:ascii="仿宋" w:hAnsi="仿宋" w:eastAsia="仿宋" w:cs="Helvetica"/>
          <w:color w:val="auto"/>
          <w:kern w:val="0"/>
          <w:sz w:val="24"/>
          <w:lang w:bidi="ar"/>
        </w:rPr>
        <w:t>主动要求降低预付款比例的，按实际比例计。</w:t>
      </w:r>
      <w:r>
        <w:rPr>
          <w:rFonts w:hint="eastAsia" w:ascii="仿宋" w:hAnsi="仿宋" w:eastAsia="仿宋" w:cs="Helvetica"/>
          <w:color w:val="auto"/>
          <w:kern w:val="0"/>
          <w:sz w:val="24"/>
          <w:lang w:bidi="ar"/>
        </w:rPr>
        <w:t>中标人</w:t>
      </w:r>
      <w:r>
        <w:rPr>
          <w:rFonts w:ascii="仿宋" w:hAnsi="仿宋" w:eastAsia="仿宋" w:cs="Helvetica"/>
          <w:color w:val="auto"/>
          <w:kern w:val="0"/>
          <w:sz w:val="24"/>
          <w:lang w:bidi="ar"/>
        </w:rPr>
        <w:t>明确表示无需预付款的，采用下述付款方式：</w:t>
      </w:r>
    </w:p>
    <w:p w14:paraId="3345939A">
      <w:pPr>
        <w:spacing w:before="120" w:beforeLines="50" w:line="340" w:lineRule="exact"/>
        <w:ind w:firstLine="480" w:firstLineChars="200"/>
        <w:rPr>
          <w:rFonts w:hint="eastAsia" w:ascii="仿宋" w:hAnsi="仿宋" w:eastAsia="仿宋" w:cs="宋体"/>
          <w:color w:val="auto"/>
          <w:kern w:val="0"/>
          <w:sz w:val="24"/>
        </w:rPr>
      </w:pPr>
      <w:r>
        <w:rPr>
          <w:rFonts w:ascii="仿宋" w:hAnsi="仿宋" w:eastAsia="仿宋" w:cs="宋体"/>
          <w:color w:val="auto"/>
          <w:kern w:val="0"/>
          <w:sz w:val="24"/>
        </w:rPr>
        <w:t>2.</w:t>
      </w:r>
      <w:r>
        <w:rPr>
          <w:rFonts w:hint="eastAsia" w:ascii="仿宋" w:hAnsi="仿宋" w:eastAsia="仿宋" w:cs="宋体"/>
          <w:color w:val="auto"/>
          <w:kern w:val="0"/>
          <w:sz w:val="24"/>
        </w:rPr>
        <w:t>1投标单位根据专案采购需求进行报价，最终报价为最后结算基准价（包括人工费、材料费、差旅费、交通费、审计人员外派驻场费、税金等与本项目有关的所有费用，并承担一切风险责任）。</w:t>
      </w:r>
    </w:p>
    <w:p w14:paraId="0F3C47FA">
      <w:pPr>
        <w:spacing w:before="120" w:beforeLines="50" w:line="340" w:lineRule="exact"/>
        <w:ind w:firstLine="480" w:firstLineChars="200"/>
        <w:rPr>
          <w:rFonts w:hint="eastAsia" w:ascii="仿宋" w:hAnsi="仿宋" w:eastAsia="仿宋" w:cs="宋体"/>
          <w:color w:val="auto"/>
          <w:kern w:val="0"/>
          <w:sz w:val="24"/>
        </w:rPr>
      </w:pPr>
      <w:r>
        <w:rPr>
          <w:rFonts w:ascii="仿宋" w:hAnsi="仿宋" w:eastAsia="仿宋" w:cs="宋体"/>
          <w:color w:val="auto"/>
          <w:kern w:val="0"/>
          <w:sz w:val="24"/>
        </w:rPr>
        <w:t>2.</w:t>
      </w:r>
      <w:r>
        <w:rPr>
          <w:rFonts w:hint="eastAsia" w:ascii="仿宋" w:hAnsi="仿宋" w:eastAsia="仿宋" w:cs="宋体"/>
          <w:color w:val="auto"/>
          <w:kern w:val="0"/>
          <w:sz w:val="24"/>
        </w:rPr>
        <w:t>2审计费用一案一结。</w:t>
      </w:r>
      <w:bookmarkStart w:id="26" w:name="_Hlk143113146"/>
      <w:r>
        <w:rPr>
          <w:rFonts w:hint="eastAsia" w:ascii="仿宋" w:hAnsi="仿宋" w:eastAsia="仿宋" w:cs="宋体"/>
          <w:color w:val="auto"/>
          <w:kern w:val="0"/>
          <w:sz w:val="24"/>
        </w:rPr>
        <w:t>审计单位</w:t>
      </w:r>
      <w:bookmarkEnd w:id="26"/>
      <w:r>
        <w:rPr>
          <w:rFonts w:hint="eastAsia" w:ascii="仿宋" w:hAnsi="仿宋" w:eastAsia="仿宋" w:cs="宋体"/>
          <w:color w:val="auto"/>
          <w:kern w:val="0"/>
          <w:sz w:val="24"/>
        </w:rPr>
        <w:t>完成一个案件的审计服务并出具审计报告后，采购人根据审计案件的具体涉案金额或审计实际工作量进行结算，并对审计单位的工作进度与服务质量进行考核后于10个工作日内支付。</w:t>
      </w:r>
    </w:p>
    <w:p w14:paraId="16A1EACF">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2.</w:t>
      </w:r>
      <w:r>
        <w:rPr>
          <w:rFonts w:ascii="仿宋" w:hAnsi="仿宋" w:eastAsia="仿宋" w:cs="宋体"/>
          <w:color w:val="auto"/>
          <w:kern w:val="0"/>
          <w:sz w:val="24"/>
        </w:rPr>
        <w:t>3</w:t>
      </w:r>
      <w:r>
        <w:rPr>
          <w:rFonts w:hint="eastAsia" w:ascii="仿宋" w:hAnsi="仿宋" w:eastAsia="仿宋" w:cs="宋体"/>
          <w:color w:val="auto"/>
          <w:kern w:val="0"/>
          <w:sz w:val="24"/>
        </w:rPr>
        <w:t>支付说明：采购人在收到供应商开具的符合法律法规规定发票后，以转账支付的方式，支付给供应商服务费。供应商逾期开具发票或开具的发票不符合采购人要求的，采购人有权延迟付款时间，且该行为不视为违约。</w:t>
      </w:r>
    </w:p>
    <w:p w14:paraId="5CB9C863">
      <w:pPr>
        <w:spacing w:before="120" w:beforeLines="50" w:line="340" w:lineRule="exact"/>
        <w:ind w:firstLine="482" w:firstLineChars="200"/>
        <w:rPr>
          <w:rFonts w:hint="eastAsia" w:ascii="仿宋" w:hAnsi="仿宋" w:eastAsia="仿宋" w:cs="宋体"/>
          <w:b/>
          <w:bCs/>
          <w:color w:val="auto"/>
          <w:kern w:val="0"/>
          <w:sz w:val="24"/>
        </w:rPr>
      </w:pPr>
      <w:r>
        <w:rPr>
          <w:rFonts w:hint="eastAsia" w:ascii="仿宋" w:hAnsi="仿宋" w:eastAsia="仿宋" w:cs="宋体"/>
          <w:b/>
          <w:bCs/>
          <w:color w:val="auto"/>
          <w:kern w:val="0"/>
          <w:sz w:val="24"/>
        </w:rPr>
        <w:t>（三）履行合同的时间、地点、违约责任、解决争议的方式</w:t>
      </w:r>
    </w:p>
    <w:p w14:paraId="5E4958DA">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1、履行合同的时间：合同签订之日起满1年。</w:t>
      </w:r>
    </w:p>
    <w:p w14:paraId="3EE289B3">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2、履行合同的地点：杭州市上城区。</w:t>
      </w:r>
    </w:p>
    <w:p w14:paraId="13C95E17">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3、履约保证金：无。</w:t>
      </w:r>
    </w:p>
    <w:p w14:paraId="2F2B4577">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4、履约保证金缴纳方式：以支票、汇票、本票或者金融机构、担保机构出具的保函等非现金形式提交。</w:t>
      </w:r>
    </w:p>
    <w:p w14:paraId="2A14A70C">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5、履行合同的违约责任</w:t>
      </w:r>
    </w:p>
    <w:p w14:paraId="75592F67">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（1）采购人无正当理由拒收接受服务的，采购人向供应商偿付合同款项百分之五作为违约金。</w:t>
      </w:r>
    </w:p>
    <w:p w14:paraId="797C7D86">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（2）采购人无故逾期验收和办理款项支付手续的,采购人应按逾期付款总额每日万分之五向供应商支付违约金。</w:t>
      </w:r>
    </w:p>
    <w:p w14:paraId="37E8684E">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（3）供应商未能如期提供服务的，对采购人的通知逾期未响应，采购人自行安排人员完成工作，产生的相关费用由供应商承担。供应商超过约定日期10个工作日仍不能提供服务的，采购人可解除本合同。</w:t>
      </w:r>
    </w:p>
    <w:p w14:paraId="69F63E18">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（4）履行合同中解决争议的方式：在合同</w:t>
      </w:r>
      <w:r>
        <w:rPr>
          <w:rFonts w:hint="eastAsia" w:ascii="仿宋" w:hAnsi="仿宋" w:eastAsia="仿宋" w:cs="宋体"/>
          <w:color w:val="auto"/>
          <w:kern w:val="0"/>
          <w:sz w:val="24"/>
          <w:cs/>
        </w:rPr>
        <w:t>执</w:t>
      </w:r>
      <w:r>
        <w:rPr>
          <w:rFonts w:hint="eastAsia" w:ascii="仿宋" w:hAnsi="仿宋" w:eastAsia="仿宋" w:cs="宋体"/>
          <w:color w:val="auto"/>
          <w:kern w:val="0"/>
          <w:sz w:val="24"/>
        </w:rPr>
        <w:t>行</w:t>
      </w:r>
      <w:r>
        <w:rPr>
          <w:rFonts w:hint="eastAsia" w:ascii="仿宋" w:hAnsi="仿宋" w:eastAsia="仿宋" w:cs="宋体"/>
          <w:color w:val="auto"/>
          <w:kern w:val="0"/>
          <w:sz w:val="24"/>
          <w:cs/>
        </w:rPr>
        <w:t>过</w:t>
      </w:r>
      <w:r>
        <w:rPr>
          <w:rFonts w:hint="eastAsia" w:ascii="仿宋" w:hAnsi="仿宋" w:eastAsia="仿宋" w:cs="宋体"/>
          <w:color w:val="auto"/>
          <w:kern w:val="0"/>
          <w:sz w:val="24"/>
        </w:rPr>
        <w:t>程中如</w:t>
      </w:r>
      <w:r>
        <w:rPr>
          <w:rFonts w:hint="eastAsia" w:ascii="仿宋" w:hAnsi="仿宋" w:eastAsia="仿宋" w:cs="宋体"/>
          <w:color w:val="auto"/>
          <w:kern w:val="0"/>
          <w:sz w:val="24"/>
          <w:cs/>
        </w:rPr>
        <w:t>发</w:t>
      </w:r>
      <w:r>
        <w:rPr>
          <w:rFonts w:hint="eastAsia" w:ascii="仿宋" w:hAnsi="仿宋" w:eastAsia="仿宋" w:cs="宋体"/>
          <w:color w:val="auto"/>
          <w:kern w:val="0"/>
          <w:sz w:val="24"/>
        </w:rPr>
        <w:t>生</w:t>
      </w:r>
      <w:r>
        <w:rPr>
          <w:rFonts w:hint="eastAsia" w:ascii="仿宋" w:hAnsi="仿宋" w:eastAsia="仿宋" w:cs="宋体"/>
          <w:color w:val="auto"/>
          <w:kern w:val="0"/>
          <w:sz w:val="24"/>
          <w:cs/>
        </w:rPr>
        <w:t>争议</w:t>
      </w:r>
      <w:r>
        <w:rPr>
          <w:rFonts w:hint="eastAsia" w:ascii="仿宋" w:hAnsi="仿宋" w:eastAsia="仿宋" w:cs="宋体"/>
          <w:color w:val="auto"/>
          <w:kern w:val="0"/>
          <w:sz w:val="24"/>
        </w:rPr>
        <w:t>，首先</w:t>
      </w:r>
      <w:r>
        <w:rPr>
          <w:rFonts w:hint="eastAsia" w:ascii="仿宋" w:hAnsi="仿宋" w:eastAsia="仿宋" w:cs="宋体"/>
          <w:color w:val="auto"/>
          <w:kern w:val="0"/>
          <w:sz w:val="24"/>
          <w:cs/>
        </w:rPr>
        <w:t>应</w:t>
      </w:r>
      <w:r>
        <w:rPr>
          <w:rFonts w:hint="eastAsia" w:ascii="仿宋" w:hAnsi="仿宋" w:eastAsia="仿宋" w:cs="宋体"/>
          <w:color w:val="auto"/>
          <w:kern w:val="0"/>
          <w:sz w:val="24"/>
        </w:rPr>
        <w:t>本</w:t>
      </w:r>
      <w:r>
        <w:rPr>
          <w:rFonts w:hint="eastAsia" w:ascii="仿宋" w:hAnsi="仿宋" w:eastAsia="仿宋" w:cs="宋体"/>
          <w:color w:val="auto"/>
          <w:kern w:val="0"/>
          <w:sz w:val="24"/>
          <w:cs/>
        </w:rPr>
        <w:t>着</w:t>
      </w:r>
      <w:r>
        <w:rPr>
          <w:rFonts w:hint="eastAsia" w:ascii="仿宋" w:hAnsi="仿宋" w:eastAsia="仿宋" w:cs="宋体"/>
          <w:color w:val="auto"/>
          <w:kern w:val="0"/>
          <w:sz w:val="24"/>
        </w:rPr>
        <w:t>友好的原</w:t>
      </w:r>
      <w:r>
        <w:rPr>
          <w:rFonts w:hint="eastAsia" w:ascii="仿宋" w:hAnsi="仿宋" w:eastAsia="仿宋" w:cs="宋体"/>
          <w:color w:val="auto"/>
          <w:kern w:val="0"/>
          <w:sz w:val="24"/>
          <w:cs/>
        </w:rPr>
        <w:t>则协</w:t>
      </w:r>
      <w:r>
        <w:rPr>
          <w:rFonts w:hint="eastAsia" w:ascii="仿宋" w:hAnsi="仿宋" w:eastAsia="仿宋" w:cs="宋体"/>
          <w:color w:val="auto"/>
          <w:kern w:val="0"/>
          <w:sz w:val="24"/>
        </w:rPr>
        <w:t>商解</w:t>
      </w:r>
      <w:r>
        <w:rPr>
          <w:rFonts w:hint="eastAsia" w:ascii="仿宋" w:hAnsi="仿宋" w:eastAsia="仿宋" w:cs="宋体"/>
          <w:color w:val="auto"/>
          <w:kern w:val="0"/>
          <w:sz w:val="24"/>
          <w:cs/>
        </w:rPr>
        <w:t>决</w:t>
      </w:r>
      <w:r>
        <w:rPr>
          <w:rFonts w:hint="eastAsia" w:ascii="仿宋" w:hAnsi="仿宋" w:eastAsia="仿宋" w:cs="宋体"/>
          <w:color w:val="auto"/>
          <w:kern w:val="0"/>
          <w:sz w:val="24"/>
        </w:rPr>
        <w:t>，</w:t>
      </w:r>
      <w:r>
        <w:rPr>
          <w:rFonts w:hint="eastAsia" w:ascii="仿宋" w:hAnsi="仿宋" w:eastAsia="仿宋" w:cs="宋体"/>
          <w:color w:val="auto"/>
          <w:kern w:val="0"/>
          <w:sz w:val="24"/>
          <w:cs/>
        </w:rPr>
        <w:t>协</w:t>
      </w:r>
      <w:r>
        <w:rPr>
          <w:rFonts w:hint="eastAsia" w:ascii="仿宋" w:hAnsi="仿宋" w:eastAsia="仿宋" w:cs="宋体"/>
          <w:color w:val="auto"/>
          <w:kern w:val="0"/>
          <w:sz w:val="24"/>
        </w:rPr>
        <w:t>商未果的，合同中甲乙</w:t>
      </w:r>
      <w:r>
        <w:rPr>
          <w:rFonts w:hint="eastAsia" w:ascii="仿宋" w:hAnsi="仿宋" w:eastAsia="仿宋" w:cs="宋体"/>
          <w:color w:val="auto"/>
          <w:kern w:val="0"/>
          <w:sz w:val="24"/>
          <w:cs/>
        </w:rPr>
        <w:t>双</w:t>
      </w:r>
      <w:r>
        <w:rPr>
          <w:rFonts w:hint="eastAsia" w:ascii="仿宋" w:hAnsi="仿宋" w:eastAsia="仿宋" w:cs="宋体"/>
          <w:color w:val="auto"/>
          <w:kern w:val="0"/>
          <w:sz w:val="24"/>
        </w:rPr>
        <w:t>方均可向本项目所在地人民法院提起诉讼。</w:t>
      </w:r>
    </w:p>
    <w:p w14:paraId="26B8FCAE">
      <w:pPr>
        <w:spacing w:before="120" w:beforeLines="50" w:line="340" w:lineRule="exact"/>
        <w:ind w:firstLine="482" w:firstLineChars="200"/>
        <w:rPr>
          <w:rFonts w:hint="eastAsia" w:ascii="仿宋" w:hAnsi="仿宋" w:eastAsia="仿宋" w:cs="宋体"/>
          <w:b/>
          <w:bCs/>
          <w:color w:val="auto"/>
          <w:kern w:val="0"/>
          <w:sz w:val="24"/>
        </w:rPr>
      </w:pPr>
      <w:r>
        <w:rPr>
          <w:rFonts w:hint="eastAsia" w:ascii="仿宋" w:hAnsi="仿宋" w:eastAsia="仿宋" w:cs="宋体"/>
          <w:b/>
          <w:bCs/>
          <w:color w:val="auto"/>
          <w:kern w:val="0"/>
          <w:sz w:val="24"/>
        </w:rPr>
        <w:t>（四）售后服务考核</w:t>
      </w:r>
    </w:p>
    <w:p w14:paraId="21C27083">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采购人将参照政府采购相关法律法规不定期对合同的履约情况进行检查，发现弄虚作假，达不到国家、行业有关标准和技术文件规定的，一经查实，采购人将视情况提请罚没履约保证金，终止合同。</w:t>
      </w:r>
    </w:p>
    <w:p w14:paraId="3B630823">
      <w:pPr>
        <w:spacing w:before="120" w:beforeLines="50" w:line="340" w:lineRule="exact"/>
        <w:rPr>
          <w:rFonts w:hint="eastAsia" w:ascii="仿宋" w:hAnsi="仿宋" w:eastAsia="仿宋"/>
          <w:b/>
          <w:color w:val="auto"/>
          <w:sz w:val="28"/>
          <w:szCs w:val="28"/>
        </w:rPr>
      </w:pPr>
      <w:r>
        <w:rPr>
          <w:rFonts w:hint="eastAsia" w:ascii="仿宋" w:hAnsi="仿宋" w:eastAsia="仿宋"/>
          <w:b/>
          <w:color w:val="auto"/>
          <w:sz w:val="28"/>
          <w:szCs w:val="28"/>
        </w:rPr>
        <w:t>六、落实政府采购政策要求</w:t>
      </w:r>
    </w:p>
    <w:p w14:paraId="613C098B">
      <w:pPr>
        <w:spacing w:before="120" w:beforeLines="50" w:line="340" w:lineRule="exact"/>
        <w:ind w:firstLine="482" w:firstLineChars="200"/>
        <w:rPr>
          <w:rFonts w:hint="eastAsia" w:ascii="仿宋" w:hAnsi="仿宋" w:eastAsia="仿宋" w:cs="宋体"/>
          <w:b/>
          <w:bCs/>
          <w:color w:val="auto"/>
          <w:kern w:val="0"/>
          <w:sz w:val="24"/>
        </w:rPr>
      </w:pPr>
      <w:r>
        <w:rPr>
          <w:rFonts w:hint="eastAsia" w:ascii="仿宋" w:hAnsi="仿宋" w:eastAsia="仿宋" w:cs="宋体"/>
          <w:b/>
          <w:bCs/>
          <w:color w:val="auto"/>
          <w:kern w:val="0"/>
          <w:sz w:val="24"/>
        </w:rPr>
        <w:t>（一）政府采购扶持政策</w:t>
      </w:r>
    </w:p>
    <w:p w14:paraId="574709BD">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 xml:space="preserve">（1）根据财政部工业和信息化部关于印发《政府采购促进中小企业发展管理办法》的通知（财库〔2020〕46号）的规定。 </w:t>
      </w:r>
    </w:p>
    <w:p w14:paraId="5B4D753F">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本项目属于预留份额专门面向中小企业采购项目；</w:t>
      </w:r>
    </w:p>
    <w:p w14:paraId="4597C6B5">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采购标的所属行业：【其他未列明行业】</w:t>
      </w:r>
    </w:p>
    <w:p w14:paraId="6AAED8E8">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（2）根据财政部司法部关于政府采购支持监狱企业发展有关问题的通知（财库〔2014〕68号）的规定，监狱企业视同小型、微型企业。</w:t>
      </w:r>
    </w:p>
    <w:p w14:paraId="50C41D3D">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（3）根据财政部民政部中国残疾人联合会关于促进残疾人就业政府采购政策的通知（财库〔2017〕141号）的规定，残疾人福利性单位视同小型、微型企业。</w:t>
      </w:r>
    </w:p>
    <w:p w14:paraId="0EA288A7">
      <w:pPr>
        <w:spacing w:before="120" w:beforeLines="50" w:line="340" w:lineRule="exact"/>
        <w:rPr>
          <w:rFonts w:hint="eastAsia" w:ascii="仿宋" w:hAnsi="仿宋" w:eastAsia="仿宋"/>
          <w:b/>
          <w:color w:val="auto"/>
          <w:sz w:val="28"/>
          <w:szCs w:val="28"/>
        </w:rPr>
      </w:pPr>
      <w:r>
        <w:rPr>
          <w:rFonts w:hint="eastAsia" w:ascii="仿宋" w:hAnsi="仿宋" w:eastAsia="仿宋"/>
          <w:b/>
          <w:color w:val="auto"/>
          <w:sz w:val="28"/>
          <w:szCs w:val="28"/>
        </w:rPr>
        <w:t>七、履约验收</w:t>
      </w:r>
    </w:p>
    <w:p w14:paraId="0C6119D5">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1.验收主体：杭州市公安局上城区分局。</w:t>
      </w:r>
    </w:p>
    <w:p w14:paraId="0428A579">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2.采购人在中标人提供服务的过程中，有权不定期对服务内容和质量进行考核。中标人应当配合进行。</w:t>
      </w:r>
    </w:p>
    <w:p w14:paraId="2660C310">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3.最终验收时间：服务内容执行完毕、服务期截止后。</w:t>
      </w:r>
    </w:p>
    <w:p w14:paraId="692807D0">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4.验收程序：中标人向采购人提出申请验收，采购人按验收方案组织履约验收。中标人应将项目执行过程及时记录、收集、整理，向采购人递交验收申请资料。</w:t>
      </w:r>
    </w:p>
    <w:p w14:paraId="3FC0AFF2">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5.验收内容：中标人实际完成的情况是否符合采购文件要求和中标人在投标响应文件中的商务、技术承诺。</w:t>
      </w:r>
    </w:p>
    <w:p w14:paraId="5E2ABAA4">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6.验收标准：中标人已经按采购文件要求和中标人在投标响应文件中的商务、技术承诺完成项目执行。</w:t>
      </w:r>
    </w:p>
    <w:p w14:paraId="28471CB7">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7.验收时中标人应在现场，验收完毕后作出验收结果报告；验收产生的费用，由采购人承担。</w:t>
      </w:r>
    </w:p>
    <w:p w14:paraId="4B256AFA">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7585D222">
      <w:pPr>
        <w:spacing w:line="360" w:lineRule="auto"/>
        <w:ind w:firstLine="181" w:firstLineChars="50"/>
        <w:rPr>
          <w:rFonts w:hint="eastAsia" w:ascii="仿宋" w:hAnsi="仿宋" w:eastAsia="仿宋" w:cs="仿宋"/>
          <w:b/>
          <w:color w:val="auto"/>
          <w:sz w:val="36"/>
          <w:szCs w:val="36"/>
        </w:rPr>
      </w:pPr>
    </w:p>
    <w:p w14:paraId="29DB4FF9">
      <w:pPr>
        <w:spacing w:line="360" w:lineRule="auto"/>
        <w:rPr>
          <w:rFonts w:hint="eastAsia" w:ascii="仿宋" w:hAnsi="仿宋" w:eastAsia="仿宋" w:cs="仿宋"/>
          <w:color w:val="auto"/>
          <w:sz w:val="24"/>
        </w:rPr>
      </w:pPr>
    </w:p>
    <w:p w14:paraId="5D97D367">
      <w:pPr>
        <w:widowControl/>
        <w:ind w:firstLine="720" w:firstLineChars="300"/>
        <w:jc w:val="left"/>
        <w:rPr>
          <w:rFonts w:hint="eastAsia" w:ascii="仿宋" w:hAnsi="仿宋" w:eastAsia="仿宋" w:cs="仿宋"/>
          <w:bCs/>
          <w:color w:val="auto"/>
          <w:sz w:val="24"/>
        </w:rPr>
      </w:pPr>
    </w:p>
    <w:p w14:paraId="24960F5B">
      <w:pPr>
        <w:rPr>
          <w:rFonts w:hint="eastAsia" w:ascii="仿宋" w:hAnsi="仿宋" w:eastAsia="仿宋" w:cs="仿宋"/>
          <w:snapToGrid w:val="0"/>
          <w:color w:val="auto"/>
          <w:kern w:val="0"/>
          <w:sz w:val="24"/>
        </w:rPr>
      </w:pPr>
    </w:p>
    <w:p w14:paraId="2BD7CFFB">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第四部分</w:t>
      </w:r>
      <w:bookmarkStart w:id="27" w:name="_Toc184308064"/>
      <w:bookmarkEnd w:id="27"/>
      <w:bookmarkStart w:id="28" w:name="_Toc184310295"/>
      <w:bookmarkEnd w:id="28"/>
      <w:bookmarkStart w:id="29" w:name="_Toc184308088"/>
      <w:bookmarkEnd w:id="29"/>
      <w:bookmarkStart w:id="30" w:name="_Toc184308040"/>
      <w:bookmarkEnd w:id="30"/>
      <w:bookmarkStart w:id="31" w:name="_Toc184310305"/>
      <w:bookmarkEnd w:id="31"/>
      <w:bookmarkStart w:id="32" w:name="_Toc184313294"/>
      <w:bookmarkEnd w:id="32"/>
      <w:bookmarkStart w:id="33" w:name="_Toc184308103"/>
      <w:bookmarkEnd w:id="33"/>
      <w:bookmarkStart w:id="34" w:name="_Toc184310285"/>
      <w:bookmarkEnd w:id="34"/>
      <w:bookmarkStart w:id="35" w:name="_Toc184313258"/>
      <w:bookmarkEnd w:id="35"/>
      <w:bookmarkStart w:id="36" w:name="_Toc184312079"/>
      <w:bookmarkEnd w:id="36"/>
      <w:bookmarkStart w:id="37" w:name="_Toc184313274"/>
      <w:bookmarkEnd w:id="37"/>
      <w:bookmarkStart w:id="38" w:name="_Toc184312119"/>
      <w:bookmarkEnd w:id="38"/>
      <w:bookmarkStart w:id="39" w:name="_Toc184314444"/>
      <w:bookmarkEnd w:id="39"/>
      <w:bookmarkStart w:id="40" w:name="_Toc184314431"/>
      <w:bookmarkEnd w:id="40"/>
      <w:bookmarkStart w:id="41" w:name="_Toc184312101"/>
      <w:bookmarkEnd w:id="41"/>
      <w:bookmarkStart w:id="42" w:name="_Toc184312136"/>
      <w:bookmarkEnd w:id="42"/>
      <w:bookmarkStart w:id="43" w:name="_Toc184310303"/>
      <w:bookmarkEnd w:id="43"/>
      <w:bookmarkStart w:id="44" w:name="_Toc184308052"/>
      <w:bookmarkEnd w:id="44"/>
      <w:bookmarkStart w:id="45" w:name="_Toc184313271"/>
      <w:bookmarkEnd w:id="45"/>
      <w:bookmarkStart w:id="46" w:name="_Toc184310310"/>
      <w:bookmarkEnd w:id="46"/>
      <w:bookmarkStart w:id="47" w:name="_Toc184314468"/>
      <w:bookmarkEnd w:id="47"/>
      <w:bookmarkStart w:id="48" w:name="_Toc184308039"/>
      <w:bookmarkEnd w:id="48"/>
      <w:bookmarkStart w:id="49" w:name="_Toc184314427"/>
      <w:bookmarkEnd w:id="49"/>
      <w:bookmarkStart w:id="50" w:name="_Toc184308042"/>
      <w:bookmarkEnd w:id="50"/>
      <w:bookmarkStart w:id="51" w:name="_Toc184310335"/>
      <w:bookmarkEnd w:id="51"/>
      <w:bookmarkStart w:id="52" w:name="_Toc184310344"/>
      <w:bookmarkEnd w:id="52"/>
      <w:bookmarkStart w:id="53" w:name="_Toc184314428"/>
      <w:bookmarkEnd w:id="53"/>
      <w:bookmarkStart w:id="54" w:name="_Toc184313256"/>
      <w:bookmarkEnd w:id="54"/>
      <w:bookmarkStart w:id="55" w:name="_Toc184310287"/>
      <w:bookmarkEnd w:id="55"/>
      <w:bookmarkStart w:id="56" w:name="_Toc184310275"/>
      <w:bookmarkEnd w:id="56"/>
      <w:bookmarkStart w:id="57" w:name="_Toc184313303"/>
      <w:bookmarkEnd w:id="57"/>
      <w:bookmarkStart w:id="58" w:name="_Toc184312097"/>
      <w:bookmarkEnd w:id="58"/>
      <w:bookmarkStart w:id="59" w:name="_Toc184310330"/>
      <w:bookmarkEnd w:id="59"/>
      <w:bookmarkStart w:id="60" w:name="_Toc184312130"/>
      <w:bookmarkEnd w:id="60"/>
      <w:bookmarkStart w:id="61" w:name="_Toc184314445"/>
      <w:bookmarkEnd w:id="61"/>
      <w:bookmarkStart w:id="62" w:name="_Toc184308104"/>
      <w:bookmarkEnd w:id="62"/>
      <w:bookmarkStart w:id="63" w:name="_Toc184312095"/>
      <w:bookmarkEnd w:id="63"/>
      <w:bookmarkStart w:id="64" w:name="_Toc184312074"/>
      <w:bookmarkEnd w:id="64"/>
      <w:bookmarkStart w:id="65" w:name="_Toc184308087"/>
      <w:bookmarkEnd w:id="65"/>
      <w:bookmarkStart w:id="66" w:name="_Toc184308079"/>
      <w:bookmarkEnd w:id="66"/>
      <w:bookmarkStart w:id="67" w:name="_Toc184313295"/>
      <w:bookmarkEnd w:id="67"/>
      <w:bookmarkStart w:id="68" w:name="_Toc184313251"/>
      <w:bookmarkEnd w:id="68"/>
      <w:bookmarkStart w:id="69" w:name="_Toc184312124"/>
      <w:bookmarkEnd w:id="69"/>
      <w:bookmarkStart w:id="70" w:name="_Toc184312114"/>
      <w:bookmarkEnd w:id="70"/>
      <w:bookmarkStart w:id="71" w:name="_Toc184308063"/>
      <w:bookmarkEnd w:id="71"/>
      <w:bookmarkStart w:id="72" w:name="_Toc184314417"/>
      <w:bookmarkEnd w:id="72"/>
      <w:bookmarkStart w:id="73" w:name="_Toc184313269"/>
      <w:bookmarkEnd w:id="73"/>
      <w:bookmarkStart w:id="74" w:name="_Toc184310332"/>
      <w:bookmarkEnd w:id="74"/>
      <w:bookmarkStart w:id="75" w:name="_Toc184314453"/>
      <w:bookmarkEnd w:id="75"/>
      <w:bookmarkStart w:id="76" w:name="_Toc184314430"/>
      <w:bookmarkEnd w:id="76"/>
      <w:bookmarkStart w:id="77" w:name="_Toc184314436"/>
      <w:bookmarkEnd w:id="77"/>
      <w:bookmarkStart w:id="78" w:name="_Toc184313293"/>
      <w:bookmarkEnd w:id="78"/>
      <w:bookmarkStart w:id="79" w:name="_Toc184313264"/>
      <w:bookmarkEnd w:id="79"/>
      <w:bookmarkStart w:id="80" w:name="_Toc184308097"/>
      <w:bookmarkEnd w:id="80"/>
      <w:bookmarkStart w:id="81" w:name="_Toc184310341"/>
      <w:bookmarkEnd w:id="81"/>
      <w:bookmarkStart w:id="82" w:name="_Toc184312137"/>
      <w:bookmarkEnd w:id="82"/>
      <w:bookmarkStart w:id="83" w:name="_Toc184308060"/>
      <w:bookmarkEnd w:id="83"/>
      <w:bookmarkStart w:id="84" w:name="_Toc184314429"/>
      <w:bookmarkEnd w:id="84"/>
      <w:bookmarkStart w:id="85" w:name="_Toc184308080"/>
      <w:bookmarkEnd w:id="85"/>
      <w:bookmarkStart w:id="86" w:name="_Toc184312069"/>
      <w:bookmarkEnd w:id="86"/>
      <w:bookmarkStart w:id="87" w:name="_Toc184308067"/>
      <w:bookmarkEnd w:id="87"/>
      <w:bookmarkStart w:id="88" w:name="_Toc184308069"/>
      <w:bookmarkEnd w:id="88"/>
      <w:bookmarkStart w:id="89" w:name="_Toc184313297"/>
      <w:bookmarkEnd w:id="89"/>
      <w:bookmarkStart w:id="90" w:name="_Toc184312121"/>
      <w:bookmarkEnd w:id="90"/>
      <w:bookmarkStart w:id="91" w:name="_Toc184312134"/>
      <w:bookmarkEnd w:id="91"/>
      <w:bookmarkStart w:id="92" w:name="_Toc184313275"/>
      <w:bookmarkEnd w:id="92"/>
      <w:bookmarkStart w:id="93" w:name="_Toc184308070"/>
      <w:bookmarkEnd w:id="93"/>
      <w:bookmarkStart w:id="94" w:name="_Toc184313265"/>
      <w:bookmarkEnd w:id="94"/>
      <w:bookmarkStart w:id="95" w:name="_Toc184313252"/>
      <w:bookmarkEnd w:id="95"/>
      <w:bookmarkStart w:id="96" w:name="_Toc184312110"/>
      <w:bookmarkEnd w:id="96"/>
      <w:bookmarkStart w:id="97" w:name="_Toc184310306"/>
      <w:bookmarkEnd w:id="97"/>
      <w:bookmarkStart w:id="98" w:name="_Toc184313296"/>
      <w:bookmarkEnd w:id="98"/>
      <w:bookmarkStart w:id="99" w:name="_Toc184312105"/>
      <w:bookmarkEnd w:id="99"/>
      <w:bookmarkStart w:id="100" w:name="_Toc184308046"/>
      <w:bookmarkEnd w:id="100"/>
      <w:bookmarkStart w:id="101" w:name="_Toc184314454"/>
      <w:bookmarkEnd w:id="101"/>
      <w:bookmarkStart w:id="102" w:name="_Toc184308047"/>
      <w:bookmarkEnd w:id="102"/>
      <w:bookmarkStart w:id="103" w:name="_Toc184313310"/>
      <w:bookmarkEnd w:id="103"/>
      <w:bookmarkStart w:id="104" w:name="_Toc184310315"/>
      <w:bookmarkEnd w:id="104"/>
      <w:bookmarkStart w:id="105" w:name="_Toc184310290"/>
      <w:bookmarkEnd w:id="105"/>
      <w:bookmarkStart w:id="106" w:name="_Toc184312118"/>
      <w:bookmarkEnd w:id="106"/>
      <w:bookmarkStart w:id="107" w:name="_Toc184310326"/>
      <w:bookmarkEnd w:id="107"/>
      <w:bookmarkStart w:id="108" w:name="_Toc184310272"/>
      <w:bookmarkEnd w:id="108"/>
      <w:bookmarkStart w:id="109" w:name="_Toc184314435"/>
      <w:bookmarkEnd w:id="109"/>
      <w:bookmarkStart w:id="110" w:name="_Toc184310278"/>
      <w:bookmarkEnd w:id="110"/>
      <w:bookmarkStart w:id="111" w:name="_Toc184312103"/>
      <w:bookmarkEnd w:id="111"/>
      <w:bookmarkStart w:id="112" w:name="_Toc184313278"/>
      <w:bookmarkEnd w:id="112"/>
      <w:bookmarkStart w:id="113" w:name="_Toc184308058"/>
      <w:bookmarkEnd w:id="113"/>
      <w:bookmarkStart w:id="114" w:name="_Toc184312073"/>
      <w:bookmarkEnd w:id="114"/>
      <w:bookmarkStart w:id="115" w:name="_Toc184314433"/>
      <w:bookmarkEnd w:id="115"/>
      <w:bookmarkStart w:id="116" w:name="_Toc184312075"/>
      <w:bookmarkEnd w:id="116"/>
      <w:bookmarkStart w:id="117" w:name="_Toc184314473"/>
      <w:bookmarkEnd w:id="117"/>
      <w:bookmarkStart w:id="118" w:name="_Toc184314414"/>
      <w:bookmarkEnd w:id="118"/>
      <w:bookmarkStart w:id="119" w:name="_Toc184308043"/>
      <w:bookmarkEnd w:id="119"/>
      <w:bookmarkStart w:id="120" w:name="_Toc184313304"/>
      <w:bookmarkEnd w:id="120"/>
      <w:bookmarkStart w:id="121" w:name="_Toc184314416"/>
      <w:bookmarkEnd w:id="121"/>
      <w:bookmarkStart w:id="122" w:name="_Toc184310324"/>
      <w:bookmarkEnd w:id="122"/>
      <w:bookmarkStart w:id="123" w:name="_Toc184314464"/>
      <w:bookmarkEnd w:id="123"/>
      <w:bookmarkStart w:id="124" w:name="_Toc184313299"/>
      <w:bookmarkEnd w:id="124"/>
      <w:bookmarkStart w:id="125" w:name="_Toc184314412"/>
      <w:bookmarkEnd w:id="125"/>
      <w:bookmarkStart w:id="126" w:name="_Toc184310333"/>
      <w:bookmarkEnd w:id="126"/>
      <w:bookmarkStart w:id="127" w:name="_Toc184312133"/>
      <w:bookmarkEnd w:id="127"/>
      <w:bookmarkStart w:id="128" w:name="_Toc184310318"/>
      <w:bookmarkEnd w:id="128"/>
      <w:bookmarkStart w:id="129" w:name="_Toc184313254"/>
      <w:bookmarkEnd w:id="129"/>
      <w:bookmarkStart w:id="130" w:name="_Toc184314455"/>
      <w:bookmarkEnd w:id="130"/>
      <w:bookmarkStart w:id="131" w:name="_Toc184308076"/>
      <w:bookmarkEnd w:id="131"/>
      <w:bookmarkStart w:id="132" w:name="_Toc184314450"/>
      <w:bookmarkEnd w:id="132"/>
      <w:bookmarkStart w:id="133" w:name="_Toc184312099"/>
      <w:bookmarkEnd w:id="133"/>
      <w:bookmarkStart w:id="134" w:name="_Toc184312086"/>
      <w:bookmarkEnd w:id="134"/>
      <w:bookmarkStart w:id="135" w:name="_Toc184310313"/>
      <w:bookmarkEnd w:id="135"/>
      <w:bookmarkStart w:id="136" w:name="_Toc184313284"/>
      <w:bookmarkEnd w:id="136"/>
      <w:bookmarkStart w:id="137" w:name="_Toc184314479"/>
      <w:bookmarkEnd w:id="137"/>
      <w:bookmarkStart w:id="138" w:name="_Toc184313245"/>
      <w:bookmarkEnd w:id="138"/>
      <w:bookmarkStart w:id="139" w:name="_Toc184314469"/>
      <w:bookmarkEnd w:id="139"/>
      <w:bookmarkStart w:id="140" w:name="_Toc184310331"/>
      <w:bookmarkEnd w:id="140"/>
      <w:bookmarkStart w:id="141" w:name="_Toc184314480"/>
      <w:bookmarkEnd w:id="141"/>
      <w:bookmarkStart w:id="142" w:name="_Toc184313262"/>
      <w:bookmarkEnd w:id="142"/>
      <w:bookmarkStart w:id="143" w:name="_Toc184313288"/>
      <w:bookmarkEnd w:id="143"/>
      <w:bookmarkStart w:id="144" w:name="_Toc184310338"/>
      <w:bookmarkEnd w:id="144"/>
      <w:bookmarkStart w:id="145" w:name="_Toc184312072"/>
      <w:bookmarkEnd w:id="145"/>
      <w:bookmarkStart w:id="146" w:name="_Toc184314420"/>
      <w:bookmarkEnd w:id="146"/>
      <w:bookmarkStart w:id="147" w:name="_Toc184310288"/>
      <w:bookmarkEnd w:id="147"/>
      <w:bookmarkStart w:id="148" w:name="_Toc184312107"/>
      <w:bookmarkEnd w:id="148"/>
      <w:bookmarkStart w:id="149" w:name="_Toc184310309"/>
      <w:bookmarkEnd w:id="149"/>
      <w:bookmarkStart w:id="150" w:name="_Toc184310293"/>
      <w:bookmarkEnd w:id="150"/>
      <w:bookmarkStart w:id="151" w:name="_Toc184313240"/>
      <w:bookmarkEnd w:id="151"/>
      <w:bookmarkStart w:id="152" w:name="_Toc184314476"/>
      <w:bookmarkEnd w:id="152"/>
      <w:bookmarkStart w:id="153" w:name="_Toc184308108"/>
      <w:bookmarkEnd w:id="153"/>
      <w:bookmarkStart w:id="154" w:name="_Toc184308050"/>
      <w:bookmarkEnd w:id="154"/>
      <w:bookmarkStart w:id="155" w:name="_Toc184308077"/>
      <w:bookmarkEnd w:id="155"/>
      <w:bookmarkStart w:id="156" w:name="_Toc184308054"/>
      <w:bookmarkEnd w:id="156"/>
      <w:bookmarkStart w:id="157" w:name="_Toc184313266"/>
      <w:bookmarkEnd w:id="157"/>
      <w:bookmarkStart w:id="158" w:name="_Toc184313292"/>
      <w:bookmarkEnd w:id="158"/>
      <w:bookmarkStart w:id="159" w:name="_Toc184310294"/>
      <w:bookmarkEnd w:id="159"/>
      <w:bookmarkStart w:id="160" w:name="_Toc184312067"/>
      <w:bookmarkEnd w:id="160"/>
      <w:bookmarkStart w:id="161" w:name="_Toc184312088"/>
      <w:bookmarkEnd w:id="161"/>
      <w:bookmarkStart w:id="162" w:name="_Toc184313290"/>
      <w:bookmarkEnd w:id="162"/>
      <w:bookmarkStart w:id="163" w:name="_Toc184308092"/>
      <w:bookmarkEnd w:id="163"/>
      <w:bookmarkStart w:id="164" w:name="_Toc184310337"/>
      <w:bookmarkEnd w:id="164"/>
      <w:bookmarkStart w:id="165" w:name="_Toc184308068"/>
      <w:bookmarkEnd w:id="165"/>
      <w:bookmarkStart w:id="166" w:name="_Toc184308057"/>
      <w:bookmarkEnd w:id="166"/>
      <w:bookmarkStart w:id="167" w:name="_Toc184313246"/>
      <w:bookmarkEnd w:id="167"/>
      <w:bookmarkStart w:id="168" w:name="_Toc184314424"/>
      <w:bookmarkEnd w:id="168"/>
      <w:bookmarkStart w:id="169" w:name="_Toc184313248"/>
      <w:bookmarkEnd w:id="169"/>
      <w:bookmarkStart w:id="170" w:name="_Toc184312078"/>
      <w:bookmarkEnd w:id="170"/>
      <w:bookmarkStart w:id="171" w:name="_Toc184312125"/>
      <w:bookmarkEnd w:id="171"/>
      <w:bookmarkStart w:id="172" w:name="_Toc184313285"/>
      <w:bookmarkEnd w:id="172"/>
      <w:bookmarkStart w:id="173" w:name="_Toc184313306"/>
      <w:bookmarkEnd w:id="173"/>
      <w:bookmarkStart w:id="174" w:name="_Toc184310322"/>
      <w:bookmarkEnd w:id="174"/>
      <w:bookmarkStart w:id="175" w:name="_Toc184312091"/>
      <w:bookmarkEnd w:id="175"/>
      <w:bookmarkStart w:id="176" w:name="_Toc184314463"/>
      <w:bookmarkEnd w:id="176"/>
      <w:bookmarkStart w:id="177" w:name="_Toc184313244"/>
      <w:bookmarkEnd w:id="177"/>
      <w:bookmarkStart w:id="178" w:name="_Toc184313300"/>
      <w:bookmarkEnd w:id="178"/>
      <w:bookmarkStart w:id="179" w:name="_Toc184312090"/>
      <w:bookmarkEnd w:id="179"/>
      <w:bookmarkStart w:id="180" w:name="_Toc184312126"/>
      <w:bookmarkEnd w:id="180"/>
      <w:bookmarkStart w:id="181" w:name="_Toc184308044"/>
      <w:bookmarkEnd w:id="181"/>
      <w:bookmarkStart w:id="182" w:name="_Toc184308102"/>
      <w:bookmarkEnd w:id="182"/>
      <w:bookmarkStart w:id="183" w:name="_Toc184312082"/>
      <w:bookmarkEnd w:id="183"/>
      <w:bookmarkStart w:id="184" w:name="_Toc184310276"/>
      <w:bookmarkEnd w:id="184"/>
      <w:bookmarkStart w:id="185" w:name="_Toc184313280"/>
      <w:bookmarkEnd w:id="185"/>
      <w:bookmarkStart w:id="186" w:name="_Toc184313239"/>
      <w:bookmarkEnd w:id="186"/>
      <w:bookmarkStart w:id="187" w:name="_Toc184312112"/>
      <w:bookmarkEnd w:id="187"/>
      <w:bookmarkStart w:id="188" w:name="_Toc184308085"/>
      <w:bookmarkEnd w:id="188"/>
      <w:bookmarkStart w:id="189" w:name="_Toc184314439"/>
      <w:bookmarkEnd w:id="189"/>
      <w:bookmarkStart w:id="190" w:name="_Toc184310284"/>
      <w:bookmarkEnd w:id="190"/>
      <w:bookmarkStart w:id="191" w:name="_Toc184308082"/>
      <w:bookmarkEnd w:id="191"/>
      <w:bookmarkStart w:id="192" w:name="_Toc184313268"/>
      <w:bookmarkEnd w:id="192"/>
      <w:bookmarkStart w:id="193" w:name="_Toc184313241"/>
      <w:bookmarkEnd w:id="193"/>
      <w:bookmarkStart w:id="194" w:name="_Toc184312138"/>
      <w:bookmarkEnd w:id="194"/>
      <w:bookmarkStart w:id="195" w:name="_Toc184310282"/>
      <w:bookmarkEnd w:id="195"/>
      <w:bookmarkStart w:id="196" w:name="_Toc184314482"/>
      <w:bookmarkEnd w:id="196"/>
      <w:bookmarkStart w:id="197" w:name="_Toc184310311"/>
      <w:bookmarkEnd w:id="197"/>
      <w:bookmarkStart w:id="198" w:name="_Toc184312104"/>
      <w:bookmarkEnd w:id="198"/>
      <w:bookmarkStart w:id="199" w:name="_Toc184314452"/>
      <w:bookmarkEnd w:id="199"/>
      <w:bookmarkStart w:id="200" w:name="_Toc184313276"/>
      <w:bookmarkEnd w:id="200"/>
      <w:bookmarkStart w:id="201" w:name="_Toc184310299"/>
      <w:bookmarkEnd w:id="201"/>
      <w:bookmarkStart w:id="202" w:name="_Toc184314459"/>
      <w:bookmarkEnd w:id="202"/>
      <w:bookmarkStart w:id="203" w:name="_Toc184308074"/>
      <w:bookmarkEnd w:id="203"/>
      <w:bookmarkStart w:id="204" w:name="_Toc184314470"/>
      <w:bookmarkEnd w:id="204"/>
      <w:bookmarkStart w:id="205" w:name="_Toc184314443"/>
      <w:bookmarkEnd w:id="205"/>
      <w:bookmarkStart w:id="206" w:name="_Toc184310336"/>
      <w:bookmarkEnd w:id="206"/>
      <w:bookmarkStart w:id="207" w:name="_Toc184308096"/>
      <w:bookmarkEnd w:id="207"/>
      <w:bookmarkStart w:id="208" w:name="_Toc184310297"/>
      <w:bookmarkEnd w:id="208"/>
      <w:bookmarkStart w:id="209" w:name="_Toc184314423"/>
      <w:bookmarkEnd w:id="209"/>
      <w:bookmarkStart w:id="210" w:name="_Toc184312116"/>
      <w:bookmarkEnd w:id="210"/>
      <w:bookmarkStart w:id="211" w:name="_Toc184312123"/>
      <w:bookmarkEnd w:id="211"/>
      <w:bookmarkStart w:id="212" w:name="_Toc184310298"/>
      <w:bookmarkEnd w:id="212"/>
      <w:bookmarkStart w:id="213" w:name="_Toc184310301"/>
      <w:bookmarkEnd w:id="213"/>
      <w:bookmarkStart w:id="214" w:name="_Toc184313263"/>
      <w:bookmarkEnd w:id="214"/>
      <w:bookmarkStart w:id="215" w:name="_Toc184308055"/>
      <w:bookmarkEnd w:id="215"/>
      <w:bookmarkStart w:id="216" w:name="_Toc184312129"/>
      <w:bookmarkEnd w:id="216"/>
      <w:bookmarkStart w:id="217" w:name="_Toc184314442"/>
      <w:bookmarkEnd w:id="217"/>
      <w:bookmarkStart w:id="218" w:name="_Toc184313261"/>
      <w:bookmarkEnd w:id="218"/>
      <w:bookmarkStart w:id="219" w:name="_Toc184314411"/>
      <w:bookmarkEnd w:id="219"/>
      <w:bookmarkStart w:id="220" w:name="_Toc184308059"/>
      <w:bookmarkEnd w:id="220"/>
      <w:bookmarkStart w:id="221" w:name="_Toc184312127"/>
      <w:bookmarkEnd w:id="221"/>
      <w:bookmarkStart w:id="222" w:name="_Toc184313302"/>
      <w:bookmarkEnd w:id="222"/>
      <w:bookmarkStart w:id="223" w:name="_Toc184310312"/>
      <w:bookmarkEnd w:id="223"/>
      <w:bookmarkStart w:id="224" w:name="_Toc184314460"/>
      <w:bookmarkEnd w:id="224"/>
      <w:bookmarkStart w:id="225" w:name="_Toc184314422"/>
      <w:bookmarkEnd w:id="225"/>
      <w:bookmarkStart w:id="226" w:name="_Toc184308075"/>
      <w:bookmarkEnd w:id="226"/>
      <w:bookmarkStart w:id="227" w:name="_Toc184314475"/>
      <w:bookmarkEnd w:id="227"/>
      <w:bookmarkStart w:id="228" w:name="_Toc184312122"/>
      <w:bookmarkEnd w:id="228"/>
      <w:bookmarkStart w:id="229" w:name="_Toc184314448"/>
      <w:bookmarkEnd w:id="229"/>
      <w:bookmarkStart w:id="230" w:name="_Toc184313257"/>
      <w:bookmarkEnd w:id="230"/>
      <w:bookmarkStart w:id="231" w:name="_Toc184312083"/>
      <w:bookmarkEnd w:id="231"/>
      <w:bookmarkStart w:id="232" w:name="_Toc184308051"/>
      <w:bookmarkEnd w:id="232"/>
      <w:bookmarkStart w:id="233" w:name="_Toc184310328"/>
      <w:bookmarkEnd w:id="233"/>
      <w:bookmarkStart w:id="234" w:name="_Toc184308107"/>
      <w:bookmarkEnd w:id="234"/>
      <w:bookmarkStart w:id="235" w:name="_Toc184310329"/>
      <w:bookmarkEnd w:id="235"/>
      <w:bookmarkStart w:id="236" w:name="_Toc184312135"/>
      <w:bookmarkEnd w:id="236"/>
      <w:bookmarkStart w:id="237" w:name="_Toc184310339"/>
      <w:bookmarkEnd w:id="237"/>
      <w:bookmarkStart w:id="238" w:name="_Toc184314426"/>
      <w:bookmarkEnd w:id="238"/>
      <w:bookmarkStart w:id="239" w:name="_Toc184310342"/>
      <w:bookmarkEnd w:id="239"/>
      <w:bookmarkStart w:id="240" w:name="_Toc184308099"/>
      <w:bookmarkEnd w:id="240"/>
      <w:bookmarkStart w:id="241" w:name="_Toc184310307"/>
      <w:bookmarkEnd w:id="241"/>
      <w:bookmarkStart w:id="242" w:name="_Toc184308061"/>
      <w:bookmarkEnd w:id="242"/>
      <w:bookmarkStart w:id="243" w:name="_Toc184312077"/>
      <w:bookmarkEnd w:id="243"/>
      <w:bookmarkStart w:id="244" w:name="_Toc184310325"/>
      <w:bookmarkEnd w:id="244"/>
      <w:bookmarkStart w:id="245" w:name="_Toc184314462"/>
      <w:bookmarkEnd w:id="245"/>
      <w:bookmarkStart w:id="246" w:name="_Toc184314447"/>
      <w:bookmarkEnd w:id="246"/>
      <w:bookmarkStart w:id="247" w:name="_Toc184308101"/>
      <w:bookmarkEnd w:id="247"/>
      <w:bookmarkStart w:id="248" w:name="_Toc184312070"/>
      <w:bookmarkEnd w:id="248"/>
      <w:bookmarkStart w:id="249" w:name="_Toc184310292"/>
      <w:bookmarkEnd w:id="249"/>
      <w:bookmarkStart w:id="250" w:name="_Toc184308071"/>
      <w:bookmarkEnd w:id="250"/>
      <w:bookmarkStart w:id="251" w:name="_Toc184314481"/>
      <w:bookmarkEnd w:id="251"/>
      <w:bookmarkStart w:id="252" w:name="_Toc184310308"/>
      <w:bookmarkEnd w:id="252"/>
      <w:bookmarkStart w:id="253" w:name="_Toc184310274"/>
      <w:bookmarkEnd w:id="253"/>
      <w:bookmarkStart w:id="254" w:name="_Toc184310320"/>
      <w:bookmarkEnd w:id="254"/>
      <w:bookmarkStart w:id="255" w:name="_Toc184313279"/>
      <w:bookmarkEnd w:id="255"/>
      <w:bookmarkStart w:id="256" w:name="_Toc184312081"/>
      <w:bookmarkEnd w:id="256"/>
      <w:bookmarkStart w:id="257" w:name="_Toc184310334"/>
      <w:bookmarkEnd w:id="257"/>
      <w:bookmarkStart w:id="258" w:name="_Toc184314446"/>
      <w:bookmarkEnd w:id="258"/>
      <w:bookmarkStart w:id="259" w:name="_Toc184313238"/>
      <w:bookmarkEnd w:id="259"/>
      <w:bookmarkStart w:id="260" w:name="_Toc184310296"/>
      <w:bookmarkEnd w:id="260"/>
      <w:bookmarkStart w:id="261" w:name="_Toc184308045"/>
      <w:bookmarkEnd w:id="261"/>
      <w:bookmarkStart w:id="262" w:name="_Toc184313270"/>
      <w:bookmarkEnd w:id="262"/>
      <w:bookmarkStart w:id="263" w:name="_Toc184313272"/>
      <w:bookmarkEnd w:id="263"/>
      <w:bookmarkStart w:id="264" w:name="_Toc184314434"/>
      <w:bookmarkEnd w:id="264"/>
      <w:bookmarkStart w:id="265" w:name="_Toc184310327"/>
      <w:bookmarkEnd w:id="265"/>
      <w:bookmarkStart w:id="266" w:name="_Toc184313250"/>
      <w:bookmarkEnd w:id="266"/>
      <w:bookmarkStart w:id="267" w:name="_Toc184308081"/>
      <w:bookmarkEnd w:id="267"/>
      <w:bookmarkStart w:id="268" w:name="_Toc184310281"/>
      <w:bookmarkEnd w:id="268"/>
      <w:bookmarkStart w:id="269" w:name="_Toc184312093"/>
      <w:bookmarkEnd w:id="269"/>
      <w:bookmarkStart w:id="270" w:name="_Toc184310319"/>
      <w:bookmarkEnd w:id="270"/>
      <w:bookmarkStart w:id="271" w:name="_Toc184313289"/>
      <w:bookmarkEnd w:id="271"/>
      <w:bookmarkStart w:id="272" w:name="_Toc184313291"/>
      <w:bookmarkEnd w:id="272"/>
      <w:bookmarkStart w:id="273" w:name="_Toc184310277"/>
      <w:bookmarkEnd w:id="273"/>
      <w:bookmarkStart w:id="274" w:name="_Toc184313287"/>
      <w:bookmarkEnd w:id="274"/>
      <w:bookmarkStart w:id="275" w:name="_Toc184314419"/>
      <w:bookmarkEnd w:id="275"/>
      <w:bookmarkStart w:id="276" w:name="_Toc184312089"/>
      <w:bookmarkEnd w:id="276"/>
      <w:bookmarkStart w:id="277" w:name="_Toc184314425"/>
      <w:bookmarkEnd w:id="277"/>
      <w:bookmarkStart w:id="278" w:name="_Toc184308036"/>
      <w:bookmarkEnd w:id="278"/>
      <w:bookmarkStart w:id="279" w:name="_Toc184312068"/>
      <w:bookmarkEnd w:id="279"/>
      <w:bookmarkStart w:id="280" w:name="_Toc184314458"/>
      <w:bookmarkEnd w:id="280"/>
      <w:bookmarkStart w:id="281" w:name="_Toc184308083"/>
      <w:bookmarkEnd w:id="281"/>
      <w:bookmarkStart w:id="282" w:name="_Toc184314418"/>
      <w:bookmarkEnd w:id="282"/>
      <w:bookmarkStart w:id="283" w:name="_Toc184312098"/>
      <w:bookmarkEnd w:id="283"/>
      <w:bookmarkStart w:id="284" w:name="_Toc184312096"/>
      <w:bookmarkEnd w:id="284"/>
      <w:bookmarkStart w:id="285" w:name="_Toc184308091"/>
      <w:bookmarkEnd w:id="285"/>
      <w:bookmarkStart w:id="286" w:name="_Toc184313283"/>
      <w:bookmarkEnd w:id="286"/>
      <w:bookmarkStart w:id="287" w:name="_Toc184310314"/>
      <w:bookmarkEnd w:id="287"/>
      <w:bookmarkStart w:id="288" w:name="_Toc184308093"/>
      <w:bookmarkEnd w:id="288"/>
      <w:bookmarkStart w:id="289" w:name="_Toc184314472"/>
      <w:bookmarkEnd w:id="289"/>
      <w:bookmarkStart w:id="290" w:name="_Toc184313307"/>
      <w:bookmarkEnd w:id="290"/>
      <w:bookmarkStart w:id="291" w:name="_Toc184308100"/>
      <w:bookmarkEnd w:id="291"/>
      <w:bookmarkStart w:id="292" w:name="_Toc184313301"/>
      <w:bookmarkEnd w:id="292"/>
      <w:bookmarkStart w:id="293" w:name="_Toc184308090"/>
      <w:bookmarkEnd w:id="293"/>
      <w:bookmarkStart w:id="294" w:name="_Toc184313260"/>
      <w:bookmarkEnd w:id="294"/>
      <w:bookmarkStart w:id="295" w:name="_Toc184310289"/>
      <w:bookmarkEnd w:id="295"/>
      <w:bookmarkStart w:id="296" w:name="_Toc184310291"/>
      <w:bookmarkEnd w:id="296"/>
      <w:bookmarkStart w:id="297" w:name="_Toc184313308"/>
      <w:bookmarkEnd w:id="297"/>
      <w:bookmarkStart w:id="298" w:name="_Toc184308049"/>
      <w:bookmarkEnd w:id="298"/>
      <w:bookmarkStart w:id="299" w:name="_Toc184310300"/>
      <w:bookmarkEnd w:id="299"/>
      <w:bookmarkStart w:id="300" w:name="_Toc184308073"/>
      <w:bookmarkEnd w:id="300"/>
      <w:bookmarkStart w:id="301" w:name="_Toc184310283"/>
      <w:bookmarkEnd w:id="301"/>
      <w:bookmarkStart w:id="302" w:name="_Toc184310279"/>
      <w:bookmarkEnd w:id="302"/>
      <w:bookmarkStart w:id="303" w:name="_Toc184312100"/>
      <w:bookmarkEnd w:id="303"/>
      <w:bookmarkStart w:id="304" w:name="_Toc184310302"/>
      <w:bookmarkEnd w:id="304"/>
      <w:bookmarkStart w:id="305" w:name="_Toc184312087"/>
      <w:bookmarkEnd w:id="305"/>
      <w:bookmarkStart w:id="306" w:name="_Toc184308065"/>
      <w:bookmarkEnd w:id="306"/>
      <w:bookmarkStart w:id="307" w:name="_Toc184314432"/>
      <w:bookmarkEnd w:id="307"/>
      <w:bookmarkStart w:id="308" w:name="_Toc184310280"/>
      <w:bookmarkEnd w:id="308"/>
      <w:bookmarkStart w:id="309" w:name="_Toc184312080"/>
      <w:bookmarkEnd w:id="309"/>
      <w:bookmarkStart w:id="310" w:name="_Toc184313253"/>
      <w:bookmarkEnd w:id="310"/>
      <w:bookmarkStart w:id="311" w:name="_Toc184312102"/>
      <w:bookmarkEnd w:id="311"/>
      <w:bookmarkStart w:id="312" w:name="_Toc184314437"/>
      <w:bookmarkEnd w:id="312"/>
      <w:bookmarkStart w:id="313" w:name="_Toc184313277"/>
      <w:bookmarkEnd w:id="313"/>
      <w:bookmarkStart w:id="314" w:name="_Toc184312117"/>
      <w:bookmarkEnd w:id="314"/>
      <w:bookmarkStart w:id="315" w:name="_Toc184313243"/>
      <w:bookmarkEnd w:id="315"/>
      <w:bookmarkStart w:id="316" w:name="_Toc184308066"/>
      <w:bookmarkEnd w:id="316"/>
      <w:bookmarkStart w:id="317" w:name="_Toc184314456"/>
      <w:bookmarkEnd w:id="317"/>
      <w:bookmarkStart w:id="318" w:name="_Toc184313247"/>
      <w:bookmarkEnd w:id="318"/>
      <w:bookmarkStart w:id="319" w:name="_Toc184313267"/>
      <w:bookmarkEnd w:id="319"/>
      <w:bookmarkStart w:id="320" w:name="_Toc184314477"/>
      <w:bookmarkEnd w:id="320"/>
      <w:bookmarkStart w:id="321" w:name="_Toc184310321"/>
      <w:bookmarkEnd w:id="321"/>
      <w:bookmarkStart w:id="322" w:name="_Toc184308095"/>
      <w:bookmarkEnd w:id="322"/>
      <w:bookmarkStart w:id="323" w:name="_Toc184312113"/>
      <w:bookmarkEnd w:id="323"/>
      <w:bookmarkStart w:id="324" w:name="_Toc184314421"/>
      <w:bookmarkEnd w:id="324"/>
      <w:bookmarkStart w:id="325" w:name="_Toc184308098"/>
      <w:bookmarkEnd w:id="325"/>
      <w:bookmarkStart w:id="326" w:name="_Toc184313259"/>
      <w:bookmarkEnd w:id="326"/>
      <w:bookmarkStart w:id="327" w:name="_Toc184312084"/>
      <w:bookmarkEnd w:id="327"/>
      <w:bookmarkStart w:id="328" w:name="_Toc184312115"/>
      <w:bookmarkEnd w:id="328"/>
      <w:bookmarkStart w:id="329" w:name="_Toc184313309"/>
      <w:bookmarkEnd w:id="329"/>
      <w:bookmarkStart w:id="330" w:name="_Toc184310343"/>
      <w:bookmarkEnd w:id="330"/>
      <w:bookmarkStart w:id="331" w:name="_Toc184313305"/>
      <w:bookmarkEnd w:id="331"/>
      <w:bookmarkStart w:id="332" w:name="_Toc184313281"/>
      <w:bookmarkEnd w:id="332"/>
      <w:bookmarkStart w:id="333" w:name="_Toc184312111"/>
      <w:bookmarkEnd w:id="333"/>
      <w:bookmarkStart w:id="334" w:name="_Toc184313273"/>
      <w:bookmarkEnd w:id="334"/>
      <w:bookmarkStart w:id="335" w:name="_Toc184310304"/>
      <w:bookmarkEnd w:id="335"/>
      <w:bookmarkStart w:id="336" w:name="_Toc184314440"/>
      <w:bookmarkEnd w:id="336"/>
      <w:bookmarkStart w:id="337" w:name="_Toc184308094"/>
      <w:bookmarkEnd w:id="337"/>
      <w:bookmarkStart w:id="338" w:name="_Toc184314474"/>
      <w:bookmarkEnd w:id="338"/>
      <w:bookmarkStart w:id="339" w:name="_Toc184310317"/>
      <w:bookmarkEnd w:id="339"/>
      <w:bookmarkStart w:id="340" w:name="_Toc184314441"/>
      <w:bookmarkEnd w:id="340"/>
      <w:bookmarkStart w:id="341" w:name="_Toc184314415"/>
      <w:bookmarkEnd w:id="341"/>
      <w:bookmarkStart w:id="342" w:name="_Toc184308072"/>
      <w:bookmarkEnd w:id="342"/>
      <w:bookmarkStart w:id="343" w:name="_Toc184313249"/>
      <w:bookmarkEnd w:id="343"/>
      <w:bookmarkStart w:id="344" w:name="_Toc184314451"/>
      <w:bookmarkEnd w:id="344"/>
      <w:bookmarkStart w:id="345" w:name="_Toc184308084"/>
      <w:bookmarkEnd w:id="345"/>
      <w:bookmarkStart w:id="346" w:name="_Toc184308053"/>
      <w:bookmarkEnd w:id="346"/>
      <w:bookmarkStart w:id="347" w:name="_Toc184314478"/>
      <w:bookmarkEnd w:id="347"/>
      <w:bookmarkStart w:id="348" w:name="_Toc184310316"/>
      <w:bookmarkEnd w:id="348"/>
      <w:bookmarkStart w:id="349" w:name="_Toc184314466"/>
      <w:bookmarkEnd w:id="349"/>
      <w:bookmarkStart w:id="350" w:name="_Toc184312094"/>
      <w:bookmarkEnd w:id="350"/>
      <w:bookmarkStart w:id="351" w:name="_Toc184308106"/>
      <w:bookmarkEnd w:id="351"/>
      <w:bookmarkStart w:id="352" w:name="_Toc184308056"/>
      <w:bookmarkEnd w:id="352"/>
      <w:bookmarkStart w:id="353" w:name="_Toc184310340"/>
      <w:bookmarkEnd w:id="353"/>
      <w:bookmarkStart w:id="354" w:name="_Toc184308041"/>
      <w:bookmarkEnd w:id="354"/>
      <w:bookmarkStart w:id="355" w:name="_Toc184312106"/>
      <w:bookmarkEnd w:id="355"/>
      <w:bookmarkStart w:id="356" w:name="_Toc184312076"/>
      <w:bookmarkEnd w:id="356"/>
      <w:bookmarkStart w:id="357" w:name="_Toc184312109"/>
      <w:bookmarkEnd w:id="357"/>
      <w:bookmarkStart w:id="358" w:name="_Toc184312108"/>
      <w:bookmarkEnd w:id="358"/>
      <w:bookmarkStart w:id="359" w:name="_Toc184314467"/>
      <w:bookmarkEnd w:id="359"/>
      <w:bookmarkStart w:id="360" w:name="_Toc184310323"/>
      <w:bookmarkEnd w:id="360"/>
      <w:bookmarkStart w:id="361" w:name="_Toc184314471"/>
      <w:bookmarkEnd w:id="361"/>
      <w:bookmarkStart w:id="362" w:name="_Toc184308086"/>
      <w:bookmarkEnd w:id="362"/>
      <w:bookmarkStart w:id="363" w:name="_Toc184313242"/>
      <w:bookmarkEnd w:id="363"/>
      <w:bookmarkStart w:id="364" w:name="_Toc184314465"/>
      <w:bookmarkEnd w:id="364"/>
      <w:bookmarkStart w:id="365" w:name="_Toc184314457"/>
      <w:bookmarkEnd w:id="365"/>
      <w:bookmarkStart w:id="366" w:name="_Toc184314449"/>
      <w:bookmarkEnd w:id="366"/>
      <w:bookmarkStart w:id="367" w:name="_Toc184312120"/>
      <w:bookmarkEnd w:id="367"/>
      <w:bookmarkStart w:id="368" w:name="_Toc184308038"/>
      <w:bookmarkEnd w:id="368"/>
      <w:bookmarkStart w:id="369" w:name="_Toc184313298"/>
      <w:bookmarkEnd w:id="369"/>
      <w:bookmarkStart w:id="370" w:name="_Toc184312085"/>
      <w:bookmarkEnd w:id="370"/>
      <w:bookmarkStart w:id="371" w:name="_Toc184308048"/>
      <w:bookmarkEnd w:id="371"/>
      <w:bookmarkStart w:id="372" w:name="_Toc184308078"/>
      <w:bookmarkEnd w:id="372"/>
      <w:bookmarkStart w:id="373" w:name="_Toc184312132"/>
      <w:bookmarkEnd w:id="373"/>
      <w:bookmarkStart w:id="374" w:name="_Toc184314461"/>
      <w:bookmarkEnd w:id="374"/>
      <w:bookmarkStart w:id="375" w:name="_Toc184313286"/>
      <w:bookmarkEnd w:id="375"/>
      <w:bookmarkStart w:id="376" w:name="_Toc184308105"/>
      <w:bookmarkEnd w:id="376"/>
      <w:bookmarkStart w:id="377" w:name="_Toc184314410"/>
      <w:bookmarkEnd w:id="377"/>
      <w:bookmarkStart w:id="378" w:name="_Toc184312071"/>
      <w:bookmarkEnd w:id="378"/>
      <w:bookmarkStart w:id="379" w:name="_Toc184313282"/>
      <w:bookmarkEnd w:id="379"/>
      <w:bookmarkStart w:id="380" w:name="_Toc184308037"/>
      <w:bookmarkEnd w:id="380"/>
      <w:bookmarkStart w:id="381" w:name="_Toc184314413"/>
      <w:bookmarkEnd w:id="381"/>
      <w:bookmarkStart w:id="382" w:name="_Toc184308089"/>
      <w:bookmarkEnd w:id="382"/>
      <w:bookmarkStart w:id="383" w:name="_Toc184314438"/>
      <w:bookmarkEnd w:id="383"/>
      <w:bookmarkStart w:id="384" w:name="_Toc184313255"/>
      <w:bookmarkEnd w:id="384"/>
      <w:bookmarkStart w:id="385" w:name="_Toc184312092"/>
      <w:bookmarkEnd w:id="385"/>
      <w:bookmarkStart w:id="386" w:name="_Toc184308062"/>
      <w:bookmarkEnd w:id="386"/>
      <w:bookmarkStart w:id="387" w:name="_Toc184312131"/>
      <w:bookmarkEnd w:id="387"/>
      <w:bookmarkStart w:id="388" w:name="_Toc184310286"/>
      <w:bookmarkEnd w:id="388"/>
      <w:bookmarkStart w:id="389" w:name="_Toc184310273"/>
      <w:bookmarkEnd w:id="389"/>
      <w:bookmarkStart w:id="390" w:name="_Toc184312139"/>
      <w:bookmarkEnd w:id="390"/>
      <w:bookmarkStart w:id="391" w:name="_Toc184312128"/>
      <w:bookmarkEnd w:id="391"/>
      <w:r>
        <w:rPr>
          <w:rFonts w:hint="eastAsia" w:ascii="仿宋" w:hAnsi="仿宋" w:eastAsia="仿宋" w:cs="仿宋"/>
          <w:b/>
          <w:color w:val="auto"/>
          <w:sz w:val="36"/>
          <w:szCs w:val="20"/>
        </w:rPr>
        <w:t xml:space="preserve"> </w:t>
      </w:r>
      <w:r>
        <w:rPr>
          <w:rFonts w:hint="eastAsia" w:ascii="仿宋" w:hAnsi="仿宋" w:eastAsia="仿宋" w:cs="仿宋"/>
          <w:b/>
          <w:color w:val="auto"/>
          <w:sz w:val="36"/>
          <w:szCs w:val="36"/>
        </w:rPr>
        <w:t>评标办法</w:t>
      </w:r>
    </w:p>
    <w:p w14:paraId="11529353">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622"/>
        <w:gridCol w:w="485"/>
        <w:gridCol w:w="845"/>
        <w:gridCol w:w="1370"/>
      </w:tblGrid>
      <w:tr w14:paraId="7699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27EA810A">
            <w:pPr>
              <w:snapToGrid w:val="0"/>
              <w:spacing w:line="300" w:lineRule="exact"/>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120" w:type="pct"/>
            <w:vAlign w:val="center"/>
          </w:tcPr>
          <w:p w14:paraId="6A6524B6">
            <w:pPr>
              <w:snapToGrid w:val="0"/>
              <w:spacing w:line="300" w:lineRule="exact"/>
              <w:jc w:val="center"/>
              <w:rPr>
                <w:rFonts w:hint="eastAsia" w:ascii="仿宋" w:hAnsi="仿宋" w:eastAsia="仿宋" w:cs="仿宋"/>
                <w:b/>
                <w:bCs/>
                <w:color w:val="auto"/>
                <w:sz w:val="24"/>
              </w:rPr>
            </w:pPr>
            <w:r>
              <w:rPr>
                <w:rFonts w:hint="eastAsia" w:ascii="仿宋" w:hAnsi="仿宋" w:eastAsia="仿宋" w:cs="仿宋"/>
                <w:b/>
                <w:bCs/>
                <w:color w:val="auto"/>
                <w:sz w:val="24"/>
              </w:rPr>
              <w:t>评标标准</w:t>
            </w:r>
          </w:p>
        </w:tc>
        <w:tc>
          <w:tcPr>
            <w:tcW w:w="269" w:type="pct"/>
            <w:vAlign w:val="center"/>
          </w:tcPr>
          <w:p w14:paraId="453E5047">
            <w:pPr>
              <w:snapToGrid w:val="0"/>
              <w:spacing w:line="300" w:lineRule="exact"/>
              <w:jc w:val="center"/>
              <w:rPr>
                <w:rFonts w:hint="eastAsia" w:ascii="仿宋" w:hAnsi="仿宋" w:eastAsia="仿宋" w:cs="仿宋"/>
                <w:b/>
                <w:bCs/>
                <w:color w:val="auto"/>
                <w:sz w:val="24"/>
              </w:rPr>
            </w:pPr>
            <w:r>
              <w:rPr>
                <w:rFonts w:hint="eastAsia" w:ascii="仿宋" w:hAnsi="仿宋" w:eastAsia="仿宋" w:cs="仿宋"/>
                <w:b/>
                <w:bCs/>
                <w:color w:val="auto"/>
                <w:sz w:val="24"/>
              </w:rPr>
              <w:t>权重</w:t>
            </w:r>
          </w:p>
        </w:tc>
        <w:tc>
          <w:tcPr>
            <w:tcW w:w="469" w:type="pct"/>
            <w:vAlign w:val="center"/>
          </w:tcPr>
          <w:p w14:paraId="029A9ECB">
            <w:pPr>
              <w:snapToGrid w:val="0"/>
              <w:spacing w:line="300" w:lineRule="exact"/>
              <w:jc w:val="center"/>
              <w:rPr>
                <w:rFonts w:hint="eastAsia" w:ascii="仿宋" w:hAnsi="仿宋" w:eastAsia="仿宋" w:cs="仿宋"/>
                <w:b/>
                <w:bCs/>
                <w:color w:val="auto"/>
                <w:sz w:val="24"/>
              </w:rPr>
            </w:pPr>
            <w:r>
              <w:rPr>
                <w:rFonts w:hint="eastAsia" w:ascii="仿宋" w:hAnsi="仿宋" w:eastAsia="仿宋" w:cs="仿宋"/>
                <w:b/>
                <w:bCs/>
                <w:color w:val="auto"/>
                <w:sz w:val="24"/>
              </w:rPr>
              <w:t>主观分/客观分属性</w:t>
            </w:r>
          </w:p>
        </w:tc>
        <w:tc>
          <w:tcPr>
            <w:tcW w:w="760" w:type="pct"/>
          </w:tcPr>
          <w:p w14:paraId="00CA93E9">
            <w:pPr>
              <w:snapToGrid w:val="0"/>
              <w:spacing w:line="300" w:lineRule="exact"/>
              <w:jc w:val="center"/>
              <w:rPr>
                <w:rFonts w:hint="eastAsia" w:ascii="仿宋" w:hAnsi="仿宋" w:eastAsia="仿宋" w:cs="仿宋"/>
                <w:b/>
                <w:bCs/>
                <w:color w:val="auto"/>
                <w:sz w:val="24"/>
              </w:rPr>
            </w:pPr>
            <w:r>
              <w:rPr>
                <w:rFonts w:hint="eastAsia" w:ascii="仿宋" w:hAnsi="仿宋" w:eastAsia="仿宋" w:cs="仿宋"/>
                <w:b/>
                <w:bCs/>
                <w:color w:val="auto"/>
                <w:sz w:val="24"/>
              </w:rPr>
              <w:t>投标文件中评标标准相应的商务技术资料目录*</w:t>
            </w:r>
          </w:p>
        </w:tc>
      </w:tr>
      <w:tr w14:paraId="1C87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69A26531">
            <w:pPr>
              <w:snapToGri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120" w:type="pct"/>
            <w:shd w:val="clear" w:color="auto" w:fill="auto"/>
            <w:vAlign w:val="center"/>
          </w:tcPr>
          <w:p w14:paraId="1611045C">
            <w:pPr>
              <w:spacing w:before="120" w:beforeLines="50" w:line="300" w:lineRule="exact"/>
              <w:jc w:val="left"/>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供应商自2022年1月1日以来（以合同签订时间为准）完成过类似年度审计服务的，每提供1个合同个得0.5分，最多得1分。</w:t>
            </w:r>
            <w:r>
              <w:rPr>
                <w:rFonts w:hint="eastAsia" w:ascii="仿宋" w:hAnsi="仿宋" w:eastAsia="仿宋" w:cs="宋体"/>
                <w:b/>
                <w:bCs/>
                <w:color w:val="auto"/>
                <w:kern w:val="0"/>
                <w:szCs w:val="21"/>
              </w:rPr>
              <w:t>注：响应文件中应提供：2022年1月以来出具类似项目的完整合同扫描件，否则不算有效的类似项目业绩。</w:t>
            </w:r>
          </w:p>
        </w:tc>
        <w:tc>
          <w:tcPr>
            <w:tcW w:w="269" w:type="pct"/>
            <w:shd w:val="clear" w:color="auto" w:fill="auto"/>
            <w:vAlign w:val="center"/>
          </w:tcPr>
          <w:p w14:paraId="25E1050E">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1</w:t>
            </w:r>
          </w:p>
        </w:tc>
        <w:tc>
          <w:tcPr>
            <w:tcW w:w="469" w:type="pct"/>
            <w:shd w:val="clear" w:color="auto" w:fill="auto"/>
            <w:vAlign w:val="center"/>
          </w:tcPr>
          <w:p w14:paraId="448BB670">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客观</w:t>
            </w:r>
          </w:p>
        </w:tc>
        <w:tc>
          <w:tcPr>
            <w:tcW w:w="760" w:type="pct"/>
            <w:vAlign w:val="center"/>
          </w:tcPr>
          <w:p w14:paraId="3EE2C40C">
            <w:pPr>
              <w:widowControl/>
              <w:adjustRightInd/>
              <w:spacing w:before="120" w:beforeLines="50" w:line="300" w:lineRule="exact"/>
              <w:jc w:val="left"/>
              <w:outlineLvl w:val="0"/>
              <w:rPr>
                <w:rFonts w:hint="eastAsia" w:ascii="仿宋" w:hAnsi="仿宋" w:eastAsia="仿宋" w:cs="宋体"/>
                <w:color w:val="auto"/>
                <w:kern w:val="0"/>
                <w:szCs w:val="21"/>
              </w:rPr>
            </w:pPr>
            <w:r>
              <w:rPr>
                <w:rFonts w:hint="eastAsia" w:ascii="仿宋" w:hAnsi="仿宋" w:eastAsia="仿宋" w:cs="宋体"/>
                <w:b/>
                <w:bCs/>
                <w:color w:val="auto"/>
                <w:kern w:val="0"/>
                <w:szCs w:val="21"/>
              </w:rPr>
              <w:t>类似业绩</w:t>
            </w:r>
          </w:p>
        </w:tc>
      </w:tr>
      <w:tr w14:paraId="2654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24A7D2BC">
            <w:pPr>
              <w:snapToGri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3120" w:type="pct"/>
            <w:shd w:val="clear" w:color="auto" w:fill="auto"/>
            <w:vAlign w:val="center"/>
          </w:tcPr>
          <w:p w14:paraId="554C2FC4">
            <w:pPr>
              <w:spacing w:before="120" w:beforeLines="50" w:line="300" w:lineRule="exact"/>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供应商具备有效的会计师事务所执业证书的得2分，其他不得分。</w:t>
            </w:r>
            <w:r>
              <w:rPr>
                <w:rFonts w:hint="eastAsia" w:ascii="仿宋" w:hAnsi="仿宋" w:eastAsia="仿宋" w:cs="宋体"/>
                <w:b/>
                <w:bCs/>
                <w:color w:val="auto"/>
                <w:kern w:val="0"/>
                <w:szCs w:val="21"/>
              </w:rPr>
              <w:t>注：响应文件中提供证书扫描件加盖公章，不提供不得分。</w:t>
            </w:r>
          </w:p>
        </w:tc>
        <w:tc>
          <w:tcPr>
            <w:tcW w:w="269" w:type="pct"/>
            <w:shd w:val="clear" w:color="auto" w:fill="auto"/>
            <w:vAlign w:val="center"/>
          </w:tcPr>
          <w:p w14:paraId="66D15841">
            <w:pPr>
              <w:spacing w:line="300" w:lineRule="exact"/>
              <w:jc w:val="center"/>
              <w:rPr>
                <w:rFonts w:hint="eastAsia" w:ascii="仿宋" w:hAnsi="仿宋" w:eastAsia="仿宋" w:cs="宋体"/>
                <w:color w:val="auto"/>
                <w:kern w:val="0"/>
                <w:szCs w:val="21"/>
              </w:rPr>
            </w:pPr>
            <w:r>
              <w:rPr>
                <w:rFonts w:hint="eastAsia" w:ascii="仿宋" w:hAnsi="仿宋" w:eastAsia="仿宋" w:cs="宋体"/>
                <w:color w:val="auto"/>
                <w:kern w:val="0"/>
                <w:szCs w:val="21"/>
              </w:rPr>
              <w:t>2</w:t>
            </w:r>
          </w:p>
        </w:tc>
        <w:tc>
          <w:tcPr>
            <w:tcW w:w="469" w:type="pct"/>
            <w:shd w:val="clear" w:color="auto" w:fill="auto"/>
            <w:vAlign w:val="center"/>
          </w:tcPr>
          <w:p w14:paraId="08339E97">
            <w:pPr>
              <w:spacing w:line="300" w:lineRule="exact"/>
              <w:jc w:val="center"/>
              <w:rPr>
                <w:rFonts w:hint="eastAsia" w:ascii="仿宋" w:hAnsi="仿宋" w:eastAsia="仿宋" w:cs="宋体"/>
                <w:color w:val="auto"/>
                <w:kern w:val="0"/>
                <w:szCs w:val="21"/>
              </w:rPr>
            </w:pPr>
            <w:r>
              <w:rPr>
                <w:rFonts w:hint="eastAsia" w:ascii="仿宋" w:hAnsi="仿宋" w:eastAsia="仿宋" w:cs="宋体"/>
                <w:color w:val="auto"/>
                <w:kern w:val="0"/>
                <w:szCs w:val="21"/>
              </w:rPr>
              <w:t>客观</w:t>
            </w:r>
          </w:p>
        </w:tc>
        <w:tc>
          <w:tcPr>
            <w:tcW w:w="760" w:type="pct"/>
            <w:vAlign w:val="center"/>
          </w:tcPr>
          <w:p w14:paraId="3F57CCB0">
            <w:pPr>
              <w:snapToGrid w:val="0"/>
              <w:spacing w:line="300" w:lineRule="exact"/>
              <w:jc w:val="center"/>
              <w:rPr>
                <w:rFonts w:hint="eastAsia" w:ascii="仿宋" w:hAnsi="仿宋" w:eastAsia="仿宋" w:cs="仿宋"/>
                <w:color w:val="auto"/>
                <w:sz w:val="24"/>
              </w:rPr>
            </w:pPr>
            <w:r>
              <w:rPr>
                <w:rFonts w:hint="eastAsia" w:ascii="仿宋" w:hAnsi="仿宋" w:eastAsia="仿宋" w:cs="宋体"/>
                <w:b/>
                <w:bCs/>
                <w:color w:val="auto"/>
                <w:kern w:val="0"/>
                <w:szCs w:val="21"/>
              </w:rPr>
              <w:t>审计资质</w:t>
            </w:r>
          </w:p>
        </w:tc>
      </w:tr>
      <w:tr w14:paraId="3C23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0E14F1D4">
            <w:pPr>
              <w:snapToGri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3120" w:type="pct"/>
            <w:shd w:val="clear" w:color="auto" w:fill="auto"/>
            <w:vAlign w:val="center"/>
          </w:tcPr>
          <w:p w14:paraId="548E08F0">
            <w:pPr>
              <w:spacing w:before="120" w:beforeLines="50" w:line="300" w:lineRule="exact"/>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供应商具有质量管理体系、环境管理体系、职业健康安全管理体系认证证书，且证书在有效期内的，每个得1分，本项最高得3分。</w:t>
            </w:r>
            <w:r>
              <w:rPr>
                <w:rFonts w:hint="eastAsia" w:ascii="仿宋" w:hAnsi="仿宋" w:eastAsia="仿宋" w:cs="宋体"/>
                <w:b/>
                <w:bCs/>
                <w:color w:val="auto"/>
                <w:kern w:val="0"/>
                <w:szCs w:val="21"/>
              </w:rPr>
              <w:t>注：响应文件中应提供：须同时提供有效证书复印件和全国认证认可信息公共服务平台网站http://www.cnca.gov.cn/查询页面截图复印件，并均加盖投标人公章，否则不得分。】</w:t>
            </w:r>
          </w:p>
        </w:tc>
        <w:tc>
          <w:tcPr>
            <w:tcW w:w="269" w:type="pct"/>
            <w:shd w:val="clear" w:color="auto" w:fill="auto"/>
            <w:vAlign w:val="center"/>
          </w:tcPr>
          <w:p w14:paraId="67F9BE7F">
            <w:pPr>
              <w:spacing w:before="120" w:beforeLines="50" w:line="300" w:lineRule="exact"/>
              <w:jc w:val="center"/>
              <w:outlineLvl w:val="0"/>
              <w:rPr>
                <w:rFonts w:hint="eastAsia" w:ascii="宋体" w:hAnsi="宋体" w:cs="宋体"/>
                <w:color w:val="auto"/>
                <w:kern w:val="0"/>
                <w:szCs w:val="21"/>
              </w:rPr>
            </w:pPr>
            <w:r>
              <w:rPr>
                <w:rFonts w:ascii="宋体" w:hAnsi="宋体" w:cs="宋体"/>
                <w:color w:val="auto"/>
                <w:kern w:val="0"/>
                <w:szCs w:val="21"/>
              </w:rPr>
              <w:t>3</w:t>
            </w:r>
          </w:p>
        </w:tc>
        <w:tc>
          <w:tcPr>
            <w:tcW w:w="469" w:type="pct"/>
            <w:shd w:val="clear" w:color="auto" w:fill="auto"/>
            <w:vAlign w:val="center"/>
          </w:tcPr>
          <w:p w14:paraId="730DE9C5">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客观</w:t>
            </w:r>
          </w:p>
        </w:tc>
        <w:tc>
          <w:tcPr>
            <w:tcW w:w="760" w:type="pct"/>
            <w:vAlign w:val="center"/>
          </w:tcPr>
          <w:p w14:paraId="77CE3063">
            <w:pPr>
              <w:snapToGrid w:val="0"/>
              <w:spacing w:line="300" w:lineRule="exact"/>
              <w:jc w:val="center"/>
              <w:rPr>
                <w:rFonts w:hint="eastAsia" w:ascii="仿宋" w:hAnsi="仿宋" w:eastAsia="仿宋" w:cs="仿宋"/>
                <w:color w:val="auto"/>
                <w:sz w:val="24"/>
              </w:rPr>
            </w:pPr>
            <w:r>
              <w:rPr>
                <w:rFonts w:hint="eastAsia" w:ascii="仿宋" w:hAnsi="仿宋" w:eastAsia="仿宋" w:cs="宋体"/>
                <w:b/>
                <w:bCs/>
                <w:color w:val="auto"/>
                <w:kern w:val="0"/>
                <w:szCs w:val="21"/>
              </w:rPr>
              <w:t>企业管理体系</w:t>
            </w:r>
          </w:p>
        </w:tc>
      </w:tr>
      <w:tr w14:paraId="78B3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9" w:type="pct"/>
            <w:vAlign w:val="center"/>
          </w:tcPr>
          <w:p w14:paraId="2CE9582B">
            <w:pPr>
              <w:snapToGri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3120" w:type="pct"/>
            <w:shd w:val="clear" w:color="auto" w:fill="auto"/>
            <w:vAlign w:val="center"/>
          </w:tcPr>
          <w:p w14:paraId="0EE82C50">
            <w:pPr>
              <w:spacing w:before="120" w:beforeLines="50" w:line="300" w:lineRule="exact"/>
              <w:outlineLvl w:val="0"/>
              <w:rPr>
                <w:rFonts w:hint="eastAsia" w:ascii="仿宋" w:hAnsi="仿宋" w:eastAsia="仿宋" w:cs="宋体"/>
                <w:color w:val="auto"/>
                <w:kern w:val="0"/>
                <w:szCs w:val="21"/>
              </w:rPr>
            </w:pPr>
            <w:r>
              <w:rPr>
                <w:rFonts w:hint="eastAsia" w:ascii="仿宋" w:hAnsi="仿宋" w:eastAsia="仿宋" w:cs="宋体"/>
                <w:color w:val="auto"/>
                <w:kern w:val="0"/>
                <w:szCs w:val="21"/>
              </w:rPr>
              <w:t>登记在册并固定执业的注册会计师，每人得0.5分，最高得5分。</w:t>
            </w:r>
            <w:r>
              <w:rPr>
                <w:rFonts w:hint="eastAsia" w:ascii="仿宋" w:hAnsi="仿宋" w:eastAsia="仿宋" w:cs="宋体"/>
                <w:b/>
                <w:bCs/>
                <w:color w:val="auto"/>
                <w:kern w:val="0"/>
                <w:szCs w:val="21"/>
              </w:rPr>
              <w:t>注：响应文件中提供注册会计师证书扫描件加盖公章、响应截止时间前连续三个月的社保缴纳记录，退休人员提供退休证明及返聘合同，不提供不得分。</w:t>
            </w:r>
          </w:p>
        </w:tc>
        <w:tc>
          <w:tcPr>
            <w:tcW w:w="269" w:type="pct"/>
            <w:shd w:val="clear" w:color="auto" w:fill="auto"/>
            <w:vAlign w:val="center"/>
          </w:tcPr>
          <w:p w14:paraId="7BF89F7F">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5</w:t>
            </w:r>
          </w:p>
        </w:tc>
        <w:tc>
          <w:tcPr>
            <w:tcW w:w="469" w:type="pct"/>
            <w:shd w:val="clear" w:color="auto" w:fill="auto"/>
            <w:vAlign w:val="center"/>
          </w:tcPr>
          <w:p w14:paraId="0C0BD250">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客观分</w:t>
            </w:r>
          </w:p>
        </w:tc>
        <w:tc>
          <w:tcPr>
            <w:tcW w:w="760" w:type="pct"/>
            <w:shd w:val="clear" w:color="auto" w:fill="auto"/>
            <w:vAlign w:val="center"/>
          </w:tcPr>
          <w:p w14:paraId="3C8FEE40">
            <w:pPr>
              <w:snapToGrid w:val="0"/>
              <w:spacing w:line="300" w:lineRule="exact"/>
              <w:jc w:val="center"/>
              <w:rPr>
                <w:rFonts w:hint="eastAsia" w:ascii="仿宋" w:hAnsi="仿宋" w:eastAsia="仿宋" w:cs="仿宋"/>
                <w:color w:val="auto"/>
                <w:sz w:val="24"/>
              </w:rPr>
            </w:pPr>
            <w:r>
              <w:rPr>
                <w:rFonts w:hint="eastAsia" w:ascii="仿宋" w:hAnsi="仿宋" w:eastAsia="仿宋" w:cs="宋体"/>
                <w:b/>
                <w:bCs/>
                <w:color w:val="auto"/>
                <w:kern w:val="0"/>
                <w:szCs w:val="21"/>
              </w:rPr>
              <w:t>审计团队</w:t>
            </w:r>
          </w:p>
        </w:tc>
      </w:tr>
      <w:tr w14:paraId="3EF2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28B24F29">
            <w:pPr>
              <w:snapToGri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3120" w:type="pct"/>
            <w:shd w:val="clear" w:color="auto" w:fill="auto"/>
            <w:vAlign w:val="center"/>
          </w:tcPr>
          <w:p w14:paraId="5B938F1E">
            <w:pPr>
              <w:snapToGrid w:val="0"/>
              <w:spacing w:line="300" w:lineRule="exact"/>
              <w:rPr>
                <w:rFonts w:hint="eastAsia" w:ascii="仿宋" w:hAnsi="仿宋" w:eastAsia="仿宋" w:cs="仿宋_GB2312"/>
                <w:color w:val="auto"/>
                <w:kern w:val="0"/>
                <w:szCs w:val="21"/>
              </w:rPr>
            </w:pPr>
            <w:r>
              <w:rPr>
                <w:rFonts w:hint="eastAsia" w:ascii="仿宋" w:hAnsi="仿宋" w:eastAsia="仿宋" w:cs="仿宋_GB2312"/>
                <w:color w:val="auto"/>
                <w:kern w:val="0"/>
                <w:szCs w:val="21"/>
              </w:rPr>
              <w:t>供应商针对本项目背景的分析，根据内容完整性、合理性、周密性进行打分（包括对上城区辖区内各个街道案件的类型、案件的了解程度等）。</w:t>
            </w:r>
          </w:p>
          <w:p w14:paraId="46E646B8">
            <w:pPr>
              <w:snapToGrid w:val="0"/>
              <w:spacing w:line="300" w:lineRule="exact"/>
              <w:rPr>
                <w:rFonts w:hint="eastAsia" w:ascii="仿宋" w:hAnsi="仿宋" w:eastAsia="仿宋" w:cs="仿宋_GB2312"/>
                <w:color w:val="auto"/>
                <w:kern w:val="0"/>
                <w:szCs w:val="21"/>
              </w:rPr>
            </w:pPr>
            <w:r>
              <w:rPr>
                <w:rFonts w:hint="eastAsia" w:ascii="仿宋" w:hAnsi="仿宋" w:eastAsia="仿宋" w:cs="仿宋_GB2312"/>
                <w:color w:val="auto"/>
                <w:kern w:val="0"/>
                <w:szCs w:val="21"/>
              </w:rPr>
              <w:t>①全面、合理且周密的得6分；</w:t>
            </w:r>
          </w:p>
          <w:p w14:paraId="0B33CC00">
            <w:pPr>
              <w:snapToGrid w:val="0"/>
              <w:spacing w:line="300" w:lineRule="exact"/>
              <w:rPr>
                <w:rFonts w:hint="eastAsia" w:ascii="仿宋" w:hAnsi="仿宋" w:eastAsia="仿宋" w:cs="仿宋_GB2312"/>
                <w:color w:val="auto"/>
                <w:kern w:val="0"/>
                <w:szCs w:val="21"/>
              </w:rPr>
            </w:pPr>
            <w:r>
              <w:rPr>
                <w:rFonts w:hint="eastAsia" w:ascii="仿宋" w:hAnsi="仿宋" w:eastAsia="仿宋" w:cs="仿宋_GB2312"/>
                <w:color w:val="auto"/>
                <w:kern w:val="0"/>
                <w:szCs w:val="21"/>
              </w:rPr>
              <w:t>②全面且合理的得5分；</w:t>
            </w:r>
          </w:p>
          <w:p w14:paraId="5D25D698">
            <w:pPr>
              <w:snapToGrid w:val="0"/>
              <w:spacing w:line="300" w:lineRule="exact"/>
              <w:rPr>
                <w:rFonts w:hint="eastAsia" w:ascii="仿宋" w:hAnsi="仿宋" w:eastAsia="仿宋" w:cs="仿宋_GB2312"/>
                <w:color w:val="auto"/>
                <w:kern w:val="0"/>
                <w:szCs w:val="21"/>
              </w:rPr>
            </w:pPr>
            <w:r>
              <w:rPr>
                <w:rFonts w:hint="eastAsia" w:ascii="仿宋" w:hAnsi="仿宋" w:eastAsia="仿宋" w:cs="仿宋_GB2312"/>
                <w:color w:val="auto"/>
                <w:kern w:val="0"/>
                <w:szCs w:val="21"/>
              </w:rPr>
              <w:t>③存在欠缺但基本全面、合理的得4分；</w:t>
            </w:r>
          </w:p>
          <w:p w14:paraId="0FA660B6">
            <w:pPr>
              <w:snapToGrid w:val="0"/>
              <w:spacing w:line="300" w:lineRule="exact"/>
              <w:rPr>
                <w:rFonts w:hint="eastAsia" w:ascii="仿宋" w:hAnsi="仿宋" w:eastAsia="仿宋" w:cs="仿宋_GB2312"/>
                <w:color w:val="auto"/>
                <w:kern w:val="0"/>
                <w:szCs w:val="21"/>
              </w:rPr>
            </w:pPr>
            <w:r>
              <w:rPr>
                <w:rFonts w:hint="eastAsia" w:ascii="仿宋" w:hAnsi="仿宋" w:eastAsia="仿宋" w:cs="仿宋_GB2312"/>
                <w:color w:val="auto"/>
                <w:kern w:val="0"/>
                <w:szCs w:val="21"/>
              </w:rPr>
              <w:t>④大部分符合项目情况的得3分；</w:t>
            </w:r>
          </w:p>
          <w:p w14:paraId="7CD8D146">
            <w:pPr>
              <w:snapToGrid w:val="0"/>
              <w:spacing w:line="300" w:lineRule="exact"/>
              <w:rPr>
                <w:rFonts w:hint="eastAsia" w:ascii="仿宋" w:hAnsi="仿宋" w:eastAsia="仿宋" w:cs="仿宋_GB2312"/>
                <w:color w:val="auto"/>
                <w:kern w:val="0"/>
                <w:szCs w:val="21"/>
              </w:rPr>
            </w:pPr>
            <w:r>
              <w:rPr>
                <w:rFonts w:hint="eastAsia" w:ascii="仿宋" w:hAnsi="仿宋" w:eastAsia="仿宋" w:cs="仿宋_GB2312"/>
                <w:color w:val="auto"/>
                <w:kern w:val="0"/>
                <w:szCs w:val="21"/>
              </w:rPr>
              <w:t>⑤小部分符合项目情况的得2分；</w:t>
            </w:r>
          </w:p>
          <w:p w14:paraId="24E15C3F">
            <w:pPr>
              <w:snapToGrid w:val="0"/>
              <w:spacing w:line="300" w:lineRule="exact"/>
              <w:rPr>
                <w:rFonts w:hint="eastAsia" w:ascii="仿宋" w:hAnsi="仿宋" w:eastAsia="仿宋" w:cs="仿宋_GB2312"/>
                <w:color w:val="auto"/>
                <w:kern w:val="0"/>
                <w:szCs w:val="21"/>
              </w:rPr>
            </w:pPr>
            <w:r>
              <w:rPr>
                <w:rFonts w:hint="eastAsia" w:ascii="仿宋" w:hAnsi="仿宋" w:eastAsia="仿宋" w:cs="仿宋_GB2312"/>
                <w:color w:val="auto"/>
                <w:kern w:val="0"/>
                <w:szCs w:val="21"/>
              </w:rPr>
              <w:t>⑥不全面或不合理的得1分；</w:t>
            </w:r>
          </w:p>
          <w:p w14:paraId="749CB36D">
            <w:pPr>
              <w:snapToGrid w:val="0"/>
              <w:spacing w:line="300" w:lineRule="exact"/>
              <w:rPr>
                <w:rFonts w:hint="eastAsia" w:ascii="仿宋" w:hAnsi="仿宋" w:eastAsia="仿宋" w:cs="宋体"/>
                <w:color w:val="auto"/>
                <w:kern w:val="0"/>
                <w:szCs w:val="21"/>
              </w:rPr>
            </w:pPr>
            <w:r>
              <w:rPr>
                <w:rFonts w:hint="eastAsia" w:ascii="仿宋" w:hAnsi="仿宋" w:eastAsia="仿宋" w:cs="仿宋_GB2312"/>
                <w:color w:val="auto"/>
                <w:kern w:val="0"/>
                <w:szCs w:val="21"/>
              </w:rPr>
              <w:t>⑦未提供的得0分。</w:t>
            </w:r>
          </w:p>
        </w:tc>
        <w:tc>
          <w:tcPr>
            <w:tcW w:w="269" w:type="pct"/>
            <w:shd w:val="clear" w:color="auto" w:fill="auto"/>
            <w:vAlign w:val="center"/>
          </w:tcPr>
          <w:p w14:paraId="3A9C54EF">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6</w:t>
            </w:r>
          </w:p>
        </w:tc>
        <w:tc>
          <w:tcPr>
            <w:tcW w:w="469" w:type="pct"/>
            <w:shd w:val="clear" w:color="auto" w:fill="auto"/>
            <w:vAlign w:val="center"/>
          </w:tcPr>
          <w:p w14:paraId="1A7323E0">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主观分</w:t>
            </w:r>
          </w:p>
        </w:tc>
        <w:tc>
          <w:tcPr>
            <w:tcW w:w="760" w:type="pct"/>
            <w:shd w:val="clear" w:color="auto" w:fill="auto"/>
            <w:vAlign w:val="center"/>
          </w:tcPr>
          <w:p w14:paraId="4E34140D">
            <w:pPr>
              <w:snapToGrid w:val="0"/>
              <w:spacing w:line="300" w:lineRule="exact"/>
              <w:jc w:val="center"/>
              <w:rPr>
                <w:rFonts w:hint="eastAsia" w:ascii="仿宋" w:hAnsi="仿宋" w:eastAsia="仿宋" w:cs="仿宋_GB2312"/>
                <w:color w:val="auto"/>
                <w:sz w:val="24"/>
              </w:rPr>
            </w:pPr>
            <w:r>
              <w:rPr>
                <w:rFonts w:hint="eastAsia" w:ascii="仿宋" w:hAnsi="仿宋" w:eastAsia="仿宋" w:cs="宋体"/>
                <w:b/>
                <w:bCs/>
                <w:color w:val="auto"/>
                <w:kern w:val="0"/>
                <w:szCs w:val="21"/>
              </w:rPr>
              <w:t>项目背景分析</w:t>
            </w:r>
          </w:p>
        </w:tc>
      </w:tr>
      <w:tr w14:paraId="752A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shd w:val="clear" w:color="auto" w:fill="auto"/>
            <w:vAlign w:val="center"/>
          </w:tcPr>
          <w:p w14:paraId="6A12D7B8">
            <w:pPr>
              <w:snapToGri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6</w:t>
            </w:r>
          </w:p>
        </w:tc>
        <w:tc>
          <w:tcPr>
            <w:tcW w:w="3120" w:type="pct"/>
            <w:shd w:val="clear" w:color="auto" w:fill="auto"/>
            <w:vAlign w:val="center"/>
          </w:tcPr>
          <w:p w14:paraId="6FEAA859">
            <w:pPr>
              <w:spacing w:before="120" w:beforeLines="50" w:line="300" w:lineRule="exact"/>
              <w:jc w:val="left"/>
              <w:outlineLvl w:val="0"/>
              <w:rPr>
                <w:rFonts w:hint="eastAsia" w:ascii="仿宋" w:hAnsi="仿宋" w:eastAsia="仿宋" w:cs="宋体"/>
                <w:color w:val="auto"/>
                <w:kern w:val="0"/>
                <w:szCs w:val="21"/>
              </w:rPr>
            </w:pPr>
            <w:r>
              <w:rPr>
                <w:rFonts w:hint="eastAsia" w:ascii="仿宋" w:hAnsi="仿宋" w:eastAsia="仿宋" w:cs="宋体"/>
                <w:color w:val="auto"/>
                <w:kern w:val="0"/>
                <w:szCs w:val="21"/>
              </w:rPr>
              <w:t>针对上城区辖区各类常见经济及刑事犯罪案件司法审计，从工作思路、业务流程、资料收集、线索分析方面制定相关审计方案。至少包括：</w:t>
            </w:r>
          </w:p>
          <w:p w14:paraId="18495DDD">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1.司法审计业务工作思路；（0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51A2A0C1">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2.司法审计业务流程；（0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66FDF22A">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3.资料收集、整理、分析方案；（0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37401E3C">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4.司法案件线索分析及技术措施；（0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31D4A9A2">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5.项目运行风险及防范措施分析；（0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467C6A6B">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6.其他审计相关独到优势。（0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2E0B580C">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以上6项，经评审，每项评分如下，最多得1</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043DA1A6">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①方案全面、合理且与采购需求完全相适应的得</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4B6F1640">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②方案基本与采购需求相适应，但存在欠缺的得1分；</w:t>
            </w:r>
          </w:p>
          <w:p w14:paraId="7FB570E2">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③未提供的得0分。</w:t>
            </w:r>
          </w:p>
        </w:tc>
        <w:tc>
          <w:tcPr>
            <w:tcW w:w="269" w:type="pct"/>
            <w:shd w:val="clear" w:color="auto" w:fill="auto"/>
            <w:vAlign w:val="center"/>
          </w:tcPr>
          <w:p w14:paraId="6EB893EC">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1</w:t>
            </w:r>
            <w:r>
              <w:rPr>
                <w:rFonts w:ascii="仿宋" w:hAnsi="仿宋" w:eastAsia="仿宋" w:cs="宋体"/>
                <w:color w:val="auto"/>
                <w:kern w:val="0"/>
                <w:szCs w:val="21"/>
              </w:rPr>
              <w:t>2</w:t>
            </w:r>
          </w:p>
        </w:tc>
        <w:tc>
          <w:tcPr>
            <w:tcW w:w="469" w:type="pct"/>
            <w:shd w:val="clear" w:color="auto" w:fill="auto"/>
            <w:vAlign w:val="center"/>
          </w:tcPr>
          <w:p w14:paraId="3A0FAE75">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主观分</w:t>
            </w:r>
          </w:p>
        </w:tc>
        <w:tc>
          <w:tcPr>
            <w:tcW w:w="760" w:type="pct"/>
            <w:vAlign w:val="center"/>
          </w:tcPr>
          <w:p w14:paraId="06A4A3BC">
            <w:pPr>
              <w:snapToGrid w:val="0"/>
              <w:spacing w:line="300" w:lineRule="exact"/>
              <w:jc w:val="center"/>
              <w:rPr>
                <w:rFonts w:hint="eastAsia" w:ascii="仿宋" w:hAnsi="仿宋" w:eastAsia="仿宋" w:cs="仿宋"/>
                <w:color w:val="auto"/>
                <w:sz w:val="24"/>
              </w:rPr>
            </w:pPr>
            <w:r>
              <w:rPr>
                <w:rFonts w:hint="eastAsia" w:ascii="仿宋" w:hAnsi="仿宋" w:eastAsia="仿宋" w:cs="宋体"/>
                <w:b/>
                <w:bCs/>
                <w:color w:val="auto"/>
                <w:kern w:val="0"/>
                <w:szCs w:val="21"/>
              </w:rPr>
              <w:t>实施方案</w:t>
            </w:r>
          </w:p>
        </w:tc>
      </w:tr>
      <w:tr w14:paraId="1666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6D000159">
            <w:pPr>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 w:val="24"/>
              </w:rPr>
              <w:t>7</w:t>
            </w:r>
          </w:p>
        </w:tc>
        <w:tc>
          <w:tcPr>
            <w:tcW w:w="3120" w:type="pct"/>
            <w:shd w:val="clear" w:color="auto" w:fill="auto"/>
            <w:vAlign w:val="center"/>
          </w:tcPr>
          <w:p w14:paraId="34409437">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供应商具备与本项目采购内容相关的管理制度，至少包括：</w:t>
            </w:r>
          </w:p>
          <w:p w14:paraId="2C82D693">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1</w:t>
            </w:r>
            <w:r>
              <w:rPr>
                <w:rFonts w:ascii="仿宋" w:hAnsi="仿宋" w:eastAsia="仿宋" w:cs="宋体"/>
                <w:color w:val="auto"/>
                <w:kern w:val="0"/>
                <w:szCs w:val="21"/>
              </w:rPr>
              <w:t>.</w:t>
            </w:r>
            <w:r>
              <w:rPr>
                <w:rFonts w:hint="eastAsia" w:ascii="仿宋" w:hAnsi="仿宋" w:eastAsia="仿宋" w:cs="宋体"/>
                <w:color w:val="auto"/>
                <w:kern w:val="0"/>
                <w:szCs w:val="21"/>
              </w:rPr>
              <w:t>质量控制制度；（0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326EA204">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2</w:t>
            </w:r>
            <w:r>
              <w:rPr>
                <w:rFonts w:ascii="仿宋" w:hAnsi="仿宋" w:eastAsia="仿宋" w:cs="宋体"/>
                <w:color w:val="auto"/>
                <w:kern w:val="0"/>
                <w:szCs w:val="21"/>
              </w:rPr>
              <w:t>.</w:t>
            </w:r>
            <w:r>
              <w:rPr>
                <w:rFonts w:hint="eastAsia" w:ascii="仿宋" w:hAnsi="仿宋" w:eastAsia="仿宋" w:cs="宋体"/>
                <w:color w:val="auto"/>
                <w:kern w:val="0"/>
                <w:szCs w:val="21"/>
              </w:rPr>
              <w:t>风险控制制度；（0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594A3A69">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3</w:t>
            </w:r>
            <w:r>
              <w:rPr>
                <w:rFonts w:ascii="仿宋" w:hAnsi="仿宋" w:eastAsia="仿宋" w:cs="宋体"/>
                <w:color w:val="auto"/>
                <w:kern w:val="0"/>
                <w:szCs w:val="21"/>
              </w:rPr>
              <w:t>.</w:t>
            </w:r>
            <w:r>
              <w:rPr>
                <w:rFonts w:hint="eastAsia" w:ascii="仿宋" w:hAnsi="仿宋" w:eastAsia="仿宋" w:cs="宋体"/>
                <w:color w:val="auto"/>
                <w:kern w:val="0"/>
                <w:szCs w:val="21"/>
              </w:rPr>
              <w:t>档案管理制度；（0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0FAFA883">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4</w:t>
            </w:r>
            <w:r>
              <w:rPr>
                <w:rFonts w:ascii="仿宋" w:hAnsi="仿宋" w:eastAsia="仿宋" w:cs="宋体"/>
                <w:color w:val="auto"/>
                <w:kern w:val="0"/>
                <w:szCs w:val="21"/>
              </w:rPr>
              <w:t>.</w:t>
            </w:r>
            <w:r>
              <w:rPr>
                <w:rFonts w:hint="eastAsia" w:ascii="仿宋" w:hAnsi="仿宋" w:eastAsia="仿宋" w:cs="宋体"/>
                <w:color w:val="auto"/>
                <w:kern w:val="0"/>
                <w:szCs w:val="21"/>
              </w:rPr>
              <w:t>保密管理制度。（0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60E05F50">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以上</w:t>
            </w:r>
            <w:r>
              <w:rPr>
                <w:rFonts w:hint="eastAsia" w:ascii="仿宋" w:hAnsi="仿宋" w:eastAsia="仿宋" w:cs="宋体"/>
                <w:color w:val="auto"/>
                <w:kern w:val="0"/>
                <w:szCs w:val="21"/>
                <w:lang w:val="en-US" w:eastAsia="zh-CN"/>
              </w:rPr>
              <w:t>4</w:t>
            </w:r>
            <w:r>
              <w:rPr>
                <w:rFonts w:hint="eastAsia" w:ascii="仿宋" w:hAnsi="仿宋" w:eastAsia="仿宋" w:cs="宋体"/>
                <w:color w:val="auto"/>
                <w:kern w:val="0"/>
                <w:szCs w:val="21"/>
              </w:rPr>
              <w:t>项，经评审，每项评分如下，最多得</w:t>
            </w:r>
            <w:r>
              <w:rPr>
                <w:rFonts w:hint="eastAsia" w:ascii="仿宋" w:hAnsi="仿宋" w:eastAsia="仿宋" w:cs="宋体"/>
                <w:color w:val="auto"/>
                <w:kern w:val="0"/>
                <w:szCs w:val="21"/>
                <w:lang w:val="en-US" w:eastAsia="zh-CN"/>
              </w:rPr>
              <w:t>8</w:t>
            </w:r>
            <w:r>
              <w:rPr>
                <w:rFonts w:hint="eastAsia" w:ascii="仿宋" w:hAnsi="仿宋" w:eastAsia="仿宋" w:cs="宋体"/>
                <w:color w:val="auto"/>
                <w:kern w:val="0"/>
                <w:szCs w:val="21"/>
              </w:rPr>
              <w:t>分：</w:t>
            </w:r>
          </w:p>
          <w:p w14:paraId="1AB562F8">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①方案全面、合理且与采购需求完全相适应的得</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3BA294F1">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②方案基本与采购需求相适应，但存在欠缺的得1分；</w:t>
            </w:r>
          </w:p>
          <w:p w14:paraId="6738BB03">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③未提供的得0分。</w:t>
            </w:r>
          </w:p>
        </w:tc>
        <w:tc>
          <w:tcPr>
            <w:tcW w:w="269" w:type="pct"/>
            <w:shd w:val="clear" w:color="auto" w:fill="auto"/>
            <w:vAlign w:val="center"/>
          </w:tcPr>
          <w:p w14:paraId="066B5DA7">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8</w:t>
            </w:r>
          </w:p>
        </w:tc>
        <w:tc>
          <w:tcPr>
            <w:tcW w:w="469" w:type="pct"/>
            <w:shd w:val="clear" w:color="auto" w:fill="auto"/>
            <w:vAlign w:val="center"/>
          </w:tcPr>
          <w:p w14:paraId="5FF470EF">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主观分</w:t>
            </w:r>
          </w:p>
        </w:tc>
        <w:tc>
          <w:tcPr>
            <w:tcW w:w="760" w:type="pct"/>
            <w:vAlign w:val="center"/>
          </w:tcPr>
          <w:p w14:paraId="3F9D738A">
            <w:pPr>
              <w:snapToGrid w:val="0"/>
              <w:spacing w:line="300" w:lineRule="exact"/>
              <w:jc w:val="center"/>
              <w:rPr>
                <w:rFonts w:hint="eastAsia" w:ascii="仿宋" w:hAnsi="仿宋" w:eastAsia="仿宋" w:cs="仿宋"/>
                <w:color w:val="auto"/>
                <w:sz w:val="24"/>
              </w:rPr>
            </w:pPr>
            <w:r>
              <w:rPr>
                <w:rFonts w:hint="eastAsia" w:ascii="仿宋" w:hAnsi="仿宋" w:eastAsia="仿宋" w:cs="宋体"/>
                <w:b/>
                <w:bCs/>
                <w:color w:val="auto"/>
                <w:kern w:val="0"/>
                <w:szCs w:val="21"/>
              </w:rPr>
              <w:t>管理制度</w:t>
            </w:r>
          </w:p>
        </w:tc>
      </w:tr>
      <w:tr w14:paraId="6B02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6E77920C">
            <w:pPr>
              <w:snapToGri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8</w:t>
            </w:r>
          </w:p>
        </w:tc>
        <w:tc>
          <w:tcPr>
            <w:tcW w:w="3120" w:type="pct"/>
            <w:shd w:val="clear" w:color="auto" w:fill="auto"/>
            <w:vAlign w:val="center"/>
          </w:tcPr>
          <w:p w14:paraId="7C2AD43C">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供应商根据项目实际需要，制定服务保障措施，至少包括：</w:t>
            </w:r>
          </w:p>
          <w:p w14:paraId="121D07FF">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1</w:t>
            </w:r>
            <w:r>
              <w:rPr>
                <w:rFonts w:ascii="仿宋" w:hAnsi="仿宋" w:eastAsia="仿宋" w:cs="宋体"/>
                <w:color w:val="auto"/>
                <w:kern w:val="0"/>
                <w:szCs w:val="21"/>
              </w:rPr>
              <w:t>.</w:t>
            </w:r>
            <w:r>
              <w:rPr>
                <w:rFonts w:hint="eastAsia" w:ascii="仿宋" w:hAnsi="仿宋" w:eastAsia="仿宋" w:cs="宋体"/>
                <w:color w:val="auto"/>
                <w:kern w:val="0"/>
                <w:szCs w:val="21"/>
              </w:rPr>
              <w:t>常驻服务落实方案；（0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7EC88166">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2.紧急项目即时响应工作方案。（0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6D1915FF">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以上2项，经评审，每项评分如下，最多得</w:t>
            </w:r>
            <w:r>
              <w:rPr>
                <w:rFonts w:ascii="仿宋" w:hAnsi="仿宋" w:eastAsia="仿宋" w:cs="宋体"/>
                <w:color w:val="auto"/>
                <w:kern w:val="0"/>
                <w:szCs w:val="21"/>
              </w:rPr>
              <w:t>4</w:t>
            </w:r>
            <w:r>
              <w:rPr>
                <w:rFonts w:hint="eastAsia" w:ascii="仿宋" w:hAnsi="仿宋" w:eastAsia="仿宋" w:cs="宋体"/>
                <w:color w:val="auto"/>
                <w:kern w:val="0"/>
                <w:szCs w:val="21"/>
              </w:rPr>
              <w:t>分：</w:t>
            </w:r>
          </w:p>
          <w:p w14:paraId="766DBFDC">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①方案全面、合理且与采购需求完全相适应的得</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6B664E3C">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②方案基本与采购需求相适应，但存在欠缺的得1分；</w:t>
            </w:r>
          </w:p>
          <w:p w14:paraId="4ED4429E">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③未提供的得0分。</w:t>
            </w:r>
          </w:p>
        </w:tc>
        <w:tc>
          <w:tcPr>
            <w:tcW w:w="269" w:type="pct"/>
            <w:shd w:val="clear" w:color="auto" w:fill="auto"/>
            <w:vAlign w:val="center"/>
          </w:tcPr>
          <w:p w14:paraId="400C73C0">
            <w:pPr>
              <w:spacing w:before="120" w:beforeLines="50" w:line="300" w:lineRule="exact"/>
              <w:jc w:val="center"/>
              <w:outlineLvl w:val="0"/>
              <w:rPr>
                <w:rFonts w:hint="eastAsia" w:ascii="仿宋" w:hAnsi="仿宋" w:eastAsia="仿宋" w:cs="宋体"/>
                <w:color w:val="auto"/>
                <w:kern w:val="0"/>
                <w:szCs w:val="21"/>
              </w:rPr>
            </w:pPr>
            <w:r>
              <w:rPr>
                <w:rFonts w:ascii="仿宋" w:hAnsi="仿宋" w:eastAsia="仿宋" w:cs="宋体"/>
                <w:color w:val="auto"/>
                <w:kern w:val="0"/>
                <w:szCs w:val="21"/>
              </w:rPr>
              <w:t>4</w:t>
            </w:r>
          </w:p>
        </w:tc>
        <w:tc>
          <w:tcPr>
            <w:tcW w:w="469" w:type="pct"/>
            <w:shd w:val="clear" w:color="auto" w:fill="auto"/>
            <w:vAlign w:val="center"/>
          </w:tcPr>
          <w:p w14:paraId="38C16A1D">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主观分</w:t>
            </w:r>
          </w:p>
        </w:tc>
        <w:tc>
          <w:tcPr>
            <w:tcW w:w="760" w:type="pct"/>
            <w:vAlign w:val="center"/>
          </w:tcPr>
          <w:p w14:paraId="6F109A72">
            <w:pPr>
              <w:snapToGrid w:val="0"/>
              <w:spacing w:line="300" w:lineRule="exact"/>
              <w:jc w:val="center"/>
              <w:rPr>
                <w:rFonts w:hint="eastAsia" w:ascii="仿宋" w:hAnsi="仿宋" w:eastAsia="仿宋" w:cs="仿宋"/>
                <w:color w:val="auto"/>
                <w:sz w:val="24"/>
              </w:rPr>
            </w:pPr>
            <w:r>
              <w:rPr>
                <w:rFonts w:hint="eastAsia" w:ascii="仿宋" w:hAnsi="仿宋" w:eastAsia="仿宋" w:cs="宋体"/>
                <w:b/>
                <w:bCs/>
                <w:color w:val="auto"/>
                <w:kern w:val="0"/>
                <w:szCs w:val="21"/>
              </w:rPr>
              <w:t>服务保障措施</w:t>
            </w:r>
          </w:p>
        </w:tc>
      </w:tr>
      <w:tr w14:paraId="5612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4791EE14">
            <w:pPr>
              <w:snapToGri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9</w:t>
            </w:r>
          </w:p>
        </w:tc>
        <w:tc>
          <w:tcPr>
            <w:tcW w:w="3120" w:type="pct"/>
            <w:shd w:val="clear" w:color="auto" w:fill="auto"/>
            <w:vAlign w:val="center"/>
          </w:tcPr>
          <w:p w14:paraId="44675B65">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供应商根据项目实际需要，制定质量控制措施，至少包括：</w:t>
            </w:r>
          </w:p>
          <w:p w14:paraId="4C29FB45">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1</w:t>
            </w:r>
            <w:r>
              <w:rPr>
                <w:rFonts w:ascii="仿宋" w:hAnsi="仿宋" w:eastAsia="仿宋" w:cs="宋体"/>
                <w:color w:val="auto"/>
                <w:kern w:val="0"/>
                <w:szCs w:val="21"/>
              </w:rPr>
              <w:t>.</w:t>
            </w:r>
            <w:r>
              <w:rPr>
                <w:rFonts w:hint="eastAsia" w:ascii="仿宋" w:hAnsi="仿宋" w:eastAsia="仿宋" w:cs="宋体"/>
                <w:color w:val="auto"/>
                <w:kern w:val="0"/>
                <w:szCs w:val="21"/>
              </w:rPr>
              <w:t>依据国家和行业的相关法律法规与标准规范进行质量目标描述；（0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01996E25">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2</w:t>
            </w:r>
            <w:r>
              <w:rPr>
                <w:rFonts w:ascii="仿宋" w:hAnsi="仿宋" w:eastAsia="仿宋" w:cs="宋体"/>
                <w:color w:val="auto"/>
                <w:kern w:val="0"/>
                <w:szCs w:val="21"/>
              </w:rPr>
              <w:t>.</w:t>
            </w:r>
            <w:r>
              <w:rPr>
                <w:rFonts w:hint="eastAsia" w:ascii="仿宋" w:hAnsi="仿宋" w:eastAsia="仿宋" w:cs="宋体"/>
                <w:color w:val="auto"/>
                <w:kern w:val="0"/>
                <w:szCs w:val="21"/>
              </w:rPr>
              <w:t>与采购人相关部门进行工作联系方案；（0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76234061">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3</w:t>
            </w:r>
            <w:r>
              <w:rPr>
                <w:rFonts w:ascii="仿宋" w:hAnsi="仿宋" w:eastAsia="仿宋" w:cs="宋体"/>
                <w:color w:val="auto"/>
                <w:kern w:val="0"/>
                <w:szCs w:val="21"/>
              </w:rPr>
              <w:t>.</w:t>
            </w:r>
            <w:r>
              <w:rPr>
                <w:rFonts w:hint="eastAsia" w:ascii="仿宋" w:hAnsi="仿宋" w:eastAsia="仿宋" w:cs="宋体"/>
                <w:color w:val="auto"/>
                <w:kern w:val="0"/>
                <w:szCs w:val="21"/>
              </w:rPr>
              <w:t>对第三方意见的处理方式、方法；（0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4169B942">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4</w:t>
            </w:r>
            <w:r>
              <w:rPr>
                <w:rFonts w:ascii="仿宋" w:hAnsi="仿宋" w:eastAsia="仿宋" w:cs="宋体"/>
                <w:color w:val="auto"/>
                <w:kern w:val="0"/>
                <w:szCs w:val="21"/>
              </w:rPr>
              <w:t>.</w:t>
            </w:r>
            <w:r>
              <w:rPr>
                <w:rFonts w:hint="eastAsia" w:ascii="仿宋" w:hAnsi="仿宋" w:eastAsia="仿宋" w:cs="宋体"/>
                <w:color w:val="auto"/>
                <w:kern w:val="0"/>
                <w:szCs w:val="21"/>
              </w:rPr>
              <w:t>内部三级复核制度及落实措施；（0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0FF4ED46">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5</w:t>
            </w:r>
            <w:r>
              <w:rPr>
                <w:rFonts w:ascii="仿宋" w:hAnsi="仿宋" w:eastAsia="仿宋" w:cs="宋体"/>
                <w:color w:val="auto"/>
                <w:kern w:val="0"/>
                <w:szCs w:val="21"/>
              </w:rPr>
              <w:t>.</w:t>
            </w:r>
            <w:r>
              <w:rPr>
                <w:rFonts w:hint="eastAsia" w:ascii="仿宋" w:hAnsi="仿宋" w:eastAsia="仿宋" w:cs="宋体"/>
                <w:color w:val="auto"/>
                <w:kern w:val="0"/>
                <w:szCs w:val="21"/>
              </w:rPr>
              <w:t>审计环节权责追究等相关内控措施。（0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423F572B">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以上5项，经评审，每项评分如下，最多得1</w:t>
            </w:r>
            <w:r>
              <w:rPr>
                <w:rFonts w:ascii="仿宋" w:hAnsi="仿宋" w:eastAsia="仿宋" w:cs="宋体"/>
                <w:color w:val="auto"/>
                <w:kern w:val="0"/>
                <w:szCs w:val="21"/>
              </w:rPr>
              <w:t>0</w:t>
            </w:r>
            <w:r>
              <w:rPr>
                <w:rFonts w:hint="eastAsia" w:ascii="仿宋" w:hAnsi="仿宋" w:eastAsia="仿宋" w:cs="宋体"/>
                <w:color w:val="auto"/>
                <w:kern w:val="0"/>
                <w:szCs w:val="21"/>
              </w:rPr>
              <w:t>分：</w:t>
            </w:r>
          </w:p>
          <w:p w14:paraId="12FFE411">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①方案全面、合理且与采购需求完全相适应的得</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7DDD12AD">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②方案基本与采购需求相适应，但存在欠缺的得1分；</w:t>
            </w:r>
          </w:p>
          <w:p w14:paraId="25226106">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③未提供的得0分。</w:t>
            </w:r>
          </w:p>
        </w:tc>
        <w:tc>
          <w:tcPr>
            <w:tcW w:w="269" w:type="pct"/>
            <w:shd w:val="clear" w:color="auto" w:fill="auto"/>
            <w:vAlign w:val="center"/>
          </w:tcPr>
          <w:p w14:paraId="32F0E57E">
            <w:pPr>
              <w:spacing w:before="120" w:beforeLines="50" w:line="300" w:lineRule="exact"/>
              <w:jc w:val="center"/>
              <w:outlineLvl w:val="0"/>
              <w:rPr>
                <w:rFonts w:hint="eastAsia" w:ascii="仿宋" w:hAnsi="仿宋" w:eastAsia="仿宋" w:cs="宋体"/>
                <w:color w:val="auto"/>
                <w:kern w:val="0"/>
                <w:szCs w:val="21"/>
              </w:rPr>
            </w:pPr>
            <w:r>
              <w:rPr>
                <w:rFonts w:ascii="仿宋" w:hAnsi="仿宋" w:eastAsia="仿宋" w:cs="宋体"/>
                <w:color w:val="auto"/>
                <w:kern w:val="0"/>
                <w:szCs w:val="21"/>
              </w:rPr>
              <w:t>10</w:t>
            </w:r>
          </w:p>
        </w:tc>
        <w:tc>
          <w:tcPr>
            <w:tcW w:w="469" w:type="pct"/>
            <w:shd w:val="clear" w:color="auto" w:fill="auto"/>
            <w:vAlign w:val="center"/>
          </w:tcPr>
          <w:p w14:paraId="5EA0E318">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主观分</w:t>
            </w:r>
          </w:p>
        </w:tc>
        <w:tc>
          <w:tcPr>
            <w:tcW w:w="760" w:type="pct"/>
            <w:vAlign w:val="center"/>
          </w:tcPr>
          <w:p w14:paraId="5D350521">
            <w:pPr>
              <w:snapToGrid w:val="0"/>
              <w:spacing w:line="300" w:lineRule="exact"/>
              <w:jc w:val="center"/>
              <w:rPr>
                <w:rFonts w:hint="eastAsia" w:ascii="仿宋" w:hAnsi="仿宋" w:eastAsia="仿宋" w:cs="仿宋"/>
                <w:color w:val="auto"/>
                <w:sz w:val="24"/>
              </w:rPr>
            </w:pPr>
            <w:r>
              <w:rPr>
                <w:rFonts w:hint="eastAsia" w:ascii="仿宋" w:hAnsi="仿宋" w:eastAsia="仿宋" w:cs="宋体"/>
                <w:b/>
                <w:bCs/>
                <w:color w:val="auto"/>
                <w:kern w:val="0"/>
                <w:szCs w:val="21"/>
              </w:rPr>
              <w:t>质量控制措施</w:t>
            </w:r>
          </w:p>
        </w:tc>
      </w:tr>
      <w:tr w14:paraId="25D5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26B7B8EB">
            <w:pPr>
              <w:snapToGri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3120" w:type="pct"/>
            <w:shd w:val="clear" w:color="auto" w:fill="auto"/>
            <w:vAlign w:val="center"/>
          </w:tcPr>
          <w:p w14:paraId="713DCE02">
            <w:pPr>
              <w:spacing w:before="120" w:beforeLines="50" w:line="300" w:lineRule="exact"/>
              <w:jc w:val="left"/>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供应商根据项目实际需要，制定审计工期进度保障措施，至少包括：</w:t>
            </w:r>
          </w:p>
          <w:p w14:paraId="6B151D3B">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1</w:t>
            </w:r>
            <w:r>
              <w:rPr>
                <w:rFonts w:ascii="仿宋" w:hAnsi="仿宋" w:eastAsia="仿宋" w:cs="宋体"/>
                <w:color w:val="auto"/>
                <w:kern w:val="0"/>
                <w:szCs w:val="21"/>
              </w:rPr>
              <w:t>.</w:t>
            </w:r>
            <w:r>
              <w:rPr>
                <w:rFonts w:hint="eastAsia" w:ascii="仿宋" w:hAnsi="仿宋" w:eastAsia="仿宋" w:cs="宋体"/>
                <w:color w:val="auto"/>
                <w:kern w:val="0"/>
                <w:szCs w:val="21"/>
              </w:rPr>
              <w:t>从承接项目至提交审查结论安排；（0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240F600A">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2</w:t>
            </w:r>
            <w:r>
              <w:rPr>
                <w:rFonts w:ascii="仿宋" w:hAnsi="仿宋" w:eastAsia="仿宋" w:cs="宋体"/>
                <w:color w:val="auto"/>
                <w:kern w:val="0"/>
                <w:szCs w:val="21"/>
              </w:rPr>
              <w:t>.</w:t>
            </w:r>
            <w:r>
              <w:rPr>
                <w:rFonts w:hint="eastAsia" w:ascii="仿宋" w:hAnsi="仿宋" w:eastAsia="仿宋" w:cs="宋体"/>
                <w:color w:val="auto"/>
                <w:kern w:val="0"/>
                <w:szCs w:val="21"/>
              </w:rPr>
              <w:t>各阶段沟通方案；（0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7CE41FFE">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3</w:t>
            </w:r>
            <w:r>
              <w:rPr>
                <w:rFonts w:ascii="仿宋" w:hAnsi="仿宋" w:eastAsia="仿宋" w:cs="宋体"/>
                <w:color w:val="auto"/>
                <w:kern w:val="0"/>
                <w:szCs w:val="21"/>
              </w:rPr>
              <w:t>.</w:t>
            </w:r>
            <w:r>
              <w:rPr>
                <w:rFonts w:hint="eastAsia" w:ascii="仿宋" w:hAnsi="仿宋" w:eastAsia="仿宋" w:cs="宋体"/>
                <w:color w:val="auto"/>
                <w:kern w:val="0"/>
                <w:szCs w:val="21"/>
              </w:rPr>
              <w:t>有效推进进度措施；（0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56AC5499">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4</w:t>
            </w:r>
            <w:r>
              <w:rPr>
                <w:rFonts w:ascii="仿宋" w:hAnsi="仿宋" w:eastAsia="仿宋" w:cs="宋体"/>
                <w:color w:val="auto"/>
                <w:kern w:val="0"/>
                <w:szCs w:val="21"/>
              </w:rPr>
              <w:t>.</w:t>
            </w:r>
            <w:r>
              <w:rPr>
                <w:rFonts w:hint="eastAsia" w:ascii="仿宋" w:hAnsi="仿宋" w:eastAsia="仿宋" w:cs="宋体"/>
                <w:color w:val="auto"/>
                <w:kern w:val="0"/>
                <w:szCs w:val="21"/>
              </w:rPr>
              <w:t>确保工期的人员、物资、设备支持方案。（0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2C365F34">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以上4项，经评审，每项评分如下，最多得</w:t>
            </w:r>
            <w:r>
              <w:rPr>
                <w:rFonts w:ascii="仿宋" w:hAnsi="仿宋" w:eastAsia="仿宋" w:cs="宋体"/>
                <w:color w:val="auto"/>
                <w:kern w:val="0"/>
                <w:szCs w:val="21"/>
              </w:rPr>
              <w:t>8</w:t>
            </w:r>
            <w:r>
              <w:rPr>
                <w:rFonts w:hint="eastAsia" w:ascii="仿宋" w:hAnsi="仿宋" w:eastAsia="仿宋" w:cs="宋体"/>
                <w:color w:val="auto"/>
                <w:kern w:val="0"/>
                <w:szCs w:val="21"/>
              </w:rPr>
              <w:t>分：</w:t>
            </w:r>
          </w:p>
          <w:p w14:paraId="3CEF1DC4">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①方案全面、合理且与采购需求完全相适应的得</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3C55B3CE">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②方案基本与采购需求相适应，但存在欠缺的得1分；</w:t>
            </w:r>
          </w:p>
          <w:p w14:paraId="3EDFCA3E">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③未提供的得0分。</w:t>
            </w:r>
          </w:p>
        </w:tc>
        <w:tc>
          <w:tcPr>
            <w:tcW w:w="269" w:type="pct"/>
            <w:shd w:val="clear" w:color="auto" w:fill="auto"/>
            <w:vAlign w:val="center"/>
          </w:tcPr>
          <w:p w14:paraId="2A5E6F49">
            <w:pPr>
              <w:spacing w:before="120" w:beforeLines="50" w:line="300" w:lineRule="exact"/>
              <w:jc w:val="center"/>
              <w:outlineLvl w:val="0"/>
              <w:rPr>
                <w:rFonts w:hint="eastAsia" w:ascii="仿宋" w:hAnsi="仿宋" w:eastAsia="仿宋" w:cs="宋体"/>
                <w:color w:val="auto"/>
                <w:kern w:val="0"/>
                <w:szCs w:val="21"/>
              </w:rPr>
            </w:pPr>
            <w:r>
              <w:rPr>
                <w:rFonts w:ascii="仿宋" w:hAnsi="仿宋" w:eastAsia="仿宋" w:cs="宋体"/>
                <w:color w:val="auto"/>
                <w:kern w:val="0"/>
                <w:szCs w:val="21"/>
              </w:rPr>
              <w:t>8</w:t>
            </w:r>
          </w:p>
        </w:tc>
        <w:tc>
          <w:tcPr>
            <w:tcW w:w="469" w:type="pct"/>
            <w:shd w:val="clear" w:color="auto" w:fill="auto"/>
            <w:vAlign w:val="center"/>
          </w:tcPr>
          <w:p w14:paraId="03E0174B">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主观分</w:t>
            </w:r>
          </w:p>
        </w:tc>
        <w:tc>
          <w:tcPr>
            <w:tcW w:w="760" w:type="pct"/>
            <w:vAlign w:val="center"/>
          </w:tcPr>
          <w:p w14:paraId="46EA4E92">
            <w:pPr>
              <w:snapToGrid w:val="0"/>
              <w:spacing w:line="300" w:lineRule="exact"/>
              <w:jc w:val="center"/>
              <w:rPr>
                <w:rFonts w:hint="eastAsia" w:ascii="仿宋" w:hAnsi="仿宋" w:eastAsia="仿宋" w:cs="仿宋"/>
                <w:color w:val="auto"/>
                <w:sz w:val="24"/>
              </w:rPr>
            </w:pPr>
            <w:r>
              <w:rPr>
                <w:rFonts w:hint="eastAsia" w:ascii="仿宋" w:hAnsi="仿宋" w:eastAsia="仿宋" w:cs="宋体"/>
                <w:b/>
                <w:bCs/>
                <w:color w:val="auto"/>
                <w:kern w:val="0"/>
                <w:szCs w:val="21"/>
              </w:rPr>
              <w:t>工期进度</w:t>
            </w:r>
          </w:p>
        </w:tc>
      </w:tr>
      <w:tr w14:paraId="34C5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782C4DF8">
            <w:pPr>
              <w:snapToGri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3120" w:type="pct"/>
            <w:shd w:val="clear" w:color="auto" w:fill="auto"/>
            <w:vAlign w:val="center"/>
          </w:tcPr>
          <w:p w14:paraId="56B825EB">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供应商根据项目实际需要，制定履约措施，至少包括：</w:t>
            </w:r>
          </w:p>
          <w:p w14:paraId="719387E7">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1</w:t>
            </w:r>
            <w:r>
              <w:rPr>
                <w:rFonts w:ascii="仿宋" w:hAnsi="仿宋" w:eastAsia="仿宋" w:cs="宋体"/>
                <w:color w:val="auto"/>
                <w:kern w:val="0"/>
                <w:szCs w:val="21"/>
              </w:rPr>
              <w:t>.</w:t>
            </w:r>
            <w:r>
              <w:rPr>
                <w:rFonts w:hint="eastAsia" w:ascii="仿宋" w:hAnsi="仿宋" w:eastAsia="仿宋" w:cs="宋体"/>
                <w:color w:val="auto"/>
                <w:kern w:val="0"/>
                <w:szCs w:val="21"/>
              </w:rPr>
              <w:t>职业操守执业规则落实措施；（0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43D19976">
            <w:pPr>
              <w:snapToGrid w:val="0"/>
              <w:spacing w:line="300" w:lineRule="exact"/>
              <w:rPr>
                <w:rFonts w:hint="eastAsia" w:ascii="仿宋" w:hAnsi="仿宋" w:eastAsia="仿宋" w:cs="宋体"/>
                <w:color w:val="auto"/>
                <w:kern w:val="0"/>
                <w:szCs w:val="21"/>
              </w:rPr>
            </w:pPr>
            <w:r>
              <w:rPr>
                <w:rFonts w:ascii="仿宋" w:hAnsi="仿宋" w:eastAsia="仿宋" w:cs="宋体"/>
                <w:color w:val="auto"/>
                <w:kern w:val="0"/>
                <w:szCs w:val="21"/>
              </w:rPr>
              <w:t>2.</w:t>
            </w:r>
            <w:r>
              <w:rPr>
                <w:rFonts w:hint="eastAsia" w:ascii="仿宋" w:hAnsi="仿宋" w:eastAsia="仿宋" w:cs="宋体"/>
                <w:color w:val="auto"/>
                <w:kern w:val="0"/>
                <w:szCs w:val="21"/>
              </w:rPr>
              <w:t>安全保密措施；（0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5AF9171C">
            <w:pPr>
              <w:snapToGrid w:val="0"/>
              <w:spacing w:line="300" w:lineRule="exact"/>
              <w:rPr>
                <w:rFonts w:hint="eastAsia" w:ascii="仿宋" w:hAnsi="仿宋" w:eastAsia="仿宋" w:cs="宋体"/>
                <w:color w:val="auto"/>
                <w:kern w:val="0"/>
                <w:szCs w:val="21"/>
              </w:rPr>
            </w:pPr>
            <w:r>
              <w:rPr>
                <w:rFonts w:ascii="仿宋" w:hAnsi="仿宋" w:eastAsia="仿宋" w:cs="宋体"/>
                <w:color w:val="auto"/>
                <w:kern w:val="0"/>
                <w:szCs w:val="21"/>
              </w:rPr>
              <w:t>3.</w:t>
            </w:r>
            <w:r>
              <w:rPr>
                <w:rFonts w:hint="eastAsia" w:ascii="仿宋" w:hAnsi="仿宋" w:eastAsia="仿宋" w:cs="宋体"/>
                <w:color w:val="auto"/>
                <w:kern w:val="0"/>
                <w:szCs w:val="21"/>
              </w:rPr>
              <w:t>后续服务措施。（0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20F885CF">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以上3项，经评审，每项评分如下，最多得6分：</w:t>
            </w:r>
          </w:p>
          <w:p w14:paraId="79321A9B">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①方案全面、合理且与采购需求完全相适应的得</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1233A64C">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②方案基本与采购需求相适应，但存在欠缺的得1分；</w:t>
            </w:r>
          </w:p>
          <w:p w14:paraId="627F59FE">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③未提供的得0分。</w:t>
            </w:r>
          </w:p>
        </w:tc>
        <w:tc>
          <w:tcPr>
            <w:tcW w:w="269" w:type="pct"/>
            <w:shd w:val="clear" w:color="auto" w:fill="auto"/>
            <w:vAlign w:val="center"/>
          </w:tcPr>
          <w:p w14:paraId="4AAC61CE">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6</w:t>
            </w:r>
          </w:p>
        </w:tc>
        <w:tc>
          <w:tcPr>
            <w:tcW w:w="469" w:type="pct"/>
            <w:shd w:val="clear" w:color="auto" w:fill="auto"/>
            <w:vAlign w:val="center"/>
          </w:tcPr>
          <w:p w14:paraId="5230F154">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主观分</w:t>
            </w:r>
          </w:p>
        </w:tc>
        <w:tc>
          <w:tcPr>
            <w:tcW w:w="760" w:type="pct"/>
            <w:vAlign w:val="center"/>
          </w:tcPr>
          <w:p w14:paraId="3AA70705">
            <w:pPr>
              <w:snapToGrid w:val="0"/>
              <w:spacing w:line="300" w:lineRule="exact"/>
              <w:jc w:val="center"/>
              <w:rPr>
                <w:rFonts w:hint="eastAsia" w:ascii="仿宋" w:hAnsi="仿宋" w:eastAsia="仿宋" w:cs="仿宋"/>
                <w:color w:val="auto"/>
                <w:sz w:val="24"/>
              </w:rPr>
            </w:pPr>
            <w:r>
              <w:rPr>
                <w:rFonts w:hint="eastAsia" w:ascii="仿宋" w:hAnsi="仿宋" w:eastAsia="仿宋" w:cs="宋体"/>
                <w:b/>
                <w:bCs/>
                <w:color w:val="auto"/>
                <w:kern w:val="0"/>
                <w:szCs w:val="21"/>
              </w:rPr>
              <w:t>履约措施</w:t>
            </w:r>
          </w:p>
        </w:tc>
      </w:tr>
      <w:tr w14:paraId="2FF2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0B5E0439">
            <w:pPr>
              <w:snapToGri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3120" w:type="pct"/>
            <w:shd w:val="clear" w:color="auto" w:fill="auto"/>
            <w:vAlign w:val="center"/>
          </w:tcPr>
          <w:p w14:paraId="30D4B089">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供应商根据项目实际需要，制定突发事件预案，至少包括：</w:t>
            </w:r>
          </w:p>
          <w:p w14:paraId="6A854997">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1</w:t>
            </w:r>
            <w:r>
              <w:rPr>
                <w:rFonts w:ascii="仿宋" w:hAnsi="仿宋" w:eastAsia="仿宋" w:cs="宋体"/>
                <w:color w:val="auto"/>
                <w:kern w:val="0"/>
                <w:szCs w:val="21"/>
              </w:rPr>
              <w:t>.</w:t>
            </w:r>
            <w:r>
              <w:rPr>
                <w:rFonts w:hint="eastAsia" w:ascii="仿宋" w:hAnsi="仿宋" w:eastAsia="仿宋" w:cs="宋体"/>
                <w:color w:val="auto"/>
                <w:kern w:val="0"/>
                <w:szCs w:val="21"/>
              </w:rPr>
              <w:t>类似项目突发事件隐患分析；（0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16650D2F">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2</w:t>
            </w:r>
            <w:r>
              <w:rPr>
                <w:rFonts w:ascii="仿宋" w:hAnsi="仿宋" w:eastAsia="仿宋" w:cs="宋体"/>
                <w:color w:val="auto"/>
                <w:kern w:val="0"/>
                <w:szCs w:val="21"/>
              </w:rPr>
              <w:t>.</w:t>
            </w:r>
            <w:r>
              <w:rPr>
                <w:rFonts w:hint="eastAsia" w:ascii="仿宋" w:hAnsi="仿宋" w:eastAsia="仿宋" w:cs="宋体"/>
                <w:color w:val="auto"/>
                <w:kern w:val="0"/>
                <w:szCs w:val="21"/>
              </w:rPr>
              <w:t>应急预案组织保障方案；（0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3DB78A0F">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3</w:t>
            </w:r>
            <w:r>
              <w:rPr>
                <w:rFonts w:ascii="仿宋" w:hAnsi="仿宋" w:eastAsia="仿宋" w:cs="宋体"/>
                <w:color w:val="auto"/>
                <w:kern w:val="0"/>
                <w:szCs w:val="21"/>
              </w:rPr>
              <w:t>.</w:t>
            </w:r>
            <w:r>
              <w:rPr>
                <w:rFonts w:hint="eastAsia" w:ascii="仿宋" w:hAnsi="仿宋" w:eastAsia="仿宋" w:cs="宋体"/>
                <w:color w:val="auto"/>
                <w:kern w:val="0"/>
                <w:szCs w:val="21"/>
              </w:rPr>
              <w:t>类似项目突发事件处置案例及经验总结。（0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45382DF3">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以上3项，经评审，每项评分如下，最多得</w:t>
            </w:r>
            <w:r>
              <w:rPr>
                <w:rFonts w:ascii="仿宋" w:hAnsi="仿宋" w:eastAsia="仿宋" w:cs="宋体"/>
                <w:color w:val="auto"/>
                <w:kern w:val="0"/>
                <w:szCs w:val="21"/>
              </w:rPr>
              <w:t>6</w:t>
            </w:r>
            <w:r>
              <w:rPr>
                <w:rFonts w:hint="eastAsia" w:ascii="仿宋" w:hAnsi="仿宋" w:eastAsia="仿宋" w:cs="宋体"/>
                <w:color w:val="auto"/>
                <w:kern w:val="0"/>
                <w:szCs w:val="21"/>
              </w:rPr>
              <w:t>分：</w:t>
            </w:r>
          </w:p>
          <w:p w14:paraId="1747AE94">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①方案全面、合理且与采购需求完全相适应的得</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34011B70">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②方案基本与采购需求相适应，但存在欠缺的得1分；</w:t>
            </w:r>
          </w:p>
          <w:p w14:paraId="29866FF4">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③未提供的得0分。</w:t>
            </w:r>
          </w:p>
        </w:tc>
        <w:tc>
          <w:tcPr>
            <w:tcW w:w="269" w:type="pct"/>
            <w:shd w:val="clear" w:color="auto" w:fill="auto"/>
            <w:vAlign w:val="center"/>
          </w:tcPr>
          <w:p w14:paraId="2581BC6F">
            <w:pPr>
              <w:spacing w:before="120" w:beforeLines="50" w:line="300" w:lineRule="exact"/>
              <w:jc w:val="center"/>
              <w:outlineLvl w:val="0"/>
              <w:rPr>
                <w:rFonts w:hint="eastAsia" w:ascii="仿宋" w:hAnsi="仿宋" w:eastAsia="仿宋" w:cs="宋体"/>
                <w:color w:val="auto"/>
                <w:kern w:val="0"/>
                <w:szCs w:val="21"/>
              </w:rPr>
            </w:pPr>
            <w:r>
              <w:rPr>
                <w:rFonts w:ascii="仿宋" w:hAnsi="仿宋" w:eastAsia="仿宋" w:cs="宋体"/>
                <w:color w:val="auto"/>
                <w:kern w:val="0"/>
                <w:szCs w:val="21"/>
              </w:rPr>
              <w:t>6</w:t>
            </w:r>
          </w:p>
        </w:tc>
        <w:tc>
          <w:tcPr>
            <w:tcW w:w="469" w:type="pct"/>
            <w:shd w:val="clear" w:color="auto" w:fill="auto"/>
            <w:vAlign w:val="center"/>
          </w:tcPr>
          <w:p w14:paraId="7D26AB2A">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主观分</w:t>
            </w:r>
          </w:p>
        </w:tc>
        <w:tc>
          <w:tcPr>
            <w:tcW w:w="760" w:type="pct"/>
            <w:shd w:val="clear" w:color="auto" w:fill="auto"/>
            <w:vAlign w:val="center"/>
          </w:tcPr>
          <w:p w14:paraId="4F8156FA">
            <w:pPr>
              <w:snapToGrid w:val="0"/>
              <w:spacing w:line="300" w:lineRule="exact"/>
              <w:jc w:val="center"/>
              <w:rPr>
                <w:rFonts w:hint="eastAsia" w:ascii="仿宋" w:hAnsi="仿宋" w:eastAsia="仿宋" w:cs="仿宋"/>
                <w:color w:val="auto"/>
                <w:sz w:val="24"/>
              </w:rPr>
            </w:pPr>
            <w:r>
              <w:rPr>
                <w:rFonts w:hint="eastAsia" w:ascii="仿宋" w:hAnsi="仿宋" w:eastAsia="仿宋" w:cs="宋体"/>
                <w:b/>
                <w:bCs/>
                <w:color w:val="auto"/>
                <w:kern w:val="0"/>
                <w:szCs w:val="21"/>
              </w:rPr>
              <w:t>突发事件预案</w:t>
            </w:r>
          </w:p>
        </w:tc>
      </w:tr>
      <w:tr w14:paraId="1317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0A9395D3">
            <w:pPr>
              <w:snapToGri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3120" w:type="pct"/>
            <w:shd w:val="clear" w:color="auto" w:fill="auto"/>
            <w:vAlign w:val="center"/>
          </w:tcPr>
          <w:p w14:paraId="5AE77513">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供应商根据项目实际需要，制定特色服务措施，至少包括：</w:t>
            </w:r>
          </w:p>
          <w:p w14:paraId="7C83474B">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1</w:t>
            </w:r>
            <w:r>
              <w:rPr>
                <w:rFonts w:ascii="仿宋" w:hAnsi="仿宋" w:eastAsia="仿宋" w:cs="宋体"/>
                <w:color w:val="auto"/>
                <w:kern w:val="0"/>
                <w:szCs w:val="21"/>
              </w:rPr>
              <w:t>.</w:t>
            </w:r>
            <w:r>
              <w:rPr>
                <w:rFonts w:hint="eastAsia" w:ascii="仿宋" w:hAnsi="仿宋" w:eastAsia="仿宋" w:cs="宋体"/>
                <w:color w:val="auto"/>
                <w:kern w:val="0"/>
                <w:szCs w:val="21"/>
              </w:rPr>
              <w:t>司法审计重难点分析。（0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53530FF1">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2</w:t>
            </w:r>
            <w:r>
              <w:rPr>
                <w:rFonts w:ascii="仿宋" w:hAnsi="仿宋" w:eastAsia="仿宋" w:cs="宋体"/>
                <w:color w:val="auto"/>
                <w:kern w:val="0"/>
                <w:szCs w:val="21"/>
              </w:rPr>
              <w:t>.</w:t>
            </w:r>
            <w:r>
              <w:rPr>
                <w:rFonts w:hint="eastAsia" w:ascii="仿宋" w:hAnsi="仿宋" w:eastAsia="仿宋" w:cs="宋体"/>
                <w:color w:val="auto"/>
                <w:kern w:val="0"/>
                <w:szCs w:val="21"/>
              </w:rPr>
              <w:t>本企业特色服务优势描述；（0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34976898">
            <w:pPr>
              <w:snapToGrid w:val="0"/>
              <w:spacing w:line="300" w:lineRule="exact"/>
              <w:rPr>
                <w:rFonts w:hint="eastAsia" w:ascii="仿宋" w:hAnsi="仿宋" w:eastAsia="仿宋" w:cs="宋体"/>
                <w:color w:val="auto"/>
                <w:kern w:val="0"/>
                <w:szCs w:val="21"/>
              </w:rPr>
            </w:pPr>
            <w:r>
              <w:rPr>
                <w:rFonts w:ascii="仿宋" w:hAnsi="仿宋" w:eastAsia="仿宋" w:cs="宋体"/>
                <w:color w:val="auto"/>
                <w:kern w:val="0"/>
                <w:szCs w:val="21"/>
              </w:rPr>
              <w:t>3</w:t>
            </w:r>
            <w:r>
              <w:rPr>
                <w:rFonts w:hint="eastAsia" w:ascii="仿宋" w:hAnsi="仿宋" w:eastAsia="仿宋" w:cs="宋体"/>
                <w:color w:val="auto"/>
                <w:kern w:val="0"/>
                <w:szCs w:val="21"/>
              </w:rPr>
              <w:t>.结合重难点及自身优势，提出至少3条本单位特色服务内容。（0</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2F94531B">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以上3项，经评审，每项评分如下，最多得6分：</w:t>
            </w:r>
          </w:p>
          <w:p w14:paraId="6844FC03">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①方案全面、合理且与采购需求完全相适应的得</w:t>
            </w:r>
            <w:r>
              <w:rPr>
                <w:rFonts w:ascii="仿宋" w:hAnsi="仿宋" w:eastAsia="仿宋" w:cs="宋体"/>
                <w:color w:val="auto"/>
                <w:kern w:val="0"/>
                <w:szCs w:val="21"/>
              </w:rPr>
              <w:t>2</w:t>
            </w:r>
            <w:r>
              <w:rPr>
                <w:rFonts w:hint="eastAsia" w:ascii="仿宋" w:hAnsi="仿宋" w:eastAsia="仿宋" w:cs="宋体"/>
                <w:color w:val="auto"/>
                <w:kern w:val="0"/>
                <w:szCs w:val="21"/>
              </w:rPr>
              <w:t>分；</w:t>
            </w:r>
          </w:p>
          <w:p w14:paraId="3984EAB0">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②方案基本与采购需求相适应，但存在欠缺的得1分；</w:t>
            </w:r>
          </w:p>
          <w:p w14:paraId="3B2C357C">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③未提供的得0分。</w:t>
            </w:r>
          </w:p>
        </w:tc>
        <w:tc>
          <w:tcPr>
            <w:tcW w:w="269" w:type="pct"/>
            <w:shd w:val="clear" w:color="auto" w:fill="auto"/>
            <w:vAlign w:val="center"/>
          </w:tcPr>
          <w:p w14:paraId="2A0C9DD4">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6</w:t>
            </w:r>
          </w:p>
        </w:tc>
        <w:tc>
          <w:tcPr>
            <w:tcW w:w="469" w:type="pct"/>
            <w:shd w:val="clear" w:color="auto" w:fill="auto"/>
            <w:vAlign w:val="center"/>
          </w:tcPr>
          <w:p w14:paraId="410FA84E">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主观分</w:t>
            </w:r>
          </w:p>
        </w:tc>
        <w:tc>
          <w:tcPr>
            <w:tcW w:w="760" w:type="pct"/>
            <w:vAlign w:val="center"/>
          </w:tcPr>
          <w:p w14:paraId="10B88D75">
            <w:pPr>
              <w:snapToGrid w:val="0"/>
              <w:spacing w:line="300" w:lineRule="exact"/>
              <w:jc w:val="center"/>
              <w:rPr>
                <w:rFonts w:hint="eastAsia" w:ascii="仿宋" w:hAnsi="仿宋" w:eastAsia="仿宋" w:cs="仿宋"/>
                <w:color w:val="auto"/>
                <w:sz w:val="24"/>
              </w:rPr>
            </w:pPr>
            <w:r>
              <w:rPr>
                <w:rFonts w:hint="eastAsia" w:ascii="仿宋" w:hAnsi="仿宋" w:eastAsia="仿宋" w:cs="宋体"/>
                <w:b/>
                <w:bCs/>
                <w:color w:val="auto"/>
                <w:kern w:val="0"/>
                <w:szCs w:val="21"/>
              </w:rPr>
              <w:t>特色服务措施</w:t>
            </w:r>
          </w:p>
        </w:tc>
      </w:tr>
      <w:tr w14:paraId="41CD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07E97C19">
            <w:pPr>
              <w:snapToGri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3120" w:type="pct"/>
            <w:shd w:val="clear" w:color="auto" w:fill="auto"/>
            <w:vAlign w:val="center"/>
          </w:tcPr>
          <w:p w14:paraId="234A81B5">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1.</w:t>
            </w:r>
            <w:r>
              <w:rPr>
                <w:rFonts w:hint="eastAsia" w:ascii="仿宋" w:hAnsi="仿宋" w:eastAsia="仿宋" w:cs="宋体"/>
                <w:color w:val="auto"/>
                <w:kern w:val="0"/>
                <w:szCs w:val="21"/>
                <w:lang w:bidi="ar"/>
              </w:rPr>
              <w:t xml:space="preserve"> </w:t>
            </w:r>
            <w:r>
              <w:rPr>
                <w:rFonts w:hint="eastAsia" w:ascii="仿宋" w:hAnsi="仿宋" w:eastAsia="仿宋" w:cs="宋体"/>
                <w:color w:val="auto"/>
                <w:kern w:val="0"/>
                <w:szCs w:val="21"/>
              </w:rPr>
              <w:t>项目总负责人具备司法审计工作经验的得1分，具备经济类专业技术资格高级职称的得1分，最多得2分；</w:t>
            </w:r>
          </w:p>
          <w:p w14:paraId="7C5EC030">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2.除项目负责人外，拟派项目组成员中，具备中级职称的每人得0.5分，高级职称每人得1分，最多得3分。</w:t>
            </w:r>
          </w:p>
          <w:p w14:paraId="59FFDD8F">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3.拟派项目组人员法律职业资格证书、注册造价师证书、资产评估师证书的,每提供一个得1分，最多的3分。</w:t>
            </w:r>
          </w:p>
          <w:p w14:paraId="47E394FC">
            <w:pPr>
              <w:snapToGrid w:val="0"/>
              <w:spacing w:line="300" w:lineRule="exact"/>
              <w:rPr>
                <w:rFonts w:hint="eastAsia" w:ascii="仿宋" w:hAnsi="仿宋" w:eastAsia="仿宋" w:cs="宋体"/>
                <w:color w:val="auto"/>
                <w:kern w:val="0"/>
                <w:szCs w:val="21"/>
              </w:rPr>
            </w:pPr>
            <w:r>
              <w:rPr>
                <w:rFonts w:hint="eastAsia" w:ascii="仿宋" w:hAnsi="仿宋" w:eastAsia="仿宋" w:cs="宋体"/>
                <w:b/>
                <w:bCs/>
                <w:color w:val="auto"/>
                <w:kern w:val="0"/>
                <w:szCs w:val="21"/>
              </w:rPr>
              <w:t>注：提供拟派人员清单（包括但不限于：姓名、身份证、项目职责、资质证书等清晰扫描件）、类似项目经验佐证资料（至少含出具的审计报告、承担的主要职责、用户评价等）、为供应商自有员工的劳动合同清晰复印件、为供应商正常在职在岗人员的承诺书。</w:t>
            </w:r>
          </w:p>
        </w:tc>
        <w:tc>
          <w:tcPr>
            <w:tcW w:w="269" w:type="pct"/>
            <w:shd w:val="clear" w:color="auto" w:fill="auto"/>
            <w:vAlign w:val="center"/>
          </w:tcPr>
          <w:p w14:paraId="00D75FD1">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8</w:t>
            </w:r>
          </w:p>
        </w:tc>
        <w:tc>
          <w:tcPr>
            <w:tcW w:w="469" w:type="pct"/>
            <w:shd w:val="clear" w:color="auto" w:fill="auto"/>
            <w:vAlign w:val="center"/>
          </w:tcPr>
          <w:p w14:paraId="6183875A">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客观分</w:t>
            </w:r>
          </w:p>
        </w:tc>
        <w:tc>
          <w:tcPr>
            <w:tcW w:w="760" w:type="pct"/>
            <w:vAlign w:val="center"/>
          </w:tcPr>
          <w:p w14:paraId="0DEC6AE8">
            <w:pPr>
              <w:snapToGrid w:val="0"/>
              <w:spacing w:line="300" w:lineRule="exact"/>
              <w:jc w:val="center"/>
              <w:rPr>
                <w:rFonts w:hint="eastAsia" w:ascii="仿宋" w:hAnsi="仿宋" w:eastAsia="仿宋" w:cs="仿宋"/>
                <w:color w:val="auto"/>
                <w:sz w:val="24"/>
              </w:rPr>
            </w:pPr>
            <w:r>
              <w:rPr>
                <w:rFonts w:hint="eastAsia" w:ascii="仿宋" w:hAnsi="仿宋" w:eastAsia="仿宋" w:cs="宋体"/>
                <w:b/>
                <w:bCs/>
                <w:color w:val="auto"/>
                <w:kern w:val="0"/>
                <w:szCs w:val="21"/>
              </w:rPr>
              <w:t>服务人员要求</w:t>
            </w:r>
          </w:p>
        </w:tc>
      </w:tr>
      <w:tr w14:paraId="0527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14BFC6FD">
            <w:pPr>
              <w:snapToGri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15</w:t>
            </w:r>
          </w:p>
        </w:tc>
        <w:tc>
          <w:tcPr>
            <w:tcW w:w="3120" w:type="pct"/>
            <w:shd w:val="clear" w:color="auto" w:fill="auto"/>
            <w:vAlign w:val="center"/>
          </w:tcPr>
          <w:p w14:paraId="1C419DE5">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供应商根据项目实际需要，提供以下承诺事项，至少包括：</w:t>
            </w:r>
          </w:p>
          <w:p w14:paraId="1C5326B2">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1</w:t>
            </w:r>
            <w:r>
              <w:rPr>
                <w:rFonts w:ascii="仿宋" w:hAnsi="仿宋" w:eastAsia="仿宋" w:cs="宋体"/>
                <w:color w:val="auto"/>
                <w:kern w:val="0"/>
                <w:szCs w:val="21"/>
              </w:rPr>
              <w:t>.</w:t>
            </w:r>
            <w:r>
              <w:rPr>
                <w:rFonts w:hint="eastAsia" w:ascii="仿宋" w:hAnsi="仿宋" w:eastAsia="仿宋" w:cs="宋体"/>
                <w:color w:val="auto"/>
                <w:kern w:val="0"/>
                <w:szCs w:val="21"/>
              </w:rPr>
              <w:t>合同期内保持项目组人员相对固定（变动比例不超过20%）；</w:t>
            </w:r>
          </w:p>
          <w:p w14:paraId="3D003F99">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2</w:t>
            </w:r>
            <w:r>
              <w:rPr>
                <w:rFonts w:ascii="仿宋" w:hAnsi="仿宋" w:eastAsia="仿宋" w:cs="宋体"/>
                <w:color w:val="auto"/>
                <w:kern w:val="0"/>
                <w:szCs w:val="21"/>
              </w:rPr>
              <w:t>.</w:t>
            </w:r>
            <w:r>
              <w:rPr>
                <w:rFonts w:hint="eastAsia" w:ascii="仿宋" w:hAnsi="仿宋" w:eastAsia="仿宋" w:cs="宋体"/>
                <w:color w:val="auto"/>
                <w:kern w:val="0"/>
                <w:szCs w:val="21"/>
              </w:rPr>
              <w:t>项目管理人员、操作执行人员经过专业培训后上岗；</w:t>
            </w:r>
          </w:p>
          <w:p w14:paraId="4D94AE9E">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3</w:t>
            </w:r>
            <w:r>
              <w:rPr>
                <w:rFonts w:ascii="仿宋" w:hAnsi="仿宋" w:eastAsia="仿宋" w:cs="宋体"/>
                <w:color w:val="auto"/>
                <w:kern w:val="0"/>
                <w:szCs w:val="21"/>
              </w:rPr>
              <w:t>.</w:t>
            </w:r>
            <w:r>
              <w:rPr>
                <w:rFonts w:hint="eastAsia" w:ascii="仿宋" w:hAnsi="仿宋" w:eastAsia="仿宋" w:cs="宋体"/>
                <w:color w:val="auto"/>
                <w:kern w:val="0"/>
                <w:szCs w:val="21"/>
              </w:rPr>
              <w:t>项目过程文件由专门人员进行分类管理；</w:t>
            </w:r>
          </w:p>
          <w:p w14:paraId="5BFBBBAA">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4</w:t>
            </w:r>
            <w:r>
              <w:rPr>
                <w:rFonts w:ascii="仿宋" w:hAnsi="仿宋" w:eastAsia="仿宋" w:cs="宋体"/>
                <w:color w:val="auto"/>
                <w:kern w:val="0"/>
                <w:szCs w:val="21"/>
              </w:rPr>
              <w:t>.</w:t>
            </w:r>
            <w:r>
              <w:rPr>
                <w:rFonts w:hint="eastAsia" w:ascii="仿宋" w:hAnsi="仿宋" w:eastAsia="仿宋" w:cs="宋体"/>
                <w:color w:val="auto"/>
                <w:kern w:val="0"/>
                <w:szCs w:val="21"/>
              </w:rPr>
              <w:t>遵守廉政纪律；</w:t>
            </w:r>
          </w:p>
          <w:p w14:paraId="635B418C">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5</w:t>
            </w:r>
            <w:r>
              <w:rPr>
                <w:rFonts w:ascii="仿宋" w:hAnsi="仿宋" w:eastAsia="仿宋" w:cs="宋体"/>
                <w:color w:val="auto"/>
                <w:kern w:val="0"/>
                <w:szCs w:val="21"/>
              </w:rPr>
              <w:t>.</w:t>
            </w:r>
            <w:r>
              <w:rPr>
                <w:rFonts w:hint="eastAsia" w:ascii="仿宋" w:hAnsi="仿宋" w:eastAsia="仿宋" w:cs="宋体"/>
                <w:color w:val="auto"/>
                <w:kern w:val="0"/>
                <w:szCs w:val="21"/>
              </w:rPr>
              <w:t>因工作失误或审查结论失真，承担给采购人和第三方造成的经济损失，并承担法律责任。</w:t>
            </w:r>
          </w:p>
          <w:p w14:paraId="3EEE7B11">
            <w:pPr>
              <w:snapToGrid w:val="0"/>
              <w:spacing w:line="300" w:lineRule="exact"/>
              <w:rPr>
                <w:rFonts w:hint="eastAsia" w:ascii="仿宋" w:hAnsi="仿宋" w:eastAsia="仿宋" w:cs="宋体"/>
                <w:color w:val="auto"/>
                <w:kern w:val="0"/>
                <w:szCs w:val="21"/>
              </w:rPr>
            </w:pPr>
            <w:r>
              <w:rPr>
                <w:rFonts w:hint="eastAsia" w:ascii="仿宋" w:hAnsi="仿宋" w:eastAsia="仿宋" w:cs="宋体"/>
                <w:color w:val="auto"/>
                <w:kern w:val="0"/>
                <w:szCs w:val="21"/>
              </w:rPr>
              <w:t>以上5项，每提供1项得1分，不提供不得分，最多得5分。</w:t>
            </w:r>
          </w:p>
        </w:tc>
        <w:tc>
          <w:tcPr>
            <w:tcW w:w="269" w:type="pct"/>
            <w:shd w:val="clear" w:color="auto" w:fill="auto"/>
            <w:vAlign w:val="center"/>
          </w:tcPr>
          <w:p w14:paraId="5DF40188">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5</w:t>
            </w:r>
          </w:p>
        </w:tc>
        <w:tc>
          <w:tcPr>
            <w:tcW w:w="469" w:type="pct"/>
            <w:shd w:val="clear" w:color="auto" w:fill="auto"/>
            <w:vAlign w:val="center"/>
          </w:tcPr>
          <w:p w14:paraId="74EBADBF">
            <w:pPr>
              <w:spacing w:before="120" w:beforeLines="50" w:line="300" w:lineRule="exact"/>
              <w:jc w:val="center"/>
              <w:outlineLvl w:val="0"/>
              <w:rPr>
                <w:rFonts w:hint="eastAsia" w:ascii="仿宋" w:hAnsi="仿宋" w:eastAsia="仿宋" w:cs="宋体"/>
                <w:color w:val="auto"/>
                <w:kern w:val="0"/>
                <w:szCs w:val="21"/>
              </w:rPr>
            </w:pPr>
            <w:r>
              <w:rPr>
                <w:rFonts w:hint="eastAsia" w:ascii="仿宋" w:hAnsi="仿宋" w:eastAsia="仿宋" w:cs="宋体"/>
                <w:color w:val="auto"/>
                <w:kern w:val="0"/>
                <w:szCs w:val="21"/>
              </w:rPr>
              <w:t>客观分</w:t>
            </w:r>
          </w:p>
        </w:tc>
        <w:tc>
          <w:tcPr>
            <w:tcW w:w="760" w:type="pct"/>
            <w:vAlign w:val="center"/>
          </w:tcPr>
          <w:p w14:paraId="10757572">
            <w:pPr>
              <w:snapToGrid w:val="0"/>
              <w:spacing w:line="300" w:lineRule="exact"/>
              <w:jc w:val="center"/>
              <w:rPr>
                <w:rFonts w:hint="eastAsia" w:ascii="仿宋" w:hAnsi="仿宋" w:eastAsia="仿宋" w:cs="仿宋"/>
                <w:color w:val="auto"/>
                <w:sz w:val="24"/>
              </w:rPr>
            </w:pPr>
            <w:r>
              <w:rPr>
                <w:rFonts w:hint="eastAsia" w:ascii="仿宋" w:hAnsi="仿宋" w:eastAsia="仿宋" w:cs="宋体"/>
                <w:b/>
                <w:bCs/>
                <w:color w:val="auto"/>
                <w:kern w:val="0"/>
                <w:szCs w:val="21"/>
              </w:rPr>
              <w:t>服务承诺</w:t>
            </w:r>
          </w:p>
        </w:tc>
      </w:tr>
      <w:tr w14:paraId="66FB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503636E5">
            <w:pPr>
              <w:snapToGrid w:val="0"/>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16</w:t>
            </w:r>
          </w:p>
        </w:tc>
        <w:tc>
          <w:tcPr>
            <w:tcW w:w="3120" w:type="pct"/>
          </w:tcPr>
          <w:p w14:paraId="4AE4CFEC">
            <w:pPr>
              <w:snapToGrid w:val="0"/>
              <w:spacing w:line="300" w:lineRule="exact"/>
              <w:jc w:val="left"/>
              <w:rPr>
                <w:rFonts w:hint="eastAsia" w:ascii="仿宋" w:hAnsi="仿宋" w:eastAsia="仿宋" w:cs="仿宋"/>
                <w:color w:val="auto"/>
                <w:sz w:val="24"/>
              </w:rPr>
            </w:pPr>
            <w:r>
              <w:rPr>
                <w:rFonts w:hint="eastAsia" w:ascii="仿宋" w:hAnsi="仿宋" w:eastAsia="仿宋" w:cs="仿宋"/>
                <w:color w:val="auto"/>
                <w:sz w:val="24"/>
              </w:rPr>
              <w:t>有效投标报价的最低价作为评标基准价，其最低报价为满分；按［投标报价得分=（评标基准价/投标报价）*权重］的计算公式计算。</w:t>
            </w:r>
          </w:p>
          <w:p w14:paraId="47097DAE">
            <w:pPr>
              <w:snapToGrid w:val="0"/>
              <w:spacing w:line="300" w:lineRule="exact"/>
              <w:jc w:val="left"/>
              <w:rPr>
                <w:rFonts w:hint="eastAsia"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tc>
        <w:tc>
          <w:tcPr>
            <w:tcW w:w="269" w:type="pct"/>
            <w:vAlign w:val="center"/>
          </w:tcPr>
          <w:p w14:paraId="52275A18">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10</w:t>
            </w:r>
          </w:p>
        </w:tc>
        <w:tc>
          <w:tcPr>
            <w:tcW w:w="469" w:type="pct"/>
            <w:vAlign w:val="center"/>
          </w:tcPr>
          <w:p w14:paraId="4AB83B69">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报价分</w:t>
            </w:r>
          </w:p>
        </w:tc>
        <w:tc>
          <w:tcPr>
            <w:tcW w:w="760" w:type="pct"/>
            <w:vAlign w:val="center"/>
          </w:tcPr>
          <w:p w14:paraId="18CC0C2E">
            <w:pPr>
              <w:spacing w:line="300" w:lineRule="exact"/>
              <w:jc w:val="center"/>
              <w:outlineLvl w:val="0"/>
              <w:rPr>
                <w:rFonts w:hint="eastAsia" w:ascii="仿宋" w:hAnsi="仿宋" w:eastAsia="仿宋" w:cs="仿宋"/>
                <w:color w:val="auto"/>
                <w:sz w:val="24"/>
              </w:rPr>
            </w:pPr>
            <w:r>
              <w:rPr>
                <w:rFonts w:hint="eastAsia" w:ascii="仿宋" w:hAnsi="仿宋" w:eastAsia="仿宋" w:cs="仿宋"/>
                <w:color w:val="auto"/>
                <w:sz w:val="24"/>
              </w:rPr>
              <w:t>/</w:t>
            </w:r>
          </w:p>
        </w:tc>
      </w:tr>
    </w:tbl>
    <w:p w14:paraId="6C1E383C">
      <w:pPr>
        <w:snapToGrid w:val="0"/>
        <w:spacing w:line="360" w:lineRule="auto"/>
        <w:rPr>
          <w:rFonts w:hint="eastAsia" w:ascii="仿宋" w:hAnsi="仿宋" w:eastAsia="仿宋" w:cs="仿宋"/>
          <w:b/>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14:paraId="5E6047FC">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2EB687DB">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2B86B952">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6A8053AE">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2.评标标准：</w:t>
      </w:r>
      <w:r>
        <w:rPr>
          <w:rFonts w:hint="eastAsia" w:ascii="仿宋" w:hAnsi="仿宋" w:eastAsia="仿宋" w:cs="仿宋"/>
          <w:color w:val="auto"/>
          <w:kern w:val="0"/>
          <w:sz w:val="24"/>
        </w:rPr>
        <w:t>见评标办法前附表。</w:t>
      </w:r>
    </w:p>
    <w:p w14:paraId="581732B2">
      <w:pPr>
        <w:snapToGrid w:val="0"/>
        <w:spacing w:line="360" w:lineRule="auto"/>
        <w:rPr>
          <w:rFonts w:hint="eastAsia" w:ascii="仿宋" w:hAnsi="仿宋" w:eastAsia="仿宋" w:cs="仿宋"/>
          <w:b/>
          <w:color w:val="auto"/>
          <w:sz w:val="32"/>
        </w:rPr>
      </w:pPr>
      <w:r>
        <w:rPr>
          <w:rFonts w:hint="eastAsia" w:ascii="仿宋" w:hAnsi="仿宋" w:eastAsia="仿宋" w:cs="仿宋"/>
          <w:b/>
          <w:color w:val="auto"/>
          <w:sz w:val="32"/>
        </w:rPr>
        <w:t>三、评标程序</w:t>
      </w:r>
    </w:p>
    <w:p w14:paraId="0D00B381">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6EF3115C">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7DEDEAC8">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2B54FE4F">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76ACD5B7">
      <w:pPr>
        <w:pStyle w:val="131"/>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5F8FD673">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2C22D51E">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4F56A37C">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49CA9FBE">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7D5F11BD">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43387812">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6863207B">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3DE1F5A3">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09937B9">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0FB6EF4">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lang w:val="en"/>
        </w:rPr>
        <w:t>本项目推荐的中标候选人数量：</w:t>
      </w:r>
      <w:r>
        <w:rPr>
          <w:rFonts w:hint="eastAsia" w:ascii="仿宋" w:hAnsi="仿宋" w:eastAsia="仿宋" w:cs="仿宋"/>
          <w:color w:val="auto"/>
          <w:kern w:val="0"/>
          <w:sz w:val="24"/>
          <w:u w:val="single"/>
        </w:rPr>
        <w:t xml:space="preserve"> 1 </w:t>
      </w:r>
      <w:r>
        <w:rPr>
          <w:rFonts w:hint="eastAsia" w:ascii="仿宋" w:hAnsi="仿宋" w:eastAsia="仿宋" w:cs="仿宋"/>
          <w:color w:val="auto"/>
          <w:kern w:val="0"/>
          <w:sz w:val="24"/>
          <w:lang w:val="en"/>
        </w:rPr>
        <w:t>。</w:t>
      </w:r>
    </w:p>
    <w:p w14:paraId="38DC49B4">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0447AB">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3E5DB0">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7C9CF86F">
      <w:pPr>
        <w:pStyle w:val="131"/>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F3AFD0">
      <w:pPr>
        <w:pStyle w:val="24"/>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14:paraId="1BAC913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464B858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5A4D8B3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6BE39A2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159D685E">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52B9996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4.2.6投标文件出现不是唯一的、有选择性投标报价的;</w:t>
      </w:r>
    </w:p>
    <w:p w14:paraId="353F6B5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5D06082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4.2.8投标人对根据修正原则修正后的报价不确认的；</w:t>
      </w:r>
    </w:p>
    <w:p w14:paraId="4B72A8D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4.2.9投标人提供虚假材料投标的；</w:t>
      </w:r>
    </w:p>
    <w:p w14:paraId="08C310B4">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4.2.10投标人有恶意串通、妨碍其他投标人的竞争行为、损害采购人或者其他投标人的合法权益情形的；</w:t>
      </w:r>
    </w:p>
    <w:p w14:paraId="3E64746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ED250EF">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4.2.12投标人仅提交备份投标文件，未在电子交易平台传输递交投标文件的，投标无效；</w:t>
      </w:r>
    </w:p>
    <w:p w14:paraId="5577BF8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4.2.13投标文件不满足招标文件的其它实质性要求的；</w:t>
      </w:r>
    </w:p>
    <w:p w14:paraId="6DFBB50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14:paraId="6C5C813E">
      <w:pPr>
        <w:pStyle w:val="24"/>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33D70E40">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5C4A8849">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325B4CF6">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73A4372E">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14:paraId="7DE5DA4A">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废标后，采购代理机构应当将废标理由通知所有投标人。</w:t>
      </w:r>
    </w:p>
    <w:p w14:paraId="75F44F60">
      <w:pPr>
        <w:pStyle w:val="24"/>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89617E0">
      <w:pPr>
        <w:pStyle w:val="24"/>
        <w:snapToGrid w:val="0"/>
        <w:spacing w:line="36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14:paraId="711ECBE8">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14:paraId="458173D3">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14:paraId="124538E7">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14:paraId="04A4A1D4">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14:paraId="3AE1066D">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7.5政府采购当事人有其他违反政府采购法或者政府采购法实施条例等法律法规规定的行为，经改正后仍然影响或者可能影响中标结果或者依法被认定为中标无效的，依照7.1-7.4规定处理。</w:t>
      </w:r>
    </w:p>
    <w:p w14:paraId="65C05737">
      <w:pPr>
        <w:widowControl/>
        <w:adjustRightInd/>
        <w:jc w:val="left"/>
        <w:rPr>
          <w:rFonts w:hint="eastAsia" w:ascii="仿宋" w:hAnsi="仿宋" w:eastAsia="仿宋" w:cs="仿宋"/>
          <w:b/>
          <w:color w:val="auto"/>
          <w:sz w:val="36"/>
          <w:szCs w:val="36"/>
        </w:rPr>
      </w:pPr>
      <w:bookmarkStart w:id="392" w:name="_Toc86217003"/>
      <w:r>
        <w:rPr>
          <w:rFonts w:hint="eastAsia" w:ascii="仿宋" w:hAnsi="仿宋" w:eastAsia="仿宋" w:cs="仿宋"/>
          <w:b/>
          <w:color w:val="auto"/>
          <w:sz w:val="36"/>
          <w:szCs w:val="36"/>
        </w:rPr>
        <w:br w:type="page"/>
      </w:r>
    </w:p>
    <w:p w14:paraId="1EDECE19">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14:paraId="649544E2">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4D808DF5">
      <w:pPr>
        <w:spacing w:line="480" w:lineRule="auto"/>
        <w:jc w:val="center"/>
        <w:rPr>
          <w:rFonts w:hint="eastAsia" w:ascii="仿宋" w:hAnsi="仿宋" w:eastAsia="仿宋" w:cs="仿宋"/>
          <w:b/>
          <w:color w:val="auto"/>
          <w:sz w:val="28"/>
          <w:szCs w:val="28"/>
        </w:rPr>
      </w:pPr>
    </w:p>
    <w:p w14:paraId="57D2D382">
      <w:pPr>
        <w:spacing w:line="480" w:lineRule="auto"/>
        <w:jc w:val="center"/>
        <w:rPr>
          <w:rFonts w:hint="eastAsia" w:ascii="仿宋" w:hAnsi="仿宋" w:eastAsia="仿宋" w:cs="仿宋"/>
          <w:b/>
          <w:color w:val="auto"/>
          <w:sz w:val="24"/>
        </w:rPr>
      </w:pPr>
    </w:p>
    <w:p w14:paraId="4E090475">
      <w:pPr>
        <w:spacing w:line="480" w:lineRule="auto"/>
        <w:jc w:val="center"/>
        <w:rPr>
          <w:rFonts w:hint="eastAsia" w:ascii="仿宋" w:hAnsi="仿宋" w:eastAsia="仿宋" w:cs="仿宋"/>
          <w:b/>
          <w:color w:val="auto"/>
          <w:sz w:val="24"/>
        </w:rPr>
      </w:pPr>
    </w:p>
    <w:p w14:paraId="4AFCDB5D">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617856F9">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14:paraId="60AD86A4">
      <w:pPr>
        <w:pStyle w:val="702"/>
        <w:ind w:firstLine="2843" w:firstLineChars="1180"/>
        <w:rPr>
          <w:rFonts w:hint="eastAsia" w:ascii="仿宋" w:hAnsi="仿宋" w:eastAsia="仿宋" w:cs="仿宋"/>
          <w:color w:val="auto"/>
        </w:rPr>
      </w:pPr>
      <w:r>
        <w:rPr>
          <w:rFonts w:hint="eastAsia" w:ascii="仿宋" w:hAnsi="仿宋" w:eastAsia="仿宋" w:cs="仿宋"/>
          <w:b/>
          <w:color w:val="auto"/>
          <w:szCs w:val="24"/>
        </w:rPr>
        <w:t>第一部分 合同书</w:t>
      </w:r>
    </w:p>
    <w:p w14:paraId="7C1328E7">
      <w:pPr>
        <w:spacing w:before="120" w:line="22" w:lineRule="atLeast"/>
        <w:ind w:left="960"/>
        <w:rPr>
          <w:rFonts w:hint="eastAsia" w:ascii="仿宋" w:hAnsi="仿宋" w:eastAsia="仿宋" w:cs="仿宋"/>
          <w:color w:val="auto"/>
          <w:sz w:val="24"/>
        </w:rPr>
      </w:pPr>
    </w:p>
    <w:p w14:paraId="06151245">
      <w:pPr>
        <w:spacing w:before="120" w:line="22" w:lineRule="atLeast"/>
        <w:ind w:left="960"/>
        <w:rPr>
          <w:rFonts w:hint="eastAsia" w:ascii="仿宋" w:hAnsi="仿宋" w:eastAsia="仿宋" w:cs="仿宋"/>
          <w:color w:val="auto"/>
          <w:sz w:val="24"/>
        </w:rPr>
      </w:pPr>
    </w:p>
    <w:p w14:paraId="716A875A">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杭州市公安局上城区分局2025年经济及刑事类犯罪案件专项审计服务   </w:t>
      </w:r>
    </w:p>
    <w:p w14:paraId="1ED780EF">
      <w:pPr>
        <w:pStyle w:val="599"/>
        <w:spacing w:before="120" w:line="22" w:lineRule="atLeast"/>
        <w:rPr>
          <w:rFonts w:hint="eastAsia" w:ascii="仿宋" w:hAnsi="仿宋" w:eastAsia="仿宋" w:cs="仿宋"/>
          <w:color w:val="auto"/>
          <w:szCs w:val="24"/>
        </w:rPr>
      </w:pPr>
    </w:p>
    <w:p w14:paraId="4C7A0067">
      <w:pPr>
        <w:pStyle w:val="599"/>
        <w:spacing w:before="120" w:line="22" w:lineRule="atLeast"/>
        <w:rPr>
          <w:rFonts w:hint="eastAsia" w:ascii="仿宋" w:hAnsi="仿宋" w:eastAsia="仿宋" w:cs="仿宋"/>
          <w:color w:val="auto"/>
          <w:szCs w:val="24"/>
        </w:rPr>
      </w:pPr>
    </w:p>
    <w:p w14:paraId="7F6E565E">
      <w:pPr>
        <w:rPr>
          <w:rFonts w:hint="eastAsia" w:ascii="仿宋" w:hAnsi="仿宋" w:eastAsia="仿宋" w:cs="仿宋"/>
          <w:color w:val="auto"/>
          <w:sz w:val="24"/>
        </w:rPr>
      </w:pPr>
    </w:p>
    <w:p w14:paraId="46F44404">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杭州市公安局上城区分局        </w:t>
      </w:r>
    </w:p>
    <w:p w14:paraId="23E22EA3">
      <w:pPr>
        <w:spacing w:before="120" w:line="22" w:lineRule="atLeast"/>
        <w:rPr>
          <w:rFonts w:hint="eastAsia" w:ascii="仿宋" w:hAnsi="仿宋" w:eastAsia="仿宋" w:cs="仿宋"/>
          <w:color w:val="auto"/>
          <w:sz w:val="24"/>
        </w:rPr>
      </w:pPr>
    </w:p>
    <w:p w14:paraId="3723ED3F">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78514F0B">
      <w:pPr>
        <w:spacing w:before="120" w:line="22" w:lineRule="atLeast"/>
        <w:rPr>
          <w:rFonts w:hint="eastAsia" w:ascii="仿宋" w:hAnsi="仿宋" w:eastAsia="仿宋" w:cs="仿宋"/>
          <w:color w:val="auto"/>
          <w:sz w:val="24"/>
        </w:rPr>
      </w:pPr>
    </w:p>
    <w:p w14:paraId="62524BEF">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杭州市上城区     </w:t>
      </w:r>
    </w:p>
    <w:p w14:paraId="0A38023E">
      <w:pPr>
        <w:spacing w:before="120" w:line="22" w:lineRule="atLeast"/>
        <w:rPr>
          <w:rFonts w:hint="eastAsia" w:ascii="仿宋" w:hAnsi="仿宋" w:eastAsia="仿宋" w:cs="仿宋"/>
          <w:color w:val="auto"/>
          <w:sz w:val="24"/>
        </w:rPr>
      </w:pPr>
    </w:p>
    <w:p w14:paraId="21BAC603">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2025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154B317E">
      <w:pPr>
        <w:widowControl/>
        <w:jc w:val="left"/>
        <w:rPr>
          <w:rFonts w:hint="eastAsia" w:ascii="仿宋" w:hAnsi="仿宋" w:eastAsia="仿宋" w:cs="仿宋"/>
          <w:color w:val="auto"/>
          <w:kern w:val="0"/>
          <w:sz w:val="24"/>
        </w:rPr>
        <w:sectPr>
          <w:pgSz w:w="11907" w:h="16840"/>
          <w:pgMar w:top="1417" w:right="1417" w:bottom="1417" w:left="1701" w:header="1134" w:footer="850" w:gutter="0"/>
          <w:cols w:space="0" w:num="1"/>
        </w:sectPr>
      </w:pPr>
    </w:p>
    <w:p w14:paraId="00B65E6F">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u w:val="single"/>
        </w:rPr>
        <w:t>2025</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杭州市公安局上城区分局</w:t>
      </w:r>
      <w:r>
        <w:rPr>
          <w:rFonts w:hint="eastAsia" w:ascii="仿宋" w:hAnsi="仿宋" w:eastAsia="仿宋" w:cs="仿宋"/>
          <w:color w:val="auto"/>
          <w:sz w:val="24"/>
        </w:rPr>
        <w:t>以</w:t>
      </w:r>
      <w:r>
        <w:rPr>
          <w:rFonts w:hint="eastAsia" w:ascii="仿宋" w:hAnsi="仿宋" w:eastAsia="仿宋" w:cs="仿宋"/>
          <w:color w:val="auto"/>
          <w:sz w:val="24"/>
          <w:u w:val="single"/>
        </w:rPr>
        <w:t>公开招标的政府采购方式</w:t>
      </w:r>
      <w:r>
        <w:rPr>
          <w:rFonts w:hint="eastAsia" w:ascii="仿宋" w:hAnsi="仿宋" w:eastAsia="仿宋" w:cs="仿宋"/>
          <w:color w:val="auto"/>
          <w:sz w:val="24"/>
        </w:rPr>
        <w:t>对</w:t>
      </w:r>
      <w:r>
        <w:rPr>
          <w:rFonts w:hint="eastAsia" w:ascii="仿宋" w:hAnsi="仿宋" w:eastAsia="仿宋" w:cs="仿宋"/>
          <w:color w:val="auto"/>
          <w:sz w:val="24"/>
          <w:u w:val="single"/>
        </w:rPr>
        <w:t xml:space="preserve"> 杭州市公安局上城区分局2025年经济及刑事类犯罪案件专项审计服务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评标委员会</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14:paraId="6F516984">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杭州市公安局上城区分局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2149D8B4">
      <w:pPr>
        <w:spacing w:line="400" w:lineRule="exact"/>
        <w:ind w:firstLine="482" w:firstLineChars="200"/>
        <w:rPr>
          <w:rFonts w:hint="eastAsia" w:ascii="仿宋" w:hAnsi="仿宋" w:eastAsia="仿宋" w:cs="仿宋"/>
          <w:color w:val="auto"/>
          <w:sz w:val="24"/>
        </w:rPr>
      </w:pPr>
      <w:bookmarkStart w:id="393" w:name="_Toc28855"/>
      <w:bookmarkStart w:id="394" w:name="_Toc20421"/>
      <w:bookmarkStart w:id="395" w:name="_Toc15367"/>
      <w:bookmarkStart w:id="396" w:name="_Toc22967"/>
      <w:bookmarkStart w:id="397" w:name="_Toc19273"/>
      <w:r>
        <w:rPr>
          <w:rFonts w:hint="eastAsia" w:ascii="仿宋" w:hAnsi="仿宋" w:eastAsia="仿宋" w:cs="仿宋"/>
          <w:b/>
          <w:color w:val="auto"/>
          <w:sz w:val="24"/>
        </w:rPr>
        <w:t>1.1 合同组成部分</w:t>
      </w:r>
      <w:bookmarkEnd w:id="393"/>
      <w:bookmarkEnd w:id="394"/>
      <w:bookmarkEnd w:id="395"/>
      <w:bookmarkEnd w:id="396"/>
      <w:bookmarkEnd w:id="397"/>
    </w:p>
    <w:p w14:paraId="290B380D">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E720937">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67D84930">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14:paraId="6F7C97D7">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19DA1868">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14:paraId="5EE706A6">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5FF70956">
      <w:pPr>
        <w:spacing w:line="400" w:lineRule="exact"/>
        <w:ind w:firstLine="482" w:firstLineChars="200"/>
        <w:rPr>
          <w:rFonts w:hint="eastAsia" w:ascii="仿宋" w:hAnsi="仿宋" w:eastAsia="仿宋" w:cs="仿宋"/>
          <w:b/>
          <w:color w:val="auto"/>
          <w:sz w:val="24"/>
        </w:rPr>
      </w:pPr>
      <w:bookmarkStart w:id="398" w:name="_Toc22185"/>
      <w:bookmarkStart w:id="399" w:name="_Toc6773"/>
      <w:bookmarkStart w:id="400" w:name="_Toc6311"/>
      <w:bookmarkStart w:id="401" w:name="_Toc18585"/>
      <w:bookmarkStart w:id="402" w:name="_Toc2918"/>
      <w:r>
        <w:rPr>
          <w:rFonts w:hint="eastAsia" w:ascii="仿宋" w:hAnsi="仿宋" w:eastAsia="仿宋" w:cs="仿宋"/>
          <w:b/>
          <w:color w:val="auto"/>
          <w:sz w:val="24"/>
        </w:rPr>
        <w:t>1.2 标的</w:t>
      </w:r>
      <w:bookmarkEnd w:id="398"/>
      <w:bookmarkEnd w:id="399"/>
      <w:bookmarkEnd w:id="400"/>
      <w:bookmarkEnd w:id="401"/>
      <w:bookmarkEnd w:id="402"/>
    </w:p>
    <w:p w14:paraId="232E0BD3">
      <w:pPr>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服务内容：</w:t>
      </w:r>
      <w:r>
        <w:rPr>
          <w:rFonts w:hint="eastAsia" w:ascii="仿宋" w:hAnsi="仿宋" w:eastAsia="仿宋" w:cs="仿宋"/>
          <w:color w:val="auto"/>
          <w:sz w:val="24"/>
          <w:u w:val="single"/>
        </w:rPr>
        <w:t xml:space="preserve"> 采购文件采购需求部分内容 </w:t>
      </w:r>
      <w:r>
        <w:rPr>
          <w:rFonts w:hint="eastAsia" w:ascii="仿宋" w:hAnsi="仿宋" w:eastAsia="仿宋" w:cs="仿宋"/>
          <w:color w:val="auto"/>
          <w:sz w:val="24"/>
        </w:rPr>
        <w:t>；</w:t>
      </w:r>
    </w:p>
    <w:p w14:paraId="3888607D">
      <w:pPr>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服务标准：</w:t>
      </w:r>
      <w:r>
        <w:rPr>
          <w:rFonts w:hint="eastAsia" w:ascii="仿宋" w:hAnsi="仿宋" w:eastAsia="仿宋" w:cs="仿宋"/>
          <w:color w:val="auto"/>
          <w:sz w:val="24"/>
          <w:u w:val="single"/>
        </w:rPr>
        <w:t xml:space="preserve"> 根据采购文件确定的技术指标或者服务要求确定验收指标和标准。未进行相应约定的，应当符合国家强制性规定、政策要求、安全标准、行业或企业有关标准等 </w:t>
      </w:r>
      <w:r>
        <w:rPr>
          <w:rFonts w:hint="eastAsia" w:ascii="仿宋" w:hAnsi="仿宋" w:eastAsia="仿宋" w:cs="仿宋"/>
          <w:color w:val="auto"/>
          <w:sz w:val="24"/>
        </w:rPr>
        <w:t>；</w:t>
      </w:r>
    </w:p>
    <w:p w14:paraId="62EA7626">
      <w:pPr>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技术保障：</w:t>
      </w:r>
      <w:r>
        <w:rPr>
          <w:rFonts w:hint="eastAsia" w:ascii="仿宋" w:hAnsi="仿宋" w:eastAsia="仿宋" w:cs="仿宋"/>
          <w:color w:val="auto"/>
          <w:sz w:val="24"/>
          <w:u w:val="single"/>
        </w:rPr>
        <w:t xml:space="preserve">　按乙方提供的服务方案及承诺保障本合同有效执行 </w:t>
      </w:r>
      <w:r>
        <w:rPr>
          <w:rFonts w:hint="eastAsia" w:ascii="仿宋" w:hAnsi="仿宋" w:eastAsia="仿宋" w:cs="仿宋"/>
          <w:color w:val="auto"/>
          <w:sz w:val="24"/>
        </w:rPr>
        <w:t>；</w:t>
      </w:r>
    </w:p>
    <w:p w14:paraId="57C3685E">
      <w:pPr>
        <w:spacing w:line="4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1.2.4 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E87D2CF">
      <w:pPr>
        <w:pStyle w:val="960"/>
        <w:spacing w:before="0" w:beforeAutospacing="0" w:after="0" w:afterAutospacing="0" w:line="400" w:lineRule="exact"/>
        <w:ind w:firstLine="480"/>
        <w:rPr>
          <w:rFonts w:hint="eastAsia" w:ascii="仿宋" w:hAnsi="仿宋" w:eastAsia="仿宋" w:cs="仿宋"/>
          <w:color w:val="auto"/>
        </w:rPr>
      </w:pPr>
      <w:r>
        <w:rPr>
          <w:rFonts w:hint="eastAsia" w:ascii="仿宋" w:hAnsi="仿宋" w:eastAsia="仿宋" w:cs="仿宋"/>
          <w:color w:val="auto"/>
        </w:rPr>
        <w:t>1.2.5合同</w:t>
      </w:r>
      <w:r>
        <w:rPr>
          <w:rFonts w:hint="eastAsia" w:ascii="仿宋" w:hAnsi="仿宋" w:eastAsia="仿宋" w:cs="仿宋"/>
          <w:color w:val="auto"/>
          <w:u w:val="single"/>
        </w:rPr>
        <w:t xml:space="preserve"> 否  </w:t>
      </w:r>
      <w:r>
        <w:rPr>
          <w:rFonts w:hint="eastAsia" w:ascii="仿宋" w:hAnsi="仿宋" w:eastAsia="仿宋" w:cs="仿宋"/>
          <w:color w:val="auto"/>
        </w:rPr>
        <w:t>（是/否）涉及货物。若涉及货物的，则：</w:t>
      </w:r>
    </w:p>
    <w:p w14:paraId="3BAF4849">
      <w:pPr>
        <w:spacing w:line="400" w:lineRule="exact"/>
        <w:ind w:firstLine="480" w:firstLineChars="200"/>
        <w:rPr>
          <w:rFonts w:hint="eastAsia" w:ascii="仿宋" w:hAnsi="仿宋" w:eastAsia="仿宋" w:cs="仿宋"/>
          <w:color w:val="auto"/>
          <w:sz w:val="24"/>
          <w:u w:val="single"/>
        </w:rPr>
      </w:pPr>
      <w:bookmarkStart w:id="403" w:name="_Toc13918"/>
      <w:bookmarkStart w:id="404" w:name="_Toc1386"/>
      <w:bookmarkStart w:id="405" w:name="_Toc4929"/>
      <w:bookmarkStart w:id="406" w:name="_Toc21124"/>
      <w:bookmarkStart w:id="407" w:name="_Toc5635"/>
      <w:r>
        <w:rPr>
          <w:rFonts w:hint="eastAsia" w:ascii="仿宋" w:hAnsi="仿宋" w:eastAsia="仿宋" w:cs="仿宋"/>
          <w:color w:val="auto"/>
          <w:sz w:val="24"/>
        </w:rPr>
        <w:t>1.2.5.1 货物名称、品牌、规格型号、花色：</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14:paraId="4E74E060">
      <w:pPr>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1.2.5.2 货物数量：</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14:paraId="74D0A421">
      <w:pPr>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1.2.5.3 货物质量：</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14:paraId="03357D5A">
      <w:pPr>
        <w:spacing w:line="4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1.3 价款</w:t>
      </w:r>
      <w:bookmarkEnd w:id="403"/>
      <w:bookmarkEnd w:id="404"/>
      <w:bookmarkEnd w:id="405"/>
      <w:bookmarkEnd w:id="406"/>
      <w:bookmarkEnd w:id="407"/>
    </w:p>
    <w:p w14:paraId="3616A6CF">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w:t>
      </w:r>
      <w:r>
        <w:rPr>
          <w:rFonts w:hint="eastAsia" w:ascii="仿宋" w:hAnsi="仿宋" w:eastAsia="仿宋" w:cs="仿宋"/>
          <w:color w:val="auto"/>
          <w:sz w:val="24"/>
        </w:rPr>
        <w:t>条款规定的计价方式计价。</w:t>
      </w:r>
    </w:p>
    <w:p w14:paraId="1E0A2720">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068BAB87">
      <w:pPr>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2"/>
        <w:tblpPr w:leftFromText="180" w:rightFromText="180" w:vertAnchor="text" w:horzAnchor="page" w:tblpX="2627" w:tblpY="3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7FA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01" w:type="dxa"/>
            <w:vAlign w:val="center"/>
          </w:tcPr>
          <w:p w14:paraId="374016A9">
            <w:pPr>
              <w:pStyle w:val="320"/>
              <w:spacing w:line="400" w:lineRule="exact"/>
              <w:jc w:val="center"/>
              <w:rPr>
                <w:rFonts w:hint="eastAsia" w:ascii="仿宋" w:hAnsi="仿宋" w:eastAsia="仿宋" w:cs="仿宋"/>
                <w:color w:val="auto"/>
                <w:sz w:val="24"/>
                <w:szCs w:val="24"/>
              </w:rPr>
            </w:pPr>
            <w:bookmarkStart w:id="408" w:name="_Toc3654"/>
            <w:bookmarkStart w:id="409" w:name="_Toc30158"/>
            <w:bookmarkStart w:id="410" w:name="_Toc30506"/>
            <w:bookmarkStart w:id="411" w:name="_Toc26916"/>
            <w:bookmarkStart w:id="412" w:name="_Toc14993"/>
            <w:r>
              <w:rPr>
                <w:rFonts w:hint="eastAsia" w:ascii="仿宋" w:hAnsi="仿宋" w:eastAsia="仿宋" w:cs="仿宋"/>
                <w:color w:val="auto"/>
                <w:sz w:val="24"/>
                <w:szCs w:val="24"/>
              </w:rPr>
              <w:t>序号</w:t>
            </w:r>
          </w:p>
        </w:tc>
        <w:tc>
          <w:tcPr>
            <w:tcW w:w="3402" w:type="dxa"/>
            <w:vAlign w:val="center"/>
          </w:tcPr>
          <w:p w14:paraId="30B22936">
            <w:pPr>
              <w:pStyle w:val="320"/>
              <w:spacing w:line="40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14:paraId="3DE3D1F6">
            <w:pPr>
              <w:pStyle w:val="32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14:paraId="7B55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01" w:type="dxa"/>
            <w:vAlign w:val="center"/>
          </w:tcPr>
          <w:p w14:paraId="14D67E4D">
            <w:pPr>
              <w:pStyle w:val="320"/>
              <w:spacing w:line="400" w:lineRule="exact"/>
              <w:ind w:firstLine="200"/>
              <w:jc w:val="center"/>
              <w:rPr>
                <w:rFonts w:hint="eastAsia" w:ascii="仿宋" w:hAnsi="仿宋" w:eastAsia="仿宋" w:cs="仿宋"/>
                <w:color w:val="auto"/>
                <w:sz w:val="24"/>
                <w:szCs w:val="24"/>
              </w:rPr>
            </w:pPr>
          </w:p>
        </w:tc>
        <w:tc>
          <w:tcPr>
            <w:tcW w:w="3402" w:type="dxa"/>
            <w:vAlign w:val="center"/>
          </w:tcPr>
          <w:p w14:paraId="03B807B9">
            <w:pPr>
              <w:pStyle w:val="320"/>
              <w:spacing w:line="400" w:lineRule="exact"/>
              <w:ind w:firstLine="200"/>
              <w:jc w:val="center"/>
              <w:rPr>
                <w:rFonts w:hint="eastAsia" w:ascii="仿宋" w:hAnsi="仿宋" w:eastAsia="仿宋" w:cs="仿宋"/>
                <w:color w:val="auto"/>
                <w:sz w:val="24"/>
                <w:szCs w:val="24"/>
              </w:rPr>
            </w:pPr>
          </w:p>
        </w:tc>
        <w:tc>
          <w:tcPr>
            <w:tcW w:w="2552" w:type="dxa"/>
            <w:vAlign w:val="center"/>
          </w:tcPr>
          <w:p w14:paraId="460CFD14">
            <w:pPr>
              <w:pStyle w:val="320"/>
              <w:spacing w:line="400" w:lineRule="exact"/>
              <w:ind w:firstLine="200"/>
              <w:jc w:val="center"/>
              <w:rPr>
                <w:rFonts w:hint="eastAsia" w:ascii="仿宋" w:hAnsi="仿宋" w:eastAsia="仿宋" w:cs="仿宋"/>
                <w:color w:val="auto"/>
                <w:sz w:val="24"/>
                <w:szCs w:val="24"/>
              </w:rPr>
            </w:pPr>
          </w:p>
        </w:tc>
      </w:tr>
      <w:tr w14:paraId="503D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01" w:type="dxa"/>
            <w:vAlign w:val="center"/>
          </w:tcPr>
          <w:p w14:paraId="233E0068">
            <w:pPr>
              <w:pStyle w:val="320"/>
              <w:spacing w:line="400" w:lineRule="exact"/>
              <w:ind w:firstLine="200"/>
              <w:jc w:val="center"/>
              <w:rPr>
                <w:rFonts w:hint="eastAsia" w:ascii="仿宋" w:hAnsi="仿宋" w:eastAsia="仿宋" w:cs="仿宋"/>
                <w:color w:val="auto"/>
                <w:sz w:val="24"/>
                <w:szCs w:val="24"/>
              </w:rPr>
            </w:pPr>
          </w:p>
        </w:tc>
        <w:tc>
          <w:tcPr>
            <w:tcW w:w="3402" w:type="dxa"/>
            <w:vAlign w:val="center"/>
          </w:tcPr>
          <w:p w14:paraId="1CA258B2">
            <w:pPr>
              <w:pStyle w:val="320"/>
              <w:spacing w:line="400" w:lineRule="exact"/>
              <w:ind w:firstLine="200"/>
              <w:jc w:val="center"/>
              <w:rPr>
                <w:rFonts w:hint="eastAsia" w:ascii="仿宋" w:hAnsi="仿宋" w:eastAsia="仿宋" w:cs="仿宋"/>
                <w:color w:val="auto"/>
                <w:sz w:val="24"/>
                <w:szCs w:val="24"/>
              </w:rPr>
            </w:pPr>
          </w:p>
        </w:tc>
        <w:tc>
          <w:tcPr>
            <w:tcW w:w="2552" w:type="dxa"/>
            <w:vAlign w:val="center"/>
          </w:tcPr>
          <w:p w14:paraId="1B316003">
            <w:pPr>
              <w:pStyle w:val="320"/>
              <w:spacing w:line="400" w:lineRule="exact"/>
              <w:ind w:firstLine="200"/>
              <w:jc w:val="center"/>
              <w:rPr>
                <w:rFonts w:hint="eastAsia" w:ascii="仿宋" w:hAnsi="仿宋" w:eastAsia="仿宋" w:cs="仿宋"/>
                <w:color w:val="auto"/>
                <w:sz w:val="24"/>
                <w:szCs w:val="24"/>
              </w:rPr>
            </w:pPr>
          </w:p>
        </w:tc>
      </w:tr>
      <w:tr w14:paraId="052E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01" w:type="dxa"/>
            <w:vAlign w:val="center"/>
          </w:tcPr>
          <w:p w14:paraId="4F62C3A9">
            <w:pPr>
              <w:pStyle w:val="320"/>
              <w:spacing w:line="400" w:lineRule="exact"/>
              <w:ind w:firstLine="200"/>
              <w:jc w:val="center"/>
              <w:rPr>
                <w:rFonts w:hint="eastAsia" w:ascii="仿宋" w:hAnsi="仿宋" w:eastAsia="仿宋" w:cs="仿宋"/>
                <w:color w:val="auto"/>
                <w:sz w:val="24"/>
                <w:szCs w:val="24"/>
              </w:rPr>
            </w:pPr>
          </w:p>
        </w:tc>
        <w:tc>
          <w:tcPr>
            <w:tcW w:w="3402" w:type="dxa"/>
            <w:vAlign w:val="center"/>
          </w:tcPr>
          <w:p w14:paraId="1AF8F999">
            <w:pPr>
              <w:pStyle w:val="320"/>
              <w:spacing w:line="400" w:lineRule="exact"/>
              <w:ind w:firstLine="200"/>
              <w:jc w:val="center"/>
              <w:rPr>
                <w:rFonts w:hint="eastAsia" w:ascii="仿宋" w:hAnsi="仿宋" w:eastAsia="仿宋" w:cs="仿宋"/>
                <w:color w:val="auto"/>
                <w:sz w:val="24"/>
                <w:szCs w:val="24"/>
              </w:rPr>
            </w:pPr>
          </w:p>
        </w:tc>
        <w:tc>
          <w:tcPr>
            <w:tcW w:w="2552" w:type="dxa"/>
            <w:vAlign w:val="center"/>
          </w:tcPr>
          <w:p w14:paraId="5C8C15D5">
            <w:pPr>
              <w:pStyle w:val="320"/>
              <w:spacing w:line="400" w:lineRule="exact"/>
              <w:ind w:firstLine="200"/>
              <w:jc w:val="center"/>
              <w:rPr>
                <w:rFonts w:hint="eastAsia" w:ascii="仿宋" w:hAnsi="仿宋" w:eastAsia="仿宋" w:cs="仿宋"/>
                <w:color w:val="auto"/>
                <w:sz w:val="24"/>
                <w:szCs w:val="24"/>
              </w:rPr>
            </w:pPr>
          </w:p>
        </w:tc>
      </w:tr>
      <w:tr w14:paraId="5F3E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01" w:type="dxa"/>
            <w:vAlign w:val="center"/>
          </w:tcPr>
          <w:p w14:paraId="6178B3FA">
            <w:pPr>
              <w:pStyle w:val="320"/>
              <w:spacing w:line="400" w:lineRule="exact"/>
              <w:ind w:firstLine="200"/>
              <w:jc w:val="center"/>
              <w:rPr>
                <w:rFonts w:hint="eastAsia" w:ascii="仿宋" w:hAnsi="仿宋" w:eastAsia="仿宋" w:cs="仿宋"/>
                <w:color w:val="auto"/>
                <w:sz w:val="24"/>
                <w:szCs w:val="24"/>
              </w:rPr>
            </w:pPr>
          </w:p>
        </w:tc>
        <w:tc>
          <w:tcPr>
            <w:tcW w:w="3402" w:type="dxa"/>
            <w:vAlign w:val="center"/>
          </w:tcPr>
          <w:p w14:paraId="6E9D7148">
            <w:pPr>
              <w:pStyle w:val="320"/>
              <w:spacing w:line="400" w:lineRule="exact"/>
              <w:ind w:firstLine="200"/>
              <w:jc w:val="center"/>
              <w:rPr>
                <w:rFonts w:hint="eastAsia" w:ascii="仿宋" w:hAnsi="仿宋" w:eastAsia="仿宋" w:cs="仿宋"/>
                <w:color w:val="auto"/>
                <w:sz w:val="24"/>
                <w:szCs w:val="24"/>
              </w:rPr>
            </w:pPr>
          </w:p>
        </w:tc>
        <w:tc>
          <w:tcPr>
            <w:tcW w:w="2552" w:type="dxa"/>
            <w:vAlign w:val="center"/>
          </w:tcPr>
          <w:p w14:paraId="290FD3D7">
            <w:pPr>
              <w:pStyle w:val="320"/>
              <w:spacing w:line="400" w:lineRule="exact"/>
              <w:ind w:firstLine="200"/>
              <w:jc w:val="center"/>
              <w:rPr>
                <w:rFonts w:hint="eastAsia" w:ascii="仿宋" w:hAnsi="仿宋" w:eastAsia="仿宋" w:cs="仿宋"/>
                <w:color w:val="auto"/>
                <w:sz w:val="24"/>
                <w:szCs w:val="24"/>
              </w:rPr>
            </w:pPr>
          </w:p>
        </w:tc>
      </w:tr>
      <w:tr w14:paraId="07E1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603" w:type="dxa"/>
            <w:gridSpan w:val="2"/>
            <w:vAlign w:val="center"/>
          </w:tcPr>
          <w:p w14:paraId="7FFA1F3E">
            <w:pPr>
              <w:pStyle w:val="320"/>
              <w:spacing w:line="40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14:paraId="398D96DE">
            <w:pPr>
              <w:pStyle w:val="320"/>
              <w:spacing w:line="400" w:lineRule="exact"/>
              <w:ind w:firstLine="200"/>
              <w:jc w:val="center"/>
              <w:rPr>
                <w:rFonts w:hint="eastAsia" w:ascii="仿宋" w:hAnsi="仿宋" w:eastAsia="仿宋" w:cs="仿宋"/>
                <w:color w:val="auto"/>
                <w:sz w:val="24"/>
                <w:szCs w:val="24"/>
              </w:rPr>
            </w:pPr>
          </w:p>
        </w:tc>
      </w:tr>
    </w:tbl>
    <w:p w14:paraId="74F27C71">
      <w:pPr>
        <w:spacing w:line="400" w:lineRule="exact"/>
        <w:ind w:firstLine="480" w:firstLineChars="200"/>
        <w:rPr>
          <w:rFonts w:hint="eastAsia" w:ascii="仿宋" w:hAnsi="仿宋" w:eastAsia="仿宋" w:cs="仿宋"/>
          <w:color w:val="auto"/>
          <w:sz w:val="24"/>
        </w:rPr>
      </w:pPr>
      <w:r>
        <w:rPr>
          <w:rFonts w:hint="eastAsia" w:ascii="仿宋" w:hAnsi="仿宋" w:eastAsia="仿宋" w:cs="仿宋"/>
          <w:bCs/>
          <w:color w:val="auto"/>
          <w:sz w:val="24"/>
        </w:rPr>
        <w:t>1.3.2单价合同</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159CF2DD">
      <w:pPr>
        <w:tabs>
          <w:tab w:val="left" w:pos="432"/>
        </w:tabs>
        <w:spacing w:line="400" w:lineRule="exact"/>
        <w:rPr>
          <w:rFonts w:hint="eastAsia" w:ascii="仿宋" w:hAnsi="仿宋" w:eastAsia="仿宋" w:cs="仿宋"/>
          <w:color w:val="auto"/>
        </w:rPr>
      </w:pPr>
      <w:r>
        <w:rPr>
          <w:rFonts w:hint="eastAsia" w:ascii="仿宋" w:hAnsi="仿宋" w:eastAsia="仿宋" w:cs="仿宋"/>
          <w:color w:val="auto"/>
          <w:sz w:val="24"/>
        </w:rPr>
        <w:t xml:space="preserve">    1.3.3其他计价方式：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bookmarkEnd w:id="408"/>
    <w:bookmarkEnd w:id="409"/>
    <w:bookmarkEnd w:id="410"/>
    <w:bookmarkEnd w:id="411"/>
    <w:bookmarkEnd w:id="412"/>
    <w:p w14:paraId="411DCCD8">
      <w:pPr>
        <w:pStyle w:val="960"/>
        <w:spacing w:before="0" w:beforeAutospacing="0" w:after="0" w:afterAutospacing="0" w:line="400" w:lineRule="exact"/>
        <w:ind w:firstLine="480"/>
        <w:rPr>
          <w:rFonts w:hint="eastAsia" w:ascii="仿宋" w:hAnsi="仿宋" w:eastAsia="仿宋" w:cs="仿宋"/>
          <w:b/>
          <w:color w:val="auto"/>
        </w:rPr>
      </w:pPr>
      <w:bookmarkStart w:id="413" w:name="_Toc10340"/>
      <w:bookmarkStart w:id="414" w:name="_Toc1814"/>
      <w:bookmarkStart w:id="415" w:name="_Toc22618"/>
      <w:bookmarkStart w:id="416" w:name="_Toc11108"/>
      <w:bookmarkStart w:id="417" w:name="_Toc3625"/>
      <w:bookmarkStart w:id="418" w:name="_Toc31421"/>
      <w:bookmarkStart w:id="419" w:name="_Toc4760"/>
      <w:bookmarkStart w:id="420" w:name="_Toc8772"/>
      <w:r>
        <w:rPr>
          <w:rFonts w:hint="eastAsia" w:ascii="仿宋" w:hAnsi="仿宋" w:eastAsia="仿宋" w:cs="仿宋"/>
          <w:b/>
          <w:color w:val="auto"/>
        </w:rPr>
        <w:t>1.4履约保证金</w:t>
      </w:r>
    </w:p>
    <w:p w14:paraId="2F485C07">
      <w:pPr>
        <w:pStyle w:val="960"/>
        <w:spacing w:before="0" w:beforeAutospacing="0" w:after="0" w:afterAutospacing="0" w:line="400" w:lineRule="exact"/>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是 </w:t>
      </w:r>
      <w:r>
        <w:rPr>
          <w:rFonts w:hint="eastAsia" w:ascii="仿宋" w:hAnsi="仿宋" w:eastAsia="仿宋" w:cs="仿宋"/>
          <w:color w:val="auto"/>
        </w:rPr>
        <w:t>（是/否）需要支付履约保证金。若需要支付履约保证金的，则：</w:t>
      </w:r>
    </w:p>
    <w:p w14:paraId="05FF3F0E">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2C22ACA4">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rPr>
        <w:t>；</w:t>
      </w:r>
    </w:p>
    <w:p w14:paraId="4945DE07">
      <w:pPr>
        <w:tabs>
          <w:tab w:val="left" w:pos="0"/>
          <w:tab w:val="left" w:pos="432"/>
        </w:tabs>
        <w:spacing w:line="400" w:lineRule="exact"/>
        <w:ind w:firstLine="480" w:firstLineChars="200"/>
        <w:rPr>
          <w:rFonts w:hint="eastAsia" w:ascii="仿宋" w:hAnsi="仿宋" w:eastAsia="仿宋" w:cs="仿宋"/>
          <w:color w:val="auto"/>
        </w:rPr>
      </w:pPr>
      <w:r>
        <w:rPr>
          <w:rFonts w:hint="eastAsia" w:ascii="仿宋" w:hAnsi="仿宋" w:eastAsia="仿宋" w:cs="仿宋"/>
          <w:color w:val="auto"/>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8639334">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1.4.4甲方在项目验收结束后及时退还履约保证金。甲方在项目通过验收之日起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sz w:val="24"/>
          <w:u w:val="single"/>
        </w:rPr>
        <w:t>0.05</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20</w:t>
      </w:r>
      <w:r>
        <w:rPr>
          <w:rFonts w:hint="eastAsia" w:ascii="仿宋" w:hAnsi="仿宋" w:eastAsia="仿宋" w:cs="仿宋"/>
          <w:color w:val="auto"/>
          <w:kern w:val="0"/>
          <w:sz w:val="24"/>
        </w:rPr>
        <w:t>%。</w:t>
      </w:r>
    </w:p>
    <w:p w14:paraId="3F12F181">
      <w:pPr>
        <w:spacing w:line="4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1.5</w:t>
      </w:r>
      <w:bookmarkEnd w:id="413"/>
      <w:bookmarkEnd w:id="414"/>
      <w:bookmarkEnd w:id="415"/>
      <w:r>
        <w:rPr>
          <w:rFonts w:hint="eastAsia" w:ascii="仿宋" w:hAnsi="仿宋" w:eastAsia="仿宋" w:cs="仿宋"/>
          <w:b/>
          <w:color w:val="auto"/>
          <w:sz w:val="24"/>
        </w:rPr>
        <w:t>预付款</w:t>
      </w:r>
    </w:p>
    <w:p w14:paraId="54C7C3DE">
      <w:pPr>
        <w:pStyle w:val="960"/>
        <w:spacing w:before="0" w:beforeAutospacing="0" w:after="0" w:afterAutospacing="0" w:line="400" w:lineRule="exact"/>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否</w:t>
      </w:r>
      <w:r>
        <w:rPr>
          <w:rFonts w:hint="eastAsia" w:ascii="仿宋" w:hAnsi="仿宋" w:eastAsia="仿宋" w:cs="仿宋"/>
          <w:color w:val="auto"/>
        </w:rPr>
        <w:t>（是/否）需要支付预付款。若需要支付预付款的，则：</w:t>
      </w:r>
    </w:p>
    <w:p w14:paraId="0EB20BF8">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rPr>
        <w:t>；</w:t>
      </w:r>
    </w:p>
    <w:p w14:paraId="5F81E748">
      <w:pPr>
        <w:pStyle w:val="960"/>
        <w:spacing w:before="0" w:beforeAutospacing="0" w:after="0" w:afterAutospacing="0" w:line="400" w:lineRule="exact"/>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b/>
          <w:i/>
          <w:color w:val="auto"/>
          <w:u w:val="single"/>
        </w:rPr>
        <w:t>合同专用条款</w:t>
      </w:r>
      <w:r>
        <w:rPr>
          <w:rFonts w:hint="eastAsia" w:ascii="仿宋" w:hAnsi="仿宋" w:eastAsia="仿宋" w:cs="仿宋"/>
          <w:color w:val="auto"/>
        </w:rPr>
        <w:t>；</w:t>
      </w:r>
    </w:p>
    <w:p w14:paraId="1592AC38">
      <w:pPr>
        <w:pStyle w:val="960"/>
        <w:spacing w:before="0" w:beforeAutospacing="0" w:after="0" w:afterAutospacing="0" w:line="400" w:lineRule="exact"/>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b/>
          <w:i/>
          <w:color w:val="auto"/>
          <w:u w:val="single"/>
        </w:rPr>
        <w:t>合同专用条款</w:t>
      </w:r>
      <w:r>
        <w:rPr>
          <w:rFonts w:hint="eastAsia" w:ascii="仿宋" w:hAnsi="仿宋" w:eastAsia="仿宋" w:cs="仿宋"/>
          <w:color w:val="auto"/>
        </w:rPr>
        <w:t>。</w:t>
      </w:r>
    </w:p>
    <w:p w14:paraId="36E5ABDF">
      <w:pPr>
        <w:pStyle w:val="960"/>
        <w:spacing w:before="0" w:beforeAutospacing="0" w:after="0" w:afterAutospacing="0" w:line="400" w:lineRule="exact"/>
        <w:ind w:firstLine="480"/>
        <w:rPr>
          <w:rFonts w:hint="eastAsia" w:ascii="仿宋" w:hAnsi="仿宋" w:eastAsia="仿宋" w:cs="仿宋"/>
          <w:b/>
          <w:bCs/>
          <w:color w:val="auto"/>
        </w:rPr>
      </w:pPr>
      <w:r>
        <w:rPr>
          <w:rFonts w:hint="eastAsia" w:ascii="仿宋" w:hAnsi="仿宋" w:eastAsia="仿宋" w:cs="仿宋"/>
          <w:b/>
          <w:bCs/>
          <w:color w:val="auto"/>
        </w:rPr>
        <w:t>1.6资金支付</w:t>
      </w:r>
    </w:p>
    <w:p w14:paraId="23FF6773">
      <w:pPr>
        <w:pStyle w:val="960"/>
        <w:spacing w:before="0" w:beforeAutospacing="0" w:after="0" w:afterAutospacing="0" w:line="400" w:lineRule="exact"/>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8306DAA">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14EBBFCB">
      <w:pPr>
        <w:spacing w:line="4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 履行期限、地点和方式</w:t>
      </w:r>
      <w:bookmarkEnd w:id="416"/>
      <w:bookmarkEnd w:id="417"/>
      <w:bookmarkEnd w:id="418"/>
      <w:bookmarkEnd w:id="419"/>
      <w:bookmarkEnd w:id="420"/>
    </w:p>
    <w:p w14:paraId="33298898">
      <w:pPr>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B69EB63">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9780956">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D0AEFF2">
      <w:pPr>
        <w:spacing w:line="400" w:lineRule="exact"/>
        <w:ind w:firstLine="480" w:firstLineChars="200"/>
        <w:rPr>
          <w:rFonts w:hint="eastAsia" w:ascii="仿宋" w:hAnsi="仿宋" w:eastAsia="仿宋" w:cs="仿宋"/>
          <w:bCs/>
          <w:color w:val="auto"/>
          <w:sz w:val="24"/>
        </w:rPr>
      </w:pPr>
      <w:bookmarkStart w:id="421" w:name="_Toc24662"/>
      <w:bookmarkStart w:id="422" w:name="_Toc5698"/>
      <w:bookmarkStart w:id="423" w:name="_Toc8586"/>
      <w:bookmarkStart w:id="424" w:name="_Toc2375"/>
      <w:bookmarkStart w:id="425" w:name="_Toc3079"/>
      <w:r>
        <w:rPr>
          <w:rFonts w:hint="eastAsia" w:ascii="仿宋" w:hAnsi="仿宋" w:eastAsia="仿宋" w:cs="仿宋"/>
          <w:bCs/>
          <w:color w:val="auto"/>
          <w:sz w:val="24"/>
        </w:rPr>
        <w:t>1.7.4若服务涉及货物的，则货物的：</w:t>
      </w:r>
    </w:p>
    <w:p w14:paraId="07A4109A">
      <w:pPr>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1.7.4.1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C1D96D2">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62FDCF1">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53BDD8D">
      <w:pPr>
        <w:spacing w:line="400" w:lineRule="exact"/>
        <w:ind w:firstLine="482" w:firstLineChars="200"/>
        <w:rPr>
          <w:rFonts w:hint="eastAsia" w:ascii="仿宋" w:hAnsi="仿宋" w:eastAsia="仿宋" w:cs="仿宋"/>
          <w:color w:val="auto"/>
          <w:sz w:val="24"/>
          <w:u w:val="single"/>
        </w:rPr>
      </w:pPr>
      <w:r>
        <w:rPr>
          <w:rFonts w:hint="eastAsia" w:ascii="仿宋" w:hAnsi="仿宋" w:eastAsia="仿宋" w:cs="仿宋"/>
          <w:b/>
          <w:color w:val="auto"/>
          <w:sz w:val="24"/>
        </w:rPr>
        <w:t>1.8违约责任</w:t>
      </w:r>
      <w:bookmarkEnd w:id="421"/>
      <w:bookmarkEnd w:id="422"/>
      <w:bookmarkEnd w:id="423"/>
      <w:bookmarkEnd w:id="424"/>
      <w:bookmarkEnd w:id="425"/>
    </w:p>
    <w:p w14:paraId="64AF0F16">
      <w:pPr>
        <w:snapToGrid w:val="0"/>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0.05</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20</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2AE2A6EB">
      <w:pPr>
        <w:tabs>
          <w:tab w:val="left" w:pos="432"/>
        </w:tabs>
        <w:snapToGrid w:val="0"/>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0.05</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20</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14:paraId="542A5CBD">
      <w:pPr>
        <w:snapToGrid w:val="0"/>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0.05</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20</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7834908E">
      <w:pPr>
        <w:spacing w:line="400" w:lineRule="exact"/>
        <w:ind w:firstLine="480" w:firstLineChars="200"/>
        <w:rPr>
          <w:rFonts w:hint="eastAsia" w:ascii="仿宋" w:hAnsi="仿宋" w:eastAsia="仿宋" w:cs="仿宋"/>
          <w:color w:val="auto"/>
          <w:sz w:val="24"/>
        </w:rPr>
      </w:pPr>
      <w:bookmarkStart w:id="426" w:name="_Toc32454"/>
      <w:bookmarkStart w:id="427" w:name="_Toc9497"/>
      <w:bookmarkStart w:id="428" w:name="_Toc26807"/>
      <w:bookmarkStart w:id="429" w:name="_Toc18683"/>
      <w:bookmarkStart w:id="430" w:name="_Toc30329"/>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9A85E2">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A0EF0F7">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A3F009C">
      <w:pPr>
        <w:spacing w:line="400" w:lineRule="exact"/>
        <w:ind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bookmarkEnd w:id="426"/>
    <w:bookmarkEnd w:id="427"/>
    <w:bookmarkEnd w:id="428"/>
    <w:bookmarkEnd w:id="429"/>
    <w:bookmarkEnd w:id="430"/>
    <w:p w14:paraId="7E072215">
      <w:pPr>
        <w:spacing w:line="400" w:lineRule="exact"/>
        <w:ind w:firstLine="482" w:firstLineChars="200"/>
        <w:rPr>
          <w:rFonts w:hint="eastAsia" w:ascii="仿宋" w:hAnsi="仿宋" w:eastAsia="仿宋" w:cs="仿宋"/>
          <w:b/>
          <w:color w:val="auto"/>
          <w:sz w:val="24"/>
        </w:rPr>
      </w:pPr>
      <w:bookmarkStart w:id="431" w:name="_Toc16021"/>
      <w:bookmarkStart w:id="432" w:name="_Toc28375"/>
      <w:bookmarkStart w:id="433" w:name="_Toc15583"/>
      <w:r>
        <w:rPr>
          <w:rFonts w:hint="eastAsia" w:ascii="仿宋" w:hAnsi="仿宋" w:eastAsia="仿宋" w:cs="仿宋"/>
          <w:b/>
          <w:color w:val="auto"/>
          <w:sz w:val="24"/>
        </w:rPr>
        <w:t>1.9合同争议的解决</w:t>
      </w:r>
      <w:bookmarkEnd w:id="431"/>
      <w:bookmarkEnd w:id="432"/>
      <w:bookmarkEnd w:id="433"/>
    </w:p>
    <w:p w14:paraId="72B36F6B">
      <w:pPr>
        <w:spacing w:line="40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1.9.2</w:t>
      </w:r>
      <w:r>
        <w:rPr>
          <w:rFonts w:hint="eastAsia" w:ascii="仿宋" w:hAnsi="仿宋" w:eastAsia="仿宋" w:cs="仿宋"/>
          <w:color w:val="auto"/>
          <w:sz w:val="24"/>
        </w:rPr>
        <w:t>条款规定的方式解决：</w:t>
      </w:r>
    </w:p>
    <w:p w14:paraId="68C65C5F">
      <w:pPr>
        <w:spacing w:line="40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1CD29622">
      <w:pPr>
        <w:spacing w:line="40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55D66639">
      <w:pPr>
        <w:spacing w:line="400" w:lineRule="exact"/>
        <w:ind w:firstLine="482" w:firstLineChars="200"/>
        <w:rPr>
          <w:rFonts w:hint="eastAsia" w:ascii="仿宋" w:hAnsi="仿宋" w:eastAsia="仿宋" w:cs="仿宋"/>
          <w:b/>
          <w:color w:val="auto"/>
          <w:sz w:val="24"/>
        </w:rPr>
      </w:pPr>
      <w:bookmarkStart w:id="434" w:name="_Toc15322"/>
      <w:bookmarkStart w:id="435" w:name="_Toc11173"/>
      <w:bookmarkStart w:id="436" w:name="_Toc7245"/>
      <w:r>
        <w:rPr>
          <w:rFonts w:hint="eastAsia" w:ascii="仿宋" w:hAnsi="仿宋" w:eastAsia="仿宋" w:cs="仿宋"/>
          <w:b/>
          <w:color w:val="auto"/>
          <w:sz w:val="24"/>
        </w:rPr>
        <w:t>2.0 合同生效</w:t>
      </w:r>
      <w:bookmarkEnd w:id="434"/>
      <w:bookmarkEnd w:id="435"/>
      <w:bookmarkEnd w:id="436"/>
    </w:p>
    <w:p w14:paraId="1D1C8AAD">
      <w:pPr>
        <w:spacing w:line="40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本合同自双方当事人盖章签字时生效。</w:t>
      </w:r>
    </w:p>
    <w:p w14:paraId="6B00CCE3">
      <w:pPr>
        <w:autoSpaceDE w:val="0"/>
        <w:autoSpaceDN w:val="0"/>
        <w:spacing w:line="400" w:lineRule="exact"/>
        <w:rPr>
          <w:rFonts w:hint="eastAsia" w:ascii="仿宋" w:hAnsi="仿宋" w:eastAsia="仿宋" w:cs="仿宋"/>
          <w:color w:val="auto"/>
          <w:sz w:val="24"/>
          <w:lang w:val="zh-CN"/>
        </w:rPr>
      </w:pPr>
    </w:p>
    <w:p w14:paraId="18C10998">
      <w:pPr>
        <w:autoSpaceDE w:val="0"/>
        <w:autoSpaceDN w:val="0"/>
        <w:spacing w:line="40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4099B9B3">
      <w:pPr>
        <w:autoSpaceDE w:val="0"/>
        <w:autoSpaceDN w:val="0"/>
        <w:spacing w:line="40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6475EBAE">
      <w:pPr>
        <w:autoSpaceDE w:val="0"/>
        <w:autoSpaceDN w:val="0"/>
        <w:spacing w:line="400" w:lineRule="exact"/>
        <w:rPr>
          <w:rFonts w:hint="eastAsia" w:ascii="仿宋" w:hAnsi="仿宋" w:eastAsia="仿宋" w:cs="仿宋"/>
          <w:color w:val="auto"/>
          <w:sz w:val="24"/>
          <w:lang w:val="zh-CN"/>
        </w:rPr>
      </w:pPr>
    </w:p>
    <w:p w14:paraId="1ADF6262">
      <w:pPr>
        <w:autoSpaceDE w:val="0"/>
        <w:autoSpaceDN w:val="0"/>
        <w:spacing w:line="40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06CDF9DC">
      <w:pPr>
        <w:autoSpaceDE w:val="0"/>
        <w:autoSpaceDN w:val="0"/>
        <w:spacing w:line="40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26F71F80">
      <w:pPr>
        <w:autoSpaceDE w:val="0"/>
        <w:autoSpaceDN w:val="0"/>
        <w:spacing w:line="40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71803C47">
      <w:pPr>
        <w:autoSpaceDE w:val="0"/>
        <w:autoSpaceDN w:val="0"/>
        <w:spacing w:line="40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5F955445">
      <w:pPr>
        <w:autoSpaceDE w:val="0"/>
        <w:autoSpaceDN w:val="0"/>
        <w:spacing w:line="40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7ECECB3B">
      <w:pPr>
        <w:autoSpaceDE w:val="0"/>
        <w:autoSpaceDN w:val="0"/>
        <w:spacing w:line="40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5E57936A">
      <w:pPr>
        <w:autoSpaceDE w:val="0"/>
        <w:autoSpaceDN w:val="0"/>
        <w:spacing w:line="40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60BF2272">
      <w:pPr>
        <w:autoSpaceDE w:val="0"/>
        <w:autoSpaceDN w:val="0"/>
        <w:spacing w:line="40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1F99608F">
      <w:pPr>
        <w:autoSpaceDE w:val="0"/>
        <w:autoSpaceDN w:val="0"/>
        <w:spacing w:line="40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5A1A0C10">
      <w:pPr>
        <w:autoSpaceDE w:val="0"/>
        <w:autoSpaceDN w:val="0"/>
        <w:spacing w:line="40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344DB1E8">
      <w:pPr>
        <w:autoSpaceDE w:val="0"/>
        <w:autoSpaceDN w:val="0"/>
        <w:spacing w:line="40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23AEE0EF">
      <w:pPr>
        <w:autoSpaceDE w:val="0"/>
        <w:autoSpaceDN w:val="0"/>
        <w:spacing w:line="40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06F7E787">
      <w:pPr>
        <w:widowControl/>
        <w:spacing w:line="400" w:lineRule="exact"/>
        <w:jc w:val="left"/>
        <w:rPr>
          <w:rFonts w:hint="eastAsia" w:ascii="仿宋" w:hAnsi="仿宋" w:eastAsia="仿宋" w:cs="仿宋"/>
          <w:b/>
          <w:color w:val="auto"/>
          <w:sz w:val="24"/>
        </w:rPr>
      </w:pPr>
    </w:p>
    <w:p w14:paraId="6F79CA15">
      <w:pPr>
        <w:widowControl/>
        <w:adjustRightInd/>
        <w:spacing w:line="400" w:lineRule="exact"/>
        <w:jc w:val="left"/>
        <w:rPr>
          <w:rFonts w:hint="eastAsia" w:ascii="仿宋" w:hAnsi="仿宋" w:eastAsia="仿宋" w:cs="仿宋"/>
          <w:b/>
          <w:color w:val="auto"/>
          <w:sz w:val="24"/>
        </w:rPr>
      </w:pPr>
      <w:r>
        <w:rPr>
          <w:rFonts w:hint="eastAsia" w:ascii="仿宋" w:hAnsi="仿宋" w:eastAsia="仿宋" w:cs="仿宋"/>
          <w:b/>
          <w:color w:val="auto"/>
        </w:rPr>
        <w:br w:type="page"/>
      </w:r>
    </w:p>
    <w:p w14:paraId="2E4A6FA1">
      <w:pPr>
        <w:pStyle w:val="702"/>
        <w:spacing w:line="400" w:lineRule="exact"/>
        <w:ind w:left="0" w:leftChars="0"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14:paraId="78A951D2">
      <w:pPr>
        <w:spacing w:line="400" w:lineRule="exact"/>
        <w:ind w:firstLine="482" w:firstLineChars="200"/>
        <w:rPr>
          <w:rFonts w:hint="eastAsia" w:ascii="仿宋" w:hAnsi="仿宋" w:eastAsia="仿宋" w:cs="仿宋"/>
          <w:b/>
          <w:color w:val="auto"/>
          <w:sz w:val="24"/>
        </w:rPr>
      </w:pPr>
      <w:bookmarkStart w:id="437" w:name="_Toc31297"/>
      <w:bookmarkStart w:id="438" w:name="_Toc25079"/>
      <w:bookmarkStart w:id="439" w:name="_Toc5228"/>
      <w:bookmarkStart w:id="440" w:name="_Toc14021"/>
      <w:bookmarkStart w:id="441" w:name="_Toc19680"/>
      <w:r>
        <w:rPr>
          <w:rFonts w:hint="eastAsia" w:ascii="仿宋" w:hAnsi="仿宋" w:eastAsia="仿宋" w:cs="仿宋"/>
          <w:b/>
          <w:color w:val="auto"/>
          <w:sz w:val="24"/>
        </w:rPr>
        <w:t>2.1 定义</w:t>
      </w:r>
      <w:bookmarkEnd w:id="437"/>
      <w:bookmarkEnd w:id="438"/>
      <w:bookmarkEnd w:id="439"/>
      <w:bookmarkEnd w:id="440"/>
      <w:bookmarkEnd w:id="441"/>
    </w:p>
    <w:p w14:paraId="12B4D96E">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3F06196B">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14:paraId="6809EA25">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14:paraId="5F688A32">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14:paraId="488A8A90">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14:paraId="05F28D75">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5297E7F">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14:paraId="63E6A26E">
      <w:pPr>
        <w:spacing w:line="400" w:lineRule="exact"/>
        <w:ind w:firstLine="482" w:firstLineChars="200"/>
        <w:rPr>
          <w:rFonts w:hint="eastAsia" w:ascii="仿宋" w:hAnsi="仿宋" w:eastAsia="仿宋" w:cs="仿宋"/>
          <w:b/>
          <w:color w:val="auto"/>
          <w:sz w:val="24"/>
        </w:rPr>
      </w:pPr>
      <w:bookmarkStart w:id="442" w:name="_Toc16752"/>
      <w:bookmarkStart w:id="443" w:name="_Toc31402"/>
      <w:bookmarkStart w:id="444" w:name="_Toc23289"/>
      <w:bookmarkStart w:id="445" w:name="_Toc19539"/>
      <w:bookmarkStart w:id="446" w:name="_Toc3769"/>
      <w:r>
        <w:rPr>
          <w:rFonts w:hint="eastAsia" w:ascii="仿宋" w:hAnsi="仿宋" w:eastAsia="仿宋" w:cs="仿宋"/>
          <w:b/>
          <w:color w:val="auto"/>
          <w:sz w:val="24"/>
        </w:rPr>
        <w:t>2.2 技术规范</w:t>
      </w:r>
      <w:bookmarkEnd w:id="442"/>
      <w:bookmarkEnd w:id="443"/>
      <w:bookmarkEnd w:id="444"/>
      <w:bookmarkEnd w:id="445"/>
      <w:bookmarkEnd w:id="446"/>
    </w:p>
    <w:p w14:paraId="21F23D10">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51D6640">
      <w:pPr>
        <w:spacing w:line="400" w:lineRule="exact"/>
        <w:ind w:firstLine="482" w:firstLineChars="200"/>
        <w:rPr>
          <w:rFonts w:hint="eastAsia" w:ascii="仿宋" w:hAnsi="仿宋" w:eastAsia="仿宋" w:cs="仿宋"/>
          <w:b/>
          <w:color w:val="auto"/>
          <w:sz w:val="24"/>
        </w:rPr>
      </w:pPr>
      <w:bookmarkStart w:id="447" w:name="_Toc12412"/>
      <w:bookmarkStart w:id="448" w:name="_Toc13673"/>
      <w:bookmarkStart w:id="449" w:name="_Toc4133"/>
      <w:bookmarkStart w:id="450" w:name="_Toc9161"/>
      <w:bookmarkStart w:id="451" w:name="_Toc27945"/>
      <w:r>
        <w:rPr>
          <w:rFonts w:hint="eastAsia" w:ascii="仿宋" w:hAnsi="仿宋" w:eastAsia="仿宋" w:cs="仿宋"/>
          <w:b/>
          <w:color w:val="auto"/>
          <w:sz w:val="24"/>
        </w:rPr>
        <w:t>2.3 知识产权</w:t>
      </w:r>
      <w:bookmarkEnd w:id="447"/>
      <w:bookmarkEnd w:id="448"/>
      <w:bookmarkEnd w:id="449"/>
      <w:bookmarkEnd w:id="450"/>
      <w:bookmarkEnd w:id="451"/>
    </w:p>
    <w:p w14:paraId="33E8A47B">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EFAC67D">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59DB85F">
      <w:pPr>
        <w:spacing w:line="4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3EB7043B">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E2A1EAF">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00E7CB7D">
      <w:pPr>
        <w:spacing w:line="400" w:lineRule="exact"/>
        <w:ind w:firstLine="482" w:firstLineChars="200"/>
        <w:rPr>
          <w:rFonts w:hint="eastAsia" w:ascii="仿宋" w:hAnsi="仿宋" w:eastAsia="仿宋" w:cs="仿宋"/>
          <w:b/>
          <w:color w:val="auto"/>
          <w:sz w:val="24"/>
        </w:rPr>
      </w:pPr>
      <w:bookmarkStart w:id="452" w:name="_Toc26555"/>
      <w:bookmarkStart w:id="453" w:name="_Toc32670"/>
      <w:bookmarkStart w:id="454" w:name="_Toc15447"/>
      <w:bookmarkStart w:id="455" w:name="_Toc22011"/>
      <w:bookmarkStart w:id="456" w:name="_Toc31233"/>
      <w:r>
        <w:rPr>
          <w:rFonts w:hint="eastAsia" w:ascii="仿宋" w:hAnsi="仿宋" w:eastAsia="仿宋" w:cs="仿宋"/>
          <w:b/>
          <w:color w:val="auto"/>
          <w:sz w:val="24"/>
        </w:rPr>
        <w:t>2.5 结算方式和付款条件</w:t>
      </w:r>
      <w:bookmarkEnd w:id="452"/>
      <w:bookmarkEnd w:id="453"/>
      <w:bookmarkEnd w:id="454"/>
      <w:bookmarkEnd w:id="455"/>
      <w:bookmarkEnd w:id="456"/>
    </w:p>
    <w:p w14:paraId="57761875">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6895141F">
      <w:pPr>
        <w:spacing w:line="400" w:lineRule="exact"/>
        <w:ind w:firstLine="482" w:firstLineChars="200"/>
        <w:rPr>
          <w:rFonts w:hint="eastAsia" w:ascii="仿宋" w:hAnsi="仿宋" w:eastAsia="仿宋" w:cs="仿宋"/>
          <w:b/>
          <w:color w:val="auto"/>
          <w:sz w:val="24"/>
        </w:rPr>
      </w:pPr>
      <w:bookmarkStart w:id="457" w:name="_Toc13154"/>
      <w:bookmarkStart w:id="458" w:name="_Toc30507"/>
      <w:bookmarkStart w:id="459" w:name="_Toc13467"/>
      <w:bookmarkStart w:id="460" w:name="_Toc16163"/>
      <w:bookmarkStart w:id="461" w:name="_Toc18990"/>
      <w:r>
        <w:rPr>
          <w:rFonts w:hint="eastAsia" w:ascii="仿宋" w:hAnsi="仿宋" w:eastAsia="仿宋" w:cs="仿宋"/>
          <w:b/>
          <w:color w:val="auto"/>
          <w:sz w:val="24"/>
        </w:rPr>
        <w:t>2.6 技术资料和保密义务</w:t>
      </w:r>
      <w:bookmarkEnd w:id="457"/>
      <w:bookmarkEnd w:id="458"/>
      <w:bookmarkEnd w:id="459"/>
      <w:bookmarkEnd w:id="460"/>
      <w:bookmarkEnd w:id="461"/>
    </w:p>
    <w:p w14:paraId="3A31E9D7">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27E4AB42">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0A8AC7C4">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91E53F1">
      <w:pPr>
        <w:spacing w:line="400" w:lineRule="exact"/>
        <w:ind w:firstLine="482" w:firstLineChars="200"/>
        <w:rPr>
          <w:rFonts w:hint="eastAsia" w:ascii="仿宋" w:hAnsi="仿宋" w:eastAsia="仿宋" w:cs="仿宋"/>
          <w:b/>
          <w:color w:val="auto"/>
          <w:sz w:val="24"/>
        </w:rPr>
      </w:pPr>
      <w:bookmarkStart w:id="462" w:name="_Toc19069"/>
      <w:r>
        <w:rPr>
          <w:rFonts w:hint="eastAsia" w:ascii="仿宋" w:hAnsi="仿宋" w:eastAsia="仿宋" w:cs="仿宋"/>
          <w:b/>
          <w:color w:val="auto"/>
          <w:sz w:val="24"/>
        </w:rPr>
        <w:t>2.7 质量保证</w:t>
      </w:r>
      <w:bookmarkEnd w:id="462"/>
    </w:p>
    <w:p w14:paraId="6B86FEB1">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34E5CAB5">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6E9E45B6">
      <w:pPr>
        <w:spacing w:line="400" w:lineRule="exact"/>
        <w:ind w:firstLine="482" w:firstLineChars="200"/>
        <w:rPr>
          <w:rFonts w:hint="eastAsia" w:ascii="仿宋" w:hAnsi="仿宋" w:eastAsia="仿宋" w:cs="仿宋"/>
          <w:b/>
          <w:color w:val="auto"/>
          <w:sz w:val="24"/>
        </w:rPr>
      </w:pPr>
      <w:bookmarkStart w:id="463" w:name="_Toc22267"/>
      <w:r>
        <w:rPr>
          <w:rFonts w:hint="eastAsia" w:ascii="仿宋" w:hAnsi="仿宋" w:eastAsia="仿宋" w:cs="仿宋"/>
          <w:b/>
          <w:color w:val="auto"/>
          <w:sz w:val="24"/>
        </w:rPr>
        <w:t>2.8 延迟履行</w:t>
      </w:r>
      <w:bookmarkEnd w:id="463"/>
    </w:p>
    <w:p w14:paraId="48E54DA7">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FE0E74C">
      <w:pPr>
        <w:spacing w:line="400" w:lineRule="exact"/>
        <w:ind w:firstLine="482" w:firstLineChars="200"/>
        <w:rPr>
          <w:rFonts w:hint="eastAsia" w:ascii="仿宋" w:hAnsi="仿宋" w:eastAsia="仿宋" w:cs="仿宋"/>
          <w:b/>
          <w:color w:val="auto"/>
          <w:sz w:val="24"/>
        </w:rPr>
      </w:pPr>
      <w:bookmarkStart w:id="464" w:name="_Toc10611"/>
      <w:r>
        <w:rPr>
          <w:rFonts w:hint="eastAsia" w:ascii="仿宋" w:hAnsi="仿宋" w:eastAsia="仿宋" w:cs="仿宋"/>
          <w:b/>
          <w:color w:val="auto"/>
          <w:sz w:val="24"/>
        </w:rPr>
        <w:t>2.9 合同变更</w:t>
      </w:r>
      <w:bookmarkEnd w:id="464"/>
    </w:p>
    <w:p w14:paraId="12160A1B">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728E69D3">
      <w:pPr>
        <w:spacing w:line="400" w:lineRule="exact"/>
        <w:ind w:firstLine="482" w:firstLineChars="200"/>
        <w:rPr>
          <w:rFonts w:hint="eastAsia" w:ascii="仿宋" w:hAnsi="仿宋" w:eastAsia="仿宋" w:cs="仿宋"/>
          <w:b/>
          <w:color w:val="auto"/>
          <w:sz w:val="24"/>
        </w:rPr>
      </w:pPr>
      <w:bookmarkStart w:id="465" w:name="_Toc26689"/>
      <w:bookmarkStart w:id="466" w:name="_Toc23368"/>
      <w:bookmarkStart w:id="467" w:name="_Toc42"/>
      <w:bookmarkStart w:id="468" w:name="_Toc10663"/>
      <w:bookmarkStart w:id="469" w:name="_Toc21830"/>
      <w:r>
        <w:rPr>
          <w:rFonts w:hint="eastAsia" w:ascii="仿宋" w:hAnsi="仿宋" w:eastAsia="仿宋" w:cs="仿宋"/>
          <w:b/>
          <w:color w:val="auto"/>
          <w:sz w:val="24"/>
        </w:rPr>
        <w:t>2.10 合同转让和分包</w:t>
      </w:r>
      <w:bookmarkEnd w:id="465"/>
      <w:bookmarkEnd w:id="466"/>
      <w:bookmarkEnd w:id="467"/>
      <w:bookmarkEnd w:id="468"/>
      <w:bookmarkEnd w:id="469"/>
    </w:p>
    <w:p w14:paraId="5C7EB072">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343FBBB">
      <w:pPr>
        <w:spacing w:line="400" w:lineRule="exact"/>
        <w:ind w:firstLine="482" w:firstLineChars="200"/>
        <w:rPr>
          <w:rFonts w:hint="eastAsia" w:ascii="仿宋" w:hAnsi="仿宋" w:eastAsia="仿宋" w:cs="仿宋"/>
          <w:b/>
          <w:color w:val="auto"/>
          <w:sz w:val="24"/>
        </w:rPr>
      </w:pPr>
      <w:bookmarkStart w:id="470" w:name="_Toc4720"/>
      <w:bookmarkStart w:id="471" w:name="_Toc32494"/>
      <w:bookmarkStart w:id="472" w:name="_Toc14371"/>
      <w:bookmarkStart w:id="473" w:name="_Toc26633"/>
      <w:bookmarkStart w:id="474" w:name="_Toc25571"/>
      <w:r>
        <w:rPr>
          <w:rFonts w:hint="eastAsia" w:ascii="仿宋" w:hAnsi="仿宋" w:eastAsia="仿宋" w:cs="仿宋"/>
          <w:b/>
          <w:color w:val="auto"/>
          <w:sz w:val="24"/>
        </w:rPr>
        <w:t>2.11 不可抗力</w:t>
      </w:r>
      <w:bookmarkEnd w:id="470"/>
      <w:bookmarkEnd w:id="471"/>
      <w:bookmarkEnd w:id="472"/>
      <w:bookmarkEnd w:id="473"/>
      <w:bookmarkEnd w:id="474"/>
    </w:p>
    <w:p w14:paraId="621CE124">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08F6025E">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60C583EC">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1462E248">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308FAD10">
      <w:pPr>
        <w:spacing w:line="400" w:lineRule="exact"/>
        <w:ind w:firstLine="482" w:firstLineChars="200"/>
        <w:rPr>
          <w:rFonts w:hint="eastAsia" w:ascii="仿宋" w:hAnsi="仿宋" w:eastAsia="仿宋" w:cs="仿宋"/>
          <w:b/>
          <w:color w:val="auto"/>
          <w:sz w:val="24"/>
        </w:rPr>
      </w:pPr>
      <w:bookmarkStart w:id="475" w:name="_Toc14115"/>
      <w:bookmarkStart w:id="476" w:name="_Toc25783"/>
      <w:bookmarkStart w:id="477" w:name="_Toc23854"/>
      <w:bookmarkStart w:id="478" w:name="_Toc24465"/>
      <w:bookmarkStart w:id="479" w:name="_Toc3638"/>
      <w:r>
        <w:rPr>
          <w:rFonts w:hint="eastAsia" w:ascii="仿宋" w:hAnsi="仿宋" w:eastAsia="仿宋" w:cs="仿宋"/>
          <w:b/>
          <w:color w:val="auto"/>
          <w:sz w:val="24"/>
        </w:rPr>
        <w:t>2.12 税费</w:t>
      </w:r>
      <w:bookmarkEnd w:id="475"/>
      <w:bookmarkEnd w:id="476"/>
      <w:bookmarkEnd w:id="477"/>
      <w:bookmarkEnd w:id="478"/>
      <w:bookmarkEnd w:id="479"/>
    </w:p>
    <w:p w14:paraId="12EF0E8A">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780D81CC">
      <w:pPr>
        <w:spacing w:line="400" w:lineRule="exact"/>
        <w:ind w:firstLine="482" w:firstLineChars="200"/>
        <w:rPr>
          <w:rFonts w:hint="eastAsia" w:ascii="仿宋" w:hAnsi="仿宋" w:eastAsia="仿宋" w:cs="仿宋"/>
          <w:b/>
          <w:color w:val="auto"/>
          <w:sz w:val="24"/>
        </w:rPr>
      </w:pPr>
      <w:bookmarkStart w:id="480" w:name="_Toc14814"/>
      <w:bookmarkStart w:id="481" w:name="_Toc7315"/>
      <w:bookmarkStart w:id="482" w:name="_Toc26883"/>
      <w:bookmarkStart w:id="483" w:name="_Toc25525"/>
      <w:bookmarkStart w:id="484" w:name="_Toc30105"/>
      <w:r>
        <w:rPr>
          <w:rFonts w:hint="eastAsia" w:ascii="仿宋" w:hAnsi="仿宋" w:eastAsia="仿宋" w:cs="仿宋"/>
          <w:b/>
          <w:color w:val="auto"/>
          <w:sz w:val="24"/>
        </w:rPr>
        <w:t>2.13 乙方破产</w:t>
      </w:r>
      <w:bookmarkEnd w:id="480"/>
      <w:bookmarkEnd w:id="481"/>
      <w:bookmarkEnd w:id="482"/>
      <w:bookmarkEnd w:id="483"/>
      <w:bookmarkEnd w:id="484"/>
    </w:p>
    <w:p w14:paraId="39395BC2">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881E3A3">
      <w:pPr>
        <w:spacing w:line="400" w:lineRule="exact"/>
        <w:ind w:firstLine="482" w:firstLineChars="200"/>
        <w:rPr>
          <w:rFonts w:hint="eastAsia" w:ascii="仿宋" w:hAnsi="仿宋" w:eastAsia="仿宋" w:cs="仿宋"/>
          <w:b/>
          <w:color w:val="auto"/>
          <w:sz w:val="24"/>
        </w:rPr>
      </w:pPr>
      <w:bookmarkStart w:id="485" w:name="_Toc23323"/>
      <w:bookmarkStart w:id="486" w:name="_Toc2016"/>
      <w:bookmarkStart w:id="487" w:name="_Toc1123"/>
      <w:r>
        <w:rPr>
          <w:rFonts w:hint="eastAsia" w:ascii="仿宋" w:hAnsi="仿宋" w:eastAsia="仿宋" w:cs="仿宋"/>
          <w:b/>
          <w:color w:val="auto"/>
          <w:sz w:val="24"/>
        </w:rPr>
        <w:t>2.14 合同中止、终止</w:t>
      </w:r>
      <w:bookmarkEnd w:id="485"/>
      <w:bookmarkEnd w:id="486"/>
      <w:bookmarkEnd w:id="487"/>
    </w:p>
    <w:p w14:paraId="5A06CCF7">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51F1F705">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4A9E6C1C">
      <w:pPr>
        <w:spacing w:line="400" w:lineRule="exact"/>
        <w:ind w:firstLine="482" w:firstLineChars="200"/>
        <w:rPr>
          <w:rFonts w:hint="eastAsia" w:ascii="仿宋" w:hAnsi="仿宋" w:eastAsia="仿宋" w:cs="仿宋"/>
          <w:b/>
          <w:color w:val="auto"/>
          <w:sz w:val="24"/>
        </w:rPr>
      </w:pPr>
      <w:bookmarkStart w:id="488" w:name="_Toc1969"/>
      <w:bookmarkStart w:id="489" w:name="_Toc17363"/>
      <w:bookmarkStart w:id="490" w:name="_Toc14525"/>
      <w:r>
        <w:rPr>
          <w:rFonts w:hint="eastAsia" w:ascii="仿宋" w:hAnsi="仿宋" w:eastAsia="仿宋" w:cs="仿宋"/>
          <w:b/>
          <w:color w:val="auto"/>
          <w:sz w:val="24"/>
        </w:rPr>
        <w:t>2.15 检验和验收</w:t>
      </w:r>
      <w:bookmarkEnd w:id="488"/>
      <w:bookmarkEnd w:id="489"/>
      <w:bookmarkEnd w:id="490"/>
    </w:p>
    <w:p w14:paraId="3AA63A3A">
      <w:pPr>
        <w:tabs>
          <w:tab w:val="left" w:pos="360"/>
          <w:tab w:val="left" w:pos="540"/>
          <w:tab w:val="left" w:pos="108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1614848F">
      <w:pPr>
        <w:tabs>
          <w:tab w:val="left" w:pos="360"/>
          <w:tab w:val="left" w:pos="540"/>
          <w:tab w:val="left" w:pos="108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C2E3259">
      <w:pPr>
        <w:tabs>
          <w:tab w:val="left" w:pos="360"/>
          <w:tab w:val="left" w:pos="540"/>
          <w:tab w:val="left" w:pos="108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034E565B">
      <w:pPr>
        <w:spacing w:line="400" w:lineRule="exact"/>
        <w:ind w:firstLine="482" w:firstLineChars="200"/>
        <w:rPr>
          <w:rFonts w:hint="eastAsia" w:ascii="仿宋" w:hAnsi="仿宋" w:eastAsia="仿宋" w:cs="仿宋"/>
          <w:b/>
          <w:color w:val="auto"/>
          <w:sz w:val="24"/>
        </w:rPr>
      </w:pPr>
      <w:bookmarkStart w:id="491" w:name="_Toc25198"/>
      <w:bookmarkStart w:id="492" w:name="_Toc31892"/>
      <w:bookmarkStart w:id="493" w:name="_Toc12666"/>
      <w:bookmarkStart w:id="494" w:name="_Toc2308"/>
      <w:bookmarkStart w:id="495" w:name="_Toc9808"/>
      <w:r>
        <w:rPr>
          <w:rFonts w:hint="eastAsia" w:ascii="仿宋" w:hAnsi="仿宋" w:eastAsia="仿宋" w:cs="仿宋"/>
          <w:b/>
          <w:color w:val="auto"/>
          <w:sz w:val="24"/>
        </w:rPr>
        <w:t>2.16 通知和送达</w:t>
      </w:r>
      <w:bookmarkEnd w:id="491"/>
      <w:bookmarkEnd w:id="492"/>
      <w:bookmarkEnd w:id="493"/>
      <w:bookmarkEnd w:id="494"/>
      <w:bookmarkEnd w:id="495"/>
    </w:p>
    <w:p w14:paraId="6F538240">
      <w:pPr>
        <w:spacing w:line="400" w:lineRule="exact"/>
        <w:ind w:firstLine="480" w:firstLineChars="200"/>
        <w:rPr>
          <w:rFonts w:hint="eastAsia" w:ascii="仿宋" w:hAnsi="仿宋" w:eastAsia="仿宋" w:cs="仿宋"/>
          <w:color w:val="auto"/>
          <w:sz w:val="24"/>
        </w:rPr>
      </w:pPr>
      <w:bookmarkStart w:id="496" w:name="_Toc18401"/>
      <w:bookmarkStart w:id="497" w:name="_Toc27674"/>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71B8BCFF">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6"/>
      <w:bookmarkEnd w:id="497"/>
    </w:p>
    <w:p w14:paraId="57377B32">
      <w:pPr>
        <w:spacing w:line="400" w:lineRule="exact"/>
        <w:ind w:firstLine="482" w:firstLineChars="200"/>
        <w:rPr>
          <w:rFonts w:hint="eastAsia" w:ascii="仿宋" w:hAnsi="仿宋" w:eastAsia="仿宋" w:cs="仿宋"/>
          <w:b/>
          <w:color w:val="auto"/>
          <w:sz w:val="24"/>
        </w:rPr>
      </w:pPr>
      <w:bookmarkStart w:id="498" w:name="_Toc20808"/>
      <w:bookmarkStart w:id="499" w:name="_Toc12254"/>
      <w:bookmarkStart w:id="500" w:name="_Toc27644"/>
      <w:bookmarkStart w:id="501" w:name="_Toc5063"/>
      <w:bookmarkStart w:id="502" w:name="_Toc28906"/>
      <w:r>
        <w:rPr>
          <w:rFonts w:hint="eastAsia" w:ascii="仿宋" w:hAnsi="仿宋" w:eastAsia="仿宋" w:cs="仿宋"/>
          <w:b/>
          <w:color w:val="auto"/>
          <w:sz w:val="24"/>
        </w:rPr>
        <w:t>2.17 合同使用的文字和适用的法律</w:t>
      </w:r>
      <w:bookmarkEnd w:id="498"/>
      <w:bookmarkEnd w:id="499"/>
      <w:bookmarkEnd w:id="500"/>
      <w:bookmarkEnd w:id="501"/>
      <w:bookmarkEnd w:id="502"/>
    </w:p>
    <w:p w14:paraId="067E110C">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2D60B1B5">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718E3701">
      <w:pPr>
        <w:spacing w:line="400" w:lineRule="exact"/>
        <w:ind w:firstLine="482" w:firstLineChars="200"/>
        <w:rPr>
          <w:rFonts w:hint="eastAsia" w:ascii="仿宋" w:hAnsi="仿宋" w:eastAsia="仿宋" w:cs="仿宋"/>
          <w:b/>
          <w:color w:val="auto"/>
          <w:sz w:val="24"/>
        </w:rPr>
      </w:pPr>
      <w:bookmarkStart w:id="503" w:name="_Toc30599"/>
      <w:bookmarkStart w:id="504" w:name="_Toc4355"/>
      <w:bookmarkStart w:id="505" w:name="_Toc18540"/>
      <w:r>
        <w:rPr>
          <w:rFonts w:hint="eastAsia" w:ascii="仿宋" w:hAnsi="仿宋" w:eastAsia="仿宋" w:cs="仿宋"/>
          <w:b/>
          <w:color w:val="auto"/>
          <w:sz w:val="24"/>
        </w:rPr>
        <w:t>2.18 计量单位</w:t>
      </w:r>
      <w:bookmarkEnd w:id="503"/>
      <w:bookmarkEnd w:id="504"/>
      <w:bookmarkEnd w:id="505"/>
    </w:p>
    <w:p w14:paraId="77E121CA">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12DA291D">
      <w:pPr>
        <w:spacing w:line="4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2.19合同份数</w:t>
      </w:r>
    </w:p>
    <w:p w14:paraId="5667F235">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6CC3CFB1">
      <w:pPr>
        <w:spacing w:line="400" w:lineRule="exact"/>
        <w:jc w:val="center"/>
        <w:rPr>
          <w:rFonts w:hint="eastAsia" w:ascii="仿宋" w:hAnsi="仿宋" w:eastAsia="仿宋" w:cs="仿宋"/>
          <w:b/>
          <w:color w:val="auto"/>
          <w:sz w:val="24"/>
        </w:rPr>
      </w:pPr>
      <w:r>
        <w:rPr>
          <w:rFonts w:hint="eastAsia" w:ascii="仿宋" w:hAnsi="仿宋" w:eastAsia="仿宋" w:cs="仿宋"/>
          <w:color w:val="auto"/>
          <w:kern w:val="0"/>
        </w:rPr>
        <w:br w:type="page"/>
      </w:r>
      <w:bookmarkStart w:id="506" w:name="_Toc331685784"/>
      <w:r>
        <w:rPr>
          <w:rFonts w:hint="eastAsia" w:ascii="仿宋" w:hAnsi="仿宋" w:eastAsia="仿宋" w:cs="仿宋"/>
          <w:b/>
          <w:color w:val="auto"/>
          <w:sz w:val="24"/>
        </w:rPr>
        <w:t xml:space="preserve"> </w:t>
      </w:r>
      <w:bookmarkEnd w:id="506"/>
      <w:r>
        <w:rPr>
          <w:rFonts w:hint="eastAsia" w:ascii="仿宋" w:hAnsi="仿宋" w:eastAsia="仿宋" w:cs="仿宋"/>
          <w:b/>
          <w:color w:val="auto"/>
          <w:sz w:val="24"/>
        </w:rPr>
        <w:t>第三部分  合同专用条款</w:t>
      </w:r>
    </w:p>
    <w:p w14:paraId="2F039D7B">
      <w:pPr>
        <w:spacing w:line="40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270" w:type="pct"/>
        <w:tblInd w:w="-47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09"/>
        <w:gridCol w:w="8213"/>
      </w:tblGrid>
      <w:tr w14:paraId="3848E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95" w:type="pct"/>
            <w:tcBorders>
              <w:left w:val="single" w:color="auto" w:sz="4" w:space="0"/>
            </w:tcBorders>
            <w:vAlign w:val="center"/>
          </w:tcPr>
          <w:p w14:paraId="38BD4BFB">
            <w:pPr>
              <w:spacing w:line="400" w:lineRule="exact"/>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4404" w:type="pct"/>
            <w:vAlign w:val="center"/>
          </w:tcPr>
          <w:p w14:paraId="51189CEC">
            <w:pPr>
              <w:spacing w:line="400" w:lineRule="exact"/>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6E037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5EF35436">
            <w:pPr>
              <w:spacing w:line="400" w:lineRule="exact"/>
              <w:rPr>
                <w:rFonts w:hint="eastAsia" w:ascii="仿宋" w:hAnsi="仿宋" w:eastAsia="仿宋" w:cs="仿宋"/>
                <w:color w:val="auto"/>
                <w:sz w:val="24"/>
              </w:rPr>
            </w:pPr>
            <w:r>
              <w:rPr>
                <w:rFonts w:hint="eastAsia" w:ascii="仿宋" w:hAnsi="仿宋" w:eastAsia="仿宋" w:cs="仿宋"/>
                <w:color w:val="auto"/>
                <w:sz w:val="24"/>
              </w:rPr>
              <w:t>1.3.2</w:t>
            </w:r>
          </w:p>
        </w:tc>
        <w:tc>
          <w:tcPr>
            <w:tcW w:w="4404" w:type="pct"/>
            <w:shd w:val="clear" w:color="auto" w:fill="auto"/>
            <w:vAlign w:val="center"/>
          </w:tcPr>
          <w:p w14:paraId="37F285CB">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按照招标文件“第四部分  采购需求”的“四、报价要求”结合报价折扣率进行结算，折扣率</w:t>
            </w:r>
            <w:r>
              <w:rPr>
                <w:rFonts w:hint="eastAsia" w:ascii="仿宋" w:hAnsi="仿宋" w:eastAsia="仿宋" w:cs="宋体"/>
                <w:bCs/>
                <w:color w:val="auto"/>
                <w:sz w:val="24"/>
                <w:u w:val="single"/>
              </w:rPr>
              <w:t xml:space="preserve">   </w:t>
            </w:r>
            <w:r>
              <w:rPr>
                <w:rFonts w:hint="eastAsia" w:ascii="仿宋" w:hAnsi="仿宋" w:eastAsia="仿宋" w:cs="宋体"/>
                <w:bCs/>
                <w:color w:val="auto"/>
                <w:sz w:val="24"/>
              </w:rPr>
              <w:t>%，结算单价见附件。</w:t>
            </w:r>
          </w:p>
        </w:tc>
      </w:tr>
      <w:tr w14:paraId="60A28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172B52E8">
            <w:pPr>
              <w:spacing w:line="400" w:lineRule="exact"/>
              <w:rPr>
                <w:rFonts w:hint="eastAsia" w:ascii="仿宋" w:hAnsi="仿宋" w:eastAsia="仿宋" w:cs="仿宋"/>
                <w:color w:val="auto"/>
                <w:sz w:val="24"/>
              </w:rPr>
            </w:pPr>
            <w:r>
              <w:rPr>
                <w:rFonts w:hint="eastAsia" w:ascii="仿宋" w:hAnsi="仿宋" w:eastAsia="仿宋" w:cs="仿宋"/>
                <w:color w:val="auto"/>
                <w:sz w:val="24"/>
              </w:rPr>
              <w:t>1.4.2</w:t>
            </w:r>
          </w:p>
        </w:tc>
        <w:tc>
          <w:tcPr>
            <w:tcW w:w="4404" w:type="pct"/>
            <w:shd w:val="clear" w:color="auto" w:fill="auto"/>
            <w:vAlign w:val="center"/>
          </w:tcPr>
          <w:p w14:paraId="74183B29">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在合同签订后5个工作日内，乙方向甲方支付合同总金额1%的履约保证金，以支票、汇票、本票或者金融机构、担保机构出具的保函等非现金形式提交。</w:t>
            </w:r>
          </w:p>
        </w:tc>
      </w:tr>
      <w:tr w14:paraId="0919D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56F601F7">
            <w:pPr>
              <w:spacing w:line="400" w:lineRule="exact"/>
              <w:rPr>
                <w:rFonts w:hint="eastAsia" w:ascii="仿宋" w:hAnsi="仿宋" w:eastAsia="仿宋" w:cs="仿宋"/>
                <w:color w:val="auto"/>
                <w:sz w:val="24"/>
                <w:highlight w:val="yellow"/>
              </w:rPr>
            </w:pPr>
            <w:r>
              <w:rPr>
                <w:rFonts w:hint="eastAsia" w:ascii="仿宋" w:hAnsi="仿宋" w:eastAsia="仿宋" w:cs="仿宋"/>
                <w:color w:val="auto"/>
                <w:sz w:val="24"/>
              </w:rPr>
              <w:t xml:space="preserve">1.5.1 </w:t>
            </w:r>
          </w:p>
        </w:tc>
        <w:tc>
          <w:tcPr>
            <w:tcW w:w="4404" w:type="pct"/>
            <w:shd w:val="clear" w:color="auto" w:fill="auto"/>
            <w:vAlign w:val="center"/>
          </w:tcPr>
          <w:p w14:paraId="36B6424A">
            <w:pPr>
              <w:tabs>
                <w:tab w:val="left" w:pos="0"/>
              </w:tabs>
              <w:spacing w:line="320" w:lineRule="exact"/>
              <w:rPr>
                <w:rFonts w:hint="eastAsia" w:ascii="仿宋" w:hAnsi="仿宋" w:eastAsia="仿宋" w:cs="Helvetica"/>
                <w:color w:val="auto"/>
                <w:kern w:val="0"/>
                <w:sz w:val="24"/>
                <w:lang w:bidi="ar"/>
              </w:rPr>
            </w:pPr>
            <w:r>
              <w:rPr>
                <w:rFonts w:hint="eastAsia" w:ascii="仿宋" w:hAnsi="仿宋" w:eastAsia="仿宋" w:cs="Helvetica"/>
                <w:color w:val="auto"/>
                <w:kern w:val="0"/>
                <w:sz w:val="24"/>
                <w:lang w:bidi="ar"/>
              </w:rPr>
              <w:t>中标人</w:t>
            </w:r>
            <w:r>
              <w:rPr>
                <w:rFonts w:ascii="仿宋" w:hAnsi="仿宋" w:eastAsia="仿宋" w:cs="Helvetica"/>
                <w:color w:val="auto"/>
                <w:kern w:val="0"/>
                <w:sz w:val="24"/>
                <w:lang w:bidi="ar"/>
              </w:rPr>
              <w:t>提交银行、保险公司等金融机构出具的预付款保函（保函数额与预付款金额相同）；合同生效并具备实施条件后7个工作日内，采购人向中标人支付合同金额（报单价部分按预算金额计）40%的预付款。剩余合同款项在验收合格后，凭验收合格证明材料、发票、履约保证金凭证到采购人处结算。采购人在7个工作日内向</w:t>
            </w:r>
            <w:r>
              <w:rPr>
                <w:rFonts w:hint="eastAsia" w:ascii="仿宋" w:hAnsi="仿宋" w:eastAsia="仿宋" w:cs="Helvetica"/>
                <w:color w:val="auto"/>
                <w:kern w:val="0"/>
                <w:sz w:val="24"/>
                <w:lang w:bidi="ar"/>
              </w:rPr>
              <w:t>中标人</w:t>
            </w:r>
            <w:r>
              <w:rPr>
                <w:rFonts w:ascii="仿宋" w:hAnsi="仿宋" w:eastAsia="仿宋" w:cs="Helvetica"/>
                <w:color w:val="auto"/>
                <w:kern w:val="0"/>
                <w:sz w:val="24"/>
                <w:lang w:bidi="ar"/>
              </w:rPr>
              <w:t>支付全部合同余款。</w:t>
            </w:r>
          </w:p>
        </w:tc>
      </w:tr>
      <w:tr w14:paraId="12A18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3F68EE3F">
            <w:pPr>
              <w:spacing w:line="400" w:lineRule="exact"/>
              <w:rPr>
                <w:rFonts w:hint="eastAsia" w:ascii="仿宋" w:hAnsi="仿宋" w:eastAsia="仿宋" w:cs="仿宋"/>
                <w:color w:val="auto"/>
                <w:sz w:val="24"/>
              </w:rPr>
            </w:pPr>
            <w:r>
              <w:rPr>
                <w:rFonts w:hint="eastAsia" w:ascii="仿宋" w:hAnsi="仿宋" w:eastAsia="仿宋" w:cs="仿宋"/>
                <w:color w:val="auto"/>
                <w:sz w:val="24"/>
              </w:rPr>
              <w:t>1.5.2</w:t>
            </w:r>
          </w:p>
        </w:tc>
        <w:tc>
          <w:tcPr>
            <w:tcW w:w="4404" w:type="pct"/>
            <w:shd w:val="clear" w:color="auto" w:fill="auto"/>
            <w:vAlign w:val="center"/>
          </w:tcPr>
          <w:p w14:paraId="3788B556">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甲方将分3个月预付款全部扣回。</w:t>
            </w:r>
          </w:p>
        </w:tc>
      </w:tr>
      <w:tr w14:paraId="71449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59745188">
            <w:pPr>
              <w:spacing w:line="400" w:lineRule="exact"/>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4404" w:type="pct"/>
            <w:shd w:val="clear" w:color="auto" w:fill="auto"/>
            <w:vAlign w:val="center"/>
          </w:tcPr>
          <w:p w14:paraId="5E68B069">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本合同乙方按不超过合同总价金额的1%交纳履约保证金作为合同生效的必要条件；甲方有权在每月结算时，从应付款中扣除（含违约、考核处罚等扣款）因乙方违反本合同所应向甲方支付的违约金以及因乙方原因致使甲方承担的第三方法律责任。</w:t>
            </w:r>
          </w:p>
        </w:tc>
      </w:tr>
      <w:tr w14:paraId="35004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70333F6B">
            <w:pPr>
              <w:spacing w:line="400" w:lineRule="exact"/>
              <w:rPr>
                <w:rFonts w:hint="eastAsia" w:ascii="仿宋" w:hAnsi="仿宋" w:eastAsia="仿宋" w:cs="仿宋"/>
                <w:color w:val="auto"/>
                <w:sz w:val="24"/>
              </w:rPr>
            </w:pPr>
            <w:r>
              <w:rPr>
                <w:rFonts w:hint="eastAsia" w:ascii="仿宋" w:hAnsi="仿宋" w:eastAsia="仿宋" w:cs="仿宋"/>
                <w:color w:val="auto"/>
                <w:sz w:val="24"/>
              </w:rPr>
              <w:t>1.6.2</w:t>
            </w:r>
          </w:p>
        </w:tc>
        <w:tc>
          <w:tcPr>
            <w:tcW w:w="4404" w:type="pct"/>
            <w:shd w:val="clear" w:color="auto" w:fill="auto"/>
            <w:vAlign w:val="center"/>
          </w:tcPr>
          <w:p w14:paraId="7914E314">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1.预付款：中标人提交银行、保险公司等金融机构出具的预付款保函（保函数额与预付款金额相同）；合同生效并具备实施条件后7个工作日内，采购人向中标人支付合同金额（报单价部分按预算金额计）40%的预付款。剩余合同款项在验收合格后，凭验收合格证明材料、发票、履约保证金凭证到采购人处结算。采购人在7个工作日内向中标人支付全部合同余款。</w:t>
            </w:r>
          </w:p>
          <w:p w14:paraId="3158762B">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 xml:space="preserve">2.付款方式：在签订合同前，中标人主动要求降低预付款比例的，按实际比例计。中标人明确表示无需预付款的，采用下述付款方式： </w:t>
            </w:r>
          </w:p>
          <w:p w14:paraId="29BA2BDC">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2.1投标单位根据专案采购需求进行报价，最终报价为最后结算基准价（包括人工费、材料费、差旅费、交通费、审计人员外派驻场费、税金等与本项目有关的所有费用，并承担一切风险责任）。</w:t>
            </w:r>
          </w:p>
          <w:p w14:paraId="66316166">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2.2审计费用一案一结。审计单位完成一个案件的审计服务并出具审计报告后，采购人根据审计案件的具体涉案金额或审计实际工作量进行结算，并对审计单位的工作进度与服务质量进行考核后于10个工作日内支付。</w:t>
            </w:r>
          </w:p>
          <w:p w14:paraId="0F727507">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2.3支付说明：采购人在收到供应商开具的符合法律法规规定发票后，以转账支付的方式，支付给供应商服务费。供应商逾期开具发票或开具的发票不符合采购人要求的，采购人有权延迟付款时间，且该行为不视为违约。</w:t>
            </w:r>
          </w:p>
        </w:tc>
      </w:tr>
      <w:tr w14:paraId="7596F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65D98DD7">
            <w:pPr>
              <w:spacing w:line="400" w:lineRule="exact"/>
              <w:rPr>
                <w:rFonts w:hint="eastAsia" w:ascii="仿宋" w:hAnsi="仿宋" w:eastAsia="仿宋" w:cs="仿宋"/>
                <w:color w:val="auto"/>
                <w:sz w:val="24"/>
              </w:rPr>
            </w:pPr>
            <w:r>
              <w:rPr>
                <w:rFonts w:hint="eastAsia" w:ascii="仿宋" w:hAnsi="仿宋" w:eastAsia="仿宋" w:cs="仿宋"/>
                <w:color w:val="auto"/>
                <w:sz w:val="24"/>
              </w:rPr>
              <w:t>1.7.1</w:t>
            </w:r>
          </w:p>
        </w:tc>
        <w:tc>
          <w:tcPr>
            <w:tcW w:w="4404" w:type="pct"/>
            <w:shd w:val="clear" w:color="auto" w:fill="auto"/>
            <w:vAlign w:val="center"/>
          </w:tcPr>
          <w:p w14:paraId="66235C40">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1年（具体以合同签订时间为准）。</w:t>
            </w:r>
          </w:p>
        </w:tc>
      </w:tr>
      <w:tr w14:paraId="38AE3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3BF69BA0">
            <w:pPr>
              <w:spacing w:line="400" w:lineRule="exact"/>
              <w:rPr>
                <w:rFonts w:hint="eastAsia" w:ascii="仿宋" w:hAnsi="仿宋" w:eastAsia="仿宋" w:cs="仿宋"/>
                <w:color w:val="auto"/>
                <w:sz w:val="24"/>
              </w:rPr>
            </w:pPr>
            <w:r>
              <w:rPr>
                <w:rFonts w:hint="eastAsia" w:ascii="仿宋" w:hAnsi="仿宋" w:eastAsia="仿宋" w:cs="仿宋"/>
                <w:color w:val="auto"/>
                <w:sz w:val="24"/>
              </w:rPr>
              <w:t>1.7.2</w:t>
            </w:r>
          </w:p>
        </w:tc>
        <w:tc>
          <w:tcPr>
            <w:tcW w:w="4404" w:type="pct"/>
            <w:shd w:val="clear" w:color="auto" w:fill="auto"/>
            <w:vAlign w:val="center"/>
          </w:tcPr>
          <w:p w14:paraId="7EBD212A">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杭州市上城区。</w:t>
            </w:r>
          </w:p>
        </w:tc>
      </w:tr>
      <w:tr w14:paraId="71A7D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0DD46E96">
            <w:pPr>
              <w:spacing w:line="400" w:lineRule="exact"/>
              <w:rPr>
                <w:rFonts w:hint="eastAsia" w:ascii="仿宋" w:hAnsi="仿宋" w:eastAsia="仿宋" w:cs="仿宋"/>
                <w:color w:val="auto"/>
                <w:sz w:val="24"/>
              </w:rPr>
            </w:pPr>
            <w:r>
              <w:rPr>
                <w:rFonts w:hint="eastAsia" w:ascii="仿宋" w:hAnsi="仿宋" w:eastAsia="仿宋" w:cs="仿宋"/>
                <w:color w:val="auto"/>
                <w:sz w:val="24"/>
              </w:rPr>
              <w:t>1.7.3</w:t>
            </w:r>
          </w:p>
        </w:tc>
        <w:tc>
          <w:tcPr>
            <w:tcW w:w="4404" w:type="pct"/>
            <w:shd w:val="clear" w:color="auto" w:fill="auto"/>
            <w:vAlign w:val="center"/>
          </w:tcPr>
          <w:p w14:paraId="29A31D4D">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按甲方要求。</w:t>
            </w:r>
          </w:p>
        </w:tc>
      </w:tr>
      <w:tr w14:paraId="2F129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50071253">
            <w:pPr>
              <w:spacing w:line="400" w:lineRule="exact"/>
              <w:rPr>
                <w:rFonts w:hint="eastAsia" w:ascii="仿宋" w:hAnsi="仿宋" w:eastAsia="仿宋" w:cs="仿宋"/>
                <w:color w:val="auto"/>
                <w:sz w:val="24"/>
              </w:rPr>
            </w:pPr>
            <w:r>
              <w:rPr>
                <w:rFonts w:hint="eastAsia" w:ascii="仿宋" w:hAnsi="仿宋" w:eastAsia="仿宋" w:cs="仿宋"/>
                <w:color w:val="auto"/>
                <w:sz w:val="24"/>
              </w:rPr>
              <w:t>1.7.4.1</w:t>
            </w:r>
          </w:p>
        </w:tc>
        <w:tc>
          <w:tcPr>
            <w:tcW w:w="4404" w:type="pct"/>
            <w:shd w:val="clear" w:color="auto" w:fill="auto"/>
            <w:vAlign w:val="center"/>
          </w:tcPr>
          <w:p w14:paraId="3A56CD66">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w:t>
            </w:r>
          </w:p>
        </w:tc>
      </w:tr>
      <w:tr w14:paraId="37F88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76D11EEC">
            <w:pPr>
              <w:spacing w:line="400" w:lineRule="exact"/>
              <w:rPr>
                <w:rFonts w:hint="eastAsia" w:ascii="仿宋" w:hAnsi="仿宋" w:eastAsia="仿宋" w:cs="仿宋"/>
                <w:color w:val="auto"/>
                <w:sz w:val="24"/>
              </w:rPr>
            </w:pPr>
            <w:r>
              <w:rPr>
                <w:rFonts w:hint="eastAsia" w:ascii="仿宋" w:hAnsi="仿宋" w:eastAsia="仿宋" w:cs="仿宋"/>
                <w:color w:val="auto"/>
                <w:sz w:val="24"/>
              </w:rPr>
              <w:t>1.7.4.2</w:t>
            </w:r>
          </w:p>
        </w:tc>
        <w:tc>
          <w:tcPr>
            <w:tcW w:w="4404" w:type="pct"/>
            <w:shd w:val="clear" w:color="auto" w:fill="auto"/>
            <w:vAlign w:val="center"/>
          </w:tcPr>
          <w:p w14:paraId="4F9C3DB8">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w:t>
            </w:r>
          </w:p>
        </w:tc>
      </w:tr>
      <w:tr w14:paraId="4E178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54E9BF63">
            <w:pPr>
              <w:spacing w:line="400" w:lineRule="exact"/>
              <w:rPr>
                <w:rFonts w:hint="eastAsia" w:ascii="仿宋" w:hAnsi="仿宋" w:eastAsia="仿宋" w:cs="仿宋"/>
                <w:color w:val="auto"/>
                <w:sz w:val="24"/>
              </w:rPr>
            </w:pPr>
            <w:r>
              <w:rPr>
                <w:rFonts w:hint="eastAsia" w:ascii="仿宋" w:hAnsi="仿宋" w:eastAsia="仿宋" w:cs="仿宋"/>
                <w:color w:val="auto"/>
                <w:sz w:val="24"/>
              </w:rPr>
              <w:t>1.7.4.3</w:t>
            </w:r>
          </w:p>
        </w:tc>
        <w:tc>
          <w:tcPr>
            <w:tcW w:w="4404" w:type="pct"/>
            <w:shd w:val="clear" w:color="auto" w:fill="auto"/>
            <w:vAlign w:val="center"/>
          </w:tcPr>
          <w:p w14:paraId="26600E76">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w:t>
            </w:r>
          </w:p>
        </w:tc>
      </w:tr>
      <w:tr w14:paraId="2CA3B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76E368F4">
            <w:pPr>
              <w:spacing w:line="400" w:lineRule="exact"/>
              <w:rPr>
                <w:rFonts w:hint="eastAsia" w:ascii="仿宋" w:hAnsi="仿宋" w:eastAsia="仿宋" w:cs="仿宋"/>
                <w:color w:val="auto"/>
                <w:sz w:val="24"/>
              </w:rPr>
            </w:pPr>
            <w:r>
              <w:rPr>
                <w:rFonts w:hint="eastAsia" w:ascii="仿宋" w:hAnsi="仿宋" w:eastAsia="仿宋" w:cs="仿宋"/>
                <w:color w:val="auto"/>
                <w:sz w:val="24"/>
              </w:rPr>
              <w:t>1.8.7</w:t>
            </w:r>
          </w:p>
        </w:tc>
        <w:tc>
          <w:tcPr>
            <w:tcW w:w="4404" w:type="pct"/>
            <w:shd w:val="clear" w:color="auto" w:fill="auto"/>
            <w:vAlign w:val="center"/>
          </w:tcPr>
          <w:p w14:paraId="0D3E5DDE">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乙方未能如期提供服务的，对甲方的通知逾期未响应，甲方自行安排人员完成工作，产生的相关费用由乙方承担。乙方超过约定日期10个工作日仍不能提供服务的，甲方可解除本合同。</w:t>
            </w:r>
          </w:p>
        </w:tc>
      </w:tr>
      <w:tr w14:paraId="0FAAB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20FB3CE3">
            <w:pPr>
              <w:spacing w:line="400" w:lineRule="exact"/>
              <w:rPr>
                <w:rFonts w:hint="eastAsia" w:ascii="仿宋" w:hAnsi="仿宋" w:eastAsia="仿宋" w:cs="仿宋"/>
                <w:color w:val="auto"/>
                <w:sz w:val="24"/>
              </w:rPr>
            </w:pPr>
            <w:r>
              <w:rPr>
                <w:rFonts w:hint="eastAsia" w:ascii="仿宋" w:hAnsi="仿宋" w:eastAsia="仿宋" w:cs="仿宋"/>
                <w:color w:val="auto"/>
                <w:sz w:val="24"/>
              </w:rPr>
              <w:t>1.9.1</w:t>
            </w:r>
          </w:p>
        </w:tc>
        <w:tc>
          <w:tcPr>
            <w:tcW w:w="4404" w:type="pct"/>
            <w:shd w:val="clear" w:color="auto" w:fill="auto"/>
            <w:vAlign w:val="center"/>
          </w:tcPr>
          <w:p w14:paraId="615B892F">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w:t>
            </w:r>
          </w:p>
        </w:tc>
      </w:tr>
      <w:tr w14:paraId="4CBBE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24280672">
            <w:pPr>
              <w:spacing w:line="400" w:lineRule="exact"/>
              <w:rPr>
                <w:rFonts w:hint="eastAsia" w:ascii="仿宋" w:hAnsi="仿宋" w:eastAsia="仿宋" w:cs="仿宋"/>
                <w:color w:val="auto"/>
                <w:sz w:val="24"/>
              </w:rPr>
            </w:pPr>
            <w:r>
              <w:rPr>
                <w:rFonts w:hint="eastAsia" w:ascii="仿宋" w:hAnsi="仿宋" w:eastAsia="仿宋" w:cs="仿宋"/>
                <w:color w:val="auto"/>
                <w:sz w:val="24"/>
              </w:rPr>
              <w:t>1.9.2</w:t>
            </w:r>
          </w:p>
        </w:tc>
        <w:tc>
          <w:tcPr>
            <w:tcW w:w="4404" w:type="pct"/>
            <w:shd w:val="clear" w:color="auto" w:fill="auto"/>
            <w:vAlign w:val="center"/>
          </w:tcPr>
          <w:p w14:paraId="2E8C0581">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本项目所在地。</w:t>
            </w:r>
          </w:p>
        </w:tc>
      </w:tr>
      <w:tr w14:paraId="2BF2A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5EBE6291">
            <w:pPr>
              <w:spacing w:line="400" w:lineRule="exact"/>
              <w:rPr>
                <w:rFonts w:hint="eastAsia" w:ascii="仿宋" w:hAnsi="仿宋" w:eastAsia="仿宋" w:cs="仿宋"/>
                <w:color w:val="auto"/>
                <w:sz w:val="24"/>
              </w:rPr>
            </w:pPr>
            <w:r>
              <w:rPr>
                <w:rFonts w:hint="eastAsia" w:ascii="仿宋" w:hAnsi="仿宋" w:eastAsia="仿宋" w:cs="仿宋"/>
                <w:color w:val="auto"/>
                <w:sz w:val="24"/>
              </w:rPr>
              <w:t>2.3.2</w:t>
            </w:r>
          </w:p>
        </w:tc>
        <w:tc>
          <w:tcPr>
            <w:tcW w:w="4404" w:type="pct"/>
            <w:shd w:val="clear" w:color="auto" w:fill="auto"/>
            <w:vAlign w:val="center"/>
          </w:tcPr>
          <w:p w14:paraId="48D84598">
            <w:pPr>
              <w:spacing w:line="360" w:lineRule="exact"/>
              <w:ind w:left="-420" w:leftChars="-200" w:right="-420" w:rightChars="-200" w:firstLine="480" w:firstLineChars="200"/>
              <w:rPr>
                <w:rFonts w:hint="eastAsia" w:ascii="仿宋" w:hAnsi="仿宋" w:eastAsia="仿宋" w:cs="宋体"/>
                <w:bCs/>
                <w:color w:val="auto"/>
                <w:sz w:val="24"/>
              </w:rPr>
            </w:pPr>
            <w:r>
              <w:rPr>
                <w:rFonts w:hint="eastAsia" w:ascii="仿宋" w:hAnsi="仿宋" w:eastAsia="仿宋" w:cs="宋体"/>
                <w:bCs/>
                <w:color w:val="auto"/>
                <w:sz w:val="24"/>
              </w:rPr>
              <w:t>/</w:t>
            </w:r>
          </w:p>
        </w:tc>
      </w:tr>
      <w:tr w14:paraId="7974B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171BECD7">
            <w:pPr>
              <w:spacing w:line="400" w:lineRule="exact"/>
              <w:rPr>
                <w:rFonts w:hint="eastAsia" w:ascii="仿宋" w:hAnsi="仿宋" w:eastAsia="仿宋" w:cs="仿宋"/>
                <w:color w:val="auto"/>
                <w:sz w:val="24"/>
              </w:rPr>
            </w:pPr>
            <w:r>
              <w:rPr>
                <w:rFonts w:hint="eastAsia" w:ascii="仿宋" w:hAnsi="仿宋" w:eastAsia="仿宋" w:cs="仿宋"/>
                <w:color w:val="auto"/>
                <w:sz w:val="24"/>
              </w:rPr>
              <w:t>2.5</w:t>
            </w:r>
          </w:p>
        </w:tc>
        <w:tc>
          <w:tcPr>
            <w:tcW w:w="4404" w:type="pct"/>
            <w:shd w:val="clear" w:color="auto" w:fill="auto"/>
            <w:vAlign w:val="center"/>
          </w:tcPr>
          <w:p w14:paraId="2559C2A2">
            <w:pPr>
              <w:tabs>
                <w:tab w:val="left" w:pos="0"/>
              </w:tabs>
              <w:spacing w:line="320" w:lineRule="exact"/>
              <w:ind w:firstLine="480" w:firstLineChars="200"/>
              <w:rPr>
                <w:rFonts w:hint="eastAsia" w:ascii="仿宋" w:hAnsi="仿宋" w:eastAsia="仿宋" w:cs="Helvetica"/>
                <w:color w:val="auto"/>
                <w:kern w:val="0"/>
                <w:sz w:val="24"/>
                <w:lang w:bidi="ar"/>
              </w:rPr>
            </w:pPr>
            <w:r>
              <w:rPr>
                <w:rFonts w:ascii="仿宋" w:hAnsi="仿宋" w:eastAsia="仿宋" w:cs="Helvetica"/>
                <w:color w:val="auto"/>
                <w:kern w:val="0"/>
                <w:sz w:val="24"/>
                <w:lang w:bidi="ar"/>
              </w:rPr>
              <w:t>1.</w:t>
            </w:r>
            <w:r>
              <w:rPr>
                <w:rFonts w:hint="eastAsia" w:ascii="仿宋" w:hAnsi="仿宋" w:eastAsia="仿宋" w:cs="Helvetica"/>
                <w:color w:val="auto"/>
                <w:kern w:val="0"/>
                <w:sz w:val="24"/>
                <w:lang w:bidi="ar"/>
              </w:rPr>
              <w:t>预付款：中标人</w:t>
            </w:r>
            <w:r>
              <w:rPr>
                <w:rFonts w:ascii="仿宋" w:hAnsi="仿宋" w:eastAsia="仿宋" w:cs="Helvetica"/>
                <w:color w:val="auto"/>
                <w:kern w:val="0"/>
                <w:sz w:val="24"/>
                <w:lang w:bidi="ar"/>
              </w:rPr>
              <w:t>提交银行、保险公司等金融机构出具的预付款保函（保函数额与预付款金额相同）；合同生效并具备实施条件后7个工作日内，采购人向中标人支付合同金额（报单价部分按预算金额计）40%的预付款。剩余合同款项在验收合格后，凭验收合格证明材料、发票、履约保证金凭证到采购人处结算。采购人在7个工作日内向</w:t>
            </w:r>
            <w:r>
              <w:rPr>
                <w:rFonts w:hint="eastAsia" w:ascii="仿宋" w:hAnsi="仿宋" w:eastAsia="仿宋" w:cs="Helvetica"/>
                <w:color w:val="auto"/>
                <w:kern w:val="0"/>
                <w:sz w:val="24"/>
                <w:lang w:bidi="ar"/>
              </w:rPr>
              <w:t>中标人</w:t>
            </w:r>
            <w:r>
              <w:rPr>
                <w:rFonts w:ascii="仿宋" w:hAnsi="仿宋" w:eastAsia="仿宋" w:cs="Helvetica"/>
                <w:color w:val="auto"/>
                <w:kern w:val="0"/>
                <w:sz w:val="24"/>
                <w:lang w:bidi="ar"/>
              </w:rPr>
              <w:t>支付全部合同余款。</w:t>
            </w:r>
          </w:p>
          <w:p w14:paraId="7F8C821C">
            <w:pPr>
              <w:tabs>
                <w:tab w:val="left" w:pos="0"/>
              </w:tabs>
              <w:spacing w:line="320" w:lineRule="exact"/>
              <w:ind w:firstLine="480" w:firstLineChars="200"/>
              <w:rPr>
                <w:rFonts w:hint="eastAsia" w:ascii="仿宋" w:hAnsi="仿宋" w:eastAsia="仿宋" w:cs="Helvetica"/>
                <w:color w:val="auto"/>
                <w:kern w:val="0"/>
                <w:sz w:val="24"/>
                <w:lang w:bidi="ar"/>
              </w:rPr>
            </w:pPr>
            <w:r>
              <w:rPr>
                <w:rFonts w:ascii="仿宋" w:hAnsi="仿宋" w:eastAsia="仿宋" w:cs="Helvetica"/>
                <w:color w:val="auto"/>
                <w:kern w:val="0"/>
                <w:sz w:val="24"/>
                <w:lang w:bidi="ar"/>
              </w:rPr>
              <w:t>2.</w:t>
            </w:r>
            <w:r>
              <w:rPr>
                <w:rFonts w:hint="eastAsia" w:ascii="仿宋" w:hAnsi="仿宋" w:eastAsia="仿宋" w:cs="Helvetica"/>
                <w:color w:val="auto"/>
                <w:kern w:val="0"/>
                <w:sz w:val="24"/>
                <w:lang w:bidi="ar"/>
              </w:rPr>
              <w:t>付款方式：</w:t>
            </w:r>
            <w:r>
              <w:rPr>
                <w:rFonts w:ascii="仿宋" w:hAnsi="仿宋" w:eastAsia="仿宋" w:cs="Helvetica"/>
                <w:color w:val="auto"/>
                <w:kern w:val="0"/>
                <w:sz w:val="24"/>
                <w:lang w:bidi="ar"/>
              </w:rPr>
              <w:t>在签订合同前，</w:t>
            </w:r>
            <w:r>
              <w:rPr>
                <w:rFonts w:hint="eastAsia" w:ascii="仿宋" w:hAnsi="仿宋" w:eastAsia="仿宋" w:cs="Helvetica"/>
                <w:color w:val="auto"/>
                <w:kern w:val="0"/>
                <w:sz w:val="24"/>
                <w:lang w:bidi="ar"/>
              </w:rPr>
              <w:t>中标人</w:t>
            </w:r>
            <w:r>
              <w:rPr>
                <w:rFonts w:ascii="仿宋" w:hAnsi="仿宋" w:eastAsia="仿宋" w:cs="Helvetica"/>
                <w:color w:val="auto"/>
                <w:kern w:val="0"/>
                <w:sz w:val="24"/>
                <w:lang w:bidi="ar"/>
              </w:rPr>
              <w:t>主动要求降低预付款比例的，按实际比例计。</w:t>
            </w:r>
            <w:r>
              <w:rPr>
                <w:rFonts w:hint="eastAsia" w:ascii="仿宋" w:hAnsi="仿宋" w:eastAsia="仿宋" w:cs="Helvetica"/>
                <w:color w:val="auto"/>
                <w:kern w:val="0"/>
                <w:sz w:val="24"/>
                <w:lang w:bidi="ar"/>
              </w:rPr>
              <w:t>中标人</w:t>
            </w:r>
            <w:r>
              <w:rPr>
                <w:rFonts w:ascii="仿宋" w:hAnsi="仿宋" w:eastAsia="仿宋" w:cs="Helvetica"/>
                <w:color w:val="auto"/>
                <w:kern w:val="0"/>
                <w:sz w:val="24"/>
                <w:lang w:bidi="ar"/>
              </w:rPr>
              <w:t xml:space="preserve">明确表示无需预付款的，采用下述付款方式： </w:t>
            </w:r>
          </w:p>
          <w:p w14:paraId="4C687464">
            <w:pPr>
              <w:spacing w:before="120" w:beforeLines="50" w:line="340" w:lineRule="exact"/>
              <w:ind w:firstLine="480" w:firstLineChars="200"/>
              <w:rPr>
                <w:rFonts w:hint="eastAsia" w:ascii="仿宋" w:hAnsi="仿宋" w:eastAsia="仿宋" w:cs="宋体"/>
                <w:color w:val="auto"/>
                <w:kern w:val="0"/>
                <w:sz w:val="24"/>
              </w:rPr>
            </w:pPr>
            <w:r>
              <w:rPr>
                <w:rFonts w:ascii="仿宋" w:hAnsi="仿宋" w:eastAsia="仿宋" w:cs="宋体"/>
                <w:color w:val="auto"/>
                <w:kern w:val="0"/>
                <w:sz w:val="24"/>
              </w:rPr>
              <w:t>2.</w:t>
            </w:r>
            <w:r>
              <w:rPr>
                <w:rFonts w:hint="eastAsia" w:ascii="仿宋" w:hAnsi="仿宋" w:eastAsia="仿宋" w:cs="宋体"/>
                <w:color w:val="auto"/>
                <w:kern w:val="0"/>
                <w:sz w:val="24"/>
              </w:rPr>
              <w:t>1投标单位根据专案采购需求进行报价，最终报价为最后结算基准价（包括人工费、材料费、差旅费、交通费、审计人员外派驻场费、税金等与本项目有关的所有费用，并承担一切风险责任）。</w:t>
            </w:r>
          </w:p>
          <w:p w14:paraId="5E4602DB">
            <w:pPr>
              <w:spacing w:before="120" w:beforeLines="50" w:line="340" w:lineRule="exact"/>
              <w:ind w:firstLine="480" w:firstLineChars="200"/>
              <w:rPr>
                <w:rFonts w:hint="eastAsia" w:ascii="仿宋" w:hAnsi="仿宋" w:eastAsia="仿宋" w:cs="宋体"/>
                <w:color w:val="auto"/>
                <w:kern w:val="0"/>
                <w:sz w:val="24"/>
              </w:rPr>
            </w:pPr>
            <w:r>
              <w:rPr>
                <w:rFonts w:ascii="仿宋" w:hAnsi="仿宋" w:eastAsia="仿宋" w:cs="宋体"/>
                <w:color w:val="auto"/>
                <w:kern w:val="0"/>
                <w:sz w:val="24"/>
              </w:rPr>
              <w:t>2.</w:t>
            </w:r>
            <w:r>
              <w:rPr>
                <w:rFonts w:hint="eastAsia" w:ascii="仿宋" w:hAnsi="仿宋" w:eastAsia="仿宋" w:cs="宋体"/>
                <w:color w:val="auto"/>
                <w:kern w:val="0"/>
                <w:sz w:val="24"/>
              </w:rPr>
              <w:t>2审计费用一案一结。审计单位完成一个案件的审计服务并出具审计报告后，采购人根据审计案件的具体涉案金额或审计实际工作量进行结算，并对审计单位的工作进度与服务质量进行考核后于10个工作日内支付。</w:t>
            </w:r>
          </w:p>
          <w:p w14:paraId="3EE8864B">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2.</w:t>
            </w:r>
            <w:r>
              <w:rPr>
                <w:rFonts w:ascii="仿宋" w:hAnsi="仿宋" w:eastAsia="仿宋" w:cs="宋体"/>
                <w:color w:val="auto"/>
                <w:kern w:val="0"/>
                <w:sz w:val="24"/>
              </w:rPr>
              <w:t>3</w:t>
            </w:r>
            <w:r>
              <w:rPr>
                <w:rFonts w:hint="eastAsia" w:ascii="仿宋" w:hAnsi="仿宋" w:eastAsia="仿宋" w:cs="宋体"/>
                <w:color w:val="auto"/>
                <w:kern w:val="0"/>
                <w:sz w:val="24"/>
              </w:rPr>
              <w:t>支付说明：采购人在收到供应商开具的符合法律法规规定发票后，以转账支付的方式，支付给供应商服务费。供应商逾期开具发票或开具的发票不符合采购人要求的，采购人有权延迟付款时间，且该行为不视为违约。</w:t>
            </w:r>
          </w:p>
        </w:tc>
      </w:tr>
      <w:tr w14:paraId="4A6C7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0D020DF7">
            <w:pPr>
              <w:spacing w:line="400" w:lineRule="exact"/>
              <w:rPr>
                <w:rFonts w:hint="eastAsia" w:ascii="仿宋" w:hAnsi="仿宋" w:eastAsia="仿宋" w:cs="仿宋"/>
                <w:color w:val="auto"/>
                <w:sz w:val="24"/>
              </w:rPr>
            </w:pPr>
            <w:r>
              <w:rPr>
                <w:rFonts w:hint="eastAsia" w:ascii="仿宋" w:hAnsi="仿宋" w:eastAsia="仿宋" w:cs="仿宋"/>
                <w:color w:val="auto"/>
                <w:sz w:val="24"/>
              </w:rPr>
              <w:t>2.11.3</w:t>
            </w:r>
          </w:p>
        </w:tc>
        <w:tc>
          <w:tcPr>
            <w:tcW w:w="4404" w:type="pct"/>
            <w:shd w:val="clear" w:color="auto" w:fill="auto"/>
            <w:vAlign w:val="center"/>
          </w:tcPr>
          <w:p w14:paraId="22DE6F9C">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w:t>
            </w:r>
          </w:p>
        </w:tc>
      </w:tr>
      <w:tr w14:paraId="7B2C8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tcPr>
          <w:p w14:paraId="3DA9785D">
            <w:pPr>
              <w:spacing w:line="400" w:lineRule="exact"/>
              <w:rPr>
                <w:rFonts w:hint="eastAsia" w:ascii="仿宋" w:hAnsi="仿宋" w:eastAsia="仿宋" w:cs="仿宋"/>
                <w:color w:val="auto"/>
                <w:sz w:val="24"/>
              </w:rPr>
            </w:pPr>
            <w:r>
              <w:rPr>
                <w:rFonts w:hint="eastAsia" w:ascii="仿宋" w:hAnsi="仿宋" w:eastAsia="仿宋" w:cs="仿宋"/>
                <w:color w:val="auto"/>
                <w:sz w:val="24"/>
              </w:rPr>
              <w:t>2.11.4</w:t>
            </w:r>
          </w:p>
        </w:tc>
        <w:tc>
          <w:tcPr>
            <w:tcW w:w="4404" w:type="pct"/>
            <w:shd w:val="clear" w:color="auto" w:fill="auto"/>
          </w:tcPr>
          <w:p w14:paraId="297B5304">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w:t>
            </w:r>
          </w:p>
        </w:tc>
      </w:tr>
      <w:tr w14:paraId="19D81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7584AAD1">
            <w:pPr>
              <w:spacing w:line="400" w:lineRule="exact"/>
              <w:rPr>
                <w:rFonts w:hint="eastAsia" w:ascii="仿宋" w:hAnsi="仿宋" w:eastAsia="仿宋" w:cs="仿宋"/>
                <w:color w:val="auto"/>
                <w:sz w:val="24"/>
              </w:rPr>
            </w:pPr>
            <w:r>
              <w:rPr>
                <w:rFonts w:hint="eastAsia" w:ascii="仿宋" w:hAnsi="仿宋" w:eastAsia="仿宋" w:cs="仿宋"/>
                <w:color w:val="auto"/>
                <w:sz w:val="24"/>
              </w:rPr>
              <w:t>2.15.1</w:t>
            </w:r>
          </w:p>
        </w:tc>
        <w:tc>
          <w:tcPr>
            <w:tcW w:w="4404" w:type="pct"/>
            <w:shd w:val="clear" w:color="auto" w:fill="auto"/>
            <w:vAlign w:val="center"/>
          </w:tcPr>
          <w:p w14:paraId="7D9A0C55">
            <w:pPr>
              <w:spacing w:line="360" w:lineRule="exact"/>
              <w:rPr>
                <w:rFonts w:hint="eastAsia" w:ascii="仿宋" w:hAnsi="仿宋" w:eastAsia="仿宋" w:cs="宋体"/>
                <w:bCs/>
                <w:color w:val="auto"/>
                <w:sz w:val="24"/>
              </w:rPr>
            </w:pPr>
            <w:r>
              <w:rPr>
                <w:rFonts w:hint="eastAsia" w:ascii="仿宋" w:hAnsi="仿宋" w:eastAsia="仿宋" w:cs="宋体"/>
                <w:bCs/>
                <w:color w:val="auto"/>
                <w:sz w:val="24"/>
              </w:rPr>
              <w:t>/</w:t>
            </w:r>
          </w:p>
        </w:tc>
      </w:tr>
      <w:tr w14:paraId="319B1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95" w:type="pct"/>
            <w:tcBorders>
              <w:left w:val="single" w:color="auto" w:sz="4" w:space="0"/>
            </w:tcBorders>
            <w:vAlign w:val="center"/>
          </w:tcPr>
          <w:p w14:paraId="11B1931B">
            <w:pPr>
              <w:spacing w:line="400" w:lineRule="exact"/>
              <w:rPr>
                <w:rFonts w:hint="eastAsia" w:ascii="仿宋" w:hAnsi="仿宋" w:eastAsia="仿宋" w:cs="仿宋"/>
                <w:color w:val="auto"/>
                <w:sz w:val="24"/>
              </w:rPr>
            </w:pPr>
            <w:r>
              <w:rPr>
                <w:rFonts w:hint="eastAsia" w:ascii="仿宋" w:hAnsi="仿宋" w:eastAsia="仿宋" w:cs="仿宋"/>
                <w:color w:val="auto"/>
                <w:sz w:val="24"/>
              </w:rPr>
              <w:t>2.15.3</w:t>
            </w:r>
          </w:p>
        </w:tc>
        <w:tc>
          <w:tcPr>
            <w:tcW w:w="4404" w:type="pct"/>
            <w:shd w:val="clear" w:color="auto" w:fill="auto"/>
            <w:vAlign w:val="center"/>
          </w:tcPr>
          <w:p w14:paraId="64651CEB">
            <w:pPr>
              <w:spacing w:line="360" w:lineRule="exact"/>
              <w:rPr>
                <w:rFonts w:hint="eastAsia" w:ascii="仿宋" w:hAnsi="仿宋" w:eastAsia="仿宋" w:cs="宋体"/>
                <w:bCs/>
                <w:color w:val="auto"/>
                <w:sz w:val="24"/>
              </w:rPr>
            </w:pPr>
            <w:r>
              <w:rPr>
                <w:rFonts w:ascii="仿宋" w:hAnsi="仿宋" w:eastAsia="仿宋" w:cs="宋体"/>
                <w:bCs/>
                <w:color w:val="auto"/>
                <w:sz w:val="24"/>
              </w:rPr>
              <w:t xml:space="preserve">1.验收主体：甲方。 </w:t>
            </w:r>
          </w:p>
          <w:p w14:paraId="1613405C">
            <w:pPr>
              <w:spacing w:line="360" w:lineRule="exact"/>
              <w:rPr>
                <w:rFonts w:hint="eastAsia" w:ascii="仿宋" w:hAnsi="仿宋" w:eastAsia="仿宋" w:cs="宋体"/>
                <w:bCs/>
                <w:color w:val="auto"/>
                <w:sz w:val="24"/>
              </w:rPr>
            </w:pPr>
            <w:r>
              <w:rPr>
                <w:rFonts w:ascii="仿宋" w:hAnsi="仿宋" w:eastAsia="仿宋" w:cs="宋体"/>
                <w:bCs/>
                <w:color w:val="auto"/>
                <w:sz w:val="24"/>
              </w:rPr>
              <w:t xml:space="preserve">2.甲方在乙方提供服务的过程中，有权不定期对服务内容和质量进行考核。乙 方应当配合进行。 </w:t>
            </w:r>
          </w:p>
          <w:p w14:paraId="7B98CCDB">
            <w:pPr>
              <w:spacing w:line="360" w:lineRule="exact"/>
              <w:rPr>
                <w:rFonts w:hint="eastAsia" w:ascii="仿宋" w:hAnsi="仿宋" w:eastAsia="仿宋" w:cs="宋体"/>
                <w:bCs/>
                <w:color w:val="auto"/>
                <w:sz w:val="24"/>
              </w:rPr>
            </w:pPr>
            <w:r>
              <w:rPr>
                <w:rFonts w:ascii="仿宋" w:hAnsi="仿宋" w:eastAsia="仿宋" w:cs="宋体"/>
                <w:bCs/>
                <w:color w:val="auto"/>
                <w:sz w:val="24"/>
              </w:rPr>
              <w:t>3.最终验收时间：服务内容执行完毕、服务期截止后。</w:t>
            </w:r>
          </w:p>
          <w:p w14:paraId="2FF7D9AE">
            <w:pPr>
              <w:spacing w:line="360" w:lineRule="exact"/>
              <w:rPr>
                <w:rFonts w:hint="eastAsia" w:ascii="仿宋" w:hAnsi="仿宋" w:eastAsia="仿宋" w:cs="宋体"/>
                <w:bCs/>
                <w:color w:val="auto"/>
                <w:sz w:val="24"/>
              </w:rPr>
            </w:pPr>
            <w:r>
              <w:rPr>
                <w:rFonts w:ascii="仿宋" w:hAnsi="仿宋" w:eastAsia="仿宋" w:cs="宋体"/>
                <w:bCs/>
                <w:color w:val="auto"/>
                <w:sz w:val="24"/>
              </w:rPr>
              <w:t xml:space="preserve">4.验收程序：乙方向甲方提出申请验收，甲方按验收方案组织履约验收。乙方 应将项目执行过程及时记录、收集、整理，向甲方递交验收申请资料。 </w:t>
            </w:r>
          </w:p>
          <w:p w14:paraId="5266C63F">
            <w:pPr>
              <w:spacing w:line="360" w:lineRule="exact"/>
              <w:rPr>
                <w:rFonts w:hint="eastAsia" w:ascii="仿宋" w:hAnsi="仿宋" w:eastAsia="仿宋" w:cs="宋体"/>
                <w:bCs/>
                <w:color w:val="auto"/>
                <w:sz w:val="24"/>
              </w:rPr>
            </w:pPr>
            <w:r>
              <w:rPr>
                <w:rFonts w:ascii="仿宋" w:hAnsi="仿宋" w:eastAsia="仿宋" w:cs="宋体"/>
                <w:bCs/>
                <w:color w:val="auto"/>
                <w:sz w:val="24"/>
              </w:rPr>
              <w:t>5.验收内容：乙方实际完成的情况是否符合采购文件要求和乙方在投标响应文 件中的商务、技术承诺。</w:t>
            </w:r>
          </w:p>
          <w:p w14:paraId="4BD03727">
            <w:pPr>
              <w:spacing w:line="360" w:lineRule="exact"/>
              <w:rPr>
                <w:rFonts w:hint="eastAsia" w:ascii="仿宋" w:hAnsi="仿宋" w:eastAsia="仿宋" w:cs="宋体"/>
                <w:bCs/>
                <w:color w:val="auto"/>
                <w:sz w:val="24"/>
              </w:rPr>
            </w:pPr>
            <w:r>
              <w:rPr>
                <w:rFonts w:ascii="仿宋" w:hAnsi="仿宋" w:eastAsia="仿宋" w:cs="宋体"/>
                <w:bCs/>
                <w:color w:val="auto"/>
                <w:sz w:val="24"/>
              </w:rPr>
              <w:t xml:space="preserve"> 6.验收标准：乙方已经按采购文件要求和乙方在投标响应文件中的商务、技术 承诺完成项目执行。</w:t>
            </w:r>
          </w:p>
          <w:p w14:paraId="0DE0ABF6">
            <w:pPr>
              <w:spacing w:line="360" w:lineRule="exact"/>
              <w:rPr>
                <w:rFonts w:hint="eastAsia" w:ascii="仿宋" w:hAnsi="仿宋" w:eastAsia="仿宋" w:cs="宋体"/>
                <w:bCs/>
                <w:color w:val="auto"/>
                <w:sz w:val="24"/>
              </w:rPr>
            </w:pPr>
            <w:r>
              <w:rPr>
                <w:rFonts w:ascii="仿宋" w:hAnsi="仿宋" w:eastAsia="仿宋" w:cs="宋体"/>
                <w:bCs/>
                <w:color w:val="auto"/>
                <w:sz w:val="24"/>
              </w:rPr>
              <w:t xml:space="preserve"> 7.验收时乙方应在现场，验收完毕后作出验收结果报告；验收产生的费用，由 甲方承担。</w:t>
            </w:r>
          </w:p>
          <w:p w14:paraId="7F31B935">
            <w:pPr>
              <w:spacing w:line="360" w:lineRule="exact"/>
              <w:rPr>
                <w:rFonts w:hint="eastAsia" w:ascii="仿宋" w:hAnsi="仿宋" w:eastAsia="仿宋" w:cs="宋体"/>
                <w:color w:val="auto"/>
                <w:sz w:val="24"/>
              </w:rPr>
            </w:pPr>
            <w:r>
              <w:rPr>
                <w:rFonts w:ascii="仿宋" w:hAnsi="仿宋" w:eastAsia="仿宋" w:cs="宋体"/>
                <w:bCs/>
                <w:color w:val="auto"/>
                <w:sz w:val="24"/>
              </w:rPr>
              <w:t xml:space="preserve"> 8.经验收后，乙方服务成果不合格的（或未通过评审的），甲方有权要求乙方 进行整改，相关费用由乙方承担；如整改后仍不合格的，甲方有权解除合同， 并可以拒绝支付未支付的款项，乙方已经收取的款项应退还给甲方。</w:t>
            </w:r>
          </w:p>
        </w:tc>
      </w:tr>
      <w:tr w14:paraId="47745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95" w:type="pct"/>
            <w:tcBorders>
              <w:left w:val="single" w:color="auto" w:sz="4" w:space="0"/>
            </w:tcBorders>
          </w:tcPr>
          <w:p w14:paraId="2533C9E1">
            <w:pPr>
              <w:spacing w:line="400" w:lineRule="exact"/>
              <w:rPr>
                <w:rFonts w:hint="eastAsia" w:ascii="仿宋" w:hAnsi="仿宋" w:eastAsia="仿宋" w:cs="仿宋"/>
                <w:color w:val="auto"/>
                <w:sz w:val="24"/>
              </w:rPr>
            </w:pPr>
            <w:r>
              <w:rPr>
                <w:rFonts w:hint="eastAsia" w:ascii="仿宋" w:hAnsi="仿宋" w:eastAsia="仿宋" w:cs="仿宋"/>
                <w:color w:val="auto"/>
                <w:sz w:val="24"/>
              </w:rPr>
              <w:t>2.19</w:t>
            </w:r>
          </w:p>
        </w:tc>
        <w:tc>
          <w:tcPr>
            <w:tcW w:w="4404" w:type="pct"/>
          </w:tcPr>
          <w:p w14:paraId="4ED47409">
            <w:pPr>
              <w:spacing w:line="400" w:lineRule="exact"/>
              <w:rPr>
                <w:rFonts w:hint="eastAsia" w:ascii="仿宋" w:hAnsi="仿宋" w:eastAsia="仿宋" w:cs="仿宋"/>
                <w:color w:val="auto"/>
                <w:sz w:val="24"/>
              </w:rPr>
            </w:pPr>
            <w:r>
              <w:rPr>
                <w:rFonts w:hint="eastAsia" w:ascii="仿宋" w:hAnsi="仿宋" w:eastAsia="仿宋" w:cs="仿宋"/>
                <w:color w:val="auto"/>
                <w:spacing w:val="-2"/>
                <w:sz w:val="24"/>
              </w:rPr>
              <w:t>本合同一式四份，甲乙双方各执二份；每份均具有同等法律效力。</w:t>
            </w:r>
          </w:p>
        </w:tc>
      </w:tr>
    </w:tbl>
    <w:p w14:paraId="55895B7B">
      <w:pPr>
        <w:rPr>
          <w:rFonts w:hint="eastAsia" w:ascii="仿宋" w:hAnsi="仿宋" w:eastAsia="仿宋" w:cs="仿宋"/>
          <w:b/>
          <w:color w:val="auto"/>
          <w:sz w:val="36"/>
          <w:szCs w:val="20"/>
        </w:rPr>
      </w:pPr>
      <w:r>
        <w:rPr>
          <w:rFonts w:hint="eastAsia" w:ascii="仿宋" w:hAnsi="仿宋" w:eastAsia="仿宋" w:cs="仿宋"/>
          <w:b/>
          <w:color w:val="auto"/>
          <w:sz w:val="36"/>
          <w:szCs w:val="20"/>
        </w:rPr>
        <w:t>附件：</w:t>
      </w:r>
    </w:p>
    <w:p w14:paraId="11875F05">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①根据案件最终标的金额，依据浙江高法鉴（2004）11号《浙江省人民法院对外委托司法鉴定部分鉴定项目协商收费参考意见》，通过累进费率（见下表）计算后，按投标折扣率*收费标准开展结算支付。</w:t>
      </w:r>
    </w:p>
    <w:tbl>
      <w:tblPr>
        <w:tblStyle w:val="62"/>
        <w:tblW w:w="4999" w:type="pct"/>
        <w:tblInd w:w="0" w:type="dxa"/>
        <w:tblLayout w:type="autofit"/>
        <w:tblCellMar>
          <w:top w:w="0" w:type="dxa"/>
          <w:left w:w="108" w:type="dxa"/>
          <w:bottom w:w="0" w:type="dxa"/>
          <w:right w:w="108" w:type="dxa"/>
        </w:tblCellMar>
      </w:tblPr>
      <w:tblGrid>
        <w:gridCol w:w="2712"/>
        <w:gridCol w:w="1776"/>
        <w:gridCol w:w="2257"/>
        <w:gridCol w:w="2257"/>
      </w:tblGrid>
      <w:tr w14:paraId="46F49DB5">
        <w:tblPrEx>
          <w:tblCellMar>
            <w:top w:w="0" w:type="dxa"/>
            <w:left w:w="108" w:type="dxa"/>
            <w:bottom w:w="0" w:type="dxa"/>
            <w:right w:w="108" w:type="dxa"/>
          </w:tblCellMar>
        </w:tblPrEx>
        <w:trPr>
          <w:trHeight w:val="285" w:hRule="atLeast"/>
        </w:trPr>
        <w:tc>
          <w:tcPr>
            <w:tcW w:w="1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54F46C">
            <w:pPr>
              <w:spacing w:before="120" w:beforeLines="50" w:line="340" w:lineRule="exact"/>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审计总额</w:t>
            </w:r>
          </w:p>
        </w:tc>
        <w:tc>
          <w:tcPr>
            <w:tcW w:w="986" w:type="pct"/>
            <w:tcBorders>
              <w:top w:val="single" w:color="auto" w:sz="4" w:space="0"/>
              <w:left w:val="nil"/>
              <w:bottom w:val="single" w:color="auto" w:sz="4" w:space="0"/>
              <w:right w:val="single" w:color="auto" w:sz="4" w:space="0"/>
            </w:tcBorders>
            <w:shd w:val="clear" w:color="auto" w:fill="auto"/>
            <w:noWrap/>
            <w:vAlign w:val="center"/>
          </w:tcPr>
          <w:p w14:paraId="03319028">
            <w:pPr>
              <w:spacing w:before="120" w:beforeLines="50" w:line="340" w:lineRule="exact"/>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费率</w:t>
            </w:r>
          </w:p>
        </w:tc>
        <w:tc>
          <w:tcPr>
            <w:tcW w:w="1253" w:type="pct"/>
            <w:tcBorders>
              <w:top w:val="single" w:color="auto" w:sz="4" w:space="0"/>
              <w:left w:val="nil"/>
              <w:bottom w:val="single" w:color="auto" w:sz="4" w:space="0"/>
              <w:right w:val="single" w:color="auto" w:sz="4" w:space="0"/>
            </w:tcBorders>
            <w:shd w:val="clear" w:color="auto" w:fill="auto"/>
            <w:noWrap/>
            <w:vAlign w:val="center"/>
          </w:tcPr>
          <w:p w14:paraId="1F73F57F">
            <w:pPr>
              <w:spacing w:before="120" w:beforeLines="50" w:line="340" w:lineRule="exact"/>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收费标准</w:t>
            </w:r>
          </w:p>
        </w:tc>
        <w:tc>
          <w:tcPr>
            <w:tcW w:w="1253" w:type="pct"/>
            <w:tcBorders>
              <w:top w:val="single" w:color="auto" w:sz="4" w:space="0"/>
              <w:left w:val="nil"/>
              <w:bottom w:val="single" w:color="auto" w:sz="4" w:space="0"/>
              <w:right w:val="single" w:color="auto" w:sz="4" w:space="0"/>
            </w:tcBorders>
            <w:shd w:val="clear" w:color="auto" w:fill="auto"/>
            <w:noWrap/>
            <w:vAlign w:val="center"/>
          </w:tcPr>
          <w:p w14:paraId="3E9DCE00">
            <w:pPr>
              <w:spacing w:before="120" w:beforeLines="50" w:line="340" w:lineRule="exact"/>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结算单价（元）</w:t>
            </w:r>
          </w:p>
        </w:tc>
      </w:tr>
      <w:tr w14:paraId="697B63B0">
        <w:tblPrEx>
          <w:tblCellMar>
            <w:top w:w="0" w:type="dxa"/>
            <w:left w:w="108" w:type="dxa"/>
            <w:bottom w:w="0" w:type="dxa"/>
            <w:right w:w="108" w:type="dxa"/>
          </w:tblCellMar>
        </w:tblPrEx>
        <w:trPr>
          <w:trHeight w:val="285" w:hRule="atLeast"/>
        </w:trPr>
        <w:tc>
          <w:tcPr>
            <w:tcW w:w="1506" w:type="pct"/>
            <w:tcBorders>
              <w:top w:val="nil"/>
              <w:left w:val="single" w:color="auto" w:sz="4" w:space="0"/>
              <w:bottom w:val="single" w:color="auto" w:sz="4" w:space="0"/>
              <w:right w:val="single" w:color="auto" w:sz="4" w:space="0"/>
            </w:tcBorders>
            <w:shd w:val="clear" w:color="auto" w:fill="auto"/>
            <w:noWrap/>
            <w:vAlign w:val="center"/>
          </w:tcPr>
          <w:p w14:paraId="3152FC13">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100</w:t>
            </w:r>
            <w:r>
              <w:rPr>
                <w:rFonts w:hint="eastAsia" w:ascii="仿宋" w:hAnsi="仿宋" w:eastAsia="仿宋" w:cs="宋体"/>
                <w:color w:val="auto"/>
                <w:kern w:val="0"/>
                <w:sz w:val="24"/>
              </w:rPr>
              <w:t>万</w:t>
            </w:r>
          </w:p>
        </w:tc>
        <w:tc>
          <w:tcPr>
            <w:tcW w:w="986" w:type="pct"/>
            <w:tcBorders>
              <w:top w:val="nil"/>
              <w:left w:val="nil"/>
              <w:bottom w:val="single" w:color="auto" w:sz="4" w:space="0"/>
              <w:right w:val="single" w:color="auto" w:sz="4" w:space="0"/>
            </w:tcBorders>
            <w:shd w:val="clear" w:color="auto" w:fill="auto"/>
            <w:noWrap/>
            <w:vAlign w:val="center"/>
          </w:tcPr>
          <w:p w14:paraId="579D3E24">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千分之五</w:t>
            </w:r>
          </w:p>
        </w:tc>
        <w:tc>
          <w:tcPr>
            <w:tcW w:w="1253" w:type="pct"/>
            <w:tcBorders>
              <w:top w:val="nil"/>
              <w:left w:val="nil"/>
              <w:bottom w:val="single" w:color="auto" w:sz="4" w:space="0"/>
              <w:right w:val="single" w:color="auto" w:sz="4" w:space="0"/>
            </w:tcBorders>
            <w:shd w:val="clear" w:color="auto" w:fill="auto"/>
            <w:noWrap/>
            <w:vAlign w:val="center"/>
          </w:tcPr>
          <w:p w14:paraId="4665D1BB">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5000</w:t>
            </w:r>
          </w:p>
        </w:tc>
        <w:tc>
          <w:tcPr>
            <w:tcW w:w="1253" w:type="pct"/>
            <w:tcBorders>
              <w:top w:val="nil"/>
              <w:left w:val="nil"/>
              <w:bottom w:val="single" w:color="auto" w:sz="4" w:space="0"/>
              <w:right w:val="single" w:color="auto" w:sz="4" w:space="0"/>
            </w:tcBorders>
            <w:shd w:val="clear" w:color="auto" w:fill="auto"/>
            <w:noWrap/>
            <w:vAlign w:val="center"/>
          </w:tcPr>
          <w:p w14:paraId="4B2BC6EE">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b/>
                <w:bCs/>
                <w:color w:val="auto"/>
                <w:kern w:val="0"/>
                <w:sz w:val="24"/>
              </w:rPr>
              <w:t>收费标准*折扣率</w:t>
            </w:r>
          </w:p>
        </w:tc>
      </w:tr>
      <w:tr w14:paraId="44065B89">
        <w:tblPrEx>
          <w:tblCellMar>
            <w:top w:w="0" w:type="dxa"/>
            <w:left w:w="108" w:type="dxa"/>
            <w:bottom w:w="0" w:type="dxa"/>
            <w:right w:w="108" w:type="dxa"/>
          </w:tblCellMar>
        </w:tblPrEx>
        <w:trPr>
          <w:trHeight w:val="285" w:hRule="atLeast"/>
        </w:trPr>
        <w:tc>
          <w:tcPr>
            <w:tcW w:w="1506" w:type="pct"/>
            <w:tcBorders>
              <w:top w:val="nil"/>
              <w:left w:val="single" w:color="auto" w:sz="4" w:space="0"/>
              <w:bottom w:val="single" w:color="auto" w:sz="4" w:space="0"/>
              <w:right w:val="single" w:color="auto" w:sz="4" w:space="0"/>
            </w:tcBorders>
            <w:shd w:val="clear" w:color="auto" w:fill="auto"/>
            <w:noWrap/>
            <w:vAlign w:val="center"/>
          </w:tcPr>
          <w:p w14:paraId="3DAC3EDD">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100-200</w:t>
            </w:r>
            <w:r>
              <w:rPr>
                <w:rFonts w:hint="eastAsia" w:ascii="仿宋" w:hAnsi="仿宋" w:eastAsia="仿宋" w:cs="宋体"/>
                <w:color w:val="auto"/>
                <w:kern w:val="0"/>
                <w:sz w:val="24"/>
              </w:rPr>
              <w:t>万</w:t>
            </w:r>
          </w:p>
        </w:tc>
        <w:tc>
          <w:tcPr>
            <w:tcW w:w="986" w:type="pct"/>
            <w:tcBorders>
              <w:top w:val="nil"/>
              <w:left w:val="nil"/>
              <w:bottom w:val="single" w:color="auto" w:sz="4" w:space="0"/>
              <w:right w:val="single" w:color="auto" w:sz="4" w:space="0"/>
            </w:tcBorders>
            <w:shd w:val="clear" w:color="auto" w:fill="auto"/>
            <w:noWrap/>
            <w:vAlign w:val="center"/>
          </w:tcPr>
          <w:p w14:paraId="13F47BA8">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千分之四</w:t>
            </w:r>
          </w:p>
        </w:tc>
        <w:tc>
          <w:tcPr>
            <w:tcW w:w="1253" w:type="pct"/>
            <w:tcBorders>
              <w:top w:val="nil"/>
              <w:left w:val="nil"/>
              <w:bottom w:val="single" w:color="auto" w:sz="4" w:space="0"/>
              <w:right w:val="single" w:color="auto" w:sz="4" w:space="0"/>
            </w:tcBorders>
            <w:shd w:val="clear" w:color="auto" w:fill="auto"/>
            <w:noWrap/>
            <w:vAlign w:val="center"/>
          </w:tcPr>
          <w:p w14:paraId="25388791">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4000</w:t>
            </w:r>
          </w:p>
        </w:tc>
        <w:tc>
          <w:tcPr>
            <w:tcW w:w="1253" w:type="pct"/>
            <w:tcBorders>
              <w:top w:val="nil"/>
              <w:left w:val="nil"/>
              <w:bottom w:val="single" w:color="auto" w:sz="4" w:space="0"/>
              <w:right w:val="single" w:color="auto" w:sz="4" w:space="0"/>
            </w:tcBorders>
            <w:shd w:val="clear" w:color="auto" w:fill="auto"/>
            <w:noWrap/>
            <w:vAlign w:val="center"/>
          </w:tcPr>
          <w:p w14:paraId="04B58D9C">
            <w:pPr>
              <w:spacing w:before="120" w:beforeLines="50" w:line="340" w:lineRule="exact"/>
              <w:jc w:val="center"/>
              <w:rPr>
                <w:rFonts w:hint="eastAsia" w:ascii="仿宋" w:hAnsi="仿宋" w:eastAsia="仿宋" w:cs="宋体"/>
                <w:color w:val="auto"/>
                <w:kern w:val="0"/>
                <w:sz w:val="24"/>
              </w:rPr>
            </w:pPr>
          </w:p>
        </w:tc>
      </w:tr>
      <w:tr w14:paraId="5A5F774B">
        <w:tblPrEx>
          <w:tblCellMar>
            <w:top w:w="0" w:type="dxa"/>
            <w:left w:w="108" w:type="dxa"/>
            <w:bottom w:w="0" w:type="dxa"/>
            <w:right w:w="108" w:type="dxa"/>
          </w:tblCellMar>
        </w:tblPrEx>
        <w:trPr>
          <w:trHeight w:val="285" w:hRule="atLeast"/>
        </w:trPr>
        <w:tc>
          <w:tcPr>
            <w:tcW w:w="1506" w:type="pct"/>
            <w:tcBorders>
              <w:top w:val="nil"/>
              <w:left w:val="single" w:color="auto" w:sz="4" w:space="0"/>
              <w:bottom w:val="single" w:color="auto" w:sz="4" w:space="0"/>
              <w:right w:val="single" w:color="auto" w:sz="4" w:space="0"/>
            </w:tcBorders>
            <w:shd w:val="clear" w:color="auto" w:fill="auto"/>
            <w:noWrap/>
            <w:vAlign w:val="center"/>
          </w:tcPr>
          <w:p w14:paraId="42F263A5">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200-500</w:t>
            </w:r>
            <w:r>
              <w:rPr>
                <w:rFonts w:hint="eastAsia" w:ascii="仿宋" w:hAnsi="仿宋" w:eastAsia="仿宋" w:cs="宋体"/>
                <w:color w:val="auto"/>
                <w:kern w:val="0"/>
                <w:sz w:val="24"/>
              </w:rPr>
              <w:t>万</w:t>
            </w:r>
          </w:p>
        </w:tc>
        <w:tc>
          <w:tcPr>
            <w:tcW w:w="986" w:type="pct"/>
            <w:tcBorders>
              <w:top w:val="nil"/>
              <w:left w:val="nil"/>
              <w:bottom w:val="single" w:color="auto" w:sz="4" w:space="0"/>
              <w:right w:val="single" w:color="auto" w:sz="4" w:space="0"/>
            </w:tcBorders>
            <w:shd w:val="clear" w:color="auto" w:fill="auto"/>
            <w:noWrap/>
            <w:vAlign w:val="center"/>
          </w:tcPr>
          <w:p w14:paraId="67E598B7">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千分之三</w:t>
            </w:r>
          </w:p>
        </w:tc>
        <w:tc>
          <w:tcPr>
            <w:tcW w:w="1253" w:type="pct"/>
            <w:tcBorders>
              <w:top w:val="nil"/>
              <w:left w:val="nil"/>
              <w:bottom w:val="single" w:color="auto" w:sz="4" w:space="0"/>
              <w:right w:val="single" w:color="auto" w:sz="4" w:space="0"/>
            </w:tcBorders>
            <w:shd w:val="clear" w:color="auto" w:fill="auto"/>
            <w:noWrap/>
            <w:vAlign w:val="center"/>
          </w:tcPr>
          <w:p w14:paraId="6E209445">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9000</w:t>
            </w:r>
          </w:p>
        </w:tc>
        <w:tc>
          <w:tcPr>
            <w:tcW w:w="1253" w:type="pct"/>
            <w:tcBorders>
              <w:top w:val="nil"/>
              <w:left w:val="nil"/>
              <w:bottom w:val="single" w:color="auto" w:sz="4" w:space="0"/>
              <w:right w:val="single" w:color="auto" w:sz="4" w:space="0"/>
            </w:tcBorders>
            <w:shd w:val="clear" w:color="auto" w:fill="auto"/>
            <w:noWrap/>
            <w:vAlign w:val="center"/>
          </w:tcPr>
          <w:p w14:paraId="72E51B91">
            <w:pPr>
              <w:spacing w:before="120" w:beforeLines="50" w:line="340" w:lineRule="exact"/>
              <w:jc w:val="center"/>
              <w:rPr>
                <w:rFonts w:hint="eastAsia" w:ascii="仿宋" w:hAnsi="仿宋" w:eastAsia="仿宋" w:cs="宋体"/>
                <w:color w:val="auto"/>
                <w:kern w:val="0"/>
                <w:sz w:val="24"/>
              </w:rPr>
            </w:pPr>
          </w:p>
        </w:tc>
      </w:tr>
      <w:tr w14:paraId="6C8DDCE0">
        <w:tblPrEx>
          <w:tblCellMar>
            <w:top w:w="0" w:type="dxa"/>
            <w:left w:w="108" w:type="dxa"/>
            <w:bottom w:w="0" w:type="dxa"/>
            <w:right w:w="108" w:type="dxa"/>
          </w:tblCellMar>
        </w:tblPrEx>
        <w:trPr>
          <w:trHeight w:val="285" w:hRule="atLeast"/>
        </w:trPr>
        <w:tc>
          <w:tcPr>
            <w:tcW w:w="1506" w:type="pct"/>
            <w:tcBorders>
              <w:top w:val="nil"/>
              <w:left w:val="single" w:color="auto" w:sz="4" w:space="0"/>
              <w:bottom w:val="single" w:color="auto" w:sz="4" w:space="0"/>
              <w:right w:val="single" w:color="auto" w:sz="4" w:space="0"/>
            </w:tcBorders>
            <w:shd w:val="clear" w:color="auto" w:fill="auto"/>
            <w:noWrap/>
            <w:vAlign w:val="center"/>
          </w:tcPr>
          <w:p w14:paraId="1B706E8F">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500-1000</w:t>
            </w:r>
            <w:r>
              <w:rPr>
                <w:rFonts w:hint="eastAsia" w:ascii="仿宋" w:hAnsi="仿宋" w:eastAsia="仿宋" w:cs="宋体"/>
                <w:color w:val="auto"/>
                <w:kern w:val="0"/>
                <w:sz w:val="24"/>
              </w:rPr>
              <w:t>万</w:t>
            </w:r>
          </w:p>
        </w:tc>
        <w:tc>
          <w:tcPr>
            <w:tcW w:w="986" w:type="pct"/>
            <w:tcBorders>
              <w:top w:val="nil"/>
              <w:left w:val="nil"/>
              <w:bottom w:val="single" w:color="auto" w:sz="4" w:space="0"/>
              <w:right w:val="single" w:color="auto" w:sz="4" w:space="0"/>
            </w:tcBorders>
            <w:shd w:val="clear" w:color="auto" w:fill="auto"/>
            <w:noWrap/>
            <w:vAlign w:val="center"/>
          </w:tcPr>
          <w:p w14:paraId="434E3685">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千分之二</w:t>
            </w:r>
          </w:p>
        </w:tc>
        <w:tc>
          <w:tcPr>
            <w:tcW w:w="1253" w:type="pct"/>
            <w:tcBorders>
              <w:top w:val="nil"/>
              <w:left w:val="nil"/>
              <w:bottom w:val="single" w:color="auto" w:sz="4" w:space="0"/>
              <w:right w:val="single" w:color="auto" w:sz="4" w:space="0"/>
            </w:tcBorders>
            <w:shd w:val="clear" w:color="auto" w:fill="auto"/>
            <w:noWrap/>
            <w:vAlign w:val="center"/>
          </w:tcPr>
          <w:p w14:paraId="2A8E6C9A">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10000</w:t>
            </w:r>
          </w:p>
        </w:tc>
        <w:tc>
          <w:tcPr>
            <w:tcW w:w="1253" w:type="pct"/>
            <w:tcBorders>
              <w:top w:val="nil"/>
              <w:left w:val="nil"/>
              <w:bottom w:val="single" w:color="auto" w:sz="4" w:space="0"/>
              <w:right w:val="single" w:color="auto" w:sz="4" w:space="0"/>
            </w:tcBorders>
            <w:shd w:val="clear" w:color="auto" w:fill="auto"/>
            <w:noWrap/>
            <w:vAlign w:val="center"/>
          </w:tcPr>
          <w:p w14:paraId="34E91315">
            <w:pPr>
              <w:spacing w:before="120" w:beforeLines="50" w:line="340" w:lineRule="exact"/>
              <w:jc w:val="center"/>
              <w:rPr>
                <w:rFonts w:hint="eastAsia" w:ascii="仿宋" w:hAnsi="仿宋" w:eastAsia="仿宋" w:cs="宋体"/>
                <w:color w:val="auto"/>
                <w:kern w:val="0"/>
                <w:sz w:val="24"/>
              </w:rPr>
            </w:pPr>
          </w:p>
        </w:tc>
      </w:tr>
      <w:tr w14:paraId="03075E3A">
        <w:tblPrEx>
          <w:tblCellMar>
            <w:top w:w="0" w:type="dxa"/>
            <w:left w:w="108" w:type="dxa"/>
            <w:bottom w:w="0" w:type="dxa"/>
            <w:right w:w="108" w:type="dxa"/>
          </w:tblCellMar>
        </w:tblPrEx>
        <w:trPr>
          <w:trHeight w:val="285" w:hRule="atLeast"/>
        </w:trPr>
        <w:tc>
          <w:tcPr>
            <w:tcW w:w="1506" w:type="pct"/>
            <w:tcBorders>
              <w:top w:val="nil"/>
              <w:left w:val="single" w:color="auto" w:sz="4" w:space="0"/>
              <w:bottom w:val="single" w:color="auto" w:sz="4" w:space="0"/>
              <w:right w:val="single" w:color="auto" w:sz="4" w:space="0"/>
            </w:tcBorders>
            <w:shd w:val="clear" w:color="auto" w:fill="auto"/>
            <w:noWrap/>
            <w:vAlign w:val="center"/>
          </w:tcPr>
          <w:p w14:paraId="195F6BD2">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1000-2000</w:t>
            </w:r>
            <w:r>
              <w:rPr>
                <w:rFonts w:hint="eastAsia" w:ascii="仿宋" w:hAnsi="仿宋" w:eastAsia="仿宋" w:cs="宋体"/>
                <w:color w:val="auto"/>
                <w:kern w:val="0"/>
                <w:sz w:val="24"/>
              </w:rPr>
              <w:t>万</w:t>
            </w:r>
          </w:p>
        </w:tc>
        <w:tc>
          <w:tcPr>
            <w:tcW w:w="986" w:type="pct"/>
            <w:tcBorders>
              <w:top w:val="nil"/>
              <w:left w:val="nil"/>
              <w:bottom w:val="single" w:color="auto" w:sz="4" w:space="0"/>
              <w:right w:val="single" w:color="auto" w:sz="4" w:space="0"/>
            </w:tcBorders>
            <w:shd w:val="clear" w:color="auto" w:fill="auto"/>
            <w:noWrap/>
            <w:vAlign w:val="center"/>
          </w:tcPr>
          <w:p w14:paraId="7CB8273C">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千分之一</w:t>
            </w:r>
          </w:p>
        </w:tc>
        <w:tc>
          <w:tcPr>
            <w:tcW w:w="1253" w:type="pct"/>
            <w:tcBorders>
              <w:top w:val="nil"/>
              <w:left w:val="nil"/>
              <w:bottom w:val="single" w:color="auto" w:sz="4" w:space="0"/>
              <w:right w:val="single" w:color="auto" w:sz="4" w:space="0"/>
            </w:tcBorders>
            <w:shd w:val="clear" w:color="auto" w:fill="auto"/>
            <w:noWrap/>
            <w:vAlign w:val="center"/>
          </w:tcPr>
          <w:p w14:paraId="3FC621BB">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10000</w:t>
            </w:r>
          </w:p>
        </w:tc>
        <w:tc>
          <w:tcPr>
            <w:tcW w:w="1253" w:type="pct"/>
            <w:tcBorders>
              <w:top w:val="nil"/>
              <w:left w:val="nil"/>
              <w:bottom w:val="single" w:color="auto" w:sz="4" w:space="0"/>
              <w:right w:val="single" w:color="auto" w:sz="4" w:space="0"/>
            </w:tcBorders>
            <w:shd w:val="clear" w:color="auto" w:fill="auto"/>
            <w:noWrap/>
            <w:vAlign w:val="center"/>
          </w:tcPr>
          <w:p w14:paraId="2F08E35E">
            <w:pPr>
              <w:spacing w:before="120" w:beforeLines="50" w:line="340" w:lineRule="exact"/>
              <w:jc w:val="center"/>
              <w:rPr>
                <w:rFonts w:hint="eastAsia" w:ascii="仿宋" w:hAnsi="仿宋" w:eastAsia="仿宋" w:cs="宋体"/>
                <w:color w:val="auto"/>
                <w:kern w:val="0"/>
                <w:sz w:val="24"/>
              </w:rPr>
            </w:pPr>
          </w:p>
        </w:tc>
      </w:tr>
      <w:tr w14:paraId="7F82819B">
        <w:tblPrEx>
          <w:tblCellMar>
            <w:top w:w="0" w:type="dxa"/>
            <w:left w:w="108" w:type="dxa"/>
            <w:bottom w:w="0" w:type="dxa"/>
            <w:right w:w="108" w:type="dxa"/>
          </w:tblCellMar>
        </w:tblPrEx>
        <w:trPr>
          <w:trHeight w:val="285" w:hRule="atLeast"/>
        </w:trPr>
        <w:tc>
          <w:tcPr>
            <w:tcW w:w="1506" w:type="pct"/>
            <w:tcBorders>
              <w:top w:val="nil"/>
              <w:left w:val="single" w:color="auto" w:sz="4" w:space="0"/>
              <w:bottom w:val="single" w:color="auto" w:sz="4" w:space="0"/>
              <w:right w:val="single" w:color="auto" w:sz="4" w:space="0"/>
            </w:tcBorders>
            <w:shd w:val="clear" w:color="auto" w:fill="auto"/>
            <w:noWrap/>
            <w:vAlign w:val="center"/>
          </w:tcPr>
          <w:p w14:paraId="4CB678B6">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2000-5000</w:t>
            </w:r>
            <w:r>
              <w:rPr>
                <w:rFonts w:hint="eastAsia" w:ascii="仿宋" w:hAnsi="仿宋" w:eastAsia="仿宋" w:cs="宋体"/>
                <w:color w:val="auto"/>
                <w:kern w:val="0"/>
                <w:sz w:val="24"/>
              </w:rPr>
              <w:t>万</w:t>
            </w:r>
          </w:p>
        </w:tc>
        <w:tc>
          <w:tcPr>
            <w:tcW w:w="986" w:type="pct"/>
            <w:tcBorders>
              <w:top w:val="nil"/>
              <w:left w:val="nil"/>
              <w:bottom w:val="single" w:color="auto" w:sz="4" w:space="0"/>
              <w:right w:val="single" w:color="auto" w:sz="4" w:space="0"/>
            </w:tcBorders>
            <w:shd w:val="clear" w:color="auto" w:fill="auto"/>
            <w:noWrap/>
            <w:vAlign w:val="center"/>
          </w:tcPr>
          <w:p w14:paraId="0F41CD51">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万分之五</w:t>
            </w:r>
          </w:p>
        </w:tc>
        <w:tc>
          <w:tcPr>
            <w:tcW w:w="1253" w:type="pct"/>
            <w:tcBorders>
              <w:top w:val="nil"/>
              <w:left w:val="nil"/>
              <w:bottom w:val="single" w:color="auto" w:sz="4" w:space="0"/>
              <w:right w:val="single" w:color="auto" w:sz="4" w:space="0"/>
            </w:tcBorders>
            <w:shd w:val="clear" w:color="auto" w:fill="auto"/>
            <w:noWrap/>
            <w:vAlign w:val="center"/>
          </w:tcPr>
          <w:p w14:paraId="6A6E55D2">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15000</w:t>
            </w:r>
          </w:p>
        </w:tc>
        <w:tc>
          <w:tcPr>
            <w:tcW w:w="1253" w:type="pct"/>
            <w:tcBorders>
              <w:top w:val="nil"/>
              <w:left w:val="nil"/>
              <w:bottom w:val="single" w:color="auto" w:sz="4" w:space="0"/>
              <w:right w:val="single" w:color="auto" w:sz="4" w:space="0"/>
            </w:tcBorders>
            <w:shd w:val="clear" w:color="auto" w:fill="auto"/>
            <w:noWrap/>
            <w:vAlign w:val="center"/>
          </w:tcPr>
          <w:p w14:paraId="25DF3860">
            <w:pPr>
              <w:spacing w:before="120" w:beforeLines="50" w:line="340" w:lineRule="exact"/>
              <w:jc w:val="center"/>
              <w:rPr>
                <w:rFonts w:hint="eastAsia" w:ascii="仿宋" w:hAnsi="仿宋" w:eastAsia="仿宋" w:cs="宋体"/>
                <w:color w:val="auto"/>
                <w:kern w:val="0"/>
                <w:sz w:val="24"/>
              </w:rPr>
            </w:pPr>
          </w:p>
        </w:tc>
      </w:tr>
      <w:tr w14:paraId="3F47B17C">
        <w:tblPrEx>
          <w:tblCellMar>
            <w:top w:w="0" w:type="dxa"/>
            <w:left w:w="108" w:type="dxa"/>
            <w:bottom w:w="0" w:type="dxa"/>
            <w:right w:w="108" w:type="dxa"/>
          </w:tblCellMar>
        </w:tblPrEx>
        <w:trPr>
          <w:trHeight w:val="285" w:hRule="atLeast"/>
        </w:trPr>
        <w:tc>
          <w:tcPr>
            <w:tcW w:w="1506" w:type="pct"/>
            <w:tcBorders>
              <w:top w:val="nil"/>
              <w:left w:val="single" w:color="auto" w:sz="4" w:space="0"/>
              <w:bottom w:val="single" w:color="auto" w:sz="4" w:space="0"/>
              <w:right w:val="single" w:color="auto" w:sz="4" w:space="0"/>
            </w:tcBorders>
            <w:shd w:val="clear" w:color="auto" w:fill="auto"/>
            <w:noWrap/>
            <w:vAlign w:val="center"/>
          </w:tcPr>
          <w:p w14:paraId="4CB30321">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5000-10000</w:t>
            </w:r>
            <w:r>
              <w:rPr>
                <w:rFonts w:hint="eastAsia" w:ascii="仿宋" w:hAnsi="仿宋" w:eastAsia="仿宋" w:cs="宋体"/>
                <w:color w:val="auto"/>
                <w:kern w:val="0"/>
                <w:sz w:val="24"/>
              </w:rPr>
              <w:t>万</w:t>
            </w:r>
          </w:p>
        </w:tc>
        <w:tc>
          <w:tcPr>
            <w:tcW w:w="986" w:type="pct"/>
            <w:tcBorders>
              <w:top w:val="nil"/>
              <w:left w:val="nil"/>
              <w:bottom w:val="single" w:color="auto" w:sz="4" w:space="0"/>
              <w:right w:val="single" w:color="auto" w:sz="4" w:space="0"/>
            </w:tcBorders>
            <w:shd w:val="clear" w:color="auto" w:fill="auto"/>
            <w:noWrap/>
            <w:vAlign w:val="center"/>
          </w:tcPr>
          <w:p w14:paraId="0A8BF184">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万分之三</w:t>
            </w:r>
          </w:p>
        </w:tc>
        <w:tc>
          <w:tcPr>
            <w:tcW w:w="1253" w:type="pct"/>
            <w:tcBorders>
              <w:top w:val="nil"/>
              <w:left w:val="nil"/>
              <w:bottom w:val="single" w:color="auto" w:sz="4" w:space="0"/>
              <w:right w:val="single" w:color="auto" w:sz="4" w:space="0"/>
            </w:tcBorders>
            <w:shd w:val="clear" w:color="auto" w:fill="auto"/>
            <w:noWrap/>
            <w:vAlign w:val="center"/>
          </w:tcPr>
          <w:p w14:paraId="35BD1757">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15000</w:t>
            </w:r>
          </w:p>
        </w:tc>
        <w:tc>
          <w:tcPr>
            <w:tcW w:w="1253" w:type="pct"/>
            <w:tcBorders>
              <w:top w:val="nil"/>
              <w:left w:val="nil"/>
              <w:bottom w:val="single" w:color="auto" w:sz="4" w:space="0"/>
              <w:right w:val="single" w:color="auto" w:sz="4" w:space="0"/>
            </w:tcBorders>
            <w:shd w:val="clear" w:color="auto" w:fill="auto"/>
            <w:noWrap/>
            <w:vAlign w:val="center"/>
          </w:tcPr>
          <w:p w14:paraId="32353BE6">
            <w:pPr>
              <w:spacing w:before="120" w:beforeLines="50" w:line="340" w:lineRule="exact"/>
              <w:jc w:val="center"/>
              <w:rPr>
                <w:rFonts w:hint="eastAsia" w:ascii="仿宋" w:hAnsi="仿宋" w:eastAsia="仿宋" w:cs="宋体"/>
                <w:color w:val="auto"/>
                <w:kern w:val="0"/>
                <w:sz w:val="24"/>
              </w:rPr>
            </w:pPr>
          </w:p>
        </w:tc>
      </w:tr>
      <w:tr w14:paraId="463B3C20">
        <w:tblPrEx>
          <w:tblCellMar>
            <w:top w:w="0" w:type="dxa"/>
            <w:left w:w="108" w:type="dxa"/>
            <w:bottom w:w="0" w:type="dxa"/>
            <w:right w:w="108" w:type="dxa"/>
          </w:tblCellMar>
        </w:tblPrEx>
        <w:trPr>
          <w:trHeight w:val="285" w:hRule="atLeast"/>
        </w:trPr>
        <w:tc>
          <w:tcPr>
            <w:tcW w:w="1506" w:type="pct"/>
            <w:tcBorders>
              <w:top w:val="nil"/>
              <w:left w:val="single" w:color="auto" w:sz="4" w:space="0"/>
              <w:bottom w:val="single" w:color="auto" w:sz="4" w:space="0"/>
              <w:right w:val="single" w:color="auto" w:sz="4" w:space="0"/>
            </w:tcBorders>
            <w:shd w:val="clear" w:color="auto" w:fill="auto"/>
            <w:noWrap/>
            <w:vAlign w:val="center"/>
          </w:tcPr>
          <w:p w14:paraId="3C70AE1A">
            <w:pPr>
              <w:spacing w:before="120" w:beforeLines="50" w:line="340" w:lineRule="exact"/>
              <w:jc w:val="center"/>
              <w:rPr>
                <w:rFonts w:hint="eastAsia" w:ascii="仿宋" w:hAnsi="仿宋" w:eastAsia="仿宋" w:cs="宋体"/>
                <w:color w:val="auto"/>
                <w:kern w:val="0"/>
                <w:sz w:val="24"/>
              </w:rPr>
            </w:pPr>
            <w:r>
              <w:rPr>
                <w:rFonts w:ascii="仿宋" w:hAnsi="仿宋" w:eastAsia="仿宋" w:cs="宋体"/>
                <w:color w:val="auto"/>
                <w:kern w:val="0"/>
                <w:sz w:val="24"/>
              </w:rPr>
              <w:t>10000</w:t>
            </w:r>
            <w:r>
              <w:rPr>
                <w:rFonts w:hint="eastAsia" w:ascii="仿宋" w:hAnsi="仿宋" w:eastAsia="仿宋" w:cs="宋体"/>
                <w:color w:val="auto"/>
                <w:kern w:val="0"/>
                <w:sz w:val="24"/>
              </w:rPr>
              <w:t>万以上</w:t>
            </w:r>
          </w:p>
        </w:tc>
        <w:tc>
          <w:tcPr>
            <w:tcW w:w="986" w:type="pct"/>
            <w:tcBorders>
              <w:top w:val="nil"/>
              <w:left w:val="nil"/>
              <w:bottom w:val="single" w:color="auto" w:sz="4" w:space="0"/>
              <w:right w:val="single" w:color="auto" w:sz="4" w:space="0"/>
            </w:tcBorders>
            <w:shd w:val="clear" w:color="auto" w:fill="auto"/>
            <w:noWrap/>
            <w:vAlign w:val="center"/>
          </w:tcPr>
          <w:p w14:paraId="49D3DCEF">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万分之二</w:t>
            </w:r>
          </w:p>
        </w:tc>
        <w:tc>
          <w:tcPr>
            <w:tcW w:w="1253" w:type="pct"/>
            <w:tcBorders>
              <w:top w:val="nil"/>
              <w:left w:val="nil"/>
              <w:bottom w:val="single" w:color="auto" w:sz="4" w:space="0"/>
              <w:right w:val="single" w:color="auto" w:sz="4" w:space="0"/>
            </w:tcBorders>
            <w:shd w:val="clear" w:color="auto" w:fill="auto"/>
            <w:noWrap/>
            <w:vAlign w:val="center"/>
          </w:tcPr>
          <w:p w14:paraId="5FCF8D38">
            <w:pPr>
              <w:spacing w:before="120" w:beforeLines="50" w:line="340" w:lineRule="exact"/>
              <w:ind w:firstLine="480" w:firstLineChars="200"/>
              <w:jc w:val="center"/>
              <w:rPr>
                <w:rFonts w:hint="eastAsia" w:ascii="仿宋" w:hAnsi="仿宋" w:eastAsia="仿宋" w:cs="宋体"/>
                <w:color w:val="auto"/>
                <w:kern w:val="0"/>
                <w:sz w:val="24"/>
              </w:rPr>
            </w:pPr>
          </w:p>
        </w:tc>
        <w:tc>
          <w:tcPr>
            <w:tcW w:w="1253" w:type="pct"/>
            <w:tcBorders>
              <w:top w:val="nil"/>
              <w:left w:val="nil"/>
              <w:bottom w:val="single" w:color="auto" w:sz="4" w:space="0"/>
              <w:right w:val="single" w:color="auto" w:sz="4" w:space="0"/>
            </w:tcBorders>
            <w:shd w:val="clear" w:color="auto" w:fill="auto"/>
            <w:noWrap/>
            <w:vAlign w:val="center"/>
          </w:tcPr>
          <w:p w14:paraId="386999BA">
            <w:pPr>
              <w:spacing w:before="120" w:beforeLines="50" w:line="340" w:lineRule="exact"/>
              <w:ind w:firstLine="480" w:firstLineChars="200"/>
              <w:jc w:val="center"/>
              <w:rPr>
                <w:rFonts w:hint="eastAsia" w:ascii="仿宋" w:hAnsi="仿宋" w:eastAsia="仿宋" w:cs="宋体"/>
                <w:color w:val="auto"/>
                <w:kern w:val="0"/>
                <w:sz w:val="24"/>
              </w:rPr>
            </w:pPr>
          </w:p>
        </w:tc>
      </w:tr>
    </w:tbl>
    <w:p w14:paraId="697E835F">
      <w:pPr>
        <w:spacing w:before="120" w:beforeLines="50" w:line="34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②如案件金额较小但案情复杂，按认定金额计算不足以反映案件复杂度的，且按实际人员成本及工作量计算费用超过认定金额收费标准的，按实际人员成本按投标折扣率*收费标准开展结算支付。具体标准如下：</w:t>
      </w:r>
    </w:p>
    <w:tbl>
      <w:tblPr>
        <w:tblStyle w:val="62"/>
        <w:tblW w:w="5000" w:type="pct"/>
        <w:tblInd w:w="0" w:type="dxa"/>
        <w:tblLayout w:type="autofit"/>
        <w:tblCellMar>
          <w:top w:w="0" w:type="dxa"/>
          <w:left w:w="108" w:type="dxa"/>
          <w:bottom w:w="0" w:type="dxa"/>
          <w:right w:w="108" w:type="dxa"/>
        </w:tblCellMar>
      </w:tblPr>
      <w:tblGrid>
        <w:gridCol w:w="2670"/>
        <w:gridCol w:w="2189"/>
        <w:gridCol w:w="4145"/>
      </w:tblGrid>
      <w:tr w14:paraId="72665A2C">
        <w:tblPrEx>
          <w:tblCellMar>
            <w:top w:w="0" w:type="dxa"/>
            <w:left w:w="108" w:type="dxa"/>
            <w:bottom w:w="0" w:type="dxa"/>
            <w:right w:w="108" w:type="dxa"/>
          </w:tblCellMar>
        </w:tblPrEx>
        <w:trPr>
          <w:trHeight w:val="276"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582B4FF">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按工作量计时收费</w:t>
            </w:r>
          </w:p>
        </w:tc>
      </w:tr>
      <w:tr w14:paraId="52D59BAC">
        <w:tblPrEx>
          <w:tblCellMar>
            <w:top w:w="0" w:type="dxa"/>
            <w:left w:w="108" w:type="dxa"/>
            <w:bottom w:w="0" w:type="dxa"/>
            <w:right w:w="108" w:type="dxa"/>
          </w:tblCellMar>
        </w:tblPrEx>
        <w:trPr>
          <w:trHeight w:val="276" w:hRule="atLeast"/>
        </w:trPr>
        <w:tc>
          <w:tcPr>
            <w:tcW w:w="1475" w:type="pct"/>
            <w:tcBorders>
              <w:top w:val="nil"/>
              <w:left w:val="single" w:color="auto" w:sz="4" w:space="0"/>
              <w:bottom w:val="single" w:color="auto" w:sz="4" w:space="0"/>
              <w:right w:val="single" w:color="auto" w:sz="4" w:space="0"/>
            </w:tcBorders>
            <w:shd w:val="clear" w:color="auto" w:fill="auto"/>
            <w:noWrap/>
            <w:vAlign w:val="center"/>
          </w:tcPr>
          <w:p w14:paraId="5B9E4B62">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注册会计师或高级专业技术职称人员</w:t>
            </w:r>
          </w:p>
        </w:tc>
        <w:tc>
          <w:tcPr>
            <w:tcW w:w="1196" w:type="pct"/>
            <w:tcBorders>
              <w:top w:val="single" w:color="auto" w:sz="4" w:space="0"/>
              <w:left w:val="nil"/>
              <w:bottom w:val="single" w:color="auto" w:sz="4" w:space="0"/>
              <w:right w:val="single" w:color="auto" w:sz="4" w:space="0"/>
            </w:tcBorders>
            <w:shd w:val="clear" w:color="auto" w:fill="auto"/>
            <w:noWrap/>
            <w:vAlign w:val="center"/>
          </w:tcPr>
          <w:p w14:paraId="62BEE31D">
            <w:pPr>
              <w:spacing w:before="120" w:beforeLines="50" w:line="340" w:lineRule="exact"/>
              <w:jc w:val="center"/>
              <w:rPr>
                <w:rFonts w:hint="eastAsia" w:ascii="仿宋" w:hAnsi="仿宋" w:eastAsia="仿宋" w:cs="宋体"/>
                <w:color w:val="auto"/>
                <w:kern w:val="0"/>
                <w:sz w:val="24"/>
              </w:rPr>
            </w:pPr>
            <w:r>
              <w:rPr>
                <w:rFonts w:ascii="仿宋" w:hAnsi="仿宋" w:eastAsia="仿宋" w:cs="宋体"/>
                <w:bCs/>
                <w:color w:val="auto"/>
                <w:kern w:val="0"/>
                <w:sz w:val="24"/>
              </w:rPr>
              <w:t>800</w:t>
            </w:r>
            <w:r>
              <w:rPr>
                <w:rFonts w:hint="eastAsia" w:ascii="仿宋" w:hAnsi="仿宋" w:eastAsia="仿宋" w:cs="宋体"/>
                <w:bCs/>
                <w:color w:val="auto"/>
                <w:kern w:val="0"/>
                <w:sz w:val="24"/>
              </w:rPr>
              <w:t>元</w:t>
            </w:r>
            <w:r>
              <w:rPr>
                <w:rFonts w:ascii="仿宋" w:hAnsi="仿宋" w:eastAsia="仿宋" w:cs="宋体"/>
                <w:bCs/>
                <w:color w:val="auto"/>
                <w:kern w:val="0"/>
                <w:sz w:val="24"/>
              </w:rPr>
              <w:t>/</w:t>
            </w:r>
            <w:r>
              <w:rPr>
                <w:rFonts w:hint="eastAsia" w:ascii="仿宋" w:hAnsi="仿宋" w:eastAsia="仿宋" w:cs="宋体"/>
                <w:bCs/>
                <w:color w:val="auto"/>
                <w:kern w:val="0"/>
                <w:sz w:val="24"/>
              </w:rPr>
              <w:t>半天</w:t>
            </w:r>
            <w:r>
              <w:rPr>
                <w:rFonts w:hint="eastAsia" w:ascii="微软雅黑" w:hAnsi="微软雅黑" w:eastAsia="微软雅黑" w:cs="微软雅黑"/>
                <w:bCs/>
                <w:color w:val="auto"/>
                <w:kern w:val="0"/>
                <w:sz w:val="24"/>
              </w:rPr>
              <w:t>•</w:t>
            </w:r>
            <w:r>
              <w:rPr>
                <w:rFonts w:hint="eastAsia" w:ascii="仿宋" w:hAnsi="仿宋" w:eastAsia="仿宋" w:cs="宋体"/>
                <w:bCs/>
                <w:color w:val="auto"/>
                <w:kern w:val="0"/>
                <w:sz w:val="24"/>
              </w:rPr>
              <w:t>人</w:t>
            </w:r>
          </w:p>
        </w:tc>
        <w:tc>
          <w:tcPr>
            <w:tcW w:w="2328" w:type="pct"/>
            <w:tcBorders>
              <w:top w:val="single" w:color="auto" w:sz="4" w:space="0"/>
              <w:left w:val="nil"/>
              <w:bottom w:val="single" w:color="auto" w:sz="4" w:space="0"/>
              <w:right w:val="single" w:color="auto" w:sz="4" w:space="0"/>
            </w:tcBorders>
            <w:shd w:val="clear" w:color="auto" w:fill="auto"/>
            <w:noWrap/>
            <w:vAlign w:val="center"/>
          </w:tcPr>
          <w:p w14:paraId="501BBAAF">
            <w:pPr>
              <w:spacing w:before="120" w:beforeLines="50" w:line="340" w:lineRule="exact"/>
              <w:rPr>
                <w:rFonts w:hint="eastAsia" w:ascii="仿宋" w:hAnsi="仿宋" w:eastAsia="仿宋" w:cs="宋体"/>
                <w:bCs/>
                <w:color w:val="auto"/>
                <w:kern w:val="0"/>
                <w:sz w:val="24"/>
              </w:rPr>
            </w:pPr>
            <w:r>
              <w:rPr>
                <w:rFonts w:hint="eastAsia" w:ascii="仿宋" w:hAnsi="仿宋" w:eastAsia="仿宋" w:cs="宋体"/>
                <w:b/>
                <w:bCs/>
                <w:color w:val="auto"/>
                <w:kern w:val="0"/>
                <w:sz w:val="24"/>
              </w:rPr>
              <w:t>结算单价（元）：</w:t>
            </w:r>
            <w:r>
              <w:rPr>
                <w:rFonts w:ascii="仿宋" w:hAnsi="仿宋" w:eastAsia="仿宋" w:cs="宋体"/>
                <w:bCs/>
                <w:color w:val="auto"/>
                <w:kern w:val="0"/>
                <w:sz w:val="24"/>
              </w:rPr>
              <w:t>800</w:t>
            </w:r>
            <w:r>
              <w:rPr>
                <w:rFonts w:hint="eastAsia" w:ascii="仿宋" w:hAnsi="仿宋" w:eastAsia="仿宋" w:cs="宋体"/>
                <w:bCs/>
                <w:color w:val="auto"/>
                <w:kern w:val="0"/>
                <w:sz w:val="24"/>
              </w:rPr>
              <w:t>元</w:t>
            </w:r>
            <w:r>
              <w:rPr>
                <w:rFonts w:ascii="仿宋" w:hAnsi="仿宋" w:eastAsia="仿宋" w:cs="宋体"/>
                <w:bCs/>
                <w:color w:val="auto"/>
                <w:kern w:val="0"/>
                <w:sz w:val="24"/>
              </w:rPr>
              <w:t>/</w:t>
            </w:r>
            <w:r>
              <w:rPr>
                <w:rFonts w:hint="eastAsia" w:ascii="仿宋" w:hAnsi="仿宋" w:eastAsia="仿宋" w:cs="宋体"/>
                <w:bCs/>
                <w:color w:val="auto"/>
                <w:kern w:val="0"/>
                <w:sz w:val="24"/>
              </w:rPr>
              <w:t>半天</w:t>
            </w:r>
            <w:r>
              <w:rPr>
                <w:rFonts w:hint="eastAsia" w:ascii="微软雅黑" w:hAnsi="微软雅黑" w:eastAsia="微软雅黑" w:cs="微软雅黑"/>
                <w:bCs/>
                <w:color w:val="auto"/>
                <w:kern w:val="0"/>
                <w:sz w:val="24"/>
              </w:rPr>
              <w:t>•</w:t>
            </w:r>
            <w:r>
              <w:rPr>
                <w:rFonts w:hint="eastAsia" w:ascii="仿宋" w:hAnsi="仿宋" w:eastAsia="仿宋" w:cs="宋体"/>
                <w:bCs/>
                <w:color w:val="auto"/>
                <w:kern w:val="0"/>
                <w:sz w:val="24"/>
              </w:rPr>
              <w:t>人*折扣率</w:t>
            </w:r>
          </w:p>
        </w:tc>
      </w:tr>
      <w:tr w14:paraId="2AE0A245">
        <w:tblPrEx>
          <w:tblCellMar>
            <w:top w:w="0" w:type="dxa"/>
            <w:left w:w="108" w:type="dxa"/>
            <w:bottom w:w="0" w:type="dxa"/>
            <w:right w:w="108" w:type="dxa"/>
          </w:tblCellMar>
        </w:tblPrEx>
        <w:trPr>
          <w:trHeight w:val="276" w:hRule="atLeast"/>
        </w:trPr>
        <w:tc>
          <w:tcPr>
            <w:tcW w:w="147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C1F5FD">
            <w:pPr>
              <w:spacing w:before="120" w:beforeLines="50" w:line="340" w:lineRule="exact"/>
              <w:jc w:val="center"/>
              <w:rPr>
                <w:rFonts w:hint="eastAsia" w:ascii="仿宋" w:hAnsi="仿宋" w:eastAsia="仿宋" w:cs="宋体"/>
                <w:color w:val="auto"/>
                <w:kern w:val="0"/>
                <w:sz w:val="24"/>
              </w:rPr>
            </w:pPr>
            <w:r>
              <w:rPr>
                <w:rFonts w:hint="eastAsia" w:ascii="仿宋" w:hAnsi="仿宋" w:eastAsia="仿宋" w:cs="宋体"/>
                <w:color w:val="auto"/>
                <w:kern w:val="0"/>
                <w:sz w:val="24"/>
              </w:rPr>
              <w:t>助理人员</w:t>
            </w:r>
          </w:p>
        </w:tc>
        <w:tc>
          <w:tcPr>
            <w:tcW w:w="1196" w:type="pct"/>
            <w:tcBorders>
              <w:top w:val="single" w:color="auto" w:sz="4" w:space="0"/>
              <w:left w:val="nil"/>
              <w:bottom w:val="single" w:color="auto" w:sz="4" w:space="0"/>
              <w:right w:val="single" w:color="auto" w:sz="4" w:space="0"/>
            </w:tcBorders>
            <w:shd w:val="clear" w:color="auto" w:fill="auto"/>
            <w:noWrap/>
            <w:vAlign w:val="center"/>
          </w:tcPr>
          <w:p w14:paraId="1706E951">
            <w:pPr>
              <w:spacing w:before="120" w:beforeLines="50" w:line="340" w:lineRule="exact"/>
              <w:jc w:val="center"/>
              <w:rPr>
                <w:rFonts w:hint="eastAsia" w:ascii="仿宋" w:hAnsi="仿宋" w:eastAsia="仿宋" w:cs="宋体"/>
                <w:bCs/>
                <w:color w:val="auto"/>
                <w:kern w:val="0"/>
                <w:sz w:val="24"/>
              </w:rPr>
            </w:pPr>
            <w:r>
              <w:rPr>
                <w:rFonts w:ascii="仿宋" w:hAnsi="仿宋" w:eastAsia="仿宋" w:cs="宋体"/>
                <w:bCs/>
                <w:color w:val="auto"/>
                <w:kern w:val="0"/>
                <w:sz w:val="24"/>
              </w:rPr>
              <w:t>500</w:t>
            </w:r>
            <w:r>
              <w:rPr>
                <w:rFonts w:hint="eastAsia" w:ascii="仿宋" w:hAnsi="仿宋" w:eastAsia="仿宋" w:cs="宋体"/>
                <w:bCs/>
                <w:color w:val="auto"/>
                <w:kern w:val="0"/>
                <w:sz w:val="24"/>
              </w:rPr>
              <w:t>元</w:t>
            </w:r>
            <w:r>
              <w:rPr>
                <w:rFonts w:ascii="仿宋" w:hAnsi="仿宋" w:eastAsia="仿宋" w:cs="宋体"/>
                <w:bCs/>
                <w:color w:val="auto"/>
                <w:kern w:val="0"/>
                <w:sz w:val="24"/>
              </w:rPr>
              <w:t>/</w:t>
            </w:r>
            <w:r>
              <w:rPr>
                <w:rFonts w:hint="eastAsia" w:ascii="仿宋" w:hAnsi="仿宋" w:eastAsia="仿宋" w:cs="宋体"/>
                <w:bCs/>
                <w:color w:val="auto"/>
                <w:kern w:val="0"/>
                <w:sz w:val="24"/>
              </w:rPr>
              <w:t>半天</w:t>
            </w:r>
            <w:r>
              <w:rPr>
                <w:rFonts w:hint="eastAsia" w:ascii="微软雅黑" w:hAnsi="微软雅黑" w:eastAsia="微软雅黑" w:cs="微软雅黑"/>
                <w:bCs/>
                <w:color w:val="auto"/>
                <w:kern w:val="0"/>
                <w:sz w:val="24"/>
              </w:rPr>
              <w:t>•</w:t>
            </w:r>
            <w:r>
              <w:rPr>
                <w:rFonts w:hint="eastAsia" w:ascii="仿宋" w:hAnsi="仿宋" w:eastAsia="仿宋" w:cs="仿宋"/>
                <w:bCs/>
                <w:color w:val="auto"/>
                <w:kern w:val="0"/>
                <w:sz w:val="24"/>
              </w:rPr>
              <w:t>人</w:t>
            </w:r>
          </w:p>
        </w:tc>
        <w:tc>
          <w:tcPr>
            <w:tcW w:w="2328" w:type="pct"/>
            <w:tcBorders>
              <w:top w:val="single" w:color="auto" w:sz="4" w:space="0"/>
              <w:left w:val="nil"/>
              <w:bottom w:val="single" w:color="auto" w:sz="4" w:space="0"/>
              <w:right w:val="single" w:color="auto" w:sz="4" w:space="0"/>
            </w:tcBorders>
            <w:shd w:val="clear" w:color="auto" w:fill="auto"/>
            <w:noWrap/>
            <w:vAlign w:val="center"/>
          </w:tcPr>
          <w:p w14:paraId="7F318C4F">
            <w:pPr>
              <w:spacing w:before="120" w:beforeLines="50" w:line="340" w:lineRule="exact"/>
              <w:rPr>
                <w:rFonts w:hint="eastAsia" w:ascii="仿宋" w:hAnsi="仿宋" w:eastAsia="仿宋" w:cs="宋体"/>
                <w:bCs/>
                <w:color w:val="auto"/>
                <w:kern w:val="0"/>
                <w:sz w:val="24"/>
              </w:rPr>
            </w:pPr>
            <w:r>
              <w:rPr>
                <w:rFonts w:hint="eastAsia" w:ascii="仿宋" w:hAnsi="仿宋" w:eastAsia="仿宋" w:cs="宋体"/>
                <w:b/>
                <w:bCs/>
                <w:color w:val="auto"/>
                <w:kern w:val="0"/>
                <w:sz w:val="24"/>
              </w:rPr>
              <w:t>结算单价（元）</w:t>
            </w:r>
            <w:r>
              <w:rPr>
                <w:rFonts w:ascii="仿宋" w:hAnsi="仿宋" w:eastAsia="仿宋" w:cs="宋体"/>
                <w:bCs/>
                <w:color w:val="auto"/>
                <w:kern w:val="0"/>
                <w:sz w:val="24"/>
              </w:rPr>
              <w:t>500</w:t>
            </w:r>
            <w:r>
              <w:rPr>
                <w:rFonts w:hint="eastAsia" w:ascii="仿宋" w:hAnsi="仿宋" w:eastAsia="仿宋" w:cs="宋体"/>
                <w:bCs/>
                <w:color w:val="auto"/>
                <w:kern w:val="0"/>
                <w:sz w:val="24"/>
              </w:rPr>
              <w:t>元</w:t>
            </w:r>
            <w:r>
              <w:rPr>
                <w:rFonts w:ascii="仿宋" w:hAnsi="仿宋" w:eastAsia="仿宋" w:cs="宋体"/>
                <w:bCs/>
                <w:color w:val="auto"/>
                <w:kern w:val="0"/>
                <w:sz w:val="24"/>
              </w:rPr>
              <w:t>/</w:t>
            </w:r>
            <w:r>
              <w:rPr>
                <w:rFonts w:hint="eastAsia" w:ascii="仿宋" w:hAnsi="仿宋" w:eastAsia="仿宋" w:cs="宋体"/>
                <w:bCs/>
                <w:color w:val="auto"/>
                <w:kern w:val="0"/>
                <w:sz w:val="24"/>
              </w:rPr>
              <w:t>半天</w:t>
            </w:r>
            <w:r>
              <w:rPr>
                <w:rFonts w:hint="eastAsia" w:ascii="微软雅黑" w:hAnsi="微软雅黑" w:eastAsia="微软雅黑" w:cs="微软雅黑"/>
                <w:bCs/>
                <w:color w:val="auto"/>
                <w:kern w:val="0"/>
                <w:sz w:val="24"/>
              </w:rPr>
              <w:t>•</w:t>
            </w:r>
            <w:r>
              <w:rPr>
                <w:rFonts w:hint="eastAsia" w:ascii="仿宋" w:hAnsi="仿宋" w:eastAsia="仿宋" w:cs="仿宋"/>
                <w:bCs/>
                <w:color w:val="auto"/>
                <w:kern w:val="0"/>
                <w:sz w:val="24"/>
              </w:rPr>
              <w:t>人</w:t>
            </w:r>
            <w:r>
              <w:rPr>
                <w:rFonts w:hint="eastAsia" w:ascii="仿宋" w:hAnsi="仿宋" w:eastAsia="仿宋" w:cs="宋体"/>
                <w:bCs/>
                <w:color w:val="auto"/>
                <w:kern w:val="0"/>
                <w:sz w:val="24"/>
              </w:rPr>
              <w:t>*折扣率</w:t>
            </w:r>
          </w:p>
        </w:tc>
      </w:tr>
      <w:tr w14:paraId="12D30EFE">
        <w:tblPrEx>
          <w:tblCellMar>
            <w:top w:w="0" w:type="dxa"/>
            <w:left w:w="108" w:type="dxa"/>
            <w:bottom w:w="0" w:type="dxa"/>
            <w:right w:w="108" w:type="dxa"/>
          </w:tblCellMar>
        </w:tblPrEx>
        <w:trPr>
          <w:trHeight w:val="1263"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6BDF661">
            <w:pPr>
              <w:spacing w:before="120" w:beforeLines="50" w:line="340" w:lineRule="exact"/>
              <w:rPr>
                <w:rFonts w:hint="eastAsia" w:ascii="仿宋" w:hAnsi="仿宋" w:eastAsia="仿宋" w:cs="宋体"/>
                <w:color w:val="auto"/>
                <w:kern w:val="0"/>
                <w:sz w:val="24"/>
              </w:rPr>
            </w:pPr>
            <w:r>
              <w:rPr>
                <w:rFonts w:hint="eastAsia" w:ascii="仿宋" w:hAnsi="仿宋" w:eastAsia="仿宋" w:cs="宋体"/>
                <w:color w:val="auto"/>
                <w:kern w:val="0"/>
                <w:sz w:val="24"/>
              </w:rPr>
              <w:t>其他服务人员每人收费要求（最高限价）：院士、全国知名专家，不超过2400元/半天；正高级专业技术职称人员，不超过1600元/半天；中级及以下专业技术职称人员，不超过500元/半天。</w:t>
            </w:r>
          </w:p>
          <w:p w14:paraId="40A19B63">
            <w:pPr>
              <w:spacing w:before="120" w:beforeLines="50" w:line="340" w:lineRule="exact"/>
              <w:rPr>
                <w:rFonts w:hint="eastAsia" w:ascii="仿宋" w:hAnsi="仿宋" w:eastAsia="仿宋" w:cs="宋体"/>
                <w:color w:val="auto"/>
                <w:kern w:val="0"/>
                <w:sz w:val="24"/>
              </w:rPr>
            </w:pPr>
            <w:r>
              <w:rPr>
                <w:rFonts w:hint="eastAsia" w:ascii="仿宋" w:hAnsi="仿宋" w:eastAsia="仿宋" w:cs="宋体"/>
                <w:color w:val="auto"/>
                <w:kern w:val="0"/>
                <w:sz w:val="24"/>
              </w:rPr>
              <w:t>注：一天工作时间按</w:t>
            </w:r>
            <w:r>
              <w:rPr>
                <w:rFonts w:ascii="仿宋" w:hAnsi="仿宋" w:eastAsia="仿宋" w:cs="宋体"/>
                <w:color w:val="auto"/>
                <w:kern w:val="0"/>
                <w:sz w:val="24"/>
              </w:rPr>
              <w:t>8</w:t>
            </w:r>
            <w:r>
              <w:rPr>
                <w:rFonts w:hint="eastAsia" w:ascii="仿宋" w:hAnsi="仿宋" w:eastAsia="仿宋" w:cs="宋体"/>
                <w:color w:val="auto"/>
                <w:kern w:val="0"/>
                <w:sz w:val="24"/>
              </w:rPr>
              <w:t>小时计算。</w:t>
            </w:r>
          </w:p>
        </w:tc>
      </w:tr>
    </w:tbl>
    <w:p w14:paraId="45F2DA93">
      <w:pPr>
        <w:pStyle w:val="960"/>
        <w:spacing w:before="0" w:beforeAutospacing="0" w:after="0" w:afterAutospacing="0" w:line="400" w:lineRule="exact"/>
        <w:ind w:firstLine="480"/>
        <w:rPr>
          <w:rFonts w:hint="eastAsia" w:ascii="仿宋" w:hAnsi="仿宋" w:eastAsia="仿宋" w:cs="仿宋"/>
          <w:b/>
          <w:color w:val="auto"/>
        </w:rPr>
      </w:pPr>
    </w:p>
    <w:p w14:paraId="10B80B01">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第六部分 </w:t>
      </w:r>
      <w:bookmarkEnd w:id="392"/>
      <w:r>
        <w:rPr>
          <w:rFonts w:hint="eastAsia" w:ascii="仿宋" w:hAnsi="仿宋" w:eastAsia="仿宋" w:cs="仿宋"/>
          <w:b/>
          <w:color w:val="auto"/>
          <w:sz w:val="36"/>
          <w:szCs w:val="36"/>
        </w:rPr>
        <w:t>应提交的有关格式范例</w:t>
      </w:r>
    </w:p>
    <w:p w14:paraId="7F8AD16B">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0B90EE96">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521D959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14:paraId="54004B98">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14:paraId="2A60F79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14:paraId="6507088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14:paraId="59DE6D51">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一、符合参加政府采购活动应当具备的一般条件的承诺函</w:t>
      </w:r>
    </w:p>
    <w:p w14:paraId="4514B39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46396DC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14:paraId="24367784">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5893CA3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38C1497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2、具有良好的商业信誉和健全的财务会计制度；</w:t>
      </w:r>
    </w:p>
    <w:p w14:paraId="6A2D326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62F2714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09F099E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6E4DA02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330561C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70846A3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22EB2A1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32BAFFC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4AF3A1C7">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7F922E60">
      <w:pPr>
        <w:snapToGrid w:val="0"/>
        <w:spacing w:line="360" w:lineRule="auto"/>
        <w:ind w:firstLine="5520" w:firstLineChars="23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260A05F9">
      <w:pPr>
        <w:snapToGrid w:val="0"/>
        <w:spacing w:line="360" w:lineRule="auto"/>
        <w:ind w:right="480"/>
        <w:jc w:val="center"/>
        <w:rPr>
          <w:rFonts w:hint="eastAsia" w:ascii="仿宋" w:hAnsi="仿宋" w:eastAsia="仿宋" w:cs="仿宋"/>
          <w:b/>
          <w:color w:val="auto"/>
          <w:kern w:val="0"/>
          <w:sz w:val="32"/>
          <w:szCs w:val="32"/>
        </w:rPr>
      </w:pPr>
    </w:p>
    <w:p w14:paraId="6993E6EA">
      <w:pPr>
        <w:snapToGrid w:val="0"/>
        <w:spacing w:line="360" w:lineRule="auto"/>
        <w:ind w:right="480"/>
        <w:jc w:val="center"/>
        <w:rPr>
          <w:rFonts w:hint="eastAsia" w:ascii="仿宋" w:hAnsi="仿宋" w:eastAsia="仿宋" w:cs="仿宋"/>
          <w:b/>
          <w:color w:val="auto"/>
          <w:kern w:val="0"/>
          <w:sz w:val="32"/>
          <w:szCs w:val="32"/>
        </w:rPr>
      </w:pPr>
    </w:p>
    <w:p w14:paraId="6A0E8775">
      <w:pPr>
        <w:snapToGrid w:val="0"/>
        <w:spacing w:line="360" w:lineRule="auto"/>
        <w:ind w:right="480"/>
        <w:jc w:val="center"/>
        <w:rPr>
          <w:rFonts w:hint="eastAsia" w:ascii="仿宋" w:hAnsi="仿宋" w:eastAsia="仿宋" w:cs="仿宋"/>
          <w:b/>
          <w:color w:val="auto"/>
          <w:kern w:val="0"/>
          <w:sz w:val="32"/>
          <w:szCs w:val="32"/>
        </w:rPr>
      </w:pPr>
    </w:p>
    <w:p w14:paraId="4A6F7549">
      <w:pPr>
        <w:rPr>
          <w:rFonts w:hint="eastAsia" w:ascii="仿宋" w:hAnsi="仿宋" w:eastAsia="仿宋" w:cs="仿宋"/>
          <w:color w:val="auto"/>
        </w:rPr>
      </w:pPr>
    </w:p>
    <w:p w14:paraId="30F34CEF">
      <w:pPr>
        <w:snapToGrid w:val="0"/>
        <w:spacing w:line="360" w:lineRule="auto"/>
        <w:ind w:right="480"/>
        <w:jc w:val="center"/>
        <w:rPr>
          <w:rFonts w:hint="eastAsia" w:ascii="仿宋" w:hAnsi="仿宋" w:eastAsia="仿宋" w:cs="仿宋"/>
          <w:b/>
          <w:color w:val="auto"/>
          <w:kern w:val="0"/>
          <w:sz w:val="32"/>
          <w:szCs w:val="32"/>
        </w:rPr>
      </w:pPr>
    </w:p>
    <w:p w14:paraId="00DB3762">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74E853CF">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14:paraId="0FE428A9">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3EF88F2C">
      <w:pPr>
        <w:snapToGrid w:val="0"/>
        <w:spacing w:line="360" w:lineRule="auto"/>
        <w:ind w:right="480"/>
        <w:jc w:val="center"/>
        <w:rPr>
          <w:rFonts w:hint="eastAsia" w:ascii="仿宋" w:hAnsi="仿宋" w:eastAsia="仿宋" w:cs="仿宋"/>
          <w:b/>
          <w:color w:val="auto"/>
          <w:kern w:val="0"/>
          <w:sz w:val="32"/>
          <w:szCs w:val="32"/>
        </w:rPr>
      </w:pPr>
    </w:p>
    <w:p w14:paraId="6099522A">
      <w:pPr>
        <w:snapToGrid w:val="0"/>
        <w:spacing w:line="360" w:lineRule="auto"/>
        <w:ind w:right="480"/>
        <w:jc w:val="center"/>
        <w:rPr>
          <w:rFonts w:hint="eastAsia" w:ascii="仿宋" w:hAnsi="仿宋" w:eastAsia="仿宋" w:cs="仿宋"/>
          <w:b/>
          <w:color w:val="auto"/>
          <w:kern w:val="0"/>
          <w:sz w:val="32"/>
          <w:szCs w:val="32"/>
        </w:rPr>
      </w:pPr>
    </w:p>
    <w:p w14:paraId="74F20486">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14:paraId="03A47EC5">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58A0093B">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.专门面向中小企业，服务全部由符合政策要求的中小企业（或小微企业）承接的，提供相应的中小企业声明函（附件7）。</w:t>
      </w:r>
    </w:p>
    <w:p w14:paraId="0E8F0915">
      <w:pPr>
        <w:widowControl/>
        <w:spacing w:line="360" w:lineRule="auto"/>
        <w:ind w:firstLine="480"/>
        <w:jc w:val="left"/>
        <w:rPr>
          <w:rFonts w:hint="eastAsia" w:ascii="仿宋" w:hAnsi="仿宋" w:eastAsia="仿宋" w:cs="仿宋"/>
          <w:color w:val="auto"/>
          <w:sz w:val="24"/>
        </w:rPr>
      </w:pPr>
    </w:p>
    <w:p w14:paraId="205C2CA5">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14:paraId="0B296A65">
      <w:pPr>
        <w:spacing w:line="360" w:lineRule="auto"/>
        <w:ind w:firstLine="482" w:firstLineChars="200"/>
        <w:rPr>
          <w:rFonts w:hint="eastAsia" w:ascii="仿宋" w:hAnsi="仿宋" w:eastAsia="仿宋" w:cs="仿宋"/>
          <w:b/>
          <w:color w:val="auto"/>
          <w:sz w:val="24"/>
        </w:rPr>
      </w:pPr>
    </w:p>
    <w:p w14:paraId="4EE35DDC">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0394B178">
      <w:pPr>
        <w:widowControl/>
        <w:spacing w:line="360" w:lineRule="auto"/>
        <w:ind w:left="150"/>
        <w:jc w:val="center"/>
        <w:rPr>
          <w:rFonts w:hint="eastAsia" w:ascii="仿宋" w:hAnsi="仿宋" w:eastAsia="仿宋" w:cs="仿宋"/>
          <w:b/>
          <w:color w:val="auto"/>
          <w:kern w:val="0"/>
          <w:sz w:val="32"/>
          <w:szCs w:val="32"/>
        </w:rPr>
      </w:pPr>
    </w:p>
    <w:p w14:paraId="7A68F553">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14:paraId="27985BD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1B0886D9">
      <w:pPr>
        <w:rPr>
          <w:rFonts w:hint="eastAsia" w:ascii="仿宋" w:hAnsi="仿宋" w:eastAsia="仿宋" w:cs="仿宋"/>
          <w:color w:val="auto"/>
        </w:rPr>
      </w:pPr>
    </w:p>
    <w:p w14:paraId="312A05B4">
      <w:pPr>
        <w:widowControl/>
        <w:adjustRightInd/>
        <w:jc w:val="left"/>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3429A02F">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3BF30417">
      <w:pPr>
        <w:spacing w:line="48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74F0B819">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51D39DCD">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14:paraId="3E59B217">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14:paraId="1211F66C">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14:paraId="56274D72">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14:paraId="3CD301CE">
      <w:pPr>
        <w:snapToGrid w:val="0"/>
        <w:spacing w:line="360" w:lineRule="auto"/>
        <w:jc w:val="center"/>
        <w:rPr>
          <w:rFonts w:hint="eastAsia" w:ascii="仿宋" w:hAnsi="仿宋" w:eastAsia="仿宋" w:cs="仿宋"/>
          <w:b/>
          <w:color w:val="auto"/>
          <w:kern w:val="0"/>
          <w:sz w:val="32"/>
          <w:szCs w:val="32"/>
          <w:lang w:val="zh-CN"/>
        </w:rPr>
      </w:pPr>
    </w:p>
    <w:p w14:paraId="05F90B30">
      <w:pPr>
        <w:snapToGrid w:val="0"/>
        <w:spacing w:line="360" w:lineRule="auto"/>
        <w:jc w:val="center"/>
        <w:rPr>
          <w:rFonts w:hint="eastAsia" w:ascii="仿宋" w:hAnsi="仿宋" w:eastAsia="仿宋" w:cs="仿宋"/>
          <w:b/>
          <w:color w:val="auto"/>
          <w:kern w:val="0"/>
          <w:sz w:val="32"/>
          <w:szCs w:val="32"/>
          <w:lang w:val="zh-CN"/>
        </w:rPr>
      </w:pPr>
    </w:p>
    <w:p w14:paraId="3E2EF1A0">
      <w:pPr>
        <w:snapToGrid w:val="0"/>
        <w:spacing w:line="360" w:lineRule="auto"/>
        <w:jc w:val="center"/>
        <w:rPr>
          <w:rFonts w:hint="eastAsia" w:ascii="仿宋" w:hAnsi="仿宋" w:eastAsia="仿宋" w:cs="仿宋"/>
          <w:b/>
          <w:color w:val="auto"/>
          <w:kern w:val="0"/>
          <w:sz w:val="32"/>
          <w:szCs w:val="32"/>
          <w:lang w:val="zh-CN"/>
        </w:rPr>
      </w:pPr>
    </w:p>
    <w:p w14:paraId="29F86204">
      <w:pPr>
        <w:snapToGrid w:val="0"/>
        <w:spacing w:line="360" w:lineRule="auto"/>
        <w:jc w:val="center"/>
        <w:rPr>
          <w:rFonts w:hint="eastAsia" w:ascii="仿宋" w:hAnsi="仿宋" w:eastAsia="仿宋" w:cs="仿宋"/>
          <w:b/>
          <w:color w:val="auto"/>
          <w:kern w:val="0"/>
          <w:sz w:val="32"/>
          <w:szCs w:val="32"/>
          <w:lang w:val="zh-CN"/>
        </w:rPr>
      </w:pPr>
    </w:p>
    <w:p w14:paraId="38D4F398">
      <w:pPr>
        <w:snapToGrid w:val="0"/>
        <w:spacing w:line="360" w:lineRule="auto"/>
        <w:jc w:val="center"/>
        <w:rPr>
          <w:rFonts w:hint="eastAsia" w:ascii="仿宋" w:hAnsi="仿宋" w:eastAsia="仿宋" w:cs="仿宋"/>
          <w:b/>
          <w:color w:val="auto"/>
          <w:kern w:val="0"/>
          <w:sz w:val="32"/>
          <w:szCs w:val="32"/>
          <w:lang w:val="zh-CN"/>
        </w:rPr>
      </w:pPr>
    </w:p>
    <w:p w14:paraId="5C91D446">
      <w:pPr>
        <w:snapToGrid w:val="0"/>
        <w:spacing w:line="360" w:lineRule="auto"/>
        <w:jc w:val="center"/>
        <w:rPr>
          <w:rFonts w:hint="eastAsia" w:ascii="仿宋" w:hAnsi="仿宋" w:eastAsia="仿宋" w:cs="仿宋"/>
          <w:b/>
          <w:color w:val="auto"/>
          <w:kern w:val="0"/>
          <w:sz w:val="32"/>
          <w:szCs w:val="32"/>
          <w:lang w:val="zh-CN"/>
        </w:rPr>
      </w:pPr>
    </w:p>
    <w:p w14:paraId="61897B43">
      <w:pPr>
        <w:snapToGrid w:val="0"/>
        <w:spacing w:line="360" w:lineRule="auto"/>
        <w:jc w:val="center"/>
        <w:rPr>
          <w:rFonts w:hint="eastAsia" w:ascii="仿宋" w:hAnsi="仿宋" w:eastAsia="仿宋" w:cs="仿宋"/>
          <w:b/>
          <w:color w:val="auto"/>
          <w:kern w:val="0"/>
          <w:sz w:val="32"/>
          <w:szCs w:val="32"/>
          <w:lang w:val="zh-CN"/>
        </w:rPr>
      </w:pPr>
    </w:p>
    <w:p w14:paraId="724AA083">
      <w:pPr>
        <w:snapToGrid w:val="0"/>
        <w:spacing w:line="360" w:lineRule="auto"/>
        <w:jc w:val="center"/>
        <w:rPr>
          <w:rFonts w:hint="eastAsia" w:ascii="仿宋" w:hAnsi="仿宋" w:eastAsia="仿宋" w:cs="仿宋"/>
          <w:b/>
          <w:color w:val="auto"/>
          <w:kern w:val="0"/>
          <w:sz w:val="32"/>
          <w:szCs w:val="32"/>
          <w:lang w:val="zh-CN"/>
        </w:rPr>
      </w:pPr>
    </w:p>
    <w:p w14:paraId="33FCC65D">
      <w:pPr>
        <w:snapToGrid w:val="0"/>
        <w:spacing w:line="360" w:lineRule="auto"/>
        <w:jc w:val="center"/>
        <w:rPr>
          <w:rFonts w:hint="eastAsia" w:ascii="仿宋" w:hAnsi="仿宋" w:eastAsia="仿宋" w:cs="仿宋"/>
          <w:b/>
          <w:color w:val="auto"/>
          <w:kern w:val="0"/>
          <w:sz w:val="32"/>
          <w:szCs w:val="32"/>
          <w:lang w:val="zh-CN"/>
        </w:rPr>
      </w:pPr>
    </w:p>
    <w:p w14:paraId="0352B288">
      <w:pPr>
        <w:snapToGrid w:val="0"/>
        <w:spacing w:line="360" w:lineRule="auto"/>
        <w:jc w:val="center"/>
        <w:rPr>
          <w:rFonts w:hint="eastAsia" w:ascii="仿宋" w:hAnsi="仿宋" w:eastAsia="仿宋" w:cs="仿宋"/>
          <w:b/>
          <w:color w:val="auto"/>
          <w:kern w:val="0"/>
          <w:sz w:val="32"/>
          <w:szCs w:val="32"/>
          <w:lang w:val="zh-CN"/>
        </w:rPr>
      </w:pPr>
    </w:p>
    <w:p w14:paraId="1697CF98">
      <w:pPr>
        <w:snapToGrid w:val="0"/>
        <w:spacing w:line="360" w:lineRule="auto"/>
        <w:jc w:val="center"/>
        <w:rPr>
          <w:rFonts w:hint="eastAsia" w:ascii="仿宋" w:hAnsi="仿宋" w:eastAsia="仿宋" w:cs="仿宋"/>
          <w:b/>
          <w:color w:val="auto"/>
          <w:kern w:val="0"/>
          <w:sz w:val="32"/>
          <w:szCs w:val="32"/>
          <w:lang w:val="zh-CN"/>
        </w:rPr>
      </w:pPr>
    </w:p>
    <w:p w14:paraId="5903B8EF">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7EDA9AF0">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2376DB88">
      <w:pPr>
        <w:snapToGrid w:val="0"/>
        <w:spacing w:line="320" w:lineRule="exact"/>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21D0AB14">
      <w:pPr>
        <w:snapToGrid w:val="0"/>
        <w:spacing w:line="3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14:paraId="5D3FDA5B">
      <w:pPr>
        <w:snapToGrid w:val="0"/>
        <w:spacing w:line="3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75A8C8D2">
      <w:pPr>
        <w:snapToGrid w:val="0"/>
        <w:spacing w:line="3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672D127A">
      <w:pPr>
        <w:snapToGrid w:val="0"/>
        <w:spacing w:line="32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472ACBA1">
      <w:pPr>
        <w:snapToGrid w:val="0"/>
        <w:spacing w:line="32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4FD2BC40">
      <w:pPr>
        <w:snapToGrid w:val="0"/>
        <w:spacing w:line="32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507" w:name="_Hlk101257010"/>
      <w:r>
        <w:rPr>
          <w:rFonts w:hint="eastAsia" w:ascii="仿宋" w:hAnsi="仿宋" w:eastAsia="仿宋" w:cs="仿宋"/>
          <w:color w:val="auto"/>
          <w:sz w:val="24"/>
        </w:rPr>
        <w:t>（如果有)</w:t>
      </w:r>
      <w:bookmarkEnd w:id="507"/>
      <w:r>
        <w:rPr>
          <w:rFonts w:hint="eastAsia" w:ascii="仿宋" w:hAnsi="仿宋" w:eastAsia="仿宋" w:cs="仿宋"/>
          <w:snapToGrid w:val="0"/>
          <w:color w:val="auto"/>
          <w:kern w:val="28"/>
          <w:sz w:val="24"/>
          <w:szCs w:val="20"/>
        </w:rPr>
        <w:t>；</w:t>
      </w:r>
    </w:p>
    <w:p w14:paraId="628CB824">
      <w:pPr>
        <w:snapToGrid w:val="0"/>
        <w:spacing w:line="32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14:paraId="4B813590">
      <w:pPr>
        <w:snapToGrid w:val="0"/>
        <w:spacing w:line="32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14:paraId="36F0B226">
      <w:pPr>
        <w:snapToGrid w:val="0"/>
        <w:spacing w:line="320" w:lineRule="exact"/>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4AEF37AB">
      <w:pPr>
        <w:snapToGrid w:val="0"/>
        <w:spacing w:line="32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p>
    <w:p w14:paraId="5637691F">
      <w:pPr>
        <w:snapToGrid w:val="0"/>
        <w:spacing w:line="32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26C8A779">
      <w:pPr>
        <w:snapToGrid w:val="0"/>
        <w:spacing w:line="32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14:paraId="7ACDA54B">
      <w:pPr>
        <w:snapToGrid w:val="0"/>
        <w:spacing w:line="32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3E4B345E">
      <w:pPr>
        <w:snapToGrid w:val="0"/>
        <w:spacing w:line="32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14:paraId="6624D961">
      <w:pPr>
        <w:snapToGrid w:val="0"/>
        <w:spacing w:line="32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14:paraId="2EB45946">
      <w:pPr>
        <w:snapToGrid w:val="0"/>
        <w:spacing w:line="32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14:paraId="57D18FA5">
      <w:pPr>
        <w:snapToGrid w:val="0"/>
        <w:spacing w:line="320" w:lineRule="exact"/>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1D809625">
      <w:pPr>
        <w:snapToGrid w:val="0"/>
        <w:spacing w:line="32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690CBDD0">
      <w:pPr>
        <w:spacing w:line="32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28DAD37E">
      <w:pPr>
        <w:snapToGrid w:val="0"/>
        <w:spacing w:line="32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6DF05712">
      <w:pPr>
        <w:snapToGrid w:val="0"/>
        <w:spacing w:line="3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3、我方承诺除商务技术偏离表列出的偏离外，我方响应招标文件的全部要求。对投标文件中材料的真实性、合法性负责，积极配合采购人、采购代理机构复核投标文件中的资料。</w:t>
      </w:r>
    </w:p>
    <w:p w14:paraId="384946A0">
      <w:pPr>
        <w:snapToGrid w:val="0"/>
        <w:spacing w:line="3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14:paraId="6E272FFB">
      <w:pPr>
        <w:snapToGrid w:val="0"/>
        <w:spacing w:line="32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4.1在收到中标通知书后，在中标通知书规定的期限内与你方签订合同；</w:t>
      </w:r>
    </w:p>
    <w:p w14:paraId="70689170">
      <w:pPr>
        <w:snapToGrid w:val="0"/>
        <w:spacing w:line="32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4.2在签订合同时不向你方提出附加条件；</w:t>
      </w:r>
    </w:p>
    <w:p w14:paraId="76A06D32">
      <w:pPr>
        <w:snapToGrid w:val="0"/>
        <w:spacing w:line="32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4.3按照招标文件要求提交履约保证金；</w:t>
      </w:r>
    </w:p>
    <w:p w14:paraId="038A0C95">
      <w:pPr>
        <w:snapToGrid w:val="0"/>
        <w:spacing w:line="32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4.4在合同约定的期限内完成合同规定的全部义务。</w:t>
      </w:r>
    </w:p>
    <w:p w14:paraId="62115584">
      <w:pPr>
        <w:spacing w:line="320" w:lineRule="exact"/>
        <w:ind w:firstLine="480" w:firstLineChars="200"/>
        <w:rPr>
          <w:rFonts w:hint="eastAsia" w:ascii="仿宋" w:hAnsi="仿宋" w:eastAsia="仿宋" w:cs="仿宋"/>
          <w:color w:val="auto"/>
          <w:sz w:val="24"/>
          <w:shd w:val="clear" w:color="auto" w:fill="FFFFFF"/>
        </w:rPr>
      </w:pPr>
      <w:r>
        <w:rPr>
          <w:rFonts w:hint="eastAsia" w:ascii="仿宋" w:hAnsi="仿宋" w:eastAsia="仿宋" w:cs="仿宋"/>
          <w:color w:val="auto"/>
          <w:sz w:val="24"/>
        </w:rPr>
        <w:t>5、对</w:t>
      </w:r>
      <w:r>
        <w:rPr>
          <w:rFonts w:hint="eastAsia" w:ascii="仿宋" w:hAnsi="仿宋" w:eastAsia="仿宋" w:cs="仿宋"/>
          <w:color w:val="auto"/>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E0A9B4B">
      <w:pPr>
        <w:snapToGrid w:val="0"/>
        <w:spacing w:line="3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7F46D22">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470B5F82">
      <w:pPr>
        <w:snapToGrid w:val="0"/>
        <w:spacing w:line="360" w:lineRule="auto"/>
        <w:ind w:firstLine="5520" w:firstLineChars="2300"/>
        <w:rPr>
          <w:rFonts w:hint="eastAsia" w:ascii="仿宋" w:hAnsi="仿宋" w:eastAsia="仿宋" w:cs="仿宋"/>
          <w:color w:val="auto"/>
          <w:kern w:val="0"/>
          <w:sz w:val="24"/>
          <w:lang w:val="en-US"/>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lang w:val="en-US"/>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lang w:val="en-US"/>
        </w:rPr>
        <w:t xml:space="preserve">   </w:t>
      </w:r>
      <w:r>
        <w:rPr>
          <w:rFonts w:hint="eastAsia" w:ascii="仿宋" w:hAnsi="仿宋" w:eastAsia="仿宋" w:cs="仿宋"/>
          <w:color w:val="auto"/>
          <w:kern w:val="0"/>
          <w:sz w:val="24"/>
          <w:lang w:val="zh-CN"/>
        </w:rPr>
        <w:t>日</w:t>
      </w:r>
    </w:p>
    <w:p w14:paraId="1A5BD3DF">
      <w:pPr>
        <w:snapToGrid w:val="0"/>
        <w:spacing w:line="360" w:lineRule="auto"/>
        <w:ind w:left="420" w:leftChars="200" w:firstLine="4200" w:firstLineChars="1750"/>
        <w:rPr>
          <w:rFonts w:hint="eastAsia" w:ascii="仿宋" w:hAnsi="仿宋" w:eastAsia="仿宋" w:cs="仿宋"/>
          <w:color w:val="auto"/>
          <w:kern w:val="0"/>
          <w:sz w:val="24"/>
          <w:u w:val="single"/>
        </w:rPr>
      </w:pPr>
    </w:p>
    <w:p w14:paraId="4FDBDD17">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0BD9558">
      <w:pPr>
        <w:snapToGrid w:val="0"/>
        <w:spacing w:line="360" w:lineRule="auto"/>
        <w:jc w:val="center"/>
        <w:outlineLvl w:val="0"/>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44173094">
      <w:pPr>
        <w:snapToGrid w:val="0"/>
        <w:spacing w:line="360" w:lineRule="auto"/>
        <w:jc w:val="center"/>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14:paraId="48AF6EE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0D3ED5FC">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3EA3E942">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3138521C">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58B2BA70">
      <w:pPr>
        <w:snapToGrid w:val="0"/>
        <w:spacing w:line="360" w:lineRule="auto"/>
        <w:ind w:firstLine="5520" w:firstLineChars="23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投标人名称(电子签名)：</w:t>
      </w:r>
    </w:p>
    <w:p w14:paraId="5BA7325A">
      <w:pPr>
        <w:snapToGrid w:val="0"/>
        <w:spacing w:line="360" w:lineRule="auto"/>
        <w:ind w:firstLine="5520" w:firstLineChars="23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签发日期：  年  月   日</w:t>
      </w:r>
    </w:p>
    <w:p w14:paraId="38439477">
      <w:pPr>
        <w:snapToGrid w:val="0"/>
        <w:spacing w:line="360" w:lineRule="auto"/>
        <w:ind w:firstLine="5520" w:firstLineChars="2300"/>
        <w:rPr>
          <w:rFonts w:hint="eastAsia" w:ascii="仿宋" w:hAnsi="仿宋" w:eastAsia="仿宋" w:cs="仿宋"/>
          <w:color w:val="auto"/>
          <w:kern w:val="0"/>
          <w:sz w:val="24"/>
          <w:lang w:val="zh-CN"/>
        </w:rPr>
      </w:pPr>
    </w:p>
    <w:p w14:paraId="13A3770B">
      <w:p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011AA45C">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76201C35">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48E725B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669E209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5B541AAA">
      <w:pPr>
        <w:jc w:val="center"/>
        <w:rPr>
          <w:rFonts w:hint="eastAsia" w:ascii="仿宋" w:hAnsi="仿宋" w:eastAsia="仿宋" w:cs="仿宋"/>
          <w:b/>
          <w:color w:val="auto"/>
          <w:kern w:val="0"/>
          <w:sz w:val="32"/>
          <w:szCs w:val="32"/>
        </w:rPr>
      </w:pPr>
    </w:p>
    <w:p w14:paraId="448FCA3E">
      <w:pPr>
        <w:rPr>
          <w:rFonts w:hint="eastAsia" w:ascii="仿宋" w:hAnsi="仿宋" w:eastAsia="仿宋" w:cs="仿宋"/>
          <w:color w:val="auto"/>
        </w:rPr>
      </w:pPr>
    </w:p>
    <w:p w14:paraId="5B4E883C">
      <w:pPr>
        <w:snapToGrid w:val="0"/>
        <w:spacing w:line="360" w:lineRule="auto"/>
        <w:ind w:firstLine="4080" w:firstLineChars="17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6ECD4C39">
      <w:pPr>
        <w:snapToGrid w:val="0"/>
        <w:spacing w:line="360" w:lineRule="auto"/>
        <w:ind w:firstLine="4080" w:firstLineChars="17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4F20C29">
      <w:pPr>
        <w:snapToGrid w:val="0"/>
        <w:spacing w:line="360" w:lineRule="auto"/>
        <w:ind w:firstLine="4080" w:firstLineChars="17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64C958A2">
      <w:pPr>
        <w:snapToGrid w:val="0"/>
        <w:spacing w:line="360" w:lineRule="auto"/>
        <w:ind w:firstLine="4080" w:firstLineChars="17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1B5A3398">
      <w:pPr>
        <w:snapToGrid w:val="0"/>
        <w:spacing w:line="360" w:lineRule="auto"/>
        <w:ind w:firstLine="4080" w:firstLineChars="1700"/>
        <w:rPr>
          <w:rFonts w:hint="eastAsia" w:ascii="仿宋" w:hAnsi="仿宋" w:eastAsia="仿宋" w:cs="仿宋"/>
          <w:color w:val="auto"/>
          <w:kern w:val="0"/>
          <w:sz w:val="24"/>
          <w:lang w:val="zh-CN"/>
        </w:rPr>
        <w:sectPr>
          <w:headerReference r:id="rId9" w:type="first"/>
          <w:footerReference r:id="rId11" w:type="first"/>
          <w:headerReference r:id="rId8" w:type="default"/>
          <w:footerReference r:id="rId10" w:type="default"/>
          <w:pgSz w:w="11906" w:h="16838"/>
          <w:pgMar w:top="1417" w:right="1417" w:bottom="1417" w:left="1701" w:header="1134" w:footer="850" w:gutter="0"/>
          <w:cols w:space="0" w:num="1"/>
          <w:titlePg/>
          <w:docGrid w:linePitch="312" w:charSpace="0"/>
        </w:sectPr>
      </w:pPr>
    </w:p>
    <w:p w14:paraId="6E7A018B">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14:paraId="599A1B98">
      <w:pPr>
        <w:pStyle w:val="149"/>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A9C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82177DB">
            <w:pPr>
              <w:pStyle w:val="149"/>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06FFB3AD">
            <w:pPr>
              <w:pStyle w:val="149"/>
              <w:adjustRightInd w:val="0"/>
              <w:spacing w:line="360" w:lineRule="auto"/>
              <w:rPr>
                <w:rFonts w:hint="eastAsia" w:ascii="仿宋" w:hAnsi="仿宋" w:eastAsia="仿宋" w:cs="仿宋"/>
                <w:bCs/>
                <w:color w:val="auto"/>
                <w:sz w:val="24"/>
              </w:rPr>
            </w:pPr>
          </w:p>
        </w:tc>
      </w:tr>
    </w:tbl>
    <w:p w14:paraId="05BDB8FC">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5A6E5251">
      <w:pPr>
        <w:snapToGrid w:val="0"/>
        <w:spacing w:line="360" w:lineRule="auto"/>
        <w:ind w:firstLine="5520" w:firstLineChars="23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投标人名称(电子签名)：                              </w:t>
      </w:r>
    </w:p>
    <w:p w14:paraId="5558E529">
      <w:pPr>
        <w:snapToGrid w:val="0"/>
        <w:spacing w:line="360" w:lineRule="auto"/>
        <w:ind w:firstLine="5520" w:firstLineChars="23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4E5C39C6">
      <w:pPr>
        <w:jc w:val="center"/>
        <w:rPr>
          <w:rFonts w:hint="eastAsia" w:ascii="仿宋" w:hAnsi="仿宋" w:eastAsia="仿宋" w:cs="仿宋"/>
          <w:b/>
          <w:color w:val="auto"/>
          <w:kern w:val="0"/>
          <w:sz w:val="32"/>
          <w:szCs w:val="32"/>
        </w:rPr>
      </w:pPr>
    </w:p>
    <w:p w14:paraId="43213FA4">
      <w:pPr>
        <w:jc w:val="center"/>
        <w:rPr>
          <w:rFonts w:hint="eastAsia" w:ascii="仿宋" w:hAnsi="仿宋" w:eastAsia="仿宋" w:cs="仿宋"/>
          <w:b/>
          <w:color w:val="auto"/>
          <w:kern w:val="0"/>
          <w:sz w:val="32"/>
          <w:szCs w:val="32"/>
        </w:rPr>
      </w:pPr>
    </w:p>
    <w:p w14:paraId="6D9340D4">
      <w:pPr>
        <w:jc w:val="center"/>
        <w:rPr>
          <w:rFonts w:hint="eastAsia" w:ascii="仿宋" w:hAnsi="仿宋" w:eastAsia="仿宋" w:cs="仿宋"/>
          <w:b/>
          <w:color w:val="auto"/>
          <w:kern w:val="0"/>
          <w:sz w:val="32"/>
          <w:szCs w:val="32"/>
        </w:rPr>
      </w:pPr>
    </w:p>
    <w:p w14:paraId="452B0571">
      <w:pPr>
        <w:jc w:val="center"/>
        <w:rPr>
          <w:rFonts w:hint="eastAsia" w:ascii="仿宋" w:hAnsi="仿宋" w:eastAsia="仿宋" w:cs="仿宋"/>
          <w:b/>
          <w:color w:val="auto"/>
          <w:kern w:val="0"/>
          <w:sz w:val="32"/>
          <w:szCs w:val="32"/>
        </w:rPr>
      </w:pPr>
    </w:p>
    <w:p w14:paraId="1E7CA6C8">
      <w:pPr>
        <w:jc w:val="center"/>
        <w:rPr>
          <w:rFonts w:hint="eastAsia" w:ascii="仿宋" w:hAnsi="仿宋" w:eastAsia="仿宋" w:cs="仿宋"/>
          <w:b/>
          <w:color w:val="auto"/>
          <w:kern w:val="0"/>
          <w:sz w:val="32"/>
          <w:szCs w:val="32"/>
        </w:rPr>
      </w:pPr>
    </w:p>
    <w:p w14:paraId="2F16FB42">
      <w:pPr>
        <w:jc w:val="center"/>
        <w:rPr>
          <w:rFonts w:hint="eastAsia" w:ascii="仿宋" w:hAnsi="仿宋" w:eastAsia="仿宋" w:cs="仿宋"/>
          <w:b/>
          <w:color w:val="auto"/>
          <w:kern w:val="0"/>
          <w:sz w:val="32"/>
          <w:szCs w:val="32"/>
        </w:rPr>
      </w:pPr>
    </w:p>
    <w:p w14:paraId="1FB1DA16">
      <w:pPr>
        <w:jc w:val="center"/>
        <w:rPr>
          <w:rFonts w:hint="eastAsia" w:ascii="仿宋" w:hAnsi="仿宋" w:eastAsia="仿宋" w:cs="仿宋"/>
          <w:b/>
          <w:color w:val="auto"/>
          <w:kern w:val="0"/>
          <w:sz w:val="32"/>
          <w:szCs w:val="32"/>
        </w:rPr>
      </w:pPr>
    </w:p>
    <w:p w14:paraId="05083FEF">
      <w:pPr>
        <w:jc w:val="center"/>
        <w:rPr>
          <w:rFonts w:hint="eastAsia" w:ascii="仿宋" w:hAnsi="仿宋" w:eastAsia="仿宋" w:cs="仿宋"/>
          <w:b/>
          <w:color w:val="auto"/>
          <w:kern w:val="0"/>
          <w:sz w:val="32"/>
          <w:szCs w:val="32"/>
        </w:rPr>
      </w:pPr>
    </w:p>
    <w:p w14:paraId="2889614F">
      <w:pPr>
        <w:jc w:val="center"/>
        <w:rPr>
          <w:rFonts w:hint="eastAsia" w:ascii="仿宋" w:hAnsi="仿宋" w:eastAsia="仿宋" w:cs="仿宋"/>
          <w:b/>
          <w:color w:val="auto"/>
          <w:kern w:val="0"/>
          <w:sz w:val="32"/>
          <w:szCs w:val="32"/>
        </w:rPr>
      </w:pPr>
    </w:p>
    <w:p w14:paraId="3966D0FE">
      <w:pPr>
        <w:jc w:val="center"/>
        <w:rPr>
          <w:rFonts w:hint="eastAsia" w:ascii="仿宋" w:hAnsi="仿宋" w:eastAsia="仿宋" w:cs="仿宋"/>
          <w:b/>
          <w:color w:val="auto"/>
          <w:kern w:val="0"/>
          <w:sz w:val="32"/>
          <w:szCs w:val="32"/>
        </w:rPr>
      </w:pPr>
    </w:p>
    <w:p w14:paraId="386C6A14">
      <w:pPr>
        <w:snapToGrid w:val="0"/>
        <w:spacing w:line="360" w:lineRule="auto"/>
        <w:ind w:right="480"/>
        <w:rPr>
          <w:rFonts w:hint="eastAsia" w:ascii="仿宋" w:hAnsi="仿宋" w:eastAsia="仿宋" w:cs="仿宋"/>
          <w:b/>
          <w:color w:val="auto"/>
          <w:kern w:val="0"/>
          <w:sz w:val="32"/>
          <w:szCs w:val="32"/>
        </w:rPr>
        <w:sectPr>
          <w:pgSz w:w="11906" w:h="16838"/>
          <w:pgMar w:top="1417" w:right="1417" w:bottom="1417" w:left="1701" w:header="1134" w:footer="850" w:gutter="0"/>
          <w:cols w:space="0" w:num="1"/>
          <w:titlePg/>
          <w:docGrid w:linePitch="312" w:charSpace="0"/>
        </w:sectPr>
      </w:pPr>
    </w:p>
    <w:p w14:paraId="322E57E2">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14:paraId="36EE520B">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6FCE3AC6">
      <w:pPr>
        <w:snapToGrid w:val="0"/>
        <w:spacing w:line="360" w:lineRule="auto"/>
        <w:rPr>
          <w:rFonts w:hint="eastAsia" w:ascii="仿宋" w:hAnsi="仿宋" w:eastAsia="仿宋" w:cs="仿宋"/>
          <w:color w:val="auto"/>
          <w:kern w:val="0"/>
          <w:sz w:val="24"/>
        </w:rPr>
      </w:pPr>
    </w:p>
    <w:p w14:paraId="55B1A268">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A7C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AB05FF4">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14:paraId="7B5DC3E4">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14:paraId="57310121">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14:paraId="0E054035">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投标文件中的页码位置</w:t>
            </w:r>
          </w:p>
        </w:tc>
      </w:tr>
      <w:tr w14:paraId="77B1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7032D37">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vAlign w:val="center"/>
          </w:tcPr>
          <w:p w14:paraId="3FEA6714">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1E814AC7">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14:paraId="611E65F8">
            <w:pPr>
              <w:rPr>
                <w:rFonts w:hint="eastAsia" w:ascii="仿宋" w:hAnsi="仿宋" w:eastAsia="仿宋" w:cs="仿宋"/>
                <w:color w:val="auto"/>
                <w:sz w:val="24"/>
              </w:rPr>
            </w:pPr>
            <w:r>
              <w:rPr>
                <w:rFonts w:hint="eastAsia" w:ascii="仿宋" w:hAnsi="仿宋" w:eastAsia="仿宋" w:cs="仿宋"/>
                <w:color w:val="auto"/>
                <w:sz w:val="24"/>
              </w:rPr>
              <w:t>见投标文件</w:t>
            </w:r>
          </w:p>
          <w:p w14:paraId="663AC557">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07C2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10EA594">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991" w:type="dxa"/>
            <w:vAlign w:val="center"/>
          </w:tcPr>
          <w:p w14:paraId="59F318AC">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5E066CB4">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14:paraId="378516A6">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3AE4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2CC045F">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vAlign w:val="center"/>
          </w:tcPr>
          <w:p w14:paraId="77D0A3D3">
            <w:pPr>
              <w:spacing w:line="360" w:lineRule="auto"/>
              <w:rPr>
                <w:rFonts w:hint="eastAsia" w:ascii="仿宋" w:hAnsi="仿宋" w:eastAsia="仿宋" w:cs="仿宋"/>
                <w:color w:val="auto"/>
                <w:sz w:val="24"/>
              </w:rPr>
            </w:pPr>
            <w:r>
              <w:rPr>
                <w:rFonts w:hint="eastAsia" w:ascii="仿宋" w:hAnsi="仿宋" w:eastAsia="仿宋" w:cs="仿宋"/>
                <w:snapToGrid w:val="0"/>
                <w:color w:val="auto"/>
                <w:sz w:val="24"/>
              </w:rPr>
              <w:t>其他实质性要求1：</w:t>
            </w:r>
          </w:p>
        </w:tc>
        <w:tc>
          <w:tcPr>
            <w:tcW w:w="2551" w:type="dxa"/>
            <w:vMerge w:val="restart"/>
            <w:vAlign w:val="center"/>
          </w:tcPr>
          <w:p w14:paraId="1A29C466">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center"/>
          </w:tcPr>
          <w:p w14:paraId="4F604283">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0DC2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BAA5569">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4991" w:type="dxa"/>
            <w:vAlign w:val="center"/>
          </w:tcPr>
          <w:p w14:paraId="009B9EED">
            <w:pPr>
              <w:spacing w:line="360" w:lineRule="auto"/>
              <w:rPr>
                <w:rFonts w:hint="eastAsia" w:ascii="仿宋" w:hAnsi="仿宋" w:eastAsia="仿宋" w:cs="仿宋"/>
                <w:color w:val="auto"/>
                <w:sz w:val="24"/>
              </w:rPr>
            </w:pPr>
            <w:r>
              <w:rPr>
                <w:rFonts w:hint="eastAsia" w:ascii="仿宋" w:hAnsi="仿宋" w:eastAsia="仿宋" w:cs="仿宋"/>
                <w:snapToGrid w:val="0"/>
                <w:color w:val="auto"/>
                <w:sz w:val="24"/>
              </w:rPr>
              <w:t>其他实质性要求2：</w:t>
            </w:r>
          </w:p>
        </w:tc>
        <w:tc>
          <w:tcPr>
            <w:tcW w:w="2551" w:type="dxa"/>
            <w:vMerge w:val="continue"/>
            <w:vAlign w:val="center"/>
          </w:tcPr>
          <w:p w14:paraId="6D2C8E49">
            <w:pPr>
              <w:jc w:val="center"/>
              <w:rPr>
                <w:rFonts w:hint="eastAsia" w:ascii="仿宋" w:hAnsi="仿宋" w:eastAsia="仿宋" w:cs="仿宋"/>
                <w:color w:val="auto"/>
                <w:sz w:val="24"/>
              </w:rPr>
            </w:pPr>
          </w:p>
        </w:tc>
        <w:tc>
          <w:tcPr>
            <w:tcW w:w="1418" w:type="dxa"/>
            <w:vAlign w:val="center"/>
          </w:tcPr>
          <w:p w14:paraId="615B7C75">
            <w:pPr>
              <w:jc w:val="center"/>
              <w:rPr>
                <w:rFonts w:hint="eastAsia" w:ascii="仿宋" w:hAnsi="仿宋" w:eastAsia="仿宋" w:cs="仿宋"/>
                <w:color w:val="auto"/>
                <w:sz w:val="24"/>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1306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83AEA30">
            <w:pPr>
              <w:jc w:val="center"/>
              <w:rPr>
                <w:rFonts w:hint="eastAsia" w:ascii="仿宋" w:hAnsi="仿宋" w:eastAsia="仿宋" w:cs="仿宋"/>
                <w:color w:val="auto"/>
                <w:sz w:val="24"/>
              </w:rPr>
            </w:pPr>
            <w:r>
              <w:rPr>
                <w:rFonts w:hint="eastAsia" w:ascii="仿宋" w:hAnsi="仿宋" w:eastAsia="仿宋" w:cs="仿宋"/>
                <w:color w:val="auto"/>
                <w:kern w:val="0"/>
                <w:sz w:val="24"/>
              </w:rPr>
              <w:t>……</w:t>
            </w:r>
          </w:p>
        </w:tc>
        <w:tc>
          <w:tcPr>
            <w:tcW w:w="4991" w:type="dxa"/>
            <w:vAlign w:val="center"/>
          </w:tcPr>
          <w:p w14:paraId="07372C9A">
            <w:pPr>
              <w:spacing w:line="360" w:lineRule="auto"/>
              <w:rPr>
                <w:rFonts w:hint="eastAsia" w:ascii="仿宋" w:hAnsi="仿宋" w:eastAsia="仿宋" w:cs="仿宋"/>
                <w:color w:val="auto"/>
                <w:sz w:val="24"/>
              </w:rPr>
            </w:pPr>
            <w:r>
              <w:rPr>
                <w:rFonts w:hint="eastAsia" w:ascii="仿宋" w:hAnsi="仿宋" w:eastAsia="仿宋" w:cs="仿宋"/>
                <w:snapToGrid w:val="0"/>
                <w:color w:val="auto"/>
                <w:sz w:val="24"/>
              </w:rPr>
              <w:t>其他实质性要求</w:t>
            </w:r>
            <w:r>
              <w:rPr>
                <w:rFonts w:hint="eastAsia" w:ascii="仿宋" w:hAnsi="仿宋" w:eastAsia="仿宋" w:cs="仿宋"/>
                <w:color w:val="auto"/>
                <w:kern w:val="0"/>
                <w:sz w:val="24"/>
              </w:rPr>
              <w:t>……</w:t>
            </w:r>
            <w:r>
              <w:rPr>
                <w:rFonts w:hint="eastAsia" w:ascii="仿宋" w:hAnsi="仿宋" w:eastAsia="仿宋" w:cs="仿宋"/>
                <w:snapToGrid w:val="0"/>
                <w:color w:val="auto"/>
                <w:sz w:val="24"/>
              </w:rPr>
              <w:t>：</w:t>
            </w:r>
          </w:p>
        </w:tc>
        <w:tc>
          <w:tcPr>
            <w:tcW w:w="2551" w:type="dxa"/>
            <w:vMerge w:val="continue"/>
            <w:vAlign w:val="center"/>
          </w:tcPr>
          <w:p w14:paraId="6AB6B87B">
            <w:pPr>
              <w:jc w:val="center"/>
              <w:rPr>
                <w:rFonts w:hint="eastAsia" w:ascii="仿宋" w:hAnsi="仿宋" w:eastAsia="仿宋" w:cs="仿宋"/>
                <w:color w:val="auto"/>
                <w:sz w:val="24"/>
              </w:rPr>
            </w:pPr>
          </w:p>
        </w:tc>
        <w:tc>
          <w:tcPr>
            <w:tcW w:w="1418" w:type="dxa"/>
            <w:vAlign w:val="center"/>
          </w:tcPr>
          <w:p w14:paraId="7ED02AC9">
            <w:pPr>
              <w:jc w:val="center"/>
              <w:rPr>
                <w:rFonts w:hint="eastAsia" w:ascii="仿宋" w:hAnsi="仿宋" w:eastAsia="仿宋" w:cs="仿宋"/>
                <w:color w:val="auto"/>
                <w:sz w:val="24"/>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74E9AF2D">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注：1.按本格式和要求提供。</w:t>
      </w:r>
    </w:p>
    <w:p w14:paraId="43F259DE">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2、招标文件中实质性要求必须明确响应。</w:t>
      </w:r>
    </w:p>
    <w:p w14:paraId="436E71B0">
      <w:pPr>
        <w:pStyle w:val="79"/>
        <w:rPr>
          <w:rFonts w:hint="eastAsia"/>
          <w:color w:val="auto"/>
        </w:rPr>
      </w:pPr>
    </w:p>
    <w:p w14:paraId="7F0C572F">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五、评标标准相应的商务技术资料</w:t>
      </w:r>
    </w:p>
    <w:p w14:paraId="177995A5">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4BD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6EA040">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5465" w:type="dxa"/>
          </w:tcPr>
          <w:p w14:paraId="650691C3">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投标文件中评标标准相应的商务技术资料目录*</w:t>
            </w:r>
          </w:p>
        </w:tc>
        <w:tc>
          <w:tcPr>
            <w:tcW w:w="3046" w:type="dxa"/>
          </w:tcPr>
          <w:p w14:paraId="4812CFDD">
            <w:pPr>
              <w:snapToGrid w:val="0"/>
              <w:spacing w:line="240" w:lineRule="atLeast"/>
              <w:jc w:val="center"/>
              <w:rPr>
                <w:rFonts w:hint="eastAsia" w:ascii="仿宋" w:hAnsi="仿宋" w:eastAsia="仿宋" w:cs="仿宋"/>
                <w:bCs/>
                <w:color w:val="auto"/>
                <w:sz w:val="24"/>
              </w:rPr>
            </w:pPr>
            <w:r>
              <w:rPr>
                <w:rFonts w:hint="eastAsia" w:ascii="仿宋" w:hAnsi="仿宋" w:eastAsia="仿宋" w:cs="仿宋"/>
                <w:bCs/>
                <w:color w:val="auto"/>
                <w:sz w:val="24"/>
              </w:rPr>
              <w:t>投标文件中的页码位置</w:t>
            </w:r>
          </w:p>
        </w:tc>
      </w:tr>
      <w:tr w14:paraId="6807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4BDAE0">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5465" w:type="dxa"/>
          </w:tcPr>
          <w:p w14:paraId="511895CC">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XXX（预先填写）</w:t>
            </w:r>
          </w:p>
        </w:tc>
        <w:tc>
          <w:tcPr>
            <w:tcW w:w="3046" w:type="dxa"/>
          </w:tcPr>
          <w:p w14:paraId="37378575">
            <w:pPr>
              <w:jc w:val="center"/>
              <w:rPr>
                <w:rFonts w:hint="eastAsia" w:ascii="仿宋" w:hAnsi="仿宋" w:eastAsia="仿宋" w:cs="仿宋"/>
                <w:bCs/>
                <w:color w:val="auto"/>
                <w:sz w:val="24"/>
              </w:rPr>
            </w:pPr>
            <w:r>
              <w:rPr>
                <w:rFonts w:hint="eastAsia" w:ascii="仿宋" w:hAnsi="仿宋" w:eastAsia="仿宋" w:cs="仿宋"/>
                <w:bCs/>
                <w:color w:val="auto"/>
                <w:sz w:val="24"/>
              </w:rPr>
              <w:t>见投标文件第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页</w:t>
            </w:r>
          </w:p>
        </w:tc>
      </w:tr>
      <w:tr w14:paraId="7F83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84D419B">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5465" w:type="dxa"/>
          </w:tcPr>
          <w:p w14:paraId="16DA8013">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XXX</w:t>
            </w:r>
          </w:p>
        </w:tc>
        <w:tc>
          <w:tcPr>
            <w:tcW w:w="3046" w:type="dxa"/>
          </w:tcPr>
          <w:p w14:paraId="5770052F">
            <w:pPr>
              <w:jc w:val="center"/>
              <w:rPr>
                <w:rFonts w:hint="eastAsia" w:ascii="仿宋" w:hAnsi="仿宋" w:eastAsia="仿宋" w:cs="仿宋"/>
                <w:bCs/>
                <w:color w:val="auto"/>
                <w:sz w:val="24"/>
              </w:rPr>
            </w:pPr>
            <w:r>
              <w:rPr>
                <w:rFonts w:hint="eastAsia" w:ascii="仿宋" w:hAnsi="仿宋" w:eastAsia="仿宋" w:cs="仿宋"/>
                <w:bCs/>
                <w:color w:val="auto"/>
                <w:sz w:val="24"/>
              </w:rPr>
              <w:t>见投标文件第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页</w:t>
            </w:r>
          </w:p>
        </w:tc>
      </w:tr>
      <w:tr w14:paraId="6C0C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CE92C87">
            <w:pPr>
              <w:snapToGrid w:val="0"/>
              <w:spacing w:line="360" w:lineRule="auto"/>
              <w:jc w:val="center"/>
              <w:rPr>
                <w:rFonts w:hint="eastAsia" w:ascii="仿宋" w:hAnsi="仿宋" w:eastAsia="仿宋" w:cs="仿宋"/>
                <w:bCs/>
                <w:color w:val="auto"/>
                <w:sz w:val="24"/>
              </w:rPr>
            </w:pPr>
            <w:r>
              <w:rPr>
                <w:rFonts w:hint="eastAsia" w:ascii="仿宋" w:hAnsi="仿宋" w:eastAsia="仿宋" w:cs="仿宋"/>
                <w:color w:val="auto"/>
                <w:kern w:val="0"/>
                <w:sz w:val="24"/>
              </w:rPr>
              <w:t>……</w:t>
            </w:r>
          </w:p>
        </w:tc>
        <w:tc>
          <w:tcPr>
            <w:tcW w:w="5465" w:type="dxa"/>
          </w:tcPr>
          <w:p w14:paraId="185E2E1B">
            <w:pPr>
              <w:snapToGrid w:val="0"/>
              <w:spacing w:line="360" w:lineRule="auto"/>
              <w:jc w:val="center"/>
              <w:rPr>
                <w:rFonts w:hint="eastAsia" w:ascii="仿宋" w:hAnsi="仿宋" w:eastAsia="仿宋" w:cs="仿宋"/>
                <w:bCs/>
                <w:color w:val="auto"/>
                <w:sz w:val="24"/>
              </w:rPr>
            </w:pPr>
          </w:p>
        </w:tc>
        <w:tc>
          <w:tcPr>
            <w:tcW w:w="3046" w:type="dxa"/>
          </w:tcPr>
          <w:p w14:paraId="701B8D69">
            <w:pPr>
              <w:jc w:val="center"/>
              <w:rPr>
                <w:rFonts w:hint="eastAsia" w:ascii="仿宋" w:hAnsi="仿宋" w:eastAsia="仿宋" w:cs="仿宋"/>
                <w:bCs/>
                <w:color w:val="auto"/>
                <w:sz w:val="24"/>
              </w:rPr>
            </w:pPr>
            <w:r>
              <w:rPr>
                <w:rFonts w:hint="eastAsia" w:ascii="仿宋" w:hAnsi="仿宋" w:eastAsia="仿宋" w:cs="仿宋"/>
                <w:bCs/>
                <w:color w:val="auto"/>
                <w:sz w:val="24"/>
              </w:rPr>
              <w:t>见投标文件第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页</w:t>
            </w:r>
          </w:p>
        </w:tc>
      </w:tr>
    </w:tbl>
    <w:p w14:paraId="4402B8FC">
      <w:pPr>
        <w:pStyle w:val="81"/>
        <w:rPr>
          <w:rFonts w:hint="eastAsia" w:ascii="仿宋" w:hAnsi="仿宋" w:eastAsia="仿宋" w:cs="仿宋"/>
          <w:color w:val="auto"/>
        </w:rPr>
      </w:pPr>
    </w:p>
    <w:p w14:paraId="377F6F64">
      <w:pPr>
        <w:jc w:val="center"/>
        <w:rPr>
          <w:rFonts w:hint="eastAsia" w:ascii="仿宋" w:hAnsi="仿宋" w:eastAsia="仿宋" w:cs="仿宋"/>
          <w:b/>
          <w:color w:val="auto"/>
          <w:kern w:val="0"/>
          <w:sz w:val="32"/>
          <w:szCs w:val="32"/>
        </w:rPr>
      </w:pPr>
    </w:p>
    <w:p w14:paraId="2EE132FC">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FA2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6DB75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C1FCE5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B3AAC0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4E56D2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098E28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43851A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14:paraId="7737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DE87F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41398F3">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0EDF8A48">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0C8A421">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C4D53C4">
            <w:pPr>
              <w:spacing w:line="360" w:lineRule="auto"/>
              <w:jc w:val="center"/>
              <w:rPr>
                <w:rFonts w:hint="eastAsia" w:ascii="仿宋" w:hAnsi="仿宋" w:eastAsia="仿宋" w:cs="仿宋"/>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D934E82">
            <w:pPr>
              <w:spacing w:line="360" w:lineRule="auto"/>
              <w:jc w:val="center"/>
              <w:rPr>
                <w:rFonts w:hint="eastAsia" w:ascii="仿宋" w:hAnsi="仿宋" w:eastAsia="仿宋" w:cs="仿宋"/>
                <w:color w:val="auto"/>
                <w:sz w:val="24"/>
              </w:rPr>
            </w:pPr>
          </w:p>
        </w:tc>
      </w:tr>
      <w:tr w14:paraId="63AB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4B4A1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666471">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1282834">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C9B3520">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951C51F">
            <w:pPr>
              <w:spacing w:line="360" w:lineRule="auto"/>
              <w:jc w:val="center"/>
              <w:rPr>
                <w:rFonts w:hint="eastAsia" w:ascii="仿宋" w:hAnsi="仿宋" w:eastAsia="仿宋" w:cs="仿宋"/>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1040E75">
            <w:pPr>
              <w:spacing w:line="360" w:lineRule="auto"/>
              <w:jc w:val="center"/>
              <w:rPr>
                <w:rFonts w:hint="eastAsia" w:ascii="仿宋" w:hAnsi="仿宋" w:eastAsia="仿宋" w:cs="仿宋"/>
                <w:color w:val="auto"/>
                <w:sz w:val="24"/>
              </w:rPr>
            </w:pPr>
          </w:p>
        </w:tc>
      </w:tr>
      <w:tr w14:paraId="363F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4149B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CB4F7A7">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8D67CF">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CD43521">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4073763">
            <w:pPr>
              <w:spacing w:line="360" w:lineRule="auto"/>
              <w:jc w:val="center"/>
              <w:rPr>
                <w:rFonts w:hint="eastAsia" w:ascii="仿宋" w:hAnsi="仿宋" w:eastAsia="仿宋" w:cs="仿宋"/>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3E4A94E">
            <w:pPr>
              <w:spacing w:line="360" w:lineRule="auto"/>
              <w:jc w:val="center"/>
              <w:rPr>
                <w:rFonts w:hint="eastAsia" w:ascii="仿宋" w:hAnsi="仿宋" w:eastAsia="仿宋" w:cs="仿宋"/>
                <w:color w:val="auto"/>
                <w:sz w:val="24"/>
              </w:rPr>
            </w:pPr>
          </w:p>
        </w:tc>
      </w:tr>
    </w:tbl>
    <w:p w14:paraId="4EAA78CD">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CE93D91">
      <w:pPr>
        <w:pStyle w:val="79"/>
        <w:rPr>
          <w:rFonts w:hint="eastAsia"/>
          <w:color w:val="auto"/>
        </w:rPr>
      </w:pPr>
    </w:p>
    <w:p w14:paraId="1AEBCF80">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22FE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38423A9">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180" w:type="dxa"/>
          </w:tcPr>
          <w:p w14:paraId="5F58F325">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062" w:type="dxa"/>
          </w:tcPr>
          <w:p w14:paraId="7274A9BB">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102" w:type="dxa"/>
          </w:tcPr>
          <w:p w14:paraId="00A05C3B">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2CD9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842321E">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180" w:type="dxa"/>
          </w:tcPr>
          <w:p w14:paraId="0E895E70">
            <w:pPr>
              <w:jc w:val="center"/>
              <w:rPr>
                <w:rFonts w:hint="eastAsia" w:ascii="仿宋" w:hAnsi="仿宋" w:eastAsia="仿宋" w:cs="仿宋"/>
                <w:b/>
                <w:color w:val="auto"/>
                <w:kern w:val="0"/>
                <w:sz w:val="32"/>
                <w:szCs w:val="32"/>
              </w:rPr>
            </w:pPr>
          </w:p>
        </w:tc>
        <w:tc>
          <w:tcPr>
            <w:tcW w:w="3062" w:type="dxa"/>
          </w:tcPr>
          <w:p w14:paraId="46F8ACFE">
            <w:pPr>
              <w:jc w:val="center"/>
              <w:rPr>
                <w:rFonts w:hint="eastAsia" w:ascii="仿宋" w:hAnsi="仿宋" w:eastAsia="仿宋" w:cs="仿宋"/>
                <w:b/>
                <w:color w:val="auto"/>
                <w:kern w:val="0"/>
                <w:sz w:val="32"/>
                <w:szCs w:val="32"/>
              </w:rPr>
            </w:pPr>
          </w:p>
        </w:tc>
        <w:tc>
          <w:tcPr>
            <w:tcW w:w="1102" w:type="dxa"/>
          </w:tcPr>
          <w:p w14:paraId="4D11543E">
            <w:pPr>
              <w:jc w:val="center"/>
              <w:rPr>
                <w:rFonts w:hint="eastAsia" w:ascii="仿宋" w:hAnsi="仿宋" w:eastAsia="仿宋" w:cs="仿宋"/>
                <w:b/>
                <w:color w:val="auto"/>
                <w:kern w:val="0"/>
                <w:sz w:val="32"/>
                <w:szCs w:val="32"/>
              </w:rPr>
            </w:pPr>
          </w:p>
        </w:tc>
      </w:tr>
      <w:tr w14:paraId="77EC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4EBEBA8">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180" w:type="dxa"/>
          </w:tcPr>
          <w:p w14:paraId="59BC5EC0">
            <w:pPr>
              <w:jc w:val="center"/>
              <w:rPr>
                <w:rFonts w:hint="eastAsia" w:ascii="仿宋" w:hAnsi="仿宋" w:eastAsia="仿宋" w:cs="仿宋"/>
                <w:b/>
                <w:color w:val="auto"/>
                <w:kern w:val="0"/>
                <w:sz w:val="32"/>
                <w:szCs w:val="32"/>
              </w:rPr>
            </w:pPr>
          </w:p>
        </w:tc>
        <w:tc>
          <w:tcPr>
            <w:tcW w:w="3062" w:type="dxa"/>
          </w:tcPr>
          <w:p w14:paraId="2A8BD9F9">
            <w:pPr>
              <w:jc w:val="center"/>
              <w:rPr>
                <w:rFonts w:hint="eastAsia" w:ascii="仿宋" w:hAnsi="仿宋" w:eastAsia="仿宋" w:cs="仿宋"/>
                <w:b/>
                <w:color w:val="auto"/>
                <w:kern w:val="0"/>
                <w:sz w:val="32"/>
                <w:szCs w:val="32"/>
              </w:rPr>
            </w:pPr>
          </w:p>
        </w:tc>
        <w:tc>
          <w:tcPr>
            <w:tcW w:w="1102" w:type="dxa"/>
          </w:tcPr>
          <w:p w14:paraId="5235E05A">
            <w:pPr>
              <w:jc w:val="center"/>
              <w:rPr>
                <w:rFonts w:hint="eastAsia" w:ascii="仿宋" w:hAnsi="仿宋" w:eastAsia="仿宋" w:cs="仿宋"/>
                <w:b/>
                <w:color w:val="auto"/>
                <w:kern w:val="0"/>
                <w:sz w:val="32"/>
                <w:szCs w:val="32"/>
              </w:rPr>
            </w:pPr>
          </w:p>
        </w:tc>
      </w:tr>
      <w:tr w14:paraId="3488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DD046B4">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180" w:type="dxa"/>
          </w:tcPr>
          <w:p w14:paraId="4A353457">
            <w:pPr>
              <w:jc w:val="center"/>
              <w:rPr>
                <w:rFonts w:hint="eastAsia" w:ascii="仿宋" w:hAnsi="仿宋" w:eastAsia="仿宋" w:cs="仿宋"/>
                <w:b/>
                <w:color w:val="auto"/>
                <w:kern w:val="0"/>
                <w:sz w:val="32"/>
                <w:szCs w:val="32"/>
              </w:rPr>
            </w:pPr>
          </w:p>
        </w:tc>
        <w:tc>
          <w:tcPr>
            <w:tcW w:w="3062" w:type="dxa"/>
          </w:tcPr>
          <w:p w14:paraId="7625DC59">
            <w:pPr>
              <w:jc w:val="center"/>
              <w:rPr>
                <w:rFonts w:hint="eastAsia" w:ascii="仿宋" w:hAnsi="仿宋" w:eastAsia="仿宋" w:cs="仿宋"/>
                <w:b/>
                <w:color w:val="auto"/>
                <w:kern w:val="0"/>
                <w:sz w:val="32"/>
                <w:szCs w:val="32"/>
              </w:rPr>
            </w:pPr>
          </w:p>
        </w:tc>
        <w:tc>
          <w:tcPr>
            <w:tcW w:w="1102" w:type="dxa"/>
          </w:tcPr>
          <w:p w14:paraId="25832E02">
            <w:pPr>
              <w:jc w:val="center"/>
              <w:rPr>
                <w:rFonts w:hint="eastAsia" w:ascii="仿宋" w:hAnsi="仿宋" w:eastAsia="仿宋" w:cs="仿宋"/>
                <w:b/>
                <w:color w:val="auto"/>
                <w:kern w:val="0"/>
                <w:sz w:val="32"/>
                <w:szCs w:val="32"/>
              </w:rPr>
            </w:pPr>
          </w:p>
        </w:tc>
      </w:tr>
    </w:tbl>
    <w:p w14:paraId="7BDF7944">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14:paraId="473C229C">
      <w:pPr>
        <w:jc w:val="center"/>
        <w:rPr>
          <w:rFonts w:hint="eastAsia" w:ascii="仿宋" w:hAnsi="仿宋" w:eastAsia="仿宋" w:cs="仿宋"/>
          <w:b/>
          <w:color w:val="auto"/>
          <w:kern w:val="0"/>
          <w:sz w:val="32"/>
          <w:szCs w:val="32"/>
        </w:rPr>
      </w:pPr>
    </w:p>
    <w:p w14:paraId="69088CB7">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注：1.按本格式和要求提供。</w:t>
      </w:r>
    </w:p>
    <w:p w14:paraId="080B44B7">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2.本表格所反映的偏离情况与“符合性审查资料”、“评标标准相应的商务技术资料”不一致的，以“符合性审查资料”、“评标标准相应的商务技术资料”为准。</w:t>
      </w:r>
    </w:p>
    <w:p w14:paraId="3357DA1A">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3.投标人须保证：除商务技术偏离表列出的偏离外，投标人响应招标文件的全部非实质性要求。</w:t>
      </w:r>
    </w:p>
    <w:p w14:paraId="4C56E512">
      <w:pPr>
        <w:ind w:firstLine="1911" w:firstLineChars="595"/>
        <w:rPr>
          <w:rFonts w:hint="eastAsia" w:ascii="仿宋" w:hAnsi="仿宋" w:eastAsia="仿宋" w:cs="仿宋"/>
          <w:b/>
          <w:bCs/>
          <w:color w:val="auto"/>
          <w:sz w:val="32"/>
          <w:szCs w:val="32"/>
        </w:rPr>
      </w:pPr>
    </w:p>
    <w:p w14:paraId="3C9EC446">
      <w:pPr>
        <w:ind w:firstLine="1911" w:firstLineChars="595"/>
        <w:rPr>
          <w:rFonts w:hint="eastAsia" w:ascii="仿宋" w:hAnsi="仿宋" w:eastAsia="仿宋" w:cs="仿宋"/>
          <w:b/>
          <w:bCs/>
          <w:color w:val="auto"/>
          <w:sz w:val="32"/>
          <w:szCs w:val="32"/>
        </w:rPr>
      </w:pPr>
    </w:p>
    <w:p w14:paraId="31DC7803">
      <w:pPr>
        <w:ind w:firstLine="1911" w:firstLineChars="595"/>
        <w:rPr>
          <w:rFonts w:hint="eastAsia" w:ascii="仿宋" w:hAnsi="仿宋" w:eastAsia="仿宋" w:cs="仿宋"/>
          <w:b/>
          <w:bCs/>
          <w:color w:val="auto"/>
          <w:sz w:val="32"/>
          <w:szCs w:val="32"/>
        </w:rPr>
      </w:pPr>
    </w:p>
    <w:p w14:paraId="71F4E8F9">
      <w:pPr>
        <w:widowControl/>
        <w:adjustRightInd/>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5B9A8926">
      <w:pPr>
        <w:snapToGrid w:val="0"/>
        <w:spacing w:line="360" w:lineRule="auto"/>
        <w:jc w:val="center"/>
        <w:outlineLvl w:val="0"/>
        <w:rPr>
          <w:rFonts w:hint="eastAsia" w:ascii="仿宋" w:hAnsi="仿宋" w:eastAsia="仿宋" w:cs="仿宋"/>
          <w:color w:val="auto"/>
          <w:sz w:val="24"/>
        </w:rPr>
      </w:pPr>
      <w:r>
        <w:rPr>
          <w:rFonts w:hint="eastAsia" w:ascii="仿宋" w:hAnsi="仿宋" w:eastAsia="仿宋" w:cs="仿宋"/>
          <w:b/>
          <w:color w:val="auto"/>
          <w:kern w:val="0"/>
          <w:sz w:val="32"/>
          <w:szCs w:val="32"/>
        </w:rPr>
        <w:t>八、</w:t>
      </w:r>
      <w:r>
        <w:rPr>
          <w:rFonts w:hint="eastAsia" w:ascii="仿宋" w:hAnsi="仿宋" w:eastAsia="仿宋" w:cs="仿宋"/>
          <w:b/>
          <w:color w:val="auto"/>
          <w:kern w:val="0"/>
          <w:sz w:val="32"/>
          <w:szCs w:val="32"/>
          <w:lang w:val="zh-CN"/>
        </w:rPr>
        <w:t>政府采购供应商廉洁自律承诺书</w:t>
      </w:r>
    </w:p>
    <w:p w14:paraId="528C57D6">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6D128F32">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7C0C64E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一、不向项目有关人员及部门赠送礼金礼物、有价证券、回扣以及中介费、介绍费、咨询费等好处费；</w:t>
      </w:r>
    </w:p>
    <w:p w14:paraId="0288CA5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二、不为项目有关人员及部门报销应由你方单位或个人支付的费用；</w:t>
      </w:r>
    </w:p>
    <w:p w14:paraId="54C82BC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三、不向项目有关人员及部门提供有可能影响公正的宴请和健身娱乐等活动；</w:t>
      </w:r>
    </w:p>
    <w:p w14:paraId="1E442A8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3820D849">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5F162E6D">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70FFF77E">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26C68C32">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等法律法规，诚实守信，合法经营，坚决抵制各种违法违纪行为。</w:t>
      </w:r>
    </w:p>
    <w:p w14:paraId="29FD118A">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6C969786">
      <w:pPr>
        <w:autoSpaceDE w:val="0"/>
        <w:autoSpaceDN w:val="0"/>
        <w:spacing w:line="360" w:lineRule="auto"/>
        <w:ind w:left="2"/>
        <w:jc w:val="left"/>
        <w:rPr>
          <w:rFonts w:hint="eastAsia" w:ascii="仿宋" w:hAnsi="仿宋" w:eastAsia="仿宋" w:cs="仿宋"/>
          <w:color w:val="auto"/>
          <w:kern w:val="0"/>
          <w:sz w:val="24"/>
          <w:lang w:val="zh-CN"/>
        </w:rPr>
      </w:pPr>
    </w:p>
    <w:p w14:paraId="683FD8F4">
      <w:pPr>
        <w:autoSpaceDE w:val="0"/>
        <w:autoSpaceDN w:val="0"/>
        <w:spacing w:line="360" w:lineRule="auto"/>
        <w:ind w:left="2"/>
        <w:jc w:val="left"/>
        <w:rPr>
          <w:rFonts w:hint="eastAsia" w:ascii="仿宋" w:hAnsi="仿宋" w:eastAsia="仿宋" w:cs="仿宋"/>
          <w:color w:val="auto"/>
          <w:kern w:val="0"/>
          <w:sz w:val="24"/>
          <w:lang w:val="zh-CN"/>
        </w:rPr>
      </w:pPr>
    </w:p>
    <w:p w14:paraId="7472EA6B">
      <w:pPr>
        <w:autoSpaceDE w:val="0"/>
        <w:autoSpaceDN w:val="0"/>
        <w:spacing w:line="360" w:lineRule="auto"/>
        <w:ind w:left="2"/>
        <w:jc w:val="left"/>
        <w:rPr>
          <w:rFonts w:hint="eastAsia" w:ascii="仿宋" w:hAnsi="仿宋" w:eastAsia="仿宋" w:cs="仿宋"/>
          <w:color w:val="auto"/>
          <w:kern w:val="0"/>
          <w:sz w:val="24"/>
          <w:lang w:val="zh-CN"/>
        </w:rPr>
      </w:pPr>
    </w:p>
    <w:p w14:paraId="77980CA5">
      <w:pPr>
        <w:snapToGrid w:val="0"/>
        <w:spacing w:line="360" w:lineRule="auto"/>
        <w:ind w:firstLine="5520" w:firstLineChars="23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投标人名称（电子签名）：</w:t>
      </w:r>
    </w:p>
    <w:p w14:paraId="1F2A06DC">
      <w:pPr>
        <w:snapToGrid w:val="0"/>
        <w:spacing w:line="360" w:lineRule="auto"/>
        <w:ind w:firstLine="5520" w:firstLineChars="23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2A55F593">
      <w:pPr>
        <w:spacing w:line="360" w:lineRule="auto"/>
        <w:jc w:val="center"/>
        <w:rPr>
          <w:rFonts w:hint="eastAsia" w:ascii="仿宋" w:hAnsi="仿宋" w:eastAsia="仿宋" w:cs="仿宋"/>
          <w:b/>
          <w:bCs/>
          <w:color w:val="auto"/>
          <w:sz w:val="24"/>
        </w:rPr>
      </w:pPr>
    </w:p>
    <w:p w14:paraId="3EBABF1A">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D4212DA">
      <w:pPr>
        <w:spacing w:line="360" w:lineRule="auto"/>
        <w:jc w:val="center"/>
        <w:rPr>
          <w:rFonts w:hint="eastAsia" w:ascii="仿宋" w:hAnsi="仿宋" w:eastAsia="仿宋" w:cs="仿宋"/>
          <w:b/>
          <w:bCs/>
          <w:color w:val="auto"/>
          <w:sz w:val="24"/>
        </w:rPr>
        <w:sectPr>
          <w:headerReference r:id="rId13" w:type="first"/>
          <w:footerReference r:id="rId15" w:type="first"/>
          <w:headerReference r:id="rId12" w:type="default"/>
          <w:footerReference r:id="rId14" w:type="default"/>
          <w:pgSz w:w="11906" w:h="16838"/>
          <w:pgMar w:top="1417" w:right="1417" w:bottom="1417" w:left="1701" w:header="1134" w:footer="850" w:gutter="0"/>
          <w:cols w:space="0" w:num="1"/>
          <w:titlePg/>
          <w:docGrid w:linePitch="312" w:charSpace="0"/>
        </w:sectPr>
      </w:pPr>
    </w:p>
    <w:p w14:paraId="0AD9F6D6">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66DF27B6">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1A036542">
      <w:pPr>
        <w:numPr>
          <w:ilvl w:val="0"/>
          <w:numId w:val="1"/>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开标一览表（报价表）………………………………………………………（页码）</w:t>
      </w:r>
    </w:p>
    <w:p w14:paraId="0F505D4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14:paraId="191777DD">
      <w:pPr>
        <w:pStyle w:val="79"/>
        <w:rPr>
          <w:rFonts w:hint="eastAsia" w:ascii="仿宋" w:hAnsi="仿宋" w:eastAsia="仿宋" w:cs="仿宋"/>
          <w:color w:val="auto"/>
        </w:rPr>
      </w:pPr>
    </w:p>
    <w:p w14:paraId="345E118F">
      <w:pPr>
        <w:pStyle w:val="79"/>
        <w:rPr>
          <w:rFonts w:hint="eastAsia" w:ascii="仿宋" w:hAnsi="仿宋" w:eastAsia="仿宋" w:cs="仿宋"/>
          <w:color w:val="auto"/>
        </w:rPr>
      </w:pPr>
    </w:p>
    <w:p w14:paraId="17D45E3D">
      <w:pPr>
        <w:snapToGrid w:val="0"/>
        <w:spacing w:line="360" w:lineRule="auto"/>
        <w:ind w:right="480"/>
        <w:jc w:val="center"/>
        <w:rPr>
          <w:rFonts w:hint="eastAsia" w:ascii="仿宋" w:hAnsi="仿宋" w:eastAsia="仿宋" w:cs="仿宋"/>
          <w:b/>
          <w:color w:val="auto"/>
          <w:kern w:val="0"/>
          <w:sz w:val="32"/>
          <w:szCs w:val="32"/>
        </w:rPr>
      </w:pPr>
    </w:p>
    <w:p w14:paraId="493001FB">
      <w:pPr>
        <w:snapToGrid w:val="0"/>
        <w:spacing w:line="360" w:lineRule="auto"/>
        <w:ind w:right="480"/>
        <w:jc w:val="center"/>
        <w:rPr>
          <w:rFonts w:hint="eastAsia" w:ascii="仿宋" w:hAnsi="仿宋" w:eastAsia="仿宋" w:cs="仿宋"/>
          <w:b/>
          <w:color w:val="auto"/>
          <w:kern w:val="0"/>
          <w:sz w:val="32"/>
          <w:szCs w:val="32"/>
        </w:rPr>
      </w:pPr>
    </w:p>
    <w:p w14:paraId="51C8E063">
      <w:pPr>
        <w:snapToGrid w:val="0"/>
        <w:spacing w:line="360" w:lineRule="auto"/>
        <w:ind w:right="480"/>
        <w:jc w:val="center"/>
        <w:rPr>
          <w:rFonts w:hint="eastAsia" w:ascii="仿宋" w:hAnsi="仿宋" w:eastAsia="仿宋" w:cs="仿宋"/>
          <w:b/>
          <w:color w:val="auto"/>
          <w:kern w:val="0"/>
          <w:sz w:val="32"/>
          <w:szCs w:val="32"/>
        </w:rPr>
      </w:pPr>
    </w:p>
    <w:p w14:paraId="22550684">
      <w:pPr>
        <w:snapToGrid w:val="0"/>
        <w:spacing w:line="360" w:lineRule="auto"/>
        <w:ind w:right="480"/>
        <w:jc w:val="center"/>
        <w:rPr>
          <w:rFonts w:hint="eastAsia" w:ascii="仿宋" w:hAnsi="仿宋" w:eastAsia="仿宋" w:cs="仿宋"/>
          <w:b/>
          <w:color w:val="auto"/>
          <w:kern w:val="0"/>
          <w:sz w:val="32"/>
          <w:szCs w:val="32"/>
        </w:rPr>
      </w:pPr>
    </w:p>
    <w:p w14:paraId="32E7B38C">
      <w:pPr>
        <w:snapToGrid w:val="0"/>
        <w:spacing w:line="360" w:lineRule="auto"/>
        <w:ind w:right="480"/>
        <w:jc w:val="center"/>
        <w:rPr>
          <w:rFonts w:hint="eastAsia" w:ascii="仿宋" w:hAnsi="仿宋" w:eastAsia="仿宋" w:cs="仿宋"/>
          <w:b/>
          <w:color w:val="auto"/>
          <w:kern w:val="0"/>
          <w:sz w:val="32"/>
          <w:szCs w:val="32"/>
        </w:rPr>
      </w:pPr>
    </w:p>
    <w:p w14:paraId="7DDFC12C">
      <w:pPr>
        <w:snapToGrid w:val="0"/>
        <w:spacing w:line="360" w:lineRule="auto"/>
        <w:ind w:right="480"/>
        <w:jc w:val="center"/>
        <w:rPr>
          <w:rFonts w:hint="eastAsia" w:ascii="仿宋" w:hAnsi="仿宋" w:eastAsia="仿宋" w:cs="仿宋"/>
          <w:b/>
          <w:color w:val="auto"/>
          <w:kern w:val="0"/>
          <w:sz w:val="32"/>
          <w:szCs w:val="32"/>
        </w:rPr>
      </w:pPr>
    </w:p>
    <w:p w14:paraId="0C02A17C">
      <w:pPr>
        <w:snapToGrid w:val="0"/>
        <w:spacing w:line="360" w:lineRule="auto"/>
        <w:ind w:right="480"/>
        <w:jc w:val="center"/>
        <w:rPr>
          <w:rFonts w:hint="eastAsia" w:ascii="仿宋" w:hAnsi="仿宋" w:eastAsia="仿宋" w:cs="仿宋"/>
          <w:b/>
          <w:color w:val="auto"/>
          <w:kern w:val="0"/>
          <w:sz w:val="32"/>
          <w:szCs w:val="32"/>
        </w:rPr>
      </w:pPr>
    </w:p>
    <w:p w14:paraId="5BF9C61F">
      <w:pPr>
        <w:snapToGrid w:val="0"/>
        <w:spacing w:line="360" w:lineRule="auto"/>
        <w:ind w:right="480"/>
        <w:jc w:val="center"/>
        <w:rPr>
          <w:rFonts w:hint="eastAsia" w:ascii="仿宋" w:hAnsi="仿宋" w:eastAsia="仿宋" w:cs="仿宋"/>
          <w:b/>
          <w:color w:val="auto"/>
          <w:kern w:val="0"/>
          <w:sz w:val="32"/>
          <w:szCs w:val="32"/>
        </w:rPr>
      </w:pPr>
    </w:p>
    <w:p w14:paraId="18327652">
      <w:pPr>
        <w:snapToGrid w:val="0"/>
        <w:spacing w:line="360" w:lineRule="auto"/>
        <w:ind w:right="480"/>
        <w:jc w:val="center"/>
        <w:rPr>
          <w:rFonts w:hint="eastAsia" w:ascii="仿宋" w:hAnsi="仿宋" w:eastAsia="仿宋" w:cs="仿宋"/>
          <w:b/>
          <w:color w:val="auto"/>
          <w:kern w:val="0"/>
          <w:sz w:val="32"/>
          <w:szCs w:val="32"/>
        </w:rPr>
      </w:pPr>
    </w:p>
    <w:p w14:paraId="62F1E035">
      <w:pPr>
        <w:snapToGrid w:val="0"/>
        <w:spacing w:line="360" w:lineRule="auto"/>
        <w:ind w:right="480"/>
        <w:jc w:val="center"/>
        <w:rPr>
          <w:rFonts w:hint="eastAsia" w:ascii="仿宋" w:hAnsi="仿宋" w:eastAsia="仿宋" w:cs="仿宋"/>
          <w:b/>
          <w:color w:val="auto"/>
          <w:kern w:val="0"/>
          <w:sz w:val="32"/>
          <w:szCs w:val="32"/>
        </w:rPr>
      </w:pPr>
    </w:p>
    <w:p w14:paraId="743348D6">
      <w:pPr>
        <w:snapToGrid w:val="0"/>
        <w:spacing w:line="360" w:lineRule="auto"/>
        <w:ind w:right="480"/>
        <w:jc w:val="center"/>
        <w:rPr>
          <w:rFonts w:hint="eastAsia" w:ascii="仿宋" w:hAnsi="仿宋" w:eastAsia="仿宋" w:cs="仿宋"/>
          <w:b/>
          <w:color w:val="auto"/>
          <w:kern w:val="0"/>
          <w:sz w:val="32"/>
          <w:szCs w:val="32"/>
        </w:rPr>
      </w:pPr>
    </w:p>
    <w:p w14:paraId="6E7E360C">
      <w:pPr>
        <w:snapToGrid w:val="0"/>
        <w:spacing w:line="360" w:lineRule="auto"/>
        <w:ind w:right="480"/>
        <w:jc w:val="center"/>
        <w:rPr>
          <w:rFonts w:hint="eastAsia" w:ascii="仿宋" w:hAnsi="仿宋" w:eastAsia="仿宋" w:cs="仿宋"/>
          <w:b/>
          <w:color w:val="auto"/>
          <w:kern w:val="0"/>
          <w:sz w:val="32"/>
          <w:szCs w:val="32"/>
        </w:rPr>
      </w:pPr>
    </w:p>
    <w:p w14:paraId="7AEC5162">
      <w:pPr>
        <w:snapToGrid w:val="0"/>
        <w:spacing w:line="360" w:lineRule="auto"/>
        <w:ind w:right="480"/>
        <w:jc w:val="center"/>
        <w:rPr>
          <w:rFonts w:hint="eastAsia" w:ascii="仿宋" w:hAnsi="仿宋" w:eastAsia="仿宋" w:cs="仿宋"/>
          <w:b/>
          <w:color w:val="auto"/>
          <w:kern w:val="0"/>
          <w:sz w:val="32"/>
          <w:szCs w:val="32"/>
        </w:rPr>
      </w:pPr>
    </w:p>
    <w:p w14:paraId="56FB1383">
      <w:pPr>
        <w:snapToGrid w:val="0"/>
        <w:spacing w:line="360" w:lineRule="auto"/>
        <w:ind w:right="480"/>
        <w:jc w:val="center"/>
        <w:rPr>
          <w:rFonts w:hint="eastAsia" w:ascii="仿宋" w:hAnsi="仿宋" w:eastAsia="仿宋" w:cs="仿宋"/>
          <w:b/>
          <w:color w:val="auto"/>
          <w:kern w:val="0"/>
          <w:sz w:val="32"/>
          <w:szCs w:val="32"/>
        </w:rPr>
      </w:pPr>
    </w:p>
    <w:p w14:paraId="79286C9E">
      <w:pPr>
        <w:snapToGrid w:val="0"/>
        <w:spacing w:line="360" w:lineRule="auto"/>
        <w:ind w:right="480"/>
        <w:jc w:val="center"/>
        <w:rPr>
          <w:rFonts w:hint="eastAsia" w:ascii="仿宋" w:hAnsi="仿宋" w:eastAsia="仿宋" w:cs="仿宋"/>
          <w:b/>
          <w:color w:val="auto"/>
          <w:kern w:val="0"/>
          <w:sz w:val="32"/>
          <w:szCs w:val="32"/>
        </w:rPr>
      </w:pPr>
    </w:p>
    <w:p w14:paraId="1EDBD60C">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417" w:right="1417" w:bottom="1417" w:left="1701" w:header="1134" w:footer="850" w:gutter="0"/>
          <w:cols w:space="0" w:num="1"/>
          <w:titlePg/>
          <w:docGrid w:linePitch="312" w:charSpace="0"/>
        </w:sectPr>
      </w:pPr>
    </w:p>
    <w:p w14:paraId="72AF4C85">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4A177311">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00A62A9F">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14:paraId="01BDC844">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2"/>
        <w:tblW w:w="43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47"/>
        <w:gridCol w:w="4610"/>
        <w:gridCol w:w="1977"/>
        <w:gridCol w:w="1233"/>
        <w:gridCol w:w="1224"/>
      </w:tblGrid>
      <w:tr w14:paraId="508B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96" w:type="pct"/>
            <w:vAlign w:val="center"/>
          </w:tcPr>
          <w:p w14:paraId="68B89C83">
            <w:pPr>
              <w:spacing w:line="320" w:lineRule="exac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969" w:type="pct"/>
            <w:vAlign w:val="center"/>
          </w:tcPr>
          <w:p w14:paraId="0D5941B1">
            <w:pPr>
              <w:spacing w:line="320" w:lineRule="exact"/>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903" w:type="pct"/>
            <w:vAlign w:val="center"/>
          </w:tcPr>
          <w:p w14:paraId="3439E457">
            <w:pPr>
              <w:spacing w:line="320" w:lineRule="exact"/>
              <w:jc w:val="center"/>
              <w:rPr>
                <w:rFonts w:hint="eastAsia" w:ascii="仿宋" w:hAnsi="仿宋" w:eastAsia="仿宋" w:cs="仿宋"/>
                <w:b/>
                <w:color w:val="auto"/>
                <w:sz w:val="24"/>
              </w:rPr>
            </w:pPr>
            <w:r>
              <w:rPr>
                <w:rFonts w:hint="eastAsia" w:ascii="仿宋" w:hAnsi="仿宋" w:eastAsia="仿宋" w:cs="仿宋"/>
                <w:b/>
                <w:color w:val="auto"/>
                <w:sz w:val="24"/>
              </w:rPr>
              <w:t>具体服务</w:t>
            </w:r>
          </w:p>
        </w:tc>
        <w:tc>
          <w:tcPr>
            <w:tcW w:w="816" w:type="pct"/>
            <w:vAlign w:val="center"/>
          </w:tcPr>
          <w:p w14:paraId="2410F855">
            <w:pPr>
              <w:spacing w:line="320" w:lineRule="exact"/>
              <w:jc w:val="center"/>
              <w:rPr>
                <w:rFonts w:hint="eastAsia" w:ascii="仿宋" w:hAnsi="仿宋" w:eastAsia="仿宋" w:cs="仿宋"/>
                <w:b/>
                <w:color w:val="auto"/>
                <w:sz w:val="24"/>
              </w:rPr>
            </w:pPr>
            <w:r>
              <w:rPr>
                <w:rFonts w:hint="eastAsia" w:ascii="仿宋" w:hAnsi="仿宋" w:eastAsia="仿宋" w:cs="仿宋"/>
                <w:b/>
                <w:color w:val="auto"/>
                <w:sz w:val="24"/>
              </w:rPr>
              <w:t>报价折扣率（%）</w:t>
            </w:r>
          </w:p>
        </w:tc>
        <w:tc>
          <w:tcPr>
            <w:tcW w:w="509" w:type="pct"/>
            <w:vAlign w:val="center"/>
          </w:tcPr>
          <w:p w14:paraId="3A139A30">
            <w:pPr>
              <w:spacing w:line="320" w:lineRule="exact"/>
              <w:jc w:val="center"/>
              <w:rPr>
                <w:rFonts w:hint="eastAsia" w:ascii="仿宋" w:hAnsi="仿宋" w:eastAsia="仿宋" w:cs="仿宋"/>
                <w:b/>
                <w:color w:val="auto"/>
                <w:sz w:val="24"/>
              </w:rPr>
            </w:pPr>
          </w:p>
          <w:p w14:paraId="1D0EFDF4">
            <w:pPr>
              <w:spacing w:line="320" w:lineRule="exact"/>
              <w:jc w:val="center"/>
              <w:rPr>
                <w:rFonts w:hint="eastAsia" w:ascii="仿宋" w:hAnsi="仿宋" w:eastAsia="仿宋" w:cs="仿宋"/>
                <w:b/>
                <w:color w:val="auto"/>
                <w:sz w:val="24"/>
              </w:rPr>
            </w:pPr>
            <w:r>
              <w:rPr>
                <w:rFonts w:hint="eastAsia" w:ascii="仿宋" w:hAnsi="仿宋" w:eastAsia="仿宋" w:cs="仿宋"/>
                <w:b/>
                <w:color w:val="auto"/>
                <w:sz w:val="24"/>
              </w:rPr>
              <w:t>服务期</w:t>
            </w:r>
          </w:p>
          <w:p w14:paraId="63313D4D">
            <w:pPr>
              <w:spacing w:line="320" w:lineRule="exact"/>
              <w:jc w:val="center"/>
              <w:rPr>
                <w:rFonts w:hint="eastAsia" w:ascii="仿宋" w:hAnsi="仿宋" w:eastAsia="仿宋" w:cs="仿宋"/>
                <w:b/>
                <w:color w:val="auto"/>
                <w:sz w:val="24"/>
              </w:rPr>
            </w:pPr>
          </w:p>
        </w:tc>
        <w:tc>
          <w:tcPr>
            <w:tcW w:w="505" w:type="pct"/>
            <w:vAlign w:val="center"/>
          </w:tcPr>
          <w:p w14:paraId="73098DA2">
            <w:pPr>
              <w:spacing w:line="320" w:lineRule="exact"/>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14:paraId="77AF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96" w:type="pct"/>
            <w:vAlign w:val="center"/>
          </w:tcPr>
          <w:p w14:paraId="11803910">
            <w:pPr>
              <w:snapToGrid w:val="0"/>
              <w:spacing w:line="320" w:lineRule="exact"/>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p>
        </w:tc>
        <w:tc>
          <w:tcPr>
            <w:tcW w:w="969" w:type="pct"/>
            <w:vAlign w:val="center"/>
          </w:tcPr>
          <w:p w14:paraId="7F19CDC3">
            <w:pPr>
              <w:spacing w:line="380" w:lineRule="exact"/>
              <w:jc w:val="center"/>
              <w:rPr>
                <w:rFonts w:hint="eastAsia" w:ascii="仿宋" w:hAnsi="仿宋" w:eastAsia="仿宋" w:cs="仿宋"/>
                <w:color w:val="auto"/>
                <w:kern w:val="0"/>
                <w:sz w:val="24"/>
                <w:lang w:val="zh-CN"/>
              </w:rPr>
            </w:pPr>
            <w:r>
              <w:rPr>
                <w:rFonts w:hint="eastAsia" w:ascii="仿宋" w:hAnsi="仿宋" w:eastAsia="仿宋" w:cs="仿宋"/>
                <w:color w:val="auto"/>
                <w:sz w:val="24"/>
              </w:rPr>
              <w:t>杭州市公安局上城区分局2025年经济及刑事类犯罪案件专项审计服务</w:t>
            </w:r>
          </w:p>
        </w:tc>
        <w:tc>
          <w:tcPr>
            <w:tcW w:w="1903" w:type="pct"/>
            <w:vAlign w:val="center"/>
          </w:tcPr>
          <w:p w14:paraId="1BF79F76">
            <w:pPr>
              <w:snapToGrid w:val="0"/>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lang w:val="zh-CN"/>
              </w:rPr>
              <w:t>根据采购方委托的事项或内容进行审计，对与查证案件相关的会计资料、经营信息资料及财产和资金资料等，依照国家有关法律和审计准则，出具真实、有效的书面审计意见。</w:t>
            </w:r>
          </w:p>
        </w:tc>
        <w:tc>
          <w:tcPr>
            <w:tcW w:w="816" w:type="pct"/>
            <w:vAlign w:val="center"/>
          </w:tcPr>
          <w:p w14:paraId="62C2C17F">
            <w:pPr>
              <w:snapToGrid w:val="0"/>
              <w:spacing w:line="320" w:lineRule="exact"/>
              <w:jc w:val="center"/>
              <w:rPr>
                <w:rFonts w:hint="eastAsia" w:ascii="仿宋" w:hAnsi="仿宋" w:eastAsia="仿宋" w:cs="仿宋"/>
                <w:color w:val="auto"/>
                <w:kern w:val="0"/>
                <w:sz w:val="24"/>
                <w:lang w:val="zh-CN"/>
              </w:rPr>
            </w:pPr>
            <w:r>
              <w:rPr>
                <w:rFonts w:hint="eastAsia" w:ascii="仿宋" w:hAnsi="仿宋" w:eastAsia="仿宋" w:cs="仿宋"/>
                <w:b/>
                <w:color w:val="auto"/>
                <w:sz w:val="24"/>
                <w:u w:val="single"/>
              </w:rPr>
              <w:t xml:space="preserve">    </w:t>
            </w:r>
            <w:r>
              <w:rPr>
                <w:rFonts w:hint="eastAsia" w:ascii="仿宋" w:hAnsi="仿宋" w:eastAsia="仿宋" w:cs="仿宋"/>
                <w:b/>
                <w:color w:val="auto"/>
                <w:sz w:val="24"/>
              </w:rPr>
              <w:t>%</w:t>
            </w:r>
          </w:p>
        </w:tc>
        <w:tc>
          <w:tcPr>
            <w:tcW w:w="509" w:type="pct"/>
            <w:vAlign w:val="center"/>
          </w:tcPr>
          <w:p w14:paraId="6486056B">
            <w:pPr>
              <w:snapToGrid w:val="0"/>
              <w:spacing w:line="3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1年</w:t>
            </w:r>
          </w:p>
        </w:tc>
        <w:tc>
          <w:tcPr>
            <w:tcW w:w="505" w:type="pct"/>
            <w:vAlign w:val="center"/>
          </w:tcPr>
          <w:p w14:paraId="5A75E3C2">
            <w:pPr>
              <w:numPr>
                <w:ilvl w:val="255"/>
                <w:numId w:val="0"/>
              </w:numPr>
              <w:snapToGrid w:val="0"/>
              <w:spacing w:line="320" w:lineRule="exact"/>
              <w:rPr>
                <w:color w:val="auto"/>
              </w:rPr>
            </w:pPr>
          </w:p>
        </w:tc>
      </w:tr>
    </w:tbl>
    <w:p w14:paraId="21986889">
      <w:pPr>
        <w:snapToGrid w:val="0"/>
        <w:spacing w:line="360" w:lineRule="auto"/>
        <w:ind w:left="480"/>
        <w:rPr>
          <w:rFonts w:hint="eastAsia" w:ascii="仿宋" w:hAnsi="仿宋" w:eastAsia="仿宋" w:cs="仿宋"/>
          <w:b/>
          <w:color w:val="auto"/>
          <w:kern w:val="0"/>
          <w:sz w:val="22"/>
          <w:szCs w:val="22"/>
          <w:lang w:val="zh-CN"/>
        </w:rPr>
      </w:pPr>
      <w:r>
        <w:rPr>
          <w:rFonts w:hint="eastAsia" w:ascii="仿宋" w:hAnsi="仿宋" w:eastAsia="仿宋" w:cs="仿宋"/>
          <w:b/>
          <w:color w:val="auto"/>
          <w:kern w:val="0"/>
          <w:sz w:val="22"/>
          <w:szCs w:val="22"/>
          <w:lang w:val="zh-CN"/>
        </w:rPr>
        <w:t>注：</w:t>
      </w:r>
    </w:p>
    <w:p w14:paraId="6EEF147A">
      <w:pPr>
        <w:spacing w:line="360" w:lineRule="auto"/>
        <w:ind w:left="-2" w:leftChars="-1" w:firstLine="440" w:firstLineChars="200"/>
        <w:rPr>
          <w:rFonts w:hint="eastAsia" w:ascii="仿宋" w:hAnsi="仿宋" w:eastAsia="仿宋" w:cs="仿宋"/>
          <w:color w:val="auto"/>
          <w:kern w:val="0"/>
          <w:sz w:val="22"/>
          <w:szCs w:val="22"/>
          <w:lang w:val="zh-CN"/>
        </w:rPr>
      </w:pPr>
      <w:r>
        <w:rPr>
          <w:rFonts w:hint="eastAsia" w:ascii="仿宋" w:hAnsi="仿宋" w:eastAsia="仿宋" w:cs="仿宋"/>
          <w:color w:val="auto"/>
          <w:kern w:val="0"/>
          <w:sz w:val="22"/>
          <w:szCs w:val="22"/>
          <w:lang w:val="zh-CN"/>
        </w:rPr>
        <w:t>1、投标人需按本表格式填写</w:t>
      </w:r>
      <w:r>
        <w:rPr>
          <w:rFonts w:hint="eastAsia" w:ascii="仿宋" w:hAnsi="仿宋" w:eastAsia="仿宋" w:cs="仿宋"/>
          <w:b/>
          <w:color w:val="auto"/>
          <w:kern w:val="0"/>
          <w:sz w:val="22"/>
          <w:szCs w:val="22"/>
          <w:lang w:val="zh-CN"/>
        </w:rPr>
        <w:t>，</w:t>
      </w:r>
      <w:r>
        <w:rPr>
          <w:rFonts w:hint="eastAsia" w:ascii="仿宋" w:hAnsi="仿宋" w:eastAsia="仿宋" w:cs="仿宋"/>
          <w:b/>
          <w:color w:val="auto"/>
          <w:kern w:val="0"/>
          <w:sz w:val="22"/>
          <w:szCs w:val="22"/>
        </w:rPr>
        <w:t>否则视为</w:t>
      </w:r>
      <w:r>
        <w:rPr>
          <w:rFonts w:hint="eastAsia" w:ascii="仿宋" w:hAnsi="仿宋" w:eastAsia="仿宋" w:cs="仿宋"/>
          <w:b/>
          <w:color w:val="auto"/>
          <w:sz w:val="22"/>
          <w:szCs w:val="22"/>
        </w:rPr>
        <w:t>投标文件含有采购人不能接受的附加条件，投标无效</w:t>
      </w:r>
      <w:r>
        <w:rPr>
          <w:rFonts w:hint="eastAsia" w:ascii="仿宋" w:hAnsi="仿宋" w:eastAsia="仿宋" w:cs="仿宋"/>
          <w:b/>
          <w:color w:val="auto"/>
          <w:kern w:val="0"/>
          <w:sz w:val="22"/>
          <w:szCs w:val="22"/>
          <w:lang w:val="zh-CN"/>
        </w:rPr>
        <w:t>；</w:t>
      </w:r>
      <w:r>
        <w:rPr>
          <w:rFonts w:hint="eastAsia" w:ascii="仿宋" w:hAnsi="仿宋" w:eastAsia="仿宋" w:cs="仿宋"/>
          <w:color w:val="auto"/>
          <w:kern w:val="0"/>
          <w:sz w:val="22"/>
          <w:szCs w:val="22"/>
          <w:lang w:val="zh-CN"/>
        </w:rPr>
        <w:t>。</w:t>
      </w:r>
    </w:p>
    <w:p w14:paraId="64F17BD0">
      <w:pPr>
        <w:spacing w:line="360" w:lineRule="auto"/>
        <w:ind w:firstLine="440" w:firstLineChars="200"/>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val="zh-CN"/>
        </w:rPr>
        <w:t>2、有关本项目实施所涉及的一切费用均计入报价。</w:t>
      </w:r>
      <w:r>
        <w:rPr>
          <w:rFonts w:hint="eastAsia" w:ascii="仿宋" w:hAnsi="仿宋" w:eastAsia="仿宋" w:cs="仿宋"/>
          <w:color w:val="auto"/>
          <w:kern w:val="0"/>
          <w:sz w:val="22"/>
          <w:szCs w:val="22"/>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auto"/>
          <w:kern w:val="0"/>
          <w:sz w:val="22"/>
          <w:szCs w:val="22"/>
          <w:lang w:val="zh-CN"/>
        </w:rPr>
        <w:t>采购内容未包含在《开标一览表（报价表）》名称栏中，投标人不能作出合理解释的，</w:t>
      </w:r>
      <w:r>
        <w:rPr>
          <w:rFonts w:hint="eastAsia" w:ascii="仿宋" w:hAnsi="仿宋" w:eastAsia="仿宋" w:cs="仿宋"/>
          <w:b/>
          <w:color w:val="auto"/>
          <w:kern w:val="0"/>
          <w:sz w:val="22"/>
          <w:szCs w:val="22"/>
        </w:rPr>
        <w:t>视为</w:t>
      </w:r>
      <w:r>
        <w:rPr>
          <w:rFonts w:hint="eastAsia" w:ascii="仿宋" w:hAnsi="仿宋" w:eastAsia="仿宋" w:cs="仿宋"/>
          <w:b/>
          <w:color w:val="auto"/>
          <w:sz w:val="22"/>
          <w:szCs w:val="22"/>
        </w:rPr>
        <w:t>投标文件含有采购人不能接受的附加条件的，投标无效。</w:t>
      </w:r>
    </w:p>
    <w:p w14:paraId="1F27BF32">
      <w:pPr>
        <w:snapToGrid w:val="0"/>
        <w:spacing w:line="360" w:lineRule="auto"/>
        <w:ind w:firstLine="440" w:firstLineChars="200"/>
        <w:jc w:val="left"/>
        <w:rPr>
          <w:rFonts w:hint="eastAsia" w:ascii="仿宋" w:hAnsi="仿宋" w:eastAsia="仿宋" w:cs="仿宋"/>
          <w:color w:val="auto"/>
          <w:sz w:val="32"/>
          <w:szCs w:val="32"/>
        </w:rPr>
      </w:pPr>
      <w:r>
        <w:rPr>
          <w:rFonts w:hint="eastAsia" w:ascii="仿宋" w:hAnsi="仿宋" w:eastAsia="仿宋" w:cs="仿宋"/>
          <w:color w:val="auto"/>
          <w:kern w:val="0"/>
          <w:sz w:val="22"/>
          <w:szCs w:val="22"/>
          <w:lang w:val="zh-CN"/>
        </w:rPr>
        <w:t>3、特别提示：采购代理机构将对项目名称和项目编号，中标供应商名称、地址和中标金额，主要中标标的名称、服务范围、服务要求、服务时间、服务标准等予以公示。</w:t>
      </w:r>
    </w:p>
    <w:p w14:paraId="52DE9277">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7" w:right="1417" w:bottom="1417" w:left="1701" w:header="851" w:footer="992" w:gutter="0"/>
          <w:cols w:space="0" w:num="1"/>
          <w:titlePg/>
          <w:docGrid w:linePitch="312" w:charSpace="0"/>
        </w:sectPr>
      </w:pPr>
    </w:p>
    <w:p w14:paraId="3FA5CD00">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中小企业声明函（如果有）</w:t>
      </w:r>
    </w:p>
    <w:p w14:paraId="56B656CF">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C2D2CED">
      <w:pPr>
        <w:pStyle w:val="79"/>
        <w:ind w:firstLine="482"/>
        <w:rPr>
          <w:rFonts w:hint="eastAsia" w:ascii="仿宋" w:hAnsi="仿宋" w:eastAsia="仿宋" w:cs="仿宋"/>
          <w:b/>
          <w:color w:val="auto"/>
          <w:sz w:val="24"/>
        </w:rPr>
      </w:pPr>
    </w:p>
    <w:p w14:paraId="5C213EE3">
      <w:pPr>
        <w:pStyle w:val="79"/>
        <w:ind w:firstLine="482"/>
        <w:rPr>
          <w:rFonts w:hint="eastAsia" w:ascii="仿宋" w:hAnsi="仿宋" w:eastAsia="仿宋" w:cs="仿宋"/>
          <w:b/>
          <w:color w:val="auto"/>
          <w:sz w:val="24"/>
        </w:rPr>
      </w:pPr>
    </w:p>
    <w:p w14:paraId="02766C8D">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rPr>
      </w:pPr>
    </w:p>
    <w:p w14:paraId="142F07C9">
      <w:pPr>
        <w:spacing w:line="360" w:lineRule="auto"/>
        <w:ind w:right="420" w:firstLine="3614" w:firstLineChars="1000"/>
        <w:rPr>
          <w:rFonts w:hint="eastAsia" w:ascii="仿宋" w:hAnsi="仿宋" w:eastAsia="仿宋" w:cs="仿宋"/>
          <w:b/>
          <w:color w:val="auto"/>
          <w:kern w:val="0"/>
          <w:sz w:val="36"/>
          <w:szCs w:val="36"/>
        </w:rPr>
      </w:pPr>
    </w:p>
    <w:p w14:paraId="6B4A6417">
      <w:pPr>
        <w:spacing w:line="360" w:lineRule="auto"/>
        <w:ind w:right="420" w:firstLine="3614" w:firstLineChars="1000"/>
        <w:rPr>
          <w:rFonts w:hint="eastAsia" w:ascii="仿宋" w:hAnsi="仿宋" w:eastAsia="仿宋" w:cs="仿宋"/>
          <w:b/>
          <w:color w:val="auto"/>
          <w:kern w:val="0"/>
          <w:sz w:val="36"/>
          <w:szCs w:val="36"/>
        </w:rPr>
      </w:pPr>
    </w:p>
    <w:p w14:paraId="1FEEAE6F">
      <w:pPr>
        <w:spacing w:line="360" w:lineRule="auto"/>
        <w:ind w:right="420" w:firstLine="3614" w:firstLineChars="1000"/>
        <w:rPr>
          <w:rFonts w:hint="eastAsia" w:ascii="仿宋" w:hAnsi="仿宋" w:eastAsia="仿宋" w:cs="仿宋"/>
          <w:b/>
          <w:color w:val="auto"/>
          <w:kern w:val="0"/>
          <w:sz w:val="36"/>
          <w:szCs w:val="36"/>
        </w:rPr>
      </w:pPr>
    </w:p>
    <w:p w14:paraId="22A69757">
      <w:pPr>
        <w:spacing w:line="360" w:lineRule="auto"/>
        <w:ind w:right="420" w:firstLine="3614" w:firstLineChars="1000"/>
        <w:rPr>
          <w:rFonts w:hint="eastAsia" w:ascii="仿宋" w:hAnsi="仿宋" w:eastAsia="仿宋" w:cs="仿宋"/>
          <w:b/>
          <w:color w:val="auto"/>
          <w:kern w:val="0"/>
          <w:sz w:val="36"/>
          <w:szCs w:val="36"/>
        </w:rPr>
      </w:pPr>
    </w:p>
    <w:p w14:paraId="6C08B53A">
      <w:pPr>
        <w:spacing w:line="360" w:lineRule="auto"/>
        <w:ind w:right="420" w:firstLine="3614" w:firstLineChars="1000"/>
        <w:rPr>
          <w:rFonts w:hint="eastAsia" w:ascii="仿宋" w:hAnsi="仿宋" w:eastAsia="仿宋" w:cs="仿宋"/>
          <w:b/>
          <w:color w:val="auto"/>
          <w:kern w:val="0"/>
          <w:sz w:val="36"/>
          <w:szCs w:val="36"/>
        </w:rPr>
      </w:pPr>
    </w:p>
    <w:p w14:paraId="251D5CFF">
      <w:pPr>
        <w:spacing w:line="360" w:lineRule="auto"/>
        <w:ind w:right="420" w:firstLine="3614" w:firstLineChars="1000"/>
        <w:rPr>
          <w:rFonts w:hint="eastAsia" w:ascii="仿宋" w:hAnsi="仿宋" w:eastAsia="仿宋" w:cs="仿宋"/>
          <w:b/>
          <w:color w:val="auto"/>
          <w:kern w:val="0"/>
          <w:sz w:val="36"/>
          <w:szCs w:val="36"/>
        </w:rPr>
      </w:pPr>
    </w:p>
    <w:p w14:paraId="72855DE7">
      <w:pPr>
        <w:spacing w:line="360" w:lineRule="auto"/>
        <w:ind w:right="420" w:firstLine="3614" w:firstLineChars="1000"/>
        <w:rPr>
          <w:rFonts w:hint="eastAsia" w:ascii="仿宋" w:hAnsi="仿宋" w:eastAsia="仿宋" w:cs="仿宋"/>
          <w:b/>
          <w:color w:val="auto"/>
          <w:kern w:val="0"/>
          <w:sz w:val="36"/>
          <w:szCs w:val="36"/>
        </w:rPr>
      </w:pPr>
    </w:p>
    <w:p w14:paraId="01705AC3">
      <w:pPr>
        <w:spacing w:line="360" w:lineRule="auto"/>
        <w:ind w:right="420" w:firstLine="3614" w:firstLineChars="1000"/>
        <w:rPr>
          <w:rFonts w:hint="eastAsia" w:ascii="仿宋" w:hAnsi="仿宋" w:eastAsia="仿宋" w:cs="仿宋"/>
          <w:b/>
          <w:color w:val="auto"/>
          <w:kern w:val="0"/>
          <w:sz w:val="36"/>
          <w:szCs w:val="36"/>
        </w:rPr>
      </w:pPr>
    </w:p>
    <w:p w14:paraId="4E56976C">
      <w:pPr>
        <w:spacing w:line="360" w:lineRule="auto"/>
        <w:ind w:right="420" w:firstLine="3614" w:firstLineChars="1000"/>
        <w:rPr>
          <w:rFonts w:hint="eastAsia" w:ascii="仿宋" w:hAnsi="仿宋" w:eastAsia="仿宋" w:cs="仿宋"/>
          <w:b/>
          <w:color w:val="auto"/>
          <w:kern w:val="0"/>
          <w:sz w:val="36"/>
          <w:szCs w:val="36"/>
        </w:rPr>
      </w:pPr>
    </w:p>
    <w:p w14:paraId="6AFBE6FF">
      <w:pPr>
        <w:spacing w:line="360" w:lineRule="auto"/>
        <w:ind w:right="420" w:firstLine="3614" w:firstLineChars="1000"/>
        <w:rPr>
          <w:rFonts w:hint="eastAsia" w:ascii="仿宋" w:hAnsi="仿宋" w:eastAsia="仿宋" w:cs="仿宋"/>
          <w:b/>
          <w:color w:val="auto"/>
          <w:kern w:val="0"/>
          <w:sz w:val="36"/>
          <w:szCs w:val="36"/>
        </w:rPr>
      </w:pPr>
    </w:p>
    <w:p w14:paraId="5CD9A4FE">
      <w:pPr>
        <w:spacing w:line="360" w:lineRule="auto"/>
        <w:ind w:right="420" w:firstLine="3614" w:firstLineChars="1000"/>
        <w:rPr>
          <w:rFonts w:hint="eastAsia" w:ascii="仿宋" w:hAnsi="仿宋" w:eastAsia="仿宋" w:cs="仿宋"/>
          <w:b/>
          <w:color w:val="auto"/>
          <w:kern w:val="0"/>
          <w:sz w:val="36"/>
          <w:szCs w:val="36"/>
        </w:rPr>
      </w:pPr>
    </w:p>
    <w:p w14:paraId="249B94E5">
      <w:pPr>
        <w:spacing w:line="360" w:lineRule="auto"/>
        <w:ind w:right="420" w:firstLine="3614" w:firstLineChars="1000"/>
        <w:rPr>
          <w:rFonts w:hint="eastAsia" w:ascii="仿宋" w:hAnsi="仿宋" w:eastAsia="仿宋" w:cs="仿宋"/>
          <w:b/>
          <w:color w:val="auto"/>
          <w:kern w:val="0"/>
          <w:sz w:val="36"/>
          <w:szCs w:val="36"/>
        </w:rPr>
      </w:pPr>
    </w:p>
    <w:p w14:paraId="7FABC8E3">
      <w:pPr>
        <w:pStyle w:val="3"/>
        <w:keepNext w:val="0"/>
        <w:keepLines w:val="0"/>
        <w:pageBreakBefore/>
        <w:widowControl/>
        <w:spacing w:before="100" w:beforeAutospacing="1" w:after="100" w:afterAutospacing="1" w:line="360" w:lineRule="auto"/>
        <w:ind w:left="0" w:firstLine="0"/>
        <w:jc w:val="center"/>
        <w:rPr>
          <w:rFonts w:hint="eastAsia" w:ascii="仿宋" w:hAnsi="仿宋" w:eastAsia="仿宋" w:cs="仿宋"/>
          <w:color w:val="auto"/>
        </w:rPr>
      </w:pPr>
      <w:r>
        <w:rPr>
          <w:rFonts w:hint="eastAsia" w:ascii="仿宋" w:hAnsi="仿宋" w:eastAsia="仿宋" w:cs="仿宋"/>
          <w:color w:val="auto"/>
        </w:rPr>
        <w:t>附件</w:t>
      </w:r>
    </w:p>
    <w:p w14:paraId="7C46B967">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附件1：残疾人福利性单位声明函</w:t>
      </w:r>
    </w:p>
    <w:p w14:paraId="404397E2">
      <w:pPr>
        <w:spacing w:line="360" w:lineRule="auto"/>
        <w:rPr>
          <w:rFonts w:hint="eastAsia" w:ascii="仿宋" w:hAnsi="仿宋" w:eastAsia="仿宋" w:cs="仿宋"/>
          <w:b/>
          <w:color w:val="auto"/>
          <w:spacing w:val="6"/>
          <w:sz w:val="30"/>
          <w:szCs w:val="30"/>
        </w:rPr>
      </w:pPr>
    </w:p>
    <w:p w14:paraId="7C268F7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(采购人)</w:t>
      </w:r>
      <w:r>
        <w:rPr>
          <w:rFonts w:hint="eastAsia" w:ascii="仿宋" w:hAnsi="仿宋" w:eastAsia="仿宋" w:cs="仿宋"/>
          <w:color w:val="auto"/>
          <w:sz w:val="24"/>
        </w:rPr>
        <w:t>单位的</w:t>
      </w:r>
      <w:r>
        <w:rPr>
          <w:rFonts w:hint="eastAsia" w:ascii="仿宋" w:hAnsi="仿宋" w:eastAsia="仿宋" w:cs="仿宋"/>
          <w:color w:val="auto"/>
          <w:sz w:val="24"/>
          <w:u w:val="single"/>
        </w:rPr>
        <w:t>（项目名称）</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14:paraId="6E5BBF2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50C1D220">
      <w:pPr>
        <w:spacing w:line="360" w:lineRule="auto"/>
        <w:ind w:firstLine="480" w:firstLineChars="200"/>
        <w:rPr>
          <w:rFonts w:hint="eastAsia" w:ascii="仿宋" w:hAnsi="仿宋" w:eastAsia="仿宋" w:cs="仿宋"/>
          <w:color w:val="auto"/>
          <w:sz w:val="24"/>
        </w:rPr>
      </w:pPr>
    </w:p>
    <w:p w14:paraId="36A6F90E">
      <w:pPr>
        <w:autoSpaceDE w:val="0"/>
        <w:autoSpaceDN w:val="0"/>
        <w:spacing w:line="360" w:lineRule="auto"/>
        <w:ind w:left="2" w:firstLine="3840" w:firstLineChars="16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投标人名称（电子签名）：</w:t>
      </w:r>
    </w:p>
    <w:p w14:paraId="3EAD6959">
      <w:pPr>
        <w:autoSpaceDE w:val="0"/>
        <w:autoSpaceDN w:val="0"/>
        <w:spacing w:line="360" w:lineRule="auto"/>
        <w:ind w:left="2" w:firstLine="3840" w:firstLineChars="1600"/>
        <w:rPr>
          <w:rFonts w:hint="eastAsia" w:ascii="仿宋" w:hAnsi="仿宋" w:eastAsia="仿宋" w:cs="仿宋"/>
          <w:color w:val="auto"/>
          <w:kern w:val="0"/>
          <w:sz w:val="24"/>
          <w:lang w:val="zh-CN"/>
        </w:rPr>
        <w:sectPr>
          <w:headerReference r:id="rId21" w:type="first"/>
          <w:footerReference r:id="rId23" w:type="first"/>
          <w:headerReference r:id="rId20" w:type="default"/>
          <w:footerReference r:id="rId22" w:type="default"/>
          <w:pgSz w:w="11906" w:h="16838"/>
          <w:pgMar w:top="1417" w:right="1417" w:bottom="1417" w:left="1701" w:header="1134" w:footer="850" w:gutter="0"/>
          <w:cols w:space="0" w:num="1"/>
          <w:titlePg/>
          <w:docGrid w:linePitch="312" w:charSpace="0"/>
        </w:sectPr>
      </w:pPr>
      <w:r>
        <w:rPr>
          <w:rFonts w:hint="eastAsia" w:ascii="仿宋" w:hAnsi="仿宋" w:eastAsia="仿宋" w:cs="仿宋"/>
          <w:color w:val="auto"/>
          <w:kern w:val="0"/>
          <w:sz w:val="24"/>
          <w:lang w:val="zh-CN"/>
        </w:rPr>
        <w:t>日  期：</w:t>
      </w:r>
    </w:p>
    <w:p w14:paraId="1DAF5E51">
      <w:pPr>
        <w:snapToGrid w:val="0"/>
        <w:spacing w:line="360" w:lineRule="auto"/>
        <w:jc w:val="left"/>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附件2：质疑函范本及制作说明</w:t>
      </w:r>
    </w:p>
    <w:p w14:paraId="6BC1FAE0">
      <w:pPr>
        <w:spacing w:line="360" w:lineRule="exact"/>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0BC25F16">
      <w:pPr>
        <w:snapToGrid w:val="0"/>
        <w:spacing w:before="240" w:beforeLines="100" w:line="360" w:lineRule="exact"/>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3AC67E46">
      <w:pPr>
        <w:snapToGrid w:val="0"/>
        <w:spacing w:line="360" w:lineRule="exact"/>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6BE70E81">
      <w:pPr>
        <w:snapToGrid w:val="0"/>
        <w:spacing w:line="360" w:lineRule="exact"/>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1A246B38">
      <w:pPr>
        <w:snapToGrid w:val="0"/>
        <w:spacing w:line="360" w:lineRule="exact"/>
        <w:rPr>
          <w:rFonts w:hint="eastAsia" w:ascii="仿宋" w:hAnsi="仿宋" w:eastAsia="仿宋" w:cs="仿宋"/>
          <w:color w:val="auto"/>
          <w:sz w:val="24"/>
          <w:u w:val="dotted"/>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0231FCAB">
      <w:pPr>
        <w:snapToGrid w:val="0"/>
        <w:spacing w:line="360" w:lineRule="exact"/>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52B6DDDF">
      <w:pPr>
        <w:snapToGrid w:val="0"/>
        <w:spacing w:line="360" w:lineRule="exact"/>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C6AA53B">
      <w:pPr>
        <w:snapToGrid w:val="0"/>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3251A486">
      <w:pPr>
        <w:snapToGrid w:val="0"/>
        <w:spacing w:line="360" w:lineRule="exact"/>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0121653A">
      <w:pPr>
        <w:snapToGrid w:val="0"/>
        <w:spacing w:line="360" w:lineRule="exact"/>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79350C8D">
      <w:pPr>
        <w:snapToGrid w:val="0"/>
        <w:spacing w:line="360" w:lineRule="exact"/>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032F7D0E">
      <w:pPr>
        <w:snapToGrid w:val="0"/>
        <w:spacing w:line="360" w:lineRule="exact"/>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4FDD3C74">
      <w:pPr>
        <w:snapToGrid w:val="0"/>
        <w:spacing w:line="360" w:lineRule="exact"/>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75651B16">
      <w:pPr>
        <w:snapToGrid w:val="0"/>
        <w:spacing w:line="360" w:lineRule="exact"/>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42CD0FE1">
      <w:pPr>
        <w:snapToGrid w:val="0"/>
        <w:spacing w:line="360" w:lineRule="exact"/>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4FE7125D">
      <w:pPr>
        <w:snapToGrid w:val="0"/>
        <w:spacing w:line="360" w:lineRule="exact"/>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6EB85BA4">
      <w:pPr>
        <w:snapToGrid w:val="0"/>
        <w:spacing w:line="360" w:lineRule="exact"/>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31A084F6">
      <w:pPr>
        <w:snapToGrid w:val="0"/>
        <w:spacing w:line="360" w:lineRule="exact"/>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761997DF">
      <w:pPr>
        <w:snapToGrid w:val="0"/>
        <w:spacing w:line="360" w:lineRule="exact"/>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4EE4434B">
      <w:pPr>
        <w:snapToGrid w:val="0"/>
        <w:spacing w:line="360" w:lineRule="exact"/>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25F662B3">
      <w:pPr>
        <w:snapToGrid w:val="0"/>
        <w:spacing w:line="360" w:lineRule="exact"/>
        <w:rPr>
          <w:rFonts w:hint="eastAsia" w:ascii="仿宋" w:hAnsi="仿宋" w:eastAsia="仿宋" w:cs="仿宋"/>
          <w:color w:val="auto"/>
          <w:sz w:val="24"/>
          <w:u w:val="dotted"/>
        </w:rPr>
      </w:pPr>
      <w:r>
        <w:rPr>
          <w:rFonts w:hint="eastAsia" w:ascii="仿宋" w:hAnsi="仿宋" w:eastAsia="仿宋" w:cs="仿宋"/>
          <w:color w:val="auto"/>
          <w:sz w:val="24"/>
          <w:u w:val="dotted"/>
        </w:rPr>
        <w:t>……</w:t>
      </w:r>
    </w:p>
    <w:p w14:paraId="78352752">
      <w:pPr>
        <w:snapToGrid w:val="0"/>
        <w:spacing w:line="360" w:lineRule="exact"/>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2A325AC5">
      <w:pPr>
        <w:snapToGrid w:val="0"/>
        <w:spacing w:line="360" w:lineRule="exact"/>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68D0F348">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33120871">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日期：    </w:t>
      </w:r>
    </w:p>
    <w:p w14:paraId="55DAB77C">
      <w:pPr>
        <w:spacing w:line="360" w:lineRule="exact"/>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42BDE11F">
      <w:pPr>
        <w:widowControl/>
        <w:spacing w:line="3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09722A45">
      <w:pPr>
        <w:widowControl/>
        <w:spacing w:line="3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7BCC61E5">
      <w:pPr>
        <w:widowControl/>
        <w:spacing w:line="3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6AD47D4F">
      <w:pPr>
        <w:widowControl/>
        <w:spacing w:line="3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74D827EC">
      <w:pPr>
        <w:widowControl/>
        <w:spacing w:line="3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23807C0D">
      <w:pPr>
        <w:widowControl/>
        <w:spacing w:line="3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1323C72E">
      <w:pPr>
        <w:snapToGrid w:val="0"/>
        <w:spacing w:line="360" w:lineRule="auto"/>
        <w:jc w:val="left"/>
        <w:outlineLvl w:val="0"/>
        <w:rPr>
          <w:rFonts w:hint="eastAsia" w:ascii="仿宋" w:hAnsi="仿宋" w:eastAsia="仿宋" w:cs="仿宋"/>
          <w:b/>
          <w:color w:val="auto"/>
          <w:sz w:val="24"/>
        </w:rPr>
      </w:pPr>
      <w:r>
        <w:rPr>
          <w:rFonts w:hint="eastAsia" w:ascii="仿宋" w:hAnsi="仿宋" w:eastAsia="仿宋" w:cs="仿宋"/>
          <w:b/>
          <w:color w:val="auto"/>
          <w:kern w:val="0"/>
          <w:sz w:val="32"/>
          <w:szCs w:val="32"/>
        </w:rPr>
        <w:t>附件3：投诉书范本及制作说明</w:t>
      </w:r>
    </w:p>
    <w:p w14:paraId="5E9CFBFD">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477BEF4D">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7898475E">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04F6DEA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0DC8901A">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624CEA58">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3BC714F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5F7B8617">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20D41C1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p>
    <w:p w14:paraId="0445676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759BDEB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77BBCA39">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7A49F24D">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01E16F1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p>
    <w:p w14:paraId="406F3CE4">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067FBC8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6D6FDB95">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7747D5D7">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19E39CE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4C07373D">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4BDEF986">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441765C4">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50A7F31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56264A05">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15F27B49">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12704E5A">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797A9A53">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6F7F54DD">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02E7A617">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0BDB60F4">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7A2324A4">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31419AA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3CD71019">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21916C98">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14:paraId="62FFD111">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0B046ED1">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441C022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018B247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520235E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39DACEDD">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1A3EC177">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7490A926">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6CB61C79">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216F4FF6">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465B498A">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3720FD5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07A2B929">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08A61E3C">
      <w:pPr>
        <w:autoSpaceDE w:val="0"/>
        <w:autoSpaceDN w:val="0"/>
        <w:jc w:val="center"/>
        <w:rPr>
          <w:rFonts w:hint="eastAsia" w:ascii="仿宋" w:hAnsi="仿宋" w:eastAsia="仿宋" w:cs="仿宋"/>
          <w:b/>
          <w:color w:val="auto"/>
          <w:spacing w:val="6"/>
          <w:sz w:val="32"/>
          <w:szCs w:val="32"/>
        </w:rPr>
        <w:sectPr>
          <w:pgSz w:w="11906" w:h="16838"/>
          <w:pgMar w:top="1417" w:right="1417" w:bottom="1417" w:left="1701" w:header="1134" w:footer="850" w:gutter="0"/>
          <w:cols w:space="0" w:num="1"/>
          <w:titlePg/>
          <w:docGrid w:linePitch="312" w:charSpace="0"/>
        </w:sectPr>
      </w:pPr>
    </w:p>
    <w:p w14:paraId="67E28A15">
      <w:pPr>
        <w:snapToGrid w:val="0"/>
        <w:spacing w:line="360" w:lineRule="auto"/>
        <w:jc w:val="left"/>
        <w:outlineLvl w:val="0"/>
        <w:rPr>
          <w:rFonts w:hint="eastAsia" w:ascii="仿宋" w:hAnsi="仿宋" w:eastAsia="仿宋" w:cs="仿宋"/>
          <w:color w:val="auto"/>
          <w:sz w:val="24"/>
          <w:u w:val="single"/>
        </w:rPr>
      </w:pPr>
      <w:r>
        <w:rPr>
          <w:rFonts w:hint="eastAsia" w:ascii="仿宋" w:hAnsi="仿宋" w:eastAsia="仿宋" w:cs="仿宋"/>
          <w:b/>
          <w:color w:val="auto"/>
          <w:kern w:val="0"/>
          <w:sz w:val="32"/>
          <w:szCs w:val="32"/>
        </w:rPr>
        <w:t>附件4：业务专用章使用说明函</w:t>
      </w:r>
    </w:p>
    <w:p w14:paraId="78D840DC">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1B3D341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1603BC5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285DC7C7">
      <w:pPr>
        <w:spacing w:line="360" w:lineRule="auto"/>
        <w:ind w:firstLine="494"/>
        <w:rPr>
          <w:rFonts w:hint="eastAsia" w:ascii="仿宋" w:hAnsi="仿宋" w:eastAsia="仿宋" w:cs="仿宋"/>
          <w:color w:val="auto"/>
          <w:sz w:val="24"/>
        </w:rPr>
      </w:pPr>
    </w:p>
    <w:p w14:paraId="30C5D32B">
      <w:pPr>
        <w:spacing w:line="360" w:lineRule="auto"/>
        <w:ind w:firstLine="494"/>
        <w:rPr>
          <w:rFonts w:hint="eastAsia" w:ascii="仿宋" w:hAnsi="仿宋" w:eastAsia="仿宋" w:cs="仿宋"/>
          <w:color w:val="auto"/>
          <w:sz w:val="24"/>
        </w:rPr>
      </w:pPr>
    </w:p>
    <w:p w14:paraId="3042E31A">
      <w:pPr>
        <w:spacing w:line="360" w:lineRule="auto"/>
        <w:ind w:firstLine="494"/>
        <w:rPr>
          <w:rFonts w:hint="eastAsia" w:ascii="仿宋" w:hAnsi="仿宋" w:eastAsia="仿宋" w:cs="仿宋"/>
          <w:color w:val="auto"/>
          <w:sz w:val="24"/>
        </w:rPr>
      </w:pPr>
    </w:p>
    <w:p w14:paraId="110F250E">
      <w:pPr>
        <w:spacing w:line="360" w:lineRule="auto"/>
        <w:ind w:firstLine="494"/>
        <w:rPr>
          <w:rFonts w:hint="eastAsia" w:ascii="仿宋" w:hAnsi="仿宋" w:eastAsia="仿宋" w:cs="仿宋"/>
          <w:color w:val="auto"/>
          <w:sz w:val="24"/>
        </w:rPr>
      </w:pPr>
    </w:p>
    <w:p w14:paraId="0D0D3DF1">
      <w:pPr>
        <w:autoSpaceDE w:val="0"/>
        <w:autoSpaceDN w:val="0"/>
        <w:spacing w:line="360" w:lineRule="auto"/>
        <w:ind w:left="2" w:firstLine="3840" w:firstLineChars="16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投标单位（法定名称章）：</w:t>
      </w:r>
    </w:p>
    <w:p w14:paraId="500DEE56">
      <w:pPr>
        <w:autoSpaceDE w:val="0"/>
        <w:autoSpaceDN w:val="0"/>
        <w:spacing w:line="360" w:lineRule="auto"/>
        <w:ind w:left="2" w:firstLine="3840" w:firstLineChars="16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417D4464">
      <w:pPr>
        <w:rPr>
          <w:rFonts w:hint="eastAsia" w:ascii="仿宋" w:hAnsi="仿宋" w:eastAsia="仿宋" w:cs="仿宋"/>
          <w:color w:val="auto"/>
          <w:sz w:val="24"/>
        </w:rPr>
      </w:pPr>
      <w:r>
        <w:rPr>
          <w:rFonts w:hint="eastAsia" w:ascii="仿宋" w:hAnsi="仿宋" w:eastAsia="仿宋" w:cs="仿宋"/>
          <w:b/>
          <w:bCs/>
          <w:color w:val="auto"/>
          <w:sz w:val="24"/>
        </w:rPr>
        <w:t>附：</w:t>
      </w:r>
    </w:p>
    <w:p w14:paraId="7DB5806C">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14:paraId="370CB61B">
      <w:pPr>
        <w:autoSpaceDE w:val="0"/>
        <w:autoSpaceDN w:val="0"/>
        <w:jc w:val="center"/>
        <w:rPr>
          <w:rFonts w:hint="eastAsia" w:ascii="仿宋" w:hAnsi="仿宋" w:eastAsia="仿宋" w:cs="仿宋"/>
          <w:b/>
          <w:color w:val="auto"/>
          <w:spacing w:val="6"/>
          <w:sz w:val="32"/>
          <w:szCs w:val="32"/>
        </w:rPr>
      </w:pPr>
    </w:p>
    <w:p w14:paraId="7DB301D9">
      <w:pPr>
        <w:autoSpaceDE w:val="0"/>
        <w:autoSpaceDN w:val="0"/>
        <w:jc w:val="center"/>
        <w:rPr>
          <w:rFonts w:hint="eastAsia" w:ascii="仿宋" w:hAnsi="仿宋" w:eastAsia="仿宋" w:cs="仿宋"/>
          <w:b/>
          <w:color w:val="auto"/>
          <w:spacing w:val="6"/>
          <w:sz w:val="32"/>
          <w:szCs w:val="32"/>
        </w:rPr>
      </w:pPr>
    </w:p>
    <w:p w14:paraId="575ACC14">
      <w:pPr>
        <w:autoSpaceDE w:val="0"/>
        <w:autoSpaceDN w:val="0"/>
        <w:jc w:val="center"/>
        <w:rPr>
          <w:rFonts w:hint="eastAsia" w:ascii="仿宋" w:hAnsi="仿宋" w:eastAsia="仿宋" w:cs="仿宋"/>
          <w:b/>
          <w:color w:val="auto"/>
          <w:spacing w:val="6"/>
          <w:sz w:val="32"/>
          <w:szCs w:val="32"/>
        </w:rPr>
      </w:pPr>
    </w:p>
    <w:p w14:paraId="51540AFC">
      <w:pPr>
        <w:autoSpaceDE w:val="0"/>
        <w:autoSpaceDN w:val="0"/>
        <w:jc w:val="center"/>
        <w:rPr>
          <w:rFonts w:hint="eastAsia" w:ascii="仿宋" w:hAnsi="仿宋" w:eastAsia="仿宋" w:cs="仿宋"/>
          <w:b/>
          <w:color w:val="auto"/>
          <w:spacing w:val="6"/>
          <w:sz w:val="32"/>
          <w:szCs w:val="32"/>
        </w:rPr>
      </w:pPr>
    </w:p>
    <w:p w14:paraId="203638B8">
      <w:pPr>
        <w:autoSpaceDE w:val="0"/>
        <w:autoSpaceDN w:val="0"/>
        <w:jc w:val="center"/>
        <w:rPr>
          <w:rFonts w:hint="eastAsia" w:ascii="仿宋" w:hAnsi="仿宋" w:eastAsia="仿宋" w:cs="仿宋"/>
          <w:b/>
          <w:color w:val="auto"/>
          <w:spacing w:val="6"/>
          <w:sz w:val="32"/>
          <w:szCs w:val="32"/>
        </w:rPr>
      </w:pPr>
    </w:p>
    <w:p w14:paraId="5B2AB625">
      <w:pPr>
        <w:autoSpaceDE w:val="0"/>
        <w:autoSpaceDN w:val="0"/>
        <w:jc w:val="center"/>
        <w:rPr>
          <w:rFonts w:hint="eastAsia" w:ascii="仿宋" w:hAnsi="仿宋" w:eastAsia="仿宋" w:cs="仿宋"/>
          <w:b/>
          <w:color w:val="auto"/>
          <w:spacing w:val="6"/>
          <w:sz w:val="32"/>
          <w:szCs w:val="32"/>
        </w:rPr>
      </w:pPr>
    </w:p>
    <w:p w14:paraId="109A9857">
      <w:pPr>
        <w:autoSpaceDE w:val="0"/>
        <w:autoSpaceDN w:val="0"/>
        <w:jc w:val="center"/>
        <w:rPr>
          <w:rFonts w:hint="eastAsia" w:ascii="仿宋" w:hAnsi="仿宋" w:eastAsia="仿宋" w:cs="仿宋"/>
          <w:b/>
          <w:color w:val="auto"/>
          <w:spacing w:val="6"/>
          <w:sz w:val="32"/>
          <w:szCs w:val="32"/>
        </w:rPr>
      </w:pPr>
    </w:p>
    <w:p w14:paraId="15D2EE7E">
      <w:pPr>
        <w:autoSpaceDE w:val="0"/>
        <w:autoSpaceDN w:val="0"/>
        <w:jc w:val="center"/>
        <w:rPr>
          <w:rFonts w:hint="eastAsia" w:ascii="仿宋" w:hAnsi="仿宋" w:eastAsia="仿宋" w:cs="仿宋"/>
          <w:b/>
          <w:color w:val="auto"/>
          <w:spacing w:val="6"/>
          <w:sz w:val="32"/>
          <w:szCs w:val="32"/>
        </w:rPr>
      </w:pPr>
    </w:p>
    <w:p w14:paraId="581403AE">
      <w:pPr>
        <w:autoSpaceDE w:val="0"/>
        <w:autoSpaceDN w:val="0"/>
        <w:jc w:val="center"/>
        <w:rPr>
          <w:rFonts w:hint="eastAsia" w:ascii="仿宋" w:hAnsi="仿宋" w:eastAsia="仿宋" w:cs="仿宋"/>
          <w:b/>
          <w:color w:val="auto"/>
          <w:spacing w:val="6"/>
          <w:sz w:val="32"/>
          <w:szCs w:val="32"/>
        </w:rPr>
      </w:pPr>
    </w:p>
    <w:p w14:paraId="12DE14FD">
      <w:pPr>
        <w:autoSpaceDE w:val="0"/>
        <w:autoSpaceDN w:val="0"/>
        <w:jc w:val="center"/>
        <w:rPr>
          <w:rFonts w:hint="eastAsia" w:ascii="仿宋" w:hAnsi="仿宋" w:eastAsia="仿宋" w:cs="仿宋"/>
          <w:b/>
          <w:color w:val="auto"/>
          <w:spacing w:val="6"/>
          <w:sz w:val="32"/>
          <w:szCs w:val="32"/>
        </w:rPr>
        <w:sectPr>
          <w:pgSz w:w="11906" w:h="16838"/>
          <w:pgMar w:top="1417" w:right="1417" w:bottom="1417" w:left="1701" w:header="1134" w:footer="850" w:gutter="0"/>
          <w:cols w:space="0" w:num="1"/>
          <w:titlePg/>
          <w:docGrid w:linePitch="312" w:charSpace="0"/>
        </w:sectPr>
      </w:pPr>
    </w:p>
    <w:p w14:paraId="6CD7DB2A">
      <w:pPr>
        <w:snapToGrid w:val="0"/>
        <w:spacing w:line="360" w:lineRule="auto"/>
        <w:jc w:val="left"/>
        <w:outlineLvl w:val="0"/>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rPr>
        <w:t>附件5：</w:t>
      </w:r>
      <w:r>
        <w:rPr>
          <w:rFonts w:hint="eastAsia" w:ascii="仿宋" w:hAnsi="仿宋" w:eastAsia="仿宋" w:cs="仿宋"/>
          <w:b/>
          <w:color w:val="auto"/>
          <w:kern w:val="0"/>
          <w:sz w:val="32"/>
          <w:szCs w:val="32"/>
          <w:lang w:val="zh-CN"/>
        </w:rPr>
        <w:t>联合协议</w:t>
      </w:r>
    </w:p>
    <w:p w14:paraId="2FFFCF5F">
      <w:pPr>
        <w:widowControl/>
        <w:spacing w:line="3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03C345C2">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7557D992">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4642BBC9">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授权代表根据招标文件规定及投标内容而对采购人、采购代理机构所作的任何合法承诺，包括书面澄清及响应等均对联合投标各方产生约束力。</w:t>
      </w:r>
    </w:p>
    <w:p w14:paraId="092AF0B4">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4F60E555">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534AD3B5">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78A89AD2">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774862D8">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14:paraId="2F0502B6">
      <w:pPr>
        <w:snapToGrid w:val="0"/>
        <w:spacing w:line="360" w:lineRule="exact"/>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508" w:name="_Hlk101131882"/>
      <w:r>
        <w:rPr>
          <w:rFonts w:hint="eastAsia" w:ascii="仿宋" w:hAnsi="仿宋" w:eastAsia="仿宋" w:cs="仿宋"/>
          <w:color w:val="auto"/>
          <w:kern w:val="0"/>
          <w:sz w:val="24"/>
          <w:u w:val="single"/>
        </w:rPr>
        <w:t>联合体成员X,……</w:t>
      </w:r>
      <w:bookmarkEnd w:id="508"/>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509"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509"/>
      <w:r>
        <w:rPr>
          <w:rFonts w:hint="eastAsia" w:ascii="仿宋" w:hAnsi="仿宋" w:eastAsia="仿宋" w:cs="仿宋"/>
          <w:b/>
          <w:color w:val="auto"/>
          <w:kern w:val="0"/>
          <w:sz w:val="24"/>
          <w:lang w:val="zh-CN"/>
        </w:rPr>
        <w:t>）</w:t>
      </w:r>
    </w:p>
    <w:p w14:paraId="6E45DEE6">
      <w:pPr>
        <w:spacing w:line="360" w:lineRule="exact"/>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510"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510"/>
    </w:p>
    <w:p w14:paraId="09851525">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5188DC05">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0A6D92C5">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28A45913">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3F9E8A5">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655EEB5D">
      <w:pPr>
        <w:snapToGrid w:val="0"/>
        <w:spacing w:line="360" w:lineRule="exact"/>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05783E6F">
      <w:pPr>
        <w:snapToGrid w:val="0"/>
        <w:spacing w:line="360" w:lineRule="exact"/>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70FFCE29">
      <w:pPr>
        <w:snapToGrid w:val="0"/>
        <w:spacing w:line="360" w:lineRule="exact"/>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2094F0AF">
      <w:pPr>
        <w:snapToGrid w:val="0"/>
        <w:spacing w:line="360" w:lineRule="exact"/>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0CE231BC">
      <w:pPr>
        <w:spacing w:line="360" w:lineRule="exact"/>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5C9AA9B3">
      <w:pPr>
        <w:autoSpaceDE w:val="0"/>
        <w:autoSpaceDN w:val="0"/>
        <w:jc w:val="center"/>
        <w:rPr>
          <w:rFonts w:hint="eastAsia" w:ascii="仿宋" w:hAnsi="仿宋" w:eastAsia="仿宋" w:cs="仿宋"/>
          <w:b/>
          <w:color w:val="auto"/>
          <w:spacing w:val="6"/>
          <w:sz w:val="32"/>
          <w:szCs w:val="32"/>
        </w:rPr>
      </w:pPr>
    </w:p>
    <w:p w14:paraId="346D1EE8">
      <w:pPr>
        <w:snapToGrid w:val="0"/>
        <w:spacing w:line="360" w:lineRule="auto"/>
        <w:jc w:val="left"/>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附件6：分包意向协议</w:t>
      </w:r>
    </w:p>
    <w:p w14:paraId="59476CD1">
      <w:pPr>
        <w:widowControl/>
        <w:spacing w:line="360" w:lineRule="exact"/>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24267328">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721C8837">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4BA29925">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37DA0153">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4171A1AC">
      <w:pPr>
        <w:spacing w:line="360" w:lineRule="exact"/>
        <w:rPr>
          <w:rFonts w:hint="eastAsia" w:ascii="仿宋" w:hAnsi="仿宋" w:eastAsia="仿宋" w:cs="仿宋"/>
          <w:color w:val="auto"/>
        </w:rPr>
      </w:pPr>
      <w:r>
        <w:rPr>
          <w:rFonts w:hint="eastAsia" w:ascii="仿宋" w:hAnsi="仿宋" w:eastAsia="仿宋" w:cs="仿宋"/>
          <w:color w:val="auto"/>
          <w:lang w:val="zh-CN"/>
        </w:rPr>
        <w:t xml:space="preserve"> </w:t>
      </w:r>
    </w:p>
    <w:p w14:paraId="3F541921">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14:paraId="1854D212">
      <w:pPr>
        <w:snapToGrid w:val="0"/>
        <w:spacing w:line="360" w:lineRule="exact"/>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090BB02B">
      <w:pPr>
        <w:spacing w:line="360" w:lineRule="exact"/>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14:paraId="20721ADE">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547D87CB">
      <w:pPr>
        <w:snapToGrid w:val="0"/>
        <w:spacing w:line="360" w:lineRule="exact"/>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6ECF6C15">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26724CB4">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09F55E99">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253AD8D1">
      <w:pPr>
        <w:snapToGrid w:val="0"/>
        <w:spacing w:line="360" w:lineRule="exact"/>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5D9C9D78">
      <w:pPr>
        <w:snapToGrid w:val="0"/>
        <w:spacing w:line="360" w:lineRule="exact"/>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5C51F2BD">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4EDA16F3">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1FAF3D66">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20D332B8">
      <w:pPr>
        <w:snapToGrid w:val="0"/>
        <w:spacing w:line="360" w:lineRule="exact"/>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14:paraId="614D8D51">
      <w:pPr>
        <w:snapToGrid w:val="0"/>
        <w:spacing w:line="360" w:lineRule="exact"/>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投标人名称(电子签名)：</w:t>
      </w:r>
    </w:p>
    <w:p w14:paraId="77333969">
      <w:pPr>
        <w:snapToGrid w:val="0"/>
        <w:spacing w:line="360" w:lineRule="exact"/>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14:paraId="032E5AF3">
      <w:pPr>
        <w:snapToGrid w:val="0"/>
        <w:spacing w:line="360" w:lineRule="exact"/>
        <w:ind w:firstLine="5760" w:firstLineChars="2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2463BBAD">
      <w:pPr>
        <w:snapToGrid w:val="0"/>
        <w:spacing w:line="360" w:lineRule="exact"/>
        <w:ind w:firstLine="5760" w:firstLineChars="2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21239373">
      <w:pPr>
        <w:spacing w:line="360" w:lineRule="exact"/>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CDC64B6">
      <w:pPr>
        <w:autoSpaceDE w:val="0"/>
        <w:autoSpaceDN w:val="0"/>
        <w:jc w:val="center"/>
        <w:rPr>
          <w:rFonts w:hint="eastAsia" w:ascii="仿宋" w:hAnsi="仿宋" w:eastAsia="仿宋" w:cs="仿宋"/>
          <w:b/>
          <w:color w:val="auto"/>
          <w:spacing w:val="6"/>
          <w:sz w:val="32"/>
          <w:szCs w:val="32"/>
        </w:rPr>
      </w:pPr>
    </w:p>
    <w:p w14:paraId="5E109453">
      <w:pPr>
        <w:snapToGrid w:val="0"/>
        <w:spacing w:line="360" w:lineRule="auto"/>
        <w:jc w:val="left"/>
        <w:outlineLvl w:val="0"/>
        <w:rPr>
          <w:rFonts w:hint="eastAsia" w:ascii="仿宋" w:hAnsi="仿宋" w:eastAsia="仿宋" w:cs="仿宋"/>
          <w:color w:val="auto"/>
          <w:sz w:val="24"/>
          <w:u w:val="single"/>
        </w:rPr>
      </w:pPr>
      <w:r>
        <w:rPr>
          <w:rFonts w:hint="eastAsia" w:ascii="仿宋" w:hAnsi="仿宋" w:eastAsia="仿宋" w:cs="仿宋"/>
          <w:b/>
          <w:color w:val="auto"/>
          <w:kern w:val="0"/>
          <w:sz w:val="32"/>
          <w:szCs w:val="32"/>
        </w:rPr>
        <w:t>附件7：中小企业声明函</w:t>
      </w:r>
    </w:p>
    <w:p w14:paraId="3D1717E2">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中小企业声明函（服务）</w:t>
      </w:r>
    </w:p>
    <w:p w14:paraId="39FC09E0">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w:t>
      </w:r>
      <w:r>
        <w:rPr>
          <w:rFonts w:hint="eastAsia" w:ascii="仿宋" w:hAnsi="仿宋" w:eastAsia="仿宋" w:cs="仿宋"/>
          <w:color w:val="auto"/>
          <w:sz w:val="24"/>
          <w:u w:val="single"/>
        </w:rPr>
        <w:t>（采购人）</w:t>
      </w:r>
      <w:r>
        <w:rPr>
          <w:rFonts w:hint="eastAsia" w:ascii="仿宋" w:hAnsi="仿宋" w:eastAsia="仿宋" w:cs="仿宋"/>
          <w:color w:val="auto"/>
          <w:sz w:val="24"/>
        </w:rPr>
        <w:t>的</w:t>
      </w:r>
      <w:r>
        <w:rPr>
          <w:rFonts w:hint="eastAsia" w:ascii="仿宋" w:hAnsi="仿宋" w:eastAsia="仿宋" w:cs="仿宋"/>
          <w:color w:val="auto"/>
          <w:sz w:val="24"/>
          <w:u w:val="single"/>
        </w:rPr>
        <w:t>（项目名称）</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1513A8E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w:t>
      </w:r>
    </w:p>
    <w:p w14:paraId="2E424C5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w:t>
      </w:r>
    </w:p>
    <w:p w14:paraId="4076F9C6">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2F58F0C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021ADA71">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B3ADF17">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7C8D5E7B">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566E7F75">
      <w:pPr>
        <w:rPr>
          <w:rFonts w:hint="eastAsia" w:ascii="仿宋" w:hAnsi="仿宋" w:eastAsia="仿宋" w:cs="仿宋"/>
          <w:color w:val="auto"/>
          <w:sz w:val="24"/>
        </w:rPr>
        <w:sectPr>
          <w:pgSz w:w="11906" w:h="16838"/>
          <w:pgMar w:top="1417" w:right="1417" w:bottom="1417" w:left="1701" w:header="1134" w:footer="850" w:gutter="0"/>
          <w:cols w:space="0" w:num="1"/>
          <w:titlePg/>
          <w:docGrid w:linePitch="312" w:charSpace="0"/>
        </w:sectPr>
      </w:pPr>
      <w:r>
        <w:rPr>
          <w:rFonts w:hint="eastAsia" w:ascii="仿宋" w:hAnsi="仿宋" w:eastAsia="仿宋" w:cs="仿宋"/>
          <w:color w:val="auto"/>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81C7F32">
      <w:pPr>
        <w:snapToGrid w:val="0"/>
        <w:spacing w:line="360" w:lineRule="auto"/>
        <w:jc w:val="left"/>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附件8：政府采购活动现场确认声明书</w:t>
      </w:r>
    </w:p>
    <w:p w14:paraId="28489D3F">
      <w:pPr>
        <w:rPr>
          <w:rFonts w:hint="eastAsia" w:ascii="仿宋" w:hAnsi="仿宋" w:eastAsia="仿宋" w:cs="仿宋"/>
          <w:color w:val="auto"/>
        </w:rPr>
      </w:pPr>
    </w:p>
    <w:p w14:paraId="04C54BF0">
      <w:pPr>
        <w:spacing w:line="34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政府采购活动现场确认声明书</w:t>
      </w:r>
    </w:p>
    <w:p w14:paraId="1FFEE5B2">
      <w:pPr>
        <w:spacing w:line="340" w:lineRule="exact"/>
        <w:jc w:val="center"/>
        <w:rPr>
          <w:rFonts w:hint="eastAsia" w:ascii="仿宋" w:hAnsi="仿宋" w:eastAsia="仿宋" w:cs="仿宋"/>
          <w:color w:val="auto"/>
          <w:sz w:val="32"/>
          <w:szCs w:val="32"/>
        </w:rPr>
      </w:pPr>
    </w:p>
    <w:p w14:paraId="10BE974A">
      <w:pPr>
        <w:spacing w:line="340" w:lineRule="exact"/>
        <w:jc w:val="left"/>
        <w:rPr>
          <w:rFonts w:hint="eastAsia" w:ascii="仿宋" w:hAnsi="仿宋" w:eastAsia="仿宋" w:cs="仿宋"/>
          <w:color w:val="auto"/>
          <w:sz w:val="24"/>
          <w:u w:val="single"/>
        </w:rPr>
      </w:pPr>
      <w:r>
        <w:rPr>
          <w:rFonts w:hint="eastAsia" w:ascii="仿宋" w:hAnsi="仿宋" w:eastAsia="仿宋" w:cs="仿宋"/>
          <w:i/>
          <w:color w:val="auto"/>
          <w:sz w:val="24"/>
          <w:u w:val="single"/>
        </w:rPr>
        <w:t>（采购代理机构名称）</w:t>
      </w:r>
      <w:r>
        <w:rPr>
          <w:rFonts w:hint="eastAsia" w:ascii="仿宋" w:hAnsi="仿宋" w:eastAsia="仿宋" w:cs="仿宋"/>
          <w:color w:val="auto"/>
          <w:sz w:val="24"/>
          <w:u w:val="single"/>
        </w:rPr>
        <w:t>：</w:t>
      </w:r>
    </w:p>
    <w:p w14:paraId="7ABE9924">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    本人经由</w:t>
      </w:r>
      <w:r>
        <w:rPr>
          <w:rFonts w:hint="eastAsia" w:ascii="仿宋" w:hAnsi="仿宋" w:eastAsia="仿宋" w:cs="仿宋"/>
          <w:color w:val="auto"/>
          <w:sz w:val="24"/>
          <w:u w:val="single"/>
        </w:rPr>
        <w:t xml:space="preserve">   </w:t>
      </w:r>
      <w:r>
        <w:rPr>
          <w:rFonts w:hint="eastAsia" w:ascii="仿宋" w:hAnsi="仿宋" w:eastAsia="仿宋" w:cs="仿宋"/>
          <w:i/>
          <w:color w:val="auto"/>
          <w:sz w:val="24"/>
          <w:u w:val="single"/>
        </w:rPr>
        <w:t>（公司名称）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法定代表人（负责人）</w:t>
      </w:r>
      <w:r>
        <w:rPr>
          <w:rFonts w:hint="eastAsia" w:ascii="仿宋" w:hAnsi="仿宋" w:eastAsia="仿宋" w:cs="仿宋"/>
          <w:color w:val="auto"/>
          <w:sz w:val="24"/>
          <w:u w:val="single"/>
        </w:rPr>
        <w:t xml:space="preserve">       </w:t>
      </w:r>
      <w:r>
        <w:rPr>
          <w:rFonts w:hint="eastAsia" w:ascii="仿宋" w:hAnsi="仿宋" w:eastAsia="仿宋" w:cs="仿宋"/>
          <w:color w:val="auto"/>
          <w:sz w:val="24"/>
        </w:rPr>
        <w:t>，合法授权参加</w:t>
      </w:r>
      <w:r>
        <w:rPr>
          <w:rFonts w:hint="eastAsia" w:ascii="仿宋" w:hAnsi="仿宋" w:eastAsia="仿宋" w:cs="仿宋"/>
          <w:i/>
          <w:color w:val="auto"/>
          <w:sz w:val="24"/>
          <w:u w:val="single"/>
        </w:rPr>
        <w:t>（项目名称）（项目编号）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政府采购活动，经与本单位法人代表（负责人）联系确认，现就有关公平竞争事项郑重声明如下：</w:t>
      </w:r>
    </w:p>
    <w:p w14:paraId="7D06012C">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    一、本单位与采购人之间 </w:t>
      </w:r>
      <w:r>
        <w:rPr>
          <w:rFonts w:hint="eastAsia" w:ascii="仿宋" w:hAnsi="仿宋" w:eastAsia="仿宋" w:cs="仿宋"/>
          <w:color w:val="auto"/>
          <w:sz w:val="24"/>
          <w:lang w:eastAsia="zh-CN"/>
        </w:rPr>
        <w:t>☑</w:t>
      </w:r>
      <w:r>
        <w:rPr>
          <w:rFonts w:hint="eastAsia" w:ascii="仿宋" w:hAnsi="仿宋" w:eastAsia="仿宋" w:cs="仿宋"/>
          <w:color w:val="auto"/>
          <w:sz w:val="24"/>
        </w:rPr>
        <w:t>不存在利害关系 □存在下列利害关系</w:t>
      </w:r>
      <w:r>
        <w:rPr>
          <w:rFonts w:hint="eastAsia" w:ascii="仿宋" w:hAnsi="仿宋" w:eastAsia="仿宋" w:cs="仿宋"/>
          <w:color w:val="auto"/>
          <w:sz w:val="24"/>
          <w:u w:val="single"/>
        </w:rPr>
        <w:t xml:space="preserve">         ：</w:t>
      </w:r>
    </w:p>
    <w:p w14:paraId="6A67E201">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    A.投资关系    B.行政隶属关系    C.业务指导关系</w:t>
      </w:r>
    </w:p>
    <w:p w14:paraId="2E56254B">
      <w:pPr>
        <w:spacing w:line="340" w:lineRule="exact"/>
        <w:ind w:firstLine="480"/>
        <w:rPr>
          <w:rFonts w:hint="eastAsia" w:ascii="仿宋" w:hAnsi="仿宋" w:eastAsia="仿宋" w:cs="仿宋"/>
          <w:color w:val="auto"/>
          <w:sz w:val="24"/>
          <w:u w:val="single"/>
        </w:rPr>
      </w:pPr>
      <w:r>
        <w:rPr>
          <w:rFonts w:hint="eastAsia" w:ascii="仿宋" w:hAnsi="仿宋" w:eastAsia="仿宋" w:cs="仿宋"/>
          <w:color w:val="auto"/>
          <w:sz w:val="24"/>
        </w:rPr>
        <w:t>D.其他可能影响采购公正的利害关系（如有，请如实说明）</w:t>
      </w:r>
      <w:r>
        <w:rPr>
          <w:rFonts w:hint="eastAsia" w:ascii="仿宋" w:hAnsi="仿宋" w:eastAsia="仿宋" w:cs="仿宋"/>
          <w:color w:val="auto"/>
          <w:sz w:val="24"/>
          <w:u w:val="single"/>
        </w:rPr>
        <w:t xml:space="preserve">         </w:t>
      </w:r>
    </w:p>
    <w:p w14:paraId="39E17B6C">
      <w:pPr>
        <w:spacing w:line="340" w:lineRule="exact"/>
        <w:ind w:firstLine="480"/>
        <w:rPr>
          <w:rFonts w:hint="eastAsia" w:ascii="仿宋" w:hAnsi="仿宋" w:eastAsia="仿宋" w:cs="仿宋"/>
          <w:color w:val="auto"/>
          <w:sz w:val="24"/>
        </w:rPr>
      </w:pPr>
      <w:r>
        <w:rPr>
          <w:rFonts w:hint="eastAsia" w:ascii="仿宋" w:hAnsi="仿宋" w:eastAsia="仿宋" w:cs="仿宋"/>
          <w:color w:val="auto"/>
          <w:sz w:val="24"/>
        </w:rPr>
        <w:t>二、现已清楚知道参加本项目采购活动的其他所有供应商名称，本单位</w:t>
      </w:r>
    </w:p>
    <w:p w14:paraId="1A48BB86">
      <w:pPr>
        <w:spacing w:line="340" w:lineRule="exact"/>
        <w:ind w:firstLine="48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与其他所有供应商之间均不存在利害关系  □与</w:t>
      </w:r>
      <w:r>
        <w:rPr>
          <w:rFonts w:hint="eastAsia" w:ascii="仿宋" w:hAnsi="仿宋" w:eastAsia="仿宋" w:cs="仿宋"/>
          <w:color w:val="auto"/>
          <w:sz w:val="24"/>
          <w:u w:val="single"/>
        </w:rPr>
        <w:t xml:space="preserve">（供应商名称）     </w:t>
      </w:r>
      <w:r>
        <w:rPr>
          <w:rFonts w:hint="eastAsia" w:ascii="仿宋" w:hAnsi="仿宋" w:eastAsia="仿宋" w:cs="仿宋"/>
          <w:color w:val="auto"/>
          <w:sz w:val="24"/>
        </w:rPr>
        <w:t>之间存在下列利害关系</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34EBC9F">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    A.法定代表人或负责人或实际控制人是同一人</w:t>
      </w:r>
    </w:p>
    <w:p w14:paraId="2EA721C4">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    B.法定代表人或负责人或实际控制人是夫妻关系</w:t>
      </w:r>
    </w:p>
    <w:p w14:paraId="5CC7155F">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    C.法定代表人或负责人或实际控制人是直系血亲关系</w:t>
      </w:r>
    </w:p>
    <w:p w14:paraId="5C8BCE0D">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    D.法定代表人或负责人或实际控制人存在三代以内旁系血亲关系</w:t>
      </w:r>
    </w:p>
    <w:p w14:paraId="7A6CC22E">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    E.法定代表人或负责人或实际控制人存在近姻亲关系</w:t>
      </w:r>
    </w:p>
    <w:p w14:paraId="39624969">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    F.法定代表人或负责人或实际控制人存在股份控制或实际控制关系</w:t>
      </w:r>
    </w:p>
    <w:p w14:paraId="0AA70DCD">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    G.存在共同直接或间接投资设立子公司、联营企业和合营企业情况</w:t>
      </w:r>
    </w:p>
    <w:p w14:paraId="45C91DFB">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    H.存在分级代理或代销关系、同一生产制造商关系、管理关系、重要业务（占主营业务收入50%以上）或重要财务往来关系（如融资）等其他实质性控制关系</w:t>
      </w:r>
    </w:p>
    <w:p w14:paraId="4F8FFBFA">
      <w:pPr>
        <w:spacing w:line="340" w:lineRule="exact"/>
        <w:ind w:left="240" w:hanging="240" w:hangingChars="100"/>
        <w:rPr>
          <w:rFonts w:hint="eastAsia" w:ascii="仿宋" w:hAnsi="仿宋" w:eastAsia="仿宋" w:cs="仿宋"/>
          <w:color w:val="auto"/>
          <w:sz w:val="24"/>
        </w:rPr>
      </w:pPr>
      <w:r>
        <w:rPr>
          <w:rFonts w:hint="eastAsia" w:ascii="仿宋" w:hAnsi="仿宋" w:eastAsia="仿宋" w:cs="仿宋"/>
          <w:color w:val="auto"/>
          <w:sz w:val="24"/>
        </w:rPr>
        <w:t xml:space="preserve">    I.其他利害关系情况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14:paraId="61C27ED5">
      <w:pPr>
        <w:spacing w:line="340" w:lineRule="exact"/>
        <w:ind w:firstLine="480"/>
        <w:rPr>
          <w:rFonts w:hint="eastAsia" w:ascii="仿宋" w:hAnsi="仿宋" w:eastAsia="仿宋" w:cs="仿宋"/>
          <w:color w:val="auto"/>
          <w:sz w:val="24"/>
        </w:rPr>
      </w:pPr>
      <w:r>
        <w:rPr>
          <w:rFonts w:hint="eastAsia" w:ascii="仿宋" w:hAnsi="仿宋" w:eastAsia="仿宋" w:cs="仿宋"/>
          <w:color w:val="auto"/>
          <w:sz w:val="24"/>
        </w:rPr>
        <w:t>三、现已清楚知道并严格遵守政府采购法律法规和现场纪律。</w:t>
      </w:r>
    </w:p>
    <w:p w14:paraId="7D88A97C">
      <w:pPr>
        <w:spacing w:line="3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四、我发现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供应商之间存在或可能存在上述第二条第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项利害关系。 </w:t>
      </w:r>
    </w:p>
    <w:p w14:paraId="7EDB00C4">
      <w:pPr>
        <w:spacing w:line="340" w:lineRule="exact"/>
        <w:ind w:firstLine="480"/>
        <w:rPr>
          <w:rFonts w:hint="eastAsia" w:ascii="仿宋" w:hAnsi="仿宋" w:eastAsia="仿宋" w:cs="仿宋"/>
          <w:color w:val="auto"/>
          <w:sz w:val="24"/>
        </w:rPr>
      </w:pPr>
    </w:p>
    <w:p w14:paraId="32B94FD2">
      <w:pPr>
        <w:wordWrap w:val="0"/>
        <w:spacing w:line="340" w:lineRule="exact"/>
        <w:ind w:firstLine="120" w:firstLineChars="50"/>
        <w:jc w:val="right"/>
        <w:rPr>
          <w:rFonts w:hint="eastAsia" w:ascii="仿宋" w:hAnsi="仿宋" w:eastAsia="仿宋" w:cs="仿宋"/>
          <w:color w:val="auto"/>
          <w:sz w:val="24"/>
        </w:rPr>
      </w:pPr>
      <w:r>
        <w:rPr>
          <w:rFonts w:hint="eastAsia" w:ascii="仿宋" w:hAnsi="仿宋" w:eastAsia="仿宋" w:cs="仿宋"/>
          <w:color w:val="auto"/>
          <w:sz w:val="24"/>
        </w:rPr>
        <w:t xml:space="preserve">（投标人代表签名）：          </w:t>
      </w:r>
    </w:p>
    <w:p w14:paraId="0A38056E">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                                       </w:t>
      </w:r>
    </w:p>
    <w:p w14:paraId="22351425">
      <w:pPr>
        <w:spacing w:line="340" w:lineRule="exact"/>
        <w:jc w:val="right"/>
        <w:rPr>
          <w:rFonts w:hint="eastAsia" w:ascii="仿宋" w:hAnsi="仿宋" w:eastAsia="仿宋" w:cs="仿宋"/>
          <w:color w:val="auto"/>
          <w:sz w:val="24"/>
        </w:rPr>
      </w:pPr>
      <w:r>
        <w:rPr>
          <w:rFonts w:hint="eastAsia" w:ascii="仿宋" w:hAnsi="仿宋" w:eastAsia="仿宋" w:cs="仿宋"/>
          <w:color w:val="auto"/>
          <w:sz w:val="24"/>
        </w:rPr>
        <w:t xml:space="preserve">        年   月   日</w:t>
      </w:r>
      <w:r>
        <w:rPr>
          <w:rFonts w:hint="eastAsia" w:ascii="仿宋" w:hAnsi="仿宋" w:eastAsia="仿宋" w:cs="仿宋"/>
          <w:color w:val="auto"/>
          <w:sz w:val="24"/>
        </w:rPr>
        <w:tab/>
      </w:r>
      <w:r>
        <w:rPr>
          <w:rFonts w:hint="eastAsia" w:ascii="仿宋" w:hAnsi="仿宋" w:eastAsia="仿宋" w:cs="仿宋"/>
          <w:color w:val="auto"/>
          <w:sz w:val="24"/>
        </w:rPr>
        <w:t xml:space="preserve">  </w:t>
      </w:r>
      <w:r>
        <w:rPr>
          <w:rFonts w:hint="eastAsia" w:ascii="仿宋" w:hAnsi="仿宋" w:eastAsia="仿宋" w:cs="仿宋"/>
          <w:color w:val="auto"/>
          <w:sz w:val="24"/>
        </w:rPr>
        <w:tab/>
      </w:r>
    </w:p>
    <w:p w14:paraId="69529858">
      <w:pPr>
        <w:spacing w:line="360" w:lineRule="exact"/>
        <w:rPr>
          <w:rFonts w:hint="eastAsia" w:ascii="仿宋" w:hAnsi="仿宋" w:eastAsia="仿宋" w:cs="仿宋"/>
          <w:color w:val="auto"/>
          <w:sz w:val="24"/>
        </w:rPr>
      </w:pPr>
    </w:p>
    <w:p w14:paraId="20AB5E0F">
      <w:pPr>
        <w:spacing w:line="360" w:lineRule="exact"/>
        <w:rPr>
          <w:rFonts w:hint="eastAsia" w:ascii="仿宋" w:hAnsi="仿宋" w:eastAsia="仿宋" w:cs="仿宋"/>
          <w:color w:val="auto"/>
          <w:sz w:val="22"/>
          <w:szCs w:val="22"/>
        </w:rPr>
      </w:pPr>
      <w:r>
        <w:rPr>
          <w:rFonts w:hint="eastAsia" w:ascii="仿宋" w:hAnsi="仿宋" w:eastAsia="仿宋" w:cs="仿宋"/>
          <w:color w:val="auto"/>
          <w:sz w:val="22"/>
          <w:szCs w:val="22"/>
        </w:rPr>
        <w:t>注：1.投标人认为有利害关系和需要回避的人员，应提供相关证明材料，与本声明书一同提交。由采购代理机构和财政监督部门负责询问核查；</w:t>
      </w:r>
    </w:p>
    <w:p w14:paraId="6944231D">
      <w:pPr>
        <w:spacing w:line="360" w:lineRule="exact"/>
        <w:rPr>
          <w:rFonts w:hint="eastAsia" w:ascii="仿宋" w:hAnsi="仿宋" w:eastAsia="仿宋" w:cs="仿宋"/>
          <w:b/>
          <w:color w:val="auto"/>
          <w:sz w:val="24"/>
        </w:rPr>
      </w:pPr>
      <w:r>
        <w:rPr>
          <w:rFonts w:hint="eastAsia" w:ascii="仿宋" w:hAnsi="仿宋" w:eastAsia="仿宋" w:cs="仿宋"/>
          <w:b/>
          <w:color w:val="auto"/>
          <w:sz w:val="22"/>
          <w:szCs w:val="22"/>
        </w:rPr>
        <w:t>2.</w:t>
      </w:r>
      <w:r>
        <w:rPr>
          <w:color w:val="auto"/>
        </w:rPr>
        <w:fldChar w:fldCharType="begin"/>
      </w:r>
      <w:r>
        <w:rPr>
          <w:color w:val="auto"/>
        </w:rPr>
        <w:instrText xml:space="preserve"> HYPERLINK "mailto:该声明书在投标文件解密后30分钟内以邮件方式发送至邮箱lssggzyjyzx@163.com" </w:instrText>
      </w:r>
      <w:r>
        <w:rPr>
          <w:color w:val="auto"/>
        </w:rPr>
        <w:fldChar w:fldCharType="separate"/>
      </w:r>
      <w:r>
        <w:rPr>
          <w:rStyle w:val="76"/>
          <w:rFonts w:hint="eastAsia" w:ascii="仿宋" w:hAnsi="仿宋" w:eastAsia="仿宋" w:cs="仿宋"/>
          <w:b/>
          <w:color w:val="auto"/>
          <w:sz w:val="22"/>
          <w:szCs w:val="16"/>
        </w:rPr>
        <w:t>该声明书在投标文件解密后30分钟内以邮件方式发送至邮箱</w:t>
      </w:r>
      <w:r>
        <w:rPr>
          <w:rStyle w:val="76"/>
          <w:rFonts w:hint="eastAsia" w:ascii="仿宋" w:hAnsi="仿宋" w:eastAsia="仿宋" w:cs="仿宋"/>
          <w:b/>
          <w:color w:val="auto"/>
          <w:sz w:val="22"/>
          <w:szCs w:val="16"/>
          <w:highlight w:val="yellow"/>
        </w:rPr>
        <w:t>2845551562@qq.com</w:t>
      </w:r>
      <w:r>
        <w:rPr>
          <w:rStyle w:val="76"/>
          <w:rFonts w:hint="eastAsia" w:ascii="仿宋" w:hAnsi="仿宋" w:eastAsia="仿宋" w:cs="仿宋"/>
          <w:b/>
          <w:color w:val="auto"/>
          <w:sz w:val="22"/>
          <w:szCs w:val="16"/>
          <w:highlight w:val="yellow"/>
        </w:rPr>
        <w:fldChar w:fldCharType="end"/>
      </w:r>
      <w:r>
        <w:rPr>
          <w:rFonts w:hint="eastAsia" w:ascii="仿宋" w:hAnsi="仿宋" w:eastAsia="仿宋" w:cs="仿宋"/>
          <w:b/>
          <w:color w:val="auto"/>
          <w:sz w:val="22"/>
          <w:szCs w:val="22"/>
        </w:rPr>
        <w:t>。</w:t>
      </w:r>
    </w:p>
    <w:p w14:paraId="7603FC2E">
      <w:pPr>
        <w:spacing w:line="360" w:lineRule="auto"/>
        <w:ind w:right="420" w:firstLine="480" w:firstLineChars="200"/>
        <w:rPr>
          <w:rFonts w:hint="eastAsia" w:ascii="仿宋" w:hAnsi="仿宋" w:eastAsia="仿宋" w:cs="仿宋"/>
          <w:color w:val="auto"/>
          <w:sz w:val="24"/>
        </w:rPr>
      </w:pPr>
    </w:p>
    <w:bookmarkEnd w:id="515"/>
    <w:sectPr>
      <w:pgSz w:w="11906" w:h="16838"/>
      <w:pgMar w:top="1417" w:right="1417" w:bottom="1417" w:left="1701" w:header="1134" w:footer="850"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0C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1061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06F3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1" w:name="_Toc36110187"/>
    <w:bookmarkStart w:id="512" w:name="_Toc131845147"/>
    <w:bookmarkStart w:id="513" w:name="_Toc91899912"/>
    <w:bookmarkStart w:id="514" w:name="_Toc164085800"/>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C8994">
    <w:pPr>
      <w:pStyle w:val="39"/>
      <w:framePr w:wrap="around" w:vAnchor="text" w:hAnchor="margin" w:xAlign="right" w:y="1"/>
      <w:rPr>
        <w:rStyle w:val="72"/>
      </w:rPr>
    </w:pPr>
    <w:r>
      <w:fldChar w:fldCharType="begin"/>
    </w:r>
    <w:r>
      <w:rPr>
        <w:rStyle w:val="72"/>
      </w:rPr>
      <w:instrText xml:space="preserve">PAGE  </w:instrText>
    </w:r>
    <w:r>
      <w:fldChar w:fldCharType="end"/>
    </w:r>
  </w:p>
  <w:p w14:paraId="08B6A98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2AB1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DA08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04A54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B369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C2953C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F304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ACB3A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D023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EAADB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8738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445B4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CEEC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651A22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C6B84">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lang w:val="zh-C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970B0">
    <w:pPr>
      <w:pStyle w:val="40"/>
      <w:jc w:val="right"/>
      <w:rPr>
        <w:rFonts w:hint="eastAsia" w:ascii="仿宋" w:hAnsi="仿宋" w:eastAsia="仿宋" w:cs="仿宋"/>
      </w:rPr>
    </w:pPr>
    <w:r>
      <w:rPr>
        <w:rFonts w:hint="eastAsia" w:ascii="仿宋" w:hAnsi="仿宋" w:eastAsia="仿宋" w:cs="仿宋"/>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9FD8E">
    <w:pPr>
      <w:pStyle w:val="40"/>
      <w:pBdr>
        <w:bottom w:val="single" w:color="auto" w:sz="6" w:space="0"/>
      </w:pBdr>
      <w:tabs>
        <w:tab w:val="center" w:pos="4535"/>
        <w:tab w:val="right" w:pos="9070"/>
        <w:tab w:val="clear" w:pos="4153"/>
        <w:tab w:val="clear" w:pos="8306"/>
      </w:tabs>
      <w:jc w:val="right"/>
      <w:rPr>
        <w:rFonts w:hint="eastAsia" w:ascii="仿宋" w:hAnsi="仿宋" w:eastAsia="仿宋" w:cs="仿宋"/>
      </w:rPr>
    </w:pPr>
    <w:r>
      <w:rPr>
        <w:rFonts w:hint="eastAsia" w:ascii="仿宋" w:hAnsi="仿宋" w:eastAsia="仿宋" w:cs="仿宋"/>
        <w:lang w:val="zh-CN"/>
      </w:rPr>
      <w:t></w:t>
    </w:r>
    <w:r>
      <w:rPr>
        <w:rFonts w:hint="eastAsia" w:ascii="仿宋" w:hAnsi="仿宋" w:eastAsia="仿宋" w:cs="仿宋"/>
      </w:rPr>
      <w:tab/>
    </w:r>
    <w:r>
      <w:rPr>
        <w:rFonts w:hint="eastAsia" w:ascii="仿宋" w:hAnsi="仿宋" w:eastAsia="仿宋" w:cs="仿宋"/>
        <w:lang w:val="zh-CN"/>
      </w:rPr>
      <w:t></w:t>
    </w:r>
    <w:r>
      <w:rPr>
        <w:rFonts w:hint="eastAsia" w:ascii="仿宋" w:hAnsi="仿宋" w:eastAsia="仿宋" w:cs="仿宋"/>
      </w:rPr>
      <w:tab/>
    </w:r>
    <w:r>
      <w:rPr>
        <w:rFonts w:hint="eastAsia" w:ascii="仿宋" w:hAnsi="仿宋" w:eastAsia="仿宋" w:cs="仿宋"/>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32086">
    <w:pPr>
      <w:pStyle w:val="40"/>
      <w:jc w:val="right"/>
    </w:pPr>
    <w:r>
      <w:rPr>
        <w:rFonts w:hint="eastAsia" w:ascii="仿宋" w:hAnsi="仿宋" w:eastAsia="仿宋" w:cs="仿宋"/>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6051">
    <w:pPr>
      <w:pStyle w:val="40"/>
      <w:jc w:val="right"/>
      <w:rPr>
        <w:rFonts w:hint="eastAsia" w:ascii="仿宋" w:hAnsi="仿宋" w:eastAsia="仿宋" w:cs="仿宋"/>
      </w:rPr>
    </w:pPr>
    <w:r>
      <w:rPr>
        <w:rFonts w:hint="eastAsia" w:ascii="仿宋" w:hAnsi="仿宋" w:eastAsia="仿宋" w:cs="仿宋"/>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451F8">
    <w:pPr>
      <w:pStyle w:val="40"/>
      <w:jc w:val="right"/>
      <w:rPr>
        <w:rFonts w:hint="eastAsia" w:ascii="仿宋" w:hAnsi="仿宋" w:eastAsia="仿宋" w:cs="仿宋"/>
        <w:b/>
        <w:i/>
        <w:u w:val="single"/>
      </w:rPr>
    </w:pPr>
    <w:r>
      <w:rPr>
        <w:rFonts w:hint="eastAsia" w:ascii="仿宋" w:hAnsi="仿宋" w:eastAsia="仿宋" w:cs="仿宋"/>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F818">
    <w:pPr>
      <w:pStyle w:val="40"/>
      <w:jc w:val="right"/>
      <w:rPr>
        <w:rFonts w:hint="eastAsia" w:ascii="仿宋" w:hAnsi="仿宋" w:eastAsia="仿宋" w:cs="仿宋"/>
      </w:rPr>
    </w:pPr>
    <w:r>
      <w:rPr>
        <w:rFonts w:hint="eastAsia" w:ascii="仿宋" w:hAnsi="仿宋" w:eastAsia="仿宋" w:cs="仿宋"/>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F575">
    <w:pPr>
      <w:pStyle w:val="40"/>
      <w:jc w:val="right"/>
      <w:rPr>
        <w:rFonts w:ascii="仿宋_GB2312" w:eastAsia="仿宋_GB2312"/>
        <w:b/>
        <w:i/>
        <w:u w:val="single"/>
      </w:rPr>
    </w:pPr>
    <w:r>
      <w:rPr>
        <w:rFonts w:hint="eastAsia"/>
      </w:rPr>
      <w:t xml:space="preserve">                                  </w:t>
    </w:r>
    <w:r>
      <w:t>杭州市政府采购公开招标文件</w:t>
    </w:r>
  </w:p>
  <w:p w14:paraId="581662F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B3F17">
    <w:pPr>
      <w:pStyle w:val="40"/>
      <w:jc w:val="right"/>
      <w:rPr>
        <w:rFonts w:hint="eastAsia" w:ascii="仿宋" w:hAnsi="仿宋" w:eastAsia="仿宋" w:cs="仿宋"/>
      </w:rPr>
    </w:pPr>
    <w:r>
      <w:rPr>
        <w:rFonts w:hint="eastAsia" w:ascii="仿宋" w:hAnsi="仿宋" w:eastAsia="仿宋" w:cs="仿宋"/>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5AC9">
    <w:pPr>
      <w:pStyle w:val="40"/>
      <w:jc w:val="right"/>
      <w:rPr>
        <w:rFonts w:hint="eastAsia" w:ascii="仿宋" w:hAnsi="仿宋" w:eastAsia="仿宋" w:cs="仿宋"/>
        <w:b/>
        <w:i/>
        <w:iCs/>
        <w:u w:val="single"/>
      </w:rPr>
    </w:pPr>
    <w:r>
      <w:rPr>
        <w:rFonts w:hint="eastAsia" w:ascii="仿宋" w:hAnsi="仿宋" w:eastAsia="仿宋" w:cs="仿宋"/>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843"/>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5BA"/>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33C"/>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FC8"/>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33A"/>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AAA"/>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00"/>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42004"/>
    <w:rsid w:val="09E04166"/>
    <w:rsid w:val="0A1C0718"/>
    <w:rsid w:val="0A3E7710"/>
    <w:rsid w:val="0A4E70E3"/>
    <w:rsid w:val="0A5B7E63"/>
    <w:rsid w:val="0AA374A5"/>
    <w:rsid w:val="0AAB7649"/>
    <w:rsid w:val="0ABC5606"/>
    <w:rsid w:val="0B30404E"/>
    <w:rsid w:val="0B4C6C14"/>
    <w:rsid w:val="0B547599"/>
    <w:rsid w:val="0B6131F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C414B"/>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8C0D04"/>
    <w:rsid w:val="10C26171"/>
    <w:rsid w:val="10D601E5"/>
    <w:rsid w:val="10F33360"/>
    <w:rsid w:val="10FC16EA"/>
    <w:rsid w:val="110F1D40"/>
    <w:rsid w:val="11266F33"/>
    <w:rsid w:val="118963A1"/>
    <w:rsid w:val="11C6522A"/>
    <w:rsid w:val="11E104CC"/>
    <w:rsid w:val="11E20309"/>
    <w:rsid w:val="120C7C36"/>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BA4FA2"/>
    <w:rsid w:val="1BD75AB8"/>
    <w:rsid w:val="1C0459C2"/>
    <w:rsid w:val="1C1B3B4A"/>
    <w:rsid w:val="1C88086E"/>
    <w:rsid w:val="1D266CE1"/>
    <w:rsid w:val="1D293D92"/>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A451E4"/>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4D0AF2"/>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B553A3"/>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182989"/>
    <w:rsid w:val="33263B3F"/>
    <w:rsid w:val="336963EB"/>
    <w:rsid w:val="33816EEB"/>
    <w:rsid w:val="33826513"/>
    <w:rsid w:val="33EB55CD"/>
    <w:rsid w:val="33EC4C02"/>
    <w:rsid w:val="340D2360"/>
    <w:rsid w:val="3410665D"/>
    <w:rsid w:val="34211214"/>
    <w:rsid w:val="342E63AB"/>
    <w:rsid w:val="34950E68"/>
    <w:rsid w:val="34986E94"/>
    <w:rsid w:val="34AF62C9"/>
    <w:rsid w:val="34CB4388"/>
    <w:rsid w:val="34FA6E12"/>
    <w:rsid w:val="351D1D5D"/>
    <w:rsid w:val="354D7158"/>
    <w:rsid w:val="358D5588"/>
    <w:rsid w:val="363A3B40"/>
    <w:rsid w:val="365302AE"/>
    <w:rsid w:val="36607A0A"/>
    <w:rsid w:val="366E227C"/>
    <w:rsid w:val="366F2E0D"/>
    <w:rsid w:val="367B6A5C"/>
    <w:rsid w:val="36A74ADA"/>
    <w:rsid w:val="36AD60D5"/>
    <w:rsid w:val="36B224F9"/>
    <w:rsid w:val="36EC0CC9"/>
    <w:rsid w:val="373F410B"/>
    <w:rsid w:val="37E22427"/>
    <w:rsid w:val="37EE7094"/>
    <w:rsid w:val="38296C89"/>
    <w:rsid w:val="383002EB"/>
    <w:rsid w:val="38586797"/>
    <w:rsid w:val="38BC0149"/>
    <w:rsid w:val="38CE0BD3"/>
    <w:rsid w:val="38D87D1C"/>
    <w:rsid w:val="39636459"/>
    <w:rsid w:val="396B7F6C"/>
    <w:rsid w:val="39A131D7"/>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4C551E"/>
    <w:rsid w:val="40592157"/>
    <w:rsid w:val="406E1CAE"/>
    <w:rsid w:val="40A0133A"/>
    <w:rsid w:val="40C31A53"/>
    <w:rsid w:val="40FF545D"/>
    <w:rsid w:val="410067C8"/>
    <w:rsid w:val="410A78B3"/>
    <w:rsid w:val="418F0D2A"/>
    <w:rsid w:val="41D01505"/>
    <w:rsid w:val="42474939"/>
    <w:rsid w:val="424C3C57"/>
    <w:rsid w:val="42613FF3"/>
    <w:rsid w:val="42660D96"/>
    <w:rsid w:val="428667D2"/>
    <w:rsid w:val="42CD1CE0"/>
    <w:rsid w:val="42D7446A"/>
    <w:rsid w:val="42E1381E"/>
    <w:rsid w:val="42ED6459"/>
    <w:rsid w:val="42FE58DD"/>
    <w:rsid w:val="43174B3D"/>
    <w:rsid w:val="434B790E"/>
    <w:rsid w:val="4360274F"/>
    <w:rsid w:val="438F5E4E"/>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97A89"/>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77763C"/>
    <w:rsid w:val="4AB82D0F"/>
    <w:rsid w:val="4AEB7664"/>
    <w:rsid w:val="4AFD7C19"/>
    <w:rsid w:val="4B0567D1"/>
    <w:rsid w:val="4B236AAE"/>
    <w:rsid w:val="4B65492A"/>
    <w:rsid w:val="4B707271"/>
    <w:rsid w:val="4B9739F7"/>
    <w:rsid w:val="4BEE2503"/>
    <w:rsid w:val="4C20442F"/>
    <w:rsid w:val="4C245A30"/>
    <w:rsid w:val="4CB6685F"/>
    <w:rsid w:val="4CC367FE"/>
    <w:rsid w:val="4D077F3C"/>
    <w:rsid w:val="4D123355"/>
    <w:rsid w:val="4D2A3B31"/>
    <w:rsid w:val="4D312C52"/>
    <w:rsid w:val="4D6B370A"/>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7A74B2"/>
    <w:rsid w:val="558931E1"/>
    <w:rsid w:val="55923347"/>
    <w:rsid w:val="55925180"/>
    <w:rsid w:val="55983B1B"/>
    <w:rsid w:val="55A8376B"/>
    <w:rsid w:val="55DC29B6"/>
    <w:rsid w:val="55DD4241"/>
    <w:rsid w:val="55FA3400"/>
    <w:rsid w:val="56346343"/>
    <w:rsid w:val="566B6D1E"/>
    <w:rsid w:val="57032A2C"/>
    <w:rsid w:val="570F5219"/>
    <w:rsid w:val="575136EE"/>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26B62"/>
    <w:rsid w:val="5EFC7377"/>
    <w:rsid w:val="5F06174D"/>
    <w:rsid w:val="5F2C1D4A"/>
    <w:rsid w:val="5F3A3602"/>
    <w:rsid w:val="5F45733B"/>
    <w:rsid w:val="5F6277C6"/>
    <w:rsid w:val="5F6D0B1D"/>
    <w:rsid w:val="5F8D0B82"/>
    <w:rsid w:val="5FCC5339"/>
    <w:rsid w:val="5FE34A5B"/>
    <w:rsid w:val="5FFE1E36"/>
    <w:rsid w:val="60232584"/>
    <w:rsid w:val="60457B68"/>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90E69"/>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46244"/>
    <w:rsid w:val="653C3090"/>
    <w:rsid w:val="65854376"/>
    <w:rsid w:val="658767BE"/>
    <w:rsid w:val="65892531"/>
    <w:rsid w:val="66195831"/>
    <w:rsid w:val="662D00D8"/>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15ECC"/>
    <w:rsid w:val="691664E5"/>
    <w:rsid w:val="693E15D3"/>
    <w:rsid w:val="69627681"/>
    <w:rsid w:val="6977531D"/>
    <w:rsid w:val="69AF3C09"/>
    <w:rsid w:val="69B03519"/>
    <w:rsid w:val="69CB7DEE"/>
    <w:rsid w:val="69CC2BFF"/>
    <w:rsid w:val="69FD55B8"/>
    <w:rsid w:val="6A0B1C62"/>
    <w:rsid w:val="6A2406C8"/>
    <w:rsid w:val="6ADE0BD1"/>
    <w:rsid w:val="6AE96859"/>
    <w:rsid w:val="6B147746"/>
    <w:rsid w:val="6B24787C"/>
    <w:rsid w:val="6B4E7B02"/>
    <w:rsid w:val="6B573233"/>
    <w:rsid w:val="6B5B6274"/>
    <w:rsid w:val="6B935D53"/>
    <w:rsid w:val="6C196F71"/>
    <w:rsid w:val="6C226FCB"/>
    <w:rsid w:val="6C31226F"/>
    <w:rsid w:val="6C552F0B"/>
    <w:rsid w:val="6C8C67B7"/>
    <w:rsid w:val="6C9D744C"/>
    <w:rsid w:val="6CCC139E"/>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1D0871"/>
    <w:rsid w:val="732F1ED8"/>
    <w:rsid w:val="73C0646E"/>
    <w:rsid w:val="73E7CF11"/>
    <w:rsid w:val="742222F5"/>
    <w:rsid w:val="74476126"/>
    <w:rsid w:val="74706664"/>
    <w:rsid w:val="747F3682"/>
    <w:rsid w:val="749C4185"/>
    <w:rsid w:val="75067759"/>
    <w:rsid w:val="752E6DCD"/>
    <w:rsid w:val="7551380D"/>
    <w:rsid w:val="75600BE5"/>
    <w:rsid w:val="7564475C"/>
    <w:rsid w:val="7583797F"/>
    <w:rsid w:val="759E3B4B"/>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C090E"/>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13410</Words>
  <Characters>14594</Characters>
  <Lines>1447</Lines>
  <Paragraphs>1453</Paragraphs>
  <TotalTime>11</TotalTime>
  <ScaleCrop>false</ScaleCrop>
  <LinksUpToDate>false</LinksUpToDate>
  <CharactersWithSpaces>14752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粥小粒</cp:lastModifiedBy>
  <cp:lastPrinted>2021-12-28T03:06:00Z</cp:lastPrinted>
  <dcterms:modified xsi:type="dcterms:W3CDTF">2025-07-01T10:26:10Z</dcterms:modified>
  <dc:title>杭州市市民卡扩大发卡工程</dc:title>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D45E5AC44E8E4F32BE832DAC33E6B212_13</vt:lpwstr>
  </property>
  <property fmtid="{D5CDD505-2E9C-101B-9397-08002B2CF9AE}" pid="5" name="KSOTemplateDocerSaveRecord">
    <vt:lpwstr>eyJoZGlkIjoiNDY3MGQ5YTEwMmY0NjgwMDVlNDJlMDZkZDhiNTE4YWYiLCJ1c2VySWQiOiI0NjA5ODUyMDMifQ==</vt:lpwstr>
  </property>
</Properties>
</file>