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87511F">
      <w:pPr>
        <w:spacing w:line="360" w:lineRule="auto"/>
        <w:jc w:val="center"/>
        <w:rPr>
          <w:rFonts w:hint="eastAsia" w:ascii="仿宋" w:hAnsi="仿宋" w:eastAsia="仿宋" w:cs="仿宋"/>
          <w:b/>
          <w:color w:val="auto"/>
          <w:sz w:val="44"/>
          <w:szCs w:val="44"/>
          <w:highlight w:val="none"/>
        </w:rPr>
      </w:pPr>
    </w:p>
    <w:p w14:paraId="4B400833">
      <w:pPr>
        <w:adjustRightInd/>
        <w:spacing w:line="360" w:lineRule="auto"/>
        <w:jc w:val="center"/>
        <w:rPr>
          <w:rFonts w:hint="eastAsia" w:ascii="仿宋" w:hAnsi="仿宋" w:eastAsia="仿宋" w:cs="仿宋"/>
          <w:b/>
          <w:color w:val="auto"/>
          <w:sz w:val="48"/>
          <w:szCs w:val="48"/>
          <w:highlight w:val="none"/>
        </w:rPr>
      </w:pPr>
    </w:p>
    <w:p w14:paraId="728762C4">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 xml:space="preserve">杭州市公安局上城区分局经侦大队专案审计项目 </w:t>
      </w:r>
    </w:p>
    <w:p w14:paraId="4EE4FC07">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招标文件</w:t>
      </w:r>
    </w:p>
    <w:p w14:paraId="41A57814">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14:paraId="03FC6173">
      <w:pPr>
        <w:snapToGrid w:val="0"/>
        <w:spacing w:line="360" w:lineRule="auto"/>
        <w:jc w:val="center"/>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2"/>
          <w:szCs w:val="32"/>
          <w:highlight w:val="none"/>
        </w:rPr>
        <w:t>ZJXR-SCGA2025-</w:t>
      </w:r>
      <w:r>
        <w:rPr>
          <w:rFonts w:hint="eastAsia" w:ascii="仿宋" w:hAnsi="仿宋" w:eastAsia="仿宋" w:cs="仿宋"/>
          <w:color w:val="auto"/>
          <w:sz w:val="32"/>
          <w:szCs w:val="32"/>
          <w:highlight w:val="none"/>
          <w:lang w:val="en-US" w:eastAsia="zh-CN"/>
        </w:rPr>
        <w:t>04</w:t>
      </w:r>
    </w:p>
    <w:p w14:paraId="04332583">
      <w:pPr>
        <w:snapToGrid w:val="0"/>
        <w:spacing w:line="360" w:lineRule="auto"/>
        <w:jc w:val="center"/>
        <w:rPr>
          <w:rFonts w:hint="eastAsia" w:ascii="仿宋" w:hAnsi="仿宋" w:eastAsia="仿宋" w:cs="仿宋"/>
          <w:color w:val="auto"/>
          <w:sz w:val="30"/>
          <w:szCs w:val="30"/>
          <w:highlight w:val="none"/>
        </w:rPr>
      </w:pPr>
    </w:p>
    <w:p w14:paraId="3932D6ED">
      <w:pPr>
        <w:adjustRightInd/>
        <w:spacing w:line="360" w:lineRule="auto"/>
        <w:rPr>
          <w:rFonts w:hint="eastAsia" w:ascii="仿宋" w:hAnsi="仿宋" w:eastAsia="仿宋" w:cs="仿宋"/>
          <w:color w:val="auto"/>
          <w:sz w:val="28"/>
          <w:szCs w:val="20"/>
          <w:highlight w:val="none"/>
        </w:rPr>
      </w:pPr>
    </w:p>
    <w:p w14:paraId="6E6C0EBF">
      <w:pPr>
        <w:spacing w:line="360" w:lineRule="auto"/>
        <w:jc w:val="center"/>
        <w:rPr>
          <w:rFonts w:hint="eastAsia" w:ascii="仿宋" w:hAnsi="仿宋" w:eastAsia="仿宋" w:cs="仿宋"/>
          <w:b/>
          <w:color w:val="auto"/>
          <w:sz w:val="44"/>
          <w:szCs w:val="44"/>
          <w:highlight w:val="none"/>
        </w:rPr>
      </w:pPr>
    </w:p>
    <w:p w14:paraId="427EAE9F">
      <w:pPr>
        <w:spacing w:line="360" w:lineRule="auto"/>
        <w:jc w:val="center"/>
        <w:rPr>
          <w:rFonts w:hint="eastAsia" w:ascii="仿宋" w:hAnsi="仿宋" w:eastAsia="仿宋" w:cs="仿宋"/>
          <w:b/>
          <w:color w:val="auto"/>
          <w:sz w:val="44"/>
          <w:szCs w:val="44"/>
          <w:highlight w:val="none"/>
        </w:rPr>
      </w:pPr>
    </w:p>
    <w:p w14:paraId="10FDDFB5">
      <w:pPr>
        <w:spacing w:line="360" w:lineRule="auto"/>
        <w:jc w:val="center"/>
        <w:rPr>
          <w:rFonts w:hint="eastAsia" w:ascii="仿宋" w:hAnsi="仿宋" w:eastAsia="仿宋" w:cs="仿宋"/>
          <w:color w:val="auto"/>
          <w:sz w:val="24"/>
          <w:highlight w:val="none"/>
        </w:rPr>
      </w:pPr>
    </w:p>
    <w:p w14:paraId="767BE357">
      <w:pPr>
        <w:spacing w:line="360" w:lineRule="auto"/>
        <w:jc w:val="center"/>
        <w:rPr>
          <w:rFonts w:hint="eastAsia" w:ascii="仿宋" w:hAnsi="仿宋" w:eastAsia="仿宋" w:cs="仿宋"/>
          <w:color w:val="auto"/>
          <w:sz w:val="24"/>
          <w:highlight w:val="none"/>
        </w:rPr>
      </w:pPr>
    </w:p>
    <w:p w14:paraId="09CD707A">
      <w:pPr>
        <w:spacing w:line="360" w:lineRule="auto"/>
        <w:rPr>
          <w:rFonts w:hint="eastAsia" w:ascii="仿宋" w:hAnsi="仿宋" w:eastAsia="仿宋" w:cs="仿宋"/>
          <w:color w:val="auto"/>
          <w:sz w:val="32"/>
          <w:szCs w:val="32"/>
          <w:highlight w:val="none"/>
        </w:rPr>
      </w:pPr>
    </w:p>
    <w:p w14:paraId="2960B324">
      <w:pPr>
        <w:snapToGrid w:val="0"/>
        <w:spacing w:line="360" w:lineRule="auto"/>
        <w:jc w:val="center"/>
        <w:rPr>
          <w:rFonts w:hint="eastAsia" w:ascii="仿宋" w:hAnsi="仿宋" w:eastAsia="仿宋" w:cs="仿宋"/>
          <w:color w:val="auto"/>
          <w:sz w:val="32"/>
          <w:szCs w:val="32"/>
          <w:highlight w:val="none"/>
        </w:rPr>
      </w:pPr>
    </w:p>
    <w:p w14:paraId="7DC5361B">
      <w:pPr>
        <w:snapToGrid w:val="0"/>
        <w:spacing w:line="360" w:lineRule="auto"/>
        <w:jc w:val="center"/>
        <w:rPr>
          <w:rFonts w:hint="eastAsia" w:ascii="仿宋" w:hAnsi="仿宋" w:eastAsia="仿宋" w:cs="仿宋"/>
          <w:color w:val="auto"/>
          <w:sz w:val="32"/>
          <w:szCs w:val="32"/>
          <w:highlight w:val="none"/>
        </w:rPr>
      </w:pPr>
    </w:p>
    <w:p w14:paraId="11B99555">
      <w:pPr>
        <w:snapToGrid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采购人：杭州市公安局上城区分局</w:t>
      </w:r>
    </w:p>
    <w:p w14:paraId="17A2AA89">
      <w:pPr>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采购代理机构：浙江鑫润工程管理有限公司</w:t>
      </w:r>
    </w:p>
    <w:p w14:paraId="5674F647">
      <w:pPr>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二〇二五年</w:t>
      </w:r>
      <w:r>
        <w:rPr>
          <w:rFonts w:hint="eastAsia" w:ascii="仿宋" w:hAnsi="仿宋" w:eastAsia="仿宋" w:cs="仿宋"/>
          <w:bCs/>
          <w:color w:val="auto"/>
          <w:sz w:val="32"/>
          <w:szCs w:val="32"/>
          <w:highlight w:val="none"/>
          <w:lang w:val="en-US" w:eastAsia="zh-CN"/>
        </w:rPr>
        <w:t>七</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 xml:space="preserve">一 </w:t>
      </w:r>
      <w:r>
        <w:rPr>
          <w:rFonts w:hint="eastAsia" w:ascii="仿宋" w:hAnsi="仿宋" w:eastAsia="仿宋" w:cs="仿宋"/>
          <w:bCs/>
          <w:color w:val="auto"/>
          <w:sz w:val="32"/>
          <w:szCs w:val="32"/>
          <w:highlight w:val="none"/>
        </w:rPr>
        <w:t>日</w:t>
      </w:r>
    </w:p>
    <w:p w14:paraId="6018D79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14:paraId="34136E82">
      <w:pPr>
        <w:adjustRightInd/>
        <w:spacing w:line="360" w:lineRule="auto"/>
        <w:jc w:val="center"/>
        <w:outlineLvl w:val="0"/>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688342F9">
      <w:pPr>
        <w:spacing w:line="360" w:lineRule="auto"/>
        <w:rPr>
          <w:rFonts w:hint="eastAsia" w:ascii="仿宋" w:hAnsi="仿宋" w:eastAsia="仿宋" w:cs="仿宋"/>
          <w:color w:val="auto"/>
          <w:sz w:val="32"/>
          <w:szCs w:val="32"/>
          <w:highlight w:val="none"/>
        </w:rPr>
      </w:pPr>
    </w:p>
    <w:p w14:paraId="0EAD2AD1">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24505E08">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3A342509">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7D7D92B9">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5572B5D9">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2CB71C60">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07C860DA">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14:paraId="2D3833BC">
      <w:pPr>
        <w:spacing w:line="360" w:lineRule="auto"/>
        <w:ind w:firstLine="549" w:firstLineChars="229"/>
        <w:rPr>
          <w:rFonts w:hint="eastAsia" w:ascii="仿宋" w:hAnsi="仿宋" w:eastAsia="仿宋" w:cs="仿宋"/>
          <w:color w:val="auto"/>
          <w:sz w:val="24"/>
          <w:highlight w:val="none"/>
        </w:rPr>
      </w:pPr>
    </w:p>
    <w:p w14:paraId="60257109">
      <w:pPr>
        <w:spacing w:line="360" w:lineRule="auto"/>
        <w:ind w:firstLine="549" w:firstLineChars="229"/>
        <w:rPr>
          <w:rFonts w:hint="eastAsia" w:ascii="仿宋" w:hAnsi="仿宋" w:eastAsia="仿宋" w:cs="仿宋"/>
          <w:color w:val="auto"/>
          <w:sz w:val="24"/>
          <w:highlight w:val="none"/>
        </w:rPr>
      </w:pPr>
    </w:p>
    <w:p w14:paraId="176E59E3">
      <w:pPr>
        <w:spacing w:line="360" w:lineRule="auto"/>
        <w:ind w:firstLine="549" w:firstLineChars="229"/>
        <w:rPr>
          <w:rFonts w:hint="eastAsia" w:ascii="仿宋" w:hAnsi="仿宋" w:eastAsia="仿宋" w:cs="仿宋"/>
          <w:color w:val="auto"/>
          <w:sz w:val="24"/>
          <w:highlight w:val="none"/>
        </w:rPr>
      </w:pPr>
    </w:p>
    <w:p w14:paraId="7F7B175A">
      <w:pPr>
        <w:spacing w:line="360" w:lineRule="auto"/>
        <w:ind w:firstLine="549" w:firstLineChars="229"/>
        <w:rPr>
          <w:rFonts w:hint="eastAsia" w:ascii="仿宋" w:hAnsi="仿宋" w:eastAsia="仿宋" w:cs="仿宋"/>
          <w:color w:val="auto"/>
          <w:sz w:val="24"/>
          <w:highlight w:val="none"/>
        </w:rPr>
      </w:pPr>
    </w:p>
    <w:p w14:paraId="303BD93F">
      <w:pPr>
        <w:spacing w:line="360" w:lineRule="auto"/>
        <w:ind w:firstLine="549" w:firstLineChars="229"/>
        <w:rPr>
          <w:rFonts w:hint="eastAsia" w:ascii="仿宋" w:hAnsi="仿宋" w:eastAsia="仿宋" w:cs="仿宋"/>
          <w:color w:val="auto"/>
          <w:sz w:val="24"/>
          <w:highlight w:val="none"/>
        </w:rPr>
      </w:pPr>
    </w:p>
    <w:p w14:paraId="030A21FA">
      <w:pPr>
        <w:spacing w:line="360" w:lineRule="auto"/>
        <w:ind w:firstLine="549" w:firstLineChars="229"/>
        <w:rPr>
          <w:rFonts w:hint="eastAsia" w:ascii="仿宋" w:hAnsi="仿宋" w:eastAsia="仿宋" w:cs="仿宋"/>
          <w:color w:val="auto"/>
          <w:sz w:val="24"/>
          <w:highlight w:val="none"/>
        </w:rPr>
      </w:pPr>
    </w:p>
    <w:p w14:paraId="36C6305D">
      <w:pPr>
        <w:spacing w:line="360" w:lineRule="auto"/>
        <w:ind w:firstLine="549" w:firstLineChars="229"/>
        <w:rPr>
          <w:rFonts w:hint="eastAsia" w:ascii="仿宋" w:hAnsi="仿宋" w:eastAsia="仿宋" w:cs="仿宋"/>
          <w:color w:val="auto"/>
          <w:sz w:val="24"/>
          <w:highlight w:val="none"/>
        </w:rPr>
      </w:pPr>
    </w:p>
    <w:p w14:paraId="6C3A30A2">
      <w:pPr>
        <w:spacing w:line="360" w:lineRule="auto"/>
        <w:ind w:firstLine="549" w:firstLineChars="229"/>
        <w:rPr>
          <w:rFonts w:hint="eastAsia" w:ascii="仿宋" w:hAnsi="仿宋" w:eastAsia="仿宋" w:cs="仿宋"/>
          <w:color w:val="auto"/>
          <w:sz w:val="24"/>
          <w:highlight w:val="none"/>
        </w:rPr>
      </w:pPr>
    </w:p>
    <w:p w14:paraId="0F68A752">
      <w:pPr>
        <w:spacing w:line="360" w:lineRule="auto"/>
        <w:ind w:firstLine="549" w:firstLineChars="229"/>
        <w:rPr>
          <w:rFonts w:hint="eastAsia" w:ascii="仿宋" w:hAnsi="仿宋" w:eastAsia="仿宋" w:cs="仿宋"/>
          <w:color w:val="auto"/>
          <w:sz w:val="24"/>
          <w:highlight w:val="none"/>
        </w:rPr>
      </w:pPr>
    </w:p>
    <w:p w14:paraId="3CE7C0FE">
      <w:pPr>
        <w:spacing w:line="360" w:lineRule="auto"/>
        <w:ind w:firstLine="549" w:firstLineChars="229"/>
        <w:rPr>
          <w:rFonts w:hint="eastAsia" w:ascii="仿宋" w:hAnsi="仿宋" w:eastAsia="仿宋" w:cs="仿宋"/>
          <w:color w:val="auto"/>
          <w:sz w:val="24"/>
          <w:highlight w:val="none"/>
        </w:rPr>
      </w:pPr>
    </w:p>
    <w:p w14:paraId="21E39FB3">
      <w:pPr>
        <w:spacing w:line="360" w:lineRule="auto"/>
        <w:ind w:firstLine="549" w:firstLineChars="229"/>
        <w:rPr>
          <w:rFonts w:hint="eastAsia" w:ascii="仿宋" w:hAnsi="仿宋" w:eastAsia="仿宋" w:cs="仿宋"/>
          <w:color w:val="auto"/>
          <w:sz w:val="24"/>
          <w:highlight w:val="none"/>
        </w:rPr>
      </w:pPr>
    </w:p>
    <w:p w14:paraId="34725E2F">
      <w:pPr>
        <w:adjustRightInd/>
        <w:spacing w:line="380" w:lineRule="exact"/>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36"/>
          <w:highlight w:val="none"/>
        </w:rPr>
        <w:br w:type="page"/>
      </w:r>
      <w:bookmarkEnd w:id="2"/>
      <w:bookmarkStart w:id="3" w:name="_Hlt74729822"/>
      <w:bookmarkEnd w:id="3"/>
      <w:bookmarkStart w:id="4" w:name="_Hlt74649545"/>
      <w:bookmarkEnd w:id="4"/>
      <w:bookmarkStart w:id="5" w:name="_Hlt74728647"/>
      <w:bookmarkEnd w:id="5"/>
      <w:bookmarkStart w:id="6" w:name="_Hlt74707423"/>
      <w:bookmarkEnd w:id="6"/>
      <w:bookmarkStart w:id="7" w:name="_Toc91899870"/>
      <w:bookmarkStart w:id="8" w:name="_Toc91899871"/>
      <w:r>
        <w:rPr>
          <w:rFonts w:hint="eastAsia" w:ascii="仿宋" w:hAnsi="仿宋" w:eastAsia="仿宋" w:cs="仿宋"/>
          <w:b/>
          <w:color w:val="auto"/>
          <w:sz w:val="36"/>
          <w:szCs w:val="20"/>
          <w:highlight w:val="none"/>
        </w:rPr>
        <w:t>第一部分 招标公告</w:t>
      </w:r>
    </w:p>
    <w:p w14:paraId="229407D8">
      <w:pPr>
        <w:pBdr>
          <w:top w:val="single" w:color="auto" w:sz="4" w:space="1"/>
          <w:left w:val="single" w:color="auto" w:sz="4" w:space="4"/>
          <w:bottom w:val="single" w:color="auto" w:sz="4" w:space="1"/>
          <w:right w:val="single" w:color="auto" w:sz="4" w:space="4"/>
        </w:pBdr>
        <w:spacing w:line="3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23FDA9FC">
      <w:pPr>
        <w:pBdr>
          <w:top w:val="single" w:color="auto" w:sz="4" w:space="1"/>
          <w:left w:val="single" w:color="auto" w:sz="4" w:space="4"/>
          <w:bottom w:val="single" w:color="auto" w:sz="4" w:space="1"/>
          <w:right w:val="single" w:color="auto" w:sz="4" w:space="4"/>
        </w:pBdr>
        <w:spacing w:line="380" w:lineRule="exact"/>
        <w:ind w:firstLine="482" w:firstLineChars="200"/>
        <w:rPr>
          <w:rFonts w:hint="eastAsia" w:ascii="仿宋" w:hAnsi="仿宋" w:eastAsia="仿宋" w:cs="仿宋"/>
          <w:color w:val="auto"/>
          <w:sz w:val="24"/>
          <w:highlight w:val="none"/>
          <w:u w:val="single"/>
        </w:rPr>
      </w:pPr>
      <w:r>
        <w:rPr>
          <w:rFonts w:hint="eastAsia" w:ascii="仿宋" w:hAnsi="仿宋" w:eastAsia="仿宋" w:cs="仿宋"/>
          <w:b/>
          <w:bCs/>
          <w:color w:val="auto"/>
          <w:sz w:val="24"/>
          <w:highlight w:val="none"/>
          <w:u w:val="single"/>
        </w:rPr>
        <w:t>杭州市公安局上城区分局经侦大队专案审计项目</w:t>
      </w:r>
      <w:r>
        <w:rPr>
          <w:rFonts w:hint="eastAsia" w:ascii="仿宋" w:hAnsi="仿宋" w:eastAsia="仿宋" w:cs="仿宋"/>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https://www.zcygov.cn/）获取（下载）招标文件，并于2025年0</w:t>
      </w:r>
      <w:r>
        <w:rPr>
          <w:rStyle w:val="76"/>
          <w:rFonts w:hint="eastAsia" w:ascii="仿宋" w:hAnsi="仿宋" w:eastAsia="仿宋" w:cs="仿宋"/>
          <w:snapToGrid/>
          <w:color w:val="auto"/>
          <w:kern w:val="2"/>
          <w:sz w:val="24"/>
          <w:szCs w:val="24"/>
          <w:highlight w:val="none"/>
          <w:lang w:val="en-US" w:eastAsia="zh-CN"/>
        </w:rPr>
        <w:t>7</w:t>
      </w:r>
      <w:r>
        <w:rPr>
          <w:rStyle w:val="76"/>
          <w:rFonts w:hint="eastAsia" w:ascii="仿宋" w:hAnsi="仿宋" w:eastAsia="仿宋" w:cs="仿宋"/>
          <w:snapToGrid/>
          <w:color w:val="auto"/>
          <w:kern w:val="2"/>
          <w:sz w:val="24"/>
          <w:szCs w:val="24"/>
          <w:highlight w:val="none"/>
        </w:rPr>
        <w:t>月</w:t>
      </w:r>
      <w:r>
        <w:rPr>
          <w:rStyle w:val="76"/>
          <w:rFonts w:hint="eastAsia" w:ascii="仿宋" w:hAnsi="仿宋" w:eastAsia="仿宋" w:cs="仿宋"/>
          <w:snapToGrid/>
          <w:color w:val="auto"/>
          <w:kern w:val="2"/>
          <w:sz w:val="24"/>
          <w:szCs w:val="24"/>
          <w:highlight w:val="none"/>
          <w:lang w:val="en-US" w:eastAsia="zh-CN"/>
        </w:rPr>
        <w:t>22</w:t>
      </w:r>
      <w:r>
        <w:rPr>
          <w:rStyle w:val="76"/>
          <w:rFonts w:hint="eastAsia" w:ascii="仿宋" w:hAnsi="仿宋" w:eastAsia="仿宋" w:cs="仿宋"/>
          <w:snapToGrid/>
          <w:color w:val="auto"/>
          <w:kern w:val="2"/>
          <w:sz w:val="24"/>
          <w:szCs w:val="24"/>
          <w:highlight w:val="none"/>
        </w:rPr>
        <w:t>日</w:t>
      </w:r>
      <w:r>
        <w:rPr>
          <w:rStyle w:val="76"/>
          <w:rFonts w:hint="eastAsia" w:ascii="仿宋" w:hAnsi="仿宋" w:eastAsia="仿宋" w:cs="仿宋"/>
          <w:snapToGrid/>
          <w:color w:val="auto"/>
          <w:kern w:val="2"/>
          <w:sz w:val="24"/>
          <w:szCs w:val="24"/>
          <w:highlight w:val="none"/>
          <w:lang w:val="en-US" w:eastAsia="zh-CN"/>
        </w:rPr>
        <w:t>9</w:t>
      </w:r>
      <w:r>
        <w:rPr>
          <w:rStyle w:val="76"/>
          <w:rFonts w:hint="eastAsia" w:ascii="仿宋" w:hAnsi="仿宋" w:eastAsia="仿宋" w:cs="仿宋"/>
          <w:snapToGrid/>
          <w:color w:val="auto"/>
          <w:kern w:val="2"/>
          <w:sz w:val="24"/>
          <w:szCs w:val="24"/>
          <w:highlight w:val="none"/>
        </w:rPr>
        <w:t>点</w:t>
      </w:r>
      <w:r>
        <w:rPr>
          <w:rStyle w:val="76"/>
          <w:rFonts w:hint="eastAsia" w:ascii="仿宋" w:hAnsi="仿宋" w:eastAsia="仿宋" w:cs="仿宋"/>
          <w:snapToGrid/>
          <w:color w:val="auto"/>
          <w:kern w:val="2"/>
          <w:sz w:val="24"/>
          <w:szCs w:val="24"/>
          <w:highlight w:val="none"/>
          <w:lang w:val="en-US" w:eastAsia="zh-CN"/>
        </w:rPr>
        <w:t>0</w:t>
      </w:r>
      <w:r>
        <w:rPr>
          <w:rStyle w:val="76"/>
          <w:rFonts w:hint="eastAsia" w:ascii="仿宋" w:hAnsi="仿宋" w:eastAsia="仿宋" w:cs="仿宋"/>
          <w:snapToGrid/>
          <w:color w:val="auto"/>
          <w:kern w:val="2"/>
          <w:sz w:val="24"/>
          <w:szCs w:val="24"/>
          <w:highlight w:val="none"/>
        </w:rPr>
        <w:t>0分</w:t>
      </w:r>
      <w:r>
        <w:rPr>
          <w:rStyle w:val="76"/>
          <w:rFonts w:hint="eastAsia" w:ascii="仿宋" w:hAnsi="仿宋" w:eastAsia="仿宋" w:cs="仿宋"/>
          <w:bCs/>
          <w:snapToGrid/>
          <w:color w:val="auto"/>
          <w:kern w:val="2"/>
          <w:sz w:val="24"/>
          <w:szCs w:val="24"/>
          <w:highlight w:val="none"/>
        </w:rPr>
        <w:t>00秒</w:t>
      </w:r>
      <w:r>
        <w:rPr>
          <w:rStyle w:val="76"/>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556EEB15">
      <w:pPr>
        <w:adjustRightInd/>
        <w:spacing w:line="380" w:lineRule="exact"/>
        <w:jc w:val="left"/>
        <w:outlineLvl w:val="0"/>
        <w:rPr>
          <w:rFonts w:hint="eastAsia" w:ascii="仿宋" w:hAnsi="仿宋" w:eastAsia="仿宋" w:cs="仿宋"/>
          <w:b/>
          <w:color w:val="auto"/>
          <w:sz w:val="24"/>
          <w:szCs w:val="16"/>
          <w:highlight w:val="none"/>
        </w:rPr>
      </w:pPr>
      <w:r>
        <w:rPr>
          <w:rFonts w:hint="eastAsia" w:ascii="仿宋" w:hAnsi="仿宋" w:eastAsia="仿宋" w:cs="仿宋"/>
          <w:b/>
          <w:color w:val="auto"/>
          <w:sz w:val="24"/>
          <w:szCs w:val="16"/>
          <w:highlight w:val="none"/>
        </w:rPr>
        <w:t>一、项目基本情况</w:t>
      </w:r>
    </w:p>
    <w:p w14:paraId="1B3D69DC">
      <w:pPr>
        <w:spacing w:line="380" w:lineRule="exact"/>
        <w:ind w:firstLine="420"/>
        <w:rPr>
          <w:rFonts w:hint="default" w:ascii="仿宋" w:hAnsi="仿宋" w:eastAsia="仿宋" w:cs="仿宋"/>
          <w:color w:val="auto"/>
          <w:sz w:val="24"/>
          <w:highlight w:val="none"/>
          <w:lang w:val="en-US" w:eastAsia="zh-CN"/>
        </w:rPr>
      </w:pP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rPr>
        <w:t>ZJXR-SCGA2025-</w:t>
      </w:r>
      <w:r>
        <w:rPr>
          <w:rFonts w:hint="eastAsia" w:ascii="仿宋" w:hAnsi="仿宋" w:eastAsia="仿宋" w:cs="仿宋"/>
          <w:color w:val="auto"/>
          <w:sz w:val="24"/>
          <w:highlight w:val="none"/>
          <w:lang w:val="en-US" w:eastAsia="zh-CN"/>
        </w:rPr>
        <w:t>04</w:t>
      </w:r>
    </w:p>
    <w:p w14:paraId="1E12DF9C">
      <w:pPr>
        <w:spacing w:line="380" w:lineRule="exact"/>
        <w:ind w:firstLine="420"/>
        <w:rPr>
          <w:rFonts w:hint="eastAsia" w:ascii="仿宋" w:hAnsi="仿宋" w:eastAsia="仿宋" w:cs="仿宋"/>
          <w:color w:val="auto"/>
          <w:sz w:val="24"/>
          <w:highlight w:val="none"/>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rPr>
        <w:t xml:space="preserve">杭州市公安局上城区分局经侦大队专案审计项目 </w:t>
      </w:r>
    </w:p>
    <w:p w14:paraId="55193079">
      <w:pPr>
        <w:spacing w:line="3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ab/>
      </w:r>
      <w:r>
        <w:rPr>
          <w:rFonts w:hint="eastAsia" w:ascii="仿宋" w:hAnsi="仿宋" w:eastAsia="仿宋" w:cs="仿宋"/>
          <w:b/>
          <w:color w:val="auto"/>
          <w:sz w:val="24"/>
          <w:highlight w:val="none"/>
        </w:rPr>
        <w:t>预算金额（元）：</w:t>
      </w:r>
      <w:r>
        <w:rPr>
          <w:rFonts w:hint="eastAsia" w:ascii="仿宋" w:hAnsi="仿宋" w:eastAsia="仿宋" w:cs="仿宋"/>
          <w:color w:val="auto"/>
          <w:sz w:val="24"/>
          <w:highlight w:val="none"/>
          <w:lang w:val="en-US" w:eastAsia="zh-CN"/>
        </w:rPr>
        <w:t>40</w:t>
      </w:r>
      <w:r>
        <w:rPr>
          <w:rFonts w:hint="eastAsia" w:ascii="仿宋" w:hAnsi="仿宋" w:eastAsia="仿宋" w:cs="仿宋"/>
          <w:color w:val="auto"/>
          <w:sz w:val="24"/>
          <w:highlight w:val="none"/>
        </w:rPr>
        <w:t>00000.00 </w:t>
      </w:r>
    </w:p>
    <w:p w14:paraId="426572C4">
      <w:pPr>
        <w:spacing w:line="380" w:lineRule="exact"/>
        <w:ind w:firstLine="420"/>
        <w:rPr>
          <w:rFonts w:hint="eastAsia"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color w:val="auto"/>
          <w:sz w:val="24"/>
          <w:highlight w:val="none"/>
          <w:lang w:eastAsia="zh-CN"/>
        </w:rPr>
        <w:t>4000000</w:t>
      </w:r>
      <w:r>
        <w:rPr>
          <w:rFonts w:hint="eastAsia" w:ascii="仿宋" w:hAnsi="仿宋" w:eastAsia="仿宋" w:cs="仿宋"/>
          <w:color w:val="auto"/>
          <w:sz w:val="24"/>
          <w:highlight w:val="none"/>
        </w:rPr>
        <w:t>.00 </w:t>
      </w:r>
    </w:p>
    <w:p w14:paraId="48F096C1">
      <w:pPr>
        <w:spacing w:line="380" w:lineRule="exact"/>
        <w:ind w:firstLine="420"/>
        <w:rPr>
          <w:rFonts w:hint="eastAsia" w:ascii="仿宋" w:hAnsi="仿宋" w:eastAsia="仿宋" w:cs="仿宋"/>
          <w:color w:val="auto"/>
          <w:sz w:val="24"/>
          <w:highlight w:val="none"/>
        </w:rPr>
      </w:pPr>
      <w:r>
        <w:rPr>
          <w:rFonts w:hint="eastAsia" w:ascii="仿宋" w:hAnsi="仿宋" w:eastAsia="仿宋" w:cs="仿宋"/>
          <w:b/>
          <w:color w:val="auto"/>
          <w:sz w:val="24"/>
          <w:highlight w:val="none"/>
        </w:rPr>
        <w:t>采购需求：</w:t>
      </w:r>
      <w:r>
        <w:rPr>
          <w:rFonts w:hint="eastAsia" w:ascii="仿宋" w:hAnsi="仿宋" w:eastAsia="仿宋" w:cs="仿宋"/>
          <w:color w:val="auto"/>
          <w:sz w:val="24"/>
          <w:highlight w:val="none"/>
        </w:rPr>
        <w:t xml:space="preserve">杭州市公安局上城区分局经侦大队专案审计项目 </w:t>
      </w:r>
      <w:r>
        <w:rPr>
          <w:rFonts w:hint="eastAsia" w:ascii="仿宋" w:hAnsi="仿宋" w:eastAsia="仿宋" w:cs="仿宋"/>
          <w:bCs/>
          <w:color w:val="auto"/>
          <w:sz w:val="24"/>
          <w:highlight w:val="none"/>
        </w:rPr>
        <w:t>主要内容：对某公司及其关联公司非法集资的情况进行全面审计，根据采购人工作安排，遵守相关保密制度，对案件的涉案交易情况、平台电子数据、相关合同资料、资金明细、财务数据等证据材料进行司法审计，并出具司法审计报告。</w:t>
      </w:r>
      <w:r>
        <w:rPr>
          <w:rFonts w:hint="eastAsia" w:ascii="仿宋" w:hAnsi="仿宋" w:eastAsia="仿宋" w:cs="仿宋"/>
          <w:color w:val="auto"/>
          <w:sz w:val="24"/>
          <w:highlight w:val="none"/>
        </w:rPr>
        <w:t>具体以招标文件第三部分采购需求为准，供应商可点击本公告下方“浏览采购文件”查看采购需求。</w:t>
      </w:r>
    </w:p>
    <w:p w14:paraId="50D443E0">
      <w:pPr>
        <w:spacing w:line="380" w:lineRule="exact"/>
        <w:ind w:firstLine="420"/>
        <w:rPr>
          <w:rFonts w:hint="eastAsia" w:ascii="仿宋" w:hAnsi="仿宋" w:eastAsia="仿宋" w:cs="仿宋"/>
          <w:color w:val="auto"/>
          <w:sz w:val="24"/>
          <w:highlight w:val="none"/>
        </w:rPr>
      </w:pPr>
      <w:r>
        <w:rPr>
          <w:rFonts w:hint="eastAsia" w:ascii="仿宋" w:hAnsi="仿宋" w:eastAsia="仿宋" w:cs="仿宋"/>
          <w:b/>
          <w:color w:val="auto"/>
          <w:sz w:val="24"/>
          <w:highlight w:val="none"/>
        </w:rPr>
        <w:t>合同履约期限：</w:t>
      </w:r>
      <w:r>
        <w:rPr>
          <w:rFonts w:hint="eastAsia" w:ascii="仿宋" w:hAnsi="仿宋" w:eastAsia="仿宋" w:cs="仿宋"/>
          <w:color w:val="auto"/>
          <w:sz w:val="24"/>
          <w:highlight w:val="none"/>
        </w:rPr>
        <w:t>合同签订后3个月内出具审计报告，具体以招标文件第三部分采购需求为准。</w:t>
      </w:r>
    </w:p>
    <w:p w14:paraId="7A3CD970">
      <w:pPr>
        <w:spacing w:line="380" w:lineRule="exact"/>
        <w:ind w:firstLine="420"/>
        <w:rPr>
          <w:rFonts w:hint="eastAsia" w:ascii="仿宋" w:hAnsi="仿宋" w:eastAsia="仿宋" w:cs="仿宋"/>
          <w:b/>
          <w:color w:val="auto"/>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color w:val="auto"/>
            <w:kern w:val="0"/>
            <w:sz w:val="24"/>
            <w:highlight w:val="none"/>
          </w:rPr>
          <w:id w:val="-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ascii="MS Gothic" w:hAnsi="MS Gothic" w:eastAsia="MS Gothic" w:cs="仿宋"/>
              <w:color w:val="auto"/>
              <w:kern w:val="0"/>
              <w:sz w:val="24"/>
              <w:szCs w:val="24"/>
              <w:highlight w:val="none"/>
              <w:lang w:val="en-US" w:eastAsia="zh-CN" w:bidi="ar-SA"/>
            </w:rPr>
            <w:t>☐</w:t>
          </w:r>
        </w:sdtContent>
      </w:sdt>
      <w:r>
        <w:rPr>
          <w:rFonts w:hint="eastAsia" w:ascii="仿宋" w:hAnsi="仿宋" w:eastAsia="仿宋" w:cs="仿宋"/>
          <w:b/>
          <w:color w:val="auto"/>
          <w:sz w:val="24"/>
          <w:highlight w:val="none"/>
        </w:rPr>
        <w:t>是；</w:t>
      </w:r>
      <w:sdt>
        <w:sdtPr>
          <w:rPr>
            <w:rFonts w:hint="eastAsia" w:ascii="仿宋" w:hAnsi="仿宋" w:eastAsia="仿宋" w:cs="仿宋"/>
            <w:color w:val="auto"/>
            <w:kern w:val="0"/>
            <w:sz w:val="24"/>
            <w:highlight w:val="none"/>
          </w:rPr>
          <w:id w:val="747548208"/>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0B6EA191">
      <w:pPr>
        <w:adjustRightInd/>
        <w:spacing w:line="380" w:lineRule="exact"/>
        <w:jc w:val="left"/>
        <w:outlineLvl w:val="0"/>
        <w:rPr>
          <w:rFonts w:hint="eastAsia" w:ascii="仿宋" w:hAnsi="仿宋" w:eastAsia="仿宋" w:cs="仿宋"/>
          <w:b/>
          <w:color w:val="auto"/>
          <w:sz w:val="24"/>
          <w:szCs w:val="16"/>
          <w:highlight w:val="none"/>
        </w:rPr>
      </w:pPr>
      <w:r>
        <w:rPr>
          <w:rFonts w:hint="eastAsia" w:ascii="仿宋" w:hAnsi="仿宋" w:eastAsia="仿宋" w:cs="仿宋"/>
          <w:b/>
          <w:color w:val="auto"/>
          <w:sz w:val="24"/>
          <w:szCs w:val="16"/>
          <w:highlight w:val="none"/>
        </w:rPr>
        <w:t>二、申请人的资格要求：</w:t>
      </w:r>
    </w:p>
    <w:p w14:paraId="2E38DF2A">
      <w:pPr>
        <w:spacing w:line="380" w:lineRule="exact"/>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56D61D88">
      <w:pPr>
        <w:spacing w:line="380" w:lineRule="exact"/>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2.以联合体形式投标的，提供联合协议(本项目不接受联合体投标或者投标人不以联合体形式投标的，则不需要提供)；</w:t>
      </w:r>
    </w:p>
    <w:p w14:paraId="6F37CAFC">
      <w:pPr>
        <w:spacing w:line="380" w:lineRule="exact"/>
        <w:ind w:firstLine="480" w:firstLineChars="200"/>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4A732AEB">
      <w:pPr>
        <w:spacing w:line="380" w:lineRule="exact"/>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597832300"/>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3F425F80">
      <w:pPr>
        <w:spacing w:line="380" w:lineRule="exact"/>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41445526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sz w:val="24"/>
          <w:highlight w:val="none"/>
        </w:rPr>
        <w:t>服务全部由符合政策要求的中小企业承接，提供中小企业声明函；</w:t>
      </w:r>
    </w:p>
    <w:p w14:paraId="70567B14">
      <w:pPr>
        <w:snapToGrid w:val="0"/>
        <w:spacing w:line="3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p>
    <w:p w14:paraId="40BC9657">
      <w:pPr>
        <w:snapToGrid w:val="0"/>
        <w:spacing w:line="380" w:lineRule="exact"/>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6646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无。</w:t>
      </w:r>
    </w:p>
    <w:p w14:paraId="1DE06CFC">
      <w:pPr>
        <w:snapToGrid w:val="0"/>
        <w:spacing w:line="3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5C1D02B">
      <w:pPr>
        <w:adjustRightInd/>
        <w:spacing w:line="380" w:lineRule="exact"/>
        <w:jc w:val="left"/>
        <w:outlineLvl w:val="0"/>
        <w:rPr>
          <w:rFonts w:hint="eastAsia" w:ascii="仿宋" w:hAnsi="仿宋" w:eastAsia="仿宋" w:cs="仿宋"/>
          <w:b/>
          <w:color w:val="auto"/>
          <w:sz w:val="24"/>
          <w:szCs w:val="16"/>
          <w:highlight w:val="none"/>
        </w:rPr>
      </w:pPr>
      <w:r>
        <w:rPr>
          <w:rFonts w:hint="eastAsia" w:ascii="仿宋" w:hAnsi="仿宋" w:eastAsia="仿宋" w:cs="仿宋"/>
          <w:b/>
          <w:color w:val="auto"/>
          <w:sz w:val="24"/>
          <w:szCs w:val="16"/>
          <w:highlight w:val="none"/>
        </w:rPr>
        <w:t>三、获取招标文件</w:t>
      </w:r>
    </w:p>
    <w:p w14:paraId="375BEC8B">
      <w:pPr>
        <w:spacing w:line="380" w:lineRule="exact"/>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2025年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22</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，每天上午00:00至12:00，下午12:00至23:59（北京时间，线上获取法定节假日均可，线下获取文件法定节假日除外）</w:t>
      </w:r>
    </w:p>
    <w:p w14:paraId="5C8E720D">
      <w:pPr>
        <w:spacing w:line="380" w:lineRule="exact"/>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政采云平台（https://www.zcygov.cn/）</w:t>
      </w:r>
    </w:p>
    <w:p w14:paraId="5FBA4998">
      <w:pPr>
        <w:spacing w:line="380" w:lineRule="exact"/>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供应商登录政采云平台https://www.zcygov.cn/在线申请获取采购文件（进入“项目采购”应用，在获取采购文件菜单中选择项目，申请获取采购文件）。</w:t>
      </w:r>
    </w:p>
    <w:p w14:paraId="08A62324">
      <w:pPr>
        <w:spacing w:line="380" w:lineRule="exact"/>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0</w:t>
      </w:r>
    </w:p>
    <w:p w14:paraId="689EC42A">
      <w:pPr>
        <w:adjustRightInd/>
        <w:spacing w:line="380" w:lineRule="exact"/>
        <w:jc w:val="left"/>
        <w:outlineLvl w:val="0"/>
        <w:rPr>
          <w:rFonts w:hint="eastAsia" w:ascii="仿宋" w:hAnsi="仿宋" w:eastAsia="仿宋" w:cs="仿宋"/>
          <w:b/>
          <w:color w:val="auto"/>
          <w:sz w:val="24"/>
          <w:szCs w:val="16"/>
          <w:highlight w:val="none"/>
        </w:rPr>
      </w:pPr>
      <w:r>
        <w:rPr>
          <w:rFonts w:hint="eastAsia" w:ascii="仿宋" w:hAnsi="仿宋" w:eastAsia="仿宋" w:cs="仿宋"/>
          <w:b/>
          <w:color w:val="auto"/>
          <w:sz w:val="24"/>
          <w:szCs w:val="16"/>
          <w:highlight w:val="none"/>
        </w:rPr>
        <w:t>四、提交投标文件截止时间、开标时间和地点</w:t>
      </w:r>
    </w:p>
    <w:p w14:paraId="2DD85FEB">
      <w:pPr>
        <w:spacing w:line="380" w:lineRule="exact"/>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2025年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22</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w:t>
      </w:r>
      <w:r>
        <w:rPr>
          <w:rFonts w:hint="eastAsia" w:ascii="仿宋" w:hAnsi="仿宋" w:eastAsia="仿宋" w:cs="仿宋"/>
          <w:color w:val="auto"/>
          <w:sz w:val="24"/>
          <w:highlight w:val="none"/>
          <w:u w:val="single"/>
        </w:rPr>
        <w:t>0分00秒</w:t>
      </w:r>
      <w:r>
        <w:rPr>
          <w:rFonts w:hint="eastAsia" w:ascii="仿宋" w:hAnsi="仿宋" w:eastAsia="仿宋" w:cs="仿宋"/>
          <w:color w:val="auto"/>
          <w:sz w:val="24"/>
          <w:highlight w:val="none"/>
        </w:rPr>
        <w:t>（北京时间）</w:t>
      </w:r>
    </w:p>
    <w:p w14:paraId="60E479FC">
      <w:pPr>
        <w:spacing w:line="380" w:lineRule="exact"/>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政采云平台（https://www.zcygov.cn/）</w:t>
      </w:r>
    </w:p>
    <w:p w14:paraId="38289A8E">
      <w:pPr>
        <w:spacing w:line="380" w:lineRule="exact"/>
        <w:ind w:firstLine="482" w:firstLineChars="20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2025年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22</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w:t>
      </w:r>
      <w:r>
        <w:rPr>
          <w:rFonts w:hint="eastAsia" w:ascii="仿宋" w:hAnsi="仿宋" w:eastAsia="仿宋" w:cs="仿宋"/>
          <w:color w:val="auto"/>
          <w:sz w:val="24"/>
          <w:highlight w:val="none"/>
          <w:u w:val="single"/>
        </w:rPr>
        <w:t>0分00秒</w:t>
      </w:r>
    </w:p>
    <w:p w14:paraId="08BE038B">
      <w:pPr>
        <w:spacing w:line="380" w:lineRule="exact"/>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7C9AA9AF">
      <w:pPr>
        <w:adjustRightInd/>
        <w:spacing w:line="380" w:lineRule="exact"/>
        <w:jc w:val="left"/>
        <w:outlineLvl w:val="0"/>
        <w:rPr>
          <w:rFonts w:hint="eastAsia" w:ascii="仿宋" w:hAnsi="仿宋" w:eastAsia="仿宋" w:cs="仿宋"/>
          <w:b/>
          <w:color w:val="auto"/>
          <w:sz w:val="24"/>
          <w:szCs w:val="16"/>
          <w:highlight w:val="none"/>
        </w:rPr>
      </w:pPr>
      <w:r>
        <w:rPr>
          <w:rFonts w:hint="eastAsia" w:ascii="仿宋" w:hAnsi="仿宋" w:eastAsia="仿宋" w:cs="仿宋"/>
          <w:b/>
          <w:color w:val="auto"/>
          <w:sz w:val="24"/>
          <w:szCs w:val="16"/>
          <w:highlight w:val="none"/>
        </w:rPr>
        <w:t>五、公告期限</w:t>
      </w:r>
    </w:p>
    <w:p w14:paraId="546C95A2">
      <w:pPr>
        <w:spacing w:line="3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64B559D1">
      <w:pPr>
        <w:adjustRightInd/>
        <w:spacing w:line="380" w:lineRule="exact"/>
        <w:jc w:val="left"/>
        <w:outlineLvl w:val="0"/>
        <w:rPr>
          <w:rFonts w:hint="eastAsia" w:ascii="仿宋" w:hAnsi="仿宋" w:eastAsia="仿宋" w:cs="仿宋"/>
          <w:b/>
          <w:color w:val="auto"/>
          <w:sz w:val="24"/>
          <w:szCs w:val="16"/>
          <w:highlight w:val="none"/>
        </w:rPr>
      </w:pPr>
      <w:r>
        <w:rPr>
          <w:rFonts w:hint="eastAsia" w:ascii="仿宋" w:hAnsi="仿宋" w:eastAsia="仿宋" w:cs="仿宋"/>
          <w:b/>
          <w:color w:val="auto"/>
          <w:sz w:val="24"/>
          <w:szCs w:val="16"/>
          <w:highlight w:val="none"/>
        </w:rPr>
        <w:t>六、其他补充事宜</w:t>
      </w:r>
    </w:p>
    <w:p w14:paraId="1C438B55">
      <w:pPr>
        <w:spacing w:line="3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6644FEA3">
      <w:pPr>
        <w:spacing w:line="3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FE9AD58">
      <w:pPr>
        <w:spacing w:line="3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2AC0C05">
      <w:pPr>
        <w:spacing w:line="3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D55E9D1">
      <w:pPr>
        <w:adjustRightInd/>
        <w:spacing w:line="380" w:lineRule="exact"/>
        <w:jc w:val="left"/>
        <w:outlineLvl w:val="0"/>
        <w:rPr>
          <w:rFonts w:hint="eastAsia" w:ascii="仿宋" w:hAnsi="仿宋" w:eastAsia="仿宋" w:cs="仿宋"/>
          <w:b/>
          <w:color w:val="auto"/>
          <w:sz w:val="24"/>
          <w:szCs w:val="16"/>
          <w:highlight w:val="none"/>
        </w:rPr>
      </w:pPr>
      <w:r>
        <w:rPr>
          <w:rFonts w:hint="eastAsia" w:ascii="仿宋" w:hAnsi="仿宋" w:eastAsia="仿宋" w:cs="仿宋"/>
          <w:b/>
          <w:color w:val="auto"/>
          <w:sz w:val="24"/>
          <w:szCs w:val="16"/>
          <w:highlight w:val="none"/>
        </w:rPr>
        <w:t>七、对本次采购提出询问、质疑、投诉，请按以下方式联系</w:t>
      </w:r>
    </w:p>
    <w:p w14:paraId="43F7D423">
      <w:pPr>
        <w:spacing w:line="380" w:lineRule="exact"/>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1.采购人信息</w:t>
      </w:r>
    </w:p>
    <w:p w14:paraId="15921B0F">
      <w:pPr>
        <w:spacing w:line="380" w:lineRule="exact"/>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称：杭州市公安局上城区分局</w:t>
      </w:r>
    </w:p>
    <w:p w14:paraId="2124C7D9">
      <w:pPr>
        <w:spacing w:line="380" w:lineRule="exact"/>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址：杭州市上城区候潮东路175号</w:t>
      </w:r>
    </w:p>
    <w:p w14:paraId="1B13888E">
      <w:pPr>
        <w:spacing w:line="380" w:lineRule="exact"/>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w:t>
      </w:r>
    </w:p>
    <w:p w14:paraId="576A7651">
      <w:pPr>
        <w:spacing w:line="380" w:lineRule="exact"/>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项目联系人（询问）：钟警官</w:t>
      </w:r>
    </w:p>
    <w:p w14:paraId="2A49ED40">
      <w:pPr>
        <w:spacing w:line="380" w:lineRule="exact"/>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项目联系方式（询问）：13588815240</w:t>
      </w:r>
    </w:p>
    <w:p w14:paraId="711F7256">
      <w:pPr>
        <w:spacing w:line="380" w:lineRule="exact"/>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质疑联系人：裘主任</w:t>
      </w:r>
    </w:p>
    <w:p w14:paraId="5E722F06">
      <w:pPr>
        <w:spacing w:line="380" w:lineRule="exact"/>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质疑联系方式：13606709884（请通过以下路径在线提起质疑：政采云-项目采购-询问质疑投诉-质疑列表）</w:t>
      </w:r>
    </w:p>
    <w:p w14:paraId="5D82D4AA">
      <w:pPr>
        <w:spacing w:line="380" w:lineRule="exact"/>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2.采购代理机构信息</w:t>
      </w:r>
    </w:p>
    <w:p w14:paraId="7F2575A4">
      <w:pPr>
        <w:spacing w:line="380" w:lineRule="exact"/>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称：浙江鑫润工程管理有限公司</w:t>
      </w:r>
    </w:p>
    <w:p w14:paraId="5B1F0665">
      <w:pPr>
        <w:spacing w:line="380" w:lineRule="exact"/>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址：杭州市上城区市民街69号民林金融中心B座5楼</w:t>
      </w:r>
    </w:p>
    <w:p w14:paraId="5045273C">
      <w:pPr>
        <w:spacing w:line="380" w:lineRule="exact"/>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w:t>
      </w:r>
    </w:p>
    <w:p w14:paraId="07FEFAC6">
      <w:pPr>
        <w:spacing w:line="380" w:lineRule="exact"/>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项目联系人（询问）：方锐</w:t>
      </w:r>
    </w:p>
    <w:p w14:paraId="5BE72677">
      <w:pPr>
        <w:spacing w:line="380" w:lineRule="exact"/>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项目联系方式（询问）：18258914900</w:t>
      </w:r>
    </w:p>
    <w:p w14:paraId="4DBB8756">
      <w:pPr>
        <w:spacing w:line="380" w:lineRule="exact"/>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质疑联系人：周小丽</w:t>
      </w:r>
    </w:p>
    <w:p w14:paraId="2E43BB7F">
      <w:pPr>
        <w:spacing w:line="380" w:lineRule="exact"/>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质疑联系方式：13867156431（请通过以下路径在线提起质疑：政采云-项目采购-询问质疑投诉-质疑列表）</w:t>
      </w:r>
    </w:p>
    <w:p w14:paraId="777CB506">
      <w:pPr>
        <w:spacing w:line="380" w:lineRule="exact"/>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3.同级政府采购监督管理部门</w:t>
      </w:r>
    </w:p>
    <w:p w14:paraId="0639A8BC">
      <w:pPr>
        <w:spacing w:line="380" w:lineRule="exact"/>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称：杭州市上城区财政局/浙江省政府采购行政裁决服务中心（杭州）</w:t>
      </w:r>
    </w:p>
    <w:p w14:paraId="6D0AEA05">
      <w:pPr>
        <w:spacing w:line="380" w:lineRule="exact"/>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址：杭州市上城区清泰街549号城建综合大楼11楼（快递仅限ems或顺丰）</w:t>
      </w:r>
    </w:p>
    <w:p w14:paraId="56C0A4B8">
      <w:pPr>
        <w:spacing w:line="380" w:lineRule="exact"/>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w:t>
      </w:r>
    </w:p>
    <w:p w14:paraId="377C1E0E">
      <w:pPr>
        <w:spacing w:line="380" w:lineRule="exact"/>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rPr>
        <w:t>王老师</w:t>
      </w:r>
    </w:p>
    <w:p w14:paraId="2F99D88D">
      <w:pPr>
        <w:spacing w:line="380" w:lineRule="exact"/>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w:t>
      </w:r>
      <w:r>
        <w:rPr>
          <w:rFonts w:hint="eastAsia" w:ascii="仿宋" w:hAnsi="仿宋" w:eastAsia="仿宋" w:cs="仿宋"/>
          <w:color w:val="auto"/>
          <w:sz w:val="24"/>
          <w:highlight w:val="none"/>
        </w:rPr>
        <w:t>0571-87227671</w:t>
      </w:r>
    </w:p>
    <w:p w14:paraId="3C156E6B">
      <w:pPr>
        <w:spacing w:line="380" w:lineRule="exact"/>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政策咨询电话：沈先生、陈先生，0571-89580457、0571-89580460 政府采购监管部门工作人员</w:t>
      </w:r>
    </w:p>
    <w:p w14:paraId="1D39C681">
      <w:pPr>
        <w:spacing w:line="380" w:lineRule="exact"/>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4C810F37">
      <w:pPr>
        <w:spacing w:line="3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0E318E58">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1E2E85E3">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 投标人须知</w:t>
      </w:r>
      <w:bookmarkEnd w:id="7"/>
    </w:p>
    <w:p w14:paraId="79D3069D">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4DA3E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6" w:hRule="atLeast"/>
          <w:tblHeader/>
        </w:trPr>
        <w:tc>
          <w:tcPr>
            <w:tcW w:w="629" w:type="dxa"/>
            <w:vAlign w:val="center"/>
          </w:tcPr>
          <w:p w14:paraId="2FB1BB3C">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vAlign w:val="center"/>
          </w:tcPr>
          <w:p w14:paraId="5068AC8F">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vAlign w:val="center"/>
          </w:tcPr>
          <w:p w14:paraId="5AB0D9E4">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6DECA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3" w:hRule="atLeast"/>
          <w:tblHeader/>
        </w:trPr>
        <w:tc>
          <w:tcPr>
            <w:tcW w:w="629" w:type="dxa"/>
            <w:vAlign w:val="center"/>
          </w:tcPr>
          <w:p w14:paraId="24046E39">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vAlign w:val="center"/>
          </w:tcPr>
          <w:p w14:paraId="59054A5C">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095" w:type="dxa"/>
            <w:vAlign w:val="center"/>
          </w:tcPr>
          <w:p w14:paraId="3B029A77">
            <w:pPr>
              <w:rPr>
                <w:rFonts w:hint="eastAsia"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2B17E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2B05B48A">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vAlign w:val="center"/>
          </w:tcPr>
          <w:p w14:paraId="14EBD74B">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095" w:type="dxa"/>
            <w:vAlign w:val="center"/>
          </w:tcPr>
          <w:p w14:paraId="36AF24D3">
            <w:pPr>
              <w:snapToGrid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（1）标的：</w:t>
            </w:r>
            <w:r>
              <w:rPr>
                <w:rFonts w:hint="eastAsia" w:ascii="仿宋" w:hAnsi="仿宋" w:eastAsia="仿宋" w:cs="仿宋"/>
                <w:b/>
                <w:bCs/>
                <w:color w:val="auto"/>
                <w:sz w:val="24"/>
                <w:highlight w:val="none"/>
                <w:u w:val="single"/>
              </w:rPr>
              <w:t xml:space="preserve">杭州市公安局上城区分局经侦大队专案审计项目 </w:t>
            </w:r>
            <w:r>
              <w:rPr>
                <w:rFonts w:hint="eastAsia" w:ascii="仿宋" w:hAnsi="仿宋" w:eastAsia="仿宋" w:cs="仿宋"/>
                <w:color w:val="auto"/>
                <w:kern w:val="0"/>
                <w:sz w:val="24"/>
                <w:highlight w:val="none"/>
              </w:rPr>
              <w:t>，属于</w:t>
            </w:r>
            <w:r>
              <w:rPr>
                <w:rFonts w:hint="eastAsia" w:ascii="仿宋" w:hAnsi="仿宋" w:eastAsia="仿宋" w:cs="仿宋"/>
                <w:color w:val="auto"/>
                <w:spacing w:val="-106"/>
                <w:sz w:val="24"/>
                <w:highlight w:val="none"/>
              </w:rPr>
              <w:t xml:space="preserve"> </w:t>
            </w:r>
            <w:r>
              <w:rPr>
                <w:rFonts w:hint="eastAsia" w:ascii="仿宋" w:hAnsi="仿宋" w:eastAsia="仿宋" w:cs="仿宋"/>
                <w:color w:val="auto"/>
                <w:spacing w:val="-109"/>
                <w:sz w:val="24"/>
                <w:highlight w:val="none"/>
                <w:u w:val="single"/>
              </w:rPr>
              <w:t xml:space="preserve"> </w:t>
            </w:r>
            <w:r>
              <w:rPr>
                <w:rFonts w:hint="eastAsia" w:ascii="仿宋" w:hAnsi="仿宋" w:eastAsia="仿宋" w:cs="仿宋"/>
                <w:b/>
                <w:bCs/>
                <w:color w:val="auto"/>
                <w:sz w:val="24"/>
                <w:highlight w:val="none"/>
                <w:u w:val="single"/>
              </w:rPr>
              <w:t>其他未列明</w:t>
            </w:r>
            <w:r>
              <w:rPr>
                <w:rFonts w:hint="eastAsia" w:ascii="仿宋" w:hAnsi="仿宋" w:eastAsia="仿宋" w:cs="仿宋"/>
                <w:color w:val="auto"/>
                <w:kern w:val="0"/>
                <w:sz w:val="24"/>
                <w:highlight w:val="none"/>
              </w:rPr>
              <w:t>行业；</w:t>
            </w:r>
          </w:p>
          <w:p w14:paraId="78247E8D">
            <w:pPr>
              <w:snapToGrid w:val="0"/>
              <w:rPr>
                <w:rFonts w:hint="eastAsia" w:ascii="仿宋" w:hAnsi="仿宋" w:eastAsia="仿宋" w:cs="仿宋"/>
                <w:color w:val="auto"/>
                <w:highlight w:val="none"/>
              </w:rPr>
            </w:pPr>
            <w:r>
              <w:rPr>
                <w:rFonts w:hint="eastAsia" w:ascii="仿宋" w:hAnsi="仿宋" w:eastAsia="仿宋" w:cs="仿宋"/>
                <w:color w:val="auto"/>
                <w:kern w:val="0"/>
                <w:sz w:val="24"/>
                <w:highlight w:val="none"/>
              </w:rPr>
              <w:t>根据《关于印发中小企业划型标准规定的通知》（工信部联企业〔2011〕300号）第四条</w:t>
            </w:r>
            <w:r>
              <w:rPr>
                <w:rFonts w:hint="eastAsia" w:ascii="仿宋" w:hAnsi="仿宋" w:eastAsia="仿宋" w:cs="仿宋"/>
                <w:color w:val="auto"/>
                <w:sz w:val="24"/>
                <w:highlight w:val="none"/>
              </w:rPr>
              <w:t>第（十六）项</w:t>
            </w:r>
            <w:r>
              <w:rPr>
                <w:rFonts w:hint="eastAsia" w:ascii="仿宋" w:hAnsi="仿宋" w:eastAsia="仿宋" w:cs="仿宋"/>
                <w:color w:val="auto"/>
                <w:spacing w:val="-1"/>
                <w:sz w:val="24"/>
                <w:highlight w:val="none"/>
              </w:rPr>
              <w:t>规定：</w:t>
            </w:r>
            <w:r>
              <w:rPr>
                <w:rFonts w:hint="eastAsia" w:ascii="仿宋" w:hAnsi="仿宋" w:eastAsia="仿宋" w:cs="仿宋"/>
                <w:color w:val="auto"/>
                <w:spacing w:val="-106"/>
                <w:sz w:val="24"/>
                <w:highlight w:val="none"/>
              </w:rPr>
              <w:t xml:space="preserve"> </w:t>
            </w:r>
            <w:r>
              <w:rPr>
                <w:rFonts w:hint="eastAsia" w:ascii="仿宋" w:hAnsi="仿宋" w:eastAsia="仿宋" w:cs="仿宋"/>
                <w:color w:val="auto"/>
                <w:spacing w:val="-109"/>
                <w:sz w:val="24"/>
                <w:highlight w:val="none"/>
                <w:u w:val="single"/>
              </w:rPr>
              <w:t xml:space="preserve"> </w:t>
            </w:r>
            <w:r>
              <w:rPr>
                <w:rFonts w:hint="eastAsia" w:ascii="仿宋" w:hAnsi="仿宋" w:eastAsia="仿宋" w:cs="仿宋"/>
                <w:b/>
                <w:bCs/>
                <w:color w:val="auto"/>
                <w:sz w:val="24"/>
                <w:highlight w:val="none"/>
                <w:u w:val="single"/>
              </w:rPr>
              <w:t>其他未列明</w:t>
            </w:r>
            <w:r>
              <w:rPr>
                <w:rFonts w:hint="eastAsia" w:ascii="仿宋" w:hAnsi="仿宋" w:eastAsia="仿宋" w:cs="仿宋"/>
                <w:color w:val="auto"/>
                <w:spacing w:val="-2"/>
                <w:sz w:val="24"/>
                <w:highlight w:val="none"/>
              </w:rPr>
              <w:t>行业，</w:t>
            </w:r>
            <w:r>
              <w:rPr>
                <w:rFonts w:hint="eastAsia" w:ascii="仿宋" w:hAnsi="仿宋" w:eastAsia="仿宋" w:cs="仿宋"/>
                <w:color w:val="auto"/>
                <w:kern w:val="0"/>
                <w:sz w:val="24"/>
                <w:highlight w:val="none"/>
              </w:rPr>
              <w:t>从业人员300人以下的为中小微型企业。其中，从业人员100人及以上的为中型企业；从业人员10人及以上的为小型企业；从业人员10人以下的为微型企业。</w:t>
            </w:r>
          </w:p>
        </w:tc>
      </w:tr>
      <w:tr w14:paraId="11ED8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39" w:hRule="atLeast"/>
          <w:tblHeader/>
        </w:trPr>
        <w:tc>
          <w:tcPr>
            <w:tcW w:w="629" w:type="dxa"/>
            <w:vAlign w:val="center"/>
          </w:tcPr>
          <w:p w14:paraId="4F18F224">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vAlign w:val="center"/>
          </w:tcPr>
          <w:p w14:paraId="0B0E245A">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vAlign w:val="center"/>
          </w:tcPr>
          <w:p w14:paraId="389538EF">
            <w:pPr>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2925301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本项目不允许采购进口产品。</w:t>
            </w:r>
          </w:p>
          <w:p w14:paraId="4FB5F10E">
            <w:pPr>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45069696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rPr>
              <w:t>采购进口产品。</w:t>
            </w:r>
          </w:p>
        </w:tc>
      </w:tr>
      <w:tr w14:paraId="35090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17" w:hRule="atLeast"/>
          <w:tblHeader/>
        </w:trPr>
        <w:tc>
          <w:tcPr>
            <w:tcW w:w="629" w:type="dxa"/>
            <w:vAlign w:val="center"/>
          </w:tcPr>
          <w:p w14:paraId="5FE6F20B">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vAlign w:val="center"/>
          </w:tcPr>
          <w:p w14:paraId="39E07945">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vAlign w:val="center"/>
          </w:tcPr>
          <w:p w14:paraId="208AFFA3">
            <w:pPr>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52335488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MS Gothic"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部分    </w:t>
            </w:r>
            <w:r>
              <w:rPr>
                <w:rFonts w:hint="eastAsia" w:ascii="仿宋" w:hAnsi="仿宋" w:eastAsia="仿宋" w:cs="仿宋"/>
                <w:color w:val="auto"/>
                <w:sz w:val="24"/>
                <w:highlight w:val="none"/>
              </w:rPr>
              <w:t>工作分包。</w:t>
            </w:r>
            <w:sdt>
              <w:sdtPr>
                <w:rPr>
                  <w:rFonts w:hint="eastAsia" w:ascii="仿宋" w:hAnsi="仿宋" w:eastAsia="仿宋" w:cs="仿宋"/>
                  <w:color w:val="auto"/>
                  <w:kern w:val="0"/>
                  <w:sz w:val="24"/>
                  <w:highlight w:val="none"/>
                </w:rPr>
                <w:id w:val="-115383739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不同意分包。</w:t>
            </w:r>
          </w:p>
          <w:p w14:paraId="567DD95F">
            <w:pPr>
              <w:rPr>
                <w:rFonts w:hint="eastAsia"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14:paraId="459BE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45" w:hRule="atLeast"/>
          <w:tblHeader/>
        </w:trPr>
        <w:tc>
          <w:tcPr>
            <w:tcW w:w="629" w:type="dxa"/>
            <w:vAlign w:val="center"/>
          </w:tcPr>
          <w:p w14:paraId="364FFE4B">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vAlign w:val="center"/>
          </w:tcPr>
          <w:p w14:paraId="35DB58BD">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vAlign w:val="center"/>
          </w:tcPr>
          <w:p w14:paraId="53366F8E">
            <w:pPr>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59050313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highlight w:val="none"/>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6A6269DC">
            <w:pPr>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19507832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szCs w:val="20"/>
                <w:highlight w:val="none"/>
              </w:rPr>
              <w:t>。</w:t>
            </w:r>
          </w:p>
          <w:p w14:paraId="5C83FD81">
            <w:pPr>
              <w:pStyle w:val="81"/>
              <w:spacing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☐C不统一组织，供应商在获取采购文件后，自行至项目现场考察。地点：</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szCs w:val="24"/>
                <w:highlight w:val="none"/>
              </w:rPr>
              <w:t>，联系人：</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szCs w:val="24"/>
                <w:highlight w:val="none"/>
              </w:rPr>
              <w:t>，联系方式：</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szCs w:val="24"/>
                <w:highlight w:val="none"/>
              </w:rPr>
              <w:t>。</w:t>
            </w:r>
          </w:p>
          <w:p w14:paraId="182E5C69">
            <w:pPr>
              <w:pStyle w:val="81"/>
              <w:spacing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投标截止前，投标人可自行到项目所在地予以踏勘，对项目实施现场及周边环境等进行勘察，以获取编制投标文件和签署合同所需的所有资料。无论投标人是否踏勘现场，均被视作对项目现场的了解已完全满足本采购项目投标报价的需要。有关踏勘现场需要发生的一切费用由投标人自理，投标人自行负责在踏勘现场中所发生的任何风险责任和财产损失。</w:t>
            </w:r>
          </w:p>
        </w:tc>
      </w:tr>
      <w:tr w14:paraId="408FB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53" w:hRule="atLeast"/>
          <w:tblHeader/>
        </w:trPr>
        <w:tc>
          <w:tcPr>
            <w:tcW w:w="629" w:type="dxa"/>
            <w:vAlign w:val="center"/>
          </w:tcPr>
          <w:p w14:paraId="08284A38">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vAlign w:val="center"/>
          </w:tcPr>
          <w:p w14:paraId="0CB40D14">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vAlign w:val="center"/>
          </w:tcPr>
          <w:p w14:paraId="75E42F20">
            <w:pPr>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0644597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highlight w:val="none"/>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60F20AA8">
            <w:pPr>
              <w:rPr>
                <w:rFonts w:hint="eastAsia" w:ascii="仿宋" w:hAnsi="仿宋" w:eastAsia="仿宋" w:cs="仿宋"/>
                <w:b/>
                <w:color w:val="auto"/>
                <w:sz w:val="24"/>
                <w:highlight w:val="none"/>
              </w:rPr>
            </w:pPr>
            <w:sdt>
              <w:sdtPr>
                <w:rPr>
                  <w:rFonts w:hint="eastAsia" w:ascii="仿宋" w:hAnsi="仿宋" w:eastAsia="仿宋" w:cs="仿宋"/>
                  <w:color w:val="auto"/>
                  <w:kern w:val="0"/>
                  <w:sz w:val="24"/>
                  <w:highlight w:val="none"/>
                </w:rPr>
                <w:id w:val="1925921230"/>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p>
        </w:tc>
      </w:tr>
      <w:tr w14:paraId="14154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2" w:hRule="atLeast"/>
          <w:tblHeader/>
        </w:trPr>
        <w:tc>
          <w:tcPr>
            <w:tcW w:w="629" w:type="dxa"/>
            <w:vAlign w:val="center"/>
          </w:tcPr>
          <w:p w14:paraId="6384B6B7">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vAlign w:val="center"/>
          </w:tcPr>
          <w:p w14:paraId="75627327">
            <w:pPr>
              <w:snapToGrid w:val="0"/>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vAlign w:val="center"/>
          </w:tcPr>
          <w:p w14:paraId="1748B05E">
            <w:pPr>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41293159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highlight w:val="none"/>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61C9C19B">
            <w:pPr>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53586048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p>
        </w:tc>
      </w:tr>
      <w:tr w14:paraId="6BECC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55" w:hRule="atLeast"/>
          <w:tblHeader/>
        </w:trPr>
        <w:tc>
          <w:tcPr>
            <w:tcW w:w="629" w:type="dxa"/>
            <w:vMerge w:val="restart"/>
            <w:vAlign w:val="center"/>
          </w:tcPr>
          <w:p w14:paraId="0FABC6B5">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vAlign w:val="center"/>
          </w:tcPr>
          <w:p w14:paraId="4BF2CC65">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vAlign w:val="center"/>
          </w:tcPr>
          <w:p w14:paraId="3C9812D6">
            <w:pPr>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311774E8">
            <w:pPr>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3F1DC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8" w:hRule="atLeast"/>
          <w:tblHeader/>
        </w:trPr>
        <w:tc>
          <w:tcPr>
            <w:tcW w:w="629" w:type="dxa"/>
            <w:vMerge w:val="continue"/>
            <w:vAlign w:val="center"/>
          </w:tcPr>
          <w:p w14:paraId="75C026D8">
            <w:pPr>
              <w:snapToGrid w:val="0"/>
              <w:jc w:val="center"/>
              <w:rPr>
                <w:rFonts w:hint="eastAsia" w:ascii="仿宋" w:hAnsi="仿宋" w:eastAsia="仿宋" w:cs="仿宋"/>
                <w:color w:val="auto"/>
                <w:sz w:val="24"/>
                <w:highlight w:val="none"/>
              </w:rPr>
            </w:pPr>
          </w:p>
        </w:tc>
        <w:tc>
          <w:tcPr>
            <w:tcW w:w="1843" w:type="dxa"/>
            <w:vMerge w:val="continue"/>
            <w:vAlign w:val="center"/>
          </w:tcPr>
          <w:p w14:paraId="679F1DAF">
            <w:pPr>
              <w:snapToGrid w:val="0"/>
              <w:jc w:val="center"/>
              <w:rPr>
                <w:rFonts w:hint="eastAsia" w:ascii="仿宋" w:hAnsi="仿宋" w:eastAsia="仿宋" w:cs="仿宋"/>
                <w:b/>
                <w:color w:val="auto"/>
                <w:sz w:val="24"/>
                <w:highlight w:val="none"/>
              </w:rPr>
            </w:pPr>
          </w:p>
        </w:tc>
        <w:tc>
          <w:tcPr>
            <w:tcW w:w="6095" w:type="dxa"/>
            <w:vAlign w:val="center"/>
          </w:tcPr>
          <w:p w14:paraId="5E42AE18">
            <w:pPr>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72322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14:paraId="739B3C4B">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vAlign w:val="center"/>
          </w:tcPr>
          <w:p w14:paraId="25650986">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vAlign w:val="center"/>
          </w:tcPr>
          <w:p w14:paraId="302B3252">
            <w:pPr>
              <w:pStyle w:val="81"/>
              <w:snapToGrid w:val="0"/>
              <w:spacing w:line="240" w:lineRule="auto"/>
              <w:ind w:firstLine="0" w:firstLineChars="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4364910">
            <w:pPr>
              <w:pStyle w:val="81"/>
              <w:spacing w:line="240" w:lineRule="auto"/>
              <w:ind w:firstLine="480"/>
              <w:jc w:val="both"/>
              <w:rPr>
                <w:rFonts w:hint="eastAsia" w:ascii="仿宋" w:hAnsi="仿宋" w:eastAsia="仿宋" w:cs="仿宋"/>
                <w:color w:val="auto"/>
                <w:kern w:val="2"/>
                <w:sz w:val="24"/>
                <w:szCs w:val="24"/>
                <w:highlight w:val="none"/>
              </w:rPr>
            </w:pPr>
            <w:sdt>
              <w:sdtPr>
                <w:rPr>
                  <w:rFonts w:hint="eastAsia" w:ascii="仿宋" w:hAnsi="仿宋" w:eastAsia="仿宋" w:cs="仿宋"/>
                  <w:color w:val="auto"/>
                  <w:kern w:val="2"/>
                  <w:sz w:val="24"/>
                  <w:szCs w:val="24"/>
                  <w:highlight w:val="none"/>
                </w:rPr>
                <w:id w:val="147461840"/>
                <w14:checkbox>
                  <w14:checked w14:val="0"/>
                  <w14:checkedState w14:val="00FE" w14:font="Wingdings"/>
                  <w14:uncheckedState w14:val="2610" w14:font="MS Gothic"/>
                </w14:checkbox>
              </w:sdtPr>
              <w:sdtEndPr>
                <w:rPr>
                  <w:rFonts w:hint="eastAsia" w:ascii="仿宋" w:hAnsi="仿宋" w:eastAsia="仿宋" w:cs="仿宋"/>
                  <w:color w:val="auto"/>
                  <w:kern w:val="2"/>
                  <w:sz w:val="24"/>
                  <w:szCs w:val="24"/>
                  <w:highlight w:val="none"/>
                </w:rPr>
              </w:sdtEndPr>
              <w:sdtContent>
                <w:r>
                  <w:rPr>
                    <w:rFonts w:hint="eastAsia" w:ascii="仿宋" w:hAnsi="仿宋" w:eastAsia="仿宋" w:cs="仿宋"/>
                    <w:color w:val="auto"/>
                    <w:kern w:val="2"/>
                    <w:sz w:val="24"/>
                    <w:szCs w:val="24"/>
                    <w:highlight w:val="none"/>
                  </w:rPr>
                  <w:t>☐</w:t>
                </w:r>
              </w:sdtContent>
            </w:sdt>
            <w:r>
              <w:rPr>
                <w:rFonts w:hint="eastAsia" w:ascii="仿宋" w:hAnsi="仿宋" w:eastAsia="仿宋" w:cs="仿宋"/>
                <w:color w:val="auto"/>
                <w:kern w:val="2"/>
                <w:sz w:val="24"/>
                <w:szCs w:val="24"/>
                <w:highlight w:val="none"/>
              </w:rPr>
              <w:t>强制采购。产品：</w:t>
            </w:r>
          </w:p>
          <w:p w14:paraId="319D930D">
            <w:pPr>
              <w:pStyle w:val="81"/>
              <w:spacing w:line="240" w:lineRule="auto"/>
              <w:ind w:firstLine="48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□优先采购节能产品。产品：</w:t>
            </w:r>
          </w:p>
          <w:p w14:paraId="051F21F5">
            <w:pPr>
              <w:pStyle w:val="81"/>
              <w:spacing w:line="240" w:lineRule="auto"/>
              <w:ind w:firstLine="48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□优先采购环保产品。产品：</w:t>
            </w:r>
          </w:p>
          <w:p w14:paraId="16666B61">
            <w:pPr>
              <w:pStyle w:val="81"/>
              <w:spacing w:line="240" w:lineRule="auto"/>
              <w:ind w:firstLine="480"/>
              <w:jc w:val="both"/>
              <w:rPr>
                <w:rFonts w:hint="eastAsia" w:ascii="仿宋" w:hAnsi="仿宋" w:eastAsia="仿宋" w:cs="仿宋"/>
                <w:color w:val="auto"/>
                <w:highlight w:val="none"/>
              </w:rPr>
            </w:pPr>
            <w:r>
              <w:rPr>
                <w:rFonts w:hint="eastAsia" w:ascii="仿宋" w:hAnsi="仿宋" w:eastAsia="仿宋" w:cs="仿宋"/>
                <w:color w:val="auto"/>
                <w:kern w:val="2"/>
                <w:sz w:val="24"/>
                <w:szCs w:val="24"/>
                <w:highlight w:val="none"/>
              </w:rPr>
              <w:t>☑无</w:t>
            </w:r>
          </w:p>
        </w:tc>
      </w:tr>
      <w:tr w14:paraId="277DE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9" w:hRule="atLeast"/>
          <w:tblHeader/>
        </w:trPr>
        <w:tc>
          <w:tcPr>
            <w:tcW w:w="629" w:type="dxa"/>
            <w:vAlign w:val="center"/>
          </w:tcPr>
          <w:p w14:paraId="08B41DC4">
            <w:pPr>
              <w:snapToGrid w:val="0"/>
              <w:jc w:val="center"/>
              <w:rPr>
                <w:rFonts w:hint="eastAsia" w:ascii="仿宋" w:hAnsi="仿宋" w:eastAsia="仿宋" w:cs="仿宋"/>
                <w:color w:val="auto"/>
                <w:sz w:val="24"/>
                <w:highlight w:val="none"/>
              </w:rPr>
            </w:pPr>
          </w:p>
          <w:p w14:paraId="00E6A3A0">
            <w:pPr>
              <w:snapToGrid w:val="0"/>
              <w:jc w:val="center"/>
              <w:rPr>
                <w:rFonts w:hint="eastAsia" w:ascii="仿宋" w:hAnsi="仿宋" w:eastAsia="仿宋" w:cs="仿宋"/>
                <w:color w:val="auto"/>
                <w:sz w:val="24"/>
                <w:highlight w:val="none"/>
              </w:rPr>
            </w:pPr>
          </w:p>
          <w:p w14:paraId="2B1FE62D">
            <w:pPr>
              <w:snapToGrid w:val="0"/>
              <w:jc w:val="center"/>
              <w:rPr>
                <w:rFonts w:hint="eastAsia" w:ascii="仿宋" w:hAnsi="仿宋" w:eastAsia="仿宋" w:cs="仿宋"/>
                <w:color w:val="auto"/>
                <w:sz w:val="24"/>
                <w:highlight w:val="none"/>
              </w:rPr>
            </w:pPr>
          </w:p>
          <w:p w14:paraId="01CE16E8">
            <w:pPr>
              <w:snapToGrid w:val="0"/>
              <w:jc w:val="center"/>
              <w:rPr>
                <w:rFonts w:hint="eastAsia" w:ascii="仿宋" w:hAnsi="仿宋" w:eastAsia="仿宋" w:cs="仿宋"/>
                <w:color w:val="auto"/>
                <w:sz w:val="24"/>
                <w:highlight w:val="none"/>
              </w:rPr>
            </w:pPr>
          </w:p>
          <w:p w14:paraId="5A5176FE">
            <w:pPr>
              <w:snapToGrid w:val="0"/>
              <w:jc w:val="center"/>
              <w:rPr>
                <w:rFonts w:hint="eastAsia" w:ascii="仿宋" w:hAnsi="仿宋" w:eastAsia="仿宋" w:cs="仿宋"/>
                <w:color w:val="auto"/>
                <w:sz w:val="24"/>
                <w:highlight w:val="none"/>
              </w:rPr>
            </w:pPr>
          </w:p>
          <w:p w14:paraId="024ED305">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vAlign w:val="center"/>
          </w:tcPr>
          <w:p w14:paraId="2502265C">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vAlign w:val="center"/>
          </w:tcPr>
          <w:p w14:paraId="5E864C19">
            <w:pPr>
              <w:snapToGrid w:val="0"/>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61224029">
            <w:pPr>
              <w:snapToGrid w:val="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7A044001">
            <w:pPr>
              <w:snapToGrid w:val="0"/>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101861C6">
            <w:pPr>
              <w:snapToGrid w:val="0"/>
              <w:ind w:firstLine="241" w:firstLineChars="100"/>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126BA2B4">
            <w:pPr>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464D8897">
            <w:pPr>
              <w:ind w:firstLine="241" w:firstLineChars="1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0F2CD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86" w:hRule="atLeast"/>
          <w:tblHeader/>
        </w:trPr>
        <w:tc>
          <w:tcPr>
            <w:tcW w:w="629" w:type="dxa"/>
            <w:vAlign w:val="center"/>
          </w:tcPr>
          <w:p w14:paraId="233ADAAA">
            <w:pPr>
              <w:snapToGrid w:val="0"/>
              <w:jc w:val="center"/>
              <w:rPr>
                <w:rFonts w:hint="eastAsia" w:ascii="仿宋" w:hAnsi="仿宋" w:eastAsia="仿宋" w:cs="仿宋"/>
                <w:color w:val="auto"/>
                <w:sz w:val="24"/>
                <w:highlight w:val="none"/>
              </w:rPr>
            </w:pPr>
          </w:p>
          <w:p w14:paraId="23E3829A">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vAlign w:val="center"/>
          </w:tcPr>
          <w:p w14:paraId="6A16156D">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vAlign w:val="center"/>
          </w:tcPr>
          <w:p w14:paraId="6C40DB60">
            <w:pPr>
              <w:ind w:firstLine="480" w:firstLineChars="200"/>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14:paraId="14E15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94" w:hRule="atLeast"/>
          <w:tblHeader/>
        </w:trPr>
        <w:tc>
          <w:tcPr>
            <w:tcW w:w="629" w:type="dxa"/>
            <w:vAlign w:val="center"/>
          </w:tcPr>
          <w:p w14:paraId="465348D9">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vAlign w:val="center"/>
          </w:tcPr>
          <w:p w14:paraId="041E8B65">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备份投标文件送达地点和签收人员</w:t>
            </w:r>
          </w:p>
        </w:tc>
        <w:tc>
          <w:tcPr>
            <w:tcW w:w="6095" w:type="dxa"/>
            <w:vAlign w:val="center"/>
          </w:tcPr>
          <w:p w14:paraId="22D65E03">
            <w:pPr>
              <w:pStyle w:val="32"/>
              <w:rPr>
                <w:rFonts w:hint="eastAsia" w:ascii="仿宋" w:hAnsi="仿宋" w:eastAsia="仿宋" w:cs="仿宋"/>
                <w:color w:val="auto"/>
                <w:kern w:val="28"/>
                <w:sz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b/>
                <w:bCs/>
                <w:color w:val="auto"/>
                <w:sz w:val="24"/>
                <w:highlight w:val="none"/>
                <w:u w:val="single"/>
              </w:rPr>
              <w:t>杭州市上城区市民街69号民林金融中心B座5楼</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b/>
                <w:bCs/>
                <w:color w:val="auto"/>
                <w:sz w:val="24"/>
                <w:highlight w:val="none"/>
                <w:u w:val="single"/>
              </w:rPr>
              <w:t>方锐，18258914900</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采购人、采购代理机构不强制或变相强制投标人提交备份投标文件。</w:t>
            </w:r>
          </w:p>
        </w:tc>
      </w:tr>
      <w:tr w14:paraId="31B13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vAlign w:val="center"/>
          </w:tcPr>
          <w:p w14:paraId="2387F9BC">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vMerge w:val="restart"/>
            <w:vAlign w:val="center"/>
          </w:tcPr>
          <w:p w14:paraId="3284755E">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vAlign w:val="center"/>
          </w:tcPr>
          <w:p w14:paraId="1E976959">
            <w:pPr>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14:paraId="5626C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center"/>
          </w:tcPr>
          <w:p w14:paraId="76DBDBAB">
            <w:pPr>
              <w:snapToGrid w:val="0"/>
              <w:jc w:val="center"/>
              <w:rPr>
                <w:rFonts w:hint="eastAsia" w:ascii="仿宋" w:hAnsi="仿宋" w:eastAsia="仿宋" w:cs="仿宋"/>
                <w:color w:val="auto"/>
                <w:sz w:val="24"/>
                <w:highlight w:val="none"/>
              </w:rPr>
            </w:pPr>
          </w:p>
        </w:tc>
        <w:tc>
          <w:tcPr>
            <w:tcW w:w="1843" w:type="dxa"/>
            <w:vMerge w:val="continue"/>
            <w:vAlign w:val="center"/>
          </w:tcPr>
          <w:p w14:paraId="6B8723DB">
            <w:pPr>
              <w:snapToGrid w:val="0"/>
              <w:jc w:val="center"/>
              <w:rPr>
                <w:rFonts w:hint="eastAsia" w:ascii="仿宋" w:hAnsi="仿宋" w:eastAsia="仿宋" w:cs="仿宋"/>
                <w:b/>
                <w:color w:val="auto"/>
                <w:sz w:val="24"/>
                <w:highlight w:val="none"/>
              </w:rPr>
            </w:pPr>
          </w:p>
        </w:tc>
        <w:tc>
          <w:tcPr>
            <w:tcW w:w="6095" w:type="dxa"/>
            <w:vAlign w:val="center"/>
          </w:tcPr>
          <w:p w14:paraId="3A7788C3">
            <w:pPr>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62113802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snapToGrid w:val="0"/>
                <w:color w:val="auto"/>
                <w:kern w:val="28"/>
                <w:sz w:val="24"/>
                <w:highlight w:val="none"/>
              </w:rPr>
              <w:t>联合体投标的，联合体各方均需按招标文件第四部分评标标准要求提供资信证明文件，否则视为不符合相关要求。</w:t>
            </w:r>
          </w:p>
          <w:p w14:paraId="16C67297">
            <w:pPr>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1829922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3A531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center"/>
          </w:tcPr>
          <w:p w14:paraId="285AA94D">
            <w:pPr>
              <w:snapToGrid w:val="0"/>
              <w:jc w:val="center"/>
              <w:rPr>
                <w:rFonts w:hint="eastAsia" w:ascii="仿宋" w:hAnsi="仿宋" w:eastAsia="仿宋" w:cs="仿宋"/>
                <w:color w:val="auto"/>
                <w:sz w:val="24"/>
                <w:highlight w:val="none"/>
              </w:rPr>
            </w:pPr>
          </w:p>
        </w:tc>
        <w:tc>
          <w:tcPr>
            <w:tcW w:w="1843" w:type="dxa"/>
            <w:vMerge w:val="continue"/>
            <w:vAlign w:val="center"/>
          </w:tcPr>
          <w:p w14:paraId="391DBB1A">
            <w:pPr>
              <w:snapToGrid w:val="0"/>
              <w:jc w:val="center"/>
              <w:rPr>
                <w:rFonts w:hint="eastAsia" w:ascii="仿宋" w:hAnsi="仿宋" w:eastAsia="仿宋" w:cs="仿宋"/>
                <w:b/>
                <w:color w:val="auto"/>
                <w:sz w:val="24"/>
                <w:highlight w:val="none"/>
              </w:rPr>
            </w:pPr>
          </w:p>
        </w:tc>
        <w:tc>
          <w:tcPr>
            <w:tcW w:w="6095" w:type="dxa"/>
            <w:shd w:val="clear" w:color="auto" w:fill="auto"/>
            <w:vAlign w:val="center"/>
          </w:tcPr>
          <w:p w14:paraId="449F9CE7">
            <w:pPr>
              <w:rPr>
                <w:rFonts w:hint="eastAsia" w:ascii="仿宋" w:hAnsi="仿宋" w:eastAsia="仿宋" w:cs="仿宋"/>
                <w:color w:val="auto"/>
                <w:kern w:val="0"/>
                <w:sz w:val="24"/>
                <w:highlight w:val="none"/>
              </w:rPr>
            </w:pPr>
            <w:r>
              <w:rPr>
                <w:rFonts w:hint="eastAsia" w:ascii="仿宋" w:hAnsi="仿宋" w:eastAsia="仿宋" w:cs="仿宋"/>
                <w:snapToGrid w:val="0"/>
                <w:color w:val="auto"/>
                <w:kern w:val="28"/>
                <w:sz w:val="24"/>
                <w:highlight w:val="none"/>
              </w:rPr>
              <w:t>如遇“政府采购云平台”电子化开标或评审程序调整的，按调整后程序执行。</w:t>
            </w:r>
          </w:p>
        </w:tc>
      </w:tr>
      <w:tr w14:paraId="0B1F4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center"/>
          </w:tcPr>
          <w:p w14:paraId="2087528F">
            <w:pPr>
              <w:snapToGrid w:val="0"/>
              <w:jc w:val="center"/>
              <w:rPr>
                <w:rFonts w:hint="eastAsia" w:ascii="仿宋" w:hAnsi="仿宋" w:eastAsia="仿宋" w:cs="仿宋"/>
                <w:color w:val="auto"/>
                <w:sz w:val="24"/>
                <w:highlight w:val="none"/>
              </w:rPr>
            </w:pPr>
          </w:p>
        </w:tc>
        <w:tc>
          <w:tcPr>
            <w:tcW w:w="1843" w:type="dxa"/>
            <w:vMerge w:val="continue"/>
            <w:vAlign w:val="center"/>
          </w:tcPr>
          <w:p w14:paraId="0276FBFD">
            <w:pPr>
              <w:snapToGrid w:val="0"/>
              <w:jc w:val="center"/>
              <w:rPr>
                <w:rFonts w:hint="eastAsia" w:ascii="仿宋" w:hAnsi="仿宋" w:eastAsia="仿宋" w:cs="仿宋"/>
                <w:b/>
                <w:color w:val="auto"/>
                <w:sz w:val="24"/>
                <w:highlight w:val="none"/>
              </w:rPr>
            </w:pPr>
          </w:p>
        </w:tc>
        <w:tc>
          <w:tcPr>
            <w:tcW w:w="6095" w:type="dxa"/>
            <w:shd w:val="clear" w:color="auto" w:fill="auto"/>
            <w:vAlign w:val="center"/>
          </w:tcPr>
          <w:p w14:paraId="29ADC9B1">
            <w:pPr>
              <w:rPr>
                <w:rFonts w:hint="eastAsia" w:ascii="仿宋" w:hAnsi="仿宋" w:eastAsia="仿宋" w:cs="仿宋"/>
                <w:color w:val="auto"/>
                <w:kern w:val="0"/>
                <w:sz w:val="24"/>
                <w:highlight w:val="none"/>
              </w:rPr>
            </w:pPr>
            <w:r>
              <w:rPr>
                <w:rFonts w:hint="eastAsia" w:ascii="仿宋" w:hAnsi="仿宋" w:eastAsia="仿宋" w:cs="仿宋"/>
                <w:snapToGrid w:val="0"/>
                <w:color w:val="auto"/>
                <w:kern w:val="28"/>
                <w:sz w:val="24"/>
                <w:highlight w:val="none"/>
              </w:rPr>
              <w:t>通过“政府采购云平台”公布开标一览表有关内容后，供应商应通过“政府采购云平台”进行确认，在收到采购人或采购代理机构的通知后仍不予确认的应说明理由，否则视为无异议。</w:t>
            </w:r>
          </w:p>
        </w:tc>
      </w:tr>
      <w:tr w14:paraId="69C7A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center"/>
          </w:tcPr>
          <w:p w14:paraId="4A25508B">
            <w:pPr>
              <w:snapToGrid w:val="0"/>
              <w:jc w:val="center"/>
              <w:rPr>
                <w:rFonts w:hint="eastAsia" w:ascii="仿宋" w:hAnsi="仿宋" w:eastAsia="仿宋" w:cs="仿宋"/>
                <w:color w:val="auto"/>
                <w:sz w:val="24"/>
                <w:highlight w:val="none"/>
              </w:rPr>
            </w:pPr>
          </w:p>
        </w:tc>
        <w:tc>
          <w:tcPr>
            <w:tcW w:w="1843" w:type="dxa"/>
            <w:vMerge w:val="continue"/>
            <w:vAlign w:val="center"/>
          </w:tcPr>
          <w:p w14:paraId="148FC289">
            <w:pPr>
              <w:snapToGrid w:val="0"/>
              <w:jc w:val="center"/>
              <w:rPr>
                <w:rFonts w:hint="eastAsia" w:ascii="仿宋" w:hAnsi="仿宋" w:eastAsia="仿宋" w:cs="仿宋"/>
                <w:b/>
                <w:color w:val="auto"/>
                <w:sz w:val="24"/>
                <w:highlight w:val="none"/>
              </w:rPr>
            </w:pPr>
          </w:p>
        </w:tc>
        <w:tc>
          <w:tcPr>
            <w:tcW w:w="6095" w:type="dxa"/>
            <w:shd w:val="clear" w:color="auto" w:fill="auto"/>
            <w:vAlign w:val="center"/>
          </w:tcPr>
          <w:p w14:paraId="6A26B3AB">
            <w:pPr>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评审因素及拟签订的合同文本对应的要求视为采购需求的一部分。</w:t>
            </w:r>
          </w:p>
        </w:tc>
      </w:tr>
      <w:tr w14:paraId="4FBA8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center"/>
          </w:tcPr>
          <w:p w14:paraId="2B42AEA3">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p>
        </w:tc>
        <w:tc>
          <w:tcPr>
            <w:tcW w:w="1843" w:type="dxa"/>
            <w:vAlign w:val="center"/>
          </w:tcPr>
          <w:p w14:paraId="38326993">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
              </w:rPr>
              <w:t>中标候选人数量</w:t>
            </w:r>
          </w:p>
        </w:tc>
        <w:tc>
          <w:tcPr>
            <w:tcW w:w="6095" w:type="dxa"/>
            <w:vAlign w:val="center"/>
          </w:tcPr>
          <w:p w14:paraId="0108F563">
            <w:pPr>
              <w:rPr>
                <w:rFonts w:hint="eastAsia" w:ascii="仿宋" w:hAnsi="仿宋" w:eastAsia="仿宋" w:cs="仿宋"/>
                <w:color w:val="auto"/>
                <w:kern w:val="0"/>
                <w:sz w:val="24"/>
                <w:highlight w:val="none"/>
                <w:lang w:val="en"/>
              </w:rPr>
            </w:pPr>
            <w:r>
              <w:rPr>
                <w:rFonts w:hint="eastAsia" w:ascii="仿宋" w:hAnsi="仿宋" w:eastAsia="仿宋" w:cs="仿宋"/>
                <w:color w:val="auto"/>
                <w:kern w:val="0"/>
                <w:sz w:val="24"/>
                <w:highlight w:val="none"/>
                <w:lang w:val="en"/>
              </w:rPr>
              <w:t>本项目推荐的中标候选人数量：</w:t>
            </w:r>
            <w:r>
              <w:rPr>
                <w:rFonts w:hint="eastAsia" w:ascii="仿宋" w:hAnsi="仿宋" w:eastAsia="仿宋" w:cs="仿宋"/>
                <w:color w:val="auto"/>
                <w:kern w:val="0"/>
                <w:sz w:val="24"/>
                <w:highlight w:val="none"/>
                <w:u w:val="single"/>
              </w:rPr>
              <w:t xml:space="preserve"> 1 </w:t>
            </w:r>
            <w:r>
              <w:rPr>
                <w:rFonts w:hint="eastAsia" w:ascii="仿宋" w:hAnsi="仿宋" w:eastAsia="仿宋" w:cs="仿宋"/>
                <w:color w:val="auto"/>
                <w:kern w:val="0"/>
                <w:sz w:val="24"/>
                <w:highlight w:val="none"/>
                <w:lang w:val="en"/>
              </w:rPr>
              <w:t>。</w:t>
            </w:r>
          </w:p>
        </w:tc>
      </w:tr>
      <w:tr w14:paraId="278BE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center"/>
          </w:tcPr>
          <w:p w14:paraId="41E52828">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1843" w:type="dxa"/>
            <w:vAlign w:val="center"/>
          </w:tcPr>
          <w:p w14:paraId="0F4258A8">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
              </w:rPr>
              <w:t>代理费用收取方式及标准</w:t>
            </w:r>
          </w:p>
        </w:tc>
        <w:tc>
          <w:tcPr>
            <w:tcW w:w="6095" w:type="dxa"/>
            <w:vAlign w:val="center"/>
          </w:tcPr>
          <w:p w14:paraId="7F4FDB80">
            <w:pPr>
              <w:pStyle w:val="32"/>
              <w:spacing w:line="360" w:lineRule="exact"/>
              <w:jc w:val="left"/>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（1）本项目代理服务费以中标金额为计算基础，按照下表服务类收费标准向中标人收取，不足8000元按8000计取。以上费用，中标人应当自中标结果公告发布之日起5个工作日内一次性向采购代理机构支付。</w:t>
            </w:r>
          </w:p>
          <w:tbl>
            <w:tblPr>
              <w:tblStyle w:val="62"/>
              <w:tblW w:w="4785"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316"/>
              <w:gridCol w:w="818"/>
              <w:gridCol w:w="818"/>
              <w:gridCol w:w="808"/>
            </w:tblGrid>
            <w:tr w14:paraId="5E35F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1" w:hRule="atLeast"/>
                <w:tblCellSpacing w:w="0" w:type="dxa"/>
                <w:jc w:val="center"/>
              </w:trPr>
              <w:tc>
                <w:tcPr>
                  <w:tcW w:w="3323" w:type="dxa"/>
                  <w:vAlign w:val="center"/>
                </w:tcPr>
                <w:p w14:paraId="35A4BFBA">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              服务类型     中标金额（万元）</w:t>
                  </w:r>
                </w:p>
              </w:tc>
              <w:tc>
                <w:tcPr>
                  <w:tcW w:w="819" w:type="dxa"/>
                  <w:vAlign w:val="center"/>
                </w:tcPr>
                <w:p w14:paraId="0C5C10B9">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货物招标</w:t>
                  </w:r>
                </w:p>
              </w:tc>
              <w:tc>
                <w:tcPr>
                  <w:tcW w:w="819" w:type="dxa"/>
                  <w:vAlign w:val="center"/>
                </w:tcPr>
                <w:p w14:paraId="42FA4DFE">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服务招标</w:t>
                  </w:r>
                </w:p>
              </w:tc>
              <w:tc>
                <w:tcPr>
                  <w:tcW w:w="809" w:type="dxa"/>
                  <w:vAlign w:val="center"/>
                </w:tcPr>
                <w:p w14:paraId="178ED960">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工程招标</w:t>
                  </w:r>
                </w:p>
              </w:tc>
            </w:tr>
            <w:tr w14:paraId="2AD63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tblCellSpacing w:w="0" w:type="dxa"/>
                <w:jc w:val="center"/>
              </w:trPr>
              <w:tc>
                <w:tcPr>
                  <w:tcW w:w="3323" w:type="dxa"/>
                  <w:vAlign w:val="center"/>
                </w:tcPr>
                <w:p w14:paraId="569281DB">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100以下</w:t>
                  </w:r>
                </w:p>
              </w:tc>
              <w:tc>
                <w:tcPr>
                  <w:tcW w:w="819" w:type="dxa"/>
                  <w:vAlign w:val="center"/>
                </w:tcPr>
                <w:p w14:paraId="4D8C98CE">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1.5％</w:t>
                  </w:r>
                </w:p>
              </w:tc>
              <w:tc>
                <w:tcPr>
                  <w:tcW w:w="819" w:type="dxa"/>
                  <w:vAlign w:val="center"/>
                </w:tcPr>
                <w:p w14:paraId="25CF0668">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1.5％</w:t>
                  </w:r>
                </w:p>
              </w:tc>
              <w:tc>
                <w:tcPr>
                  <w:tcW w:w="809" w:type="dxa"/>
                  <w:vAlign w:val="center"/>
                </w:tcPr>
                <w:p w14:paraId="12358905">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1.0％</w:t>
                  </w:r>
                </w:p>
              </w:tc>
            </w:tr>
            <w:tr w14:paraId="51B79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tblCellSpacing w:w="0" w:type="dxa"/>
                <w:jc w:val="center"/>
              </w:trPr>
              <w:tc>
                <w:tcPr>
                  <w:tcW w:w="3323" w:type="dxa"/>
                  <w:vAlign w:val="center"/>
                </w:tcPr>
                <w:p w14:paraId="7648F1C7">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100—500</w:t>
                  </w:r>
                </w:p>
              </w:tc>
              <w:tc>
                <w:tcPr>
                  <w:tcW w:w="819" w:type="dxa"/>
                  <w:vAlign w:val="center"/>
                </w:tcPr>
                <w:p w14:paraId="67705FF1">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1.1％</w:t>
                  </w:r>
                </w:p>
              </w:tc>
              <w:tc>
                <w:tcPr>
                  <w:tcW w:w="819" w:type="dxa"/>
                  <w:vAlign w:val="center"/>
                </w:tcPr>
                <w:p w14:paraId="5D1D9C1B">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0.8％</w:t>
                  </w:r>
                </w:p>
              </w:tc>
              <w:tc>
                <w:tcPr>
                  <w:tcW w:w="809" w:type="dxa"/>
                  <w:vAlign w:val="center"/>
                </w:tcPr>
                <w:p w14:paraId="53FAA5CD">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0.7％</w:t>
                  </w:r>
                </w:p>
              </w:tc>
            </w:tr>
            <w:tr w14:paraId="3DAE0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tblCellSpacing w:w="0" w:type="dxa"/>
                <w:jc w:val="center"/>
              </w:trPr>
              <w:tc>
                <w:tcPr>
                  <w:tcW w:w="3323" w:type="dxa"/>
                  <w:vAlign w:val="center"/>
                </w:tcPr>
                <w:p w14:paraId="0BEFBACD">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500—1000</w:t>
                  </w:r>
                </w:p>
              </w:tc>
              <w:tc>
                <w:tcPr>
                  <w:tcW w:w="819" w:type="dxa"/>
                  <w:vAlign w:val="center"/>
                </w:tcPr>
                <w:p w14:paraId="06DE0A64">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0.8％</w:t>
                  </w:r>
                </w:p>
              </w:tc>
              <w:tc>
                <w:tcPr>
                  <w:tcW w:w="819" w:type="dxa"/>
                  <w:vAlign w:val="center"/>
                </w:tcPr>
                <w:p w14:paraId="0F414F7C">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0.45％</w:t>
                  </w:r>
                </w:p>
              </w:tc>
              <w:tc>
                <w:tcPr>
                  <w:tcW w:w="809" w:type="dxa"/>
                  <w:vAlign w:val="center"/>
                </w:tcPr>
                <w:p w14:paraId="57930184">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0.55％</w:t>
                  </w:r>
                </w:p>
              </w:tc>
            </w:tr>
            <w:tr w14:paraId="10A76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tblCellSpacing w:w="0" w:type="dxa"/>
                <w:jc w:val="center"/>
              </w:trPr>
              <w:tc>
                <w:tcPr>
                  <w:tcW w:w="3323" w:type="dxa"/>
                  <w:vAlign w:val="center"/>
                </w:tcPr>
                <w:p w14:paraId="58E90E56">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1000—5000</w:t>
                  </w:r>
                </w:p>
              </w:tc>
              <w:tc>
                <w:tcPr>
                  <w:tcW w:w="819" w:type="dxa"/>
                  <w:vAlign w:val="center"/>
                </w:tcPr>
                <w:p w14:paraId="7FD7E56F">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0.5％</w:t>
                  </w:r>
                </w:p>
              </w:tc>
              <w:tc>
                <w:tcPr>
                  <w:tcW w:w="819" w:type="dxa"/>
                  <w:vAlign w:val="center"/>
                </w:tcPr>
                <w:p w14:paraId="1889DE9E">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0.25％</w:t>
                  </w:r>
                </w:p>
              </w:tc>
              <w:tc>
                <w:tcPr>
                  <w:tcW w:w="809" w:type="dxa"/>
                  <w:vAlign w:val="center"/>
                </w:tcPr>
                <w:p w14:paraId="7C2E20A5">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0.35％</w:t>
                  </w:r>
                </w:p>
              </w:tc>
            </w:tr>
            <w:tr w14:paraId="37236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tblCellSpacing w:w="0" w:type="dxa"/>
                <w:jc w:val="center"/>
              </w:trPr>
              <w:tc>
                <w:tcPr>
                  <w:tcW w:w="3323" w:type="dxa"/>
                  <w:vAlign w:val="center"/>
                </w:tcPr>
                <w:p w14:paraId="00C99D4A">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5000—10000</w:t>
                  </w:r>
                </w:p>
              </w:tc>
              <w:tc>
                <w:tcPr>
                  <w:tcW w:w="819" w:type="dxa"/>
                  <w:vAlign w:val="center"/>
                </w:tcPr>
                <w:p w14:paraId="51A3E378">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0.25％</w:t>
                  </w:r>
                </w:p>
              </w:tc>
              <w:tc>
                <w:tcPr>
                  <w:tcW w:w="819" w:type="dxa"/>
                  <w:vAlign w:val="center"/>
                </w:tcPr>
                <w:p w14:paraId="175A464B">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0.1％</w:t>
                  </w:r>
                </w:p>
              </w:tc>
              <w:tc>
                <w:tcPr>
                  <w:tcW w:w="809" w:type="dxa"/>
                  <w:vAlign w:val="center"/>
                </w:tcPr>
                <w:p w14:paraId="7D476610">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0.2％</w:t>
                  </w:r>
                </w:p>
              </w:tc>
            </w:tr>
            <w:tr w14:paraId="24D02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tblCellSpacing w:w="0" w:type="dxa"/>
                <w:jc w:val="center"/>
              </w:trPr>
              <w:tc>
                <w:tcPr>
                  <w:tcW w:w="3323" w:type="dxa"/>
                  <w:vAlign w:val="center"/>
                </w:tcPr>
                <w:p w14:paraId="63C80A69">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10000——100000</w:t>
                  </w:r>
                </w:p>
              </w:tc>
              <w:tc>
                <w:tcPr>
                  <w:tcW w:w="819" w:type="dxa"/>
                  <w:vAlign w:val="center"/>
                </w:tcPr>
                <w:p w14:paraId="0C445117">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0.05％</w:t>
                  </w:r>
                </w:p>
              </w:tc>
              <w:tc>
                <w:tcPr>
                  <w:tcW w:w="819" w:type="dxa"/>
                  <w:vAlign w:val="center"/>
                </w:tcPr>
                <w:p w14:paraId="33E784E5">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0.05％</w:t>
                  </w:r>
                </w:p>
              </w:tc>
              <w:tc>
                <w:tcPr>
                  <w:tcW w:w="809" w:type="dxa"/>
                  <w:vAlign w:val="center"/>
                </w:tcPr>
                <w:p w14:paraId="53E21F1B">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0.05％</w:t>
                  </w:r>
                </w:p>
              </w:tc>
            </w:tr>
            <w:tr w14:paraId="105B5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tblCellSpacing w:w="0" w:type="dxa"/>
                <w:jc w:val="center"/>
              </w:trPr>
              <w:tc>
                <w:tcPr>
                  <w:tcW w:w="3323" w:type="dxa"/>
                  <w:vAlign w:val="center"/>
                </w:tcPr>
                <w:p w14:paraId="60863C0B">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1000000以上</w:t>
                  </w:r>
                </w:p>
              </w:tc>
              <w:tc>
                <w:tcPr>
                  <w:tcW w:w="819" w:type="dxa"/>
                  <w:vAlign w:val="center"/>
                </w:tcPr>
                <w:p w14:paraId="18BA66F6">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0.01％</w:t>
                  </w:r>
                </w:p>
              </w:tc>
              <w:tc>
                <w:tcPr>
                  <w:tcW w:w="819" w:type="dxa"/>
                  <w:vAlign w:val="center"/>
                </w:tcPr>
                <w:p w14:paraId="420CB399">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0.01％</w:t>
                  </w:r>
                </w:p>
              </w:tc>
              <w:tc>
                <w:tcPr>
                  <w:tcW w:w="809" w:type="dxa"/>
                  <w:vAlign w:val="center"/>
                </w:tcPr>
                <w:p w14:paraId="7C52D250">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0.01％</w:t>
                  </w:r>
                </w:p>
              </w:tc>
            </w:tr>
          </w:tbl>
          <w:p w14:paraId="1A1FDE23">
            <w:pPr>
              <w:pStyle w:val="32"/>
              <w:spacing w:line="360" w:lineRule="exact"/>
              <w:jc w:val="left"/>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（2）代理服务费支付：</w:t>
            </w:r>
          </w:p>
          <w:p w14:paraId="5399ADFE">
            <w:pPr>
              <w:pStyle w:val="32"/>
              <w:spacing w:line="360" w:lineRule="exact"/>
              <w:jc w:val="left"/>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①代理服务费缴纳形式：汇票/支票/电汇/现金</w:t>
            </w:r>
          </w:p>
          <w:p w14:paraId="49B4DBD7">
            <w:pPr>
              <w:pStyle w:val="32"/>
              <w:spacing w:line="360" w:lineRule="exact"/>
              <w:jc w:val="left"/>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②代理服务费汇入以下账户：</w:t>
            </w:r>
          </w:p>
          <w:p w14:paraId="3A629688">
            <w:pPr>
              <w:pStyle w:val="32"/>
              <w:spacing w:line="360" w:lineRule="exact"/>
              <w:jc w:val="left"/>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收款单位（户名）：浙江鑫润工程管理有限公司</w:t>
            </w:r>
          </w:p>
          <w:p w14:paraId="7335A78F">
            <w:pPr>
              <w:pStyle w:val="32"/>
              <w:spacing w:line="360" w:lineRule="exact"/>
              <w:jc w:val="left"/>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开户行：杭州联合银行彭埠支行</w:t>
            </w:r>
          </w:p>
          <w:p w14:paraId="6C6A1614">
            <w:pPr>
              <w:pStyle w:val="32"/>
              <w:widowControl/>
              <w:adjustRightInd/>
              <w:spacing w:line="360" w:lineRule="exact"/>
              <w:jc w:val="left"/>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账  号：2010 0010 4473 948</w:t>
            </w:r>
          </w:p>
          <w:p w14:paraId="3CDDE44B">
            <w:pPr>
              <w:rPr>
                <w:rFonts w:hint="eastAsia" w:ascii="仿宋" w:hAnsi="仿宋" w:eastAsia="仿宋" w:cs="仿宋"/>
                <w:color w:val="auto"/>
                <w:kern w:val="0"/>
                <w:sz w:val="24"/>
                <w:highlight w:val="none"/>
                <w:lang w:val="en"/>
              </w:rPr>
            </w:pPr>
            <w:r>
              <w:rPr>
                <w:rFonts w:hint="eastAsia" w:ascii="仿宋" w:hAnsi="仿宋" w:eastAsia="仿宋" w:cs="仿宋"/>
                <w:color w:val="auto"/>
                <w:kern w:val="28"/>
                <w:sz w:val="24"/>
                <w:highlight w:val="none"/>
              </w:rPr>
              <w:t>（3）增值税发票开具资料：单位名称、税号（统一社会信用代码）、开户行名称、账号、地址及联系电话。</w:t>
            </w:r>
          </w:p>
        </w:tc>
      </w:tr>
      <w:bookmarkEnd w:id="8"/>
    </w:tbl>
    <w:p w14:paraId="3C620CB3">
      <w:pPr>
        <w:adjustRightInd/>
        <w:spacing w:line="360" w:lineRule="auto"/>
        <w:ind w:firstLine="3845" w:firstLineChars="1197"/>
        <w:outlineLvl w:val="0"/>
        <w:rPr>
          <w:rFonts w:hint="eastAsia" w:ascii="仿宋" w:hAnsi="仿宋" w:eastAsia="仿宋" w:cs="仿宋"/>
          <w:b/>
          <w:color w:val="auto"/>
          <w:sz w:val="32"/>
          <w:szCs w:val="20"/>
          <w:highlight w:val="none"/>
        </w:rPr>
        <w:sectPr>
          <w:headerReference r:id="rId4" w:type="first"/>
          <w:footerReference r:id="rId7" w:type="first"/>
          <w:headerReference r:id="rId3" w:type="default"/>
          <w:footerReference r:id="rId5" w:type="default"/>
          <w:footerReference r:id="rId6" w:type="even"/>
          <w:pgSz w:w="11906" w:h="16838"/>
          <w:pgMar w:top="1417" w:right="1417" w:bottom="1417" w:left="1701" w:header="851" w:footer="992" w:gutter="0"/>
          <w:cols w:space="0" w:num="1"/>
          <w:titlePg/>
          <w:docGrid w:linePitch="312" w:charSpace="0"/>
        </w:sectPr>
      </w:pPr>
      <w:bookmarkStart w:id="9" w:name="_Toc164416483"/>
    </w:p>
    <w:p w14:paraId="188E14B5">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1DBD29E4">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1.适用范围</w:t>
      </w:r>
    </w:p>
    <w:p w14:paraId="7CFCC3E6">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07F457FA">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43DFCA6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2.1“采购人”系指招标公告中载明的本项目的采购人。</w:t>
      </w:r>
    </w:p>
    <w:p w14:paraId="7B643D7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2.2“采购代理机构”系指招标公告中载明的本项目的采购代理机构。</w:t>
      </w:r>
    </w:p>
    <w:p w14:paraId="4F97B21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2.3“投标人”系指是指响应招标、参加投标竞争的法人、其他组织或者自然人。</w:t>
      </w:r>
    </w:p>
    <w:p w14:paraId="0998C3F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2.4“负责人”系指法人企业的法定负责人，或其他组织为法律、行政法规规定代表单位行使职权的主要负责人，或自然人本人。</w:t>
      </w:r>
    </w:p>
    <w:p w14:paraId="44A20AB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7819BE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2.6“电子交易平台”系指本项目政府采购活动所依托的政府采购云平台（https://www.zcygov.cn/）。</w:t>
      </w:r>
    </w:p>
    <w:p w14:paraId="6246675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sz w:val="24"/>
          <w:highlight w:val="none"/>
        </w:rPr>
        <w:t>”系指适用本项目的要求，“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”系指不适用本项目的要求。</w:t>
      </w:r>
    </w:p>
    <w:p w14:paraId="41F896C8">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3.采购项目需要落实的政府采购政策</w:t>
      </w:r>
    </w:p>
    <w:p w14:paraId="78BD4660">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1041DB45">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3.2支持绿色发展</w:t>
      </w:r>
    </w:p>
    <w:p w14:paraId="4985AC6C">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8349A9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3.2.2修缮、装修类项目采购建材的，采购人应将绿色建筑和绿色建材性能、指标等作为实质性条件纳入招标文件和合同。</w:t>
      </w:r>
    </w:p>
    <w:p w14:paraId="051AF67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66DC66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鼓励供应商在参加政府采购过程中开展绿色设计、选择绿色材料、打造绿色制造工艺、开展绿色运输、做好废弃产品回收处理，实现产品全周期的绿色环保。鼓励采购单位对其提高预付款比例、免收履约保证金。</w:t>
      </w:r>
    </w:p>
    <w:p w14:paraId="6C61972A">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76F10B2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846FDB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767F2D43">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7F86BDD">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604EAEF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3.3.3对于未预留份额专门面向中小企业的政府采购服务项目，以及预留份额政府采购服务项目中的非预留部分标项，对小型和微型企业的投标报价给予10%-20%</w:t>
      </w:r>
      <w:r>
        <w:rPr>
          <w:rFonts w:hint="eastAsia" w:ascii="仿宋" w:hAnsi="仿宋" w:eastAsia="仿宋" w:cs="仿宋"/>
          <w:b/>
          <w:bCs/>
          <w:color w:val="auto"/>
          <w:sz w:val="24"/>
          <w:highlight w:val="none"/>
        </w:rPr>
        <w:t>（招标文件第四部分评标办法明确具体的扣除比例，未明确的，给予10%的扣除）</w:t>
      </w:r>
      <w:r>
        <w:rPr>
          <w:rFonts w:hint="eastAsia" w:ascii="仿宋" w:hAnsi="仿宋" w:eastAsia="仿宋" w:cs="仿宋"/>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w:t>
      </w:r>
      <w:r>
        <w:rPr>
          <w:rFonts w:hint="eastAsia" w:ascii="仿宋" w:hAnsi="仿宋" w:eastAsia="仿宋" w:cs="仿宋"/>
          <w:b/>
          <w:bCs/>
          <w:color w:val="auto"/>
          <w:sz w:val="24"/>
          <w:highlight w:val="none"/>
        </w:rPr>
        <w:t>（招标文件第四部分评标办法明确具体的扣除比例，未明确的，给予4%的扣除）</w:t>
      </w:r>
      <w:r>
        <w:rPr>
          <w:rFonts w:hint="eastAsia" w:ascii="仿宋" w:hAnsi="仿宋" w:eastAsia="仿宋" w:cs="仿宋"/>
          <w:color w:val="auto"/>
          <w:sz w:val="24"/>
          <w:highlight w:val="none"/>
        </w:rPr>
        <w:t>的扣除，用扣除后的价格参加评审。组成联合体或者接受分包的小微企业与联合体内其他企业、分包企业之间存在直接控股、管理关系的，不享受价格扣除优惠政策。</w:t>
      </w:r>
    </w:p>
    <w:p w14:paraId="459AFD9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66005F9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760828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w:t>
      </w:r>
      <w:r>
        <w:rPr>
          <w:rFonts w:hint="eastAsia" w:ascii="仿宋" w:hAnsi="仿宋" w:eastAsia="仿宋" w:cs="仿宋"/>
          <w:color w:val="auto"/>
          <w:sz w:val="24"/>
          <w:highlight w:val="none"/>
          <w:lang w:val="e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仿宋" w:hAnsi="仿宋" w:eastAsia="仿宋" w:cs="仿宋"/>
          <w:color w:val="auto"/>
          <w:sz w:val="24"/>
          <w:highlight w:val="none"/>
        </w:rPr>
        <w:t>。</w:t>
      </w:r>
    </w:p>
    <w:p w14:paraId="0C7CE20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2DF887C7">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327DB79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3.4.1首台套、“制造精品”、“专精特新”等创新产品按规定享受政府采购支持政策。</w:t>
      </w:r>
    </w:p>
    <w:p w14:paraId="1BF8A44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3.4.2采购人应当贯彻落实知识产权保护相关法律法规，应当采购使用正版软件。</w:t>
      </w:r>
    </w:p>
    <w:p w14:paraId="2CC1EBE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2684407C">
      <w:pPr>
        <w:spacing w:line="360" w:lineRule="auto"/>
        <w:ind w:firstLine="240" w:firstLineChars="100"/>
        <w:rPr>
          <w:rFonts w:hint="eastAsia"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4.询问、质疑、投诉、补偿救济</w:t>
      </w:r>
    </w:p>
    <w:p w14:paraId="3AAA8BAC">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BBD08EC">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14:paraId="5E0C0B7E">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F21BEBD">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14:paraId="1C9F0399">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1B59BB22">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C6CC3D1">
      <w:pPr>
        <w:pStyle w:val="5"/>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14:paraId="53A1192B">
      <w:pPr>
        <w:pStyle w:val="32"/>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664F6434">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0EC41A13">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14:paraId="1429160F">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14:paraId="073FF80C">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14:paraId="3C1B997C">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14:paraId="09DBFB93">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14:paraId="574EDB7E">
      <w:pPr>
        <w:pStyle w:val="32"/>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14:paraId="0747473F">
      <w:pPr>
        <w:pStyle w:val="889"/>
        <w:shd w:val="clear" w:color="auto" w:fill="FFFFFF"/>
        <w:snapToGrid w:val="0"/>
        <w:spacing w:before="0" w:beforeAutospacing="0" w:after="240" w:afterAutospacing="0" w:line="360" w:lineRule="auto"/>
        <w:ind w:firstLine="4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rPr>
        <w:t>供</w:t>
      </w:r>
      <w:r>
        <w:rPr>
          <w:rFonts w:hint="eastAsia" w:ascii="仿宋" w:hAnsi="仿宋" w:eastAsia="仿宋" w:cs="仿宋"/>
          <w:color w:val="auto"/>
          <w:highlight w:val="none"/>
          <w:lang w:val="zh-CN"/>
        </w:rPr>
        <w:t>应商提交的质疑函需一式三份。供应商为自然人的，应当由本人签字；供应商为法人或者其他组织的，应当由法定代表人、主要负责人，或者其授权代表签字或者盖章，并加盖公章。</w:t>
      </w:r>
    </w:p>
    <w:p w14:paraId="5484E087">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质疑函范本及制作说明详见附件2。</w:t>
      </w:r>
    </w:p>
    <w:p w14:paraId="08A66E11">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73D93F8A">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70678844">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4EE391B6">
      <w:pPr>
        <w:pStyle w:val="889"/>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14:paraId="0B59DA72">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111E0D66">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48F4CE8E">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72A508E1">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14:paraId="4052A423">
      <w:pPr>
        <w:pStyle w:val="889"/>
        <w:shd w:val="clear" w:color="auto" w:fill="FFFFFF"/>
        <w:snapToGrid w:val="0"/>
        <w:spacing w:after="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3D6FAB0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4.5补偿救济</w:t>
      </w:r>
    </w:p>
    <w:p w14:paraId="000217D9">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采购人因政策变化、规划调整而不履行政府采购合同的，供应商可依据《杭州市涉企补偿救济实施办法（试行）》向采购人提起补偿申请。</w:t>
      </w:r>
    </w:p>
    <w:p w14:paraId="6B59988D">
      <w:pPr>
        <w:pStyle w:val="889"/>
        <w:shd w:val="clear" w:color="auto" w:fill="FFFFFF"/>
        <w:snapToGrid w:val="0"/>
        <w:spacing w:before="0" w:beforeAutospacing="0" w:after="0" w:afterAutospacing="0" w:line="360" w:lineRule="auto"/>
        <w:ind w:firstLine="400"/>
        <w:contextualSpacing/>
        <w:rPr>
          <w:rFonts w:hint="eastAsia" w:ascii="仿宋" w:hAnsi="仿宋" w:eastAsia="仿宋" w:cs="仿宋"/>
          <w:color w:val="auto"/>
          <w:sz w:val="18"/>
          <w:szCs w:val="18"/>
          <w:highlight w:val="none"/>
        </w:rPr>
      </w:pPr>
      <w:r>
        <w:rPr>
          <w:rFonts w:hint="eastAsia" w:ascii="仿宋" w:hAnsi="仿宋" w:eastAsia="仿宋" w:cs="仿宋"/>
          <w:color w:val="auto"/>
          <w:highlight w:val="none"/>
        </w:rPr>
        <w:t>投诉书范本及制作说明详见附件3。</w:t>
      </w:r>
    </w:p>
    <w:p w14:paraId="673E4651">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二、招标文件的构成、澄清、修改</w:t>
      </w:r>
    </w:p>
    <w:p w14:paraId="5B1C8B2F">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71146A48">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5.1招标文件包括下列文件及附件：</w:t>
      </w:r>
    </w:p>
    <w:p w14:paraId="373E2EB0">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6791EA61">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63D98046">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2A1AF2FE">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66E8D3E3">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0D158E99">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0F0C42F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6472178E">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6.招标文件的澄清、修改</w:t>
      </w:r>
    </w:p>
    <w:p w14:paraId="07FE9F45">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4E30D722">
      <w:pPr>
        <w:pStyle w:val="131"/>
        <w:snapToGrid w:val="0"/>
        <w:spacing w:before="0"/>
        <w:ind w:firstLine="480"/>
        <w:rPr>
          <w:rFonts w:hint="eastAsia" w:ascii="仿宋" w:hAnsi="仿宋" w:eastAsia="仿宋" w:cs="仿宋"/>
          <w:color w:val="auto"/>
          <w:sz w:val="18"/>
          <w:szCs w:val="18"/>
          <w:highlight w:val="none"/>
        </w:rPr>
      </w:pPr>
      <w:r>
        <w:rPr>
          <w:rFonts w:hint="eastAsia" w:ascii="仿宋" w:hAnsi="仿宋" w:eastAsia="仿宋" w:cs="仿宋"/>
          <w:color w:val="auto"/>
          <w:highlight w:val="none"/>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2BA0E9D">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76CF8003">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7.招标文件的获取</w:t>
      </w:r>
    </w:p>
    <w:p w14:paraId="116EF146">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682AB968">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4A17C6B6">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0D2F1E98">
      <w:pPr>
        <w:pStyle w:val="32"/>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63B564F7">
      <w:pPr>
        <w:pStyle w:val="5"/>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40EF36F7">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10.投标文件的语言</w:t>
      </w:r>
    </w:p>
    <w:p w14:paraId="341C7667">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42F70AA2">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11.投标文件的组成</w:t>
      </w:r>
    </w:p>
    <w:p w14:paraId="1A5FD20E">
      <w:pPr>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11.1资格文件：</w:t>
      </w:r>
    </w:p>
    <w:p w14:paraId="690A1775">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4332E26F">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r>
        <w:rPr>
          <w:rFonts w:hint="eastAsia" w:ascii="仿宋" w:hAnsi="仿宋" w:eastAsia="仿宋" w:cs="仿宋"/>
          <w:snapToGrid w:val="0"/>
          <w:color w:val="auto"/>
          <w:kern w:val="28"/>
          <w:sz w:val="24"/>
          <w:szCs w:val="20"/>
          <w:highlight w:val="none"/>
        </w:rPr>
        <w:t>联合协议（如果有)；</w:t>
      </w:r>
    </w:p>
    <w:p w14:paraId="12258AA1">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4543EED9">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5A2EC2B0">
      <w:pPr>
        <w:snapToGrid w:val="0"/>
        <w:spacing w:line="360" w:lineRule="auto"/>
        <w:ind w:firstLine="482" w:firstLineChars="2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11.</w:t>
      </w:r>
      <w:r>
        <w:rPr>
          <w:rFonts w:hint="eastAsia" w:ascii="仿宋" w:hAnsi="仿宋" w:eastAsia="仿宋" w:cs="仿宋"/>
          <w:b/>
          <w:bCs/>
          <w:color w:val="auto"/>
          <w:sz w:val="24"/>
          <w:highlight w:val="none"/>
        </w:rPr>
        <w:t>2商务技术</w:t>
      </w:r>
      <w:r>
        <w:rPr>
          <w:rFonts w:hint="eastAsia" w:ascii="仿宋" w:hAnsi="仿宋" w:eastAsia="仿宋" w:cs="仿宋"/>
          <w:b/>
          <w:bCs/>
          <w:color w:val="auto"/>
          <w:sz w:val="24"/>
          <w:highlight w:val="none"/>
          <w:lang w:val="zh-CN"/>
        </w:rPr>
        <w:t>文件：</w:t>
      </w:r>
    </w:p>
    <w:p w14:paraId="4EEFBB32">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bookmarkStart w:id="513" w:name="_GoBack"/>
      <w:bookmarkEnd w:id="513"/>
    </w:p>
    <w:p w14:paraId="5DED3E29">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7176924B">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6CD73A8F">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17EE6EC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311C47E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24FFDFBC">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0736EF37">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6183C222">
      <w:pPr>
        <w:snapToGrid w:val="0"/>
        <w:spacing w:line="360" w:lineRule="auto"/>
        <w:ind w:firstLine="482" w:firstLineChars="200"/>
        <w:rPr>
          <w:rFonts w:hint="eastAsia" w:ascii="仿宋" w:hAnsi="仿宋" w:eastAsia="仿宋" w:cs="仿宋"/>
          <w:b/>
          <w:bCs/>
          <w:color w:val="auto"/>
          <w:sz w:val="24"/>
          <w:highlight w:val="none"/>
          <w:u w:val="single"/>
          <w:lang w:val="zh-CN"/>
        </w:rPr>
      </w:pPr>
      <w:r>
        <w:rPr>
          <w:rFonts w:hint="eastAsia" w:ascii="仿宋" w:hAnsi="仿宋" w:eastAsia="仿宋" w:cs="仿宋"/>
          <w:b/>
          <w:bCs/>
          <w:color w:val="auto"/>
          <w:kern w:val="0"/>
          <w:sz w:val="24"/>
          <w:highlight w:val="none"/>
          <w:lang w:val="zh-CN"/>
        </w:rPr>
        <w:t>11.</w:t>
      </w:r>
      <w:r>
        <w:rPr>
          <w:rFonts w:hint="eastAsia" w:ascii="仿宋" w:hAnsi="仿宋" w:eastAsia="仿宋" w:cs="仿宋"/>
          <w:b/>
          <w:bCs/>
          <w:color w:val="auto"/>
          <w:kern w:val="0"/>
          <w:sz w:val="24"/>
          <w:highlight w:val="none"/>
        </w:rPr>
        <w:t>3</w:t>
      </w:r>
      <w:r>
        <w:rPr>
          <w:rFonts w:hint="eastAsia" w:ascii="仿宋" w:hAnsi="仿宋" w:eastAsia="仿宋" w:cs="仿宋"/>
          <w:b/>
          <w:bCs/>
          <w:color w:val="auto"/>
          <w:sz w:val="24"/>
          <w:highlight w:val="none"/>
        </w:rPr>
        <w:t>报价文件：</w:t>
      </w:r>
    </w:p>
    <w:p w14:paraId="16BB7230">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30185B21">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11.3.2中小企业声明函。</w:t>
      </w:r>
    </w:p>
    <w:p w14:paraId="316CC39A">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3498B0C8">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投标人提供虚假材料投标的，投标无效。</w:t>
      </w:r>
    </w:p>
    <w:p w14:paraId="60C2A738">
      <w:pPr>
        <w:spacing w:line="360" w:lineRule="auto"/>
        <w:ind w:firstLine="720" w:firstLineChars="300"/>
        <w:rPr>
          <w:rFonts w:hint="eastAsia" w:ascii="仿宋" w:hAnsi="仿宋" w:eastAsia="仿宋" w:cs="仿宋"/>
          <w:color w:val="auto"/>
          <w:highlight w:val="none"/>
        </w:rPr>
      </w:pPr>
      <w:r>
        <w:rPr>
          <w:rFonts w:hint="eastAsia" w:ascii="仿宋" w:hAnsi="仿宋" w:eastAsia="仿宋" w:cs="仿宋"/>
          <w:color w:val="auto"/>
          <w:sz w:val="24"/>
          <w:highlight w:val="none"/>
          <w:shd w:val="clear" w:color="auto" w:fill="FFFFFF"/>
        </w:rPr>
        <w:t>投标人应对投标文件中材料的真实性、合法性负责。投标人可事先在公开官网查询、核对相关证书和报告内容，确保投标（响应）文件资料准确无误。</w:t>
      </w:r>
    </w:p>
    <w:p w14:paraId="269602E3">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12</w:t>
      </w:r>
      <w:r>
        <w:rPr>
          <w:rFonts w:hint="eastAsia" w:ascii="仿宋" w:hAnsi="仿宋" w:eastAsia="仿宋" w:cs="仿宋"/>
          <w:b/>
          <w:color w:val="auto"/>
          <w:sz w:val="24"/>
          <w:szCs w:val="24"/>
          <w:highlight w:val="none"/>
          <w:lang w:val="zh-CN"/>
        </w:rPr>
        <w:t>.</w:t>
      </w:r>
      <w:r>
        <w:rPr>
          <w:rFonts w:hint="eastAsia" w:ascii="仿宋" w:hAnsi="仿宋" w:eastAsia="仿宋" w:cs="仿宋"/>
          <w:b/>
          <w:color w:val="auto"/>
          <w:sz w:val="24"/>
          <w:szCs w:val="24"/>
          <w:highlight w:val="none"/>
        </w:rPr>
        <w:t>投标文件的编制</w:t>
      </w:r>
    </w:p>
    <w:p w14:paraId="63F97563">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4193645">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643F712">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786A26B5">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1B5BDE4C">
      <w:pPr>
        <w:pStyle w:val="131"/>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2E6BDCDB">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7B048FD4">
      <w:pPr>
        <w:pStyle w:val="131"/>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790EA2C9">
      <w:pPr>
        <w:pStyle w:val="131"/>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14.投标文件的提交、补充、修改、撤回</w:t>
      </w:r>
    </w:p>
    <w:p w14:paraId="4187F314">
      <w:pPr>
        <w:pStyle w:val="131"/>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7851C10">
      <w:pPr>
        <w:pStyle w:val="131"/>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8924476">
      <w:pPr>
        <w:pStyle w:val="131"/>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4E595AFA">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5504092D">
      <w:pPr>
        <w:pStyle w:val="32"/>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14:paraId="16E0F3D1">
      <w:pPr>
        <w:pStyle w:val="32"/>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4EF6650D">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5D8F928A">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67F5AAC5">
      <w:pPr>
        <w:pStyle w:val="32"/>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56A54452">
      <w:pPr>
        <w:pStyle w:val="131"/>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1D3AE831">
      <w:pPr>
        <w:pStyle w:val="24"/>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有招标文件第四部分4.2规定的情形之一的，投标无效：</w:t>
      </w:r>
    </w:p>
    <w:p w14:paraId="77EA5093">
      <w:pPr>
        <w:pStyle w:val="131"/>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7322211E">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7F5D76B4">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3F9FCC81">
      <w:pPr>
        <w:pStyle w:val="131"/>
        <w:spacing w:before="0"/>
        <w:ind w:firstLine="480"/>
        <w:rPr>
          <w:rFonts w:hint="eastAsia" w:ascii="仿宋" w:hAnsi="仿宋" w:eastAsia="仿宋" w:cs="仿宋"/>
          <w:b/>
          <w:color w:val="auto"/>
          <w:sz w:val="32"/>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7075471A">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四、开标、资格审查与信用信息查询</w:t>
      </w:r>
    </w:p>
    <w:p w14:paraId="5E35B345">
      <w:pPr>
        <w:pStyle w:val="557"/>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p>
    <w:p w14:paraId="4D2B3D99">
      <w:pPr>
        <w:pStyle w:val="557"/>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18.1采购代理机构按照招标文件规定的时间通过电子交易平台组织开标，所有投标人均应当准时在线参加。投标人不足3家的，不得开标。</w:t>
      </w:r>
    </w:p>
    <w:p w14:paraId="0EE70721">
      <w:pPr>
        <w:pStyle w:val="557"/>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18.2开标时，电子交易平台按开标时间自动提取所有投标文件。采购代理机构依托电子交易平台发起开始解密指令，投标人按照平台提示和招标文件的规定在半小时内完成在线解密。</w:t>
      </w:r>
    </w:p>
    <w:p w14:paraId="500929B8">
      <w:pPr>
        <w:pStyle w:val="557"/>
        <w:spacing w:before="0" w:line="360" w:lineRule="auto"/>
        <w:ind w:left="0" w:firstLine="482" w:firstLineChars="200"/>
        <w:contextualSpacing/>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18.3投标文件未按时解密，投标人提供了备份投标文件的，以备份投标文件作为依据，否则视为投标文件撤回。投标文件已按时解密的，备份投标文件自动失效。</w:t>
      </w:r>
    </w:p>
    <w:p w14:paraId="0A92628C">
      <w:pPr>
        <w:pStyle w:val="557"/>
        <w:spacing w:before="0" w:line="360" w:lineRule="auto"/>
        <w:ind w:left="0" w:firstLine="482" w:firstLineChars="200"/>
        <w:contextualSpacing/>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18.4结束解密后30分钟内，供应商应通过邮件形式将经授权代表签署的《政府采购活动现场确认声明书》（格式见采购文件最后一页内容）扫描件发至代理机构经办人邮箱，未发送视为对开标过程及结果无异议。</w:t>
      </w:r>
    </w:p>
    <w:p w14:paraId="2CDB3B26">
      <w:pPr>
        <w:pStyle w:val="557"/>
        <w:spacing w:before="0" w:line="360" w:lineRule="auto"/>
        <w:ind w:left="0" w:firstLine="482" w:firstLineChars="200"/>
        <w:contextualSpacing/>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18.5采购机构点击【开启报价文件】，开启报价成功后进入报价评审流程。各供应商代表应当在接到系统通知后30分钟内自行完成在线签字确认，逾期未在线签字确认的视为对开标过程及结果无异议。</w:t>
      </w:r>
    </w:p>
    <w:p w14:paraId="7178F3AC">
      <w:pPr>
        <w:widowControl/>
        <w:spacing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14:paraId="482909A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19.1</w:t>
      </w:r>
      <w:r>
        <w:rPr>
          <w:rFonts w:hint="eastAsia" w:ascii="仿宋" w:hAnsi="仿宋" w:eastAsia="仿宋" w:cs="仿宋"/>
          <w:color w:val="auto"/>
          <w:sz w:val="24"/>
          <w:highlight w:val="none"/>
        </w:rPr>
        <w:t>采购人或采购代理机构依据法律法规和招标文件的规定，对投标人的资格进行审查。</w:t>
      </w:r>
    </w:p>
    <w:p w14:paraId="6963B1AA">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19.2投标人未按照招标文件要求提供与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30A3C5D6">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3对未通过资格审查的投标人，采购人或采购代理机构告知其未通过的原因。</w:t>
      </w:r>
    </w:p>
    <w:p w14:paraId="15E97EFB">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14:paraId="39B92DAA">
      <w:pPr>
        <w:pStyle w:val="131"/>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10199B5E">
      <w:pPr>
        <w:pStyle w:val="131"/>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416A1900">
      <w:pPr>
        <w:pStyle w:val="131"/>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1E4DE327">
      <w:pPr>
        <w:pStyle w:val="131"/>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2D1013F4">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5CDA47BD">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3CFEFE2B">
      <w:pPr>
        <w:spacing w:line="360" w:lineRule="auto"/>
        <w:rPr>
          <w:rFonts w:hint="eastAsia" w:ascii="仿宋" w:hAnsi="仿宋" w:eastAsia="仿宋" w:cs="仿宋"/>
          <w:b/>
          <w:color w:val="auto"/>
          <w:sz w:val="24"/>
          <w:highlight w:val="none"/>
        </w:rPr>
      </w:pPr>
      <w:bookmarkStart w:id="10" w:name="_Toc91899903"/>
      <w:r>
        <w:rPr>
          <w:rFonts w:hint="eastAsia" w:ascii="仿宋" w:hAnsi="仿宋" w:eastAsia="仿宋" w:cs="仿宋"/>
          <w:b/>
          <w:color w:val="auto"/>
          <w:sz w:val="24"/>
          <w:highlight w:val="none"/>
        </w:rPr>
        <w:t>21.</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1D698FAA">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六、定标</w:t>
      </w:r>
    </w:p>
    <w:p w14:paraId="75B930A4">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22.确定中标供应商</w:t>
      </w:r>
    </w:p>
    <w:p w14:paraId="5C8BF325">
      <w:pPr>
        <w:pStyle w:val="131"/>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7FFBBE1C">
      <w:pPr>
        <w:pStyle w:val="131"/>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23.中标通知与中标结果公告</w:t>
      </w:r>
    </w:p>
    <w:p w14:paraId="77B9390C">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17CE6B63">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1" w:name="_Hlk101184471"/>
      <w:r>
        <w:rPr>
          <w:rFonts w:hint="eastAsia" w:ascii="仿宋" w:hAnsi="仿宋" w:eastAsia="仿宋" w:cs="仿宋"/>
          <w:color w:val="auto"/>
          <w:sz w:val="24"/>
          <w:highlight w:val="none"/>
        </w:rPr>
        <w:t>资格审查情况、评审专家抽取规则、符合性审查情况、</w:t>
      </w:r>
      <w:bookmarkEnd w:id="11"/>
      <w:r>
        <w:rPr>
          <w:rFonts w:hint="eastAsia" w:ascii="仿宋" w:hAnsi="仿宋" w:eastAsia="仿宋" w:cs="仿宋"/>
          <w:color w:val="auto"/>
          <w:sz w:val="24"/>
          <w:highlight w:val="none"/>
        </w:rPr>
        <w:t>未中标情况说明、中标公告期限以及评审专家名单、评分汇总及明细。</w:t>
      </w:r>
    </w:p>
    <w:p w14:paraId="64FA6956">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75A8072B">
      <w:pPr>
        <w:pStyle w:val="131"/>
        <w:snapToGrid w:val="0"/>
        <w:spacing w:before="0"/>
        <w:ind w:firstLine="480"/>
        <w:rPr>
          <w:rFonts w:hint="eastAsia" w:ascii="仿宋" w:hAnsi="仿宋" w:eastAsia="仿宋" w:cs="仿宋"/>
          <w:b/>
          <w:color w:val="auto"/>
          <w:sz w:val="32"/>
          <w:highlight w:val="none"/>
        </w:rPr>
      </w:pPr>
      <w:r>
        <w:rPr>
          <w:rFonts w:hint="eastAsia" w:ascii="仿宋" w:hAnsi="仿宋" w:eastAsia="仿宋" w:cs="仿宋"/>
          <w:bCs/>
          <w:color w:val="auto"/>
          <w:szCs w:val="24"/>
          <w:highlight w:val="none"/>
        </w:rPr>
        <w:t>23.4由于中标、成交供应商原因导致重新采购的，应当承担支付代理费和专家评审费等费用在内的赔偿责任。</w:t>
      </w:r>
    </w:p>
    <w:p w14:paraId="4A27F149">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七、合同授予</w:t>
      </w:r>
    </w:p>
    <w:p w14:paraId="79605050">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24.</w:t>
      </w:r>
      <w:r>
        <w:rPr>
          <w:rFonts w:hint="eastAsia" w:ascii="仿宋" w:hAnsi="仿宋" w:eastAsia="仿宋" w:cs="仿宋"/>
          <w:color w:val="auto"/>
          <w:highlight w:val="none"/>
        </w:rPr>
        <w:t>合同主要条款详见第五部分拟签订的合同文本。</w:t>
      </w:r>
    </w:p>
    <w:p w14:paraId="7EF6023F">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25.合同的签订</w:t>
      </w:r>
    </w:p>
    <w:p w14:paraId="3EC12E63">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41D5D6A">
      <w:pPr>
        <w:pStyle w:val="131"/>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5956FFE">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10F63DDD">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51B011EA">
      <w:pPr>
        <w:pStyle w:val="131"/>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6AAC148C">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26.履约保证金</w:t>
      </w:r>
    </w:p>
    <w:p w14:paraId="669D3731">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385B4810">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20E871EB">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27.预付款</w:t>
      </w:r>
    </w:p>
    <w:p w14:paraId="106711A0">
      <w:pPr>
        <w:adjustRightInd/>
        <w:spacing w:line="360" w:lineRule="auto"/>
        <w:ind w:firstLine="480" w:firstLineChars="200"/>
        <w:rPr>
          <w:rFonts w:hint="eastAsia" w:ascii="仿宋" w:hAnsi="仿宋" w:eastAsia="仿宋" w:cs="仿宋"/>
          <w:b/>
          <w:color w:val="auto"/>
          <w:sz w:val="32"/>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保函保险服务】出具预付款保函，具体步骤：选择产品—填写供应商信息—选择中标项目—确认信息—等待保险/保函受理—确认保单—支付保费—成功出单。政采云金融专线95763。</w:t>
      </w:r>
    </w:p>
    <w:p w14:paraId="5D1BE504">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八、电子交易活动的中止</w:t>
      </w:r>
    </w:p>
    <w:p w14:paraId="122DA5A5">
      <w:pPr>
        <w:pStyle w:val="131"/>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highlight w:val="none"/>
        </w:rPr>
        <w:t>2</w:t>
      </w:r>
      <w:r>
        <w:rPr>
          <w:rFonts w:hint="eastAsia" w:ascii="仿宋" w:hAnsi="仿宋" w:eastAsia="仿宋" w:cs="仿宋"/>
          <w:b/>
          <w:bCs/>
          <w:color w:val="auto"/>
          <w:szCs w:val="24"/>
          <w:highlight w:val="none"/>
        </w:rPr>
        <w:t>8</w:t>
      </w:r>
      <w:r>
        <w:rPr>
          <w:rFonts w:hint="eastAsia" w:ascii="仿宋" w:hAnsi="仿宋" w:eastAsia="仿宋" w:cs="仿宋"/>
          <w:b/>
          <w:color w:val="auto"/>
          <w:szCs w:val="24"/>
          <w:highlight w:val="none"/>
        </w:rPr>
        <w:t>.电子交易活动的中止。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7C386096">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28.1电子交易平台发生故障而无法登录访问的；</w:t>
      </w:r>
    </w:p>
    <w:p w14:paraId="19DE5CCC">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14:paraId="029AACCB">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14:paraId="02E3A172">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28.4病毒发作导致不能进行正常操作的；</w:t>
      </w:r>
    </w:p>
    <w:p w14:paraId="71B540A5">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14:paraId="517DED8D">
      <w:pPr>
        <w:pStyle w:val="131"/>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670F16E8">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九、验收</w:t>
      </w:r>
    </w:p>
    <w:p w14:paraId="48EEB692">
      <w:pPr>
        <w:pStyle w:val="24"/>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30.验收</w:t>
      </w:r>
    </w:p>
    <w:p w14:paraId="08DED549">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7A9079E">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5A9617C8">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B1B3643">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DFD83AD">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31B16DCC">
      <w:pPr>
        <w:pStyle w:val="79"/>
        <w:rPr>
          <w:rFonts w:hint="eastAsia" w:ascii="仿宋" w:hAnsi="仿宋" w:eastAsia="仿宋" w:cs="仿宋"/>
          <w:color w:val="auto"/>
          <w:highlight w:val="none"/>
        </w:rPr>
      </w:pPr>
    </w:p>
    <w:bookmarkEnd w:id="10"/>
    <w:p w14:paraId="7ECDFEF3">
      <w:pPr>
        <w:tabs>
          <w:tab w:val="left" w:pos="0"/>
        </w:tabs>
        <w:spacing w:line="360" w:lineRule="auto"/>
        <w:ind w:firstLine="480"/>
        <w:rPr>
          <w:rFonts w:hint="eastAsia" w:ascii="仿宋" w:hAnsi="仿宋" w:eastAsia="仿宋" w:cs="仿宋"/>
          <w:color w:val="auto"/>
          <w:kern w:val="0"/>
          <w:sz w:val="24"/>
          <w:highlight w:val="none"/>
        </w:rPr>
        <w:sectPr>
          <w:pgSz w:w="11906" w:h="16838"/>
          <w:pgMar w:top="1417" w:right="1417" w:bottom="1417" w:left="1701" w:header="851" w:footer="992" w:gutter="0"/>
          <w:cols w:space="0" w:num="1"/>
          <w:titlePg/>
          <w:docGrid w:linePitch="312" w:charSpace="0"/>
        </w:sectPr>
      </w:pPr>
      <w:bookmarkStart w:id="12" w:name="_Hlt68072990"/>
      <w:bookmarkEnd w:id="12"/>
      <w:bookmarkStart w:id="13" w:name="_Hlt75236011"/>
      <w:bookmarkEnd w:id="13"/>
      <w:bookmarkStart w:id="14" w:name="_Hlt74729768"/>
      <w:bookmarkEnd w:id="14"/>
      <w:bookmarkStart w:id="15" w:name="_Hlt74707468"/>
      <w:bookmarkEnd w:id="15"/>
      <w:bookmarkStart w:id="16" w:name="_Hlt68403820"/>
      <w:bookmarkEnd w:id="16"/>
      <w:bookmarkStart w:id="17" w:name="_Hlt68072998"/>
      <w:bookmarkEnd w:id="17"/>
      <w:bookmarkStart w:id="18" w:name="_Hlt75236290"/>
      <w:bookmarkEnd w:id="18"/>
      <w:bookmarkStart w:id="19" w:name="_Hlt74730295"/>
      <w:bookmarkEnd w:id="19"/>
      <w:bookmarkStart w:id="20" w:name="_Hlt68073093"/>
      <w:bookmarkEnd w:id="20"/>
      <w:bookmarkStart w:id="21" w:name="_Hlt68057669"/>
      <w:bookmarkEnd w:id="21"/>
      <w:bookmarkStart w:id="22" w:name="_Hlt75236101"/>
      <w:bookmarkEnd w:id="22"/>
      <w:bookmarkStart w:id="23" w:name="_Hlt74714665"/>
      <w:bookmarkEnd w:id="23"/>
    </w:p>
    <w:bookmarkEnd w:id="9"/>
    <w:p w14:paraId="3FBABA4C">
      <w:pPr>
        <w:spacing w:line="420" w:lineRule="exact"/>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w:t>
      </w:r>
      <w:r>
        <w:rPr>
          <w:rFonts w:hint="eastAsia" w:ascii="仿宋" w:hAnsi="仿宋" w:eastAsia="仿宋" w:cs="仿宋"/>
          <w:b/>
          <w:color w:val="auto"/>
          <w:sz w:val="36"/>
          <w:szCs w:val="20"/>
          <w:highlight w:val="none"/>
        </w:rPr>
        <w:t xml:space="preserve"> </w:t>
      </w:r>
      <w:r>
        <w:rPr>
          <w:rFonts w:hint="eastAsia" w:ascii="仿宋" w:hAnsi="仿宋" w:eastAsia="仿宋" w:cs="仿宋"/>
          <w:b/>
          <w:color w:val="auto"/>
          <w:sz w:val="36"/>
          <w:szCs w:val="36"/>
          <w:highlight w:val="none"/>
        </w:rPr>
        <w:t>采购需求</w:t>
      </w:r>
    </w:p>
    <w:p w14:paraId="7989BF8F">
      <w:pPr>
        <w:spacing w:before="120" w:beforeLines="50" w:line="36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一、采购内容一览表</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0"/>
        <w:gridCol w:w="2880"/>
        <w:gridCol w:w="694"/>
        <w:gridCol w:w="533"/>
        <w:gridCol w:w="1580"/>
        <w:gridCol w:w="2191"/>
        <w:gridCol w:w="637"/>
      </w:tblGrid>
      <w:tr w14:paraId="79F57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272" w:type="pct"/>
            <w:tcBorders>
              <w:top w:val="single" w:color="auto" w:sz="4" w:space="0"/>
              <w:left w:val="single" w:color="auto" w:sz="4" w:space="0"/>
              <w:bottom w:val="single" w:color="auto" w:sz="4" w:space="0"/>
              <w:right w:val="single" w:color="auto" w:sz="4" w:space="0"/>
            </w:tcBorders>
            <w:vAlign w:val="center"/>
          </w:tcPr>
          <w:p w14:paraId="3486DBDE">
            <w:pPr>
              <w:spacing w:before="120" w:beforeLines="50" w:line="360" w:lineRule="exact"/>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1598" w:type="pct"/>
            <w:tcBorders>
              <w:top w:val="single" w:color="auto" w:sz="4" w:space="0"/>
              <w:left w:val="single" w:color="auto" w:sz="4" w:space="0"/>
              <w:bottom w:val="single" w:color="auto" w:sz="4" w:space="0"/>
              <w:right w:val="single" w:color="auto" w:sz="4" w:space="0"/>
            </w:tcBorders>
            <w:vAlign w:val="center"/>
          </w:tcPr>
          <w:p w14:paraId="34ADA47F">
            <w:pPr>
              <w:spacing w:before="120" w:beforeLines="50" w:line="360" w:lineRule="exact"/>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标项名称</w:t>
            </w:r>
          </w:p>
        </w:tc>
        <w:tc>
          <w:tcPr>
            <w:tcW w:w="385" w:type="pct"/>
            <w:tcBorders>
              <w:top w:val="single" w:color="auto" w:sz="4" w:space="0"/>
              <w:left w:val="single" w:color="auto" w:sz="4" w:space="0"/>
              <w:bottom w:val="single" w:color="auto" w:sz="4" w:space="0"/>
              <w:right w:val="single" w:color="auto" w:sz="4" w:space="0"/>
            </w:tcBorders>
            <w:vAlign w:val="center"/>
          </w:tcPr>
          <w:p w14:paraId="048C759B">
            <w:pPr>
              <w:spacing w:before="120" w:beforeLines="50" w:line="360" w:lineRule="exact"/>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数量</w:t>
            </w:r>
          </w:p>
        </w:tc>
        <w:tc>
          <w:tcPr>
            <w:tcW w:w="296" w:type="pct"/>
            <w:tcBorders>
              <w:top w:val="single" w:color="auto" w:sz="4" w:space="0"/>
              <w:left w:val="single" w:color="auto" w:sz="4" w:space="0"/>
              <w:bottom w:val="single" w:color="auto" w:sz="4" w:space="0"/>
              <w:right w:val="single" w:color="auto" w:sz="4" w:space="0"/>
            </w:tcBorders>
            <w:vAlign w:val="center"/>
          </w:tcPr>
          <w:p w14:paraId="1B886A24">
            <w:pPr>
              <w:spacing w:before="120" w:beforeLines="50" w:line="360" w:lineRule="exact"/>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单位</w:t>
            </w:r>
          </w:p>
        </w:tc>
        <w:tc>
          <w:tcPr>
            <w:tcW w:w="877" w:type="pct"/>
            <w:tcBorders>
              <w:top w:val="single" w:color="auto" w:sz="4" w:space="0"/>
              <w:left w:val="single" w:color="auto" w:sz="4" w:space="0"/>
              <w:bottom w:val="single" w:color="auto" w:sz="4" w:space="0"/>
              <w:right w:val="single" w:color="auto" w:sz="4" w:space="0"/>
            </w:tcBorders>
            <w:vAlign w:val="center"/>
          </w:tcPr>
          <w:p w14:paraId="5B5CAEB5">
            <w:pPr>
              <w:spacing w:before="120" w:beforeLines="50" w:line="360" w:lineRule="exact"/>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预算金额</w:t>
            </w:r>
          </w:p>
        </w:tc>
        <w:tc>
          <w:tcPr>
            <w:tcW w:w="1216" w:type="pct"/>
            <w:tcBorders>
              <w:top w:val="single" w:color="auto" w:sz="4" w:space="0"/>
              <w:left w:val="single" w:color="auto" w:sz="4" w:space="0"/>
              <w:bottom w:val="single" w:color="auto" w:sz="4" w:space="0"/>
              <w:right w:val="single" w:color="auto" w:sz="4" w:space="0"/>
            </w:tcBorders>
            <w:vAlign w:val="center"/>
          </w:tcPr>
          <w:p w14:paraId="0DA74879">
            <w:pPr>
              <w:spacing w:before="120" w:beforeLines="50" w:line="360" w:lineRule="exact"/>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服务周期</w:t>
            </w:r>
          </w:p>
        </w:tc>
        <w:tc>
          <w:tcPr>
            <w:tcW w:w="353" w:type="pct"/>
            <w:tcBorders>
              <w:top w:val="single" w:color="auto" w:sz="4" w:space="0"/>
              <w:left w:val="single" w:color="auto" w:sz="4" w:space="0"/>
              <w:bottom w:val="single" w:color="auto" w:sz="4" w:space="0"/>
              <w:right w:val="single" w:color="auto" w:sz="4" w:space="0"/>
            </w:tcBorders>
            <w:vAlign w:val="center"/>
          </w:tcPr>
          <w:p w14:paraId="659400F4">
            <w:pPr>
              <w:spacing w:before="120" w:beforeLines="50" w:line="360" w:lineRule="exact"/>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备注</w:t>
            </w:r>
          </w:p>
        </w:tc>
      </w:tr>
      <w:tr w14:paraId="693A8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272" w:type="pct"/>
            <w:tcBorders>
              <w:top w:val="single" w:color="auto" w:sz="4" w:space="0"/>
              <w:left w:val="single" w:color="auto" w:sz="4" w:space="0"/>
              <w:bottom w:val="single" w:color="auto" w:sz="4" w:space="0"/>
              <w:right w:val="single" w:color="auto" w:sz="4" w:space="0"/>
            </w:tcBorders>
            <w:vAlign w:val="center"/>
          </w:tcPr>
          <w:p w14:paraId="58DFECE3">
            <w:pPr>
              <w:spacing w:before="120" w:beforeLines="50" w:line="36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1598" w:type="pct"/>
            <w:tcBorders>
              <w:top w:val="single" w:color="auto" w:sz="4" w:space="0"/>
              <w:left w:val="single" w:color="auto" w:sz="4" w:space="0"/>
              <w:bottom w:val="single" w:color="auto" w:sz="4" w:space="0"/>
              <w:right w:val="single" w:color="auto" w:sz="4" w:space="0"/>
            </w:tcBorders>
            <w:vAlign w:val="center"/>
          </w:tcPr>
          <w:p w14:paraId="218FA04D">
            <w:pPr>
              <w:spacing w:line="360" w:lineRule="exact"/>
              <w:jc w:val="center"/>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杭州市公安局上城区分局经侦大队专案审计项目</w:t>
            </w:r>
          </w:p>
        </w:tc>
        <w:tc>
          <w:tcPr>
            <w:tcW w:w="385" w:type="pct"/>
            <w:tcBorders>
              <w:top w:val="single" w:color="auto" w:sz="4" w:space="0"/>
              <w:left w:val="single" w:color="auto" w:sz="4" w:space="0"/>
              <w:bottom w:val="single" w:color="auto" w:sz="4" w:space="0"/>
              <w:right w:val="single" w:color="auto" w:sz="4" w:space="0"/>
            </w:tcBorders>
            <w:vAlign w:val="center"/>
          </w:tcPr>
          <w:p w14:paraId="1E0569AA">
            <w:pPr>
              <w:spacing w:before="120" w:beforeLines="50" w:line="36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296" w:type="pct"/>
            <w:tcBorders>
              <w:top w:val="single" w:color="auto" w:sz="4" w:space="0"/>
              <w:left w:val="single" w:color="auto" w:sz="4" w:space="0"/>
              <w:bottom w:val="single" w:color="auto" w:sz="4" w:space="0"/>
              <w:right w:val="single" w:color="auto" w:sz="4" w:space="0"/>
            </w:tcBorders>
            <w:vAlign w:val="center"/>
          </w:tcPr>
          <w:p w14:paraId="50B3615E">
            <w:pPr>
              <w:spacing w:before="120" w:beforeLines="50" w:line="36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项</w:t>
            </w:r>
          </w:p>
        </w:tc>
        <w:tc>
          <w:tcPr>
            <w:tcW w:w="877" w:type="pct"/>
            <w:tcBorders>
              <w:top w:val="single" w:color="auto" w:sz="4" w:space="0"/>
              <w:left w:val="single" w:color="auto" w:sz="4" w:space="0"/>
              <w:bottom w:val="single" w:color="auto" w:sz="4" w:space="0"/>
              <w:right w:val="single" w:color="auto" w:sz="4" w:space="0"/>
            </w:tcBorders>
            <w:vAlign w:val="center"/>
          </w:tcPr>
          <w:p w14:paraId="0CAB3F59">
            <w:pPr>
              <w:spacing w:before="120" w:beforeLines="50" w:line="36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400</w:t>
            </w:r>
            <w:r>
              <w:rPr>
                <w:rFonts w:hint="eastAsia" w:ascii="仿宋" w:hAnsi="仿宋" w:eastAsia="仿宋" w:cs="仿宋"/>
                <w:color w:val="auto"/>
                <w:kern w:val="0"/>
                <w:sz w:val="24"/>
                <w:highlight w:val="none"/>
              </w:rPr>
              <w:t>.00万元</w:t>
            </w:r>
          </w:p>
        </w:tc>
        <w:tc>
          <w:tcPr>
            <w:tcW w:w="1216" w:type="pct"/>
            <w:tcBorders>
              <w:top w:val="single" w:color="auto" w:sz="4" w:space="0"/>
              <w:left w:val="single" w:color="auto" w:sz="4" w:space="0"/>
              <w:bottom w:val="single" w:color="auto" w:sz="4" w:space="0"/>
              <w:right w:val="single" w:color="auto" w:sz="4" w:space="0"/>
            </w:tcBorders>
            <w:vAlign w:val="center"/>
          </w:tcPr>
          <w:p w14:paraId="20A9F7E6">
            <w:pPr>
              <w:spacing w:before="120" w:beforeLines="50" w:line="360" w:lineRule="exact"/>
              <w:jc w:val="center"/>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合同签订后3个月内出具审计报告</w:t>
            </w:r>
          </w:p>
        </w:tc>
        <w:tc>
          <w:tcPr>
            <w:tcW w:w="353" w:type="pct"/>
            <w:tcBorders>
              <w:top w:val="single" w:color="auto" w:sz="4" w:space="0"/>
              <w:left w:val="single" w:color="auto" w:sz="4" w:space="0"/>
              <w:bottom w:val="single" w:color="auto" w:sz="4" w:space="0"/>
              <w:right w:val="single" w:color="auto" w:sz="4" w:space="0"/>
            </w:tcBorders>
            <w:vAlign w:val="center"/>
          </w:tcPr>
          <w:p w14:paraId="3397FFBB">
            <w:pPr>
              <w:spacing w:before="120" w:beforeLines="50" w:line="360" w:lineRule="exact"/>
              <w:jc w:val="center"/>
              <w:rPr>
                <w:rFonts w:hint="eastAsia" w:ascii="仿宋" w:hAnsi="仿宋" w:eastAsia="仿宋" w:cs="仿宋"/>
                <w:color w:val="auto"/>
                <w:kern w:val="0"/>
                <w:sz w:val="24"/>
                <w:highlight w:val="none"/>
              </w:rPr>
            </w:pPr>
          </w:p>
        </w:tc>
      </w:tr>
    </w:tbl>
    <w:p w14:paraId="053BF1A8">
      <w:pPr>
        <w:spacing w:before="120" w:beforeLines="50" w:line="36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二、项目需求</w:t>
      </w:r>
    </w:p>
    <w:p w14:paraId="67B26F4E">
      <w:pPr>
        <w:wordWrap w:val="0"/>
        <w:spacing w:line="360" w:lineRule="exact"/>
        <w:ind w:right="-50" w:rightChars="-24" w:firstLine="482" w:firstLineChars="200"/>
        <w:jc w:val="left"/>
        <w:rPr>
          <w:rFonts w:hint="eastAsia"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（一）服务内容</w:t>
      </w:r>
    </w:p>
    <w:p w14:paraId="4364E2CB">
      <w:pPr>
        <w:wordWrap w:val="0"/>
        <w:spacing w:line="360" w:lineRule="exact"/>
        <w:ind w:right="-50" w:rightChars="-24" w:firstLine="480"/>
        <w:jc w:val="left"/>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本次拟对某公司非法集资案件情况进行司法专项审计，主要涉及以下内容：</w:t>
      </w:r>
    </w:p>
    <w:p w14:paraId="105D6F53">
      <w:pPr>
        <w:wordWrap w:val="0"/>
        <w:spacing w:line="360" w:lineRule="exact"/>
        <w:ind w:right="-50" w:rightChars="-24" w:firstLine="480"/>
        <w:jc w:val="left"/>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1.对某公司及其关联公司非法集资的整体情况进行审计。</w:t>
      </w:r>
    </w:p>
    <w:p w14:paraId="6B847401">
      <w:pPr>
        <w:numPr>
          <w:ilvl w:val="255"/>
          <w:numId w:val="0"/>
        </w:numPr>
        <w:wordWrap w:val="0"/>
        <w:spacing w:line="360" w:lineRule="exact"/>
        <w:ind w:right="-50" w:rightChars="-24" w:firstLine="480"/>
        <w:jc w:val="left"/>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2.对非法集资涉及的资金情况进行审计</w:t>
      </w:r>
    </w:p>
    <w:p w14:paraId="536334B0">
      <w:pPr>
        <w:numPr>
          <w:ilvl w:val="255"/>
          <w:numId w:val="0"/>
        </w:numPr>
        <w:wordWrap w:val="0"/>
        <w:spacing w:line="360" w:lineRule="exact"/>
        <w:ind w:right="-50" w:rightChars="-24" w:firstLine="480"/>
        <w:jc w:val="left"/>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3.对</w:t>
      </w:r>
      <w:bookmarkStart w:id="24" w:name="_Hlk199754026"/>
      <w:r>
        <w:rPr>
          <w:rFonts w:hint="eastAsia" w:ascii="仿宋" w:hAnsi="仿宋" w:eastAsia="仿宋" w:cs="仿宋"/>
          <w:color w:val="auto"/>
          <w:kern w:val="0"/>
          <w:sz w:val="24"/>
          <w:highlight w:val="none"/>
          <w:lang w:bidi="ar"/>
        </w:rPr>
        <w:t>非法集资犯罪嫌疑人</w:t>
      </w:r>
      <w:bookmarkEnd w:id="24"/>
      <w:r>
        <w:rPr>
          <w:rFonts w:hint="eastAsia" w:ascii="仿宋" w:hAnsi="仿宋" w:eastAsia="仿宋" w:cs="仿宋"/>
          <w:color w:val="auto"/>
          <w:kern w:val="0"/>
          <w:sz w:val="24"/>
          <w:highlight w:val="none"/>
          <w:lang w:bidi="ar"/>
        </w:rPr>
        <w:t>及相关业务员的犯罪金额和获利情况进行审计</w:t>
      </w:r>
    </w:p>
    <w:p w14:paraId="1FE91430">
      <w:pPr>
        <w:numPr>
          <w:ilvl w:val="255"/>
          <w:numId w:val="0"/>
        </w:numPr>
        <w:wordWrap w:val="0"/>
        <w:spacing w:line="360" w:lineRule="exact"/>
        <w:ind w:right="-50" w:rightChars="-24" w:firstLine="480"/>
        <w:jc w:val="left"/>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4.对非法集资案件未兑付投资人的具体投资情况与损失情况进行审计</w:t>
      </w:r>
    </w:p>
    <w:p w14:paraId="4BB83D85">
      <w:pPr>
        <w:wordWrap w:val="0"/>
        <w:spacing w:line="360" w:lineRule="exact"/>
        <w:ind w:right="-50" w:rightChars="-24" w:firstLine="480"/>
        <w:jc w:val="left"/>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5.对涉案单位的资产负债情况与经营情况进行审计</w:t>
      </w:r>
    </w:p>
    <w:p w14:paraId="761CE71D">
      <w:pPr>
        <w:wordWrap w:val="0"/>
        <w:spacing w:line="360" w:lineRule="exact"/>
        <w:ind w:right="-50" w:rightChars="-24" w:firstLine="480"/>
        <w:jc w:val="left"/>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6.通过对涉案单位、关联方公司、犯罪嫌疑人及其关联个人的资金情况进行审计，协助公安机关做好追赃挽损工作。</w:t>
      </w:r>
    </w:p>
    <w:p w14:paraId="4DDB2E88">
      <w:pPr>
        <w:spacing w:line="360" w:lineRule="exact"/>
        <w:ind w:firstLine="482" w:firstLineChars="200"/>
        <w:jc w:val="left"/>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（二）服务质量需求</w:t>
      </w:r>
    </w:p>
    <w:p w14:paraId="6C94FFEE">
      <w:pPr>
        <w:wordWrap w:val="0"/>
        <w:spacing w:line="360" w:lineRule="exact"/>
        <w:ind w:right="-50" w:rightChars="-24" w:firstLine="480"/>
        <w:jc w:val="left"/>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供应商应熟悉非法集资案件相关的法律、法规及相关政策，具有丰富的同类案件司法审计经验，遵循为采购人查清案件及追赃挽损的原则，科学、客观、公正高效地开展司法审计工作，能在规定时间内按时提供司法审计报告,并对报告的真实性、准确性负责。</w:t>
      </w:r>
    </w:p>
    <w:p w14:paraId="2B2B3636">
      <w:pPr>
        <w:wordWrap w:val="0"/>
        <w:spacing w:line="360" w:lineRule="exact"/>
        <w:ind w:right="-50" w:rightChars="-24" w:firstLine="480"/>
        <w:jc w:val="left"/>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2.供应商应具备完善的司法审计内部控制制度、人员管理制度、司法审计质量管理制度、保密管理制度、档案管理制度等相关内部控制制度。</w:t>
      </w:r>
    </w:p>
    <w:p w14:paraId="33CB8D0F">
      <w:pPr>
        <w:wordWrap w:val="0"/>
        <w:spacing w:line="360" w:lineRule="exact"/>
        <w:ind w:right="-50" w:rightChars="-24" w:firstLine="480"/>
        <w:jc w:val="left"/>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3.供应商应具备较高的涉众型案件数据处理能力并具备相关的数据处理设施与处理方法。</w:t>
      </w:r>
    </w:p>
    <w:p w14:paraId="22EF5151">
      <w:pPr>
        <w:wordWrap w:val="0"/>
        <w:spacing w:line="360" w:lineRule="exact"/>
        <w:ind w:right="-50" w:rightChars="-24" w:firstLine="480"/>
        <w:jc w:val="left"/>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4.供应商应具备丰富的大型非法吸收公众存款或集资诈骗案件等涉众型案件审计工作经验，并能为相关司法机关的案件侦破、起诉与审判提供对应的审计线索与证据。</w:t>
      </w:r>
    </w:p>
    <w:p w14:paraId="520F543C">
      <w:pPr>
        <w:spacing w:line="360" w:lineRule="exact"/>
        <w:ind w:firstLine="482" w:firstLineChars="200"/>
        <w:jc w:val="left"/>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（三）服务人员及履约时间要求</w:t>
      </w:r>
    </w:p>
    <w:p w14:paraId="311F6A66">
      <w:pPr>
        <w:wordWrap w:val="0"/>
        <w:spacing w:line="360" w:lineRule="exact"/>
        <w:ind w:right="-50" w:rightChars="-24" w:firstLine="480"/>
        <w:jc w:val="left"/>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供应商应确保提供司法审计人员(含项目负责人)至少在20人及以上，其中注册会计师人数不少于8名，参于注册会计师均需具备司法审计工作经验（其中：项目负责人执业年限不少于20年，其余注册会计师执业年限不少于10年，注册会计师均需具备司法审计工作经验）。</w:t>
      </w:r>
    </w:p>
    <w:p w14:paraId="1D419469">
      <w:pPr>
        <w:wordWrap w:val="0"/>
        <w:spacing w:line="360" w:lineRule="exact"/>
        <w:ind w:right="-50" w:rightChars="-24" w:firstLine="480"/>
        <w:jc w:val="left"/>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供应商应在采购方的要求下提供不少于10人常驻杭州市公安局上城区分局，即时对采购方司法审计要求进行响应。司法审计及驻场过程中发生的所有工作费用，由投标人自行承担。投标人还须确定2名专人负责与采购人及相关司法部门的沟通与响应联系，联系人必须做到7*24小时保持电话畅通，即时响应，随叫随到。</w:t>
      </w:r>
    </w:p>
    <w:p w14:paraId="77E75350">
      <w:pPr>
        <w:widowControl/>
        <w:wordWrap w:val="0"/>
        <w:spacing w:line="360" w:lineRule="exact"/>
        <w:ind w:right="-50" w:rightChars="-24" w:firstLine="480" w:firstLineChars="200"/>
        <w:jc w:val="left"/>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3.供应商拟派的项目管理人员、操作执行人员必须经过专业培训后上岗；项目过程文件由专门人员进行分类管理；遵守廉政纪律；因工作失误或审查结论失真，承担给采购人和第三方造成的经济损失，并承担法律责任。</w:t>
      </w:r>
    </w:p>
    <w:p w14:paraId="007415BC">
      <w:pPr>
        <w:wordWrap w:val="0"/>
        <w:spacing w:line="360" w:lineRule="exact"/>
        <w:ind w:right="-50" w:rightChars="-24" w:firstLine="480" w:firstLineChars="200"/>
        <w:jc w:val="left"/>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4.供应商应在在司法审计期过程中确保司法审计人员的稳定性，并提供不少6名后备司法审计人员名单以便采购方需要时随时增加。</w:t>
      </w:r>
    </w:p>
    <w:p w14:paraId="00726F8B">
      <w:pPr>
        <w:wordWrap w:val="0"/>
        <w:spacing w:line="360" w:lineRule="exact"/>
        <w:ind w:right="-50" w:rightChars="-24" w:firstLine="480" w:firstLineChars="200"/>
        <w:jc w:val="left"/>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5.供应商应依据审计的事项和采购人的要求，在90天之内完成审计初稿，180日之内出具出具司法审计报告。司法审计报告应按照司法审计的标准采购人的具体要求撰写，并能给出违法犯罪嫌疑人犯罪要点分析，指导侦查破案。</w:t>
      </w:r>
    </w:p>
    <w:p w14:paraId="412DDB59">
      <w:pPr>
        <w:wordWrap w:val="0"/>
        <w:spacing w:line="360" w:lineRule="exact"/>
        <w:ind w:right="-50" w:rightChars="-24" w:firstLine="480" w:firstLineChars="200"/>
        <w:jc w:val="left"/>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6.后续工作要求：报告出具后，投标人应随时根据采购方的要求根据相关使用部门需求，及时增减审计报告的相应内容，做好补充司法审计工作，并配合采购方做好相关部门的沟通工作。费用包含在此次投标报价中，不再增加其他费用。</w:t>
      </w:r>
    </w:p>
    <w:p w14:paraId="1744BEFC">
      <w:pPr>
        <w:spacing w:line="360" w:lineRule="exact"/>
        <w:ind w:firstLine="482" w:firstLineChars="200"/>
        <w:jc w:val="left"/>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（四）项目实施要求</w:t>
      </w:r>
    </w:p>
    <w:p w14:paraId="435F8604">
      <w:pPr>
        <w:wordWrap w:val="0"/>
        <w:spacing w:line="360" w:lineRule="exact"/>
        <w:ind w:right="-50" w:rightChars="-24" w:firstLine="480"/>
        <w:jc w:val="left"/>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供应商应根据项目实际需要，制定总体审计实施方案，至少包括：项目实施背景分析；非法集资案件司法审计要求理解；司法审计工作思路；司法审计业务流程；资料收集、整理、分析方案；案件线索分析技术措施；项目运行风险及防范措施分析；配合采购人管理及具体措施。</w:t>
      </w:r>
    </w:p>
    <w:p w14:paraId="42A51155">
      <w:pPr>
        <w:wordWrap w:val="0"/>
        <w:spacing w:line="360" w:lineRule="exact"/>
        <w:ind w:right="-50" w:rightChars="-24" w:firstLine="480"/>
        <w:jc w:val="left"/>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2.供应商应具备与本项目采购内容相关的管理制度，至少包括：质量控制制度；风险控制制度；档案管理制度；保密管理制度。</w:t>
      </w:r>
    </w:p>
    <w:p w14:paraId="5196C777">
      <w:pPr>
        <w:wordWrap w:val="0"/>
        <w:spacing w:line="360" w:lineRule="exact"/>
        <w:ind w:right="-50" w:rightChars="-24" w:firstLine="480"/>
        <w:jc w:val="left"/>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3.供应商应根据项目实际需要，制定服务保障措施，至少包括：常驻服务落实方案；配合后续补充审计工作方案。</w:t>
      </w:r>
    </w:p>
    <w:p w14:paraId="206EF50D">
      <w:pPr>
        <w:wordWrap w:val="0"/>
        <w:spacing w:line="360" w:lineRule="exact"/>
        <w:ind w:right="-50" w:rightChars="-24" w:firstLine="480"/>
        <w:jc w:val="left"/>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4.供应商应根据项目实际需要，制定质量控制措施，至少包括：依据国家和行业的相关法律法规与标准规范进行质量目标描述；与采购人相关部门进行工作联系方案；对第三方意见的处理方式、方法；内部三级复核制度及落实措施；审计环节权责追问等相关内控措施。</w:t>
      </w:r>
    </w:p>
    <w:p w14:paraId="5BBBBEE0">
      <w:pPr>
        <w:wordWrap w:val="0"/>
        <w:spacing w:line="360" w:lineRule="exact"/>
        <w:ind w:right="-50" w:rightChars="-24" w:firstLine="480"/>
        <w:jc w:val="left"/>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5.供应商应根据项目实际需要，制定工期进度保障措施，至少包括：从承接项目至提交审查结论安排；各阶段沟通方案；有效推进进度措施；确保工期的人员、物资、设备支持方案。</w:t>
      </w:r>
    </w:p>
    <w:p w14:paraId="4C967855">
      <w:pPr>
        <w:wordWrap w:val="0"/>
        <w:spacing w:line="360" w:lineRule="exact"/>
        <w:ind w:right="-50" w:rightChars="-24" w:firstLine="480"/>
        <w:jc w:val="left"/>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6.供应商应根据项目实际需要，制定履约措施，至少包括：职业操守执业规则落实措施；抗干扰措施；利害关系回避措施；安全保密措施；成果整改措施。</w:t>
      </w:r>
    </w:p>
    <w:p w14:paraId="4393305E">
      <w:pPr>
        <w:wordWrap w:val="0"/>
        <w:spacing w:line="360" w:lineRule="exact"/>
        <w:ind w:right="-50" w:rightChars="-24" w:firstLine="480"/>
        <w:jc w:val="left"/>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7.供应商应根据项目实际需要，制定突发事件预案，至少包括：类似项目突发事件隐患分析；应急预案组织保障方案；类似项目突发事件处置案例及经验总结。</w:t>
      </w:r>
    </w:p>
    <w:p w14:paraId="00B357AD">
      <w:pPr>
        <w:wordWrap w:val="0"/>
        <w:spacing w:line="360" w:lineRule="exact"/>
        <w:ind w:right="-50" w:rightChars="-24" w:firstLine="480"/>
        <w:jc w:val="left"/>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8.供应商应根据项目实际需要，制定特色服务措施，至少包括：本项目重难点分析、本企业特色服务优势描述；结合重难点及自身优势，提出至少3条有利于项目实施的特色化意见建议。</w:t>
      </w:r>
    </w:p>
    <w:p w14:paraId="7B372CEF">
      <w:pPr>
        <w:wordWrap w:val="0"/>
        <w:spacing w:line="360" w:lineRule="exact"/>
        <w:ind w:right="-50" w:rightChars="-24" w:firstLine="480"/>
        <w:jc w:val="left"/>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9.供应商根据项目实际需要，提供以下承诺事项，至少包括：项目服务周期保持项目组人员相对固定（变动比例不超过10%）；项目管理人员、操作执行人员经过保密培训后上岗；项目过程文件由专门保密人员进行分类管理；遵守廉政纪律；因工作失误或审查结论失真，承担给采购人和第三方造成的经济损失，并承担法律责任。</w:t>
      </w:r>
    </w:p>
    <w:p w14:paraId="0EC3C9A9">
      <w:pPr>
        <w:spacing w:before="120" w:beforeLines="50" w:line="36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三、报价要求</w:t>
      </w:r>
    </w:p>
    <w:p w14:paraId="081C0894">
      <w:pPr>
        <w:spacing w:before="120" w:beforeLines="50" w:line="3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▲1.本项目投标报价含项目所需的设备费、车辆、人工费及人员保险福利费、税金、利润，完成合同所需的一切本身和不可缺的所有工作开支、政策性文件规定及合同包含的所有风险、责任等各项一切费用</w:t>
      </w:r>
      <w:r>
        <w:rPr>
          <w:rFonts w:hint="eastAsia" w:ascii="仿宋" w:hAnsi="仿宋" w:eastAsia="仿宋" w:cs="仿宋"/>
          <w:b/>
          <w:bCs/>
          <w:color w:val="auto"/>
          <w:kern w:val="0"/>
          <w:sz w:val="24"/>
          <w:highlight w:val="none"/>
        </w:rPr>
        <w:t>。</w:t>
      </w:r>
    </w:p>
    <w:p w14:paraId="3681C160">
      <w:pPr>
        <w:spacing w:before="120" w:beforeLines="50" w:line="3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2.供应商应充分考虑服务工作所投入的人力、物力成本，管理费，利润，税金及其他费用等。本次投标报价为人民币价。</w:t>
      </w:r>
    </w:p>
    <w:p w14:paraId="2AE44EC7">
      <w:pPr>
        <w:wordWrap w:val="0"/>
        <w:spacing w:line="360" w:lineRule="exact"/>
        <w:ind w:right="-50" w:rightChars="-24"/>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四、商务要求</w:t>
      </w:r>
    </w:p>
    <w:p w14:paraId="13AEE609">
      <w:pPr>
        <w:spacing w:line="360" w:lineRule="exact"/>
        <w:ind w:firstLine="482" w:firstLineChars="200"/>
        <w:jc w:val="left"/>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（一）签订合同</w:t>
      </w:r>
    </w:p>
    <w:p w14:paraId="37BBB485">
      <w:pPr>
        <w:tabs>
          <w:tab w:val="left" w:pos="0"/>
        </w:tabs>
        <w:spacing w:line="360" w:lineRule="exact"/>
        <w:ind w:firstLine="480" w:firstLineChars="200"/>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1、本项目合同甲方（采购人）为杭州市公安局上城区分局，乙方（供应商）为中标人，合同款支付给乙方（供应商）。双方应当规定的时间内按招标文件确定的事项及投标文件响应内容签订本合同。</w:t>
      </w:r>
    </w:p>
    <w:p w14:paraId="37093692">
      <w:pPr>
        <w:spacing w:line="360" w:lineRule="exact"/>
        <w:ind w:firstLine="482" w:firstLineChars="200"/>
        <w:jc w:val="left"/>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（二）付款方式和条件</w:t>
      </w:r>
    </w:p>
    <w:p w14:paraId="777F5A39">
      <w:pPr>
        <w:tabs>
          <w:tab w:val="left" w:pos="0"/>
        </w:tabs>
        <w:spacing w:line="360" w:lineRule="exact"/>
        <w:ind w:firstLine="480" w:firstLineChars="200"/>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预付款：中标人提交银行、保险公司等金融机构出具的预付款保函（保函数额与预付款金额相同）；合同生效并具备实施条件后7个工作日内，采购人向中标人支付合同金额40%的预付款;出具正式的审计报告，经采购人审核后一个月内支付尾款。</w:t>
      </w:r>
    </w:p>
    <w:p w14:paraId="6BB53F14">
      <w:pPr>
        <w:spacing w:before="120" w:beforeLines="50" w:line="3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2.支付说明：采购人在收到中标人开具的符合法律法规规定发票后，以转账支付的方式，支付给供应商服务费。中标人逾期开具发票或开具的发票不符合采购人要求的，采购人有权延迟付款时间，且该行为不视为违约。</w:t>
      </w:r>
    </w:p>
    <w:p w14:paraId="2341E491">
      <w:pPr>
        <w:spacing w:line="360" w:lineRule="exact"/>
        <w:ind w:firstLine="482" w:firstLineChars="200"/>
        <w:jc w:val="left"/>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（三）履行合同的时间、地点、违约责任、解决争议的方式</w:t>
      </w:r>
    </w:p>
    <w:p w14:paraId="31EA63B8">
      <w:pPr>
        <w:tabs>
          <w:tab w:val="left" w:pos="0"/>
        </w:tabs>
        <w:spacing w:line="360" w:lineRule="exact"/>
        <w:ind w:firstLine="480" w:firstLineChars="200"/>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rPr>
        <w:t>▲</w:t>
      </w:r>
      <w:r>
        <w:rPr>
          <w:rFonts w:hint="eastAsia" w:ascii="仿宋" w:hAnsi="仿宋" w:eastAsia="仿宋" w:cs="仿宋"/>
          <w:b/>
          <w:bCs/>
          <w:color w:val="auto"/>
          <w:kern w:val="0"/>
          <w:sz w:val="24"/>
          <w:highlight w:val="none"/>
          <w:lang w:bidi="ar"/>
        </w:rPr>
        <w:t>1、履行合同的时间：合同签订后3个月内出具审计报告。</w:t>
      </w:r>
    </w:p>
    <w:p w14:paraId="080069E8">
      <w:pPr>
        <w:tabs>
          <w:tab w:val="left" w:pos="0"/>
        </w:tabs>
        <w:spacing w:line="360" w:lineRule="exact"/>
        <w:ind w:firstLine="480" w:firstLineChars="200"/>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2、履行合同的地点：杭州市上城区。</w:t>
      </w:r>
    </w:p>
    <w:p w14:paraId="12EB9784">
      <w:pPr>
        <w:tabs>
          <w:tab w:val="left" w:pos="0"/>
        </w:tabs>
        <w:spacing w:line="360" w:lineRule="exact"/>
        <w:ind w:firstLine="480" w:firstLineChars="200"/>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3、履约保证金：无。</w:t>
      </w:r>
    </w:p>
    <w:p w14:paraId="73205933">
      <w:pPr>
        <w:tabs>
          <w:tab w:val="left" w:pos="0"/>
        </w:tabs>
        <w:spacing w:line="360" w:lineRule="exact"/>
        <w:ind w:firstLine="480" w:firstLineChars="200"/>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4、履约保证金缴纳方式：以支票、汇票、本票或者金融机构、担保机构出具的保函等非现金形式提交。</w:t>
      </w:r>
    </w:p>
    <w:p w14:paraId="3B0AE6D9">
      <w:pPr>
        <w:tabs>
          <w:tab w:val="left" w:pos="0"/>
        </w:tabs>
        <w:spacing w:line="360" w:lineRule="exact"/>
        <w:ind w:firstLine="480" w:firstLineChars="200"/>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5、履行合同的违约责任</w:t>
      </w:r>
    </w:p>
    <w:p w14:paraId="2C46ED46">
      <w:pPr>
        <w:tabs>
          <w:tab w:val="left" w:pos="0"/>
        </w:tabs>
        <w:spacing w:line="360" w:lineRule="exact"/>
        <w:ind w:firstLine="480" w:firstLineChars="200"/>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（1）采购人无正当理由拒收接受服务的，采购人向供应商偿付合同款项百分之五作为违约金。</w:t>
      </w:r>
    </w:p>
    <w:p w14:paraId="3809531F">
      <w:pPr>
        <w:tabs>
          <w:tab w:val="left" w:pos="0"/>
        </w:tabs>
        <w:spacing w:line="360" w:lineRule="exact"/>
        <w:ind w:firstLine="480" w:firstLineChars="200"/>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（2）采购人无故逾期验收和办理款项支付手续的,采购人应按逾期付款总额每日万分之五向供应商支付违约金。</w:t>
      </w:r>
    </w:p>
    <w:p w14:paraId="58C6AB0B">
      <w:pPr>
        <w:tabs>
          <w:tab w:val="left" w:pos="0"/>
        </w:tabs>
        <w:spacing w:line="360" w:lineRule="exact"/>
        <w:ind w:firstLine="480" w:firstLineChars="200"/>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（3）供应商未能如期提供服务的，对采购人的通知逾期未响应，采购人自行安排人员完成工作，产生的相关费用由供应商承担。供应商超过约定日期10个工作日仍不能提供服务的，采购人可解除本合同。</w:t>
      </w:r>
    </w:p>
    <w:p w14:paraId="589CBC95">
      <w:pPr>
        <w:tabs>
          <w:tab w:val="left" w:pos="0"/>
        </w:tabs>
        <w:spacing w:line="360" w:lineRule="exact"/>
        <w:ind w:firstLine="480" w:firstLineChars="200"/>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（4）履行合同中解决争议的方式：在合同执行过程中如发生争议，首先应本着友好的原则协商解决，协商未果的，合同中甲乙双方均可向本项目所在地人民法院提起诉讼。</w:t>
      </w:r>
    </w:p>
    <w:p w14:paraId="0FFB7613">
      <w:pPr>
        <w:spacing w:line="360" w:lineRule="exact"/>
        <w:ind w:firstLine="482" w:firstLineChars="200"/>
        <w:jc w:val="left"/>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（四）售后服务考核</w:t>
      </w:r>
    </w:p>
    <w:p w14:paraId="3CED777E">
      <w:pPr>
        <w:tabs>
          <w:tab w:val="left" w:pos="0"/>
        </w:tabs>
        <w:spacing w:line="360" w:lineRule="exact"/>
        <w:ind w:firstLine="480" w:firstLineChars="200"/>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采购人将参照政府采购相关法律法规不定期对合同的履约情况进行检查，发现弄虚作假，达不到国家、行业有关标准和技术文件规定的，一经查实，采购人将视情况提请罚没履约保证金，终止合同。</w:t>
      </w:r>
    </w:p>
    <w:p w14:paraId="7D0DE646">
      <w:pPr>
        <w:spacing w:before="120" w:beforeLines="50" w:line="360" w:lineRule="exact"/>
        <w:rPr>
          <w:rFonts w:hint="eastAsia" w:ascii="仿宋" w:hAnsi="仿宋" w:eastAsia="仿宋" w:cs="仿宋"/>
          <w:b/>
          <w:color w:val="auto"/>
          <w:sz w:val="28"/>
          <w:szCs w:val="28"/>
          <w:highlight w:val="none"/>
        </w:rPr>
      </w:pPr>
      <w:r>
        <w:rPr>
          <w:rFonts w:ascii="仿宋" w:hAnsi="仿宋" w:eastAsia="仿宋" w:cs="仿宋"/>
          <w:b/>
          <w:color w:val="auto"/>
          <w:sz w:val="28"/>
          <w:szCs w:val="28"/>
          <w:highlight w:val="none"/>
        </w:rPr>
        <w:t>五</w:t>
      </w:r>
      <w:r>
        <w:rPr>
          <w:rFonts w:hint="eastAsia" w:ascii="仿宋" w:hAnsi="仿宋" w:eastAsia="仿宋" w:cs="仿宋"/>
          <w:b/>
          <w:color w:val="auto"/>
          <w:sz w:val="28"/>
          <w:szCs w:val="28"/>
          <w:highlight w:val="none"/>
        </w:rPr>
        <w:t>、落实政府采购政策要求</w:t>
      </w:r>
    </w:p>
    <w:p w14:paraId="194812E7">
      <w:pPr>
        <w:spacing w:line="360" w:lineRule="exact"/>
        <w:ind w:firstLine="482" w:firstLineChars="200"/>
        <w:jc w:val="left"/>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（一）政府采购扶持政策</w:t>
      </w:r>
    </w:p>
    <w:p w14:paraId="7D09EAFA">
      <w:pPr>
        <w:tabs>
          <w:tab w:val="left" w:pos="0"/>
        </w:tabs>
        <w:spacing w:line="360" w:lineRule="exact"/>
        <w:ind w:firstLine="480" w:firstLineChars="200"/>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 xml:space="preserve">（1）根据财政部工业和信息化部关于印发《政府采购促进中小企业发展管理办法》的通知（财库〔2020〕46号）的规定。 </w:t>
      </w:r>
    </w:p>
    <w:p w14:paraId="00886878">
      <w:pPr>
        <w:tabs>
          <w:tab w:val="left" w:pos="0"/>
        </w:tabs>
        <w:spacing w:line="360" w:lineRule="exact"/>
        <w:ind w:firstLine="480" w:firstLineChars="200"/>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本项目属于预留份额专门面向中小企业采购项目；</w:t>
      </w:r>
    </w:p>
    <w:p w14:paraId="0C1C6996">
      <w:pPr>
        <w:tabs>
          <w:tab w:val="left" w:pos="0"/>
        </w:tabs>
        <w:spacing w:line="360" w:lineRule="exact"/>
        <w:ind w:firstLine="480" w:firstLineChars="200"/>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采购标的所属行业：【其他未列明行业】</w:t>
      </w:r>
    </w:p>
    <w:p w14:paraId="390B567E">
      <w:pPr>
        <w:tabs>
          <w:tab w:val="left" w:pos="0"/>
        </w:tabs>
        <w:spacing w:line="360" w:lineRule="exact"/>
        <w:ind w:firstLine="480" w:firstLineChars="200"/>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（2）根据财政部司法部关于政府采购支持监狱企业发展有关问题的通知（财库〔2014〕68号）的规定，监狱企业视同小型、微型企业。</w:t>
      </w:r>
    </w:p>
    <w:p w14:paraId="0301EB31">
      <w:pPr>
        <w:tabs>
          <w:tab w:val="left" w:pos="0"/>
        </w:tabs>
        <w:spacing w:line="360" w:lineRule="exact"/>
        <w:ind w:firstLine="480" w:firstLineChars="200"/>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（3）根据财政部民政部中国残疾人联合会关于促进残疾人就业政府采购政策的通知（财库〔2017〕141号）的规定，残疾人福利性单位视同小型、微型企业。</w:t>
      </w:r>
    </w:p>
    <w:p w14:paraId="7BA876A3">
      <w:pPr>
        <w:spacing w:before="120" w:beforeLines="50" w:line="36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六、履约验收</w:t>
      </w:r>
    </w:p>
    <w:p w14:paraId="08DC4222">
      <w:pPr>
        <w:tabs>
          <w:tab w:val="left" w:pos="0"/>
        </w:tabs>
        <w:spacing w:line="360" w:lineRule="exact"/>
        <w:ind w:firstLine="480" w:firstLineChars="200"/>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1.验收主体：杭州市公安局上城区分局。</w:t>
      </w:r>
    </w:p>
    <w:p w14:paraId="04E1C096">
      <w:pPr>
        <w:tabs>
          <w:tab w:val="left" w:pos="0"/>
        </w:tabs>
        <w:spacing w:line="360" w:lineRule="exact"/>
        <w:ind w:firstLine="480" w:firstLineChars="200"/>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2.采购人在中标人提供服务的过程中，有权不定期对服务内容和质量进行考核。中标人应当配合进行。</w:t>
      </w:r>
    </w:p>
    <w:p w14:paraId="63A5F0BD">
      <w:pPr>
        <w:tabs>
          <w:tab w:val="left" w:pos="0"/>
        </w:tabs>
        <w:spacing w:line="360" w:lineRule="exact"/>
        <w:ind w:firstLine="480" w:firstLineChars="200"/>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3.最终验收时间：服务内容执行完毕、服务期截止后。</w:t>
      </w:r>
    </w:p>
    <w:p w14:paraId="70116FFA">
      <w:pPr>
        <w:tabs>
          <w:tab w:val="left" w:pos="0"/>
        </w:tabs>
        <w:spacing w:line="360" w:lineRule="exact"/>
        <w:ind w:firstLine="480" w:firstLineChars="200"/>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4.验收程序：中标人向采购人提出申请验收，采购人按验收方案组织履约验收。中标人应将项目执行过程及时记录、收集、整理，向采购人递交验收申请资料。</w:t>
      </w:r>
    </w:p>
    <w:p w14:paraId="6801CA8C">
      <w:pPr>
        <w:tabs>
          <w:tab w:val="left" w:pos="0"/>
        </w:tabs>
        <w:spacing w:line="360" w:lineRule="exact"/>
        <w:ind w:firstLine="480" w:firstLineChars="200"/>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5.验收内容：中标人实际完成的情况是否符合采购文件要求和中标人在投标响应文件中的商务、技术承诺。</w:t>
      </w:r>
    </w:p>
    <w:p w14:paraId="27C43919">
      <w:pPr>
        <w:tabs>
          <w:tab w:val="left" w:pos="0"/>
        </w:tabs>
        <w:spacing w:line="360" w:lineRule="exact"/>
        <w:ind w:firstLine="480" w:firstLineChars="200"/>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6.验收标准：中标人已经按采购文件要求和中标人在投标响应文件中的商务、技术承诺完成项目执行。</w:t>
      </w:r>
    </w:p>
    <w:p w14:paraId="2DCF3E90">
      <w:pPr>
        <w:tabs>
          <w:tab w:val="left" w:pos="0"/>
        </w:tabs>
        <w:spacing w:line="360" w:lineRule="exact"/>
        <w:ind w:firstLine="480" w:firstLineChars="200"/>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7.验收时中标人应在现场，验收完毕后作出验收结果报告；验收产生的费用，由采购人承担。</w:t>
      </w:r>
    </w:p>
    <w:p w14:paraId="029FE2EC">
      <w:pPr>
        <w:tabs>
          <w:tab w:val="left" w:pos="0"/>
        </w:tabs>
        <w:spacing w:line="360" w:lineRule="exact"/>
        <w:ind w:firstLine="480" w:firstLineChars="200"/>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8.经验收后，中标人服务成果不合格的（或未通过评审的），采购人有权要求中标人进行整改，相关费用由中标人承担；如整改后仍不合格的，采购人有权解除合同，并可以拒绝支付未支付的款项，中标人已经收取的款项应退还给采购人。</w:t>
      </w:r>
    </w:p>
    <w:p w14:paraId="4AD12B96">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36"/>
          <w:szCs w:val="36"/>
          <w:highlight w:val="none"/>
        </w:rPr>
        <w:t>第四部分</w:t>
      </w:r>
      <w:bookmarkStart w:id="25" w:name="_Toc184310286"/>
      <w:bookmarkEnd w:id="25"/>
      <w:bookmarkStart w:id="26" w:name="_Toc184314468"/>
      <w:bookmarkEnd w:id="26"/>
      <w:bookmarkStart w:id="27" w:name="_Toc184314436"/>
      <w:bookmarkEnd w:id="27"/>
      <w:bookmarkStart w:id="28" w:name="_Toc184312075"/>
      <w:bookmarkEnd w:id="28"/>
      <w:bookmarkStart w:id="29" w:name="_Toc184308052"/>
      <w:bookmarkEnd w:id="29"/>
      <w:bookmarkStart w:id="30" w:name="_Toc184310290"/>
      <w:bookmarkEnd w:id="30"/>
      <w:bookmarkStart w:id="31" w:name="_Toc184312137"/>
      <w:bookmarkEnd w:id="31"/>
      <w:bookmarkStart w:id="32" w:name="_Toc184312119"/>
      <w:bookmarkEnd w:id="32"/>
      <w:bookmarkStart w:id="33" w:name="_Toc184310314"/>
      <w:bookmarkEnd w:id="33"/>
      <w:bookmarkStart w:id="34" w:name="_Toc184314427"/>
      <w:bookmarkEnd w:id="34"/>
      <w:bookmarkStart w:id="35" w:name="_Toc184308089"/>
      <w:bookmarkEnd w:id="35"/>
      <w:bookmarkStart w:id="36" w:name="_Toc184308103"/>
      <w:bookmarkEnd w:id="36"/>
      <w:bookmarkStart w:id="37" w:name="_Toc184312136"/>
      <w:bookmarkEnd w:id="37"/>
      <w:bookmarkStart w:id="38" w:name="_Toc184313294"/>
      <w:bookmarkEnd w:id="38"/>
      <w:bookmarkStart w:id="39" w:name="_Toc184308097"/>
      <w:bookmarkEnd w:id="39"/>
      <w:bookmarkStart w:id="40" w:name="_Toc184314463"/>
      <w:bookmarkEnd w:id="40"/>
      <w:bookmarkStart w:id="41" w:name="_Toc184314424"/>
      <w:bookmarkEnd w:id="41"/>
      <w:bookmarkStart w:id="42" w:name="_Toc184313306"/>
      <w:bookmarkEnd w:id="42"/>
      <w:bookmarkStart w:id="43" w:name="_Toc184313290"/>
      <w:bookmarkEnd w:id="43"/>
      <w:bookmarkStart w:id="44" w:name="_Toc184314459"/>
      <w:bookmarkEnd w:id="44"/>
      <w:bookmarkStart w:id="45" w:name="_Toc184314471"/>
      <w:bookmarkEnd w:id="45"/>
      <w:bookmarkStart w:id="46" w:name="_Toc184312108"/>
      <w:bookmarkEnd w:id="46"/>
      <w:bookmarkStart w:id="47" w:name="_Toc184314482"/>
      <w:bookmarkEnd w:id="47"/>
      <w:bookmarkStart w:id="48" w:name="_Toc184310344"/>
      <w:bookmarkEnd w:id="48"/>
      <w:bookmarkStart w:id="49" w:name="_Toc184310275"/>
      <w:bookmarkEnd w:id="49"/>
      <w:bookmarkStart w:id="50" w:name="_Toc184313276"/>
      <w:bookmarkEnd w:id="50"/>
      <w:bookmarkStart w:id="51" w:name="_Toc184314428"/>
      <w:bookmarkEnd w:id="51"/>
      <w:bookmarkStart w:id="52" w:name="_Toc184313262"/>
      <w:bookmarkEnd w:id="52"/>
      <w:bookmarkStart w:id="53" w:name="_Toc184312138"/>
      <w:bookmarkEnd w:id="53"/>
      <w:bookmarkStart w:id="54" w:name="_Toc184310311"/>
      <w:bookmarkEnd w:id="54"/>
      <w:bookmarkStart w:id="55" w:name="_Toc184310330"/>
      <w:bookmarkEnd w:id="55"/>
      <w:bookmarkStart w:id="56" w:name="_Toc184310293"/>
      <w:bookmarkEnd w:id="56"/>
      <w:bookmarkStart w:id="57" w:name="_Toc184312109"/>
      <w:bookmarkEnd w:id="57"/>
      <w:bookmarkStart w:id="58" w:name="_Toc184310337"/>
      <w:bookmarkEnd w:id="58"/>
      <w:bookmarkStart w:id="59" w:name="_Toc184310331"/>
      <w:bookmarkEnd w:id="59"/>
      <w:bookmarkStart w:id="60" w:name="_Toc184313300"/>
      <w:bookmarkEnd w:id="60"/>
      <w:bookmarkStart w:id="61" w:name="_Toc184313245"/>
      <w:bookmarkEnd w:id="61"/>
      <w:bookmarkStart w:id="62" w:name="_Toc184308041"/>
      <w:bookmarkEnd w:id="62"/>
      <w:bookmarkStart w:id="63" w:name="_Toc184314469"/>
      <w:bookmarkEnd w:id="63"/>
      <w:bookmarkStart w:id="64" w:name="_Toc184310288"/>
      <w:bookmarkEnd w:id="64"/>
      <w:bookmarkStart w:id="65" w:name="_Toc184308108"/>
      <w:bookmarkEnd w:id="65"/>
      <w:bookmarkStart w:id="66" w:name="_Toc184310338"/>
      <w:bookmarkEnd w:id="66"/>
      <w:bookmarkStart w:id="67" w:name="_Toc184312086"/>
      <w:bookmarkEnd w:id="67"/>
      <w:bookmarkStart w:id="68" w:name="_Toc184313266"/>
      <w:bookmarkEnd w:id="68"/>
      <w:bookmarkStart w:id="69" w:name="_Toc184308074"/>
      <w:bookmarkEnd w:id="69"/>
      <w:bookmarkStart w:id="70" w:name="_Toc184314480"/>
      <w:bookmarkEnd w:id="70"/>
      <w:bookmarkStart w:id="71" w:name="_Toc184310309"/>
      <w:bookmarkEnd w:id="71"/>
      <w:bookmarkStart w:id="72" w:name="_Toc184312112"/>
      <w:bookmarkEnd w:id="72"/>
      <w:bookmarkStart w:id="73" w:name="_Toc184313240"/>
      <w:bookmarkEnd w:id="73"/>
      <w:bookmarkStart w:id="74" w:name="_Toc184308054"/>
      <w:bookmarkEnd w:id="74"/>
      <w:bookmarkStart w:id="75" w:name="_Toc184314476"/>
      <w:bookmarkEnd w:id="75"/>
      <w:bookmarkStart w:id="76" w:name="_Toc184312088"/>
      <w:bookmarkEnd w:id="76"/>
      <w:bookmarkStart w:id="77" w:name="_Toc184312125"/>
      <w:bookmarkEnd w:id="77"/>
      <w:bookmarkStart w:id="78" w:name="_Toc184310294"/>
      <w:bookmarkEnd w:id="78"/>
      <w:bookmarkStart w:id="79" w:name="_Toc184312107"/>
      <w:bookmarkEnd w:id="79"/>
      <w:bookmarkStart w:id="80" w:name="_Toc184313285"/>
      <w:bookmarkEnd w:id="80"/>
      <w:bookmarkStart w:id="81" w:name="_Toc184313239"/>
      <w:bookmarkEnd w:id="81"/>
      <w:bookmarkStart w:id="82" w:name="_Toc184310303"/>
      <w:bookmarkEnd w:id="82"/>
      <w:bookmarkStart w:id="83" w:name="_Toc184313258"/>
      <w:bookmarkEnd w:id="83"/>
      <w:bookmarkStart w:id="84" w:name="_Toc184314431"/>
      <w:bookmarkEnd w:id="84"/>
      <w:bookmarkStart w:id="85" w:name="_Toc184310295"/>
      <w:bookmarkEnd w:id="85"/>
      <w:bookmarkStart w:id="86" w:name="_Toc184313274"/>
      <w:bookmarkEnd w:id="86"/>
      <w:bookmarkStart w:id="87" w:name="_Toc184310335"/>
      <w:bookmarkEnd w:id="87"/>
      <w:bookmarkStart w:id="88" w:name="_Toc184314449"/>
      <w:bookmarkEnd w:id="88"/>
      <w:bookmarkStart w:id="89" w:name="_Toc184308088"/>
      <w:bookmarkEnd w:id="89"/>
      <w:bookmarkStart w:id="90" w:name="_Toc184308078"/>
      <w:bookmarkEnd w:id="90"/>
      <w:bookmarkStart w:id="91" w:name="_Toc184313271"/>
      <w:bookmarkEnd w:id="91"/>
      <w:bookmarkStart w:id="92" w:name="_Toc184313301"/>
      <w:bookmarkEnd w:id="92"/>
      <w:bookmarkStart w:id="93" w:name="_Toc184310273"/>
      <w:bookmarkEnd w:id="93"/>
      <w:bookmarkStart w:id="94" w:name="_Toc184312131"/>
      <w:bookmarkEnd w:id="94"/>
      <w:bookmarkStart w:id="95" w:name="_Toc184308062"/>
      <w:bookmarkEnd w:id="95"/>
      <w:bookmarkStart w:id="96" w:name="_Toc184308090"/>
      <w:bookmarkEnd w:id="96"/>
      <w:bookmarkStart w:id="97" w:name="_Toc184310305"/>
      <w:bookmarkEnd w:id="97"/>
      <w:bookmarkStart w:id="98" w:name="_Toc184312128"/>
      <w:bookmarkEnd w:id="98"/>
      <w:bookmarkStart w:id="99" w:name="_Toc184308038"/>
      <w:bookmarkEnd w:id="99"/>
      <w:bookmarkStart w:id="100" w:name="_Toc184314457"/>
      <w:bookmarkEnd w:id="100"/>
      <w:bookmarkStart w:id="101" w:name="_Toc184312105"/>
      <w:bookmarkEnd w:id="101"/>
      <w:bookmarkStart w:id="102" w:name="_Toc184310332"/>
      <w:bookmarkEnd w:id="102"/>
      <w:bookmarkStart w:id="103" w:name="_Toc184310316"/>
      <w:bookmarkEnd w:id="103"/>
      <w:bookmarkStart w:id="104" w:name="_Toc184312121"/>
      <w:bookmarkEnd w:id="104"/>
      <w:bookmarkStart w:id="105" w:name="_Toc184310317"/>
      <w:bookmarkEnd w:id="105"/>
      <w:bookmarkStart w:id="106" w:name="_Toc184314441"/>
      <w:bookmarkEnd w:id="106"/>
      <w:bookmarkStart w:id="107" w:name="_Toc184313296"/>
      <w:bookmarkEnd w:id="107"/>
      <w:bookmarkStart w:id="108" w:name="_Toc184314456"/>
      <w:bookmarkEnd w:id="108"/>
      <w:bookmarkStart w:id="109" w:name="_Toc184308060"/>
      <w:bookmarkEnd w:id="109"/>
      <w:bookmarkStart w:id="110" w:name="_Toc184314439"/>
      <w:bookmarkEnd w:id="110"/>
      <w:bookmarkStart w:id="111" w:name="_Toc184310306"/>
      <w:bookmarkEnd w:id="111"/>
      <w:bookmarkStart w:id="112" w:name="_Toc184312111"/>
      <w:bookmarkEnd w:id="112"/>
      <w:bookmarkStart w:id="113" w:name="_Toc184314429"/>
      <w:bookmarkEnd w:id="113"/>
      <w:bookmarkStart w:id="114" w:name="_Toc184314454"/>
      <w:bookmarkEnd w:id="114"/>
      <w:bookmarkStart w:id="115" w:name="_Toc184313249"/>
      <w:bookmarkEnd w:id="115"/>
      <w:bookmarkStart w:id="116" w:name="_Toc184314437"/>
      <w:bookmarkEnd w:id="116"/>
      <w:bookmarkStart w:id="117" w:name="_Toc184312094"/>
      <w:bookmarkEnd w:id="117"/>
      <w:bookmarkStart w:id="118" w:name="_Toc184308106"/>
      <w:bookmarkEnd w:id="118"/>
      <w:bookmarkStart w:id="119" w:name="_Toc184308067"/>
      <w:bookmarkEnd w:id="119"/>
      <w:bookmarkStart w:id="120" w:name="_Toc184314477"/>
      <w:bookmarkEnd w:id="120"/>
      <w:bookmarkStart w:id="121" w:name="_Toc184308049"/>
      <w:bookmarkEnd w:id="121"/>
      <w:bookmarkStart w:id="122" w:name="_Toc184310315"/>
      <w:bookmarkEnd w:id="122"/>
      <w:bookmarkStart w:id="123" w:name="_Toc184314433"/>
      <w:bookmarkEnd w:id="123"/>
      <w:bookmarkStart w:id="124" w:name="_Toc184308058"/>
      <w:bookmarkEnd w:id="124"/>
      <w:bookmarkStart w:id="125" w:name="_Toc184310299"/>
      <w:bookmarkEnd w:id="125"/>
      <w:bookmarkStart w:id="126" w:name="_Toc184308064"/>
      <w:bookmarkEnd w:id="126"/>
      <w:bookmarkStart w:id="127" w:name="_Toc184308046"/>
      <w:bookmarkEnd w:id="127"/>
      <w:bookmarkStart w:id="128" w:name="_Toc184308042"/>
      <w:bookmarkEnd w:id="128"/>
      <w:bookmarkStart w:id="129" w:name="_Toc184310278"/>
      <w:bookmarkEnd w:id="129"/>
      <w:bookmarkStart w:id="130" w:name="_Toc184312134"/>
      <w:bookmarkEnd w:id="130"/>
      <w:bookmarkStart w:id="131" w:name="_Toc184308070"/>
      <w:bookmarkEnd w:id="131"/>
      <w:bookmarkStart w:id="132" w:name="_Toc184314444"/>
      <w:bookmarkEnd w:id="132"/>
      <w:bookmarkStart w:id="133" w:name="_Toc184310326"/>
      <w:bookmarkEnd w:id="133"/>
      <w:bookmarkStart w:id="134" w:name="_Toc184314473"/>
      <w:bookmarkEnd w:id="134"/>
      <w:bookmarkStart w:id="135" w:name="_Toc184312069"/>
      <w:bookmarkEnd w:id="135"/>
      <w:bookmarkStart w:id="136" w:name="_Toc184314435"/>
      <w:bookmarkEnd w:id="136"/>
      <w:bookmarkStart w:id="137" w:name="_Toc184312103"/>
      <w:bookmarkEnd w:id="137"/>
      <w:bookmarkStart w:id="138" w:name="_Toc184312110"/>
      <w:bookmarkEnd w:id="138"/>
      <w:bookmarkStart w:id="139" w:name="_Toc184313269"/>
      <w:bookmarkEnd w:id="139"/>
      <w:bookmarkStart w:id="140" w:name="_Toc184312118"/>
      <w:bookmarkEnd w:id="140"/>
      <w:bookmarkStart w:id="141" w:name="_Toc184314464"/>
      <w:bookmarkEnd w:id="141"/>
      <w:bookmarkStart w:id="142" w:name="_Toc184313252"/>
      <w:bookmarkEnd w:id="142"/>
      <w:bookmarkStart w:id="143" w:name="_Toc184314417"/>
      <w:bookmarkEnd w:id="143"/>
      <w:bookmarkStart w:id="144" w:name="_Toc184314430"/>
      <w:bookmarkEnd w:id="144"/>
      <w:bookmarkStart w:id="145" w:name="_Toc184312101"/>
      <w:bookmarkEnd w:id="145"/>
      <w:bookmarkStart w:id="146" w:name="_Toc184314416"/>
      <w:bookmarkEnd w:id="146"/>
      <w:bookmarkStart w:id="147" w:name="_Toc184314419"/>
      <w:bookmarkEnd w:id="147"/>
      <w:bookmarkStart w:id="148" w:name="_Toc184313289"/>
      <w:bookmarkEnd w:id="148"/>
      <w:bookmarkStart w:id="149" w:name="_Toc184313310"/>
      <w:bookmarkEnd w:id="149"/>
      <w:bookmarkStart w:id="150" w:name="_Toc184314450"/>
      <w:bookmarkEnd w:id="150"/>
      <w:bookmarkStart w:id="151" w:name="_Toc184312079"/>
      <w:bookmarkEnd w:id="151"/>
      <w:bookmarkStart w:id="152" w:name="_Toc184308040"/>
      <w:bookmarkEnd w:id="152"/>
      <w:bookmarkStart w:id="153" w:name="_Toc184313278"/>
      <w:bookmarkEnd w:id="153"/>
      <w:bookmarkStart w:id="154" w:name="_Toc184308080"/>
      <w:bookmarkEnd w:id="154"/>
      <w:bookmarkStart w:id="155" w:name="_Toc184310341"/>
      <w:bookmarkEnd w:id="155"/>
      <w:bookmarkStart w:id="156" w:name="_Toc184310285"/>
      <w:bookmarkEnd w:id="156"/>
      <w:bookmarkStart w:id="157" w:name="_Toc184313293"/>
      <w:bookmarkEnd w:id="157"/>
      <w:bookmarkStart w:id="158" w:name="_Toc184308048"/>
      <w:bookmarkEnd w:id="158"/>
      <w:bookmarkStart w:id="159" w:name="_Toc184313265"/>
      <w:bookmarkEnd w:id="159"/>
      <w:bookmarkStart w:id="160" w:name="_Toc184310310"/>
      <w:bookmarkEnd w:id="160"/>
      <w:bookmarkStart w:id="161" w:name="_Toc184310300"/>
      <w:bookmarkEnd w:id="161"/>
      <w:bookmarkStart w:id="162" w:name="_Toc184310321"/>
      <w:bookmarkEnd w:id="162"/>
      <w:bookmarkStart w:id="163" w:name="_Toc184308056"/>
      <w:bookmarkEnd w:id="163"/>
      <w:bookmarkStart w:id="164" w:name="_Toc184308073"/>
      <w:bookmarkEnd w:id="164"/>
      <w:bookmarkStart w:id="165" w:name="_Toc184308053"/>
      <w:bookmarkEnd w:id="165"/>
      <w:bookmarkStart w:id="166" w:name="_Toc184308084"/>
      <w:bookmarkEnd w:id="166"/>
      <w:bookmarkStart w:id="167" w:name="_Toc184312120"/>
      <w:bookmarkEnd w:id="167"/>
      <w:bookmarkStart w:id="168" w:name="_Toc184310283"/>
      <w:bookmarkEnd w:id="168"/>
      <w:bookmarkStart w:id="169" w:name="_Toc184314466"/>
      <w:bookmarkEnd w:id="169"/>
      <w:bookmarkStart w:id="170" w:name="_Toc184314438"/>
      <w:bookmarkEnd w:id="170"/>
      <w:bookmarkStart w:id="171" w:name="_Toc184313247"/>
      <w:bookmarkEnd w:id="171"/>
      <w:bookmarkStart w:id="172" w:name="_Toc184310279"/>
      <w:bookmarkEnd w:id="172"/>
      <w:bookmarkStart w:id="173" w:name="_Toc184312117"/>
      <w:bookmarkEnd w:id="173"/>
      <w:bookmarkStart w:id="174" w:name="_Toc184313308"/>
      <w:bookmarkEnd w:id="174"/>
      <w:bookmarkStart w:id="175" w:name="_Toc184310302"/>
      <w:bookmarkEnd w:id="175"/>
      <w:bookmarkStart w:id="176" w:name="_Toc184314432"/>
      <w:bookmarkEnd w:id="176"/>
      <w:bookmarkStart w:id="177" w:name="_Toc184308082"/>
      <w:bookmarkEnd w:id="177"/>
      <w:bookmarkStart w:id="178" w:name="_Toc184308065"/>
      <w:bookmarkEnd w:id="178"/>
      <w:bookmarkStart w:id="179" w:name="_Toc184313267"/>
      <w:bookmarkEnd w:id="179"/>
      <w:bookmarkStart w:id="180" w:name="_Toc184314451"/>
      <w:bookmarkEnd w:id="180"/>
      <w:bookmarkStart w:id="181" w:name="_Toc184314414"/>
      <w:bookmarkEnd w:id="181"/>
      <w:bookmarkStart w:id="182" w:name="_Toc184310272"/>
      <w:bookmarkEnd w:id="182"/>
      <w:bookmarkStart w:id="183" w:name="_Toc184308063"/>
      <w:bookmarkEnd w:id="183"/>
      <w:bookmarkStart w:id="184" w:name="_Toc184314412"/>
      <w:bookmarkEnd w:id="184"/>
      <w:bookmarkStart w:id="185" w:name="_Toc184312073"/>
      <w:bookmarkEnd w:id="185"/>
      <w:bookmarkStart w:id="186" w:name="_Toc184308043"/>
      <w:bookmarkEnd w:id="186"/>
      <w:bookmarkStart w:id="187" w:name="_Toc184312080"/>
      <w:bookmarkEnd w:id="187"/>
      <w:bookmarkStart w:id="188" w:name="_Toc184310318"/>
      <w:bookmarkEnd w:id="188"/>
      <w:bookmarkStart w:id="189" w:name="_Toc184308091"/>
      <w:bookmarkEnd w:id="189"/>
      <w:bookmarkStart w:id="190" w:name="_Toc184312100"/>
      <w:bookmarkEnd w:id="190"/>
      <w:bookmarkStart w:id="191" w:name="_Toc184313263"/>
      <w:bookmarkEnd w:id="191"/>
      <w:bookmarkStart w:id="192" w:name="_Toc184312096"/>
      <w:bookmarkEnd w:id="192"/>
      <w:bookmarkStart w:id="193" w:name="_Toc184308100"/>
      <w:bookmarkEnd w:id="193"/>
      <w:bookmarkStart w:id="194" w:name="_Toc184312132"/>
      <w:bookmarkEnd w:id="194"/>
      <w:bookmarkStart w:id="195" w:name="_Toc184310319"/>
      <w:bookmarkEnd w:id="195"/>
      <w:bookmarkStart w:id="196" w:name="_Toc184312133"/>
      <w:bookmarkEnd w:id="196"/>
      <w:bookmarkStart w:id="197" w:name="_Toc184308047"/>
      <w:bookmarkEnd w:id="197"/>
      <w:bookmarkStart w:id="198" w:name="_Toc184312124"/>
      <w:bookmarkEnd w:id="198"/>
      <w:bookmarkStart w:id="199" w:name="_Toc184308039"/>
      <w:bookmarkEnd w:id="199"/>
      <w:bookmarkStart w:id="200" w:name="_Toc184312068"/>
      <w:bookmarkEnd w:id="200"/>
      <w:bookmarkStart w:id="201" w:name="_Toc184314410"/>
      <w:bookmarkEnd w:id="201"/>
      <w:bookmarkStart w:id="202" w:name="_Toc184313286"/>
      <w:bookmarkEnd w:id="202"/>
      <w:bookmarkStart w:id="203" w:name="_Toc184312087"/>
      <w:bookmarkEnd w:id="203"/>
      <w:bookmarkStart w:id="204" w:name="_Toc184314453"/>
      <w:bookmarkEnd w:id="204"/>
      <w:bookmarkStart w:id="205" w:name="_Toc184312114"/>
      <w:bookmarkEnd w:id="205"/>
      <w:bookmarkStart w:id="206" w:name="_Toc184310340"/>
      <w:bookmarkEnd w:id="206"/>
      <w:bookmarkStart w:id="207" w:name="_Toc184314418"/>
      <w:bookmarkEnd w:id="207"/>
      <w:bookmarkStart w:id="208" w:name="_Toc184308083"/>
      <w:bookmarkEnd w:id="208"/>
      <w:bookmarkStart w:id="209" w:name="_Toc184313299"/>
      <w:bookmarkEnd w:id="209"/>
      <w:bookmarkStart w:id="210" w:name="_Toc184314455"/>
      <w:bookmarkEnd w:id="210"/>
      <w:bookmarkStart w:id="211" w:name="_Toc184313304"/>
      <w:bookmarkEnd w:id="211"/>
      <w:bookmarkStart w:id="212" w:name="_Toc184310324"/>
      <w:bookmarkEnd w:id="212"/>
      <w:bookmarkStart w:id="213" w:name="_Toc184313251"/>
      <w:bookmarkEnd w:id="213"/>
      <w:bookmarkStart w:id="214" w:name="_Toc184314467"/>
      <w:bookmarkEnd w:id="214"/>
      <w:bookmarkStart w:id="215" w:name="_Toc184313241"/>
      <w:bookmarkEnd w:id="215"/>
      <w:bookmarkStart w:id="216" w:name="_Toc184313288"/>
      <w:bookmarkEnd w:id="216"/>
      <w:bookmarkStart w:id="217" w:name="_Toc184313287"/>
      <w:bookmarkEnd w:id="217"/>
      <w:bookmarkStart w:id="218" w:name="_Toc184314443"/>
      <w:bookmarkEnd w:id="218"/>
      <w:bookmarkStart w:id="219" w:name="_Toc184312070"/>
      <w:bookmarkEnd w:id="219"/>
      <w:bookmarkStart w:id="220" w:name="_Toc184313254"/>
      <w:bookmarkEnd w:id="220"/>
      <w:bookmarkStart w:id="221" w:name="_Toc184308079"/>
      <w:bookmarkEnd w:id="221"/>
      <w:bookmarkStart w:id="222" w:name="_Toc184310339"/>
      <w:bookmarkEnd w:id="222"/>
      <w:bookmarkStart w:id="223" w:name="_Toc184310297"/>
      <w:bookmarkEnd w:id="223"/>
      <w:bookmarkStart w:id="224" w:name="_Toc184310336"/>
      <w:bookmarkEnd w:id="224"/>
      <w:bookmarkStart w:id="225" w:name="_Toc184308059"/>
      <w:bookmarkEnd w:id="225"/>
      <w:bookmarkStart w:id="226" w:name="_Toc184313291"/>
      <w:bookmarkEnd w:id="226"/>
      <w:bookmarkStart w:id="227" w:name="_Toc184308071"/>
      <w:bookmarkEnd w:id="227"/>
      <w:bookmarkStart w:id="228" w:name="_Toc184313302"/>
      <w:bookmarkEnd w:id="228"/>
      <w:bookmarkStart w:id="229" w:name="_Toc184314442"/>
      <w:bookmarkEnd w:id="229"/>
      <w:bookmarkStart w:id="230" w:name="_Toc184310312"/>
      <w:bookmarkEnd w:id="230"/>
      <w:bookmarkStart w:id="231" w:name="_Toc184308096"/>
      <w:bookmarkEnd w:id="231"/>
      <w:bookmarkStart w:id="232" w:name="_Toc184308055"/>
      <w:bookmarkEnd w:id="232"/>
      <w:bookmarkStart w:id="233" w:name="_Toc184312089"/>
      <w:bookmarkEnd w:id="233"/>
      <w:bookmarkStart w:id="234" w:name="_Toc184308099"/>
      <w:bookmarkEnd w:id="234"/>
      <w:bookmarkStart w:id="235" w:name="_Toc184308101"/>
      <w:bookmarkEnd w:id="235"/>
      <w:bookmarkStart w:id="236" w:name="_Toc184312127"/>
      <w:bookmarkEnd w:id="236"/>
      <w:bookmarkStart w:id="237" w:name="_Toc184314411"/>
      <w:bookmarkEnd w:id="237"/>
      <w:bookmarkStart w:id="238" w:name="_Toc184310292"/>
      <w:bookmarkEnd w:id="238"/>
      <w:bookmarkStart w:id="239" w:name="_Toc184312077"/>
      <w:bookmarkEnd w:id="239"/>
      <w:bookmarkStart w:id="240" w:name="_Toc184312098"/>
      <w:bookmarkEnd w:id="240"/>
      <w:bookmarkStart w:id="241" w:name="_Toc184313257"/>
      <w:bookmarkEnd w:id="241"/>
      <w:bookmarkStart w:id="242" w:name="_Toc184310329"/>
      <w:bookmarkEnd w:id="242"/>
      <w:bookmarkStart w:id="243" w:name="_Toc184310325"/>
      <w:bookmarkEnd w:id="243"/>
      <w:bookmarkStart w:id="244" w:name="_Toc184308036"/>
      <w:bookmarkEnd w:id="244"/>
      <w:bookmarkStart w:id="245" w:name="_Toc184312072"/>
      <w:bookmarkEnd w:id="245"/>
      <w:bookmarkStart w:id="246" w:name="_Toc184308050"/>
      <w:bookmarkEnd w:id="246"/>
      <w:bookmarkStart w:id="247" w:name="_Toc184314421"/>
      <w:bookmarkEnd w:id="247"/>
      <w:bookmarkStart w:id="248" w:name="_Toc184310343"/>
      <w:bookmarkEnd w:id="248"/>
      <w:bookmarkStart w:id="249" w:name="_Toc184314422"/>
      <w:bookmarkEnd w:id="249"/>
      <w:bookmarkStart w:id="250" w:name="_Toc184313284"/>
      <w:bookmarkEnd w:id="250"/>
      <w:bookmarkStart w:id="251" w:name="_Toc184313270"/>
      <w:bookmarkEnd w:id="251"/>
      <w:bookmarkStart w:id="252" w:name="_Toc184310307"/>
      <w:bookmarkEnd w:id="252"/>
      <w:bookmarkStart w:id="253" w:name="_Toc184310342"/>
      <w:bookmarkEnd w:id="253"/>
      <w:bookmarkStart w:id="254" w:name="_Toc184314447"/>
      <w:bookmarkEnd w:id="254"/>
      <w:bookmarkStart w:id="255" w:name="_Toc184312115"/>
      <w:bookmarkEnd w:id="255"/>
      <w:bookmarkStart w:id="256" w:name="_Toc184310298"/>
      <w:bookmarkEnd w:id="256"/>
      <w:bookmarkStart w:id="257" w:name="_Toc184310304"/>
      <w:bookmarkEnd w:id="257"/>
      <w:bookmarkStart w:id="258" w:name="_Toc184308075"/>
      <w:bookmarkEnd w:id="258"/>
      <w:bookmarkStart w:id="259" w:name="_Toc184314458"/>
      <w:bookmarkEnd w:id="259"/>
      <w:bookmarkStart w:id="260" w:name="_Toc184310296"/>
      <w:bookmarkEnd w:id="260"/>
      <w:bookmarkStart w:id="261" w:name="_Toc184314434"/>
      <w:bookmarkEnd w:id="261"/>
      <w:bookmarkStart w:id="262" w:name="_Toc184310301"/>
      <w:bookmarkEnd w:id="262"/>
      <w:bookmarkStart w:id="263" w:name="_Toc184313250"/>
      <w:bookmarkEnd w:id="263"/>
      <w:bookmarkStart w:id="264" w:name="_Toc184310277"/>
      <w:bookmarkEnd w:id="264"/>
      <w:bookmarkStart w:id="265" w:name="_Toc184314425"/>
      <w:bookmarkEnd w:id="265"/>
      <w:bookmarkStart w:id="266" w:name="_Toc184312116"/>
      <w:bookmarkEnd w:id="266"/>
      <w:bookmarkStart w:id="267" w:name="_Toc184312123"/>
      <w:bookmarkEnd w:id="267"/>
      <w:bookmarkStart w:id="268" w:name="_Toc184314423"/>
      <w:bookmarkEnd w:id="268"/>
      <w:bookmarkStart w:id="269" w:name="_Toc184313261"/>
      <w:bookmarkEnd w:id="269"/>
      <w:bookmarkStart w:id="270" w:name="_Toc184312099"/>
      <w:bookmarkEnd w:id="270"/>
      <w:bookmarkStart w:id="271" w:name="_Toc184308076"/>
      <w:bookmarkEnd w:id="271"/>
      <w:bookmarkStart w:id="272" w:name="_Toc184310287"/>
      <w:bookmarkEnd w:id="272"/>
      <w:bookmarkStart w:id="273" w:name="_Toc184312113"/>
      <w:bookmarkEnd w:id="273"/>
      <w:bookmarkStart w:id="274" w:name="_Toc184310334"/>
      <w:bookmarkEnd w:id="274"/>
      <w:bookmarkStart w:id="275" w:name="_Toc184312130"/>
      <w:bookmarkEnd w:id="275"/>
      <w:bookmarkStart w:id="276" w:name="_Toc184312074"/>
      <w:bookmarkEnd w:id="276"/>
      <w:bookmarkStart w:id="277" w:name="_Toc184313303"/>
      <w:bookmarkEnd w:id="277"/>
      <w:bookmarkStart w:id="278" w:name="_Toc184314445"/>
      <w:bookmarkEnd w:id="278"/>
      <w:bookmarkStart w:id="279" w:name="_Toc184313256"/>
      <w:bookmarkEnd w:id="279"/>
      <w:bookmarkStart w:id="280" w:name="_Toc184312097"/>
      <w:bookmarkEnd w:id="280"/>
      <w:bookmarkStart w:id="281" w:name="_Toc184308087"/>
      <w:bookmarkEnd w:id="281"/>
      <w:bookmarkStart w:id="282" w:name="_Toc184308104"/>
      <w:bookmarkEnd w:id="282"/>
      <w:bookmarkStart w:id="283" w:name="_Toc184314479"/>
      <w:bookmarkEnd w:id="283"/>
      <w:bookmarkStart w:id="284" w:name="_Toc184310323"/>
      <w:bookmarkEnd w:id="284"/>
      <w:bookmarkStart w:id="285" w:name="_Toc184310274"/>
      <w:bookmarkEnd w:id="285"/>
      <w:bookmarkStart w:id="286" w:name="_Toc184313259"/>
      <w:bookmarkEnd w:id="286"/>
      <w:bookmarkStart w:id="287" w:name="_Toc184313281"/>
      <w:bookmarkEnd w:id="287"/>
      <w:bookmarkStart w:id="288" w:name="_Toc184314420"/>
      <w:bookmarkEnd w:id="288"/>
      <w:bookmarkStart w:id="289" w:name="_Toc184313244"/>
      <w:bookmarkEnd w:id="289"/>
      <w:bookmarkStart w:id="290" w:name="_Toc184313242"/>
      <w:bookmarkEnd w:id="290"/>
      <w:bookmarkStart w:id="291" w:name="_Toc184308092"/>
      <w:bookmarkEnd w:id="291"/>
      <w:bookmarkStart w:id="292" w:name="_Toc184308057"/>
      <w:bookmarkEnd w:id="292"/>
      <w:bookmarkStart w:id="293" w:name="_Toc184313264"/>
      <w:bookmarkEnd w:id="293"/>
      <w:bookmarkStart w:id="294" w:name="_Toc184313248"/>
      <w:bookmarkEnd w:id="294"/>
      <w:bookmarkStart w:id="295" w:name="_Toc184310284"/>
      <w:bookmarkEnd w:id="295"/>
      <w:bookmarkStart w:id="296" w:name="_Toc184310322"/>
      <w:bookmarkEnd w:id="296"/>
      <w:bookmarkStart w:id="297" w:name="_Toc184310313"/>
      <w:bookmarkEnd w:id="297"/>
      <w:bookmarkStart w:id="298" w:name="_Toc184313246"/>
      <w:bookmarkEnd w:id="298"/>
      <w:bookmarkStart w:id="299" w:name="_Toc184312090"/>
      <w:bookmarkEnd w:id="299"/>
      <w:bookmarkStart w:id="300" w:name="_Toc184312126"/>
      <w:bookmarkEnd w:id="300"/>
      <w:bookmarkStart w:id="301" w:name="_Toc184308085"/>
      <w:bookmarkEnd w:id="301"/>
      <w:bookmarkStart w:id="302" w:name="_Toc184308044"/>
      <w:bookmarkEnd w:id="302"/>
      <w:bookmarkStart w:id="303" w:name="_Toc184308102"/>
      <w:bookmarkEnd w:id="303"/>
      <w:bookmarkStart w:id="304" w:name="_Toc184312082"/>
      <w:bookmarkEnd w:id="304"/>
      <w:bookmarkStart w:id="305" w:name="_Toc184310276"/>
      <w:bookmarkEnd w:id="305"/>
      <w:bookmarkStart w:id="306" w:name="_Toc184313268"/>
      <w:bookmarkEnd w:id="306"/>
      <w:bookmarkStart w:id="307" w:name="_Toc184313297"/>
      <w:bookmarkEnd w:id="307"/>
      <w:bookmarkStart w:id="308" w:name="_Toc184308069"/>
      <w:bookmarkEnd w:id="308"/>
      <w:bookmarkStart w:id="309" w:name="_Toc184313275"/>
      <w:bookmarkEnd w:id="309"/>
      <w:bookmarkStart w:id="310" w:name="_Toc184312078"/>
      <w:bookmarkEnd w:id="310"/>
      <w:bookmarkStart w:id="311" w:name="_Toc184312067"/>
      <w:bookmarkEnd w:id="311"/>
      <w:bookmarkStart w:id="312" w:name="_Toc184312091"/>
      <w:bookmarkEnd w:id="312"/>
      <w:bookmarkStart w:id="313" w:name="_Toc184313280"/>
      <w:bookmarkEnd w:id="313"/>
      <w:bookmarkStart w:id="314" w:name="_Toc184308086"/>
      <w:bookmarkEnd w:id="314"/>
      <w:bookmarkStart w:id="315" w:name="_Toc184313292"/>
      <w:bookmarkEnd w:id="315"/>
      <w:bookmarkStart w:id="316" w:name="_Toc184308077"/>
      <w:bookmarkEnd w:id="316"/>
      <w:bookmarkStart w:id="317" w:name="_Toc184312104"/>
      <w:bookmarkEnd w:id="317"/>
      <w:bookmarkStart w:id="318" w:name="_Toc184312106"/>
      <w:bookmarkEnd w:id="318"/>
      <w:bookmarkStart w:id="319" w:name="_Toc184308068"/>
      <w:bookmarkEnd w:id="319"/>
      <w:bookmarkStart w:id="320" w:name="_Toc184314452"/>
      <w:bookmarkEnd w:id="320"/>
      <w:bookmarkStart w:id="321" w:name="_Toc184312095"/>
      <w:bookmarkEnd w:id="321"/>
      <w:bookmarkStart w:id="322" w:name="_Toc184308094"/>
      <w:bookmarkEnd w:id="322"/>
      <w:bookmarkStart w:id="323" w:name="_Toc184313272"/>
      <w:bookmarkEnd w:id="323"/>
      <w:bookmarkStart w:id="324" w:name="_Toc184310281"/>
      <w:bookmarkEnd w:id="324"/>
      <w:bookmarkStart w:id="325" w:name="_Toc184314481"/>
      <w:bookmarkEnd w:id="325"/>
      <w:bookmarkStart w:id="326" w:name="_Toc184308072"/>
      <w:bookmarkEnd w:id="326"/>
      <w:bookmarkStart w:id="327" w:name="_Toc184314446"/>
      <w:bookmarkEnd w:id="327"/>
      <w:bookmarkStart w:id="328" w:name="_Toc184313279"/>
      <w:bookmarkEnd w:id="328"/>
      <w:bookmarkStart w:id="329" w:name="_Toc184308061"/>
      <w:bookmarkEnd w:id="329"/>
      <w:bookmarkStart w:id="330" w:name="_Toc184308051"/>
      <w:bookmarkEnd w:id="330"/>
      <w:bookmarkStart w:id="331" w:name="_Toc184314475"/>
      <w:bookmarkEnd w:id="331"/>
      <w:bookmarkStart w:id="332" w:name="_Toc184312129"/>
      <w:bookmarkEnd w:id="332"/>
      <w:bookmarkStart w:id="333" w:name="_Toc184310328"/>
      <w:bookmarkEnd w:id="333"/>
      <w:bookmarkStart w:id="334" w:name="_Toc184310308"/>
      <w:bookmarkEnd w:id="334"/>
      <w:bookmarkStart w:id="335" w:name="_Toc184310320"/>
      <w:bookmarkEnd w:id="335"/>
      <w:bookmarkStart w:id="336" w:name="_Toc184314440"/>
      <w:bookmarkEnd w:id="336"/>
      <w:bookmarkStart w:id="337" w:name="_Toc184314460"/>
      <w:bookmarkEnd w:id="337"/>
      <w:bookmarkStart w:id="338" w:name="_Toc184312135"/>
      <w:bookmarkEnd w:id="338"/>
      <w:bookmarkStart w:id="339" w:name="_Toc184314448"/>
      <w:bookmarkEnd w:id="339"/>
      <w:bookmarkStart w:id="340" w:name="_Toc184314426"/>
      <w:bookmarkEnd w:id="340"/>
      <w:bookmarkStart w:id="341" w:name="_Toc184312083"/>
      <w:bookmarkEnd w:id="341"/>
      <w:bookmarkStart w:id="342" w:name="_Toc184314415"/>
      <w:bookmarkEnd w:id="342"/>
      <w:bookmarkStart w:id="343" w:name="_Toc184308098"/>
      <w:bookmarkEnd w:id="343"/>
      <w:bookmarkStart w:id="344" w:name="_Toc184314462"/>
      <w:bookmarkEnd w:id="344"/>
      <w:bookmarkStart w:id="345" w:name="_Toc184312084"/>
      <w:bookmarkEnd w:id="345"/>
      <w:bookmarkStart w:id="346" w:name="_Toc184310327"/>
      <w:bookmarkEnd w:id="346"/>
      <w:bookmarkStart w:id="347" w:name="_Toc184313305"/>
      <w:bookmarkEnd w:id="347"/>
      <w:bookmarkStart w:id="348" w:name="_Toc184313273"/>
      <w:bookmarkEnd w:id="348"/>
      <w:bookmarkStart w:id="349" w:name="_Toc184312081"/>
      <w:bookmarkEnd w:id="349"/>
      <w:bookmarkStart w:id="350" w:name="_Toc184313238"/>
      <w:bookmarkEnd w:id="350"/>
      <w:bookmarkStart w:id="351" w:name="_Toc184312122"/>
      <w:bookmarkEnd w:id="351"/>
      <w:bookmarkStart w:id="352" w:name="_Toc184312093"/>
      <w:bookmarkEnd w:id="352"/>
      <w:bookmarkStart w:id="353" w:name="_Toc184308081"/>
      <w:bookmarkEnd w:id="353"/>
      <w:bookmarkStart w:id="354" w:name="_Toc184308107"/>
      <w:bookmarkEnd w:id="354"/>
      <w:bookmarkStart w:id="355" w:name="_Toc184314470"/>
      <w:bookmarkEnd w:id="355"/>
      <w:bookmarkStart w:id="356" w:name="_Toc184314474"/>
      <w:bookmarkEnd w:id="356"/>
      <w:bookmarkStart w:id="357" w:name="_Toc184308095"/>
      <w:bookmarkEnd w:id="357"/>
      <w:bookmarkStart w:id="358" w:name="_Toc184312076"/>
      <w:bookmarkEnd w:id="358"/>
      <w:bookmarkStart w:id="359" w:name="_Toc184308045"/>
      <w:bookmarkEnd w:id="359"/>
      <w:bookmarkStart w:id="360" w:name="_Toc184310282"/>
      <w:bookmarkEnd w:id="360"/>
      <w:bookmarkStart w:id="361" w:name="_Toc184313309"/>
      <w:bookmarkEnd w:id="361"/>
      <w:bookmarkStart w:id="362" w:name="_Toc184314478"/>
      <w:bookmarkEnd w:id="362"/>
      <w:bookmarkStart w:id="363" w:name="_Toc184312071"/>
      <w:bookmarkEnd w:id="363"/>
      <w:bookmarkStart w:id="364" w:name="_Toc184313295"/>
      <w:bookmarkEnd w:id="364"/>
      <w:bookmarkStart w:id="365" w:name="_Toc184312085"/>
      <w:bookmarkEnd w:id="365"/>
      <w:bookmarkStart w:id="366" w:name="_Toc184310333"/>
      <w:bookmarkEnd w:id="366"/>
      <w:bookmarkStart w:id="367" w:name="_Toc184313307"/>
      <w:bookmarkEnd w:id="367"/>
      <w:bookmarkStart w:id="368" w:name="_Toc184313255"/>
      <w:bookmarkEnd w:id="368"/>
      <w:bookmarkStart w:id="369" w:name="_Toc184313253"/>
      <w:bookmarkEnd w:id="369"/>
      <w:bookmarkStart w:id="370" w:name="_Toc184313298"/>
      <w:bookmarkEnd w:id="370"/>
      <w:bookmarkStart w:id="371" w:name="_Toc184312139"/>
      <w:bookmarkEnd w:id="371"/>
      <w:bookmarkStart w:id="372" w:name="_Toc184310280"/>
      <w:bookmarkEnd w:id="372"/>
      <w:bookmarkStart w:id="373" w:name="_Toc184313277"/>
      <w:bookmarkEnd w:id="373"/>
      <w:bookmarkStart w:id="374" w:name="_Toc184314472"/>
      <w:bookmarkEnd w:id="374"/>
      <w:bookmarkStart w:id="375" w:name="_Toc184313282"/>
      <w:bookmarkEnd w:id="375"/>
      <w:bookmarkStart w:id="376" w:name="_Toc184308037"/>
      <w:bookmarkEnd w:id="376"/>
      <w:bookmarkStart w:id="377" w:name="_Toc184308105"/>
      <w:bookmarkEnd w:id="377"/>
      <w:bookmarkStart w:id="378" w:name="_Toc184313243"/>
      <w:bookmarkEnd w:id="378"/>
      <w:bookmarkStart w:id="379" w:name="_Toc184313283"/>
      <w:bookmarkEnd w:id="379"/>
      <w:bookmarkStart w:id="380" w:name="_Toc184308066"/>
      <w:bookmarkEnd w:id="380"/>
      <w:bookmarkStart w:id="381" w:name="_Toc184314461"/>
      <w:bookmarkEnd w:id="381"/>
      <w:bookmarkStart w:id="382" w:name="_Toc184314465"/>
      <w:bookmarkEnd w:id="382"/>
      <w:bookmarkStart w:id="383" w:name="_Toc184312102"/>
      <w:bookmarkEnd w:id="383"/>
      <w:bookmarkStart w:id="384" w:name="_Toc184313260"/>
      <w:bookmarkEnd w:id="384"/>
      <w:bookmarkStart w:id="385" w:name="_Toc184312092"/>
      <w:bookmarkEnd w:id="385"/>
      <w:bookmarkStart w:id="386" w:name="_Toc184308093"/>
      <w:bookmarkEnd w:id="386"/>
      <w:bookmarkStart w:id="387" w:name="_Toc184310291"/>
      <w:bookmarkEnd w:id="387"/>
      <w:bookmarkStart w:id="388" w:name="_Toc184310289"/>
      <w:bookmarkEnd w:id="388"/>
      <w:bookmarkStart w:id="389" w:name="_Toc184314413"/>
      <w:bookmarkEnd w:id="389"/>
      <w:r>
        <w:rPr>
          <w:rFonts w:hint="eastAsia" w:ascii="仿宋" w:hAnsi="仿宋" w:eastAsia="仿宋" w:cs="仿宋"/>
          <w:b/>
          <w:color w:val="auto"/>
          <w:sz w:val="36"/>
          <w:szCs w:val="20"/>
          <w:highlight w:val="none"/>
        </w:rPr>
        <w:t xml:space="preserve"> </w:t>
      </w:r>
      <w:r>
        <w:rPr>
          <w:rFonts w:hint="eastAsia" w:ascii="仿宋" w:hAnsi="仿宋" w:eastAsia="仿宋" w:cs="仿宋"/>
          <w:b/>
          <w:color w:val="auto"/>
          <w:sz w:val="36"/>
          <w:szCs w:val="36"/>
          <w:highlight w:val="none"/>
        </w:rPr>
        <w:t>评标办法</w:t>
      </w:r>
    </w:p>
    <w:p w14:paraId="5581E7A5">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
        <w:gridCol w:w="5831"/>
        <w:gridCol w:w="485"/>
        <w:gridCol w:w="845"/>
        <w:gridCol w:w="1369"/>
      </w:tblGrid>
      <w:tr w14:paraId="02A56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 w:type="pct"/>
            <w:vAlign w:val="center"/>
          </w:tcPr>
          <w:p w14:paraId="73A080BA">
            <w:pPr>
              <w:snapToGrid w:val="0"/>
              <w:spacing w:line="32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237" w:type="pct"/>
            <w:vAlign w:val="center"/>
          </w:tcPr>
          <w:p w14:paraId="6F774CF7">
            <w:pPr>
              <w:snapToGrid w:val="0"/>
              <w:spacing w:line="32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评标标准</w:t>
            </w:r>
          </w:p>
        </w:tc>
        <w:tc>
          <w:tcPr>
            <w:tcW w:w="269" w:type="pct"/>
            <w:vAlign w:val="center"/>
          </w:tcPr>
          <w:p w14:paraId="4ED08110">
            <w:pPr>
              <w:snapToGrid w:val="0"/>
              <w:spacing w:line="32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权重</w:t>
            </w:r>
          </w:p>
        </w:tc>
        <w:tc>
          <w:tcPr>
            <w:tcW w:w="469" w:type="pct"/>
            <w:vAlign w:val="center"/>
          </w:tcPr>
          <w:p w14:paraId="2FF41ADB">
            <w:pPr>
              <w:snapToGrid w:val="0"/>
              <w:spacing w:line="32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主观分/客观分属性</w:t>
            </w:r>
          </w:p>
        </w:tc>
        <w:tc>
          <w:tcPr>
            <w:tcW w:w="760" w:type="pct"/>
          </w:tcPr>
          <w:p w14:paraId="42B70772">
            <w:pPr>
              <w:snapToGrid w:val="0"/>
              <w:spacing w:line="32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投标文件中评标标准相应的商务技术资料目录*</w:t>
            </w:r>
          </w:p>
        </w:tc>
      </w:tr>
      <w:tr w14:paraId="57E1B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 w:type="pct"/>
            <w:vAlign w:val="center"/>
          </w:tcPr>
          <w:p w14:paraId="1ED1BDFF">
            <w:pPr>
              <w:snapToGrid w:val="0"/>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3237" w:type="pct"/>
            <w:shd w:val="clear" w:color="auto" w:fill="auto"/>
            <w:vAlign w:val="center"/>
          </w:tcPr>
          <w:p w14:paraId="6F72B32E">
            <w:pPr>
              <w:spacing w:before="120" w:beforeLines="50" w:line="320" w:lineRule="exact"/>
              <w:jc w:val="left"/>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供应商自2022年1月1日以来（以合同签订时间为准）完成过类似审计服务（类似业绩指涉众型案件）的，每提供1个合同个得0.2分，最多得1分。</w:t>
            </w:r>
            <w:r>
              <w:rPr>
                <w:rFonts w:hint="eastAsia" w:ascii="仿宋" w:hAnsi="仿宋" w:eastAsia="仿宋" w:cs="仿宋"/>
                <w:b/>
                <w:bCs/>
                <w:color w:val="auto"/>
                <w:kern w:val="0"/>
                <w:sz w:val="24"/>
                <w:highlight w:val="none"/>
              </w:rPr>
              <w:t>注：响应文件中应提供项目的合同和审计报告扫描件，相关扫描件中需体现除涉密内容以外的其他要素，否则不算有效的类似项目业绩。</w:t>
            </w:r>
          </w:p>
        </w:tc>
        <w:tc>
          <w:tcPr>
            <w:tcW w:w="269" w:type="pct"/>
            <w:shd w:val="clear" w:color="auto" w:fill="auto"/>
            <w:vAlign w:val="center"/>
          </w:tcPr>
          <w:p w14:paraId="1E50F0DC">
            <w:pPr>
              <w:spacing w:before="120" w:beforeLines="50" w:line="320" w:lineRule="exact"/>
              <w:jc w:val="center"/>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469" w:type="pct"/>
            <w:shd w:val="clear" w:color="auto" w:fill="auto"/>
            <w:vAlign w:val="center"/>
          </w:tcPr>
          <w:p w14:paraId="2234F939">
            <w:pPr>
              <w:spacing w:before="120" w:beforeLines="50" w:line="320" w:lineRule="exact"/>
              <w:jc w:val="center"/>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客观</w:t>
            </w:r>
          </w:p>
        </w:tc>
        <w:tc>
          <w:tcPr>
            <w:tcW w:w="760" w:type="pct"/>
            <w:vAlign w:val="center"/>
          </w:tcPr>
          <w:p w14:paraId="6549B641">
            <w:pPr>
              <w:widowControl/>
              <w:adjustRightInd/>
              <w:spacing w:before="120" w:beforeLines="50" w:line="320" w:lineRule="exact"/>
              <w:jc w:val="left"/>
              <w:outlineLvl w:val="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类似业绩</w:t>
            </w:r>
          </w:p>
        </w:tc>
      </w:tr>
      <w:tr w14:paraId="0B4CF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 w:type="pct"/>
            <w:vAlign w:val="center"/>
          </w:tcPr>
          <w:p w14:paraId="0A53E54C">
            <w:pPr>
              <w:snapToGrid w:val="0"/>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3237" w:type="pct"/>
            <w:shd w:val="clear" w:color="auto" w:fill="auto"/>
            <w:vAlign w:val="center"/>
          </w:tcPr>
          <w:p w14:paraId="4F904BD5">
            <w:pPr>
              <w:spacing w:before="120" w:beforeLines="50" w:line="320" w:lineRule="exact"/>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供应商具备有效的会计师事务所执业证书的得2分，其他不得分。</w:t>
            </w:r>
            <w:r>
              <w:rPr>
                <w:rFonts w:hint="eastAsia" w:ascii="仿宋" w:hAnsi="仿宋" w:eastAsia="仿宋" w:cs="仿宋"/>
                <w:b/>
                <w:bCs/>
                <w:color w:val="auto"/>
                <w:kern w:val="0"/>
                <w:sz w:val="24"/>
                <w:highlight w:val="none"/>
              </w:rPr>
              <w:t>注：响应文件中提供证书扫描件加盖公章，不提供不得分。</w:t>
            </w:r>
          </w:p>
        </w:tc>
        <w:tc>
          <w:tcPr>
            <w:tcW w:w="269" w:type="pct"/>
            <w:shd w:val="clear" w:color="auto" w:fill="auto"/>
            <w:vAlign w:val="center"/>
          </w:tcPr>
          <w:p w14:paraId="6DB9FF32">
            <w:pPr>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469" w:type="pct"/>
            <w:shd w:val="clear" w:color="auto" w:fill="auto"/>
            <w:vAlign w:val="center"/>
          </w:tcPr>
          <w:p w14:paraId="138012AF">
            <w:pPr>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客观</w:t>
            </w:r>
          </w:p>
        </w:tc>
        <w:tc>
          <w:tcPr>
            <w:tcW w:w="760" w:type="pct"/>
            <w:vAlign w:val="center"/>
          </w:tcPr>
          <w:p w14:paraId="33597E3F">
            <w:pPr>
              <w:snapToGrid w:val="0"/>
              <w:spacing w:line="320" w:lineRule="exact"/>
              <w:jc w:val="center"/>
              <w:rPr>
                <w:rFonts w:hint="eastAsia" w:ascii="仿宋" w:hAnsi="仿宋" w:eastAsia="仿宋" w:cs="仿宋"/>
                <w:color w:val="auto"/>
                <w:sz w:val="24"/>
                <w:highlight w:val="none"/>
              </w:rPr>
            </w:pPr>
            <w:r>
              <w:rPr>
                <w:rFonts w:hint="eastAsia" w:ascii="仿宋" w:hAnsi="仿宋" w:eastAsia="仿宋" w:cs="仿宋"/>
                <w:b/>
                <w:bCs/>
                <w:color w:val="auto"/>
                <w:kern w:val="0"/>
                <w:sz w:val="24"/>
                <w:highlight w:val="none"/>
              </w:rPr>
              <w:t>审计资质</w:t>
            </w:r>
          </w:p>
        </w:tc>
      </w:tr>
      <w:tr w14:paraId="6D64C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 w:type="pct"/>
            <w:vAlign w:val="center"/>
          </w:tcPr>
          <w:p w14:paraId="22125496">
            <w:pPr>
              <w:snapToGrid w:val="0"/>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3237" w:type="pct"/>
            <w:shd w:val="clear" w:color="auto" w:fill="auto"/>
            <w:vAlign w:val="center"/>
          </w:tcPr>
          <w:p w14:paraId="3443CA52">
            <w:pPr>
              <w:spacing w:before="120" w:beforeLines="50" w:line="320" w:lineRule="exact"/>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供应商具有质量管理体系、环境管理体系、职业健康安全管理体系认证证书，且证书在有效期内的，每个得1分，本项最高得3分。</w:t>
            </w:r>
            <w:r>
              <w:rPr>
                <w:rFonts w:hint="eastAsia" w:ascii="仿宋" w:hAnsi="仿宋" w:eastAsia="仿宋" w:cs="仿宋"/>
                <w:b/>
                <w:bCs/>
                <w:color w:val="auto"/>
                <w:kern w:val="0"/>
                <w:sz w:val="24"/>
                <w:highlight w:val="none"/>
              </w:rPr>
              <w:t>注：响应文件中须同时提供有效证书复印件和全国认证认可信息公共服务平台网站http://www.cnca.gov.cn/查询页面截图复印件，并均加盖投标人公章，否则不得分。】</w:t>
            </w:r>
          </w:p>
        </w:tc>
        <w:tc>
          <w:tcPr>
            <w:tcW w:w="269" w:type="pct"/>
            <w:shd w:val="clear" w:color="auto" w:fill="auto"/>
            <w:vAlign w:val="center"/>
          </w:tcPr>
          <w:p w14:paraId="27B57EBD">
            <w:pPr>
              <w:spacing w:before="120" w:beforeLines="50" w:line="320" w:lineRule="exact"/>
              <w:jc w:val="center"/>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469" w:type="pct"/>
            <w:shd w:val="clear" w:color="auto" w:fill="auto"/>
            <w:vAlign w:val="center"/>
          </w:tcPr>
          <w:p w14:paraId="78CBCF0E">
            <w:pPr>
              <w:spacing w:before="120" w:beforeLines="50" w:line="320" w:lineRule="exact"/>
              <w:jc w:val="center"/>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客观</w:t>
            </w:r>
          </w:p>
        </w:tc>
        <w:tc>
          <w:tcPr>
            <w:tcW w:w="760" w:type="pct"/>
            <w:vAlign w:val="center"/>
          </w:tcPr>
          <w:p w14:paraId="3DD34758">
            <w:pPr>
              <w:snapToGrid w:val="0"/>
              <w:spacing w:line="320" w:lineRule="exact"/>
              <w:jc w:val="center"/>
              <w:rPr>
                <w:rFonts w:hint="eastAsia" w:ascii="仿宋" w:hAnsi="仿宋" w:eastAsia="仿宋" w:cs="仿宋"/>
                <w:color w:val="auto"/>
                <w:sz w:val="24"/>
                <w:highlight w:val="none"/>
              </w:rPr>
            </w:pPr>
            <w:r>
              <w:rPr>
                <w:rFonts w:hint="eastAsia" w:ascii="仿宋" w:hAnsi="仿宋" w:eastAsia="仿宋" w:cs="仿宋"/>
                <w:b/>
                <w:bCs/>
                <w:color w:val="auto"/>
                <w:kern w:val="0"/>
                <w:sz w:val="24"/>
                <w:highlight w:val="none"/>
              </w:rPr>
              <w:t>企业管理体系</w:t>
            </w:r>
          </w:p>
        </w:tc>
      </w:tr>
      <w:tr w14:paraId="70657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 w:type="pct"/>
            <w:vAlign w:val="center"/>
          </w:tcPr>
          <w:p w14:paraId="4F1FA810">
            <w:pPr>
              <w:snapToGrid w:val="0"/>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3237" w:type="pct"/>
            <w:shd w:val="clear" w:color="auto" w:fill="auto"/>
            <w:vAlign w:val="center"/>
          </w:tcPr>
          <w:p w14:paraId="0C7F458F">
            <w:pPr>
              <w:spacing w:before="120" w:beforeLines="50" w:line="320" w:lineRule="exact"/>
              <w:outlineLvl w:val="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供应商须提供以下承诺事项，包括：</w:t>
            </w:r>
          </w:p>
          <w:p w14:paraId="099C26F7">
            <w:pPr>
              <w:numPr>
                <w:ilvl w:val="255"/>
                <w:numId w:val="0"/>
              </w:numPr>
              <w:spacing w:before="120" w:beforeLines="50" w:line="320" w:lineRule="exact"/>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①合同期内保持项目组人员相对固定（变动比例不超过20%）；</w:t>
            </w:r>
          </w:p>
          <w:p w14:paraId="468F850E">
            <w:pPr>
              <w:numPr>
                <w:ilvl w:val="255"/>
                <w:numId w:val="0"/>
              </w:numPr>
              <w:spacing w:before="120" w:beforeLines="50" w:line="320" w:lineRule="exact"/>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②项目管理人员、操作执行人员经过专业培训后上岗；</w:t>
            </w:r>
          </w:p>
          <w:p w14:paraId="0AF05430">
            <w:pPr>
              <w:numPr>
                <w:ilvl w:val="255"/>
                <w:numId w:val="0"/>
              </w:numPr>
              <w:spacing w:before="120" w:beforeLines="50" w:line="320" w:lineRule="exact"/>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③项目过程文件由专门人员进行分类管理；</w:t>
            </w:r>
          </w:p>
          <w:p w14:paraId="40DA70B5">
            <w:pPr>
              <w:numPr>
                <w:ilvl w:val="255"/>
                <w:numId w:val="0"/>
              </w:numPr>
              <w:spacing w:before="120" w:beforeLines="50" w:line="320" w:lineRule="exact"/>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④遵守廉政纪律；</w:t>
            </w:r>
          </w:p>
          <w:p w14:paraId="17229D3C">
            <w:pPr>
              <w:numPr>
                <w:ilvl w:val="255"/>
                <w:numId w:val="0"/>
              </w:numPr>
              <w:spacing w:before="120" w:beforeLines="50" w:line="320" w:lineRule="exact"/>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⑤因工作失误或审查结论失真，承担给采购人和第三方造成的经济损失，并承担法律责任。</w:t>
            </w:r>
          </w:p>
          <w:p w14:paraId="25F6B33B">
            <w:pPr>
              <w:numPr>
                <w:ilvl w:val="255"/>
                <w:numId w:val="0"/>
              </w:numPr>
              <w:spacing w:before="120" w:beforeLines="50" w:line="320" w:lineRule="exact"/>
              <w:outlineLvl w:val="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以上5项，每满足1项得1分，不满足不得分，最多得5分，提供承诺书并加盖公章。</w:t>
            </w:r>
          </w:p>
        </w:tc>
        <w:tc>
          <w:tcPr>
            <w:tcW w:w="269" w:type="pct"/>
            <w:shd w:val="clear" w:color="auto" w:fill="auto"/>
            <w:vAlign w:val="center"/>
          </w:tcPr>
          <w:p w14:paraId="0446AD43">
            <w:pPr>
              <w:spacing w:before="120" w:beforeLines="50" w:line="320" w:lineRule="exact"/>
              <w:jc w:val="center"/>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469" w:type="pct"/>
            <w:shd w:val="clear" w:color="auto" w:fill="auto"/>
            <w:vAlign w:val="center"/>
          </w:tcPr>
          <w:p w14:paraId="26719A1D">
            <w:pPr>
              <w:spacing w:before="120" w:beforeLines="50" w:line="320" w:lineRule="exact"/>
              <w:jc w:val="center"/>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客观</w:t>
            </w:r>
          </w:p>
        </w:tc>
        <w:tc>
          <w:tcPr>
            <w:tcW w:w="760" w:type="pct"/>
            <w:vAlign w:val="center"/>
          </w:tcPr>
          <w:p w14:paraId="6F321BE8">
            <w:pPr>
              <w:snapToGrid w:val="0"/>
              <w:spacing w:line="320" w:lineRule="exact"/>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承诺</w:t>
            </w:r>
          </w:p>
        </w:tc>
      </w:tr>
      <w:tr w14:paraId="32AED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 w:type="pct"/>
            <w:vAlign w:val="center"/>
          </w:tcPr>
          <w:p w14:paraId="7F993EAD">
            <w:pPr>
              <w:snapToGrid w:val="0"/>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3237" w:type="pct"/>
            <w:shd w:val="clear" w:color="auto" w:fill="auto"/>
          </w:tcPr>
          <w:p w14:paraId="35066A82">
            <w:pPr>
              <w:spacing w:before="120" w:beforeLines="50" w:line="320" w:lineRule="exact"/>
              <w:jc w:val="left"/>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供应商针对非法集资案件的①审计思路与具体实施方案;②大型案件实施能力进行分析及事实阐述。</w:t>
            </w:r>
            <w:r>
              <w:rPr>
                <w:rFonts w:hint="eastAsia" w:ascii="仿宋" w:hAnsi="仿宋" w:eastAsia="仿宋" w:cs="仿宋"/>
                <w:b/>
                <w:bCs/>
                <w:color w:val="auto"/>
                <w:kern w:val="0"/>
                <w:sz w:val="24"/>
                <w:highlight w:val="none"/>
              </w:rPr>
              <w:t>以上每小点，方案合理得3分，基本合理得2分，部分合理得1分，未提供或不合理的不得分。</w:t>
            </w:r>
          </w:p>
        </w:tc>
        <w:tc>
          <w:tcPr>
            <w:tcW w:w="269" w:type="pct"/>
            <w:shd w:val="clear" w:color="auto" w:fill="auto"/>
            <w:vAlign w:val="center"/>
          </w:tcPr>
          <w:p w14:paraId="5230DA36">
            <w:pPr>
              <w:spacing w:before="120" w:beforeLines="50" w:line="320" w:lineRule="exact"/>
              <w:jc w:val="center"/>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w:t>
            </w:r>
          </w:p>
        </w:tc>
        <w:tc>
          <w:tcPr>
            <w:tcW w:w="469" w:type="pct"/>
            <w:shd w:val="clear" w:color="auto" w:fill="auto"/>
            <w:vAlign w:val="center"/>
          </w:tcPr>
          <w:p w14:paraId="3730336B">
            <w:pPr>
              <w:spacing w:before="120" w:beforeLines="50" w:line="320" w:lineRule="exact"/>
              <w:jc w:val="left"/>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主观</w:t>
            </w:r>
          </w:p>
        </w:tc>
        <w:tc>
          <w:tcPr>
            <w:tcW w:w="760" w:type="pct"/>
            <w:shd w:val="clear" w:color="auto" w:fill="auto"/>
            <w:vAlign w:val="center"/>
          </w:tcPr>
          <w:p w14:paraId="4F3155A1">
            <w:pPr>
              <w:snapToGrid w:val="0"/>
              <w:spacing w:line="320" w:lineRule="exact"/>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审计思路与实施方案及能力分析阐述</w:t>
            </w:r>
          </w:p>
        </w:tc>
      </w:tr>
      <w:tr w14:paraId="0533F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 w:type="pct"/>
            <w:shd w:val="clear" w:color="auto" w:fill="auto"/>
            <w:vAlign w:val="center"/>
          </w:tcPr>
          <w:p w14:paraId="79BF1012">
            <w:pPr>
              <w:snapToGrid w:val="0"/>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3237" w:type="pct"/>
            <w:shd w:val="clear" w:color="auto" w:fill="auto"/>
          </w:tcPr>
          <w:p w14:paraId="31D885D1">
            <w:pPr>
              <w:spacing w:before="120" w:beforeLines="50" w:line="320" w:lineRule="exact"/>
              <w:jc w:val="left"/>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供应商针对非法集资案件的审计技术方案进行阐述，包括①对审计资料的收集、整理；②审计数据的技术处理；③审计线索的分析。</w:t>
            </w:r>
            <w:r>
              <w:rPr>
                <w:rFonts w:hint="eastAsia" w:ascii="仿宋" w:hAnsi="仿宋" w:eastAsia="仿宋" w:cs="仿宋"/>
                <w:b/>
                <w:bCs/>
                <w:color w:val="auto"/>
                <w:kern w:val="0"/>
                <w:sz w:val="24"/>
                <w:highlight w:val="none"/>
              </w:rPr>
              <w:t>以上每小点，方案合理得2分，部分合理得1分，未提供或不合理的不得分，最高得6分。</w:t>
            </w:r>
          </w:p>
        </w:tc>
        <w:tc>
          <w:tcPr>
            <w:tcW w:w="269" w:type="pct"/>
            <w:shd w:val="clear" w:color="auto" w:fill="auto"/>
            <w:vAlign w:val="center"/>
          </w:tcPr>
          <w:p w14:paraId="5A925F64">
            <w:pPr>
              <w:spacing w:before="120" w:beforeLines="50" w:line="320" w:lineRule="exact"/>
              <w:jc w:val="center"/>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w:t>
            </w:r>
          </w:p>
        </w:tc>
        <w:tc>
          <w:tcPr>
            <w:tcW w:w="469" w:type="pct"/>
            <w:shd w:val="clear" w:color="auto" w:fill="auto"/>
            <w:vAlign w:val="center"/>
          </w:tcPr>
          <w:p w14:paraId="3C626F92">
            <w:pPr>
              <w:spacing w:before="120" w:beforeLines="50" w:line="320" w:lineRule="exact"/>
              <w:jc w:val="left"/>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主观</w:t>
            </w:r>
          </w:p>
        </w:tc>
        <w:tc>
          <w:tcPr>
            <w:tcW w:w="760" w:type="pct"/>
            <w:vAlign w:val="center"/>
          </w:tcPr>
          <w:p w14:paraId="275F11A0">
            <w:pPr>
              <w:snapToGrid w:val="0"/>
              <w:spacing w:line="320" w:lineRule="exact"/>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审计技术方案</w:t>
            </w:r>
          </w:p>
        </w:tc>
      </w:tr>
      <w:tr w14:paraId="3C328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 w:type="pct"/>
            <w:vAlign w:val="center"/>
          </w:tcPr>
          <w:p w14:paraId="36553E11">
            <w:pPr>
              <w:snapToGrid w:val="0"/>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3237" w:type="pct"/>
            <w:shd w:val="clear" w:color="auto" w:fill="auto"/>
            <w:vAlign w:val="center"/>
          </w:tcPr>
          <w:p w14:paraId="7F3AF321">
            <w:pPr>
              <w:spacing w:before="120" w:beforeLines="50" w:line="320" w:lineRule="exact"/>
              <w:jc w:val="left"/>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根据与本项目采购内容相关的审计质量管理制度提供方案，包括：①依据国家和行业的相关法律法规与标准规范进行质量目标描述；②根据司法审计要求建立相关信息安全质量控制体系；③与采购人相关部门进行工作联系方案，对第三方意见的处理方式、方法；④内部三级复核制度及落实措施；⑤审计环节追责等相关内控措施。</w:t>
            </w:r>
            <w:r>
              <w:rPr>
                <w:rFonts w:hint="eastAsia" w:ascii="仿宋" w:hAnsi="仿宋" w:eastAsia="仿宋" w:cs="仿宋"/>
                <w:b/>
                <w:bCs/>
                <w:color w:val="auto"/>
                <w:kern w:val="0"/>
                <w:sz w:val="24"/>
                <w:highlight w:val="none"/>
              </w:rPr>
              <w:t>以上每小点，方案合理得1分，部分合理得0.5分，未提供或不合理的不得分，最高得</w:t>
            </w:r>
            <w:r>
              <w:rPr>
                <w:rFonts w:hint="eastAsia" w:ascii="仿宋" w:hAnsi="仿宋" w:eastAsia="仿宋" w:cs="仿宋"/>
                <w:b/>
                <w:bCs/>
                <w:color w:val="auto"/>
                <w:kern w:val="0"/>
                <w:sz w:val="24"/>
                <w:highlight w:val="none"/>
                <w:lang w:val="en-US" w:eastAsia="zh-CN"/>
              </w:rPr>
              <w:t>5</w:t>
            </w:r>
            <w:r>
              <w:rPr>
                <w:rFonts w:hint="eastAsia" w:ascii="仿宋" w:hAnsi="仿宋" w:eastAsia="仿宋" w:cs="仿宋"/>
                <w:b/>
                <w:bCs/>
                <w:color w:val="auto"/>
                <w:kern w:val="0"/>
                <w:sz w:val="24"/>
                <w:highlight w:val="none"/>
              </w:rPr>
              <w:t>分。</w:t>
            </w:r>
          </w:p>
        </w:tc>
        <w:tc>
          <w:tcPr>
            <w:tcW w:w="269" w:type="pct"/>
            <w:shd w:val="clear" w:color="auto" w:fill="auto"/>
            <w:vAlign w:val="center"/>
          </w:tcPr>
          <w:p w14:paraId="138E3AD8">
            <w:pPr>
              <w:spacing w:before="120" w:beforeLines="50" w:line="320" w:lineRule="exact"/>
              <w:jc w:val="center"/>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469" w:type="pct"/>
            <w:shd w:val="clear" w:color="auto" w:fill="auto"/>
            <w:vAlign w:val="center"/>
          </w:tcPr>
          <w:p w14:paraId="52741BB4">
            <w:pPr>
              <w:spacing w:before="120" w:beforeLines="50" w:line="320" w:lineRule="exact"/>
              <w:jc w:val="left"/>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主观</w:t>
            </w:r>
          </w:p>
        </w:tc>
        <w:tc>
          <w:tcPr>
            <w:tcW w:w="760" w:type="pct"/>
            <w:vAlign w:val="center"/>
          </w:tcPr>
          <w:p w14:paraId="4B579AD0">
            <w:pPr>
              <w:snapToGrid w:val="0"/>
              <w:spacing w:line="320" w:lineRule="exact"/>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bidi="ar"/>
              </w:rPr>
              <w:t>质量控制制度</w:t>
            </w:r>
          </w:p>
          <w:p w14:paraId="7ADAEFE8">
            <w:pPr>
              <w:snapToGrid w:val="0"/>
              <w:spacing w:line="320" w:lineRule="exact"/>
              <w:jc w:val="center"/>
              <w:rPr>
                <w:rFonts w:hint="eastAsia" w:ascii="仿宋" w:hAnsi="仿宋" w:eastAsia="仿宋" w:cs="仿宋"/>
                <w:b/>
                <w:bCs/>
                <w:color w:val="auto"/>
                <w:kern w:val="0"/>
                <w:sz w:val="24"/>
                <w:highlight w:val="none"/>
              </w:rPr>
            </w:pPr>
          </w:p>
        </w:tc>
      </w:tr>
      <w:tr w14:paraId="7804D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 w:type="pct"/>
            <w:vAlign w:val="center"/>
          </w:tcPr>
          <w:p w14:paraId="79BF7AD3">
            <w:pPr>
              <w:snapToGrid w:val="0"/>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3237" w:type="pct"/>
            <w:shd w:val="clear" w:color="auto" w:fill="auto"/>
          </w:tcPr>
          <w:p w14:paraId="41D7F414">
            <w:pPr>
              <w:spacing w:before="120" w:beforeLines="50" w:line="320" w:lineRule="exact"/>
              <w:jc w:val="left"/>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供应商具备与本项目采购内容相关的风险控制制度。包括：①审计风险的识别与评估；②审计计划的制定与审批；③审计信息安全的把握与控制；④审计过程的风险控制；⑤审计报告的风险控制。</w:t>
            </w:r>
            <w:r>
              <w:rPr>
                <w:rFonts w:hint="eastAsia" w:ascii="仿宋" w:hAnsi="仿宋" w:eastAsia="仿宋" w:cs="仿宋"/>
                <w:b/>
                <w:bCs/>
                <w:color w:val="auto"/>
                <w:kern w:val="0"/>
                <w:sz w:val="24"/>
                <w:highlight w:val="none"/>
              </w:rPr>
              <w:t>以上每小点，方案合理得1分，部分合理得0.5分，未提供或不合理的不得分，最高得</w:t>
            </w:r>
            <w:r>
              <w:rPr>
                <w:rFonts w:hint="eastAsia" w:ascii="仿宋" w:hAnsi="仿宋" w:eastAsia="仿宋" w:cs="仿宋"/>
                <w:b/>
                <w:bCs/>
                <w:color w:val="auto"/>
                <w:kern w:val="0"/>
                <w:sz w:val="24"/>
                <w:highlight w:val="none"/>
                <w:lang w:val="en-US" w:eastAsia="zh-CN"/>
              </w:rPr>
              <w:t>5</w:t>
            </w:r>
            <w:r>
              <w:rPr>
                <w:rFonts w:hint="eastAsia" w:ascii="仿宋" w:hAnsi="仿宋" w:eastAsia="仿宋" w:cs="仿宋"/>
                <w:b/>
                <w:bCs/>
                <w:color w:val="auto"/>
                <w:kern w:val="0"/>
                <w:sz w:val="24"/>
                <w:highlight w:val="none"/>
              </w:rPr>
              <w:t>分。</w:t>
            </w:r>
          </w:p>
        </w:tc>
        <w:tc>
          <w:tcPr>
            <w:tcW w:w="269" w:type="pct"/>
            <w:shd w:val="clear" w:color="auto" w:fill="auto"/>
            <w:vAlign w:val="center"/>
          </w:tcPr>
          <w:p w14:paraId="14BB6DD2">
            <w:pPr>
              <w:spacing w:before="120" w:beforeLines="50" w:line="320" w:lineRule="exact"/>
              <w:jc w:val="center"/>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469" w:type="pct"/>
            <w:shd w:val="clear" w:color="auto" w:fill="auto"/>
            <w:vAlign w:val="center"/>
          </w:tcPr>
          <w:p w14:paraId="7570E0DC">
            <w:pPr>
              <w:spacing w:before="120" w:beforeLines="50" w:line="320" w:lineRule="exact"/>
              <w:jc w:val="left"/>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主观</w:t>
            </w:r>
          </w:p>
        </w:tc>
        <w:tc>
          <w:tcPr>
            <w:tcW w:w="760" w:type="pct"/>
            <w:vAlign w:val="center"/>
          </w:tcPr>
          <w:p w14:paraId="066F5462">
            <w:pPr>
              <w:snapToGrid w:val="0"/>
              <w:spacing w:line="320" w:lineRule="exact"/>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bidi="ar"/>
              </w:rPr>
              <w:t>风险控制制度</w:t>
            </w:r>
          </w:p>
        </w:tc>
      </w:tr>
      <w:tr w14:paraId="5BA78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 w:type="pct"/>
            <w:vAlign w:val="center"/>
          </w:tcPr>
          <w:p w14:paraId="6D728F55">
            <w:pPr>
              <w:snapToGrid w:val="0"/>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3237" w:type="pct"/>
            <w:shd w:val="clear" w:color="auto" w:fill="auto"/>
          </w:tcPr>
          <w:p w14:paraId="5EF1B3FA">
            <w:pPr>
              <w:spacing w:before="120" w:beforeLines="50" w:line="320" w:lineRule="exact"/>
              <w:jc w:val="left"/>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供应商具备与本项目采购内容相关的档案管理制度。包括：①审计文件归档规定；②审计文件安全保密规定；③审计文件备份和恢复规定；④审计档案的检索和调取规定；⑤审计档案的保管和销毁规定。</w:t>
            </w:r>
            <w:r>
              <w:rPr>
                <w:rFonts w:hint="eastAsia" w:ascii="仿宋" w:hAnsi="仿宋" w:eastAsia="仿宋" w:cs="仿宋"/>
                <w:b/>
                <w:bCs/>
                <w:color w:val="auto"/>
                <w:kern w:val="0"/>
                <w:sz w:val="24"/>
                <w:highlight w:val="none"/>
              </w:rPr>
              <w:t>以上每小点，方案合理得1分，部分合理得0.5分，未提供或不合理的不得分，最高得5分。</w:t>
            </w:r>
          </w:p>
        </w:tc>
        <w:tc>
          <w:tcPr>
            <w:tcW w:w="269" w:type="pct"/>
            <w:shd w:val="clear" w:color="auto" w:fill="auto"/>
            <w:vAlign w:val="center"/>
          </w:tcPr>
          <w:p w14:paraId="799260A6">
            <w:pPr>
              <w:spacing w:before="120" w:beforeLines="50" w:line="320" w:lineRule="exact"/>
              <w:jc w:val="center"/>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469" w:type="pct"/>
            <w:shd w:val="clear" w:color="auto" w:fill="auto"/>
            <w:vAlign w:val="center"/>
          </w:tcPr>
          <w:p w14:paraId="7F92B08B">
            <w:pPr>
              <w:spacing w:before="120" w:beforeLines="50" w:line="320" w:lineRule="exact"/>
              <w:jc w:val="left"/>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主观</w:t>
            </w:r>
          </w:p>
        </w:tc>
        <w:tc>
          <w:tcPr>
            <w:tcW w:w="760" w:type="pct"/>
            <w:vAlign w:val="center"/>
          </w:tcPr>
          <w:p w14:paraId="398BC898">
            <w:pPr>
              <w:snapToGrid w:val="0"/>
              <w:spacing w:line="320" w:lineRule="exact"/>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bidi="ar"/>
              </w:rPr>
              <w:t>档案管理制度</w:t>
            </w:r>
          </w:p>
          <w:p w14:paraId="429B520D">
            <w:pPr>
              <w:snapToGrid w:val="0"/>
              <w:spacing w:line="320" w:lineRule="exact"/>
              <w:jc w:val="center"/>
              <w:rPr>
                <w:rFonts w:hint="eastAsia" w:ascii="仿宋" w:hAnsi="仿宋" w:eastAsia="仿宋" w:cs="仿宋"/>
                <w:b/>
                <w:bCs/>
                <w:color w:val="auto"/>
                <w:kern w:val="0"/>
                <w:sz w:val="24"/>
                <w:highlight w:val="none"/>
              </w:rPr>
            </w:pPr>
          </w:p>
        </w:tc>
      </w:tr>
      <w:tr w14:paraId="7D6D2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 w:type="pct"/>
            <w:vAlign w:val="center"/>
          </w:tcPr>
          <w:p w14:paraId="44E39F88">
            <w:pPr>
              <w:snapToGrid w:val="0"/>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3237" w:type="pct"/>
            <w:shd w:val="clear" w:color="auto" w:fill="auto"/>
          </w:tcPr>
          <w:p w14:paraId="6B6BF939">
            <w:pPr>
              <w:spacing w:before="120" w:beforeLines="50" w:line="320" w:lineRule="exact"/>
              <w:jc w:val="left"/>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供应商具备与本项目采购内容相关的信息安全管理体系。包括：①司法审计信息安全保密责任及义务；②司法审计信息安全及保密措施和技术手段；③审计人员的信息安全管理及培训；④信息安全措施的执行与监督；⑤违约责任及处罚措施。</w:t>
            </w:r>
            <w:r>
              <w:rPr>
                <w:rFonts w:hint="eastAsia" w:ascii="仿宋" w:hAnsi="仿宋" w:eastAsia="仿宋" w:cs="仿宋"/>
                <w:b/>
                <w:bCs/>
                <w:color w:val="auto"/>
                <w:kern w:val="0"/>
                <w:sz w:val="24"/>
                <w:highlight w:val="none"/>
                <w:lang w:bidi="ar"/>
              </w:rPr>
              <w:t>以上每小点，方案合理得1分，部分合理得0.5分，未提供或不合理的不得分，最高得5分。</w:t>
            </w:r>
          </w:p>
        </w:tc>
        <w:tc>
          <w:tcPr>
            <w:tcW w:w="269" w:type="pct"/>
            <w:shd w:val="clear" w:color="auto" w:fill="auto"/>
            <w:vAlign w:val="center"/>
          </w:tcPr>
          <w:p w14:paraId="2844F13A">
            <w:pPr>
              <w:spacing w:before="120" w:beforeLines="50" w:line="320" w:lineRule="exact"/>
              <w:jc w:val="center"/>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469" w:type="pct"/>
            <w:shd w:val="clear" w:color="auto" w:fill="auto"/>
            <w:vAlign w:val="center"/>
          </w:tcPr>
          <w:p w14:paraId="77E6F8BC">
            <w:pPr>
              <w:spacing w:before="120" w:beforeLines="50" w:line="320" w:lineRule="exact"/>
              <w:jc w:val="left"/>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主观</w:t>
            </w:r>
          </w:p>
        </w:tc>
        <w:tc>
          <w:tcPr>
            <w:tcW w:w="760" w:type="pct"/>
            <w:vAlign w:val="center"/>
          </w:tcPr>
          <w:p w14:paraId="72E14D1D">
            <w:pPr>
              <w:snapToGrid w:val="0"/>
              <w:spacing w:line="320" w:lineRule="exact"/>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bidi="ar"/>
              </w:rPr>
              <w:t>保密管理制度</w:t>
            </w:r>
          </w:p>
          <w:p w14:paraId="48584573">
            <w:pPr>
              <w:snapToGrid w:val="0"/>
              <w:spacing w:line="320" w:lineRule="exact"/>
              <w:jc w:val="center"/>
              <w:rPr>
                <w:rFonts w:hint="eastAsia" w:ascii="仿宋" w:hAnsi="仿宋" w:eastAsia="仿宋" w:cs="仿宋"/>
                <w:b/>
                <w:bCs/>
                <w:color w:val="auto"/>
                <w:kern w:val="0"/>
                <w:sz w:val="24"/>
                <w:highlight w:val="none"/>
              </w:rPr>
            </w:pPr>
          </w:p>
        </w:tc>
      </w:tr>
      <w:tr w14:paraId="2033D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 w:type="pct"/>
            <w:vAlign w:val="center"/>
          </w:tcPr>
          <w:p w14:paraId="5F6F4D12">
            <w:pPr>
              <w:snapToGrid w:val="0"/>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3237" w:type="pct"/>
            <w:shd w:val="clear" w:color="auto" w:fill="auto"/>
          </w:tcPr>
          <w:p w14:paraId="4BEC8514">
            <w:pPr>
              <w:spacing w:before="120" w:beforeLines="50" w:line="320" w:lineRule="exact"/>
              <w:jc w:val="left"/>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供应商根据本项目实际需求，制定对应审计服务保障措施，至少包括：①常驻服务落实方案；②紧急要求即时响应工作方案。</w:t>
            </w:r>
            <w:r>
              <w:rPr>
                <w:rFonts w:hint="eastAsia" w:ascii="仿宋" w:hAnsi="仿宋" w:eastAsia="仿宋" w:cs="仿宋"/>
                <w:b/>
                <w:bCs/>
                <w:color w:val="auto"/>
                <w:kern w:val="0"/>
                <w:sz w:val="24"/>
                <w:highlight w:val="none"/>
              </w:rPr>
              <w:t>以上每小点，方案合理得2分，部分合理得1分，未提供或不合理的不得分，最高得4分。</w:t>
            </w:r>
          </w:p>
        </w:tc>
        <w:tc>
          <w:tcPr>
            <w:tcW w:w="269" w:type="pct"/>
            <w:shd w:val="clear" w:color="auto" w:fill="auto"/>
            <w:vAlign w:val="center"/>
          </w:tcPr>
          <w:p w14:paraId="4BBA2C6D">
            <w:pPr>
              <w:spacing w:before="120" w:beforeLines="50" w:line="320" w:lineRule="exact"/>
              <w:jc w:val="center"/>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469" w:type="pct"/>
            <w:shd w:val="clear" w:color="auto" w:fill="auto"/>
            <w:vAlign w:val="center"/>
          </w:tcPr>
          <w:p w14:paraId="40473B79">
            <w:pPr>
              <w:spacing w:before="120" w:beforeLines="50" w:line="320" w:lineRule="exact"/>
              <w:jc w:val="left"/>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主观</w:t>
            </w:r>
          </w:p>
        </w:tc>
        <w:tc>
          <w:tcPr>
            <w:tcW w:w="760" w:type="pct"/>
            <w:vAlign w:val="center"/>
          </w:tcPr>
          <w:p w14:paraId="07C15DB0">
            <w:pPr>
              <w:snapToGrid w:val="0"/>
              <w:spacing w:line="320" w:lineRule="exact"/>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服务保障措施</w:t>
            </w:r>
          </w:p>
        </w:tc>
      </w:tr>
      <w:tr w14:paraId="2A1E3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 w:type="pct"/>
            <w:vAlign w:val="center"/>
          </w:tcPr>
          <w:p w14:paraId="009BA02F">
            <w:pPr>
              <w:snapToGrid w:val="0"/>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3237" w:type="pct"/>
            <w:shd w:val="clear" w:color="auto" w:fill="auto"/>
          </w:tcPr>
          <w:p w14:paraId="6D5CDE19">
            <w:pPr>
              <w:spacing w:before="120" w:beforeLines="50" w:line="320" w:lineRule="exact"/>
              <w:jc w:val="left"/>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供应商根据项目实际需要，制定与采购人相关部门进行工作联系方案及第三方意见的处理方案。</w:t>
            </w:r>
            <w:r>
              <w:rPr>
                <w:rFonts w:hint="eastAsia" w:ascii="仿宋" w:hAnsi="仿宋" w:eastAsia="仿宋" w:cs="仿宋"/>
                <w:b/>
                <w:bCs/>
                <w:color w:val="auto"/>
                <w:kern w:val="0"/>
                <w:sz w:val="24"/>
                <w:highlight w:val="none"/>
              </w:rPr>
              <w:t>方案合理得5分，基本合理得3分，部分合理得1分，未提供或不合理的不得分。</w:t>
            </w:r>
          </w:p>
        </w:tc>
        <w:tc>
          <w:tcPr>
            <w:tcW w:w="269" w:type="pct"/>
            <w:shd w:val="clear" w:color="auto" w:fill="auto"/>
            <w:vAlign w:val="center"/>
          </w:tcPr>
          <w:p w14:paraId="1EC159AD">
            <w:pPr>
              <w:spacing w:before="120" w:beforeLines="50" w:line="320" w:lineRule="exact"/>
              <w:jc w:val="center"/>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469" w:type="pct"/>
            <w:shd w:val="clear" w:color="auto" w:fill="auto"/>
            <w:vAlign w:val="center"/>
          </w:tcPr>
          <w:p w14:paraId="7A99F2C6">
            <w:pPr>
              <w:spacing w:before="120" w:beforeLines="50" w:line="320" w:lineRule="exact"/>
              <w:jc w:val="left"/>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主观</w:t>
            </w:r>
          </w:p>
        </w:tc>
        <w:tc>
          <w:tcPr>
            <w:tcW w:w="760" w:type="pct"/>
            <w:shd w:val="clear" w:color="auto" w:fill="auto"/>
            <w:vAlign w:val="center"/>
          </w:tcPr>
          <w:p w14:paraId="7F038738">
            <w:pPr>
              <w:snapToGrid w:val="0"/>
              <w:spacing w:line="320" w:lineRule="exact"/>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bidi="ar"/>
              </w:rPr>
              <w:t>外部沟通与审计意见处理</w:t>
            </w:r>
          </w:p>
          <w:p w14:paraId="456761C2">
            <w:pPr>
              <w:snapToGrid w:val="0"/>
              <w:spacing w:line="320" w:lineRule="exact"/>
              <w:jc w:val="center"/>
              <w:rPr>
                <w:rFonts w:hint="eastAsia" w:ascii="仿宋" w:hAnsi="仿宋" w:eastAsia="仿宋" w:cs="仿宋"/>
                <w:b/>
                <w:bCs/>
                <w:color w:val="auto"/>
                <w:kern w:val="0"/>
                <w:sz w:val="24"/>
                <w:highlight w:val="none"/>
              </w:rPr>
            </w:pPr>
          </w:p>
        </w:tc>
      </w:tr>
      <w:tr w14:paraId="4C75D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 w:type="pct"/>
            <w:vAlign w:val="center"/>
          </w:tcPr>
          <w:p w14:paraId="644041C8">
            <w:pPr>
              <w:snapToGrid w:val="0"/>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3237" w:type="pct"/>
            <w:shd w:val="clear" w:color="auto" w:fill="auto"/>
          </w:tcPr>
          <w:p w14:paraId="10288DEB">
            <w:pPr>
              <w:spacing w:before="120" w:beforeLines="50" w:line="320" w:lineRule="exact"/>
              <w:jc w:val="left"/>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根据项目实际需求，从人员、物资、设备支持及工作安排等各方面制定审计工期进度保障措施，包括：①从承接项目至提交审查结论安排；②各阶段沟通方案；③有效推进进度措施；④确保工期的人员、物资、设备支持方案。</w:t>
            </w:r>
            <w:r>
              <w:rPr>
                <w:rFonts w:hint="eastAsia" w:ascii="仿宋" w:hAnsi="仿宋" w:eastAsia="仿宋" w:cs="仿宋"/>
                <w:b/>
                <w:bCs/>
                <w:color w:val="auto"/>
                <w:kern w:val="0"/>
                <w:sz w:val="24"/>
                <w:highlight w:val="none"/>
              </w:rPr>
              <w:t>以上每小点，方案合理得1分，部分合理得0.5分，未提供或不合理的不得分，最高得4分。</w:t>
            </w:r>
          </w:p>
        </w:tc>
        <w:tc>
          <w:tcPr>
            <w:tcW w:w="269" w:type="pct"/>
            <w:shd w:val="clear" w:color="auto" w:fill="auto"/>
            <w:vAlign w:val="center"/>
          </w:tcPr>
          <w:p w14:paraId="7ED9384C">
            <w:pPr>
              <w:spacing w:before="120" w:beforeLines="50" w:line="320" w:lineRule="exact"/>
              <w:jc w:val="center"/>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469" w:type="pct"/>
            <w:shd w:val="clear" w:color="auto" w:fill="auto"/>
            <w:vAlign w:val="center"/>
          </w:tcPr>
          <w:p w14:paraId="6E51CA32">
            <w:pPr>
              <w:spacing w:before="120" w:beforeLines="50" w:line="320" w:lineRule="exact"/>
              <w:jc w:val="left"/>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主观</w:t>
            </w:r>
          </w:p>
        </w:tc>
        <w:tc>
          <w:tcPr>
            <w:tcW w:w="760" w:type="pct"/>
            <w:vAlign w:val="center"/>
          </w:tcPr>
          <w:p w14:paraId="52C6D37A">
            <w:pPr>
              <w:snapToGrid w:val="0"/>
              <w:spacing w:line="320" w:lineRule="exact"/>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工期进度保障</w:t>
            </w:r>
          </w:p>
          <w:p w14:paraId="30ABDE24">
            <w:pPr>
              <w:snapToGrid w:val="0"/>
              <w:spacing w:line="320" w:lineRule="exact"/>
              <w:jc w:val="center"/>
              <w:rPr>
                <w:rFonts w:hint="eastAsia" w:ascii="仿宋" w:hAnsi="仿宋" w:eastAsia="仿宋" w:cs="仿宋"/>
                <w:b/>
                <w:bCs/>
                <w:color w:val="auto"/>
                <w:kern w:val="0"/>
                <w:sz w:val="24"/>
                <w:highlight w:val="none"/>
              </w:rPr>
            </w:pPr>
          </w:p>
        </w:tc>
      </w:tr>
      <w:tr w14:paraId="07AB3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 w:type="pct"/>
            <w:vAlign w:val="center"/>
          </w:tcPr>
          <w:p w14:paraId="5FD39473">
            <w:pPr>
              <w:snapToGrid w:val="0"/>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p>
        </w:tc>
        <w:tc>
          <w:tcPr>
            <w:tcW w:w="3237" w:type="pct"/>
            <w:shd w:val="clear" w:color="auto" w:fill="auto"/>
          </w:tcPr>
          <w:p w14:paraId="52F2EA2D">
            <w:pPr>
              <w:spacing w:before="120" w:beforeLines="50" w:line="320" w:lineRule="exact"/>
              <w:jc w:val="left"/>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供应商根据项目实际需求，制定履约措施，包括：①职业操守执业规则落实措施、②信息安全保密措施、③后续服务措施等相关措施。</w:t>
            </w:r>
            <w:r>
              <w:rPr>
                <w:rFonts w:hint="eastAsia" w:ascii="仿宋" w:hAnsi="仿宋" w:eastAsia="仿宋" w:cs="仿宋"/>
                <w:b/>
                <w:bCs/>
                <w:color w:val="auto"/>
                <w:kern w:val="0"/>
                <w:sz w:val="24"/>
                <w:highlight w:val="none"/>
              </w:rPr>
              <w:t>以上每小点，方案合理得2分，部分合理得1分，未提供或不合理的不得分，最高得6分。</w:t>
            </w:r>
          </w:p>
        </w:tc>
        <w:tc>
          <w:tcPr>
            <w:tcW w:w="269" w:type="pct"/>
            <w:shd w:val="clear" w:color="auto" w:fill="auto"/>
            <w:vAlign w:val="center"/>
          </w:tcPr>
          <w:p w14:paraId="4C0E977D">
            <w:pPr>
              <w:spacing w:before="120" w:beforeLines="50" w:line="320" w:lineRule="exact"/>
              <w:jc w:val="center"/>
              <w:outlineLvl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6</w:t>
            </w:r>
          </w:p>
        </w:tc>
        <w:tc>
          <w:tcPr>
            <w:tcW w:w="469" w:type="pct"/>
            <w:shd w:val="clear" w:color="auto" w:fill="auto"/>
            <w:vAlign w:val="center"/>
          </w:tcPr>
          <w:p w14:paraId="66D679C3">
            <w:pPr>
              <w:spacing w:before="120" w:beforeLines="50" w:line="320" w:lineRule="exact"/>
              <w:jc w:val="left"/>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主观</w:t>
            </w:r>
          </w:p>
        </w:tc>
        <w:tc>
          <w:tcPr>
            <w:tcW w:w="760" w:type="pct"/>
            <w:vAlign w:val="center"/>
          </w:tcPr>
          <w:p w14:paraId="4D0A287F">
            <w:pPr>
              <w:snapToGrid w:val="0"/>
              <w:spacing w:line="320" w:lineRule="exact"/>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履约措施</w:t>
            </w:r>
          </w:p>
          <w:p w14:paraId="19C0773E">
            <w:pPr>
              <w:snapToGrid w:val="0"/>
              <w:spacing w:line="320" w:lineRule="exact"/>
              <w:jc w:val="center"/>
              <w:rPr>
                <w:rFonts w:hint="eastAsia" w:ascii="仿宋" w:hAnsi="仿宋" w:eastAsia="仿宋" w:cs="仿宋"/>
                <w:b/>
                <w:bCs/>
                <w:color w:val="auto"/>
                <w:kern w:val="0"/>
                <w:sz w:val="24"/>
                <w:highlight w:val="none"/>
              </w:rPr>
            </w:pPr>
          </w:p>
        </w:tc>
      </w:tr>
      <w:tr w14:paraId="47B60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 w:type="pct"/>
            <w:vAlign w:val="center"/>
          </w:tcPr>
          <w:p w14:paraId="4E5A8ACF">
            <w:pPr>
              <w:snapToGrid w:val="0"/>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3237" w:type="pct"/>
            <w:shd w:val="clear" w:color="auto" w:fill="auto"/>
          </w:tcPr>
          <w:p w14:paraId="028C1160">
            <w:pPr>
              <w:spacing w:before="120" w:beforeLines="50" w:line="320" w:lineRule="exact"/>
              <w:jc w:val="left"/>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供应商根据项目实际需求，制定突发事件预案，包括：①非法集资案件司法审计项目突发事件隐患分析；②应急预案组织保障方案；③类似项目突发事件处置案例及经验总结。</w:t>
            </w:r>
            <w:r>
              <w:rPr>
                <w:rFonts w:hint="eastAsia" w:ascii="仿宋" w:hAnsi="仿宋" w:eastAsia="仿宋" w:cs="仿宋"/>
                <w:b/>
                <w:bCs/>
                <w:color w:val="auto"/>
                <w:kern w:val="0"/>
                <w:sz w:val="24"/>
                <w:highlight w:val="none"/>
              </w:rPr>
              <w:t>以上每小点，方案合理得2分，部分合理得1分，未提供或不合理的不得分，最高得6分。</w:t>
            </w:r>
          </w:p>
        </w:tc>
        <w:tc>
          <w:tcPr>
            <w:tcW w:w="269" w:type="pct"/>
            <w:shd w:val="clear" w:color="auto" w:fill="auto"/>
            <w:vAlign w:val="center"/>
          </w:tcPr>
          <w:p w14:paraId="5283521C">
            <w:pPr>
              <w:spacing w:before="120" w:beforeLines="50" w:line="320" w:lineRule="exact"/>
              <w:jc w:val="center"/>
              <w:outlineLvl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6</w:t>
            </w:r>
          </w:p>
        </w:tc>
        <w:tc>
          <w:tcPr>
            <w:tcW w:w="469" w:type="pct"/>
            <w:shd w:val="clear" w:color="auto" w:fill="auto"/>
            <w:vAlign w:val="center"/>
          </w:tcPr>
          <w:p w14:paraId="12F1EBE5">
            <w:pPr>
              <w:spacing w:before="120" w:beforeLines="50" w:line="320" w:lineRule="exact"/>
              <w:jc w:val="left"/>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主观</w:t>
            </w:r>
          </w:p>
        </w:tc>
        <w:tc>
          <w:tcPr>
            <w:tcW w:w="760" w:type="pct"/>
            <w:vAlign w:val="center"/>
          </w:tcPr>
          <w:p w14:paraId="65F37400">
            <w:pPr>
              <w:snapToGrid w:val="0"/>
              <w:spacing w:line="320" w:lineRule="exact"/>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突发事件预案</w:t>
            </w:r>
          </w:p>
        </w:tc>
      </w:tr>
      <w:tr w14:paraId="64C8C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 w:type="pct"/>
            <w:vAlign w:val="center"/>
          </w:tcPr>
          <w:p w14:paraId="2E0E394D">
            <w:pPr>
              <w:snapToGrid w:val="0"/>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16</w:t>
            </w:r>
          </w:p>
        </w:tc>
        <w:tc>
          <w:tcPr>
            <w:tcW w:w="3237" w:type="pct"/>
            <w:shd w:val="clear" w:color="auto" w:fill="auto"/>
          </w:tcPr>
          <w:p w14:paraId="72B91224">
            <w:pPr>
              <w:spacing w:before="120" w:beforeLines="50" w:line="320" w:lineRule="exact"/>
              <w:jc w:val="left"/>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供应商根据项目实际需求，制定特色服务措施，包括：①非法集资案件司法审计的重难点分析；②本企业特色服务优势描述；③结合重难点及自身优势，提出至少3条本单位特色服务内容。</w:t>
            </w:r>
            <w:r>
              <w:rPr>
                <w:rFonts w:hint="eastAsia" w:ascii="仿宋" w:hAnsi="仿宋" w:eastAsia="仿宋" w:cs="仿宋"/>
                <w:b/>
                <w:bCs/>
                <w:color w:val="auto"/>
                <w:kern w:val="0"/>
                <w:sz w:val="24"/>
                <w:highlight w:val="none"/>
              </w:rPr>
              <w:t>以上每小点，方案合理得2分，部分合理得1分，未提供或不合理的不得分，最高得6分。</w:t>
            </w:r>
          </w:p>
        </w:tc>
        <w:tc>
          <w:tcPr>
            <w:tcW w:w="269" w:type="pct"/>
            <w:shd w:val="clear" w:color="auto" w:fill="auto"/>
            <w:vAlign w:val="center"/>
          </w:tcPr>
          <w:p w14:paraId="40F9E0BF">
            <w:pPr>
              <w:spacing w:before="120" w:beforeLines="50" w:line="320" w:lineRule="exact"/>
              <w:jc w:val="center"/>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w:t>
            </w:r>
          </w:p>
        </w:tc>
        <w:tc>
          <w:tcPr>
            <w:tcW w:w="469" w:type="pct"/>
            <w:shd w:val="clear" w:color="auto" w:fill="auto"/>
            <w:vAlign w:val="center"/>
          </w:tcPr>
          <w:p w14:paraId="4D2FC7FE">
            <w:pPr>
              <w:spacing w:before="120" w:beforeLines="50" w:line="320" w:lineRule="exact"/>
              <w:jc w:val="left"/>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主观</w:t>
            </w:r>
          </w:p>
        </w:tc>
        <w:tc>
          <w:tcPr>
            <w:tcW w:w="760" w:type="pct"/>
            <w:vAlign w:val="center"/>
          </w:tcPr>
          <w:p w14:paraId="3D18357D">
            <w:pPr>
              <w:snapToGrid w:val="0"/>
              <w:spacing w:line="320" w:lineRule="exact"/>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特色服务措施</w:t>
            </w:r>
          </w:p>
        </w:tc>
      </w:tr>
      <w:tr w14:paraId="3AFA2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 w:type="pct"/>
            <w:vAlign w:val="center"/>
          </w:tcPr>
          <w:p w14:paraId="060FBB1A">
            <w:pPr>
              <w:snapToGrid w:val="0"/>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17</w:t>
            </w:r>
          </w:p>
        </w:tc>
        <w:tc>
          <w:tcPr>
            <w:tcW w:w="3237" w:type="pct"/>
            <w:shd w:val="clear" w:color="auto" w:fill="auto"/>
          </w:tcPr>
          <w:p w14:paraId="24897E2F">
            <w:pPr>
              <w:spacing w:before="120" w:beforeLines="50" w:line="320" w:lineRule="exact"/>
              <w:jc w:val="left"/>
              <w:outlineLvl w:val="0"/>
              <w:rPr>
                <w:rFonts w:hint="eastAsia" w:ascii="仿宋" w:hAnsi="仿宋" w:eastAsia="仿宋" w:cs="仿宋"/>
                <w:b/>
                <w:bCs/>
                <w:color w:val="auto"/>
                <w:kern w:val="0"/>
                <w:sz w:val="24"/>
                <w:highlight w:val="none"/>
              </w:rPr>
            </w:pPr>
            <w:r>
              <w:rPr>
                <w:rFonts w:hint="eastAsia" w:ascii="仿宋" w:hAnsi="仿宋" w:eastAsia="仿宋" w:cs="仿宋"/>
                <w:color w:val="auto"/>
                <w:kern w:val="0"/>
                <w:sz w:val="24"/>
                <w:highlight w:val="none"/>
              </w:rPr>
              <w:t>拟派本项目的注册会计师，从事相关领域工作20年以上的每人得2分，10年以上的每人得1分，最高得8分。</w:t>
            </w:r>
          </w:p>
          <w:p w14:paraId="49BA8B38">
            <w:pPr>
              <w:spacing w:before="120" w:beforeLines="50" w:line="320" w:lineRule="exact"/>
              <w:jc w:val="left"/>
              <w:outlineLvl w:val="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注：提供劳动合同、社保证明或退休证明及返聘合同。执业年限应提供标明发证日期的执业资格证书。</w:t>
            </w:r>
          </w:p>
        </w:tc>
        <w:tc>
          <w:tcPr>
            <w:tcW w:w="269" w:type="pct"/>
            <w:shd w:val="clear" w:color="auto" w:fill="auto"/>
            <w:vAlign w:val="center"/>
          </w:tcPr>
          <w:p w14:paraId="147BBB63">
            <w:pPr>
              <w:spacing w:before="120" w:beforeLines="50" w:line="320" w:lineRule="exact"/>
              <w:jc w:val="center"/>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w:t>
            </w:r>
          </w:p>
        </w:tc>
        <w:tc>
          <w:tcPr>
            <w:tcW w:w="469" w:type="pct"/>
            <w:shd w:val="clear" w:color="auto" w:fill="auto"/>
            <w:vAlign w:val="center"/>
          </w:tcPr>
          <w:p w14:paraId="69D088D9">
            <w:pPr>
              <w:spacing w:before="120" w:beforeLines="50" w:line="320" w:lineRule="exact"/>
              <w:jc w:val="left"/>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客观</w:t>
            </w:r>
          </w:p>
        </w:tc>
        <w:tc>
          <w:tcPr>
            <w:tcW w:w="760" w:type="pct"/>
            <w:vMerge w:val="restart"/>
            <w:vAlign w:val="center"/>
          </w:tcPr>
          <w:p w14:paraId="001EDC68">
            <w:pPr>
              <w:snapToGrid w:val="0"/>
              <w:spacing w:line="320" w:lineRule="exact"/>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项目团队情况</w:t>
            </w:r>
          </w:p>
        </w:tc>
      </w:tr>
      <w:tr w14:paraId="53B22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 w:type="pct"/>
            <w:vAlign w:val="center"/>
          </w:tcPr>
          <w:p w14:paraId="28C37A37">
            <w:pPr>
              <w:snapToGrid w:val="0"/>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18</w:t>
            </w:r>
          </w:p>
        </w:tc>
        <w:tc>
          <w:tcPr>
            <w:tcW w:w="3237" w:type="pct"/>
            <w:shd w:val="clear" w:color="auto" w:fill="auto"/>
          </w:tcPr>
          <w:p w14:paraId="6E346625">
            <w:pPr>
              <w:spacing w:before="120" w:beforeLines="50" w:line="320" w:lineRule="exact"/>
              <w:jc w:val="left"/>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①</w:t>
            </w:r>
            <w:r>
              <w:rPr>
                <w:rFonts w:hint="eastAsia" w:ascii="仿宋" w:hAnsi="仿宋" w:eastAsia="仿宋" w:cs="仿宋"/>
                <w:color w:val="auto"/>
                <w:kern w:val="0"/>
                <w:sz w:val="24"/>
                <w:highlight w:val="none"/>
                <w:lang w:bidi="ar"/>
              </w:rPr>
              <w:t>项目负责人具备司法审计工作经验的得1分，具备经济类专业技术资格高级职称的得1分，共2分</w:t>
            </w:r>
            <w:r>
              <w:rPr>
                <w:rFonts w:hint="eastAsia" w:ascii="仿宋" w:hAnsi="仿宋" w:eastAsia="仿宋" w:cs="仿宋"/>
                <w:color w:val="auto"/>
                <w:kern w:val="0"/>
                <w:sz w:val="24"/>
                <w:highlight w:val="none"/>
              </w:rPr>
              <w:t>；</w:t>
            </w:r>
          </w:p>
          <w:p w14:paraId="6B3F954C">
            <w:pPr>
              <w:spacing w:before="120" w:beforeLines="50" w:line="320" w:lineRule="exact"/>
              <w:jc w:val="left"/>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②</w:t>
            </w:r>
            <w:r>
              <w:rPr>
                <w:rFonts w:hint="eastAsia" w:ascii="仿宋" w:hAnsi="仿宋" w:eastAsia="仿宋" w:cs="仿宋"/>
                <w:color w:val="auto"/>
                <w:kern w:val="0"/>
                <w:sz w:val="24"/>
                <w:highlight w:val="none"/>
                <w:lang w:bidi="ar"/>
              </w:rPr>
              <w:t>除项目负责人外，拟派项目组注册会计师中，具备经济类专业技术资格中级职称的每人得0.5分；具备经济类专业技术资格高级职称的每人得1分（同一人同时具备高级和中级职称的，得1分）；具备司法审计工作经验的每人得0.5分，最多得6分。</w:t>
            </w:r>
          </w:p>
          <w:p w14:paraId="014F6831">
            <w:pPr>
              <w:spacing w:before="120" w:beforeLines="50" w:line="320" w:lineRule="exact"/>
              <w:jc w:val="left"/>
              <w:outlineLvl w:val="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注：须提供①拟派人员的身份证、项目职责、证书扫描件、②</w:t>
            </w:r>
            <w:r>
              <w:rPr>
                <w:rFonts w:hint="eastAsia" w:ascii="仿宋" w:hAnsi="仿宋" w:eastAsia="仿宋" w:cs="仿宋"/>
                <w:b/>
                <w:bCs/>
                <w:color w:val="auto"/>
                <w:kern w:val="0"/>
                <w:sz w:val="24"/>
                <w:highlight w:val="none"/>
                <w:lang w:bidi="ar"/>
              </w:rPr>
              <w:t>司法审计项目经验佐证资料（提供拟派人员本人签字出具的司法审计报告，报告中</w:t>
            </w:r>
            <w:r>
              <w:rPr>
                <w:rFonts w:hint="eastAsia" w:ascii="仿宋" w:hAnsi="仿宋" w:eastAsia="仿宋" w:cs="仿宋"/>
                <w:b/>
                <w:bCs/>
                <w:color w:val="auto"/>
                <w:kern w:val="0"/>
                <w:sz w:val="24"/>
                <w:highlight w:val="none"/>
              </w:rPr>
              <w:t>需体现除涉密内容以外的其他要素）、③为供应商自有员工的劳动合同清晰复印件、④为供应商正常在职在岗人员的承诺书。以上材料须同时提供，缺一项或不符合要求的均不得分。</w:t>
            </w:r>
          </w:p>
        </w:tc>
        <w:tc>
          <w:tcPr>
            <w:tcW w:w="269" w:type="pct"/>
            <w:shd w:val="clear" w:color="auto" w:fill="auto"/>
            <w:vAlign w:val="center"/>
          </w:tcPr>
          <w:p w14:paraId="5E5CE2B6">
            <w:pPr>
              <w:spacing w:before="120" w:beforeLines="50" w:line="320" w:lineRule="exact"/>
              <w:jc w:val="center"/>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w:t>
            </w:r>
          </w:p>
        </w:tc>
        <w:tc>
          <w:tcPr>
            <w:tcW w:w="469" w:type="pct"/>
            <w:shd w:val="clear" w:color="auto" w:fill="auto"/>
            <w:vAlign w:val="center"/>
          </w:tcPr>
          <w:p w14:paraId="2C7241D4">
            <w:pPr>
              <w:spacing w:before="120" w:beforeLines="50" w:line="320" w:lineRule="exact"/>
              <w:jc w:val="left"/>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客观</w:t>
            </w:r>
          </w:p>
        </w:tc>
        <w:tc>
          <w:tcPr>
            <w:tcW w:w="760" w:type="pct"/>
            <w:vMerge w:val="continue"/>
            <w:vAlign w:val="center"/>
          </w:tcPr>
          <w:p w14:paraId="36541B90">
            <w:pPr>
              <w:snapToGrid w:val="0"/>
              <w:spacing w:line="320" w:lineRule="exact"/>
              <w:jc w:val="center"/>
              <w:rPr>
                <w:rFonts w:hint="eastAsia" w:ascii="仿宋" w:hAnsi="仿宋" w:eastAsia="仿宋" w:cs="仿宋"/>
                <w:b/>
                <w:bCs/>
                <w:color w:val="auto"/>
                <w:kern w:val="0"/>
                <w:sz w:val="24"/>
                <w:highlight w:val="none"/>
              </w:rPr>
            </w:pPr>
          </w:p>
        </w:tc>
      </w:tr>
      <w:tr w14:paraId="01E50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 w:type="pct"/>
            <w:vAlign w:val="center"/>
          </w:tcPr>
          <w:p w14:paraId="7500F3F2">
            <w:pPr>
              <w:snapToGrid w:val="0"/>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p>
        </w:tc>
        <w:tc>
          <w:tcPr>
            <w:tcW w:w="3237" w:type="pct"/>
          </w:tcPr>
          <w:p w14:paraId="409B777C">
            <w:pPr>
              <w:snapToGrid w:val="0"/>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有效投标报价的最低价作为评标基准价，其最低报价为满分；按［投标报价得分=（评标基准价/投标报价）*权重］的计算公式计算。</w:t>
            </w:r>
          </w:p>
          <w:p w14:paraId="2743B188">
            <w:pPr>
              <w:snapToGrid w:val="0"/>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评标过程中，不得去掉报价中的最高报价和最低报价。</w:t>
            </w:r>
          </w:p>
        </w:tc>
        <w:tc>
          <w:tcPr>
            <w:tcW w:w="269" w:type="pct"/>
            <w:vAlign w:val="center"/>
          </w:tcPr>
          <w:p w14:paraId="6AFE6DF1">
            <w:pPr>
              <w:snapToGrid w:val="0"/>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469" w:type="pct"/>
            <w:vAlign w:val="center"/>
          </w:tcPr>
          <w:p w14:paraId="3DCCB7F4">
            <w:pPr>
              <w:snapToGrid w:val="0"/>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报价分</w:t>
            </w:r>
          </w:p>
        </w:tc>
        <w:tc>
          <w:tcPr>
            <w:tcW w:w="760" w:type="pct"/>
            <w:vAlign w:val="center"/>
          </w:tcPr>
          <w:p w14:paraId="71B9D9CA">
            <w:pPr>
              <w:snapToGrid w:val="0"/>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r>
    </w:tbl>
    <w:p w14:paraId="4A1202A7">
      <w:pPr>
        <w:adjustRightInd/>
        <w:spacing w:line="360" w:lineRule="auto"/>
        <w:ind w:firstLine="472" w:firstLineChars="196"/>
        <w:rPr>
          <w:rFonts w:hint="eastAsia" w:ascii="仿宋" w:hAnsi="仿宋" w:eastAsia="仿宋" w:cs="仿宋"/>
          <w:bCs/>
          <w:color w:val="auto"/>
          <w:sz w:val="24"/>
          <w:highlight w:val="none"/>
        </w:rPr>
      </w:pPr>
      <w:r>
        <w:rPr>
          <w:rFonts w:hint="eastAsia" w:ascii="仿宋" w:hAnsi="仿宋" w:eastAsia="仿宋" w:cs="仿宋"/>
          <w:b/>
          <w:color w:val="auto"/>
          <w:kern w:val="0"/>
          <w:sz w:val="24"/>
          <w:highlight w:val="none"/>
        </w:rPr>
        <w:t> *</w:t>
      </w:r>
      <w:r>
        <w:rPr>
          <w:rFonts w:hint="eastAsia" w:ascii="仿宋" w:hAnsi="仿宋" w:eastAsia="仿宋" w:cs="仿宋"/>
          <w:b/>
          <w:color w:val="auto"/>
          <w:sz w:val="24"/>
          <w:highlight w:val="none"/>
        </w:rPr>
        <w:t>备注：</w:t>
      </w:r>
      <w:r>
        <w:rPr>
          <w:rFonts w:hint="eastAsia" w:ascii="仿宋" w:hAnsi="仿宋" w:eastAsia="仿宋" w:cs="仿宋"/>
          <w:bCs/>
          <w:color w:val="auto"/>
          <w:kern w:val="0"/>
          <w:sz w:val="24"/>
          <w:highlight w:val="none"/>
        </w:rPr>
        <w:t>投标人编制投标文件（商务技术文件部分）时，建议按此目录（序号和内容）提供评标标准相应的商务技术资料。 </w:t>
      </w:r>
    </w:p>
    <w:p w14:paraId="2FFCAF1E">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0BD6D257">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4B500F2C">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5962F455">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2.评标标准：</w:t>
      </w:r>
      <w:r>
        <w:rPr>
          <w:rFonts w:hint="eastAsia" w:ascii="仿宋" w:hAnsi="仿宋" w:eastAsia="仿宋" w:cs="仿宋"/>
          <w:color w:val="auto"/>
          <w:kern w:val="0"/>
          <w:sz w:val="24"/>
          <w:highlight w:val="none"/>
        </w:rPr>
        <w:t>见评标办法前附表。</w:t>
      </w:r>
    </w:p>
    <w:p w14:paraId="4444498E">
      <w:pPr>
        <w:snapToGrid w:val="0"/>
        <w:spacing w:line="360" w:lineRule="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三、评标程序</w:t>
      </w:r>
    </w:p>
    <w:p w14:paraId="0AC69CEA">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007E65B3">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0C102958">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630ED9FA">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4BCD3C53">
      <w:pPr>
        <w:pStyle w:val="131"/>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1B901EE9">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02FE938F">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7B6F904A">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01FF61B2">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3D53A8FB">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3.4.1.5同时出现两种以上不一致的，按照3.4.1规定的顺序修正。修正后的报价按照财政部第87号令《政府采购货物和服务招标投标管理办法》第五十一条第二款的规定经投标人确认后产生约束力。</w:t>
      </w:r>
    </w:p>
    <w:p w14:paraId="4D866B51">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38CFF3DE">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1CCB65A4">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206FDD3">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214458CD">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仿宋"/>
          <w:color w:val="auto"/>
          <w:kern w:val="0"/>
          <w:sz w:val="24"/>
          <w:highlight w:val="none"/>
          <w:lang w:val="en"/>
        </w:rPr>
        <w:t>本项目推荐的中标候选人数量：</w:t>
      </w:r>
      <w:r>
        <w:rPr>
          <w:rFonts w:hint="eastAsia" w:ascii="仿宋" w:hAnsi="仿宋" w:eastAsia="仿宋" w:cs="仿宋"/>
          <w:color w:val="auto"/>
          <w:kern w:val="0"/>
          <w:sz w:val="24"/>
          <w:highlight w:val="none"/>
          <w:u w:val="single"/>
        </w:rPr>
        <w:t xml:space="preserve"> 1 </w:t>
      </w:r>
      <w:r>
        <w:rPr>
          <w:rFonts w:hint="eastAsia" w:ascii="仿宋" w:hAnsi="仿宋" w:eastAsia="仿宋" w:cs="仿宋"/>
          <w:color w:val="auto"/>
          <w:kern w:val="0"/>
          <w:sz w:val="24"/>
          <w:highlight w:val="none"/>
          <w:lang w:val="en"/>
        </w:rPr>
        <w:t>。</w:t>
      </w:r>
    </w:p>
    <w:p w14:paraId="560F7F72">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B99237D">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CF33B8B">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0A4001C4">
      <w:pPr>
        <w:pStyle w:val="131"/>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4906D81">
      <w:pPr>
        <w:pStyle w:val="24"/>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43C5DBA2">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1887B3A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2904441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23B6180E">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1BC58CCE">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04B78BC3">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4.2.6投标文件出现不是唯一的、有选择性投标报价的;</w:t>
      </w:r>
    </w:p>
    <w:p w14:paraId="107971E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1E13C8B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4.2.8投标人对根据修正原则修正后的报价不确认的；</w:t>
      </w:r>
    </w:p>
    <w:p w14:paraId="780802D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4.2.9投标人提供虚假材料投标的；</w:t>
      </w:r>
    </w:p>
    <w:p w14:paraId="66622E0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4.2.10投标人有恶意串通、妨碍其他投标人的竞争行为、损害采购人或者其他投标人的合法权益情形的；</w:t>
      </w:r>
    </w:p>
    <w:p w14:paraId="5F8C8B4C">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4.2.11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2DC8CAC3">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0B1760C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4.2.13投标文件不满足招标文件的其它实质性要求的；</w:t>
      </w:r>
    </w:p>
    <w:p w14:paraId="1AE76B4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14:paraId="3B0B9893">
      <w:pPr>
        <w:pStyle w:val="24"/>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46E91D10">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780CCA99">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1DC53CFB">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32C12427">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3694C422">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14:paraId="04352FA3">
      <w:pPr>
        <w:pStyle w:val="24"/>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771272E">
      <w:pPr>
        <w:pStyle w:val="24"/>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1AF8D493">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56FFBC1B">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2BE03432">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533F3A94">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3BB7267E">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7C4C8ABC">
      <w:pPr>
        <w:widowControl/>
        <w:adjustRightInd/>
        <w:jc w:val="left"/>
        <w:rPr>
          <w:rFonts w:hint="eastAsia" w:ascii="仿宋" w:hAnsi="仿宋" w:eastAsia="仿宋" w:cs="仿宋"/>
          <w:b/>
          <w:color w:val="auto"/>
          <w:sz w:val="36"/>
          <w:szCs w:val="36"/>
          <w:highlight w:val="none"/>
        </w:rPr>
      </w:pPr>
      <w:bookmarkStart w:id="390" w:name="_Toc86217003"/>
      <w:r>
        <w:rPr>
          <w:rFonts w:hint="eastAsia" w:ascii="仿宋" w:hAnsi="仿宋" w:eastAsia="仿宋" w:cs="仿宋"/>
          <w:b/>
          <w:color w:val="auto"/>
          <w:sz w:val="36"/>
          <w:szCs w:val="36"/>
          <w:highlight w:val="none"/>
        </w:rPr>
        <w:br w:type="page"/>
      </w:r>
    </w:p>
    <w:p w14:paraId="1F733BC5">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22C8B695">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09112695">
      <w:pPr>
        <w:spacing w:line="480" w:lineRule="auto"/>
        <w:jc w:val="center"/>
        <w:rPr>
          <w:rFonts w:hint="eastAsia" w:ascii="仿宋" w:hAnsi="仿宋" w:eastAsia="仿宋" w:cs="仿宋"/>
          <w:b/>
          <w:color w:val="auto"/>
          <w:sz w:val="28"/>
          <w:szCs w:val="28"/>
          <w:highlight w:val="none"/>
        </w:rPr>
      </w:pPr>
    </w:p>
    <w:p w14:paraId="7201DB4C">
      <w:pPr>
        <w:spacing w:line="480" w:lineRule="auto"/>
        <w:jc w:val="center"/>
        <w:rPr>
          <w:rFonts w:hint="eastAsia" w:ascii="仿宋" w:hAnsi="仿宋" w:eastAsia="仿宋" w:cs="仿宋"/>
          <w:b/>
          <w:color w:val="auto"/>
          <w:sz w:val="24"/>
          <w:highlight w:val="none"/>
        </w:rPr>
      </w:pPr>
    </w:p>
    <w:p w14:paraId="4C46E327">
      <w:pPr>
        <w:spacing w:line="480" w:lineRule="auto"/>
        <w:jc w:val="center"/>
        <w:rPr>
          <w:rFonts w:hint="eastAsia" w:ascii="仿宋" w:hAnsi="仿宋" w:eastAsia="仿宋" w:cs="仿宋"/>
          <w:b/>
          <w:color w:val="auto"/>
          <w:sz w:val="24"/>
          <w:highlight w:val="none"/>
        </w:rPr>
      </w:pPr>
    </w:p>
    <w:p w14:paraId="5685226A">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4C860EC7">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4DF1D311">
      <w:pPr>
        <w:pStyle w:val="702"/>
        <w:ind w:firstLine="2843" w:firstLineChars="1180"/>
        <w:rPr>
          <w:rFonts w:hint="eastAsia" w:ascii="仿宋" w:hAnsi="仿宋" w:eastAsia="仿宋" w:cs="仿宋"/>
          <w:color w:val="auto"/>
          <w:highlight w:val="none"/>
        </w:rPr>
      </w:pPr>
      <w:r>
        <w:rPr>
          <w:rFonts w:hint="eastAsia" w:ascii="仿宋" w:hAnsi="仿宋" w:eastAsia="仿宋" w:cs="仿宋"/>
          <w:b/>
          <w:color w:val="auto"/>
          <w:szCs w:val="24"/>
          <w:highlight w:val="none"/>
        </w:rPr>
        <w:t>第一部分 合同书</w:t>
      </w:r>
    </w:p>
    <w:p w14:paraId="513B06CC">
      <w:pPr>
        <w:spacing w:before="120" w:line="22" w:lineRule="atLeast"/>
        <w:ind w:left="960"/>
        <w:rPr>
          <w:rFonts w:hint="eastAsia" w:ascii="仿宋" w:hAnsi="仿宋" w:eastAsia="仿宋" w:cs="仿宋"/>
          <w:color w:val="auto"/>
          <w:sz w:val="24"/>
          <w:highlight w:val="none"/>
        </w:rPr>
      </w:pPr>
    </w:p>
    <w:p w14:paraId="60808EDB">
      <w:pPr>
        <w:spacing w:before="120" w:line="22" w:lineRule="atLeast"/>
        <w:ind w:left="960"/>
        <w:rPr>
          <w:rFonts w:hint="eastAsia" w:ascii="仿宋" w:hAnsi="仿宋" w:eastAsia="仿宋" w:cs="仿宋"/>
          <w:color w:val="auto"/>
          <w:sz w:val="24"/>
          <w:highlight w:val="none"/>
        </w:rPr>
      </w:pPr>
    </w:p>
    <w:p w14:paraId="3EF56417">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杭州市公安局上城区分局经侦大队专案审计项目   </w:t>
      </w:r>
    </w:p>
    <w:p w14:paraId="670D9BD9">
      <w:pPr>
        <w:pStyle w:val="599"/>
        <w:spacing w:before="120" w:line="22" w:lineRule="atLeast"/>
        <w:rPr>
          <w:rFonts w:hint="eastAsia" w:ascii="仿宋" w:hAnsi="仿宋" w:eastAsia="仿宋" w:cs="仿宋"/>
          <w:color w:val="auto"/>
          <w:szCs w:val="24"/>
          <w:highlight w:val="none"/>
        </w:rPr>
      </w:pPr>
    </w:p>
    <w:p w14:paraId="1020B757">
      <w:pPr>
        <w:pStyle w:val="599"/>
        <w:spacing w:before="120" w:line="22" w:lineRule="atLeast"/>
        <w:rPr>
          <w:rFonts w:hint="eastAsia" w:ascii="仿宋" w:hAnsi="仿宋" w:eastAsia="仿宋" w:cs="仿宋"/>
          <w:color w:val="auto"/>
          <w:szCs w:val="24"/>
          <w:highlight w:val="none"/>
        </w:rPr>
      </w:pPr>
    </w:p>
    <w:p w14:paraId="52264079">
      <w:pPr>
        <w:rPr>
          <w:rFonts w:hint="eastAsia" w:ascii="仿宋" w:hAnsi="仿宋" w:eastAsia="仿宋" w:cs="仿宋"/>
          <w:color w:val="auto"/>
          <w:sz w:val="24"/>
          <w:highlight w:val="none"/>
        </w:rPr>
      </w:pPr>
    </w:p>
    <w:p w14:paraId="208440D2">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杭州市公安局上城区分局        </w:t>
      </w:r>
    </w:p>
    <w:p w14:paraId="0CB76A1F">
      <w:pPr>
        <w:spacing w:before="120" w:line="22" w:lineRule="atLeast"/>
        <w:rPr>
          <w:rFonts w:hint="eastAsia" w:ascii="仿宋" w:hAnsi="仿宋" w:eastAsia="仿宋" w:cs="仿宋"/>
          <w:color w:val="auto"/>
          <w:sz w:val="24"/>
          <w:highlight w:val="none"/>
        </w:rPr>
      </w:pPr>
    </w:p>
    <w:p w14:paraId="736ED2B8">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7D96C42B">
      <w:pPr>
        <w:spacing w:before="120" w:line="22" w:lineRule="atLeast"/>
        <w:rPr>
          <w:rFonts w:hint="eastAsia" w:ascii="仿宋" w:hAnsi="仿宋" w:eastAsia="仿宋" w:cs="仿宋"/>
          <w:color w:val="auto"/>
          <w:sz w:val="24"/>
          <w:highlight w:val="none"/>
        </w:rPr>
      </w:pPr>
    </w:p>
    <w:p w14:paraId="1BF0920B">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杭州市上城区     </w:t>
      </w:r>
    </w:p>
    <w:p w14:paraId="771F838A">
      <w:pPr>
        <w:spacing w:before="120" w:line="22" w:lineRule="atLeast"/>
        <w:rPr>
          <w:rFonts w:hint="eastAsia" w:ascii="仿宋" w:hAnsi="仿宋" w:eastAsia="仿宋" w:cs="仿宋"/>
          <w:color w:val="auto"/>
          <w:sz w:val="24"/>
          <w:highlight w:val="none"/>
        </w:rPr>
      </w:pPr>
    </w:p>
    <w:p w14:paraId="0F063348">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2025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7BEA053A">
      <w:pPr>
        <w:widowControl/>
        <w:jc w:val="left"/>
        <w:rPr>
          <w:rFonts w:hint="eastAsia" w:ascii="仿宋" w:hAnsi="仿宋" w:eastAsia="仿宋" w:cs="仿宋"/>
          <w:color w:val="auto"/>
          <w:kern w:val="0"/>
          <w:sz w:val="24"/>
          <w:highlight w:val="none"/>
        </w:rPr>
        <w:sectPr>
          <w:pgSz w:w="11907" w:h="16840"/>
          <w:pgMar w:top="1417" w:right="1417" w:bottom="1417" w:left="1701" w:header="1134" w:footer="850" w:gutter="0"/>
          <w:cols w:space="0" w:num="1"/>
        </w:sectPr>
      </w:pPr>
    </w:p>
    <w:p w14:paraId="5BD78B7D">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u w:val="single"/>
        </w:rPr>
        <w:t>2025</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杭州市公安局上城区分局</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公开招标的政府采购方式</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杭州市公安局上城区分局经侦大队专案审计项目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评标委员会</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14:paraId="770F1957">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杭州市公安局上城区分局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194C2421">
      <w:pPr>
        <w:spacing w:line="400" w:lineRule="exact"/>
        <w:ind w:firstLine="482" w:firstLineChars="200"/>
        <w:rPr>
          <w:rFonts w:hint="eastAsia" w:ascii="仿宋" w:hAnsi="仿宋" w:eastAsia="仿宋" w:cs="仿宋"/>
          <w:color w:val="auto"/>
          <w:sz w:val="24"/>
          <w:highlight w:val="none"/>
        </w:rPr>
      </w:pPr>
      <w:bookmarkStart w:id="391" w:name="_Toc28855"/>
      <w:bookmarkStart w:id="392" w:name="_Toc20421"/>
      <w:bookmarkStart w:id="393" w:name="_Toc19273"/>
      <w:bookmarkStart w:id="394" w:name="_Toc15367"/>
      <w:bookmarkStart w:id="395" w:name="_Toc22967"/>
      <w:r>
        <w:rPr>
          <w:rFonts w:hint="eastAsia" w:ascii="仿宋" w:hAnsi="仿宋" w:eastAsia="仿宋" w:cs="仿宋"/>
          <w:b/>
          <w:color w:val="auto"/>
          <w:sz w:val="24"/>
          <w:highlight w:val="none"/>
        </w:rPr>
        <w:t>1.1 合同组成部分</w:t>
      </w:r>
      <w:bookmarkEnd w:id="391"/>
      <w:bookmarkEnd w:id="392"/>
      <w:bookmarkEnd w:id="393"/>
      <w:bookmarkEnd w:id="394"/>
      <w:bookmarkEnd w:id="395"/>
    </w:p>
    <w:p w14:paraId="1912D3D7">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255AE62">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2C0F9FD3">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14:paraId="6E731A4C">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50C4D2BD">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29D583B0">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7F29C768">
      <w:pPr>
        <w:spacing w:line="400" w:lineRule="exact"/>
        <w:ind w:firstLine="482" w:firstLineChars="200"/>
        <w:rPr>
          <w:rFonts w:hint="eastAsia" w:ascii="仿宋" w:hAnsi="仿宋" w:eastAsia="仿宋" w:cs="仿宋"/>
          <w:b/>
          <w:color w:val="auto"/>
          <w:sz w:val="24"/>
          <w:highlight w:val="none"/>
        </w:rPr>
      </w:pPr>
      <w:bookmarkStart w:id="396" w:name="_Toc6773"/>
      <w:bookmarkStart w:id="397" w:name="_Toc2918"/>
      <w:bookmarkStart w:id="398" w:name="_Toc6311"/>
      <w:bookmarkStart w:id="399" w:name="_Toc18585"/>
      <w:bookmarkStart w:id="400" w:name="_Toc22185"/>
      <w:r>
        <w:rPr>
          <w:rFonts w:hint="eastAsia" w:ascii="仿宋" w:hAnsi="仿宋" w:eastAsia="仿宋" w:cs="仿宋"/>
          <w:b/>
          <w:color w:val="auto"/>
          <w:sz w:val="24"/>
          <w:highlight w:val="none"/>
        </w:rPr>
        <w:t>1.2 标的</w:t>
      </w:r>
      <w:bookmarkEnd w:id="396"/>
      <w:bookmarkEnd w:id="397"/>
      <w:bookmarkEnd w:id="398"/>
      <w:bookmarkEnd w:id="399"/>
      <w:bookmarkEnd w:id="400"/>
    </w:p>
    <w:p w14:paraId="00D3E422">
      <w:pPr>
        <w:spacing w:line="40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rPr>
        <w:t xml:space="preserve"> 采购文件采购需求部分内容 </w:t>
      </w:r>
      <w:r>
        <w:rPr>
          <w:rFonts w:hint="eastAsia" w:ascii="仿宋" w:hAnsi="仿宋" w:eastAsia="仿宋" w:cs="仿宋"/>
          <w:color w:val="auto"/>
          <w:sz w:val="24"/>
          <w:highlight w:val="none"/>
        </w:rPr>
        <w:t>；</w:t>
      </w:r>
    </w:p>
    <w:p w14:paraId="5BE3AFDC">
      <w:pPr>
        <w:spacing w:line="40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rPr>
        <w:t xml:space="preserve"> 根据采购文件确定的技术指标或者服务要求确定验收指标和标准。未进行相应约定的，应当符合国家强制性规定、政策要求、安全标准、行业或企业有关标准等 </w:t>
      </w:r>
      <w:r>
        <w:rPr>
          <w:rFonts w:hint="eastAsia" w:ascii="仿宋" w:hAnsi="仿宋" w:eastAsia="仿宋" w:cs="仿宋"/>
          <w:color w:val="auto"/>
          <w:sz w:val="24"/>
          <w:highlight w:val="none"/>
        </w:rPr>
        <w:t>；</w:t>
      </w:r>
    </w:p>
    <w:p w14:paraId="48DE7E03">
      <w:pPr>
        <w:spacing w:line="40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xml:space="preserve">　按乙方提供的服务方案及承诺保障本合同有效执行 </w:t>
      </w:r>
      <w:r>
        <w:rPr>
          <w:rFonts w:hint="eastAsia" w:ascii="仿宋" w:hAnsi="仿宋" w:eastAsia="仿宋" w:cs="仿宋"/>
          <w:color w:val="auto"/>
          <w:sz w:val="24"/>
          <w:highlight w:val="none"/>
        </w:rPr>
        <w:t>；</w:t>
      </w:r>
    </w:p>
    <w:p w14:paraId="1A951E65">
      <w:pPr>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5BBD258">
      <w:pPr>
        <w:pStyle w:val="960"/>
        <w:spacing w:before="0" w:beforeAutospacing="0" w:after="0" w:afterAutospacing="0" w:line="4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否  </w:t>
      </w:r>
      <w:r>
        <w:rPr>
          <w:rFonts w:hint="eastAsia" w:ascii="仿宋" w:hAnsi="仿宋" w:eastAsia="仿宋" w:cs="仿宋"/>
          <w:color w:val="auto"/>
          <w:highlight w:val="none"/>
        </w:rPr>
        <w:t>（是/否）涉及货物。若涉及货物的，则：</w:t>
      </w:r>
    </w:p>
    <w:p w14:paraId="71816903">
      <w:pPr>
        <w:spacing w:line="400" w:lineRule="exact"/>
        <w:ind w:firstLine="480" w:firstLineChars="200"/>
        <w:rPr>
          <w:rFonts w:hint="eastAsia" w:ascii="仿宋" w:hAnsi="仿宋" w:eastAsia="仿宋" w:cs="仿宋"/>
          <w:color w:val="auto"/>
          <w:sz w:val="24"/>
          <w:highlight w:val="none"/>
          <w:u w:val="single"/>
        </w:rPr>
      </w:pPr>
      <w:bookmarkStart w:id="401" w:name="_Toc5635"/>
      <w:bookmarkStart w:id="402" w:name="_Toc4929"/>
      <w:bookmarkStart w:id="403" w:name="_Toc1386"/>
      <w:bookmarkStart w:id="404" w:name="_Toc21124"/>
      <w:bookmarkStart w:id="405" w:name="_Toc13918"/>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0CA67946">
      <w:pPr>
        <w:spacing w:line="40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69873C88">
      <w:pPr>
        <w:spacing w:line="40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042A1FE7">
      <w:pPr>
        <w:spacing w:line="40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价款</w:t>
      </w:r>
      <w:bookmarkEnd w:id="401"/>
      <w:bookmarkEnd w:id="402"/>
      <w:bookmarkEnd w:id="403"/>
      <w:bookmarkEnd w:id="404"/>
      <w:bookmarkEnd w:id="405"/>
    </w:p>
    <w:p w14:paraId="5F168302">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1.3.1 </w:t>
      </w:r>
      <w:r>
        <w:rPr>
          <w:rFonts w:hint="eastAsia" w:ascii="仿宋" w:hAnsi="仿宋" w:eastAsia="仿宋" w:cs="仿宋"/>
          <w:color w:val="auto"/>
          <w:sz w:val="24"/>
          <w:highlight w:val="none"/>
        </w:rPr>
        <w:t>条款规定的计价方式计价。</w:t>
      </w:r>
    </w:p>
    <w:p w14:paraId="7DACD65D">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6AA8AA8A">
      <w:pPr>
        <w:spacing w:line="40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2"/>
        <w:tblpPr w:leftFromText="180" w:rightFromText="180" w:vertAnchor="text" w:horzAnchor="page" w:tblpX="2627" w:tblpY="39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A90C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01" w:type="dxa"/>
            <w:vAlign w:val="center"/>
          </w:tcPr>
          <w:p w14:paraId="63A35A9B">
            <w:pPr>
              <w:pStyle w:val="320"/>
              <w:spacing w:line="400" w:lineRule="exact"/>
              <w:jc w:val="center"/>
              <w:rPr>
                <w:rFonts w:hint="eastAsia" w:ascii="仿宋" w:hAnsi="仿宋" w:eastAsia="仿宋" w:cs="仿宋"/>
                <w:color w:val="auto"/>
                <w:sz w:val="24"/>
                <w:szCs w:val="24"/>
                <w:highlight w:val="none"/>
              </w:rPr>
            </w:pPr>
            <w:bookmarkStart w:id="406" w:name="_Toc30158"/>
            <w:bookmarkStart w:id="407" w:name="_Toc30506"/>
            <w:bookmarkStart w:id="408" w:name="_Toc3654"/>
            <w:bookmarkStart w:id="409" w:name="_Toc26916"/>
            <w:bookmarkStart w:id="410" w:name="_Toc14993"/>
            <w:r>
              <w:rPr>
                <w:rFonts w:hint="eastAsia" w:ascii="仿宋" w:hAnsi="仿宋" w:eastAsia="仿宋" w:cs="仿宋"/>
                <w:color w:val="auto"/>
                <w:sz w:val="24"/>
                <w:szCs w:val="24"/>
                <w:highlight w:val="none"/>
              </w:rPr>
              <w:t>序号</w:t>
            </w:r>
          </w:p>
        </w:tc>
        <w:tc>
          <w:tcPr>
            <w:tcW w:w="3402" w:type="dxa"/>
            <w:vAlign w:val="center"/>
          </w:tcPr>
          <w:p w14:paraId="0CD7CA6C">
            <w:pPr>
              <w:pStyle w:val="320"/>
              <w:spacing w:line="40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14:paraId="4D7D4A1B">
            <w:pPr>
              <w:pStyle w:val="32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5F41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01" w:type="dxa"/>
            <w:vAlign w:val="center"/>
          </w:tcPr>
          <w:p w14:paraId="7E81A5E6">
            <w:pPr>
              <w:pStyle w:val="320"/>
              <w:spacing w:line="400" w:lineRule="exact"/>
              <w:ind w:firstLine="200"/>
              <w:jc w:val="center"/>
              <w:rPr>
                <w:rFonts w:hint="eastAsia" w:ascii="仿宋" w:hAnsi="仿宋" w:eastAsia="仿宋" w:cs="仿宋"/>
                <w:color w:val="auto"/>
                <w:sz w:val="24"/>
                <w:szCs w:val="24"/>
                <w:highlight w:val="none"/>
              </w:rPr>
            </w:pPr>
          </w:p>
        </w:tc>
        <w:tc>
          <w:tcPr>
            <w:tcW w:w="3402" w:type="dxa"/>
            <w:vAlign w:val="center"/>
          </w:tcPr>
          <w:p w14:paraId="4EC651C1">
            <w:pPr>
              <w:pStyle w:val="320"/>
              <w:spacing w:line="400" w:lineRule="exact"/>
              <w:ind w:firstLine="200"/>
              <w:jc w:val="center"/>
              <w:rPr>
                <w:rFonts w:hint="eastAsia" w:ascii="仿宋" w:hAnsi="仿宋" w:eastAsia="仿宋" w:cs="仿宋"/>
                <w:color w:val="auto"/>
                <w:sz w:val="24"/>
                <w:szCs w:val="24"/>
                <w:highlight w:val="none"/>
              </w:rPr>
            </w:pPr>
          </w:p>
        </w:tc>
        <w:tc>
          <w:tcPr>
            <w:tcW w:w="2552" w:type="dxa"/>
            <w:vAlign w:val="center"/>
          </w:tcPr>
          <w:p w14:paraId="293B33DA">
            <w:pPr>
              <w:pStyle w:val="320"/>
              <w:spacing w:line="400" w:lineRule="exact"/>
              <w:ind w:firstLine="200"/>
              <w:jc w:val="center"/>
              <w:rPr>
                <w:rFonts w:hint="eastAsia" w:ascii="仿宋" w:hAnsi="仿宋" w:eastAsia="仿宋" w:cs="仿宋"/>
                <w:color w:val="auto"/>
                <w:sz w:val="24"/>
                <w:szCs w:val="24"/>
                <w:highlight w:val="none"/>
              </w:rPr>
            </w:pPr>
          </w:p>
        </w:tc>
      </w:tr>
      <w:tr w14:paraId="7D387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01" w:type="dxa"/>
            <w:vAlign w:val="center"/>
          </w:tcPr>
          <w:p w14:paraId="5D46A923">
            <w:pPr>
              <w:pStyle w:val="320"/>
              <w:spacing w:line="400" w:lineRule="exact"/>
              <w:ind w:firstLine="200"/>
              <w:jc w:val="center"/>
              <w:rPr>
                <w:rFonts w:hint="eastAsia" w:ascii="仿宋" w:hAnsi="仿宋" w:eastAsia="仿宋" w:cs="仿宋"/>
                <w:color w:val="auto"/>
                <w:sz w:val="24"/>
                <w:szCs w:val="24"/>
                <w:highlight w:val="none"/>
              </w:rPr>
            </w:pPr>
          </w:p>
        </w:tc>
        <w:tc>
          <w:tcPr>
            <w:tcW w:w="3402" w:type="dxa"/>
            <w:vAlign w:val="center"/>
          </w:tcPr>
          <w:p w14:paraId="7AD39CCC">
            <w:pPr>
              <w:pStyle w:val="320"/>
              <w:spacing w:line="400" w:lineRule="exact"/>
              <w:ind w:firstLine="200"/>
              <w:jc w:val="center"/>
              <w:rPr>
                <w:rFonts w:hint="eastAsia" w:ascii="仿宋" w:hAnsi="仿宋" w:eastAsia="仿宋" w:cs="仿宋"/>
                <w:color w:val="auto"/>
                <w:sz w:val="24"/>
                <w:szCs w:val="24"/>
                <w:highlight w:val="none"/>
              </w:rPr>
            </w:pPr>
          </w:p>
        </w:tc>
        <w:tc>
          <w:tcPr>
            <w:tcW w:w="2552" w:type="dxa"/>
            <w:vAlign w:val="center"/>
          </w:tcPr>
          <w:p w14:paraId="23332C55">
            <w:pPr>
              <w:pStyle w:val="320"/>
              <w:spacing w:line="400" w:lineRule="exact"/>
              <w:ind w:firstLine="200"/>
              <w:jc w:val="center"/>
              <w:rPr>
                <w:rFonts w:hint="eastAsia" w:ascii="仿宋" w:hAnsi="仿宋" w:eastAsia="仿宋" w:cs="仿宋"/>
                <w:color w:val="auto"/>
                <w:sz w:val="24"/>
                <w:szCs w:val="24"/>
                <w:highlight w:val="none"/>
              </w:rPr>
            </w:pPr>
          </w:p>
        </w:tc>
      </w:tr>
      <w:tr w14:paraId="43413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01" w:type="dxa"/>
            <w:vAlign w:val="center"/>
          </w:tcPr>
          <w:p w14:paraId="79C123CB">
            <w:pPr>
              <w:pStyle w:val="320"/>
              <w:spacing w:line="400" w:lineRule="exact"/>
              <w:ind w:firstLine="200"/>
              <w:jc w:val="center"/>
              <w:rPr>
                <w:rFonts w:hint="eastAsia" w:ascii="仿宋" w:hAnsi="仿宋" w:eastAsia="仿宋" w:cs="仿宋"/>
                <w:color w:val="auto"/>
                <w:sz w:val="24"/>
                <w:szCs w:val="24"/>
                <w:highlight w:val="none"/>
              </w:rPr>
            </w:pPr>
          </w:p>
        </w:tc>
        <w:tc>
          <w:tcPr>
            <w:tcW w:w="3402" w:type="dxa"/>
            <w:vAlign w:val="center"/>
          </w:tcPr>
          <w:p w14:paraId="01872C8B">
            <w:pPr>
              <w:pStyle w:val="320"/>
              <w:spacing w:line="400" w:lineRule="exact"/>
              <w:ind w:firstLine="200"/>
              <w:jc w:val="center"/>
              <w:rPr>
                <w:rFonts w:hint="eastAsia" w:ascii="仿宋" w:hAnsi="仿宋" w:eastAsia="仿宋" w:cs="仿宋"/>
                <w:color w:val="auto"/>
                <w:sz w:val="24"/>
                <w:szCs w:val="24"/>
                <w:highlight w:val="none"/>
              </w:rPr>
            </w:pPr>
          </w:p>
        </w:tc>
        <w:tc>
          <w:tcPr>
            <w:tcW w:w="2552" w:type="dxa"/>
            <w:vAlign w:val="center"/>
          </w:tcPr>
          <w:p w14:paraId="39C48579">
            <w:pPr>
              <w:pStyle w:val="320"/>
              <w:spacing w:line="400" w:lineRule="exact"/>
              <w:ind w:firstLine="200"/>
              <w:jc w:val="center"/>
              <w:rPr>
                <w:rFonts w:hint="eastAsia" w:ascii="仿宋" w:hAnsi="仿宋" w:eastAsia="仿宋" w:cs="仿宋"/>
                <w:color w:val="auto"/>
                <w:sz w:val="24"/>
                <w:szCs w:val="24"/>
                <w:highlight w:val="none"/>
              </w:rPr>
            </w:pPr>
          </w:p>
        </w:tc>
      </w:tr>
      <w:tr w14:paraId="360C2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01" w:type="dxa"/>
            <w:vAlign w:val="center"/>
          </w:tcPr>
          <w:p w14:paraId="37D651A8">
            <w:pPr>
              <w:pStyle w:val="320"/>
              <w:spacing w:line="400" w:lineRule="exact"/>
              <w:ind w:firstLine="200"/>
              <w:jc w:val="center"/>
              <w:rPr>
                <w:rFonts w:hint="eastAsia" w:ascii="仿宋" w:hAnsi="仿宋" w:eastAsia="仿宋" w:cs="仿宋"/>
                <w:color w:val="auto"/>
                <w:sz w:val="24"/>
                <w:szCs w:val="24"/>
                <w:highlight w:val="none"/>
              </w:rPr>
            </w:pPr>
          </w:p>
        </w:tc>
        <w:tc>
          <w:tcPr>
            <w:tcW w:w="3402" w:type="dxa"/>
            <w:vAlign w:val="center"/>
          </w:tcPr>
          <w:p w14:paraId="340767BC">
            <w:pPr>
              <w:pStyle w:val="320"/>
              <w:spacing w:line="400" w:lineRule="exact"/>
              <w:ind w:firstLine="200"/>
              <w:jc w:val="center"/>
              <w:rPr>
                <w:rFonts w:hint="eastAsia" w:ascii="仿宋" w:hAnsi="仿宋" w:eastAsia="仿宋" w:cs="仿宋"/>
                <w:color w:val="auto"/>
                <w:sz w:val="24"/>
                <w:szCs w:val="24"/>
                <w:highlight w:val="none"/>
              </w:rPr>
            </w:pPr>
          </w:p>
        </w:tc>
        <w:tc>
          <w:tcPr>
            <w:tcW w:w="2552" w:type="dxa"/>
            <w:vAlign w:val="center"/>
          </w:tcPr>
          <w:p w14:paraId="1B2358A3">
            <w:pPr>
              <w:pStyle w:val="320"/>
              <w:spacing w:line="400" w:lineRule="exact"/>
              <w:ind w:firstLine="200"/>
              <w:jc w:val="center"/>
              <w:rPr>
                <w:rFonts w:hint="eastAsia" w:ascii="仿宋" w:hAnsi="仿宋" w:eastAsia="仿宋" w:cs="仿宋"/>
                <w:color w:val="auto"/>
                <w:sz w:val="24"/>
                <w:szCs w:val="24"/>
                <w:highlight w:val="none"/>
              </w:rPr>
            </w:pPr>
          </w:p>
        </w:tc>
      </w:tr>
      <w:tr w14:paraId="1135A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603" w:type="dxa"/>
            <w:gridSpan w:val="2"/>
            <w:vAlign w:val="center"/>
          </w:tcPr>
          <w:p w14:paraId="0B5AF61C">
            <w:pPr>
              <w:pStyle w:val="320"/>
              <w:spacing w:line="40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14:paraId="3BA056FB">
            <w:pPr>
              <w:pStyle w:val="320"/>
              <w:spacing w:line="400" w:lineRule="exact"/>
              <w:ind w:firstLine="200"/>
              <w:jc w:val="center"/>
              <w:rPr>
                <w:rFonts w:hint="eastAsia" w:ascii="仿宋" w:hAnsi="仿宋" w:eastAsia="仿宋" w:cs="仿宋"/>
                <w:color w:val="auto"/>
                <w:sz w:val="24"/>
                <w:szCs w:val="24"/>
                <w:highlight w:val="none"/>
              </w:rPr>
            </w:pPr>
          </w:p>
        </w:tc>
      </w:tr>
    </w:tbl>
    <w:p w14:paraId="526BF000">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bCs/>
          <w:color w:val="auto"/>
          <w:sz w:val="24"/>
          <w:highlight w:val="none"/>
        </w:rPr>
        <w:t>1.3.2单价合同</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b/>
          <w:i/>
          <w:color w:val="auto"/>
          <w:sz w:val="24"/>
          <w:highlight w:val="none"/>
          <w:u w:val="single"/>
        </w:rPr>
        <w:t xml:space="preserve"> /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1E31229">
      <w:pPr>
        <w:tabs>
          <w:tab w:val="left" w:pos="432"/>
        </w:tabs>
        <w:spacing w:line="400" w:lineRule="exact"/>
        <w:rPr>
          <w:rFonts w:hint="eastAsia" w:ascii="仿宋" w:hAnsi="仿宋" w:eastAsia="仿宋" w:cs="仿宋"/>
          <w:color w:val="auto"/>
          <w:highlight w:val="none"/>
        </w:rPr>
      </w:pPr>
      <w:r>
        <w:rPr>
          <w:rFonts w:hint="eastAsia" w:ascii="仿宋" w:hAnsi="仿宋" w:eastAsia="仿宋" w:cs="仿宋"/>
          <w:color w:val="auto"/>
          <w:sz w:val="24"/>
          <w:highlight w:val="none"/>
        </w:rPr>
        <w:t xml:space="preserve">    1.3.3其他计价方式：</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bookmarkEnd w:id="406"/>
    <w:bookmarkEnd w:id="407"/>
    <w:bookmarkEnd w:id="408"/>
    <w:bookmarkEnd w:id="409"/>
    <w:bookmarkEnd w:id="410"/>
    <w:p w14:paraId="4F3C606C">
      <w:pPr>
        <w:pStyle w:val="960"/>
        <w:spacing w:before="0" w:beforeAutospacing="0" w:after="0" w:afterAutospacing="0" w:line="400" w:lineRule="exact"/>
        <w:ind w:firstLine="480"/>
        <w:rPr>
          <w:rFonts w:hint="eastAsia" w:ascii="仿宋" w:hAnsi="仿宋" w:eastAsia="仿宋" w:cs="仿宋"/>
          <w:b/>
          <w:color w:val="auto"/>
          <w:highlight w:val="none"/>
        </w:rPr>
      </w:pPr>
      <w:bookmarkStart w:id="411" w:name="_Toc22618"/>
      <w:bookmarkStart w:id="412" w:name="_Toc1814"/>
      <w:bookmarkStart w:id="413" w:name="_Toc10340"/>
      <w:bookmarkStart w:id="414" w:name="_Toc8772"/>
      <w:bookmarkStart w:id="415" w:name="_Toc31421"/>
      <w:bookmarkStart w:id="416" w:name="_Toc3625"/>
      <w:bookmarkStart w:id="417" w:name="_Toc11108"/>
      <w:bookmarkStart w:id="418" w:name="_Toc4760"/>
      <w:r>
        <w:rPr>
          <w:rFonts w:hint="eastAsia" w:ascii="仿宋" w:hAnsi="仿宋" w:eastAsia="仿宋" w:cs="仿宋"/>
          <w:b/>
          <w:color w:val="auto"/>
          <w:highlight w:val="none"/>
        </w:rPr>
        <w:t>1.4履约保证金</w:t>
      </w:r>
    </w:p>
    <w:p w14:paraId="5A4BEB8B">
      <w:pPr>
        <w:pStyle w:val="960"/>
        <w:spacing w:before="0" w:beforeAutospacing="0" w:after="0" w:afterAutospacing="0" w:line="4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是 </w:t>
      </w:r>
      <w:r>
        <w:rPr>
          <w:rFonts w:hint="eastAsia" w:ascii="仿宋" w:hAnsi="仿宋" w:eastAsia="仿宋" w:cs="仿宋"/>
          <w:color w:val="auto"/>
          <w:highlight w:val="none"/>
        </w:rPr>
        <w:t>（是/否）需要支付履约保证金。若需要支付履约保证金的，则：</w:t>
      </w:r>
    </w:p>
    <w:p w14:paraId="2D982B4F">
      <w:pPr>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41C23A2F">
      <w:pPr>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rPr>
        <w:t>；</w:t>
      </w:r>
    </w:p>
    <w:p w14:paraId="533EF7A9">
      <w:pPr>
        <w:tabs>
          <w:tab w:val="left" w:pos="0"/>
          <w:tab w:val="left" w:pos="432"/>
        </w:tabs>
        <w:spacing w:line="400" w:lineRule="exact"/>
        <w:ind w:firstLine="480" w:firstLineChars="200"/>
        <w:rPr>
          <w:rFonts w:hint="eastAsia" w:ascii="仿宋" w:hAnsi="仿宋" w:eastAsia="仿宋" w:cs="仿宋"/>
          <w:color w:val="auto"/>
          <w:highlight w:val="none"/>
        </w:rPr>
      </w:pPr>
      <w:r>
        <w:rPr>
          <w:rFonts w:hint="eastAsia" w:ascii="仿宋" w:hAnsi="仿宋" w:eastAsia="仿宋" w:cs="仿宋"/>
          <w:color w:val="auto"/>
          <w:kern w:val="0"/>
          <w:sz w:val="24"/>
          <w:highlight w:val="none"/>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1AFFF63">
      <w:pPr>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sz w:val="24"/>
          <w:highlight w:val="none"/>
          <w:u w:val="single"/>
        </w:rPr>
        <w:t>0.05</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20</w:t>
      </w:r>
      <w:r>
        <w:rPr>
          <w:rFonts w:hint="eastAsia" w:ascii="仿宋" w:hAnsi="仿宋" w:eastAsia="仿宋" w:cs="仿宋"/>
          <w:color w:val="auto"/>
          <w:kern w:val="0"/>
          <w:sz w:val="24"/>
          <w:highlight w:val="none"/>
        </w:rPr>
        <w:t>%。</w:t>
      </w:r>
    </w:p>
    <w:p w14:paraId="47E54F82">
      <w:pPr>
        <w:spacing w:line="40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bookmarkEnd w:id="411"/>
      <w:bookmarkEnd w:id="412"/>
      <w:bookmarkEnd w:id="413"/>
      <w:r>
        <w:rPr>
          <w:rFonts w:hint="eastAsia" w:ascii="仿宋" w:hAnsi="仿宋" w:eastAsia="仿宋" w:cs="仿宋"/>
          <w:b/>
          <w:color w:val="auto"/>
          <w:sz w:val="24"/>
          <w:highlight w:val="none"/>
        </w:rPr>
        <w:t>预付款</w:t>
      </w:r>
    </w:p>
    <w:p w14:paraId="43280033">
      <w:pPr>
        <w:pStyle w:val="960"/>
        <w:spacing w:before="0" w:beforeAutospacing="0" w:after="0" w:afterAutospacing="0" w:line="4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否</w:t>
      </w:r>
      <w:r>
        <w:rPr>
          <w:rFonts w:hint="eastAsia" w:ascii="仿宋" w:hAnsi="仿宋" w:eastAsia="仿宋" w:cs="仿宋"/>
          <w:color w:val="auto"/>
          <w:highlight w:val="none"/>
        </w:rPr>
        <w:t>（是/否）需要支付预付款。若需要支付预付款的，则：</w:t>
      </w:r>
    </w:p>
    <w:p w14:paraId="709C736D">
      <w:pPr>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rPr>
        <w:t>；</w:t>
      </w:r>
    </w:p>
    <w:p w14:paraId="3D0500B4">
      <w:pPr>
        <w:pStyle w:val="960"/>
        <w:spacing w:before="0" w:beforeAutospacing="0" w:after="0" w:afterAutospacing="0" w:line="4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w:t>
      </w:r>
    </w:p>
    <w:p w14:paraId="03F8C6A5">
      <w:pPr>
        <w:pStyle w:val="960"/>
        <w:spacing w:before="0" w:beforeAutospacing="0" w:after="0" w:afterAutospacing="0" w:line="400" w:lineRule="exact"/>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w:t>
      </w:r>
    </w:p>
    <w:p w14:paraId="79E965D4">
      <w:pPr>
        <w:pStyle w:val="960"/>
        <w:spacing w:before="0" w:beforeAutospacing="0" w:after="0" w:afterAutospacing="0" w:line="400" w:lineRule="exact"/>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14:paraId="09F47792">
      <w:pPr>
        <w:pStyle w:val="960"/>
        <w:spacing w:before="0" w:beforeAutospacing="0" w:after="0" w:afterAutospacing="0" w:line="4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29BD1C4">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ECB08BF">
      <w:pPr>
        <w:spacing w:line="40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bookmarkEnd w:id="414"/>
      <w:bookmarkEnd w:id="415"/>
      <w:bookmarkEnd w:id="416"/>
      <w:bookmarkEnd w:id="417"/>
      <w:bookmarkEnd w:id="418"/>
    </w:p>
    <w:p w14:paraId="3E1B583D">
      <w:pPr>
        <w:spacing w:line="40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A14E644">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ED28AD4">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E24D5D5">
      <w:pPr>
        <w:spacing w:line="400" w:lineRule="exact"/>
        <w:ind w:firstLine="480" w:firstLineChars="200"/>
        <w:rPr>
          <w:rFonts w:hint="eastAsia" w:ascii="仿宋" w:hAnsi="仿宋" w:eastAsia="仿宋" w:cs="仿宋"/>
          <w:bCs/>
          <w:color w:val="auto"/>
          <w:sz w:val="24"/>
          <w:highlight w:val="none"/>
        </w:rPr>
      </w:pPr>
      <w:bookmarkStart w:id="419" w:name="_Toc8586"/>
      <w:bookmarkStart w:id="420" w:name="_Toc2375"/>
      <w:bookmarkStart w:id="421" w:name="_Toc24662"/>
      <w:bookmarkStart w:id="422" w:name="_Toc5698"/>
      <w:bookmarkStart w:id="423" w:name="_Toc3079"/>
      <w:r>
        <w:rPr>
          <w:rFonts w:hint="eastAsia" w:ascii="仿宋" w:hAnsi="仿宋" w:eastAsia="仿宋" w:cs="仿宋"/>
          <w:bCs/>
          <w:color w:val="auto"/>
          <w:sz w:val="24"/>
          <w:highlight w:val="none"/>
        </w:rPr>
        <w:t>1.7.4若服务涉及货物的，则货物的：</w:t>
      </w:r>
    </w:p>
    <w:p w14:paraId="662C3F04">
      <w:pPr>
        <w:spacing w:line="40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A7A795C">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78E9064">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3464198">
      <w:pPr>
        <w:spacing w:line="400" w:lineRule="exact"/>
        <w:ind w:firstLine="482" w:firstLineChars="20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419"/>
      <w:bookmarkEnd w:id="420"/>
      <w:bookmarkEnd w:id="421"/>
      <w:bookmarkEnd w:id="422"/>
      <w:bookmarkEnd w:id="423"/>
    </w:p>
    <w:p w14:paraId="094F21F7">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0.05</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20</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3BD6A79E">
      <w:pPr>
        <w:tabs>
          <w:tab w:val="left" w:pos="432"/>
        </w:tabs>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sz w:val="24"/>
          <w:highlight w:val="none"/>
          <w:u w:val="single"/>
        </w:rPr>
        <w:t>0.05</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20</w:t>
      </w:r>
      <w:r>
        <w:rPr>
          <w:rFonts w:hint="eastAsia" w:ascii="仿宋" w:hAnsi="仿宋" w:eastAsia="仿宋" w:cs="仿宋"/>
          <w:color w:val="auto"/>
          <w:sz w:val="24"/>
          <w:highlight w:val="none"/>
        </w:rPr>
        <w:t>%；迟延交付货物的违约金计算数额达到前述最高限额之日起，甲方有权在要求乙方支付违约金的同时，书面通知乙方解除本合同；</w:t>
      </w:r>
    </w:p>
    <w:p w14:paraId="34E93CA7">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0.05</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20</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72C8ADDA">
      <w:pPr>
        <w:spacing w:line="400" w:lineRule="exact"/>
        <w:ind w:firstLine="480" w:firstLineChars="200"/>
        <w:rPr>
          <w:rFonts w:hint="eastAsia" w:ascii="仿宋" w:hAnsi="仿宋" w:eastAsia="仿宋" w:cs="仿宋"/>
          <w:color w:val="auto"/>
          <w:sz w:val="24"/>
          <w:highlight w:val="none"/>
        </w:rPr>
      </w:pPr>
      <w:bookmarkStart w:id="424" w:name="_Toc30329"/>
      <w:bookmarkStart w:id="425" w:name="_Toc9497"/>
      <w:bookmarkStart w:id="426" w:name="_Toc26807"/>
      <w:bookmarkStart w:id="427" w:name="_Toc18683"/>
      <w:bookmarkStart w:id="428" w:name="_Toc32454"/>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7C28693">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CB16AFB">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5D61CDCA">
      <w:pPr>
        <w:spacing w:line="400" w:lineRule="exact"/>
        <w:ind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424"/>
    <w:bookmarkEnd w:id="425"/>
    <w:bookmarkEnd w:id="426"/>
    <w:bookmarkEnd w:id="427"/>
    <w:bookmarkEnd w:id="428"/>
    <w:p w14:paraId="0C20977A">
      <w:pPr>
        <w:spacing w:line="400" w:lineRule="exact"/>
        <w:ind w:firstLine="482" w:firstLineChars="200"/>
        <w:rPr>
          <w:rFonts w:hint="eastAsia" w:ascii="仿宋" w:hAnsi="仿宋" w:eastAsia="仿宋" w:cs="仿宋"/>
          <w:b/>
          <w:color w:val="auto"/>
          <w:sz w:val="24"/>
          <w:highlight w:val="none"/>
        </w:rPr>
      </w:pPr>
      <w:bookmarkStart w:id="429" w:name="_Toc15583"/>
      <w:bookmarkStart w:id="430" w:name="_Toc16021"/>
      <w:bookmarkStart w:id="431" w:name="_Toc28375"/>
      <w:r>
        <w:rPr>
          <w:rFonts w:hint="eastAsia" w:ascii="仿宋" w:hAnsi="仿宋" w:eastAsia="仿宋" w:cs="仿宋"/>
          <w:b/>
          <w:color w:val="auto"/>
          <w:sz w:val="24"/>
          <w:highlight w:val="none"/>
        </w:rPr>
        <w:t>1.9合同争议的解决</w:t>
      </w:r>
      <w:bookmarkEnd w:id="429"/>
      <w:bookmarkEnd w:id="430"/>
      <w:bookmarkEnd w:id="431"/>
    </w:p>
    <w:p w14:paraId="595FD5AC">
      <w:pPr>
        <w:spacing w:line="40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1.9.2</w:t>
      </w:r>
      <w:r>
        <w:rPr>
          <w:rFonts w:hint="eastAsia" w:ascii="仿宋" w:hAnsi="仿宋" w:eastAsia="仿宋" w:cs="仿宋"/>
          <w:color w:val="auto"/>
          <w:sz w:val="24"/>
          <w:highlight w:val="none"/>
        </w:rPr>
        <w:t>条款规定的方式解决：</w:t>
      </w:r>
    </w:p>
    <w:p w14:paraId="4C9503B8">
      <w:pPr>
        <w:spacing w:line="40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0BBC9AB0">
      <w:pPr>
        <w:spacing w:line="40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5D871A8B">
      <w:pPr>
        <w:spacing w:line="400" w:lineRule="exact"/>
        <w:ind w:firstLine="482" w:firstLineChars="200"/>
        <w:rPr>
          <w:rFonts w:hint="eastAsia" w:ascii="仿宋" w:hAnsi="仿宋" w:eastAsia="仿宋" w:cs="仿宋"/>
          <w:b/>
          <w:color w:val="auto"/>
          <w:sz w:val="24"/>
          <w:highlight w:val="none"/>
        </w:rPr>
      </w:pPr>
      <w:bookmarkStart w:id="432" w:name="_Toc11173"/>
      <w:bookmarkStart w:id="433" w:name="_Toc7245"/>
      <w:bookmarkStart w:id="434" w:name="_Toc15322"/>
      <w:r>
        <w:rPr>
          <w:rFonts w:hint="eastAsia" w:ascii="仿宋" w:hAnsi="仿宋" w:eastAsia="仿宋" w:cs="仿宋"/>
          <w:b/>
          <w:color w:val="auto"/>
          <w:sz w:val="24"/>
          <w:highlight w:val="none"/>
        </w:rPr>
        <w:t>2.0 合同生效</w:t>
      </w:r>
      <w:bookmarkEnd w:id="432"/>
      <w:bookmarkEnd w:id="433"/>
      <w:bookmarkEnd w:id="434"/>
    </w:p>
    <w:p w14:paraId="231220B6">
      <w:pPr>
        <w:spacing w:line="40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14:paraId="097DB445">
      <w:pPr>
        <w:autoSpaceDE w:val="0"/>
        <w:autoSpaceDN w:val="0"/>
        <w:spacing w:line="400" w:lineRule="exact"/>
        <w:rPr>
          <w:rFonts w:hint="eastAsia" w:ascii="仿宋" w:hAnsi="仿宋" w:eastAsia="仿宋" w:cs="仿宋"/>
          <w:color w:val="auto"/>
          <w:sz w:val="24"/>
          <w:highlight w:val="none"/>
          <w:lang w:val="zh-CN"/>
        </w:rPr>
      </w:pPr>
    </w:p>
    <w:p w14:paraId="36797FDA">
      <w:pPr>
        <w:autoSpaceDE w:val="0"/>
        <w:autoSpaceDN w:val="0"/>
        <w:spacing w:line="40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6E2A9E4B">
      <w:pPr>
        <w:autoSpaceDE w:val="0"/>
        <w:autoSpaceDN w:val="0"/>
        <w:spacing w:line="40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740783C0">
      <w:pPr>
        <w:autoSpaceDE w:val="0"/>
        <w:autoSpaceDN w:val="0"/>
        <w:spacing w:line="400" w:lineRule="exact"/>
        <w:rPr>
          <w:rFonts w:hint="eastAsia" w:ascii="仿宋" w:hAnsi="仿宋" w:eastAsia="仿宋" w:cs="仿宋"/>
          <w:color w:val="auto"/>
          <w:sz w:val="24"/>
          <w:highlight w:val="none"/>
          <w:lang w:val="zh-CN"/>
        </w:rPr>
      </w:pPr>
    </w:p>
    <w:p w14:paraId="5F565B27">
      <w:pPr>
        <w:autoSpaceDE w:val="0"/>
        <w:autoSpaceDN w:val="0"/>
        <w:spacing w:line="40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0EF3D17F">
      <w:pPr>
        <w:autoSpaceDE w:val="0"/>
        <w:autoSpaceDN w:val="0"/>
        <w:spacing w:line="40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3AB89EF3">
      <w:pPr>
        <w:autoSpaceDE w:val="0"/>
        <w:autoSpaceDN w:val="0"/>
        <w:spacing w:line="40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57B69164">
      <w:pPr>
        <w:autoSpaceDE w:val="0"/>
        <w:autoSpaceDN w:val="0"/>
        <w:spacing w:line="40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11F47D40">
      <w:pPr>
        <w:autoSpaceDE w:val="0"/>
        <w:autoSpaceDN w:val="0"/>
        <w:spacing w:line="40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6B75C482">
      <w:pPr>
        <w:autoSpaceDE w:val="0"/>
        <w:autoSpaceDN w:val="0"/>
        <w:spacing w:line="40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20009B47">
      <w:pPr>
        <w:autoSpaceDE w:val="0"/>
        <w:autoSpaceDN w:val="0"/>
        <w:spacing w:line="40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5251A392">
      <w:pPr>
        <w:autoSpaceDE w:val="0"/>
        <w:autoSpaceDN w:val="0"/>
        <w:spacing w:line="40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20FCFB65">
      <w:pPr>
        <w:autoSpaceDE w:val="0"/>
        <w:autoSpaceDN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244525FD">
      <w:pPr>
        <w:autoSpaceDE w:val="0"/>
        <w:autoSpaceDN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0BCF1BA7">
      <w:pPr>
        <w:autoSpaceDE w:val="0"/>
        <w:autoSpaceDN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236486C0">
      <w:pPr>
        <w:autoSpaceDE w:val="0"/>
        <w:autoSpaceDN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62922640">
      <w:pPr>
        <w:widowControl/>
        <w:spacing w:line="400" w:lineRule="exact"/>
        <w:jc w:val="left"/>
        <w:rPr>
          <w:rFonts w:hint="eastAsia" w:ascii="仿宋" w:hAnsi="仿宋" w:eastAsia="仿宋" w:cs="仿宋"/>
          <w:b/>
          <w:color w:val="auto"/>
          <w:sz w:val="24"/>
          <w:highlight w:val="none"/>
        </w:rPr>
      </w:pPr>
    </w:p>
    <w:p w14:paraId="1BD24F6D">
      <w:pPr>
        <w:widowControl/>
        <w:adjustRightInd/>
        <w:spacing w:line="400" w:lineRule="exact"/>
        <w:jc w:val="left"/>
        <w:rPr>
          <w:rFonts w:hint="eastAsia" w:ascii="仿宋" w:hAnsi="仿宋" w:eastAsia="仿宋" w:cs="仿宋"/>
          <w:b/>
          <w:color w:val="auto"/>
          <w:sz w:val="24"/>
          <w:highlight w:val="none"/>
        </w:rPr>
      </w:pPr>
      <w:r>
        <w:rPr>
          <w:rFonts w:hint="eastAsia" w:ascii="仿宋" w:hAnsi="仿宋" w:eastAsia="仿宋" w:cs="仿宋"/>
          <w:b/>
          <w:color w:val="auto"/>
          <w:highlight w:val="none"/>
        </w:rPr>
        <w:br w:type="page"/>
      </w:r>
    </w:p>
    <w:p w14:paraId="6E3DCAD5">
      <w:pPr>
        <w:pStyle w:val="702"/>
        <w:spacing w:line="400" w:lineRule="exact"/>
        <w:ind w:left="0" w:leftChars="0" w:firstLine="0" w:firstLineChars="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539B3D19">
      <w:pPr>
        <w:spacing w:line="400" w:lineRule="exact"/>
        <w:ind w:firstLine="482" w:firstLineChars="200"/>
        <w:rPr>
          <w:rFonts w:hint="eastAsia" w:ascii="仿宋" w:hAnsi="仿宋" w:eastAsia="仿宋" w:cs="仿宋"/>
          <w:b/>
          <w:color w:val="auto"/>
          <w:sz w:val="24"/>
          <w:highlight w:val="none"/>
        </w:rPr>
      </w:pPr>
      <w:bookmarkStart w:id="435" w:name="_Toc5228"/>
      <w:bookmarkStart w:id="436" w:name="_Toc19680"/>
      <w:bookmarkStart w:id="437" w:name="_Toc25079"/>
      <w:bookmarkStart w:id="438" w:name="_Toc31297"/>
      <w:bookmarkStart w:id="439" w:name="_Toc14021"/>
      <w:r>
        <w:rPr>
          <w:rFonts w:hint="eastAsia" w:ascii="仿宋" w:hAnsi="仿宋" w:eastAsia="仿宋" w:cs="仿宋"/>
          <w:b/>
          <w:color w:val="auto"/>
          <w:sz w:val="24"/>
          <w:highlight w:val="none"/>
        </w:rPr>
        <w:t>2.1 定义</w:t>
      </w:r>
      <w:bookmarkEnd w:id="435"/>
      <w:bookmarkEnd w:id="436"/>
      <w:bookmarkEnd w:id="437"/>
      <w:bookmarkEnd w:id="438"/>
      <w:bookmarkEnd w:id="439"/>
    </w:p>
    <w:p w14:paraId="0583BB55">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29B657CA">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5352A4CB">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2488D35E">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30218BE6">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14:paraId="1200CCBA">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43BAAAB3">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14:paraId="6B337888">
      <w:pPr>
        <w:spacing w:line="400" w:lineRule="exact"/>
        <w:ind w:firstLine="482" w:firstLineChars="200"/>
        <w:rPr>
          <w:rFonts w:hint="eastAsia" w:ascii="仿宋" w:hAnsi="仿宋" w:eastAsia="仿宋" w:cs="仿宋"/>
          <w:b/>
          <w:color w:val="auto"/>
          <w:sz w:val="24"/>
          <w:highlight w:val="none"/>
        </w:rPr>
      </w:pPr>
      <w:bookmarkStart w:id="440" w:name="_Toc23289"/>
      <w:bookmarkStart w:id="441" w:name="_Toc16752"/>
      <w:bookmarkStart w:id="442" w:name="_Toc19539"/>
      <w:bookmarkStart w:id="443" w:name="_Toc31402"/>
      <w:bookmarkStart w:id="444" w:name="_Toc3769"/>
      <w:r>
        <w:rPr>
          <w:rFonts w:hint="eastAsia" w:ascii="仿宋" w:hAnsi="仿宋" w:eastAsia="仿宋" w:cs="仿宋"/>
          <w:b/>
          <w:color w:val="auto"/>
          <w:sz w:val="24"/>
          <w:highlight w:val="none"/>
        </w:rPr>
        <w:t>2.2 技术规范</w:t>
      </w:r>
      <w:bookmarkEnd w:id="440"/>
      <w:bookmarkEnd w:id="441"/>
      <w:bookmarkEnd w:id="442"/>
      <w:bookmarkEnd w:id="443"/>
      <w:bookmarkEnd w:id="444"/>
    </w:p>
    <w:p w14:paraId="30A3DBA3">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92DDB27">
      <w:pPr>
        <w:spacing w:line="400" w:lineRule="exact"/>
        <w:ind w:firstLine="482" w:firstLineChars="200"/>
        <w:rPr>
          <w:rFonts w:hint="eastAsia" w:ascii="仿宋" w:hAnsi="仿宋" w:eastAsia="仿宋" w:cs="仿宋"/>
          <w:b/>
          <w:color w:val="auto"/>
          <w:sz w:val="24"/>
          <w:highlight w:val="none"/>
        </w:rPr>
      </w:pPr>
      <w:bookmarkStart w:id="445" w:name="_Toc4133"/>
      <w:bookmarkStart w:id="446" w:name="_Toc9161"/>
      <w:bookmarkStart w:id="447" w:name="_Toc13673"/>
      <w:bookmarkStart w:id="448" w:name="_Toc27945"/>
      <w:bookmarkStart w:id="449" w:name="_Toc12412"/>
      <w:r>
        <w:rPr>
          <w:rFonts w:hint="eastAsia" w:ascii="仿宋" w:hAnsi="仿宋" w:eastAsia="仿宋" w:cs="仿宋"/>
          <w:b/>
          <w:color w:val="auto"/>
          <w:sz w:val="24"/>
          <w:highlight w:val="none"/>
        </w:rPr>
        <w:t>2.3 知识产权</w:t>
      </w:r>
      <w:bookmarkEnd w:id="445"/>
      <w:bookmarkEnd w:id="446"/>
      <w:bookmarkEnd w:id="447"/>
      <w:bookmarkEnd w:id="448"/>
      <w:bookmarkEnd w:id="449"/>
    </w:p>
    <w:p w14:paraId="0F3D1FF8">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3700146F">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91CA7AA">
      <w:pPr>
        <w:spacing w:line="40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14:paraId="7B58E737">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1CAB2D9B">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14:paraId="6E015A43">
      <w:pPr>
        <w:spacing w:line="400" w:lineRule="exact"/>
        <w:ind w:firstLine="482" w:firstLineChars="200"/>
        <w:rPr>
          <w:rFonts w:hint="eastAsia" w:ascii="仿宋" w:hAnsi="仿宋" w:eastAsia="仿宋" w:cs="仿宋"/>
          <w:b/>
          <w:color w:val="auto"/>
          <w:sz w:val="24"/>
          <w:highlight w:val="none"/>
        </w:rPr>
      </w:pPr>
      <w:bookmarkStart w:id="450" w:name="_Toc15447"/>
      <w:bookmarkStart w:id="451" w:name="_Toc26555"/>
      <w:bookmarkStart w:id="452" w:name="_Toc22011"/>
      <w:bookmarkStart w:id="453" w:name="_Toc32670"/>
      <w:bookmarkStart w:id="454" w:name="_Toc31233"/>
      <w:r>
        <w:rPr>
          <w:rFonts w:hint="eastAsia" w:ascii="仿宋" w:hAnsi="仿宋" w:eastAsia="仿宋" w:cs="仿宋"/>
          <w:b/>
          <w:color w:val="auto"/>
          <w:sz w:val="24"/>
          <w:highlight w:val="none"/>
        </w:rPr>
        <w:t>2.5 结算方式和付款条件</w:t>
      </w:r>
      <w:bookmarkEnd w:id="450"/>
      <w:bookmarkEnd w:id="451"/>
      <w:bookmarkEnd w:id="452"/>
      <w:bookmarkEnd w:id="453"/>
      <w:bookmarkEnd w:id="454"/>
    </w:p>
    <w:p w14:paraId="44F0BD11">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2921169">
      <w:pPr>
        <w:spacing w:line="400" w:lineRule="exact"/>
        <w:ind w:firstLine="482" w:firstLineChars="200"/>
        <w:rPr>
          <w:rFonts w:hint="eastAsia" w:ascii="仿宋" w:hAnsi="仿宋" w:eastAsia="仿宋" w:cs="仿宋"/>
          <w:b/>
          <w:color w:val="auto"/>
          <w:sz w:val="24"/>
          <w:highlight w:val="none"/>
        </w:rPr>
      </w:pPr>
      <w:bookmarkStart w:id="455" w:name="_Toc13154"/>
      <w:bookmarkStart w:id="456" w:name="_Toc30507"/>
      <w:bookmarkStart w:id="457" w:name="_Toc16163"/>
      <w:bookmarkStart w:id="458" w:name="_Toc18990"/>
      <w:bookmarkStart w:id="459" w:name="_Toc13467"/>
      <w:r>
        <w:rPr>
          <w:rFonts w:hint="eastAsia" w:ascii="仿宋" w:hAnsi="仿宋" w:eastAsia="仿宋" w:cs="仿宋"/>
          <w:b/>
          <w:color w:val="auto"/>
          <w:sz w:val="24"/>
          <w:highlight w:val="none"/>
        </w:rPr>
        <w:t>2.6 技术资料和保密义务</w:t>
      </w:r>
      <w:bookmarkEnd w:id="455"/>
      <w:bookmarkEnd w:id="456"/>
      <w:bookmarkEnd w:id="457"/>
      <w:bookmarkEnd w:id="458"/>
      <w:bookmarkEnd w:id="459"/>
    </w:p>
    <w:p w14:paraId="18B2D9FD">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20618785">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5898AD2A">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43818C5">
      <w:pPr>
        <w:spacing w:line="400" w:lineRule="exact"/>
        <w:ind w:firstLine="482" w:firstLineChars="200"/>
        <w:rPr>
          <w:rFonts w:hint="eastAsia" w:ascii="仿宋" w:hAnsi="仿宋" w:eastAsia="仿宋" w:cs="仿宋"/>
          <w:b/>
          <w:color w:val="auto"/>
          <w:sz w:val="24"/>
          <w:highlight w:val="none"/>
        </w:rPr>
      </w:pPr>
      <w:bookmarkStart w:id="460" w:name="_Toc19069"/>
      <w:r>
        <w:rPr>
          <w:rFonts w:hint="eastAsia" w:ascii="仿宋" w:hAnsi="仿宋" w:eastAsia="仿宋" w:cs="仿宋"/>
          <w:b/>
          <w:color w:val="auto"/>
          <w:sz w:val="24"/>
          <w:highlight w:val="none"/>
        </w:rPr>
        <w:t>2.7 质量保证</w:t>
      </w:r>
      <w:bookmarkEnd w:id="460"/>
    </w:p>
    <w:p w14:paraId="271B28B7">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57F5C4BA">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0A890205">
      <w:pPr>
        <w:spacing w:line="400" w:lineRule="exact"/>
        <w:ind w:firstLine="482" w:firstLineChars="200"/>
        <w:rPr>
          <w:rFonts w:hint="eastAsia" w:ascii="仿宋" w:hAnsi="仿宋" w:eastAsia="仿宋" w:cs="仿宋"/>
          <w:b/>
          <w:color w:val="auto"/>
          <w:sz w:val="24"/>
          <w:highlight w:val="none"/>
        </w:rPr>
      </w:pPr>
      <w:bookmarkStart w:id="461" w:name="_Toc22267"/>
      <w:r>
        <w:rPr>
          <w:rFonts w:hint="eastAsia" w:ascii="仿宋" w:hAnsi="仿宋" w:eastAsia="仿宋" w:cs="仿宋"/>
          <w:b/>
          <w:color w:val="auto"/>
          <w:sz w:val="24"/>
          <w:highlight w:val="none"/>
        </w:rPr>
        <w:t>2.8 延迟履行</w:t>
      </w:r>
      <w:bookmarkEnd w:id="461"/>
    </w:p>
    <w:p w14:paraId="451F2340">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5698393F">
      <w:pPr>
        <w:spacing w:line="400" w:lineRule="exact"/>
        <w:ind w:firstLine="482" w:firstLineChars="200"/>
        <w:rPr>
          <w:rFonts w:hint="eastAsia" w:ascii="仿宋" w:hAnsi="仿宋" w:eastAsia="仿宋" w:cs="仿宋"/>
          <w:b/>
          <w:color w:val="auto"/>
          <w:sz w:val="24"/>
          <w:highlight w:val="none"/>
        </w:rPr>
      </w:pPr>
      <w:bookmarkStart w:id="462" w:name="_Toc10611"/>
      <w:r>
        <w:rPr>
          <w:rFonts w:hint="eastAsia" w:ascii="仿宋" w:hAnsi="仿宋" w:eastAsia="仿宋" w:cs="仿宋"/>
          <w:b/>
          <w:color w:val="auto"/>
          <w:sz w:val="24"/>
          <w:highlight w:val="none"/>
        </w:rPr>
        <w:t>2.9 合同变更</w:t>
      </w:r>
      <w:bookmarkEnd w:id="462"/>
    </w:p>
    <w:p w14:paraId="28D90E6A">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2A0ABAE5">
      <w:pPr>
        <w:spacing w:line="400" w:lineRule="exact"/>
        <w:ind w:firstLine="482" w:firstLineChars="200"/>
        <w:rPr>
          <w:rFonts w:hint="eastAsia" w:ascii="仿宋" w:hAnsi="仿宋" w:eastAsia="仿宋" w:cs="仿宋"/>
          <w:b/>
          <w:color w:val="auto"/>
          <w:sz w:val="24"/>
          <w:highlight w:val="none"/>
        </w:rPr>
      </w:pPr>
      <w:bookmarkStart w:id="463" w:name="_Toc21830"/>
      <w:bookmarkStart w:id="464" w:name="_Toc26689"/>
      <w:bookmarkStart w:id="465" w:name="_Toc10663"/>
      <w:bookmarkStart w:id="466" w:name="_Toc42"/>
      <w:bookmarkStart w:id="467" w:name="_Toc23368"/>
      <w:r>
        <w:rPr>
          <w:rFonts w:hint="eastAsia" w:ascii="仿宋" w:hAnsi="仿宋" w:eastAsia="仿宋" w:cs="仿宋"/>
          <w:b/>
          <w:color w:val="auto"/>
          <w:sz w:val="24"/>
          <w:highlight w:val="none"/>
        </w:rPr>
        <w:t>2.10 合同转让和分包</w:t>
      </w:r>
      <w:bookmarkEnd w:id="463"/>
      <w:bookmarkEnd w:id="464"/>
      <w:bookmarkEnd w:id="465"/>
      <w:bookmarkEnd w:id="466"/>
      <w:bookmarkEnd w:id="467"/>
    </w:p>
    <w:p w14:paraId="78B0BA7B">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EEEF1FA">
      <w:pPr>
        <w:spacing w:line="400" w:lineRule="exact"/>
        <w:ind w:firstLine="482" w:firstLineChars="200"/>
        <w:rPr>
          <w:rFonts w:hint="eastAsia" w:ascii="仿宋" w:hAnsi="仿宋" w:eastAsia="仿宋" w:cs="仿宋"/>
          <w:b/>
          <w:color w:val="auto"/>
          <w:sz w:val="24"/>
          <w:highlight w:val="none"/>
        </w:rPr>
      </w:pPr>
      <w:bookmarkStart w:id="468" w:name="_Toc14371"/>
      <w:bookmarkStart w:id="469" w:name="_Toc4720"/>
      <w:bookmarkStart w:id="470" w:name="_Toc32494"/>
      <w:bookmarkStart w:id="471" w:name="_Toc26633"/>
      <w:bookmarkStart w:id="472" w:name="_Toc25571"/>
      <w:r>
        <w:rPr>
          <w:rFonts w:hint="eastAsia" w:ascii="仿宋" w:hAnsi="仿宋" w:eastAsia="仿宋" w:cs="仿宋"/>
          <w:b/>
          <w:color w:val="auto"/>
          <w:sz w:val="24"/>
          <w:highlight w:val="none"/>
        </w:rPr>
        <w:t>2.11 不可抗力</w:t>
      </w:r>
      <w:bookmarkEnd w:id="468"/>
      <w:bookmarkEnd w:id="469"/>
      <w:bookmarkEnd w:id="470"/>
      <w:bookmarkEnd w:id="471"/>
      <w:bookmarkEnd w:id="472"/>
    </w:p>
    <w:p w14:paraId="1FC5CFE0">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02C485DE">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48503FAF">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49A7F298">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4B128FC7">
      <w:pPr>
        <w:spacing w:line="400" w:lineRule="exact"/>
        <w:ind w:firstLine="482" w:firstLineChars="200"/>
        <w:rPr>
          <w:rFonts w:hint="eastAsia" w:ascii="仿宋" w:hAnsi="仿宋" w:eastAsia="仿宋" w:cs="仿宋"/>
          <w:b/>
          <w:color w:val="auto"/>
          <w:sz w:val="24"/>
          <w:highlight w:val="none"/>
        </w:rPr>
      </w:pPr>
      <w:bookmarkStart w:id="473" w:name="_Toc3638"/>
      <w:bookmarkStart w:id="474" w:name="_Toc14115"/>
      <w:bookmarkStart w:id="475" w:name="_Toc25783"/>
      <w:bookmarkStart w:id="476" w:name="_Toc23854"/>
      <w:bookmarkStart w:id="477" w:name="_Toc24465"/>
      <w:r>
        <w:rPr>
          <w:rFonts w:hint="eastAsia" w:ascii="仿宋" w:hAnsi="仿宋" w:eastAsia="仿宋" w:cs="仿宋"/>
          <w:b/>
          <w:color w:val="auto"/>
          <w:sz w:val="24"/>
          <w:highlight w:val="none"/>
        </w:rPr>
        <w:t>2.12 税费</w:t>
      </w:r>
      <w:bookmarkEnd w:id="473"/>
      <w:bookmarkEnd w:id="474"/>
      <w:bookmarkEnd w:id="475"/>
      <w:bookmarkEnd w:id="476"/>
      <w:bookmarkEnd w:id="477"/>
    </w:p>
    <w:p w14:paraId="2222A7FA">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2692DDC4">
      <w:pPr>
        <w:spacing w:line="400" w:lineRule="exact"/>
        <w:ind w:firstLine="482" w:firstLineChars="200"/>
        <w:rPr>
          <w:rFonts w:hint="eastAsia" w:ascii="仿宋" w:hAnsi="仿宋" w:eastAsia="仿宋" w:cs="仿宋"/>
          <w:b/>
          <w:color w:val="auto"/>
          <w:sz w:val="24"/>
          <w:highlight w:val="none"/>
        </w:rPr>
      </w:pPr>
      <w:bookmarkStart w:id="478" w:name="_Toc30105"/>
      <w:bookmarkStart w:id="479" w:name="_Toc25525"/>
      <w:bookmarkStart w:id="480" w:name="_Toc14814"/>
      <w:bookmarkStart w:id="481" w:name="_Toc26883"/>
      <w:bookmarkStart w:id="482" w:name="_Toc7315"/>
      <w:r>
        <w:rPr>
          <w:rFonts w:hint="eastAsia" w:ascii="仿宋" w:hAnsi="仿宋" w:eastAsia="仿宋" w:cs="仿宋"/>
          <w:b/>
          <w:color w:val="auto"/>
          <w:sz w:val="24"/>
          <w:highlight w:val="none"/>
        </w:rPr>
        <w:t>2.13 乙方破产</w:t>
      </w:r>
      <w:bookmarkEnd w:id="478"/>
      <w:bookmarkEnd w:id="479"/>
      <w:bookmarkEnd w:id="480"/>
      <w:bookmarkEnd w:id="481"/>
      <w:bookmarkEnd w:id="482"/>
    </w:p>
    <w:p w14:paraId="6B5267AA">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35FDF31">
      <w:pPr>
        <w:spacing w:line="400" w:lineRule="exact"/>
        <w:ind w:firstLine="482" w:firstLineChars="200"/>
        <w:rPr>
          <w:rFonts w:hint="eastAsia" w:ascii="仿宋" w:hAnsi="仿宋" w:eastAsia="仿宋" w:cs="仿宋"/>
          <w:b/>
          <w:color w:val="auto"/>
          <w:sz w:val="24"/>
          <w:highlight w:val="none"/>
        </w:rPr>
      </w:pPr>
      <w:bookmarkStart w:id="483" w:name="_Toc2016"/>
      <w:bookmarkStart w:id="484" w:name="_Toc1123"/>
      <w:bookmarkStart w:id="485" w:name="_Toc23323"/>
      <w:r>
        <w:rPr>
          <w:rFonts w:hint="eastAsia" w:ascii="仿宋" w:hAnsi="仿宋" w:eastAsia="仿宋" w:cs="仿宋"/>
          <w:b/>
          <w:color w:val="auto"/>
          <w:sz w:val="24"/>
          <w:highlight w:val="none"/>
        </w:rPr>
        <w:t>2.14 合同中止、终止</w:t>
      </w:r>
      <w:bookmarkEnd w:id="483"/>
      <w:bookmarkEnd w:id="484"/>
      <w:bookmarkEnd w:id="485"/>
    </w:p>
    <w:p w14:paraId="20022D26">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0E8AD630">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7F479892">
      <w:pPr>
        <w:spacing w:line="400" w:lineRule="exact"/>
        <w:ind w:firstLine="482" w:firstLineChars="200"/>
        <w:rPr>
          <w:rFonts w:hint="eastAsia" w:ascii="仿宋" w:hAnsi="仿宋" w:eastAsia="仿宋" w:cs="仿宋"/>
          <w:b/>
          <w:color w:val="auto"/>
          <w:sz w:val="24"/>
          <w:highlight w:val="none"/>
        </w:rPr>
      </w:pPr>
      <w:bookmarkStart w:id="486" w:name="_Toc1969"/>
      <w:bookmarkStart w:id="487" w:name="_Toc14525"/>
      <w:bookmarkStart w:id="488" w:name="_Toc17363"/>
      <w:r>
        <w:rPr>
          <w:rFonts w:hint="eastAsia" w:ascii="仿宋" w:hAnsi="仿宋" w:eastAsia="仿宋" w:cs="仿宋"/>
          <w:b/>
          <w:color w:val="auto"/>
          <w:sz w:val="24"/>
          <w:highlight w:val="none"/>
        </w:rPr>
        <w:t>2.15 检验和验收</w:t>
      </w:r>
      <w:bookmarkEnd w:id="486"/>
      <w:bookmarkEnd w:id="487"/>
      <w:bookmarkEnd w:id="488"/>
    </w:p>
    <w:p w14:paraId="78B50E86">
      <w:pPr>
        <w:tabs>
          <w:tab w:val="left" w:pos="360"/>
          <w:tab w:val="left" w:pos="540"/>
          <w:tab w:val="left" w:pos="1080"/>
        </w:tabs>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54FB23B0">
      <w:pPr>
        <w:tabs>
          <w:tab w:val="left" w:pos="360"/>
          <w:tab w:val="left" w:pos="540"/>
          <w:tab w:val="left" w:pos="1080"/>
        </w:tabs>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194FE44">
      <w:pPr>
        <w:tabs>
          <w:tab w:val="left" w:pos="360"/>
          <w:tab w:val="left" w:pos="540"/>
          <w:tab w:val="left" w:pos="1080"/>
        </w:tabs>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0BEB3CB1">
      <w:pPr>
        <w:spacing w:line="400" w:lineRule="exact"/>
        <w:ind w:firstLine="482" w:firstLineChars="200"/>
        <w:rPr>
          <w:rFonts w:hint="eastAsia" w:ascii="仿宋" w:hAnsi="仿宋" w:eastAsia="仿宋" w:cs="仿宋"/>
          <w:b/>
          <w:color w:val="auto"/>
          <w:sz w:val="24"/>
          <w:highlight w:val="none"/>
        </w:rPr>
      </w:pPr>
      <w:bookmarkStart w:id="489" w:name="_Toc2308"/>
      <w:bookmarkStart w:id="490" w:name="_Toc9808"/>
      <w:bookmarkStart w:id="491" w:name="_Toc31892"/>
      <w:bookmarkStart w:id="492" w:name="_Toc25198"/>
      <w:bookmarkStart w:id="493" w:name="_Toc12666"/>
      <w:r>
        <w:rPr>
          <w:rFonts w:hint="eastAsia" w:ascii="仿宋" w:hAnsi="仿宋" w:eastAsia="仿宋" w:cs="仿宋"/>
          <w:b/>
          <w:color w:val="auto"/>
          <w:sz w:val="24"/>
          <w:highlight w:val="none"/>
        </w:rPr>
        <w:t>2.16 通知和送达</w:t>
      </w:r>
      <w:bookmarkEnd w:id="489"/>
      <w:bookmarkEnd w:id="490"/>
      <w:bookmarkEnd w:id="491"/>
      <w:bookmarkEnd w:id="492"/>
      <w:bookmarkEnd w:id="493"/>
    </w:p>
    <w:p w14:paraId="5A83F870">
      <w:pPr>
        <w:spacing w:line="400" w:lineRule="exact"/>
        <w:ind w:firstLine="480" w:firstLineChars="200"/>
        <w:rPr>
          <w:rFonts w:hint="eastAsia" w:ascii="仿宋" w:hAnsi="仿宋" w:eastAsia="仿宋" w:cs="仿宋"/>
          <w:color w:val="auto"/>
          <w:sz w:val="24"/>
          <w:highlight w:val="none"/>
        </w:rPr>
      </w:pPr>
      <w:bookmarkStart w:id="494" w:name="_Toc27674"/>
      <w:bookmarkStart w:id="495" w:name="_Toc18401"/>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13DECBFD">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4"/>
      <w:bookmarkEnd w:id="495"/>
    </w:p>
    <w:p w14:paraId="65446094">
      <w:pPr>
        <w:spacing w:line="400" w:lineRule="exact"/>
        <w:ind w:firstLine="482" w:firstLineChars="200"/>
        <w:rPr>
          <w:rFonts w:hint="eastAsia" w:ascii="仿宋" w:hAnsi="仿宋" w:eastAsia="仿宋" w:cs="仿宋"/>
          <w:b/>
          <w:color w:val="auto"/>
          <w:sz w:val="24"/>
          <w:highlight w:val="none"/>
        </w:rPr>
      </w:pPr>
      <w:bookmarkStart w:id="496" w:name="_Toc27644"/>
      <w:bookmarkStart w:id="497" w:name="_Toc5063"/>
      <w:bookmarkStart w:id="498" w:name="_Toc20808"/>
      <w:bookmarkStart w:id="499" w:name="_Toc12254"/>
      <w:bookmarkStart w:id="500" w:name="_Toc28906"/>
      <w:r>
        <w:rPr>
          <w:rFonts w:hint="eastAsia" w:ascii="仿宋" w:hAnsi="仿宋" w:eastAsia="仿宋" w:cs="仿宋"/>
          <w:b/>
          <w:color w:val="auto"/>
          <w:sz w:val="24"/>
          <w:highlight w:val="none"/>
        </w:rPr>
        <w:t>2.17 合同使用的文字和适用的法律</w:t>
      </w:r>
      <w:bookmarkEnd w:id="496"/>
      <w:bookmarkEnd w:id="497"/>
      <w:bookmarkEnd w:id="498"/>
      <w:bookmarkEnd w:id="499"/>
      <w:bookmarkEnd w:id="500"/>
    </w:p>
    <w:p w14:paraId="0B3A0C66">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14:paraId="4CFA577B">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3AFAECE4">
      <w:pPr>
        <w:spacing w:line="400" w:lineRule="exact"/>
        <w:ind w:firstLine="482" w:firstLineChars="200"/>
        <w:rPr>
          <w:rFonts w:hint="eastAsia" w:ascii="仿宋" w:hAnsi="仿宋" w:eastAsia="仿宋" w:cs="仿宋"/>
          <w:b/>
          <w:color w:val="auto"/>
          <w:sz w:val="24"/>
          <w:highlight w:val="none"/>
        </w:rPr>
      </w:pPr>
      <w:bookmarkStart w:id="501" w:name="_Toc4355"/>
      <w:bookmarkStart w:id="502" w:name="_Toc30599"/>
      <w:bookmarkStart w:id="503" w:name="_Toc18540"/>
      <w:r>
        <w:rPr>
          <w:rFonts w:hint="eastAsia" w:ascii="仿宋" w:hAnsi="仿宋" w:eastAsia="仿宋" w:cs="仿宋"/>
          <w:b/>
          <w:color w:val="auto"/>
          <w:sz w:val="24"/>
          <w:highlight w:val="none"/>
        </w:rPr>
        <w:t>2.18 计量单位</w:t>
      </w:r>
      <w:bookmarkEnd w:id="501"/>
      <w:bookmarkEnd w:id="502"/>
      <w:bookmarkEnd w:id="503"/>
    </w:p>
    <w:p w14:paraId="475EAD30">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1626D36C">
      <w:pPr>
        <w:spacing w:line="40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14:paraId="6A898690">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38FC2239">
      <w:pPr>
        <w:spacing w:line="400" w:lineRule="exact"/>
        <w:jc w:val="center"/>
        <w:rPr>
          <w:rFonts w:hint="eastAsia" w:ascii="仿宋" w:hAnsi="仿宋" w:eastAsia="仿宋" w:cs="仿宋"/>
          <w:b/>
          <w:color w:val="auto"/>
          <w:sz w:val="24"/>
          <w:highlight w:val="none"/>
        </w:rPr>
      </w:pPr>
      <w:r>
        <w:rPr>
          <w:rFonts w:hint="eastAsia" w:ascii="仿宋" w:hAnsi="仿宋" w:eastAsia="仿宋" w:cs="仿宋"/>
          <w:color w:val="auto"/>
          <w:kern w:val="0"/>
          <w:highlight w:val="none"/>
        </w:rPr>
        <w:br w:type="page"/>
      </w:r>
      <w:bookmarkStart w:id="504" w:name="_Toc331685784"/>
      <w:r>
        <w:rPr>
          <w:rFonts w:hint="eastAsia" w:ascii="仿宋" w:hAnsi="仿宋" w:eastAsia="仿宋" w:cs="仿宋"/>
          <w:b/>
          <w:color w:val="auto"/>
          <w:sz w:val="24"/>
          <w:highlight w:val="none"/>
        </w:rPr>
        <w:t xml:space="preserve"> </w:t>
      </w:r>
      <w:bookmarkEnd w:id="504"/>
      <w:r>
        <w:rPr>
          <w:rFonts w:hint="eastAsia" w:ascii="仿宋" w:hAnsi="仿宋" w:eastAsia="仿宋" w:cs="仿宋"/>
          <w:b/>
          <w:color w:val="auto"/>
          <w:sz w:val="24"/>
          <w:highlight w:val="none"/>
        </w:rPr>
        <w:t>第三部分  合同专用条款</w:t>
      </w:r>
    </w:p>
    <w:p w14:paraId="3BB9AB5D">
      <w:pPr>
        <w:spacing w:line="40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270" w:type="pct"/>
        <w:tblInd w:w="-47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108"/>
        <w:gridCol w:w="8214"/>
      </w:tblGrid>
      <w:tr w14:paraId="6EBF2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94" w:type="pct"/>
            <w:tcBorders>
              <w:left w:val="single" w:color="auto" w:sz="4" w:space="0"/>
            </w:tcBorders>
            <w:vAlign w:val="center"/>
          </w:tcPr>
          <w:p w14:paraId="5CEFF3A3">
            <w:pPr>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4405" w:type="pct"/>
            <w:vAlign w:val="center"/>
          </w:tcPr>
          <w:p w14:paraId="7C62A0C8">
            <w:pPr>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65C71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94" w:type="pct"/>
            <w:tcBorders>
              <w:left w:val="single" w:color="auto" w:sz="4" w:space="0"/>
            </w:tcBorders>
            <w:vAlign w:val="center"/>
          </w:tcPr>
          <w:p w14:paraId="354BD488">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1.3.2</w:t>
            </w:r>
          </w:p>
        </w:tc>
        <w:tc>
          <w:tcPr>
            <w:tcW w:w="4405" w:type="pct"/>
            <w:shd w:val="clear" w:color="auto" w:fill="auto"/>
            <w:vAlign w:val="center"/>
          </w:tcPr>
          <w:p w14:paraId="392544A4">
            <w:pPr>
              <w:spacing w:line="36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w:t>
            </w:r>
          </w:p>
        </w:tc>
      </w:tr>
      <w:tr w14:paraId="10CBD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94" w:type="pct"/>
            <w:tcBorders>
              <w:left w:val="single" w:color="auto" w:sz="4" w:space="0"/>
            </w:tcBorders>
            <w:vAlign w:val="center"/>
          </w:tcPr>
          <w:p w14:paraId="22938078">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4405" w:type="pct"/>
            <w:shd w:val="clear" w:color="auto" w:fill="auto"/>
            <w:vAlign w:val="center"/>
          </w:tcPr>
          <w:p w14:paraId="0FB43E6F">
            <w:pPr>
              <w:spacing w:line="36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w:t>
            </w:r>
          </w:p>
        </w:tc>
      </w:tr>
      <w:tr w14:paraId="5B6B7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94" w:type="pct"/>
            <w:tcBorders>
              <w:left w:val="single" w:color="auto" w:sz="4" w:space="0"/>
            </w:tcBorders>
            <w:vAlign w:val="center"/>
          </w:tcPr>
          <w:p w14:paraId="77DE9797">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4405" w:type="pct"/>
            <w:shd w:val="clear" w:color="auto" w:fill="auto"/>
            <w:vAlign w:val="center"/>
          </w:tcPr>
          <w:p w14:paraId="316A7085">
            <w:pPr>
              <w:tabs>
                <w:tab w:val="left" w:pos="0"/>
              </w:tabs>
              <w:spacing w:line="320" w:lineRule="exact"/>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中标人提交银行、保险公司等金融机构出具的预付款保函（保函数额与预付款金额相同）；合同生效并具备实施条件后7个工作日内，采购人向中标人支付合同金额40%的预付款。</w:t>
            </w:r>
          </w:p>
        </w:tc>
      </w:tr>
      <w:tr w14:paraId="48186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94" w:type="pct"/>
            <w:tcBorders>
              <w:left w:val="single" w:color="auto" w:sz="4" w:space="0"/>
            </w:tcBorders>
            <w:vAlign w:val="center"/>
          </w:tcPr>
          <w:p w14:paraId="43DF345C">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p>
        </w:tc>
        <w:tc>
          <w:tcPr>
            <w:tcW w:w="4405" w:type="pct"/>
            <w:shd w:val="clear" w:color="auto" w:fill="auto"/>
            <w:vAlign w:val="center"/>
          </w:tcPr>
          <w:p w14:paraId="64E88A8E">
            <w:pPr>
              <w:spacing w:line="36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不扣回。</w:t>
            </w:r>
          </w:p>
        </w:tc>
      </w:tr>
      <w:tr w14:paraId="061BB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94" w:type="pct"/>
            <w:tcBorders>
              <w:left w:val="single" w:color="auto" w:sz="4" w:space="0"/>
            </w:tcBorders>
            <w:vAlign w:val="center"/>
          </w:tcPr>
          <w:p w14:paraId="6A5A6AAB">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4405" w:type="pct"/>
            <w:shd w:val="clear" w:color="auto" w:fill="auto"/>
            <w:vAlign w:val="center"/>
          </w:tcPr>
          <w:p w14:paraId="29BB00D5">
            <w:pPr>
              <w:spacing w:line="360" w:lineRule="exact"/>
              <w:rPr>
                <w:rFonts w:hint="eastAsia" w:ascii="仿宋" w:hAnsi="仿宋" w:eastAsia="仿宋" w:cs="仿宋"/>
                <w:bCs/>
                <w:color w:val="auto"/>
                <w:sz w:val="24"/>
                <w:highlight w:val="none"/>
              </w:rPr>
            </w:pPr>
            <w:r>
              <w:rPr>
                <w:rFonts w:ascii="仿宋" w:hAnsi="仿宋" w:eastAsia="仿宋" w:cs="仿宋"/>
                <w:bCs/>
                <w:color w:val="auto"/>
                <w:sz w:val="24"/>
                <w:highlight w:val="none"/>
              </w:rPr>
              <w:t>项目审计完成且核实通过后</w:t>
            </w:r>
            <w:r>
              <w:rPr>
                <w:rFonts w:hint="eastAsia" w:ascii="仿宋" w:hAnsi="仿宋" w:eastAsia="仿宋" w:cs="仿宋"/>
                <w:color w:val="auto"/>
                <w:kern w:val="0"/>
                <w:sz w:val="24"/>
                <w:highlight w:val="none"/>
                <w:lang w:bidi="ar"/>
              </w:rPr>
              <w:t>。</w:t>
            </w:r>
          </w:p>
        </w:tc>
      </w:tr>
      <w:tr w14:paraId="69ADBC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94" w:type="pct"/>
            <w:tcBorders>
              <w:left w:val="single" w:color="auto" w:sz="4" w:space="0"/>
            </w:tcBorders>
            <w:vAlign w:val="center"/>
          </w:tcPr>
          <w:p w14:paraId="7013E1EA">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4405" w:type="pct"/>
            <w:shd w:val="clear" w:color="auto" w:fill="auto"/>
            <w:vAlign w:val="center"/>
          </w:tcPr>
          <w:p w14:paraId="45CEB496">
            <w:pPr>
              <w:numPr>
                <w:ilvl w:val="255"/>
                <w:numId w:val="0"/>
              </w:numPr>
              <w:spacing w:line="36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预付款：乙方提交银行、保险公司等金融机构出具的预付款保函（保函数额与预付款金额相同）；合同生效并具备实施条件后7个工作日内，甲方向乙方支付合同金额40%的预付款;出具正式的审计报告，经甲方审核后一个月内支付尾款。</w:t>
            </w:r>
          </w:p>
          <w:p w14:paraId="25F2AB98">
            <w:pPr>
              <w:spacing w:line="36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2.支付说明：甲方在收到供应商开具的符合法律法规规定发票后，以转账支付的方式，支付给乙方服务费。乙方逾期开具发票或开具的发票不符合甲方要求的，甲方有权延迟付款时间，且该行为不视为违约。</w:t>
            </w:r>
          </w:p>
        </w:tc>
      </w:tr>
      <w:tr w14:paraId="09F7F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94" w:type="pct"/>
            <w:tcBorders>
              <w:left w:val="single" w:color="auto" w:sz="4" w:space="0"/>
            </w:tcBorders>
            <w:vAlign w:val="center"/>
          </w:tcPr>
          <w:p w14:paraId="4926B733">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4405" w:type="pct"/>
            <w:shd w:val="clear" w:color="auto" w:fill="auto"/>
            <w:vAlign w:val="center"/>
          </w:tcPr>
          <w:p w14:paraId="6D4EFACA">
            <w:pPr>
              <w:spacing w:line="360" w:lineRule="exact"/>
              <w:rPr>
                <w:rFonts w:hint="eastAsia" w:ascii="仿宋" w:hAnsi="仿宋" w:eastAsia="仿宋" w:cs="仿宋"/>
                <w:bCs/>
                <w:color w:val="auto"/>
                <w:sz w:val="24"/>
                <w:highlight w:val="none"/>
              </w:rPr>
            </w:pPr>
            <w:r>
              <w:rPr>
                <w:rFonts w:ascii="仿宋" w:hAnsi="仿宋" w:eastAsia="仿宋" w:cs="仿宋"/>
                <w:bCs/>
                <w:color w:val="auto"/>
                <w:sz w:val="24"/>
                <w:highlight w:val="none"/>
                <w:lang w:bidi="ar"/>
              </w:rPr>
              <w:t>合同签订后3个月内出具审计报告</w:t>
            </w:r>
            <w:r>
              <w:rPr>
                <w:rFonts w:hint="eastAsia" w:ascii="仿宋" w:hAnsi="仿宋" w:eastAsia="仿宋" w:cs="仿宋"/>
                <w:bCs/>
                <w:color w:val="auto"/>
                <w:sz w:val="24"/>
                <w:highlight w:val="none"/>
              </w:rPr>
              <w:t>。</w:t>
            </w:r>
          </w:p>
        </w:tc>
      </w:tr>
      <w:tr w14:paraId="3B191C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94" w:type="pct"/>
            <w:tcBorders>
              <w:left w:val="single" w:color="auto" w:sz="4" w:space="0"/>
            </w:tcBorders>
            <w:vAlign w:val="center"/>
          </w:tcPr>
          <w:p w14:paraId="094C99AE">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4405" w:type="pct"/>
            <w:shd w:val="clear" w:color="auto" w:fill="auto"/>
            <w:vAlign w:val="center"/>
          </w:tcPr>
          <w:p w14:paraId="5AB05E28">
            <w:pPr>
              <w:spacing w:line="36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杭州市上城区。</w:t>
            </w:r>
          </w:p>
        </w:tc>
      </w:tr>
      <w:tr w14:paraId="47EEBC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94" w:type="pct"/>
            <w:tcBorders>
              <w:left w:val="single" w:color="auto" w:sz="4" w:space="0"/>
            </w:tcBorders>
            <w:vAlign w:val="center"/>
          </w:tcPr>
          <w:p w14:paraId="4D612074">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4405" w:type="pct"/>
            <w:shd w:val="clear" w:color="auto" w:fill="auto"/>
            <w:vAlign w:val="center"/>
          </w:tcPr>
          <w:p w14:paraId="2226DCBB">
            <w:pPr>
              <w:spacing w:line="36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按甲方要求。</w:t>
            </w:r>
          </w:p>
        </w:tc>
      </w:tr>
      <w:tr w14:paraId="6BB84D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94" w:type="pct"/>
            <w:tcBorders>
              <w:left w:val="single" w:color="auto" w:sz="4" w:space="0"/>
            </w:tcBorders>
            <w:vAlign w:val="center"/>
          </w:tcPr>
          <w:p w14:paraId="2CC4B6DB">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4405" w:type="pct"/>
            <w:shd w:val="clear" w:color="auto" w:fill="auto"/>
            <w:vAlign w:val="center"/>
          </w:tcPr>
          <w:p w14:paraId="11A7C189">
            <w:pPr>
              <w:spacing w:line="36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w:t>
            </w:r>
          </w:p>
        </w:tc>
      </w:tr>
      <w:tr w14:paraId="441F6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94" w:type="pct"/>
            <w:tcBorders>
              <w:left w:val="single" w:color="auto" w:sz="4" w:space="0"/>
            </w:tcBorders>
            <w:vAlign w:val="center"/>
          </w:tcPr>
          <w:p w14:paraId="187A8D71">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4405" w:type="pct"/>
            <w:shd w:val="clear" w:color="auto" w:fill="auto"/>
            <w:vAlign w:val="center"/>
          </w:tcPr>
          <w:p w14:paraId="3090F54E">
            <w:pPr>
              <w:spacing w:line="36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w:t>
            </w:r>
          </w:p>
        </w:tc>
      </w:tr>
      <w:tr w14:paraId="536C3F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94" w:type="pct"/>
            <w:tcBorders>
              <w:left w:val="single" w:color="auto" w:sz="4" w:space="0"/>
            </w:tcBorders>
            <w:vAlign w:val="center"/>
          </w:tcPr>
          <w:p w14:paraId="04FADF43">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4405" w:type="pct"/>
            <w:shd w:val="clear" w:color="auto" w:fill="auto"/>
            <w:vAlign w:val="center"/>
          </w:tcPr>
          <w:p w14:paraId="2753C2FE">
            <w:pPr>
              <w:spacing w:line="36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w:t>
            </w:r>
          </w:p>
        </w:tc>
      </w:tr>
      <w:tr w14:paraId="6386F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94" w:type="pct"/>
            <w:tcBorders>
              <w:left w:val="single" w:color="auto" w:sz="4" w:space="0"/>
            </w:tcBorders>
            <w:vAlign w:val="center"/>
          </w:tcPr>
          <w:p w14:paraId="7ADA3CCC">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1.8.7</w:t>
            </w:r>
          </w:p>
        </w:tc>
        <w:tc>
          <w:tcPr>
            <w:tcW w:w="4405" w:type="pct"/>
            <w:shd w:val="clear" w:color="auto" w:fill="auto"/>
            <w:vAlign w:val="center"/>
          </w:tcPr>
          <w:p w14:paraId="215B5D91">
            <w:pPr>
              <w:spacing w:line="36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除不可抗力外，如果乙方没有按照本合同约定的期限、地点和方式完成服务内容，那么甲方可要求乙方支付违约金，违约金按每迟延交付完成服务一日的应交付而未交付服务成果价格的0.05%计算，最高限额为本合同总价20.00%；迟延交付服务成果的违约金计算数额达到前述最高限额之日起，甲方有权在要求乙方支付违约金的同时，书面通知乙方解除本合同；</w:t>
            </w:r>
          </w:p>
          <w:p w14:paraId="4921361A">
            <w:pPr>
              <w:spacing w:line="36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除不可抗力外，如果甲方没有按照本合同约定的付款方式付款，那么乙方可要求甲方支付违约金，违约金按每迟延付款一日的应付而未付款的0.05%计算，最高限额为本合同总价的20.00%；迟延付款的违约金计算数额达到前述最高限额之日起，乙方有权在要求甲方支付违约金的同时，书面通知甲方解除本合同；</w:t>
            </w:r>
          </w:p>
          <w:p w14:paraId="1A2566A7">
            <w:pPr>
              <w:spacing w:line="36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7DFDB07">
            <w:pPr>
              <w:spacing w:line="36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1E26486">
            <w:pPr>
              <w:spacing w:line="36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5373F5E">
            <w:pPr>
              <w:spacing w:line="36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如果出现政府采购监督管理部门在处理投诉事项期间，书面通知甲方暂停采购活动的情形，或者询问或质疑事项可能影响中标结果的，导致甲方中止履行合同的情形，均不视为甲方违约。</w:t>
            </w:r>
          </w:p>
        </w:tc>
      </w:tr>
      <w:tr w14:paraId="02F1CA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94" w:type="pct"/>
            <w:tcBorders>
              <w:left w:val="single" w:color="auto" w:sz="4" w:space="0"/>
            </w:tcBorders>
            <w:vAlign w:val="center"/>
          </w:tcPr>
          <w:p w14:paraId="4D0198E4">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1.9.1</w:t>
            </w:r>
          </w:p>
        </w:tc>
        <w:tc>
          <w:tcPr>
            <w:tcW w:w="4405" w:type="pct"/>
            <w:shd w:val="clear" w:color="auto" w:fill="auto"/>
            <w:vAlign w:val="center"/>
          </w:tcPr>
          <w:p w14:paraId="515347AE">
            <w:pPr>
              <w:spacing w:line="36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w:t>
            </w:r>
          </w:p>
        </w:tc>
      </w:tr>
      <w:tr w14:paraId="43ED6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94" w:type="pct"/>
            <w:tcBorders>
              <w:left w:val="single" w:color="auto" w:sz="4" w:space="0"/>
            </w:tcBorders>
            <w:vAlign w:val="center"/>
          </w:tcPr>
          <w:p w14:paraId="10FD3C11">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1.9.2</w:t>
            </w:r>
          </w:p>
        </w:tc>
        <w:tc>
          <w:tcPr>
            <w:tcW w:w="4405" w:type="pct"/>
            <w:shd w:val="clear" w:color="auto" w:fill="auto"/>
            <w:vAlign w:val="center"/>
          </w:tcPr>
          <w:p w14:paraId="5DF610BF">
            <w:pPr>
              <w:spacing w:line="36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本项目所在地。</w:t>
            </w:r>
          </w:p>
        </w:tc>
      </w:tr>
      <w:tr w14:paraId="7C816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94" w:type="pct"/>
            <w:tcBorders>
              <w:left w:val="single" w:color="auto" w:sz="4" w:space="0"/>
            </w:tcBorders>
            <w:vAlign w:val="center"/>
          </w:tcPr>
          <w:p w14:paraId="055D96DC">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4405" w:type="pct"/>
            <w:shd w:val="clear" w:color="auto" w:fill="auto"/>
            <w:vAlign w:val="center"/>
          </w:tcPr>
          <w:p w14:paraId="72713815">
            <w:pPr>
              <w:spacing w:line="360" w:lineRule="exact"/>
              <w:ind w:left="-420" w:leftChars="-200" w:right="-420" w:rightChars="-200"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w:t>
            </w:r>
          </w:p>
        </w:tc>
      </w:tr>
      <w:tr w14:paraId="75D3B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94" w:type="pct"/>
            <w:tcBorders>
              <w:left w:val="single" w:color="auto" w:sz="4" w:space="0"/>
            </w:tcBorders>
            <w:vAlign w:val="center"/>
          </w:tcPr>
          <w:p w14:paraId="0B416EAF">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p>
        </w:tc>
        <w:tc>
          <w:tcPr>
            <w:tcW w:w="4405" w:type="pct"/>
            <w:shd w:val="clear" w:color="auto" w:fill="auto"/>
            <w:vAlign w:val="center"/>
          </w:tcPr>
          <w:p w14:paraId="683FE226">
            <w:pPr>
              <w:spacing w:before="120" w:beforeLines="50" w:line="340" w:lineRule="exac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1.6.2</w:t>
            </w:r>
          </w:p>
        </w:tc>
      </w:tr>
      <w:tr w14:paraId="416FA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94" w:type="pct"/>
            <w:tcBorders>
              <w:left w:val="single" w:color="auto" w:sz="4" w:space="0"/>
            </w:tcBorders>
            <w:vAlign w:val="center"/>
          </w:tcPr>
          <w:p w14:paraId="57047464">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4405" w:type="pct"/>
            <w:shd w:val="clear" w:color="auto" w:fill="auto"/>
            <w:vAlign w:val="center"/>
          </w:tcPr>
          <w:p w14:paraId="60F2107E">
            <w:pPr>
              <w:spacing w:line="36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w:t>
            </w:r>
          </w:p>
        </w:tc>
      </w:tr>
      <w:tr w14:paraId="3BA38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94" w:type="pct"/>
            <w:tcBorders>
              <w:left w:val="single" w:color="auto" w:sz="4" w:space="0"/>
            </w:tcBorders>
          </w:tcPr>
          <w:p w14:paraId="748FFB0D">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2.11.4</w:t>
            </w:r>
          </w:p>
        </w:tc>
        <w:tc>
          <w:tcPr>
            <w:tcW w:w="4405" w:type="pct"/>
            <w:shd w:val="clear" w:color="auto" w:fill="auto"/>
          </w:tcPr>
          <w:p w14:paraId="529F12DD">
            <w:pPr>
              <w:spacing w:line="36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w:t>
            </w:r>
          </w:p>
        </w:tc>
      </w:tr>
      <w:tr w14:paraId="5954E3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94" w:type="pct"/>
            <w:tcBorders>
              <w:left w:val="single" w:color="auto" w:sz="4" w:space="0"/>
            </w:tcBorders>
            <w:vAlign w:val="center"/>
          </w:tcPr>
          <w:p w14:paraId="0C61C4AD">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4405" w:type="pct"/>
            <w:shd w:val="clear" w:color="auto" w:fill="auto"/>
            <w:vAlign w:val="center"/>
          </w:tcPr>
          <w:p w14:paraId="1DC2E842">
            <w:pPr>
              <w:spacing w:line="36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w:t>
            </w:r>
          </w:p>
        </w:tc>
      </w:tr>
      <w:tr w14:paraId="42243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94" w:type="pct"/>
            <w:tcBorders>
              <w:left w:val="single" w:color="auto" w:sz="4" w:space="0"/>
            </w:tcBorders>
            <w:vAlign w:val="center"/>
          </w:tcPr>
          <w:p w14:paraId="28A58FF6">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4405" w:type="pct"/>
            <w:shd w:val="clear" w:color="auto" w:fill="auto"/>
            <w:vAlign w:val="center"/>
          </w:tcPr>
          <w:p w14:paraId="72908F28">
            <w:pPr>
              <w:spacing w:line="36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1.验收主体：甲方。 </w:t>
            </w:r>
          </w:p>
          <w:p w14:paraId="2ED0D39D">
            <w:pPr>
              <w:spacing w:line="36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2.甲方在乙方提供服务的过程中，有权不定期对服务内容和质量进行考核。乙 方应当配合进行。 </w:t>
            </w:r>
          </w:p>
          <w:p w14:paraId="1C52FF09">
            <w:pPr>
              <w:spacing w:line="36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3.最终验收时间：服务内容执行完毕、服务期截止后。</w:t>
            </w:r>
          </w:p>
          <w:p w14:paraId="370EBD4F">
            <w:pPr>
              <w:spacing w:line="36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4.验收程序：乙方向甲方提出申请验收，甲方按验收方案组织履约验收。乙方 应将项目执行过程及时记录、收集、整理，向甲方递交验收申请资料。 </w:t>
            </w:r>
          </w:p>
          <w:p w14:paraId="4B814CA6">
            <w:pPr>
              <w:spacing w:line="36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5.验收内容：乙方实际完成的情况是否符合采购文件要求和乙方在投标响应文 件中的商务、技术承诺。</w:t>
            </w:r>
          </w:p>
          <w:p w14:paraId="3A666B0D">
            <w:pPr>
              <w:spacing w:line="36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 6.验收标准：乙方已经按采购文件要求和乙方在投标响应文件中的商务、技术 承诺完成项目执行。</w:t>
            </w:r>
          </w:p>
          <w:p w14:paraId="06259709">
            <w:pPr>
              <w:spacing w:line="36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 7.验收时乙方应在现场，验收完毕后作出验收结果报告；验收产生的费用，由 甲方承担。</w:t>
            </w:r>
          </w:p>
          <w:p w14:paraId="6B1FE86B">
            <w:pPr>
              <w:spacing w:line="360" w:lineRule="exact"/>
              <w:rPr>
                <w:rFonts w:hint="eastAsia" w:ascii="仿宋" w:hAnsi="仿宋" w:eastAsia="仿宋" w:cs="仿宋"/>
                <w:color w:val="auto"/>
                <w:sz w:val="24"/>
                <w:highlight w:val="none"/>
              </w:rPr>
            </w:pPr>
            <w:r>
              <w:rPr>
                <w:rFonts w:hint="eastAsia" w:ascii="仿宋" w:hAnsi="仿宋" w:eastAsia="仿宋" w:cs="仿宋"/>
                <w:bCs/>
                <w:color w:val="auto"/>
                <w:sz w:val="24"/>
                <w:highlight w:val="none"/>
              </w:rPr>
              <w:t xml:space="preserve"> 8.经验收后，乙方服务成果不合格的（或未通过评审的），甲方有权要求乙方 进行整改，相关费用由乙方承担；如整改后仍不合格的，甲方有权解除合同， 并可以拒绝支付未支付的款项，乙方已经收取的款项应退还给甲方。</w:t>
            </w:r>
          </w:p>
        </w:tc>
      </w:tr>
      <w:tr w14:paraId="54EC5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94" w:type="pct"/>
            <w:tcBorders>
              <w:left w:val="single" w:color="auto" w:sz="4" w:space="0"/>
            </w:tcBorders>
          </w:tcPr>
          <w:p w14:paraId="02F43DEF">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2.19</w:t>
            </w:r>
          </w:p>
        </w:tc>
        <w:tc>
          <w:tcPr>
            <w:tcW w:w="4405" w:type="pct"/>
          </w:tcPr>
          <w:p w14:paraId="6EF8AC06">
            <w:pPr>
              <w:spacing w:line="400" w:lineRule="exact"/>
              <w:rPr>
                <w:rFonts w:hint="eastAsia" w:ascii="仿宋" w:hAnsi="仿宋" w:eastAsia="仿宋" w:cs="仿宋"/>
                <w:color w:val="auto"/>
                <w:sz w:val="24"/>
                <w:highlight w:val="none"/>
              </w:rPr>
            </w:pPr>
            <w:r>
              <w:rPr>
                <w:rFonts w:hint="eastAsia" w:ascii="仿宋" w:hAnsi="仿宋" w:eastAsia="仿宋" w:cs="仿宋"/>
                <w:color w:val="auto"/>
                <w:spacing w:val="-2"/>
                <w:sz w:val="24"/>
                <w:highlight w:val="none"/>
              </w:rPr>
              <w:t>本合同一式四份，甲乙双方各执二份；每份均具有同等法律效力。</w:t>
            </w:r>
          </w:p>
        </w:tc>
      </w:tr>
    </w:tbl>
    <w:p w14:paraId="09CC8632">
      <w:pPr>
        <w:pStyle w:val="960"/>
        <w:spacing w:before="0" w:beforeAutospacing="0" w:after="0" w:afterAutospacing="0" w:line="400" w:lineRule="exact"/>
        <w:ind w:firstLine="480"/>
        <w:rPr>
          <w:rFonts w:hint="eastAsia" w:ascii="仿宋" w:hAnsi="仿宋" w:eastAsia="仿宋" w:cs="仿宋"/>
          <w:b/>
          <w:color w:val="auto"/>
          <w:highlight w:val="none"/>
        </w:rPr>
      </w:pPr>
    </w:p>
    <w:p w14:paraId="0644EAF5">
      <w:pPr>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1CF674B9">
      <w:pPr>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第六部分 </w:t>
      </w:r>
      <w:bookmarkEnd w:id="390"/>
      <w:r>
        <w:rPr>
          <w:rFonts w:hint="eastAsia" w:ascii="仿宋" w:hAnsi="仿宋" w:eastAsia="仿宋" w:cs="仿宋"/>
          <w:b/>
          <w:color w:val="auto"/>
          <w:sz w:val="36"/>
          <w:szCs w:val="36"/>
          <w:highlight w:val="none"/>
        </w:rPr>
        <w:t>应提交的有关格式范例</w:t>
      </w:r>
    </w:p>
    <w:p w14:paraId="35E8AE21">
      <w:pPr>
        <w:spacing w:line="48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3A6D086C">
      <w:pPr>
        <w:spacing w:line="48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03E8E85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1924E6B5">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37B3769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7AD9213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76DD5609">
      <w:pPr>
        <w:snapToGrid w:val="0"/>
        <w:spacing w:line="360" w:lineRule="auto"/>
        <w:jc w:val="center"/>
        <w:outlineLvl w:val="0"/>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一、符合参加政府采购活动应当具备的一般条件的承诺函</w:t>
      </w:r>
    </w:p>
    <w:p w14:paraId="243A83B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73DAF0D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31567C9D">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5DF76D7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782F9E0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2、具有良好的商业信誉和健全的财务会计制度；</w:t>
      </w:r>
    </w:p>
    <w:p w14:paraId="55CDB7E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5013DDA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252BEC6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2118C18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4DC4FB8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18F37A8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4FB0AE9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4826A20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0D2207B0">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6D8DA00F">
      <w:pPr>
        <w:snapToGrid w:val="0"/>
        <w:spacing w:line="360" w:lineRule="auto"/>
        <w:ind w:firstLine="5520" w:firstLineChars="2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6D425755">
      <w:pPr>
        <w:snapToGrid w:val="0"/>
        <w:spacing w:line="360" w:lineRule="auto"/>
        <w:ind w:right="480"/>
        <w:jc w:val="center"/>
        <w:rPr>
          <w:rFonts w:hint="eastAsia" w:ascii="仿宋" w:hAnsi="仿宋" w:eastAsia="仿宋" w:cs="仿宋"/>
          <w:b/>
          <w:color w:val="auto"/>
          <w:kern w:val="0"/>
          <w:sz w:val="32"/>
          <w:szCs w:val="32"/>
          <w:highlight w:val="none"/>
        </w:rPr>
      </w:pPr>
    </w:p>
    <w:p w14:paraId="251D49B2">
      <w:pPr>
        <w:snapToGrid w:val="0"/>
        <w:spacing w:line="360" w:lineRule="auto"/>
        <w:ind w:right="480"/>
        <w:jc w:val="center"/>
        <w:rPr>
          <w:rFonts w:hint="eastAsia" w:ascii="仿宋" w:hAnsi="仿宋" w:eastAsia="仿宋" w:cs="仿宋"/>
          <w:b/>
          <w:color w:val="auto"/>
          <w:kern w:val="0"/>
          <w:sz w:val="32"/>
          <w:szCs w:val="32"/>
          <w:highlight w:val="none"/>
        </w:rPr>
      </w:pPr>
    </w:p>
    <w:p w14:paraId="6FA10834">
      <w:pPr>
        <w:snapToGrid w:val="0"/>
        <w:spacing w:line="360" w:lineRule="auto"/>
        <w:ind w:right="480"/>
        <w:jc w:val="center"/>
        <w:rPr>
          <w:rFonts w:hint="eastAsia" w:ascii="仿宋" w:hAnsi="仿宋" w:eastAsia="仿宋" w:cs="仿宋"/>
          <w:b/>
          <w:color w:val="auto"/>
          <w:kern w:val="0"/>
          <w:sz w:val="32"/>
          <w:szCs w:val="32"/>
          <w:highlight w:val="none"/>
        </w:rPr>
      </w:pPr>
    </w:p>
    <w:p w14:paraId="0FC4AB3B">
      <w:pPr>
        <w:rPr>
          <w:rFonts w:hint="eastAsia" w:ascii="仿宋" w:hAnsi="仿宋" w:eastAsia="仿宋" w:cs="仿宋"/>
          <w:color w:val="auto"/>
          <w:highlight w:val="none"/>
        </w:rPr>
      </w:pPr>
    </w:p>
    <w:p w14:paraId="06E99F20">
      <w:pPr>
        <w:snapToGrid w:val="0"/>
        <w:spacing w:line="360" w:lineRule="auto"/>
        <w:ind w:right="480"/>
        <w:jc w:val="center"/>
        <w:rPr>
          <w:rFonts w:hint="eastAsia" w:ascii="仿宋" w:hAnsi="仿宋" w:eastAsia="仿宋" w:cs="仿宋"/>
          <w:b/>
          <w:color w:val="auto"/>
          <w:kern w:val="0"/>
          <w:sz w:val="32"/>
          <w:szCs w:val="32"/>
          <w:highlight w:val="none"/>
        </w:rPr>
      </w:pPr>
    </w:p>
    <w:p w14:paraId="4B8A33F0">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0FF76990">
      <w:pPr>
        <w:snapToGrid w:val="0"/>
        <w:spacing w:line="360" w:lineRule="auto"/>
        <w:jc w:val="center"/>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219977F4">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179B9FCA">
      <w:pPr>
        <w:snapToGrid w:val="0"/>
        <w:spacing w:line="360" w:lineRule="auto"/>
        <w:ind w:right="480"/>
        <w:jc w:val="center"/>
        <w:rPr>
          <w:rFonts w:hint="eastAsia" w:ascii="仿宋" w:hAnsi="仿宋" w:eastAsia="仿宋" w:cs="仿宋"/>
          <w:b/>
          <w:color w:val="auto"/>
          <w:kern w:val="0"/>
          <w:sz w:val="32"/>
          <w:szCs w:val="32"/>
          <w:highlight w:val="none"/>
        </w:rPr>
      </w:pPr>
    </w:p>
    <w:p w14:paraId="484DBB2F">
      <w:pPr>
        <w:snapToGrid w:val="0"/>
        <w:spacing w:line="360" w:lineRule="auto"/>
        <w:ind w:right="480"/>
        <w:jc w:val="center"/>
        <w:rPr>
          <w:rFonts w:hint="eastAsia" w:ascii="仿宋" w:hAnsi="仿宋" w:eastAsia="仿宋" w:cs="仿宋"/>
          <w:b/>
          <w:color w:val="auto"/>
          <w:kern w:val="0"/>
          <w:sz w:val="32"/>
          <w:szCs w:val="32"/>
          <w:highlight w:val="none"/>
        </w:rPr>
      </w:pPr>
    </w:p>
    <w:p w14:paraId="6912D9C1">
      <w:pPr>
        <w:snapToGrid w:val="0"/>
        <w:spacing w:line="360" w:lineRule="auto"/>
        <w:jc w:val="center"/>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1338BF9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031AF513">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.专门面向中小企业，服务全部由符合政策要求的中小企业（或小微企业）承接的，提供相应的中小企业声明函（附件7）。</w:t>
      </w:r>
    </w:p>
    <w:p w14:paraId="3C389EFD">
      <w:pPr>
        <w:widowControl/>
        <w:spacing w:line="360" w:lineRule="auto"/>
        <w:ind w:firstLine="480"/>
        <w:jc w:val="left"/>
        <w:rPr>
          <w:rFonts w:hint="eastAsia" w:ascii="仿宋" w:hAnsi="仿宋" w:eastAsia="仿宋" w:cs="仿宋"/>
          <w:color w:val="auto"/>
          <w:sz w:val="24"/>
          <w:highlight w:val="none"/>
        </w:rPr>
      </w:pPr>
    </w:p>
    <w:p w14:paraId="63381585">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799E7657">
      <w:pPr>
        <w:spacing w:line="360" w:lineRule="auto"/>
        <w:ind w:firstLine="482" w:firstLineChars="200"/>
        <w:rPr>
          <w:rFonts w:hint="eastAsia" w:ascii="仿宋" w:hAnsi="仿宋" w:eastAsia="仿宋" w:cs="仿宋"/>
          <w:b/>
          <w:color w:val="auto"/>
          <w:sz w:val="24"/>
          <w:highlight w:val="none"/>
        </w:rPr>
      </w:pPr>
    </w:p>
    <w:p w14:paraId="4F2EDE71">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54187230">
      <w:pPr>
        <w:widowControl/>
        <w:spacing w:line="360" w:lineRule="auto"/>
        <w:ind w:left="150"/>
        <w:jc w:val="center"/>
        <w:rPr>
          <w:rFonts w:hint="eastAsia" w:ascii="仿宋" w:hAnsi="仿宋" w:eastAsia="仿宋" w:cs="仿宋"/>
          <w:b/>
          <w:color w:val="auto"/>
          <w:kern w:val="0"/>
          <w:sz w:val="32"/>
          <w:szCs w:val="32"/>
          <w:highlight w:val="none"/>
        </w:rPr>
      </w:pPr>
    </w:p>
    <w:p w14:paraId="48E16CCF">
      <w:pPr>
        <w:snapToGrid w:val="0"/>
        <w:spacing w:line="360" w:lineRule="auto"/>
        <w:jc w:val="center"/>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0B18251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38534EFA">
      <w:pPr>
        <w:rPr>
          <w:rFonts w:hint="eastAsia" w:ascii="仿宋" w:hAnsi="仿宋" w:eastAsia="仿宋" w:cs="仿宋"/>
          <w:color w:val="auto"/>
          <w:highlight w:val="none"/>
        </w:rPr>
      </w:pPr>
    </w:p>
    <w:p w14:paraId="6F099712">
      <w:pPr>
        <w:widowControl/>
        <w:adjustRightInd/>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5DF58DF7">
      <w:pPr>
        <w:spacing w:line="48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30542375">
      <w:pPr>
        <w:spacing w:line="48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26E11A78">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24C134B4">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230F9F54">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29602D5D">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69B90613">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7A2AF711">
      <w:pPr>
        <w:snapToGrid w:val="0"/>
        <w:spacing w:line="360" w:lineRule="auto"/>
        <w:jc w:val="center"/>
        <w:rPr>
          <w:rFonts w:hint="eastAsia" w:ascii="仿宋" w:hAnsi="仿宋" w:eastAsia="仿宋" w:cs="仿宋"/>
          <w:b/>
          <w:color w:val="auto"/>
          <w:kern w:val="0"/>
          <w:sz w:val="32"/>
          <w:szCs w:val="32"/>
          <w:highlight w:val="none"/>
          <w:lang w:val="zh-CN"/>
        </w:rPr>
      </w:pPr>
    </w:p>
    <w:p w14:paraId="5D554428">
      <w:pPr>
        <w:snapToGrid w:val="0"/>
        <w:spacing w:line="360" w:lineRule="auto"/>
        <w:jc w:val="center"/>
        <w:rPr>
          <w:rFonts w:hint="eastAsia" w:ascii="仿宋" w:hAnsi="仿宋" w:eastAsia="仿宋" w:cs="仿宋"/>
          <w:b/>
          <w:color w:val="auto"/>
          <w:kern w:val="0"/>
          <w:sz w:val="32"/>
          <w:szCs w:val="32"/>
          <w:highlight w:val="none"/>
          <w:lang w:val="zh-CN"/>
        </w:rPr>
      </w:pPr>
    </w:p>
    <w:p w14:paraId="2B248B79">
      <w:pPr>
        <w:snapToGrid w:val="0"/>
        <w:spacing w:line="360" w:lineRule="auto"/>
        <w:jc w:val="center"/>
        <w:rPr>
          <w:rFonts w:hint="eastAsia" w:ascii="仿宋" w:hAnsi="仿宋" w:eastAsia="仿宋" w:cs="仿宋"/>
          <w:b/>
          <w:color w:val="auto"/>
          <w:kern w:val="0"/>
          <w:sz w:val="32"/>
          <w:szCs w:val="32"/>
          <w:highlight w:val="none"/>
          <w:lang w:val="zh-CN"/>
        </w:rPr>
      </w:pPr>
    </w:p>
    <w:p w14:paraId="34076BBD">
      <w:pPr>
        <w:snapToGrid w:val="0"/>
        <w:spacing w:line="360" w:lineRule="auto"/>
        <w:jc w:val="center"/>
        <w:rPr>
          <w:rFonts w:hint="eastAsia" w:ascii="仿宋" w:hAnsi="仿宋" w:eastAsia="仿宋" w:cs="仿宋"/>
          <w:b/>
          <w:color w:val="auto"/>
          <w:kern w:val="0"/>
          <w:sz w:val="32"/>
          <w:szCs w:val="32"/>
          <w:highlight w:val="none"/>
          <w:lang w:val="zh-CN"/>
        </w:rPr>
      </w:pPr>
    </w:p>
    <w:p w14:paraId="1BBCEFC7">
      <w:pPr>
        <w:snapToGrid w:val="0"/>
        <w:spacing w:line="360" w:lineRule="auto"/>
        <w:jc w:val="center"/>
        <w:rPr>
          <w:rFonts w:hint="eastAsia" w:ascii="仿宋" w:hAnsi="仿宋" w:eastAsia="仿宋" w:cs="仿宋"/>
          <w:b/>
          <w:color w:val="auto"/>
          <w:kern w:val="0"/>
          <w:sz w:val="32"/>
          <w:szCs w:val="32"/>
          <w:highlight w:val="none"/>
          <w:lang w:val="zh-CN"/>
        </w:rPr>
      </w:pPr>
    </w:p>
    <w:p w14:paraId="3A476F06">
      <w:pPr>
        <w:snapToGrid w:val="0"/>
        <w:spacing w:line="360" w:lineRule="auto"/>
        <w:jc w:val="center"/>
        <w:rPr>
          <w:rFonts w:hint="eastAsia" w:ascii="仿宋" w:hAnsi="仿宋" w:eastAsia="仿宋" w:cs="仿宋"/>
          <w:b/>
          <w:color w:val="auto"/>
          <w:kern w:val="0"/>
          <w:sz w:val="32"/>
          <w:szCs w:val="32"/>
          <w:highlight w:val="none"/>
          <w:lang w:val="zh-CN"/>
        </w:rPr>
      </w:pPr>
    </w:p>
    <w:p w14:paraId="617B08D4">
      <w:pPr>
        <w:snapToGrid w:val="0"/>
        <w:spacing w:line="360" w:lineRule="auto"/>
        <w:jc w:val="center"/>
        <w:rPr>
          <w:rFonts w:hint="eastAsia" w:ascii="仿宋" w:hAnsi="仿宋" w:eastAsia="仿宋" w:cs="仿宋"/>
          <w:b/>
          <w:color w:val="auto"/>
          <w:kern w:val="0"/>
          <w:sz w:val="32"/>
          <w:szCs w:val="32"/>
          <w:highlight w:val="none"/>
          <w:lang w:val="zh-CN"/>
        </w:rPr>
      </w:pPr>
    </w:p>
    <w:p w14:paraId="480E8A14">
      <w:pPr>
        <w:snapToGrid w:val="0"/>
        <w:spacing w:line="360" w:lineRule="auto"/>
        <w:jc w:val="center"/>
        <w:rPr>
          <w:rFonts w:hint="eastAsia" w:ascii="仿宋" w:hAnsi="仿宋" w:eastAsia="仿宋" w:cs="仿宋"/>
          <w:b/>
          <w:color w:val="auto"/>
          <w:kern w:val="0"/>
          <w:sz w:val="32"/>
          <w:szCs w:val="32"/>
          <w:highlight w:val="none"/>
          <w:lang w:val="zh-CN"/>
        </w:rPr>
      </w:pPr>
    </w:p>
    <w:p w14:paraId="70D3EBAB">
      <w:pPr>
        <w:snapToGrid w:val="0"/>
        <w:spacing w:line="360" w:lineRule="auto"/>
        <w:jc w:val="center"/>
        <w:rPr>
          <w:rFonts w:hint="eastAsia" w:ascii="仿宋" w:hAnsi="仿宋" w:eastAsia="仿宋" w:cs="仿宋"/>
          <w:b/>
          <w:color w:val="auto"/>
          <w:kern w:val="0"/>
          <w:sz w:val="32"/>
          <w:szCs w:val="32"/>
          <w:highlight w:val="none"/>
          <w:lang w:val="zh-CN"/>
        </w:rPr>
      </w:pPr>
    </w:p>
    <w:p w14:paraId="0D04E720">
      <w:pPr>
        <w:snapToGrid w:val="0"/>
        <w:spacing w:line="360" w:lineRule="auto"/>
        <w:jc w:val="center"/>
        <w:rPr>
          <w:rFonts w:hint="eastAsia" w:ascii="仿宋" w:hAnsi="仿宋" w:eastAsia="仿宋" w:cs="仿宋"/>
          <w:b/>
          <w:color w:val="auto"/>
          <w:kern w:val="0"/>
          <w:sz w:val="32"/>
          <w:szCs w:val="32"/>
          <w:highlight w:val="none"/>
          <w:lang w:val="zh-CN"/>
        </w:rPr>
      </w:pPr>
    </w:p>
    <w:p w14:paraId="10236E9A">
      <w:pPr>
        <w:snapToGrid w:val="0"/>
        <w:spacing w:line="360" w:lineRule="auto"/>
        <w:jc w:val="center"/>
        <w:rPr>
          <w:rFonts w:hint="eastAsia" w:ascii="仿宋" w:hAnsi="仿宋" w:eastAsia="仿宋" w:cs="仿宋"/>
          <w:b/>
          <w:color w:val="auto"/>
          <w:kern w:val="0"/>
          <w:sz w:val="32"/>
          <w:szCs w:val="32"/>
          <w:highlight w:val="none"/>
          <w:lang w:val="zh-CN"/>
        </w:rPr>
      </w:pPr>
    </w:p>
    <w:p w14:paraId="3A56B15C">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ADEDEBB">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43136A46">
      <w:pPr>
        <w:snapToGrid w:val="0"/>
        <w:spacing w:line="3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5AE0DE10">
      <w:pPr>
        <w:snapToGrid w:val="0"/>
        <w:spacing w:line="3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7FB3F575">
      <w:pPr>
        <w:snapToGrid w:val="0"/>
        <w:spacing w:line="3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35DC8E0E">
      <w:pPr>
        <w:snapToGrid w:val="0"/>
        <w:spacing w:line="3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69426EFF">
      <w:pPr>
        <w:snapToGrid w:val="0"/>
        <w:spacing w:line="32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34A92A84">
      <w:pPr>
        <w:snapToGrid w:val="0"/>
        <w:spacing w:line="32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58D0E9C9">
      <w:pPr>
        <w:snapToGrid w:val="0"/>
        <w:spacing w:line="32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505" w:name="_Hlk101257010"/>
      <w:r>
        <w:rPr>
          <w:rFonts w:hint="eastAsia" w:ascii="仿宋" w:hAnsi="仿宋" w:eastAsia="仿宋" w:cs="仿宋"/>
          <w:color w:val="auto"/>
          <w:sz w:val="24"/>
          <w:highlight w:val="none"/>
        </w:rPr>
        <w:t>（如果有)</w:t>
      </w:r>
      <w:bookmarkEnd w:id="505"/>
      <w:r>
        <w:rPr>
          <w:rFonts w:hint="eastAsia" w:ascii="仿宋" w:hAnsi="仿宋" w:eastAsia="仿宋" w:cs="仿宋"/>
          <w:snapToGrid w:val="0"/>
          <w:color w:val="auto"/>
          <w:kern w:val="28"/>
          <w:sz w:val="24"/>
          <w:szCs w:val="20"/>
          <w:highlight w:val="none"/>
        </w:rPr>
        <w:t>；</w:t>
      </w:r>
    </w:p>
    <w:p w14:paraId="61A5AA12">
      <w:pPr>
        <w:snapToGrid w:val="0"/>
        <w:spacing w:line="32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2B7A5D84">
      <w:pPr>
        <w:snapToGrid w:val="0"/>
        <w:spacing w:line="32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106256CA">
      <w:pPr>
        <w:snapToGrid w:val="0"/>
        <w:spacing w:line="320" w:lineRule="exact"/>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14:paraId="27A841F3">
      <w:pPr>
        <w:snapToGrid w:val="0"/>
        <w:spacing w:line="32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p>
    <w:p w14:paraId="7CF6D473">
      <w:pPr>
        <w:snapToGrid w:val="0"/>
        <w:spacing w:line="32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2441436E">
      <w:pPr>
        <w:snapToGrid w:val="0"/>
        <w:spacing w:line="32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76C48BFA">
      <w:pPr>
        <w:snapToGrid w:val="0"/>
        <w:spacing w:line="32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6D3AFEC9">
      <w:pPr>
        <w:snapToGrid w:val="0"/>
        <w:spacing w:line="32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0B4D66B9">
      <w:pPr>
        <w:snapToGrid w:val="0"/>
        <w:spacing w:line="32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336A8ADE">
      <w:pPr>
        <w:snapToGrid w:val="0"/>
        <w:spacing w:line="32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195E4150">
      <w:pPr>
        <w:snapToGrid w:val="0"/>
        <w:spacing w:line="320" w:lineRule="exact"/>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4FFC6BA9">
      <w:pPr>
        <w:snapToGrid w:val="0"/>
        <w:spacing w:line="32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21BB04D1">
      <w:pPr>
        <w:spacing w:line="32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1EB49846">
      <w:pPr>
        <w:snapToGrid w:val="0"/>
        <w:spacing w:line="32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114280D0">
      <w:pPr>
        <w:snapToGrid w:val="0"/>
        <w:spacing w:line="3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3、我方承诺除商务技术偏离表列出的偏离外，我方响应招标文件的全部要求。对投标文件中材料的真实性、合法性负责，积极配合采购人、采购代理机构复核投标文件中的资料。</w:t>
      </w:r>
    </w:p>
    <w:p w14:paraId="3F5454B3">
      <w:pPr>
        <w:snapToGrid w:val="0"/>
        <w:spacing w:line="3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21422627">
      <w:pPr>
        <w:snapToGrid w:val="0"/>
        <w:spacing w:line="32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4.1在收到中标通知书后，在中标通知书规定的期限内与你方签订合同；</w:t>
      </w:r>
    </w:p>
    <w:p w14:paraId="01BE78D1">
      <w:pPr>
        <w:snapToGrid w:val="0"/>
        <w:spacing w:line="32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4.2在签订合同时不向你方提出附加条件；</w:t>
      </w:r>
    </w:p>
    <w:p w14:paraId="032DAAD1">
      <w:pPr>
        <w:snapToGrid w:val="0"/>
        <w:spacing w:line="32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4.3按照招标文件要求提交履约保证金；</w:t>
      </w:r>
    </w:p>
    <w:p w14:paraId="09FED2F2">
      <w:pPr>
        <w:snapToGrid w:val="0"/>
        <w:spacing w:line="32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4.4在合同约定的期限内完成合同规定的全部义务。</w:t>
      </w:r>
    </w:p>
    <w:p w14:paraId="0FEF4F2D">
      <w:pPr>
        <w:spacing w:line="320" w:lineRule="exact"/>
        <w:ind w:firstLine="480" w:firstLineChars="200"/>
        <w:rPr>
          <w:rFonts w:hint="eastAsia" w:ascii="仿宋" w:hAnsi="仿宋" w:eastAsia="仿宋" w:cs="仿宋"/>
          <w:color w:val="auto"/>
          <w:sz w:val="24"/>
          <w:highlight w:val="none"/>
          <w:shd w:val="clear" w:color="auto" w:fill="FFFFFF"/>
        </w:rPr>
      </w:pPr>
      <w:r>
        <w:rPr>
          <w:rFonts w:hint="eastAsia" w:ascii="仿宋" w:hAnsi="仿宋" w:eastAsia="仿宋" w:cs="仿宋"/>
          <w:color w:val="auto"/>
          <w:sz w:val="24"/>
          <w:highlight w:val="none"/>
        </w:rPr>
        <w:t>5、对</w:t>
      </w:r>
      <w:r>
        <w:rPr>
          <w:rFonts w:hint="eastAsia" w:ascii="仿宋" w:hAnsi="仿宋" w:eastAsia="仿宋" w:cs="仿宋"/>
          <w:color w:val="auto"/>
          <w:sz w:val="24"/>
          <w:highlight w:val="none"/>
          <w:shd w:val="clear" w:color="auto" w:fill="FFFFFF"/>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6ABD2537">
      <w:pPr>
        <w:snapToGrid w:val="0"/>
        <w:spacing w:line="3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5499BA4">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23E4E973">
      <w:pPr>
        <w:snapToGrid w:val="0"/>
        <w:spacing w:line="360" w:lineRule="auto"/>
        <w:ind w:firstLine="5520" w:firstLineChars="2300"/>
        <w:rPr>
          <w:rFonts w:hint="eastAsia" w:ascii="仿宋" w:hAnsi="仿宋" w:eastAsia="仿宋" w:cs="仿宋"/>
          <w:color w:val="auto"/>
          <w:kern w:val="0"/>
          <w:sz w:val="24"/>
          <w:highlight w:val="none"/>
          <w:lang w:val="en-US"/>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lang w:val="en-US"/>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lang w:val="en-US"/>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lang w:val="en-US"/>
        </w:rPr>
        <w:t xml:space="preserve">   </w:t>
      </w:r>
      <w:r>
        <w:rPr>
          <w:rFonts w:hint="eastAsia" w:ascii="仿宋" w:hAnsi="仿宋" w:eastAsia="仿宋" w:cs="仿宋"/>
          <w:color w:val="auto"/>
          <w:kern w:val="0"/>
          <w:sz w:val="24"/>
          <w:highlight w:val="none"/>
          <w:lang w:val="zh-CN"/>
        </w:rPr>
        <w:t>日</w:t>
      </w:r>
    </w:p>
    <w:p w14:paraId="1FDCB8D2">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71AB142C">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B31CB8D">
      <w:pPr>
        <w:snapToGrid w:val="0"/>
        <w:spacing w:line="360" w:lineRule="auto"/>
        <w:jc w:val="center"/>
        <w:outlineLvl w:val="0"/>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505ACBE5">
      <w:pPr>
        <w:snapToGrid w:val="0"/>
        <w:spacing w:line="360" w:lineRule="auto"/>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p>
    <w:p w14:paraId="464CEAB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0FD4E56B">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rPr>
        <w:t>，所在单位：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7571EE2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2ECADF9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37F029A0">
      <w:pPr>
        <w:snapToGrid w:val="0"/>
        <w:spacing w:line="360" w:lineRule="auto"/>
        <w:ind w:firstLine="5520" w:firstLineChars="2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投标人名称(电子签名)：</w:t>
      </w:r>
    </w:p>
    <w:p w14:paraId="1379B871">
      <w:pPr>
        <w:snapToGrid w:val="0"/>
        <w:spacing w:line="360" w:lineRule="auto"/>
        <w:ind w:firstLine="5520" w:firstLineChars="2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签发日期：  年  月   日</w:t>
      </w:r>
    </w:p>
    <w:p w14:paraId="3FA58E4F">
      <w:pPr>
        <w:snapToGrid w:val="0"/>
        <w:spacing w:line="360" w:lineRule="auto"/>
        <w:ind w:firstLine="5520" w:firstLineChars="2300"/>
        <w:rPr>
          <w:rFonts w:hint="eastAsia" w:ascii="仿宋" w:hAnsi="仿宋" w:eastAsia="仿宋" w:cs="仿宋"/>
          <w:color w:val="auto"/>
          <w:kern w:val="0"/>
          <w:sz w:val="24"/>
          <w:highlight w:val="none"/>
          <w:lang w:val="zh-CN"/>
        </w:rPr>
      </w:pPr>
    </w:p>
    <w:p w14:paraId="4D513C93">
      <w:pPr>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14:paraId="408D9F0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1419CDC5">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rPr>
        <w:t>，所在单位：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3CF7C15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07C0874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0012D836">
      <w:pPr>
        <w:jc w:val="center"/>
        <w:rPr>
          <w:rFonts w:hint="eastAsia" w:ascii="仿宋" w:hAnsi="仿宋" w:eastAsia="仿宋" w:cs="仿宋"/>
          <w:b/>
          <w:color w:val="auto"/>
          <w:kern w:val="0"/>
          <w:sz w:val="32"/>
          <w:szCs w:val="32"/>
          <w:highlight w:val="none"/>
        </w:rPr>
      </w:pPr>
    </w:p>
    <w:p w14:paraId="6DFD372D">
      <w:pPr>
        <w:rPr>
          <w:rFonts w:hint="eastAsia" w:ascii="仿宋" w:hAnsi="仿宋" w:eastAsia="仿宋" w:cs="仿宋"/>
          <w:color w:val="auto"/>
          <w:highlight w:val="none"/>
        </w:rPr>
      </w:pPr>
    </w:p>
    <w:p w14:paraId="263AB5F5">
      <w:pPr>
        <w:snapToGrid w:val="0"/>
        <w:spacing w:line="360" w:lineRule="auto"/>
        <w:ind w:firstLine="4080" w:firstLineChars="17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5633BD1">
      <w:pPr>
        <w:snapToGrid w:val="0"/>
        <w:spacing w:line="360" w:lineRule="auto"/>
        <w:ind w:firstLine="4080" w:firstLineChars="17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AFA832A">
      <w:pPr>
        <w:snapToGrid w:val="0"/>
        <w:spacing w:line="360" w:lineRule="auto"/>
        <w:ind w:firstLine="4080" w:firstLineChars="17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3786AB9D">
      <w:pPr>
        <w:snapToGrid w:val="0"/>
        <w:spacing w:line="360" w:lineRule="auto"/>
        <w:ind w:firstLine="4080" w:firstLineChars="17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44727935">
      <w:pPr>
        <w:snapToGrid w:val="0"/>
        <w:spacing w:line="360" w:lineRule="auto"/>
        <w:ind w:firstLine="4080" w:firstLineChars="1700"/>
        <w:rPr>
          <w:rFonts w:hint="eastAsia" w:ascii="仿宋" w:hAnsi="仿宋" w:eastAsia="仿宋" w:cs="仿宋"/>
          <w:color w:val="auto"/>
          <w:kern w:val="0"/>
          <w:sz w:val="24"/>
          <w:highlight w:val="none"/>
          <w:lang w:val="zh-CN"/>
        </w:rPr>
        <w:sectPr>
          <w:headerReference r:id="rId9" w:type="first"/>
          <w:footerReference r:id="rId11" w:type="first"/>
          <w:headerReference r:id="rId8" w:type="default"/>
          <w:footerReference r:id="rId10" w:type="default"/>
          <w:pgSz w:w="11906" w:h="16838"/>
          <w:pgMar w:top="1417" w:right="1417" w:bottom="1417" w:left="1701" w:header="1134" w:footer="850" w:gutter="0"/>
          <w:cols w:space="0" w:num="1"/>
          <w:titlePg/>
          <w:docGrid w:linePitch="312" w:charSpace="0"/>
        </w:sectPr>
      </w:pPr>
    </w:p>
    <w:p w14:paraId="76A0B18E">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0DC8837C">
      <w:pPr>
        <w:pStyle w:val="149"/>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FF79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068D8ED">
            <w:pPr>
              <w:pStyle w:val="149"/>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3156F4BC">
            <w:pPr>
              <w:pStyle w:val="149"/>
              <w:adjustRightInd w:val="0"/>
              <w:spacing w:line="360" w:lineRule="auto"/>
              <w:rPr>
                <w:rFonts w:hint="eastAsia" w:ascii="仿宋" w:hAnsi="仿宋" w:eastAsia="仿宋" w:cs="仿宋"/>
                <w:bCs/>
                <w:color w:val="auto"/>
                <w:sz w:val="24"/>
                <w:highlight w:val="none"/>
              </w:rPr>
            </w:pPr>
          </w:p>
        </w:tc>
      </w:tr>
    </w:tbl>
    <w:p w14:paraId="0810B761">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0457ACA1">
      <w:pPr>
        <w:snapToGrid w:val="0"/>
        <w:spacing w:line="360" w:lineRule="auto"/>
        <w:ind w:firstLine="5520" w:firstLineChars="2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投标人名称(电子签名)：                              </w:t>
      </w:r>
    </w:p>
    <w:p w14:paraId="32864C4B">
      <w:pPr>
        <w:snapToGrid w:val="0"/>
        <w:spacing w:line="360" w:lineRule="auto"/>
        <w:ind w:firstLine="5520" w:firstLineChars="2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6529AEBD">
      <w:pPr>
        <w:jc w:val="center"/>
        <w:rPr>
          <w:rFonts w:hint="eastAsia" w:ascii="仿宋" w:hAnsi="仿宋" w:eastAsia="仿宋" w:cs="仿宋"/>
          <w:b/>
          <w:color w:val="auto"/>
          <w:kern w:val="0"/>
          <w:sz w:val="32"/>
          <w:szCs w:val="32"/>
          <w:highlight w:val="none"/>
        </w:rPr>
      </w:pPr>
    </w:p>
    <w:p w14:paraId="0B216C2B">
      <w:pPr>
        <w:jc w:val="center"/>
        <w:rPr>
          <w:rFonts w:hint="eastAsia" w:ascii="仿宋" w:hAnsi="仿宋" w:eastAsia="仿宋" w:cs="仿宋"/>
          <w:b/>
          <w:color w:val="auto"/>
          <w:kern w:val="0"/>
          <w:sz w:val="32"/>
          <w:szCs w:val="32"/>
          <w:highlight w:val="none"/>
        </w:rPr>
      </w:pPr>
    </w:p>
    <w:p w14:paraId="1C3F697E">
      <w:pPr>
        <w:jc w:val="center"/>
        <w:rPr>
          <w:rFonts w:hint="eastAsia" w:ascii="仿宋" w:hAnsi="仿宋" w:eastAsia="仿宋" w:cs="仿宋"/>
          <w:b/>
          <w:color w:val="auto"/>
          <w:kern w:val="0"/>
          <w:sz w:val="32"/>
          <w:szCs w:val="32"/>
          <w:highlight w:val="none"/>
        </w:rPr>
      </w:pPr>
    </w:p>
    <w:p w14:paraId="47BEBF45">
      <w:pPr>
        <w:jc w:val="center"/>
        <w:rPr>
          <w:rFonts w:hint="eastAsia" w:ascii="仿宋" w:hAnsi="仿宋" w:eastAsia="仿宋" w:cs="仿宋"/>
          <w:b/>
          <w:color w:val="auto"/>
          <w:kern w:val="0"/>
          <w:sz w:val="32"/>
          <w:szCs w:val="32"/>
          <w:highlight w:val="none"/>
        </w:rPr>
      </w:pPr>
    </w:p>
    <w:p w14:paraId="7BBC9241">
      <w:pPr>
        <w:jc w:val="center"/>
        <w:rPr>
          <w:rFonts w:hint="eastAsia" w:ascii="仿宋" w:hAnsi="仿宋" w:eastAsia="仿宋" w:cs="仿宋"/>
          <w:b/>
          <w:color w:val="auto"/>
          <w:kern w:val="0"/>
          <w:sz w:val="32"/>
          <w:szCs w:val="32"/>
          <w:highlight w:val="none"/>
        </w:rPr>
      </w:pPr>
    </w:p>
    <w:p w14:paraId="0C43BFCD">
      <w:pPr>
        <w:jc w:val="center"/>
        <w:rPr>
          <w:rFonts w:hint="eastAsia" w:ascii="仿宋" w:hAnsi="仿宋" w:eastAsia="仿宋" w:cs="仿宋"/>
          <w:b/>
          <w:color w:val="auto"/>
          <w:kern w:val="0"/>
          <w:sz w:val="32"/>
          <w:szCs w:val="32"/>
          <w:highlight w:val="none"/>
        </w:rPr>
      </w:pPr>
    </w:p>
    <w:p w14:paraId="1E21DC70">
      <w:pPr>
        <w:jc w:val="center"/>
        <w:rPr>
          <w:rFonts w:hint="eastAsia" w:ascii="仿宋" w:hAnsi="仿宋" w:eastAsia="仿宋" w:cs="仿宋"/>
          <w:b/>
          <w:color w:val="auto"/>
          <w:kern w:val="0"/>
          <w:sz w:val="32"/>
          <w:szCs w:val="32"/>
          <w:highlight w:val="none"/>
        </w:rPr>
      </w:pPr>
    </w:p>
    <w:p w14:paraId="14127AAC">
      <w:pPr>
        <w:jc w:val="center"/>
        <w:rPr>
          <w:rFonts w:hint="eastAsia" w:ascii="仿宋" w:hAnsi="仿宋" w:eastAsia="仿宋" w:cs="仿宋"/>
          <w:b/>
          <w:color w:val="auto"/>
          <w:kern w:val="0"/>
          <w:sz w:val="32"/>
          <w:szCs w:val="32"/>
          <w:highlight w:val="none"/>
        </w:rPr>
      </w:pPr>
    </w:p>
    <w:p w14:paraId="23F8E4FD">
      <w:pPr>
        <w:jc w:val="center"/>
        <w:rPr>
          <w:rFonts w:hint="eastAsia" w:ascii="仿宋" w:hAnsi="仿宋" w:eastAsia="仿宋" w:cs="仿宋"/>
          <w:b/>
          <w:color w:val="auto"/>
          <w:kern w:val="0"/>
          <w:sz w:val="32"/>
          <w:szCs w:val="32"/>
          <w:highlight w:val="none"/>
        </w:rPr>
      </w:pPr>
    </w:p>
    <w:p w14:paraId="1E7582D9">
      <w:pPr>
        <w:jc w:val="center"/>
        <w:rPr>
          <w:rFonts w:hint="eastAsia" w:ascii="仿宋" w:hAnsi="仿宋" w:eastAsia="仿宋" w:cs="仿宋"/>
          <w:b/>
          <w:color w:val="auto"/>
          <w:kern w:val="0"/>
          <w:sz w:val="32"/>
          <w:szCs w:val="32"/>
          <w:highlight w:val="none"/>
        </w:rPr>
      </w:pPr>
    </w:p>
    <w:p w14:paraId="1D297682">
      <w:pPr>
        <w:snapToGrid w:val="0"/>
        <w:spacing w:line="360" w:lineRule="auto"/>
        <w:ind w:right="480"/>
        <w:rPr>
          <w:rFonts w:hint="eastAsia" w:ascii="仿宋" w:hAnsi="仿宋" w:eastAsia="仿宋" w:cs="仿宋"/>
          <w:b/>
          <w:color w:val="auto"/>
          <w:kern w:val="0"/>
          <w:sz w:val="32"/>
          <w:szCs w:val="32"/>
          <w:highlight w:val="none"/>
        </w:rPr>
        <w:sectPr>
          <w:pgSz w:w="11906" w:h="16838"/>
          <w:pgMar w:top="1417" w:right="1417" w:bottom="1417" w:left="1701" w:header="1134" w:footer="850" w:gutter="0"/>
          <w:cols w:space="0" w:num="1"/>
          <w:titlePg/>
          <w:docGrid w:linePitch="312" w:charSpace="0"/>
        </w:sectPr>
      </w:pPr>
    </w:p>
    <w:p w14:paraId="5AB40B21">
      <w:pPr>
        <w:snapToGrid w:val="0"/>
        <w:spacing w:line="360" w:lineRule="auto"/>
        <w:jc w:val="center"/>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481BC9C7">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6D18BA7F">
      <w:pPr>
        <w:snapToGrid w:val="0"/>
        <w:spacing w:line="360" w:lineRule="auto"/>
        <w:rPr>
          <w:rFonts w:hint="eastAsia" w:ascii="仿宋" w:hAnsi="仿宋" w:eastAsia="仿宋" w:cs="仿宋"/>
          <w:color w:val="auto"/>
          <w:kern w:val="0"/>
          <w:sz w:val="24"/>
          <w:highlight w:val="none"/>
        </w:rPr>
      </w:pPr>
    </w:p>
    <w:p w14:paraId="68B786DB">
      <w:pPr>
        <w:snapToGrid w:val="0"/>
        <w:spacing w:line="360" w:lineRule="auto"/>
        <w:jc w:val="center"/>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tbl>
      <w:tblPr>
        <w:tblStyle w:val="62"/>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1977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63BD6EFA">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75574A7A">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30D12C79">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63A3E510">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投标文件中的页码位置</w:t>
            </w:r>
          </w:p>
        </w:tc>
      </w:tr>
      <w:tr w14:paraId="52D5E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4BF44F6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vAlign w:val="center"/>
          </w:tcPr>
          <w:p w14:paraId="76961FE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78525DF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vAlign w:val="center"/>
          </w:tcPr>
          <w:p w14:paraId="0AECD655">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3AE73480">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2489D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72040C5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vAlign w:val="center"/>
          </w:tcPr>
          <w:p w14:paraId="205AEC0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5B1CC06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vAlign w:val="center"/>
          </w:tcPr>
          <w:p w14:paraId="790DE151">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116E5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5853140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vAlign w:val="center"/>
          </w:tcPr>
          <w:p w14:paraId="0634DDB0">
            <w:pPr>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sz w:val="24"/>
                <w:highlight w:val="none"/>
              </w:rPr>
              <w:t>其他实质性要求1：</w:t>
            </w:r>
          </w:p>
        </w:tc>
        <w:tc>
          <w:tcPr>
            <w:tcW w:w="2551" w:type="dxa"/>
            <w:vMerge w:val="restart"/>
            <w:vAlign w:val="center"/>
          </w:tcPr>
          <w:p w14:paraId="35296DCC">
            <w:pPr>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vAlign w:val="center"/>
          </w:tcPr>
          <w:p w14:paraId="1166022E">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2F0E2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50B588B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4991" w:type="dxa"/>
            <w:vAlign w:val="center"/>
          </w:tcPr>
          <w:p w14:paraId="5F4A94D8">
            <w:pPr>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sz w:val="24"/>
                <w:highlight w:val="none"/>
              </w:rPr>
              <w:t>其他实质性要求2：</w:t>
            </w:r>
          </w:p>
        </w:tc>
        <w:tc>
          <w:tcPr>
            <w:tcW w:w="2551" w:type="dxa"/>
            <w:vMerge w:val="continue"/>
            <w:vAlign w:val="center"/>
          </w:tcPr>
          <w:p w14:paraId="4B3CFD6E">
            <w:pPr>
              <w:jc w:val="center"/>
              <w:rPr>
                <w:rFonts w:hint="eastAsia" w:ascii="仿宋" w:hAnsi="仿宋" w:eastAsia="仿宋" w:cs="仿宋"/>
                <w:color w:val="auto"/>
                <w:sz w:val="24"/>
                <w:highlight w:val="none"/>
              </w:rPr>
            </w:pPr>
          </w:p>
        </w:tc>
        <w:tc>
          <w:tcPr>
            <w:tcW w:w="1418" w:type="dxa"/>
            <w:vAlign w:val="center"/>
          </w:tcPr>
          <w:p w14:paraId="7DD3526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0C386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4E11942F">
            <w:pPr>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p>
        </w:tc>
        <w:tc>
          <w:tcPr>
            <w:tcW w:w="4991" w:type="dxa"/>
            <w:vAlign w:val="center"/>
          </w:tcPr>
          <w:p w14:paraId="136EB2BB">
            <w:pPr>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sz w:val="24"/>
                <w:highlight w:val="none"/>
              </w:rPr>
              <w:t>其他实质性要求</w:t>
            </w:r>
            <w:r>
              <w:rPr>
                <w:rFonts w:hint="eastAsia" w:ascii="仿宋" w:hAnsi="仿宋" w:eastAsia="仿宋" w:cs="仿宋"/>
                <w:color w:val="auto"/>
                <w:kern w:val="0"/>
                <w:sz w:val="24"/>
                <w:highlight w:val="none"/>
              </w:rPr>
              <w:t>……</w:t>
            </w:r>
            <w:r>
              <w:rPr>
                <w:rFonts w:hint="eastAsia" w:ascii="仿宋" w:hAnsi="仿宋" w:eastAsia="仿宋" w:cs="仿宋"/>
                <w:snapToGrid w:val="0"/>
                <w:color w:val="auto"/>
                <w:sz w:val="24"/>
                <w:highlight w:val="none"/>
              </w:rPr>
              <w:t>：</w:t>
            </w:r>
          </w:p>
        </w:tc>
        <w:tc>
          <w:tcPr>
            <w:tcW w:w="2551" w:type="dxa"/>
            <w:vMerge w:val="continue"/>
            <w:vAlign w:val="center"/>
          </w:tcPr>
          <w:p w14:paraId="18CB79BE">
            <w:pPr>
              <w:jc w:val="center"/>
              <w:rPr>
                <w:rFonts w:hint="eastAsia" w:ascii="仿宋" w:hAnsi="仿宋" w:eastAsia="仿宋" w:cs="仿宋"/>
                <w:color w:val="auto"/>
                <w:sz w:val="24"/>
                <w:highlight w:val="none"/>
              </w:rPr>
            </w:pPr>
          </w:p>
        </w:tc>
        <w:tc>
          <w:tcPr>
            <w:tcW w:w="1418" w:type="dxa"/>
            <w:vAlign w:val="center"/>
          </w:tcPr>
          <w:p w14:paraId="510A1E4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6A309113">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注：1.按本格式和要求提供。</w:t>
      </w:r>
    </w:p>
    <w:p w14:paraId="643A6A61">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2、招标文件中实质性要求必须明确响应。</w:t>
      </w:r>
    </w:p>
    <w:p w14:paraId="300FFB55">
      <w:pPr>
        <w:pStyle w:val="79"/>
        <w:rPr>
          <w:rFonts w:hint="eastAsia" w:ascii="仿宋" w:hAnsi="仿宋" w:eastAsia="仿宋" w:cs="仿宋"/>
          <w:color w:val="auto"/>
          <w:highlight w:val="none"/>
        </w:rPr>
      </w:pPr>
    </w:p>
    <w:p w14:paraId="7029BB86">
      <w:pPr>
        <w:snapToGrid w:val="0"/>
        <w:spacing w:line="360" w:lineRule="auto"/>
        <w:jc w:val="center"/>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五、评标标准相应的商务技术资料</w:t>
      </w:r>
    </w:p>
    <w:p w14:paraId="0C0C071B">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0C903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479615D">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序号</w:t>
            </w:r>
          </w:p>
        </w:tc>
        <w:tc>
          <w:tcPr>
            <w:tcW w:w="5465" w:type="dxa"/>
          </w:tcPr>
          <w:p w14:paraId="7F98FC5B">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投标文件中评标标准相应的商务技术资料目录*</w:t>
            </w:r>
          </w:p>
        </w:tc>
        <w:tc>
          <w:tcPr>
            <w:tcW w:w="3046" w:type="dxa"/>
          </w:tcPr>
          <w:p w14:paraId="2B162B84">
            <w:pPr>
              <w:snapToGrid w:val="0"/>
              <w:spacing w:line="240" w:lineRule="atLeas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投标文件中的页码位置</w:t>
            </w:r>
          </w:p>
        </w:tc>
      </w:tr>
      <w:tr w14:paraId="10CCB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36350D2">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p>
        </w:tc>
        <w:tc>
          <w:tcPr>
            <w:tcW w:w="5465" w:type="dxa"/>
          </w:tcPr>
          <w:p w14:paraId="64203FA9">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XXX（预先填写）</w:t>
            </w:r>
          </w:p>
        </w:tc>
        <w:tc>
          <w:tcPr>
            <w:tcW w:w="3046" w:type="dxa"/>
          </w:tcPr>
          <w:p w14:paraId="44371926">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见投标文件第</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页</w:t>
            </w:r>
          </w:p>
        </w:tc>
      </w:tr>
      <w:tr w14:paraId="60932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78BD0FA">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w:t>
            </w:r>
          </w:p>
        </w:tc>
        <w:tc>
          <w:tcPr>
            <w:tcW w:w="5465" w:type="dxa"/>
          </w:tcPr>
          <w:p w14:paraId="69DCB4E6">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XXX</w:t>
            </w:r>
          </w:p>
        </w:tc>
        <w:tc>
          <w:tcPr>
            <w:tcW w:w="3046" w:type="dxa"/>
          </w:tcPr>
          <w:p w14:paraId="5314D098">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见投标文件第</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页</w:t>
            </w:r>
          </w:p>
        </w:tc>
      </w:tr>
      <w:tr w14:paraId="1564E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835B07D">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color w:val="auto"/>
                <w:kern w:val="0"/>
                <w:sz w:val="24"/>
                <w:highlight w:val="none"/>
              </w:rPr>
              <w:t>……</w:t>
            </w:r>
          </w:p>
        </w:tc>
        <w:tc>
          <w:tcPr>
            <w:tcW w:w="5465" w:type="dxa"/>
          </w:tcPr>
          <w:p w14:paraId="0EC0682E">
            <w:pPr>
              <w:snapToGrid w:val="0"/>
              <w:spacing w:line="360" w:lineRule="auto"/>
              <w:jc w:val="center"/>
              <w:rPr>
                <w:rFonts w:hint="eastAsia" w:ascii="仿宋" w:hAnsi="仿宋" w:eastAsia="仿宋" w:cs="仿宋"/>
                <w:bCs/>
                <w:color w:val="auto"/>
                <w:sz w:val="24"/>
                <w:highlight w:val="none"/>
              </w:rPr>
            </w:pPr>
          </w:p>
        </w:tc>
        <w:tc>
          <w:tcPr>
            <w:tcW w:w="3046" w:type="dxa"/>
          </w:tcPr>
          <w:p w14:paraId="06696C1B">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见投标文件第</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页</w:t>
            </w:r>
          </w:p>
        </w:tc>
      </w:tr>
    </w:tbl>
    <w:p w14:paraId="5C20472D">
      <w:pPr>
        <w:pStyle w:val="81"/>
        <w:rPr>
          <w:rFonts w:hint="eastAsia" w:ascii="仿宋" w:hAnsi="仿宋" w:eastAsia="仿宋" w:cs="仿宋"/>
          <w:color w:val="auto"/>
          <w:highlight w:val="none"/>
        </w:rPr>
      </w:pPr>
    </w:p>
    <w:p w14:paraId="5D576CC7">
      <w:pPr>
        <w:jc w:val="center"/>
        <w:rPr>
          <w:rFonts w:hint="eastAsia" w:ascii="仿宋" w:hAnsi="仿宋" w:eastAsia="仿宋" w:cs="仿宋"/>
          <w:b/>
          <w:color w:val="auto"/>
          <w:kern w:val="0"/>
          <w:sz w:val="32"/>
          <w:szCs w:val="32"/>
          <w:highlight w:val="none"/>
        </w:rPr>
      </w:pPr>
    </w:p>
    <w:p w14:paraId="7DF4E98D">
      <w:pPr>
        <w:snapToGrid w:val="0"/>
        <w:spacing w:line="360" w:lineRule="auto"/>
        <w:jc w:val="center"/>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2039C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7B0CF9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517C59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4C0327F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3021E65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1F8F1BE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502E6DD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14:paraId="2BB78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4B9401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31DDB73C">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21CB47B3">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E8A5BC6">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CEF61D1">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688732E">
            <w:pPr>
              <w:spacing w:line="360" w:lineRule="auto"/>
              <w:jc w:val="center"/>
              <w:rPr>
                <w:rFonts w:hint="eastAsia" w:ascii="仿宋" w:hAnsi="仿宋" w:eastAsia="仿宋" w:cs="仿宋"/>
                <w:color w:val="auto"/>
                <w:sz w:val="24"/>
                <w:highlight w:val="none"/>
              </w:rPr>
            </w:pPr>
          </w:p>
        </w:tc>
      </w:tr>
      <w:tr w14:paraId="4E609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AC4C14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938C765">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0246436A">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C94E531">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7295EAB">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921BD1B">
            <w:pPr>
              <w:spacing w:line="360" w:lineRule="auto"/>
              <w:jc w:val="center"/>
              <w:rPr>
                <w:rFonts w:hint="eastAsia" w:ascii="仿宋" w:hAnsi="仿宋" w:eastAsia="仿宋" w:cs="仿宋"/>
                <w:color w:val="auto"/>
                <w:sz w:val="24"/>
                <w:highlight w:val="none"/>
              </w:rPr>
            </w:pPr>
          </w:p>
        </w:tc>
      </w:tr>
      <w:tr w14:paraId="5D77F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BDCAA7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0B856A49">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84B2327">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903E3A">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9AFED3E">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D2D49E0">
            <w:pPr>
              <w:spacing w:line="360" w:lineRule="auto"/>
              <w:jc w:val="center"/>
              <w:rPr>
                <w:rFonts w:hint="eastAsia" w:ascii="仿宋" w:hAnsi="仿宋" w:eastAsia="仿宋" w:cs="仿宋"/>
                <w:color w:val="auto"/>
                <w:sz w:val="24"/>
                <w:highlight w:val="none"/>
              </w:rPr>
            </w:pPr>
          </w:p>
        </w:tc>
      </w:tr>
    </w:tbl>
    <w:p w14:paraId="5DF977A2">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66F6847">
      <w:pPr>
        <w:pStyle w:val="79"/>
        <w:rPr>
          <w:rFonts w:hint="eastAsia" w:ascii="仿宋" w:hAnsi="仿宋" w:eastAsia="仿宋" w:cs="仿宋"/>
          <w:color w:val="auto"/>
          <w:highlight w:val="none"/>
        </w:rPr>
      </w:pPr>
    </w:p>
    <w:p w14:paraId="3B00513F">
      <w:pPr>
        <w:snapToGrid w:val="0"/>
        <w:spacing w:line="360" w:lineRule="auto"/>
        <w:jc w:val="center"/>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7BC5E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639B57B">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180" w:type="dxa"/>
          </w:tcPr>
          <w:p w14:paraId="3EF3F01F">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062" w:type="dxa"/>
          </w:tcPr>
          <w:p w14:paraId="2F4FB732">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102" w:type="dxa"/>
          </w:tcPr>
          <w:p w14:paraId="2033BC27">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2268C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227CD01">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180" w:type="dxa"/>
          </w:tcPr>
          <w:p w14:paraId="7BF094C6">
            <w:pPr>
              <w:jc w:val="center"/>
              <w:rPr>
                <w:rFonts w:hint="eastAsia" w:ascii="仿宋" w:hAnsi="仿宋" w:eastAsia="仿宋" w:cs="仿宋"/>
                <w:b/>
                <w:color w:val="auto"/>
                <w:kern w:val="0"/>
                <w:sz w:val="32"/>
                <w:szCs w:val="32"/>
                <w:highlight w:val="none"/>
              </w:rPr>
            </w:pPr>
          </w:p>
        </w:tc>
        <w:tc>
          <w:tcPr>
            <w:tcW w:w="3062" w:type="dxa"/>
          </w:tcPr>
          <w:p w14:paraId="5788620B">
            <w:pPr>
              <w:jc w:val="center"/>
              <w:rPr>
                <w:rFonts w:hint="eastAsia" w:ascii="仿宋" w:hAnsi="仿宋" w:eastAsia="仿宋" w:cs="仿宋"/>
                <w:b/>
                <w:color w:val="auto"/>
                <w:kern w:val="0"/>
                <w:sz w:val="32"/>
                <w:szCs w:val="32"/>
                <w:highlight w:val="none"/>
              </w:rPr>
            </w:pPr>
          </w:p>
        </w:tc>
        <w:tc>
          <w:tcPr>
            <w:tcW w:w="1102" w:type="dxa"/>
          </w:tcPr>
          <w:p w14:paraId="2626326A">
            <w:pPr>
              <w:jc w:val="center"/>
              <w:rPr>
                <w:rFonts w:hint="eastAsia" w:ascii="仿宋" w:hAnsi="仿宋" w:eastAsia="仿宋" w:cs="仿宋"/>
                <w:b/>
                <w:color w:val="auto"/>
                <w:kern w:val="0"/>
                <w:sz w:val="32"/>
                <w:szCs w:val="32"/>
                <w:highlight w:val="none"/>
              </w:rPr>
            </w:pPr>
          </w:p>
        </w:tc>
      </w:tr>
      <w:tr w14:paraId="014DA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9B38009">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180" w:type="dxa"/>
          </w:tcPr>
          <w:p w14:paraId="6643AF49">
            <w:pPr>
              <w:jc w:val="center"/>
              <w:rPr>
                <w:rFonts w:hint="eastAsia" w:ascii="仿宋" w:hAnsi="仿宋" w:eastAsia="仿宋" w:cs="仿宋"/>
                <w:b/>
                <w:color w:val="auto"/>
                <w:kern w:val="0"/>
                <w:sz w:val="32"/>
                <w:szCs w:val="32"/>
                <w:highlight w:val="none"/>
              </w:rPr>
            </w:pPr>
          </w:p>
        </w:tc>
        <w:tc>
          <w:tcPr>
            <w:tcW w:w="3062" w:type="dxa"/>
          </w:tcPr>
          <w:p w14:paraId="4DA87170">
            <w:pPr>
              <w:jc w:val="center"/>
              <w:rPr>
                <w:rFonts w:hint="eastAsia" w:ascii="仿宋" w:hAnsi="仿宋" w:eastAsia="仿宋" w:cs="仿宋"/>
                <w:b/>
                <w:color w:val="auto"/>
                <w:kern w:val="0"/>
                <w:sz w:val="32"/>
                <w:szCs w:val="32"/>
                <w:highlight w:val="none"/>
              </w:rPr>
            </w:pPr>
          </w:p>
        </w:tc>
        <w:tc>
          <w:tcPr>
            <w:tcW w:w="1102" w:type="dxa"/>
          </w:tcPr>
          <w:p w14:paraId="5214C16F">
            <w:pPr>
              <w:jc w:val="center"/>
              <w:rPr>
                <w:rFonts w:hint="eastAsia" w:ascii="仿宋" w:hAnsi="仿宋" w:eastAsia="仿宋" w:cs="仿宋"/>
                <w:b/>
                <w:color w:val="auto"/>
                <w:kern w:val="0"/>
                <w:sz w:val="32"/>
                <w:szCs w:val="32"/>
                <w:highlight w:val="none"/>
              </w:rPr>
            </w:pPr>
          </w:p>
        </w:tc>
      </w:tr>
      <w:tr w14:paraId="4B30B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A1EE4BE">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180" w:type="dxa"/>
          </w:tcPr>
          <w:p w14:paraId="2E3A01B3">
            <w:pPr>
              <w:jc w:val="center"/>
              <w:rPr>
                <w:rFonts w:hint="eastAsia" w:ascii="仿宋" w:hAnsi="仿宋" w:eastAsia="仿宋" w:cs="仿宋"/>
                <w:b/>
                <w:color w:val="auto"/>
                <w:kern w:val="0"/>
                <w:sz w:val="32"/>
                <w:szCs w:val="32"/>
                <w:highlight w:val="none"/>
              </w:rPr>
            </w:pPr>
          </w:p>
        </w:tc>
        <w:tc>
          <w:tcPr>
            <w:tcW w:w="3062" w:type="dxa"/>
          </w:tcPr>
          <w:p w14:paraId="0260099C">
            <w:pPr>
              <w:jc w:val="center"/>
              <w:rPr>
                <w:rFonts w:hint="eastAsia" w:ascii="仿宋" w:hAnsi="仿宋" w:eastAsia="仿宋" w:cs="仿宋"/>
                <w:b/>
                <w:color w:val="auto"/>
                <w:kern w:val="0"/>
                <w:sz w:val="32"/>
                <w:szCs w:val="32"/>
                <w:highlight w:val="none"/>
              </w:rPr>
            </w:pPr>
          </w:p>
        </w:tc>
        <w:tc>
          <w:tcPr>
            <w:tcW w:w="1102" w:type="dxa"/>
          </w:tcPr>
          <w:p w14:paraId="395D4BC6">
            <w:pPr>
              <w:jc w:val="center"/>
              <w:rPr>
                <w:rFonts w:hint="eastAsia" w:ascii="仿宋" w:hAnsi="仿宋" w:eastAsia="仿宋" w:cs="仿宋"/>
                <w:b/>
                <w:color w:val="auto"/>
                <w:kern w:val="0"/>
                <w:sz w:val="32"/>
                <w:szCs w:val="32"/>
                <w:highlight w:val="none"/>
              </w:rPr>
            </w:pPr>
          </w:p>
        </w:tc>
      </w:tr>
    </w:tbl>
    <w:p w14:paraId="2831DB32">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1BB2C583">
      <w:pPr>
        <w:jc w:val="center"/>
        <w:rPr>
          <w:rFonts w:hint="eastAsia" w:ascii="仿宋" w:hAnsi="仿宋" w:eastAsia="仿宋" w:cs="仿宋"/>
          <w:b/>
          <w:color w:val="auto"/>
          <w:kern w:val="0"/>
          <w:sz w:val="32"/>
          <w:szCs w:val="32"/>
          <w:highlight w:val="none"/>
        </w:rPr>
      </w:pPr>
    </w:p>
    <w:p w14:paraId="344FFCD8">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注：1.按本格式和要求提供。</w:t>
      </w:r>
    </w:p>
    <w:p w14:paraId="7BA3C487">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2.本表格所反映的偏离情况与“符合性审查资料”、“评标标准相应的商务技术资料”不一致的，以“符合性审查资料”、“评标标准相应的商务技术资料”为准。</w:t>
      </w:r>
    </w:p>
    <w:p w14:paraId="54B77BFB">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3.投标人须保证：除商务技术偏离表列出的偏离外，投标人响应招标文件的全部非实质性要求。</w:t>
      </w:r>
    </w:p>
    <w:p w14:paraId="1E1C3FA7">
      <w:pPr>
        <w:ind w:firstLine="1911" w:firstLineChars="595"/>
        <w:rPr>
          <w:rFonts w:hint="eastAsia" w:ascii="仿宋" w:hAnsi="仿宋" w:eastAsia="仿宋" w:cs="仿宋"/>
          <w:b/>
          <w:bCs/>
          <w:color w:val="auto"/>
          <w:sz w:val="32"/>
          <w:szCs w:val="32"/>
          <w:highlight w:val="none"/>
        </w:rPr>
      </w:pPr>
    </w:p>
    <w:p w14:paraId="3CC2999F">
      <w:pPr>
        <w:ind w:firstLine="1911" w:firstLineChars="595"/>
        <w:rPr>
          <w:rFonts w:hint="eastAsia" w:ascii="仿宋" w:hAnsi="仿宋" w:eastAsia="仿宋" w:cs="仿宋"/>
          <w:b/>
          <w:bCs/>
          <w:color w:val="auto"/>
          <w:sz w:val="32"/>
          <w:szCs w:val="32"/>
          <w:highlight w:val="none"/>
        </w:rPr>
      </w:pPr>
    </w:p>
    <w:p w14:paraId="108C4C32">
      <w:pPr>
        <w:ind w:firstLine="1911" w:firstLineChars="595"/>
        <w:rPr>
          <w:rFonts w:hint="eastAsia" w:ascii="仿宋" w:hAnsi="仿宋" w:eastAsia="仿宋" w:cs="仿宋"/>
          <w:b/>
          <w:bCs/>
          <w:color w:val="auto"/>
          <w:sz w:val="32"/>
          <w:szCs w:val="32"/>
          <w:highlight w:val="none"/>
        </w:rPr>
      </w:pPr>
    </w:p>
    <w:p w14:paraId="7153CF10">
      <w:pPr>
        <w:widowControl/>
        <w:adjustRightInd/>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373B7BCB">
      <w:pPr>
        <w:snapToGrid w:val="0"/>
        <w:spacing w:line="360" w:lineRule="auto"/>
        <w:jc w:val="center"/>
        <w:outlineLvl w:val="0"/>
        <w:rPr>
          <w:rFonts w:hint="eastAsia" w:ascii="仿宋" w:hAnsi="仿宋" w:eastAsia="仿宋" w:cs="仿宋"/>
          <w:color w:val="auto"/>
          <w:sz w:val="24"/>
          <w:highlight w:val="none"/>
        </w:rPr>
      </w:pPr>
      <w:r>
        <w:rPr>
          <w:rFonts w:hint="eastAsia" w:ascii="仿宋" w:hAnsi="仿宋" w:eastAsia="仿宋" w:cs="仿宋"/>
          <w:b/>
          <w:color w:val="auto"/>
          <w:kern w:val="0"/>
          <w:sz w:val="32"/>
          <w:szCs w:val="32"/>
          <w:highlight w:val="none"/>
        </w:rPr>
        <w:t>八、</w:t>
      </w:r>
      <w:r>
        <w:rPr>
          <w:rFonts w:hint="eastAsia" w:ascii="仿宋" w:hAnsi="仿宋" w:eastAsia="仿宋" w:cs="仿宋"/>
          <w:b/>
          <w:color w:val="auto"/>
          <w:kern w:val="0"/>
          <w:sz w:val="32"/>
          <w:szCs w:val="32"/>
          <w:highlight w:val="none"/>
          <w:lang w:val="zh-CN"/>
        </w:rPr>
        <w:t>政府采购供应商廉洁自律承诺书</w:t>
      </w:r>
    </w:p>
    <w:p w14:paraId="0008F2A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72513386">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3032937E">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一、不向项目有关人员及部门赠送礼金礼物、有价证券、回扣以及中介费、介绍费、咨询费等好处费；</w:t>
      </w:r>
    </w:p>
    <w:p w14:paraId="1F511AF9">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二、不为项目有关人员及部门报销应由你方单位或个人支付的费用；</w:t>
      </w:r>
    </w:p>
    <w:p w14:paraId="05847FE7">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三、不向项目有关人员及部门提供有可能影响公正的宴请和健身娱乐等活动；</w:t>
      </w:r>
    </w:p>
    <w:p w14:paraId="472B724C">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68CC9BFB">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0C88EC3D">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7BDBA3E4">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342B69D3">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等法律法规，诚实守信，合法经营，坚决抵制各种违法违纪行为。</w:t>
      </w:r>
    </w:p>
    <w:p w14:paraId="00879135">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6BDA51A7">
      <w:pPr>
        <w:autoSpaceDE w:val="0"/>
        <w:autoSpaceDN w:val="0"/>
        <w:spacing w:line="360" w:lineRule="auto"/>
        <w:ind w:left="2"/>
        <w:jc w:val="left"/>
        <w:rPr>
          <w:rFonts w:hint="eastAsia" w:ascii="仿宋" w:hAnsi="仿宋" w:eastAsia="仿宋" w:cs="仿宋"/>
          <w:color w:val="auto"/>
          <w:kern w:val="0"/>
          <w:sz w:val="24"/>
          <w:highlight w:val="none"/>
          <w:lang w:val="zh-CN"/>
        </w:rPr>
      </w:pPr>
    </w:p>
    <w:p w14:paraId="317B64BD">
      <w:pPr>
        <w:autoSpaceDE w:val="0"/>
        <w:autoSpaceDN w:val="0"/>
        <w:spacing w:line="360" w:lineRule="auto"/>
        <w:ind w:left="2"/>
        <w:jc w:val="left"/>
        <w:rPr>
          <w:rFonts w:hint="eastAsia" w:ascii="仿宋" w:hAnsi="仿宋" w:eastAsia="仿宋" w:cs="仿宋"/>
          <w:color w:val="auto"/>
          <w:kern w:val="0"/>
          <w:sz w:val="24"/>
          <w:highlight w:val="none"/>
          <w:lang w:val="zh-CN"/>
        </w:rPr>
      </w:pPr>
    </w:p>
    <w:p w14:paraId="65D4696B">
      <w:pPr>
        <w:autoSpaceDE w:val="0"/>
        <w:autoSpaceDN w:val="0"/>
        <w:spacing w:line="360" w:lineRule="auto"/>
        <w:ind w:left="2"/>
        <w:jc w:val="left"/>
        <w:rPr>
          <w:rFonts w:hint="eastAsia" w:ascii="仿宋" w:hAnsi="仿宋" w:eastAsia="仿宋" w:cs="仿宋"/>
          <w:color w:val="auto"/>
          <w:kern w:val="0"/>
          <w:sz w:val="24"/>
          <w:highlight w:val="none"/>
          <w:lang w:val="zh-CN"/>
        </w:rPr>
      </w:pPr>
    </w:p>
    <w:p w14:paraId="20DD2802">
      <w:pPr>
        <w:snapToGrid w:val="0"/>
        <w:spacing w:line="360" w:lineRule="auto"/>
        <w:ind w:firstLine="5520" w:firstLineChars="2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投标人名称（电子签名）：</w:t>
      </w:r>
    </w:p>
    <w:p w14:paraId="5F548B0C">
      <w:pPr>
        <w:snapToGrid w:val="0"/>
        <w:spacing w:line="360" w:lineRule="auto"/>
        <w:ind w:firstLine="5520" w:firstLineChars="2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49673FA6">
      <w:pPr>
        <w:spacing w:line="360" w:lineRule="auto"/>
        <w:jc w:val="center"/>
        <w:rPr>
          <w:rFonts w:hint="eastAsia" w:ascii="仿宋" w:hAnsi="仿宋" w:eastAsia="仿宋" w:cs="仿宋"/>
          <w:b/>
          <w:bCs/>
          <w:color w:val="auto"/>
          <w:sz w:val="24"/>
          <w:highlight w:val="none"/>
        </w:rPr>
      </w:pPr>
    </w:p>
    <w:p w14:paraId="1901998D">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D6C6C52">
      <w:pPr>
        <w:spacing w:line="360" w:lineRule="auto"/>
        <w:jc w:val="center"/>
        <w:rPr>
          <w:rFonts w:hint="eastAsia" w:ascii="仿宋" w:hAnsi="仿宋" w:eastAsia="仿宋" w:cs="仿宋"/>
          <w:b/>
          <w:bCs/>
          <w:color w:val="auto"/>
          <w:sz w:val="24"/>
          <w:highlight w:val="none"/>
        </w:rPr>
        <w:sectPr>
          <w:headerReference r:id="rId13" w:type="first"/>
          <w:footerReference r:id="rId15" w:type="first"/>
          <w:headerReference r:id="rId12" w:type="default"/>
          <w:footerReference r:id="rId14" w:type="default"/>
          <w:pgSz w:w="11906" w:h="16838"/>
          <w:pgMar w:top="1417" w:right="1417" w:bottom="1417" w:left="1701" w:header="1134" w:footer="850" w:gutter="0"/>
          <w:cols w:space="0" w:num="1"/>
          <w:titlePg/>
          <w:docGrid w:linePitch="312" w:charSpace="0"/>
        </w:sectPr>
      </w:pPr>
    </w:p>
    <w:p w14:paraId="7384652C">
      <w:pPr>
        <w:spacing w:line="48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392A2BAA">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21D9FB24">
      <w:pPr>
        <w:numPr>
          <w:ilvl w:val="0"/>
          <w:numId w:val="1"/>
        </w:num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开标一览表（报价表）………………………………………………………（页码）</w:t>
      </w:r>
    </w:p>
    <w:p w14:paraId="42845A8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14:paraId="6A912389">
      <w:pPr>
        <w:pStyle w:val="79"/>
        <w:rPr>
          <w:rFonts w:hint="eastAsia" w:ascii="仿宋" w:hAnsi="仿宋" w:eastAsia="仿宋" w:cs="仿宋"/>
          <w:color w:val="auto"/>
          <w:highlight w:val="none"/>
        </w:rPr>
      </w:pPr>
    </w:p>
    <w:p w14:paraId="5D0D37B4">
      <w:pPr>
        <w:pStyle w:val="79"/>
        <w:rPr>
          <w:rFonts w:hint="eastAsia" w:ascii="仿宋" w:hAnsi="仿宋" w:eastAsia="仿宋" w:cs="仿宋"/>
          <w:color w:val="auto"/>
          <w:highlight w:val="none"/>
        </w:rPr>
      </w:pPr>
    </w:p>
    <w:p w14:paraId="5F1ED4AC">
      <w:pPr>
        <w:snapToGrid w:val="0"/>
        <w:spacing w:line="360" w:lineRule="auto"/>
        <w:ind w:right="480"/>
        <w:jc w:val="center"/>
        <w:rPr>
          <w:rFonts w:hint="eastAsia" w:ascii="仿宋" w:hAnsi="仿宋" w:eastAsia="仿宋" w:cs="仿宋"/>
          <w:b/>
          <w:color w:val="auto"/>
          <w:kern w:val="0"/>
          <w:sz w:val="32"/>
          <w:szCs w:val="32"/>
          <w:highlight w:val="none"/>
        </w:rPr>
      </w:pPr>
    </w:p>
    <w:p w14:paraId="3CD1B3FC">
      <w:pPr>
        <w:snapToGrid w:val="0"/>
        <w:spacing w:line="360" w:lineRule="auto"/>
        <w:ind w:right="480"/>
        <w:jc w:val="center"/>
        <w:rPr>
          <w:rFonts w:hint="eastAsia" w:ascii="仿宋" w:hAnsi="仿宋" w:eastAsia="仿宋" w:cs="仿宋"/>
          <w:b/>
          <w:color w:val="auto"/>
          <w:kern w:val="0"/>
          <w:sz w:val="32"/>
          <w:szCs w:val="32"/>
          <w:highlight w:val="none"/>
        </w:rPr>
      </w:pPr>
    </w:p>
    <w:p w14:paraId="53F29ACB">
      <w:pPr>
        <w:snapToGrid w:val="0"/>
        <w:spacing w:line="360" w:lineRule="auto"/>
        <w:ind w:right="480"/>
        <w:jc w:val="center"/>
        <w:rPr>
          <w:rFonts w:hint="eastAsia" w:ascii="仿宋" w:hAnsi="仿宋" w:eastAsia="仿宋" w:cs="仿宋"/>
          <w:b/>
          <w:color w:val="auto"/>
          <w:kern w:val="0"/>
          <w:sz w:val="32"/>
          <w:szCs w:val="32"/>
          <w:highlight w:val="none"/>
        </w:rPr>
      </w:pPr>
    </w:p>
    <w:p w14:paraId="1D294C31">
      <w:pPr>
        <w:snapToGrid w:val="0"/>
        <w:spacing w:line="360" w:lineRule="auto"/>
        <w:ind w:right="480"/>
        <w:jc w:val="center"/>
        <w:rPr>
          <w:rFonts w:hint="eastAsia" w:ascii="仿宋" w:hAnsi="仿宋" w:eastAsia="仿宋" w:cs="仿宋"/>
          <w:b/>
          <w:color w:val="auto"/>
          <w:kern w:val="0"/>
          <w:sz w:val="32"/>
          <w:szCs w:val="32"/>
          <w:highlight w:val="none"/>
        </w:rPr>
      </w:pPr>
    </w:p>
    <w:p w14:paraId="545CC399">
      <w:pPr>
        <w:snapToGrid w:val="0"/>
        <w:spacing w:line="360" w:lineRule="auto"/>
        <w:ind w:right="480"/>
        <w:jc w:val="center"/>
        <w:rPr>
          <w:rFonts w:hint="eastAsia" w:ascii="仿宋" w:hAnsi="仿宋" w:eastAsia="仿宋" w:cs="仿宋"/>
          <w:b/>
          <w:color w:val="auto"/>
          <w:kern w:val="0"/>
          <w:sz w:val="32"/>
          <w:szCs w:val="32"/>
          <w:highlight w:val="none"/>
        </w:rPr>
      </w:pPr>
    </w:p>
    <w:p w14:paraId="05C8AF95">
      <w:pPr>
        <w:snapToGrid w:val="0"/>
        <w:spacing w:line="360" w:lineRule="auto"/>
        <w:ind w:right="480"/>
        <w:jc w:val="center"/>
        <w:rPr>
          <w:rFonts w:hint="eastAsia" w:ascii="仿宋" w:hAnsi="仿宋" w:eastAsia="仿宋" w:cs="仿宋"/>
          <w:b/>
          <w:color w:val="auto"/>
          <w:kern w:val="0"/>
          <w:sz w:val="32"/>
          <w:szCs w:val="32"/>
          <w:highlight w:val="none"/>
        </w:rPr>
      </w:pPr>
    </w:p>
    <w:p w14:paraId="7F04A949">
      <w:pPr>
        <w:snapToGrid w:val="0"/>
        <w:spacing w:line="360" w:lineRule="auto"/>
        <w:ind w:right="480"/>
        <w:jc w:val="center"/>
        <w:rPr>
          <w:rFonts w:hint="eastAsia" w:ascii="仿宋" w:hAnsi="仿宋" w:eastAsia="仿宋" w:cs="仿宋"/>
          <w:b/>
          <w:color w:val="auto"/>
          <w:kern w:val="0"/>
          <w:sz w:val="32"/>
          <w:szCs w:val="32"/>
          <w:highlight w:val="none"/>
        </w:rPr>
      </w:pPr>
    </w:p>
    <w:p w14:paraId="70DF64A1">
      <w:pPr>
        <w:snapToGrid w:val="0"/>
        <w:spacing w:line="360" w:lineRule="auto"/>
        <w:ind w:right="480"/>
        <w:jc w:val="center"/>
        <w:rPr>
          <w:rFonts w:hint="eastAsia" w:ascii="仿宋" w:hAnsi="仿宋" w:eastAsia="仿宋" w:cs="仿宋"/>
          <w:b/>
          <w:color w:val="auto"/>
          <w:kern w:val="0"/>
          <w:sz w:val="32"/>
          <w:szCs w:val="32"/>
          <w:highlight w:val="none"/>
        </w:rPr>
      </w:pPr>
    </w:p>
    <w:p w14:paraId="4524724B">
      <w:pPr>
        <w:snapToGrid w:val="0"/>
        <w:spacing w:line="360" w:lineRule="auto"/>
        <w:ind w:right="480"/>
        <w:jc w:val="center"/>
        <w:rPr>
          <w:rFonts w:hint="eastAsia" w:ascii="仿宋" w:hAnsi="仿宋" w:eastAsia="仿宋" w:cs="仿宋"/>
          <w:b/>
          <w:color w:val="auto"/>
          <w:kern w:val="0"/>
          <w:sz w:val="32"/>
          <w:szCs w:val="32"/>
          <w:highlight w:val="none"/>
        </w:rPr>
      </w:pPr>
    </w:p>
    <w:p w14:paraId="22418030">
      <w:pPr>
        <w:snapToGrid w:val="0"/>
        <w:spacing w:line="360" w:lineRule="auto"/>
        <w:ind w:right="480"/>
        <w:jc w:val="center"/>
        <w:rPr>
          <w:rFonts w:hint="eastAsia" w:ascii="仿宋" w:hAnsi="仿宋" w:eastAsia="仿宋" w:cs="仿宋"/>
          <w:b/>
          <w:color w:val="auto"/>
          <w:kern w:val="0"/>
          <w:sz w:val="32"/>
          <w:szCs w:val="32"/>
          <w:highlight w:val="none"/>
        </w:rPr>
      </w:pPr>
    </w:p>
    <w:p w14:paraId="45DF7C37">
      <w:pPr>
        <w:snapToGrid w:val="0"/>
        <w:spacing w:line="360" w:lineRule="auto"/>
        <w:ind w:right="480"/>
        <w:jc w:val="center"/>
        <w:rPr>
          <w:rFonts w:hint="eastAsia" w:ascii="仿宋" w:hAnsi="仿宋" w:eastAsia="仿宋" w:cs="仿宋"/>
          <w:b/>
          <w:color w:val="auto"/>
          <w:kern w:val="0"/>
          <w:sz w:val="32"/>
          <w:szCs w:val="32"/>
          <w:highlight w:val="none"/>
        </w:rPr>
      </w:pPr>
    </w:p>
    <w:p w14:paraId="29AD2E76">
      <w:pPr>
        <w:snapToGrid w:val="0"/>
        <w:spacing w:line="360" w:lineRule="auto"/>
        <w:ind w:right="480"/>
        <w:jc w:val="center"/>
        <w:rPr>
          <w:rFonts w:hint="eastAsia" w:ascii="仿宋" w:hAnsi="仿宋" w:eastAsia="仿宋" w:cs="仿宋"/>
          <w:b/>
          <w:color w:val="auto"/>
          <w:kern w:val="0"/>
          <w:sz w:val="32"/>
          <w:szCs w:val="32"/>
          <w:highlight w:val="none"/>
        </w:rPr>
      </w:pPr>
    </w:p>
    <w:p w14:paraId="73DC2E98">
      <w:pPr>
        <w:snapToGrid w:val="0"/>
        <w:spacing w:line="360" w:lineRule="auto"/>
        <w:ind w:right="480"/>
        <w:jc w:val="center"/>
        <w:rPr>
          <w:rFonts w:hint="eastAsia" w:ascii="仿宋" w:hAnsi="仿宋" w:eastAsia="仿宋" w:cs="仿宋"/>
          <w:b/>
          <w:color w:val="auto"/>
          <w:kern w:val="0"/>
          <w:sz w:val="32"/>
          <w:szCs w:val="32"/>
          <w:highlight w:val="none"/>
        </w:rPr>
      </w:pPr>
    </w:p>
    <w:p w14:paraId="60F4733B">
      <w:pPr>
        <w:snapToGrid w:val="0"/>
        <w:spacing w:line="360" w:lineRule="auto"/>
        <w:ind w:right="480"/>
        <w:jc w:val="center"/>
        <w:rPr>
          <w:rFonts w:hint="eastAsia" w:ascii="仿宋" w:hAnsi="仿宋" w:eastAsia="仿宋" w:cs="仿宋"/>
          <w:b/>
          <w:color w:val="auto"/>
          <w:kern w:val="0"/>
          <w:sz w:val="32"/>
          <w:szCs w:val="32"/>
          <w:highlight w:val="none"/>
        </w:rPr>
      </w:pPr>
    </w:p>
    <w:p w14:paraId="1CF57B92">
      <w:pPr>
        <w:snapToGrid w:val="0"/>
        <w:spacing w:line="360" w:lineRule="auto"/>
        <w:ind w:right="480"/>
        <w:jc w:val="center"/>
        <w:rPr>
          <w:rFonts w:hint="eastAsia" w:ascii="仿宋" w:hAnsi="仿宋" w:eastAsia="仿宋" w:cs="仿宋"/>
          <w:b/>
          <w:color w:val="auto"/>
          <w:kern w:val="0"/>
          <w:sz w:val="32"/>
          <w:szCs w:val="32"/>
          <w:highlight w:val="none"/>
        </w:rPr>
      </w:pPr>
    </w:p>
    <w:p w14:paraId="1092616A">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7" w:type="first"/>
          <w:footerReference r:id="rId19" w:type="first"/>
          <w:headerReference r:id="rId16" w:type="default"/>
          <w:footerReference r:id="rId18" w:type="default"/>
          <w:pgSz w:w="11906" w:h="16838"/>
          <w:pgMar w:top="1417" w:right="1417" w:bottom="1417" w:left="1701" w:header="1134" w:footer="850" w:gutter="0"/>
          <w:cols w:space="0" w:num="1"/>
          <w:titlePg/>
          <w:docGrid w:linePitch="312" w:charSpace="0"/>
        </w:sectPr>
      </w:pPr>
    </w:p>
    <w:p w14:paraId="5AAFDD06">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27BF0DE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6784AE14">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681735B1">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54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990"/>
        <w:gridCol w:w="2267"/>
        <w:gridCol w:w="2416"/>
        <w:gridCol w:w="2267"/>
        <w:gridCol w:w="2125"/>
        <w:gridCol w:w="2125"/>
        <w:gridCol w:w="2128"/>
      </w:tblGrid>
      <w:tr w14:paraId="52EE1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269" w:type="pct"/>
            <w:vAlign w:val="center"/>
          </w:tcPr>
          <w:p w14:paraId="5D73ADE0">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327" w:type="pct"/>
            <w:vAlign w:val="center"/>
          </w:tcPr>
          <w:p w14:paraId="39E25DC4">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749" w:type="pct"/>
            <w:vAlign w:val="center"/>
          </w:tcPr>
          <w:p w14:paraId="3C33F78E">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796" w:type="pct"/>
            <w:vAlign w:val="center"/>
          </w:tcPr>
          <w:p w14:paraId="30ACC3C6">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749" w:type="pct"/>
            <w:vAlign w:val="center"/>
          </w:tcPr>
          <w:p w14:paraId="6EDF5DD1">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702" w:type="pct"/>
            <w:vAlign w:val="center"/>
          </w:tcPr>
          <w:p w14:paraId="0A1F016E">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702" w:type="pct"/>
            <w:vAlign w:val="center"/>
          </w:tcPr>
          <w:p w14:paraId="62869F04">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服务人数</w:t>
            </w:r>
          </w:p>
        </w:tc>
        <w:tc>
          <w:tcPr>
            <w:tcW w:w="702" w:type="pct"/>
            <w:vAlign w:val="center"/>
          </w:tcPr>
          <w:p w14:paraId="618F5649">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tc>
      </w:tr>
      <w:tr w14:paraId="0D173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69" w:type="pct"/>
            <w:vAlign w:val="center"/>
          </w:tcPr>
          <w:p w14:paraId="12C32C1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327" w:type="pct"/>
            <w:vAlign w:val="center"/>
          </w:tcPr>
          <w:p w14:paraId="647EA9A5">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749" w:type="pct"/>
            <w:vAlign w:val="center"/>
          </w:tcPr>
          <w:p w14:paraId="6A3F097D">
            <w:pPr>
              <w:snapToGrid w:val="0"/>
              <w:jc w:val="center"/>
              <w:rPr>
                <w:rFonts w:hint="eastAsia" w:ascii="仿宋" w:hAnsi="仿宋" w:eastAsia="仿宋" w:cs="仿宋"/>
                <w:color w:val="auto"/>
                <w:sz w:val="24"/>
                <w:highlight w:val="none"/>
              </w:rPr>
            </w:pPr>
          </w:p>
        </w:tc>
        <w:tc>
          <w:tcPr>
            <w:tcW w:w="796" w:type="pct"/>
            <w:vAlign w:val="center"/>
          </w:tcPr>
          <w:p w14:paraId="0F5BE57E">
            <w:pPr>
              <w:snapToGrid w:val="0"/>
              <w:jc w:val="center"/>
              <w:rPr>
                <w:rFonts w:hint="eastAsia" w:ascii="仿宋" w:hAnsi="仿宋" w:eastAsia="仿宋" w:cs="仿宋"/>
                <w:color w:val="auto"/>
                <w:sz w:val="24"/>
                <w:highlight w:val="none"/>
              </w:rPr>
            </w:pPr>
          </w:p>
        </w:tc>
        <w:tc>
          <w:tcPr>
            <w:tcW w:w="749" w:type="pct"/>
            <w:vAlign w:val="center"/>
          </w:tcPr>
          <w:p w14:paraId="537FC786">
            <w:pPr>
              <w:snapToGrid w:val="0"/>
              <w:jc w:val="center"/>
              <w:rPr>
                <w:rFonts w:hint="eastAsia" w:ascii="仿宋" w:hAnsi="仿宋" w:eastAsia="仿宋" w:cs="仿宋"/>
                <w:color w:val="auto"/>
                <w:sz w:val="24"/>
                <w:highlight w:val="none"/>
              </w:rPr>
            </w:pPr>
          </w:p>
        </w:tc>
        <w:tc>
          <w:tcPr>
            <w:tcW w:w="702" w:type="pct"/>
            <w:vAlign w:val="center"/>
          </w:tcPr>
          <w:p w14:paraId="681634B9">
            <w:pPr>
              <w:jc w:val="center"/>
              <w:rPr>
                <w:rFonts w:hint="eastAsia" w:ascii="仿宋" w:hAnsi="仿宋" w:eastAsia="仿宋" w:cs="仿宋"/>
                <w:color w:val="auto"/>
                <w:sz w:val="24"/>
                <w:highlight w:val="none"/>
              </w:rPr>
            </w:pPr>
          </w:p>
        </w:tc>
        <w:tc>
          <w:tcPr>
            <w:tcW w:w="702" w:type="pct"/>
            <w:vAlign w:val="center"/>
          </w:tcPr>
          <w:p w14:paraId="36F17D44">
            <w:pPr>
              <w:jc w:val="center"/>
              <w:rPr>
                <w:rFonts w:hint="eastAsia" w:ascii="仿宋" w:hAnsi="仿宋" w:eastAsia="仿宋" w:cs="仿宋"/>
                <w:color w:val="auto"/>
                <w:sz w:val="24"/>
                <w:highlight w:val="none"/>
              </w:rPr>
            </w:pPr>
          </w:p>
        </w:tc>
        <w:tc>
          <w:tcPr>
            <w:tcW w:w="702" w:type="pct"/>
            <w:vAlign w:val="center"/>
          </w:tcPr>
          <w:p w14:paraId="695F6E4C">
            <w:pPr>
              <w:jc w:val="center"/>
              <w:rPr>
                <w:rFonts w:hint="eastAsia" w:ascii="仿宋" w:hAnsi="仿宋" w:eastAsia="仿宋" w:cs="仿宋"/>
                <w:color w:val="auto"/>
                <w:sz w:val="24"/>
                <w:highlight w:val="none"/>
              </w:rPr>
            </w:pPr>
          </w:p>
        </w:tc>
      </w:tr>
      <w:tr w14:paraId="6EF72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69" w:type="pct"/>
            <w:vAlign w:val="center"/>
          </w:tcPr>
          <w:p w14:paraId="4E87EFA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327" w:type="pct"/>
            <w:vAlign w:val="center"/>
          </w:tcPr>
          <w:p w14:paraId="5002271F">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749" w:type="pct"/>
            <w:vAlign w:val="center"/>
          </w:tcPr>
          <w:p w14:paraId="7DA3AC58">
            <w:pPr>
              <w:snapToGrid w:val="0"/>
              <w:jc w:val="center"/>
              <w:rPr>
                <w:rFonts w:hint="eastAsia" w:ascii="仿宋" w:hAnsi="仿宋" w:eastAsia="仿宋" w:cs="仿宋"/>
                <w:color w:val="auto"/>
                <w:sz w:val="24"/>
                <w:highlight w:val="none"/>
              </w:rPr>
            </w:pPr>
          </w:p>
        </w:tc>
        <w:tc>
          <w:tcPr>
            <w:tcW w:w="796" w:type="pct"/>
            <w:vAlign w:val="center"/>
          </w:tcPr>
          <w:p w14:paraId="0B17B53E">
            <w:pPr>
              <w:snapToGrid w:val="0"/>
              <w:jc w:val="center"/>
              <w:rPr>
                <w:rFonts w:hint="eastAsia" w:ascii="仿宋" w:hAnsi="仿宋" w:eastAsia="仿宋" w:cs="仿宋"/>
                <w:color w:val="auto"/>
                <w:sz w:val="24"/>
                <w:highlight w:val="none"/>
              </w:rPr>
            </w:pPr>
          </w:p>
        </w:tc>
        <w:tc>
          <w:tcPr>
            <w:tcW w:w="749" w:type="pct"/>
            <w:vAlign w:val="center"/>
          </w:tcPr>
          <w:p w14:paraId="2790B602">
            <w:pPr>
              <w:snapToGrid w:val="0"/>
              <w:jc w:val="center"/>
              <w:rPr>
                <w:rFonts w:hint="eastAsia" w:ascii="仿宋" w:hAnsi="仿宋" w:eastAsia="仿宋" w:cs="仿宋"/>
                <w:color w:val="auto"/>
                <w:sz w:val="24"/>
                <w:highlight w:val="none"/>
              </w:rPr>
            </w:pPr>
          </w:p>
        </w:tc>
        <w:tc>
          <w:tcPr>
            <w:tcW w:w="702" w:type="pct"/>
            <w:vAlign w:val="center"/>
          </w:tcPr>
          <w:p w14:paraId="75A34430">
            <w:pPr>
              <w:jc w:val="center"/>
              <w:rPr>
                <w:rFonts w:hint="eastAsia" w:ascii="仿宋" w:hAnsi="仿宋" w:eastAsia="仿宋" w:cs="仿宋"/>
                <w:color w:val="auto"/>
                <w:sz w:val="24"/>
                <w:highlight w:val="none"/>
              </w:rPr>
            </w:pPr>
          </w:p>
        </w:tc>
        <w:tc>
          <w:tcPr>
            <w:tcW w:w="702" w:type="pct"/>
            <w:vAlign w:val="center"/>
          </w:tcPr>
          <w:p w14:paraId="137BE0FF">
            <w:pPr>
              <w:jc w:val="center"/>
              <w:rPr>
                <w:rFonts w:hint="eastAsia" w:ascii="仿宋" w:hAnsi="仿宋" w:eastAsia="仿宋" w:cs="仿宋"/>
                <w:color w:val="auto"/>
                <w:sz w:val="24"/>
                <w:highlight w:val="none"/>
              </w:rPr>
            </w:pPr>
          </w:p>
        </w:tc>
        <w:tc>
          <w:tcPr>
            <w:tcW w:w="702" w:type="pct"/>
            <w:vAlign w:val="center"/>
          </w:tcPr>
          <w:p w14:paraId="12735E59">
            <w:pPr>
              <w:jc w:val="center"/>
              <w:rPr>
                <w:rFonts w:hint="eastAsia" w:ascii="仿宋" w:hAnsi="仿宋" w:eastAsia="仿宋" w:cs="仿宋"/>
                <w:color w:val="auto"/>
                <w:sz w:val="24"/>
                <w:highlight w:val="none"/>
              </w:rPr>
            </w:pPr>
          </w:p>
        </w:tc>
      </w:tr>
      <w:tr w14:paraId="3CB5C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69" w:type="pct"/>
            <w:vAlign w:val="center"/>
          </w:tcPr>
          <w:p w14:paraId="1AF7D52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327" w:type="pct"/>
            <w:vAlign w:val="center"/>
          </w:tcPr>
          <w:p w14:paraId="30B7ECFD">
            <w:pPr>
              <w:snapToGrid w:val="0"/>
              <w:jc w:val="center"/>
              <w:rPr>
                <w:rFonts w:hint="eastAsia" w:ascii="仿宋" w:hAnsi="仿宋" w:eastAsia="仿宋" w:cs="仿宋"/>
                <w:color w:val="auto"/>
                <w:sz w:val="24"/>
                <w:highlight w:val="none"/>
              </w:rPr>
            </w:pPr>
          </w:p>
        </w:tc>
        <w:tc>
          <w:tcPr>
            <w:tcW w:w="749" w:type="pct"/>
            <w:vAlign w:val="center"/>
          </w:tcPr>
          <w:p w14:paraId="1B0B80E0">
            <w:pPr>
              <w:snapToGrid w:val="0"/>
              <w:jc w:val="center"/>
              <w:rPr>
                <w:rFonts w:hint="eastAsia" w:ascii="仿宋" w:hAnsi="仿宋" w:eastAsia="仿宋" w:cs="仿宋"/>
                <w:color w:val="auto"/>
                <w:sz w:val="24"/>
                <w:highlight w:val="none"/>
              </w:rPr>
            </w:pPr>
          </w:p>
        </w:tc>
        <w:tc>
          <w:tcPr>
            <w:tcW w:w="796" w:type="pct"/>
            <w:vAlign w:val="center"/>
          </w:tcPr>
          <w:p w14:paraId="235BD87C">
            <w:pPr>
              <w:snapToGrid w:val="0"/>
              <w:jc w:val="center"/>
              <w:rPr>
                <w:rFonts w:hint="eastAsia" w:ascii="仿宋" w:hAnsi="仿宋" w:eastAsia="仿宋" w:cs="仿宋"/>
                <w:color w:val="auto"/>
                <w:sz w:val="24"/>
                <w:highlight w:val="none"/>
              </w:rPr>
            </w:pPr>
          </w:p>
        </w:tc>
        <w:tc>
          <w:tcPr>
            <w:tcW w:w="749" w:type="pct"/>
            <w:vAlign w:val="center"/>
          </w:tcPr>
          <w:p w14:paraId="158CCEFD">
            <w:pPr>
              <w:snapToGrid w:val="0"/>
              <w:jc w:val="center"/>
              <w:rPr>
                <w:rFonts w:hint="eastAsia" w:ascii="仿宋" w:hAnsi="仿宋" w:eastAsia="仿宋" w:cs="仿宋"/>
                <w:color w:val="auto"/>
                <w:sz w:val="24"/>
                <w:highlight w:val="none"/>
              </w:rPr>
            </w:pPr>
          </w:p>
        </w:tc>
        <w:tc>
          <w:tcPr>
            <w:tcW w:w="702" w:type="pct"/>
            <w:vAlign w:val="center"/>
          </w:tcPr>
          <w:p w14:paraId="55ED6D64">
            <w:pPr>
              <w:jc w:val="center"/>
              <w:rPr>
                <w:rFonts w:hint="eastAsia" w:ascii="仿宋" w:hAnsi="仿宋" w:eastAsia="仿宋" w:cs="仿宋"/>
                <w:color w:val="auto"/>
                <w:sz w:val="24"/>
                <w:highlight w:val="none"/>
              </w:rPr>
            </w:pPr>
          </w:p>
        </w:tc>
        <w:tc>
          <w:tcPr>
            <w:tcW w:w="702" w:type="pct"/>
            <w:vAlign w:val="center"/>
          </w:tcPr>
          <w:p w14:paraId="108A78FC">
            <w:pPr>
              <w:jc w:val="center"/>
              <w:rPr>
                <w:rFonts w:hint="eastAsia" w:ascii="仿宋" w:hAnsi="仿宋" w:eastAsia="仿宋" w:cs="仿宋"/>
                <w:color w:val="auto"/>
                <w:sz w:val="24"/>
                <w:highlight w:val="none"/>
              </w:rPr>
            </w:pPr>
          </w:p>
        </w:tc>
        <w:tc>
          <w:tcPr>
            <w:tcW w:w="702" w:type="pct"/>
            <w:vAlign w:val="center"/>
          </w:tcPr>
          <w:p w14:paraId="2B50255A">
            <w:pPr>
              <w:jc w:val="center"/>
              <w:rPr>
                <w:rFonts w:hint="eastAsia" w:ascii="仿宋" w:hAnsi="仿宋" w:eastAsia="仿宋" w:cs="仿宋"/>
                <w:color w:val="auto"/>
                <w:sz w:val="24"/>
                <w:highlight w:val="none"/>
              </w:rPr>
            </w:pPr>
          </w:p>
        </w:tc>
      </w:tr>
      <w:tr w14:paraId="5DB6B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143" w:type="pct"/>
            <w:gridSpan w:val="4"/>
            <w:vAlign w:val="center"/>
          </w:tcPr>
          <w:p w14:paraId="24390A01">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2856" w:type="pct"/>
            <w:gridSpan w:val="4"/>
            <w:vAlign w:val="center"/>
          </w:tcPr>
          <w:p w14:paraId="3B419324">
            <w:pPr>
              <w:jc w:val="center"/>
              <w:rPr>
                <w:rFonts w:hint="eastAsia" w:ascii="仿宋" w:hAnsi="仿宋" w:eastAsia="仿宋" w:cs="仿宋"/>
                <w:color w:val="auto"/>
                <w:sz w:val="24"/>
                <w:highlight w:val="none"/>
              </w:rPr>
            </w:pPr>
          </w:p>
        </w:tc>
      </w:tr>
      <w:tr w14:paraId="75638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2143" w:type="pct"/>
            <w:gridSpan w:val="4"/>
            <w:vAlign w:val="center"/>
          </w:tcPr>
          <w:p w14:paraId="44A027AE">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2856" w:type="pct"/>
            <w:gridSpan w:val="4"/>
            <w:vAlign w:val="center"/>
          </w:tcPr>
          <w:p w14:paraId="4F1F0DDC">
            <w:pPr>
              <w:jc w:val="center"/>
              <w:rPr>
                <w:rFonts w:hint="eastAsia" w:ascii="仿宋" w:hAnsi="仿宋" w:eastAsia="仿宋" w:cs="仿宋"/>
                <w:color w:val="auto"/>
                <w:sz w:val="24"/>
                <w:highlight w:val="none"/>
              </w:rPr>
            </w:pPr>
          </w:p>
        </w:tc>
      </w:tr>
    </w:tbl>
    <w:p w14:paraId="074AC6F4">
      <w:pPr>
        <w:snapToGrid w:val="0"/>
        <w:spacing w:line="360" w:lineRule="auto"/>
        <w:ind w:left="480"/>
        <w:rPr>
          <w:rFonts w:hint="eastAsia" w:ascii="仿宋" w:hAnsi="仿宋" w:eastAsia="仿宋" w:cs="仿宋"/>
          <w:b/>
          <w:color w:val="auto"/>
          <w:kern w:val="0"/>
          <w:sz w:val="22"/>
          <w:szCs w:val="22"/>
          <w:highlight w:val="none"/>
          <w:lang w:val="zh-CN"/>
        </w:rPr>
      </w:pPr>
      <w:r>
        <w:rPr>
          <w:rFonts w:hint="eastAsia" w:ascii="仿宋" w:hAnsi="仿宋" w:eastAsia="仿宋" w:cs="仿宋"/>
          <w:b/>
          <w:color w:val="auto"/>
          <w:kern w:val="0"/>
          <w:sz w:val="22"/>
          <w:szCs w:val="22"/>
          <w:highlight w:val="none"/>
          <w:lang w:val="zh-CN"/>
        </w:rPr>
        <w:t>注：</w:t>
      </w:r>
    </w:p>
    <w:p w14:paraId="5ABF405A">
      <w:pPr>
        <w:spacing w:line="360" w:lineRule="auto"/>
        <w:ind w:left="-2" w:leftChars="-1" w:firstLine="440" w:firstLineChars="200"/>
        <w:rPr>
          <w:rFonts w:hint="eastAsia" w:ascii="仿宋" w:hAnsi="仿宋" w:eastAsia="仿宋" w:cs="仿宋"/>
          <w:color w:val="auto"/>
          <w:kern w:val="0"/>
          <w:sz w:val="22"/>
          <w:szCs w:val="22"/>
          <w:highlight w:val="none"/>
          <w:lang w:val="zh-CN"/>
        </w:rPr>
      </w:pPr>
      <w:r>
        <w:rPr>
          <w:rFonts w:hint="eastAsia" w:ascii="仿宋" w:hAnsi="仿宋" w:eastAsia="仿宋" w:cs="仿宋"/>
          <w:color w:val="auto"/>
          <w:kern w:val="0"/>
          <w:sz w:val="22"/>
          <w:szCs w:val="22"/>
          <w:highlight w:val="none"/>
          <w:lang w:val="zh-CN"/>
        </w:rPr>
        <w:t>1、投标人需按本表格式填写</w:t>
      </w:r>
      <w:r>
        <w:rPr>
          <w:rFonts w:hint="eastAsia" w:ascii="仿宋" w:hAnsi="仿宋" w:eastAsia="仿宋" w:cs="仿宋"/>
          <w:b/>
          <w:color w:val="auto"/>
          <w:kern w:val="0"/>
          <w:sz w:val="22"/>
          <w:szCs w:val="22"/>
          <w:highlight w:val="none"/>
          <w:lang w:val="zh-CN"/>
        </w:rPr>
        <w:t>，</w:t>
      </w:r>
      <w:r>
        <w:rPr>
          <w:rFonts w:hint="eastAsia" w:ascii="仿宋" w:hAnsi="仿宋" w:eastAsia="仿宋" w:cs="仿宋"/>
          <w:b/>
          <w:color w:val="auto"/>
          <w:kern w:val="0"/>
          <w:sz w:val="22"/>
          <w:szCs w:val="22"/>
          <w:highlight w:val="none"/>
        </w:rPr>
        <w:t>否则视为</w:t>
      </w:r>
      <w:r>
        <w:rPr>
          <w:rFonts w:hint="eastAsia" w:ascii="仿宋" w:hAnsi="仿宋" w:eastAsia="仿宋" w:cs="仿宋"/>
          <w:b/>
          <w:color w:val="auto"/>
          <w:sz w:val="22"/>
          <w:szCs w:val="22"/>
          <w:highlight w:val="none"/>
        </w:rPr>
        <w:t>投标文件含有采购人不能接受的附加条件，投标无效</w:t>
      </w:r>
      <w:r>
        <w:rPr>
          <w:rFonts w:hint="eastAsia" w:ascii="仿宋" w:hAnsi="仿宋" w:eastAsia="仿宋" w:cs="仿宋"/>
          <w:b/>
          <w:color w:val="auto"/>
          <w:kern w:val="0"/>
          <w:sz w:val="22"/>
          <w:szCs w:val="22"/>
          <w:highlight w:val="none"/>
          <w:lang w:val="zh-CN"/>
        </w:rPr>
        <w:t>；</w:t>
      </w:r>
      <w:r>
        <w:rPr>
          <w:rFonts w:hint="eastAsia" w:ascii="仿宋" w:hAnsi="仿宋" w:eastAsia="仿宋" w:cs="仿宋"/>
          <w:color w:val="auto"/>
          <w:kern w:val="0"/>
          <w:sz w:val="22"/>
          <w:szCs w:val="22"/>
          <w:highlight w:val="none"/>
          <w:lang w:val="zh-CN"/>
        </w:rPr>
        <w:t>。</w:t>
      </w:r>
    </w:p>
    <w:p w14:paraId="7614A1FF">
      <w:pPr>
        <w:spacing w:line="360" w:lineRule="auto"/>
        <w:ind w:firstLine="440" w:firstLineChars="200"/>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lang w:val="zh-CN"/>
        </w:rPr>
        <w:t>2、有关本项目实施所涉及的一切费用均计入报价。</w:t>
      </w:r>
      <w:r>
        <w:rPr>
          <w:rFonts w:hint="eastAsia" w:ascii="仿宋" w:hAnsi="仿宋" w:eastAsia="仿宋" w:cs="仿宋"/>
          <w:color w:val="auto"/>
          <w:kern w:val="0"/>
          <w:sz w:val="22"/>
          <w:szCs w:val="22"/>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仿宋" w:hAnsi="仿宋" w:eastAsia="仿宋" w:cs="仿宋"/>
          <w:b/>
          <w:color w:val="auto"/>
          <w:kern w:val="0"/>
          <w:sz w:val="22"/>
          <w:szCs w:val="22"/>
          <w:highlight w:val="none"/>
          <w:lang w:val="zh-CN"/>
        </w:rPr>
        <w:t>采购内容未包含在《开标一览表（报价表）》名称栏中，投标人不能作出合理解释的，</w:t>
      </w:r>
      <w:r>
        <w:rPr>
          <w:rFonts w:hint="eastAsia" w:ascii="仿宋" w:hAnsi="仿宋" w:eastAsia="仿宋" w:cs="仿宋"/>
          <w:b/>
          <w:color w:val="auto"/>
          <w:kern w:val="0"/>
          <w:sz w:val="22"/>
          <w:szCs w:val="22"/>
          <w:highlight w:val="none"/>
        </w:rPr>
        <w:t>视为</w:t>
      </w:r>
      <w:r>
        <w:rPr>
          <w:rFonts w:hint="eastAsia" w:ascii="仿宋" w:hAnsi="仿宋" w:eastAsia="仿宋" w:cs="仿宋"/>
          <w:b/>
          <w:color w:val="auto"/>
          <w:sz w:val="22"/>
          <w:szCs w:val="22"/>
          <w:highlight w:val="none"/>
        </w:rPr>
        <w:t>投标文件含有采购人不能接受的附加条件的，投标无效。</w:t>
      </w:r>
    </w:p>
    <w:p w14:paraId="1097A3A8">
      <w:pPr>
        <w:snapToGrid w:val="0"/>
        <w:spacing w:line="360" w:lineRule="auto"/>
        <w:ind w:firstLine="4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kern w:val="0"/>
          <w:sz w:val="22"/>
          <w:szCs w:val="22"/>
          <w:highlight w:val="none"/>
          <w:lang w:val="zh-CN"/>
        </w:rPr>
        <w:t>3、特别提示：采购代理机构将对项目名称和项目编号，中标供应商名称、地址和中标金额，主要中标标的名称、服务范围、服务要求、服务时间、服务标准等予以公示。</w:t>
      </w:r>
    </w:p>
    <w:p w14:paraId="246E2CCA">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38" w:h="11906" w:orient="landscape"/>
          <w:pgMar w:top="1417" w:right="1417" w:bottom="1417" w:left="1701" w:header="851" w:footer="992" w:gutter="0"/>
          <w:cols w:space="0" w:num="1"/>
          <w:titlePg/>
          <w:docGrid w:linePitch="312" w:charSpace="0"/>
        </w:sectPr>
      </w:pPr>
    </w:p>
    <w:p w14:paraId="31B9032C">
      <w:pPr>
        <w:pStyle w:val="693"/>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中小企业声明函（如果有）</w:t>
      </w:r>
    </w:p>
    <w:p w14:paraId="21BB74E5">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2F803ABA">
      <w:pPr>
        <w:pStyle w:val="79"/>
        <w:ind w:firstLine="482"/>
        <w:rPr>
          <w:rFonts w:hint="eastAsia" w:ascii="仿宋" w:hAnsi="仿宋" w:eastAsia="仿宋" w:cs="仿宋"/>
          <w:b/>
          <w:color w:val="auto"/>
          <w:sz w:val="24"/>
          <w:highlight w:val="none"/>
        </w:rPr>
      </w:pPr>
    </w:p>
    <w:p w14:paraId="6559BAA0">
      <w:pPr>
        <w:pStyle w:val="79"/>
        <w:ind w:firstLine="482"/>
        <w:rPr>
          <w:rFonts w:hint="eastAsia" w:ascii="仿宋" w:hAnsi="仿宋" w:eastAsia="仿宋" w:cs="仿宋"/>
          <w:b/>
          <w:color w:val="auto"/>
          <w:sz w:val="24"/>
          <w:highlight w:val="none"/>
        </w:rPr>
      </w:pPr>
    </w:p>
    <w:p w14:paraId="3E5969C9">
      <w:pPr>
        <w:pStyle w:val="693"/>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14:paraId="073C1FCF">
      <w:pPr>
        <w:spacing w:line="360" w:lineRule="auto"/>
        <w:ind w:right="420" w:firstLine="3614" w:firstLineChars="1000"/>
        <w:rPr>
          <w:rFonts w:hint="eastAsia" w:ascii="仿宋" w:hAnsi="仿宋" w:eastAsia="仿宋" w:cs="仿宋"/>
          <w:b/>
          <w:color w:val="auto"/>
          <w:kern w:val="0"/>
          <w:sz w:val="36"/>
          <w:szCs w:val="36"/>
          <w:highlight w:val="none"/>
        </w:rPr>
      </w:pPr>
    </w:p>
    <w:p w14:paraId="289D0F3C">
      <w:pPr>
        <w:spacing w:line="360" w:lineRule="auto"/>
        <w:ind w:right="420" w:firstLine="3614" w:firstLineChars="1000"/>
        <w:rPr>
          <w:rFonts w:hint="eastAsia" w:ascii="仿宋" w:hAnsi="仿宋" w:eastAsia="仿宋" w:cs="仿宋"/>
          <w:b/>
          <w:color w:val="auto"/>
          <w:kern w:val="0"/>
          <w:sz w:val="36"/>
          <w:szCs w:val="36"/>
          <w:highlight w:val="none"/>
        </w:rPr>
      </w:pPr>
    </w:p>
    <w:p w14:paraId="2C5E2BC4">
      <w:pPr>
        <w:spacing w:line="360" w:lineRule="auto"/>
        <w:ind w:right="420" w:firstLine="3614" w:firstLineChars="1000"/>
        <w:rPr>
          <w:rFonts w:hint="eastAsia" w:ascii="仿宋" w:hAnsi="仿宋" w:eastAsia="仿宋" w:cs="仿宋"/>
          <w:b/>
          <w:color w:val="auto"/>
          <w:kern w:val="0"/>
          <w:sz w:val="36"/>
          <w:szCs w:val="36"/>
          <w:highlight w:val="none"/>
        </w:rPr>
      </w:pPr>
    </w:p>
    <w:p w14:paraId="33C1D62C">
      <w:pPr>
        <w:spacing w:line="360" w:lineRule="auto"/>
        <w:ind w:right="420" w:firstLine="3614" w:firstLineChars="1000"/>
        <w:rPr>
          <w:rFonts w:hint="eastAsia" w:ascii="仿宋" w:hAnsi="仿宋" w:eastAsia="仿宋" w:cs="仿宋"/>
          <w:b/>
          <w:color w:val="auto"/>
          <w:kern w:val="0"/>
          <w:sz w:val="36"/>
          <w:szCs w:val="36"/>
          <w:highlight w:val="none"/>
        </w:rPr>
      </w:pPr>
    </w:p>
    <w:p w14:paraId="2E4212E7">
      <w:pPr>
        <w:spacing w:line="360" w:lineRule="auto"/>
        <w:ind w:right="420" w:firstLine="3614" w:firstLineChars="1000"/>
        <w:rPr>
          <w:rFonts w:hint="eastAsia" w:ascii="仿宋" w:hAnsi="仿宋" w:eastAsia="仿宋" w:cs="仿宋"/>
          <w:b/>
          <w:color w:val="auto"/>
          <w:kern w:val="0"/>
          <w:sz w:val="36"/>
          <w:szCs w:val="36"/>
          <w:highlight w:val="none"/>
        </w:rPr>
      </w:pPr>
    </w:p>
    <w:p w14:paraId="37DBF53F">
      <w:pPr>
        <w:spacing w:line="360" w:lineRule="auto"/>
        <w:ind w:right="420" w:firstLine="3614" w:firstLineChars="1000"/>
        <w:rPr>
          <w:rFonts w:hint="eastAsia" w:ascii="仿宋" w:hAnsi="仿宋" w:eastAsia="仿宋" w:cs="仿宋"/>
          <w:b/>
          <w:color w:val="auto"/>
          <w:kern w:val="0"/>
          <w:sz w:val="36"/>
          <w:szCs w:val="36"/>
          <w:highlight w:val="none"/>
        </w:rPr>
      </w:pPr>
    </w:p>
    <w:p w14:paraId="0C5C36C0">
      <w:pPr>
        <w:spacing w:line="360" w:lineRule="auto"/>
        <w:ind w:right="420" w:firstLine="3614" w:firstLineChars="1000"/>
        <w:rPr>
          <w:rFonts w:hint="eastAsia" w:ascii="仿宋" w:hAnsi="仿宋" w:eastAsia="仿宋" w:cs="仿宋"/>
          <w:b/>
          <w:color w:val="auto"/>
          <w:kern w:val="0"/>
          <w:sz w:val="36"/>
          <w:szCs w:val="36"/>
          <w:highlight w:val="none"/>
        </w:rPr>
      </w:pPr>
    </w:p>
    <w:p w14:paraId="48AD1474">
      <w:pPr>
        <w:spacing w:line="360" w:lineRule="auto"/>
        <w:ind w:right="420" w:firstLine="3614" w:firstLineChars="1000"/>
        <w:rPr>
          <w:rFonts w:hint="eastAsia" w:ascii="仿宋" w:hAnsi="仿宋" w:eastAsia="仿宋" w:cs="仿宋"/>
          <w:b/>
          <w:color w:val="auto"/>
          <w:kern w:val="0"/>
          <w:sz w:val="36"/>
          <w:szCs w:val="36"/>
          <w:highlight w:val="none"/>
        </w:rPr>
      </w:pPr>
    </w:p>
    <w:p w14:paraId="32F68287">
      <w:pPr>
        <w:spacing w:line="360" w:lineRule="auto"/>
        <w:ind w:right="420" w:firstLine="3614" w:firstLineChars="1000"/>
        <w:rPr>
          <w:rFonts w:hint="eastAsia" w:ascii="仿宋" w:hAnsi="仿宋" w:eastAsia="仿宋" w:cs="仿宋"/>
          <w:b/>
          <w:color w:val="auto"/>
          <w:kern w:val="0"/>
          <w:sz w:val="36"/>
          <w:szCs w:val="36"/>
          <w:highlight w:val="none"/>
        </w:rPr>
      </w:pPr>
    </w:p>
    <w:p w14:paraId="35FA4D76">
      <w:pPr>
        <w:spacing w:line="360" w:lineRule="auto"/>
        <w:ind w:right="420" w:firstLine="3614" w:firstLineChars="1000"/>
        <w:rPr>
          <w:rFonts w:hint="eastAsia" w:ascii="仿宋" w:hAnsi="仿宋" w:eastAsia="仿宋" w:cs="仿宋"/>
          <w:b/>
          <w:color w:val="auto"/>
          <w:kern w:val="0"/>
          <w:sz w:val="36"/>
          <w:szCs w:val="36"/>
          <w:highlight w:val="none"/>
        </w:rPr>
      </w:pPr>
    </w:p>
    <w:p w14:paraId="5E7A683B">
      <w:pPr>
        <w:spacing w:line="360" w:lineRule="auto"/>
        <w:ind w:right="420" w:firstLine="3614" w:firstLineChars="1000"/>
        <w:rPr>
          <w:rFonts w:hint="eastAsia" w:ascii="仿宋" w:hAnsi="仿宋" w:eastAsia="仿宋" w:cs="仿宋"/>
          <w:b/>
          <w:color w:val="auto"/>
          <w:kern w:val="0"/>
          <w:sz w:val="36"/>
          <w:szCs w:val="36"/>
          <w:highlight w:val="none"/>
        </w:rPr>
      </w:pPr>
    </w:p>
    <w:p w14:paraId="18FD7A66">
      <w:pPr>
        <w:spacing w:line="360" w:lineRule="auto"/>
        <w:ind w:right="420" w:firstLine="3614" w:firstLineChars="1000"/>
        <w:rPr>
          <w:rFonts w:hint="eastAsia" w:ascii="仿宋" w:hAnsi="仿宋" w:eastAsia="仿宋" w:cs="仿宋"/>
          <w:b/>
          <w:color w:val="auto"/>
          <w:kern w:val="0"/>
          <w:sz w:val="36"/>
          <w:szCs w:val="36"/>
          <w:highlight w:val="none"/>
        </w:rPr>
      </w:pPr>
    </w:p>
    <w:p w14:paraId="4F4D6229">
      <w:pPr>
        <w:pStyle w:val="2"/>
        <w:keepNext w:val="0"/>
        <w:keepLines w:val="0"/>
        <w:pageBreakBefore/>
        <w:widowControl/>
        <w:spacing w:before="100" w:beforeAutospacing="1" w:after="100" w:afterAutospacing="1" w:line="360" w:lineRule="auto"/>
        <w:ind w:left="0" w:firstLine="0"/>
        <w:jc w:val="center"/>
        <w:rPr>
          <w:rFonts w:hint="eastAsia" w:ascii="仿宋" w:hAnsi="仿宋" w:eastAsia="仿宋" w:cs="仿宋"/>
          <w:color w:val="auto"/>
          <w:highlight w:val="none"/>
        </w:rPr>
      </w:pPr>
      <w:r>
        <w:rPr>
          <w:rFonts w:hint="eastAsia" w:ascii="仿宋" w:hAnsi="仿宋" w:eastAsia="仿宋" w:cs="仿宋"/>
          <w:color w:val="auto"/>
          <w:highlight w:val="none"/>
        </w:rPr>
        <w:t>附件</w:t>
      </w:r>
    </w:p>
    <w:p w14:paraId="66BBA731">
      <w:pPr>
        <w:snapToGrid w:val="0"/>
        <w:spacing w:line="360" w:lineRule="auto"/>
        <w:jc w:val="center"/>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附件1：残疾人福利性单位声明函</w:t>
      </w:r>
    </w:p>
    <w:p w14:paraId="4809FD02">
      <w:pPr>
        <w:spacing w:line="360" w:lineRule="auto"/>
        <w:rPr>
          <w:rFonts w:hint="eastAsia" w:ascii="仿宋" w:hAnsi="仿宋" w:eastAsia="仿宋" w:cs="仿宋"/>
          <w:b/>
          <w:color w:val="auto"/>
          <w:spacing w:val="6"/>
          <w:sz w:val="30"/>
          <w:szCs w:val="30"/>
          <w:highlight w:val="none"/>
        </w:rPr>
      </w:pPr>
    </w:p>
    <w:p w14:paraId="423C196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单位的</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16A68E6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0EB20267">
      <w:pPr>
        <w:spacing w:line="360" w:lineRule="auto"/>
        <w:ind w:firstLine="480" w:firstLineChars="200"/>
        <w:rPr>
          <w:rFonts w:hint="eastAsia" w:ascii="仿宋" w:hAnsi="仿宋" w:eastAsia="仿宋" w:cs="仿宋"/>
          <w:color w:val="auto"/>
          <w:sz w:val="24"/>
          <w:highlight w:val="none"/>
        </w:rPr>
      </w:pPr>
    </w:p>
    <w:p w14:paraId="5E12DBFE">
      <w:pPr>
        <w:autoSpaceDE w:val="0"/>
        <w:autoSpaceDN w:val="0"/>
        <w:spacing w:line="360" w:lineRule="auto"/>
        <w:ind w:left="2" w:firstLine="3840" w:firstLineChars="16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投标人名称（电子签名）：</w:t>
      </w:r>
    </w:p>
    <w:p w14:paraId="148E906B">
      <w:pPr>
        <w:autoSpaceDE w:val="0"/>
        <w:autoSpaceDN w:val="0"/>
        <w:spacing w:line="360" w:lineRule="auto"/>
        <w:ind w:left="2" w:firstLine="3840" w:firstLineChars="1600"/>
        <w:rPr>
          <w:rFonts w:hint="eastAsia" w:ascii="仿宋" w:hAnsi="仿宋" w:eastAsia="仿宋" w:cs="仿宋"/>
          <w:color w:val="auto"/>
          <w:kern w:val="0"/>
          <w:sz w:val="24"/>
          <w:highlight w:val="none"/>
          <w:lang w:val="zh-CN"/>
        </w:rPr>
        <w:sectPr>
          <w:headerReference r:id="rId21" w:type="first"/>
          <w:footerReference r:id="rId23" w:type="first"/>
          <w:headerReference r:id="rId20" w:type="default"/>
          <w:footerReference r:id="rId22" w:type="default"/>
          <w:pgSz w:w="11906" w:h="16838"/>
          <w:pgMar w:top="1417" w:right="1417" w:bottom="1417" w:left="1701" w:header="1134" w:footer="850" w:gutter="0"/>
          <w:cols w:space="0" w:num="1"/>
          <w:titlePg/>
          <w:docGrid w:linePitch="312" w:charSpace="0"/>
        </w:sectPr>
      </w:pPr>
      <w:r>
        <w:rPr>
          <w:rFonts w:hint="eastAsia" w:ascii="仿宋" w:hAnsi="仿宋" w:eastAsia="仿宋" w:cs="仿宋"/>
          <w:color w:val="auto"/>
          <w:kern w:val="0"/>
          <w:sz w:val="24"/>
          <w:highlight w:val="none"/>
          <w:lang w:val="zh-CN"/>
        </w:rPr>
        <w:t>日  期：</w:t>
      </w:r>
    </w:p>
    <w:p w14:paraId="3C4716FD">
      <w:pPr>
        <w:snapToGrid w:val="0"/>
        <w:spacing w:line="360" w:lineRule="auto"/>
        <w:jc w:val="left"/>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附件2：质疑函范本及制作说明</w:t>
      </w:r>
    </w:p>
    <w:p w14:paraId="0E49B1A5">
      <w:pPr>
        <w:spacing w:line="360" w:lineRule="exact"/>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3C30B03A">
      <w:pPr>
        <w:snapToGrid w:val="0"/>
        <w:spacing w:before="240" w:beforeLines="100" w:line="36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32E57E22">
      <w:pPr>
        <w:snapToGrid w:val="0"/>
        <w:spacing w:line="360" w:lineRule="exact"/>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2924A8C2">
      <w:pPr>
        <w:snapToGrid w:val="0"/>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7E6ADC1C">
      <w:pPr>
        <w:snapToGrid w:val="0"/>
        <w:spacing w:line="360" w:lineRule="exact"/>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48B22DE">
      <w:pPr>
        <w:snapToGrid w:val="0"/>
        <w:spacing w:line="360" w:lineRule="exact"/>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48C592DD">
      <w:pPr>
        <w:snapToGrid w:val="0"/>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E9FF78F">
      <w:pPr>
        <w:snapToGrid w:val="0"/>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39E90988">
      <w:pPr>
        <w:snapToGrid w:val="0"/>
        <w:spacing w:line="36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3C1F856A">
      <w:pPr>
        <w:snapToGrid w:val="0"/>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204E19A3">
      <w:pPr>
        <w:snapToGrid w:val="0"/>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6F3A4BCB">
      <w:pPr>
        <w:snapToGrid w:val="0"/>
        <w:spacing w:line="360" w:lineRule="exact"/>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2A7A92D3">
      <w:pPr>
        <w:snapToGrid w:val="0"/>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3B5F67AB">
      <w:pPr>
        <w:snapToGrid w:val="0"/>
        <w:spacing w:line="36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5618DBBE">
      <w:pPr>
        <w:snapToGrid w:val="0"/>
        <w:spacing w:line="360" w:lineRule="exact"/>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12B2F2F3">
      <w:pPr>
        <w:snapToGrid w:val="0"/>
        <w:spacing w:line="360" w:lineRule="exact"/>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761F0F78">
      <w:pPr>
        <w:snapToGrid w:val="0"/>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20A15B78">
      <w:pPr>
        <w:snapToGrid w:val="0"/>
        <w:spacing w:line="360" w:lineRule="exact"/>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693EBB38">
      <w:pPr>
        <w:snapToGrid w:val="0"/>
        <w:spacing w:line="360" w:lineRule="exact"/>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26A14F21">
      <w:pPr>
        <w:snapToGrid w:val="0"/>
        <w:spacing w:line="360" w:lineRule="exact"/>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15655B2A">
      <w:pPr>
        <w:snapToGrid w:val="0"/>
        <w:spacing w:line="360" w:lineRule="exact"/>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w:t>
      </w:r>
    </w:p>
    <w:p w14:paraId="6C671A3F">
      <w:pPr>
        <w:snapToGrid w:val="0"/>
        <w:spacing w:line="36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4A66C15F">
      <w:pPr>
        <w:snapToGrid w:val="0"/>
        <w:spacing w:line="360" w:lineRule="exact"/>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6315354C">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3FAA9201">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0DB011B3">
      <w:pPr>
        <w:spacing w:line="36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36A3B1A1">
      <w:pPr>
        <w:widowControl/>
        <w:spacing w:line="3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40E250C5">
      <w:pPr>
        <w:widowControl/>
        <w:spacing w:line="3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454162E4">
      <w:pPr>
        <w:widowControl/>
        <w:spacing w:line="3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787BB00C">
      <w:pPr>
        <w:widowControl/>
        <w:spacing w:line="3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3C1DB9CA">
      <w:pPr>
        <w:widowControl/>
        <w:spacing w:line="3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5B6D56EB">
      <w:pPr>
        <w:widowControl/>
        <w:spacing w:line="3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0CAC5BBA">
      <w:pPr>
        <w:snapToGrid w:val="0"/>
        <w:spacing w:line="360" w:lineRule="auto"/>
        <w:jc w:val="left"/>
        <w:outlineLvl w:val="0"/>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rPr>
        <w:t>附件3：投诉书范本及制作说明</w:t>
      </w:r>
    </w:p>
    <w:p w14:paraId="4B47A6B1">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16D2B00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2BB7498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318C326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6A76975F">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6299FE50">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48BE24F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419E0D9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677D756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p>
    <w:p w14:paraId="530F1A0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0565B42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29BC94C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42A39B7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1990C90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p>
    <w:p w14:paraId="627DCBD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0F02DCD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7BDDF73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0D63040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2A9D653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7340DA6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1A08739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5146782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177BB73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0030DDC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6DB7D2A2">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4018806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70382EF">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2CC2BA2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456D48C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0C8D105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1AB8DFF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4174614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28C44E70">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0E01E54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79C565F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24E50BF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02090A2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FD6501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4BCB030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46402CB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2701188B">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701743B7">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478DBEA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23D84AE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3BBEAD9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1D16C86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0E141BD9">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347D1F49">
      <w:pPr>
        <w:autoSpaceDE w:val="0"/>
        <w:autoSpaceDN w:val="0"/>
        <w:jc w:val="center"/>
        <w:rPr>
          <w:rFonts w:hint="eastAsia" w:ascii="仿宋" w:hAnsi="仿宋" w:eastAsia="仿宋" w:cs="仿宋"/>
          <w:b/>
          <w:color w:val="auto"/>
          <w:spacing w:val="6"/>
          <w:sz w:val="32"/>
          <w:szCs w:val="32"/>
          <w:highlight w:val="none"/>
        </w:rPr>
        <w:sectPr>
          <w:pgSz w:w="11906" w:h="16838"/>
          <w:pgMar w:top="1417" w:right="1417" w:bottom="1417" w:left="1701" w:header="1134" w:footer="850" w:gutter="0"/>
          <w:cols w:space="0" w:num="1"/>
          <w:titlePg/>
          <w:docGrid w:linePitch="312" w:charSpace="0"/>
        </w:sectPr>
      </w:pPr>
    </w:p>
    <w:p w14:paraId="3F2609FD">
      <w:pPr>
        <w:snapToGrid w:val="0"/>
        <w:spacing w:line="360" w:lineRule="auto"/>
        <w:jc w:val="left"/>
        <w:outlineLvl w:val="0"/>
        <w:rPr>
          <w:rFonts w:hint="eastAsia" w:ascii="仿宋" w:hAnsi="仿宋" w:eastAsia="仿宋" w:cs="仿宋"/>
          <w:color w:val="auto"/>
          <w:sz w:val="24"/>
          <w:highlight w:val="none"/>
          <w:u w:val="single"/>
        </w:rPr>
      </w:pPr>
      <w:r>
        <w:rPr>
          <w:rFonts w:hint="eastAsia" w:ascii="仿宋" w:hAnsi="仿宋" w:eastAsia="仿宋" w:cs="仿宋"/>
          <w:b/>
          <w:color w:val="auto"/>
          <w:kern w:val="0"/>
          <w:sz w:val="32"/>
          <w:szCs w:val="32"/>
          <w:highlight w:val="none"/>
        </w:rPr>
        <w:t>附件4：业务专用章使用说明函</w:t>
      </w:r>
    </w:p>
    <w:p w14:paraId="3159F9E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63D5590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0AC5454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4CFF5F34">
      <w:pPr>
        <w:spacing w:line="360" w:lineRule="auto"/>
        <w:ind w:firstLine="494"/>
        <w:rPr>
          <w:rFonts w:hint="eastAsia" w:ascii="仿宋" w:hAnsi="仿宋" w:eastAsia="仿宋" w:cs="仿宋"/>
          <w:color w:val="auto"/>
          <w:sz w:val="24"/>
          <w:highlight w:val="none"/>
        </w:rPr>
      </w:pPr>
    </w:p>
    <w:p w14:paraId="7BF42062">
      <w:pPr>
        <w:spacing w:line="360" w:lineRule="auto"/>
        <w:ind w:firstLine="494"/>
        <w:rPr>
          <w:rFonts w:hint="eastAsia" w:ascii="仿宋" w:hAnsi="仿宋" w:eastAsia="仿宋" w:cs="仿宋"/>
          <w:color w:val="auto"/>
          <w:sz w:val="24"/>
          <w:highlight w:val="none"/>
        </w:rPr>
      </w:pPr>
    </w:p>
    <w:p w14:paraId="5F8B4F47">
      <w:pPr>
        <w:spacing w:line="360" w:lineRule="auto"/>
        <w:ind w:firstLine="494"/>
        <w:rPr>
          <w:rFonts w:hint="eastAsia" w:ascii="仿宋" w:hAnsi="仿宋" w:eastAsia="仿宋" w:cs="仿宋"/>
          <w:color w:val="auto"/>
          <w:sz w:val="24"/>
          <w:highlight w:val="none"/>
        </w:rPr>
      </w:pPr>
    </w:p>
    <w:p w14:paraId="7E6D4469">
      <w:pPr>
        <w:spacing w:line="360" w:lineRule="auto"/>
        <w:ind w:firstLine="494"/>
        <w:rPr>
          <w:rFonts w:hint="eastAsia" w:ascii="仿宋" w:hAnsi="仿宋" w:eastAsia="仿宋" w:cs="仿宋"/>
          <w:color w:val="auto"/>
          <w:sz w:val="24"/>
          <w:highlight w:val="none"/>
        </w:rPr>
      </w:pPr>
    </w:p>
    <w:p w14:paraId="40E66662">
      <w:pPr>
        <w:autoSpaceDE w:val="0"/>
        <w:autoSpaceDN w:val="0"/>
        <w:spacing w:line="360" w:lineRule="auto"/>
        <w:ind w:left="2" w:firstLine="3840" w:firstLineChars="16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投标单位（法定名称章）：</w:t>
      </w:r>
    </w:p>
    <w:p w14:paraId="61F2895A">
      <w:pPr>
        <w:autoSpaceDE w:val="0"/>
        <w:autoSpaceDN w:val="0"/>
        <w:spacing w:line="360" w:lineRule="auto"/>
        <w:ind w:left="2" w:firstLine="3840" w:firstLineChars="16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308C340A">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0DB51E28">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785292AF">
      <w:pPr>
        <w:autoSpaceDE w:val="0"/>
        <w:autoSpaceDN w:val="0"/>
        <w:jc w:val="center"/>
        <w:rPr>
          <w:rFonts w:hint="eastAsia" w:ascii="仿宋" w:hAnsi="仿宋" w:eastAsia="仿宋" w:cs="仿宋"/>
          <w:b/>
          <w:color w:val="auto"/>
          <w:spacing w:val="6"/>
          <w:sz w:val="32"/>
          <w:szCs w:val="32"/>
          <w:highlight w:val="none"/>
        </w:rPr>
      </w:pPr>
    </w:p>
    <w:p w14:paraId="12D23F95">
      <w:pPr>
        <w:autoSpaceDE w:val="0"/>
        <w:autoSpaceDN w:val="0"/>
        <w:jc w:val="center"/>
        <w:rPr>
          <w:rFonts w:hint="eastAsia" w:ascii="仿宋" w:hAnsi="仿宋" w:eastAsia="仿宋" w:cs="仿宋"/>
          <w:b/>
          <w:color w:val="auto"/>
          <w:spacing w:val="6"/>
          <w:sz w:val="32"/>
          <w:szCs w:val="32"/>
          <w:highlight w:val="none"/>
        </w:rPr>
      </w:pPr>
    </w:p>
    <w:p w14:paraId="26DE0249">
      <w:pPr>
        <w:autoSpaceDE w:val="0"/>
        <w:autoSpaceDN w:val="0"/>
        <w:jc w:val="center"/>
        <w:rPr>
          <w:rFonts w:hint="eastAsia" w:ascii="仿宋" w:hAnsi="仿宋" w:eastAsia="仿宋" w:cs="仿宋"/>
          <w:b/>
          <w:color w:val="auto"/>
          <w:spacing w:val="6"/>
          <w:sz w:val="32"/>
          <w:szCs w:val="32"/>
          <w:highlight w:val="none"/>
        </w:rPr>
      </w:pPr>
    </w:p>
    <w:p w14:paraId="2E0A651D">
      <w:pPr>
        <w:autoSpaceDE w:val="0"/>
        <w:autoSpaceDN w:val="0"/>
        <w:jc w:val="center"/>
        <w:rPr>
          <w:rFonts w:hint="eastAsia" w:ascii="仿宋" w:hAnsi="仿宋" w:eastAsia="仿宋" w:cs="仿宋"/>
          <w:b/>
          <w:color w:val="auto"/>
          <w:spacing w:val="6"/>
          <w:sz w:val="32"/>
          <w:szCs w:val="32"/>
          <w:highlight w:val="none"/>
        </w:rPr>
      </w:pPr>
    </w:p>
    <w:p w14:paraId="5FD5E505">
      <w:pPr>
        <w:autoSpaceDE w:val="0"/>
        <w:autoSpaceDN w:val="0"/>
        <w:jc w:val="center"/>
        <w:rPr>
          <w:rFonts w:hint="eastAsia" w:ascii="仿宋" w:hAnsi="仿宋" w:eastAsia="仿宋" w:cs="仿宋"/>
          <w:b/>
          <w:color w:val="auto"/>
          <w:spacing w:val="6"/>
          <w:sz w:val="32"/>
          <w:szCs w:val="32"/>
          <w:highlight w:val="none"/>
        </w:rPr>
      </w:pPr>
    </w:p>
    <w:p w14:paraId="2BBFE8B4">
      <w:pPr>
        <w:autoSpaceDE w:val="0"/>
        <w:autoSpaceDN w:val="0"/>
        <w:jc w:val="center"/>
        <w:rPr>
          <w:rFonts w:hint="eastAsia" w:ascii="仿宋" w:hAnsi="仿宋" w:eastAsia="仿宋" w:cs="仿宋"/>
          <w:b/>
          <w:color w:val="auto"/>
          <w:spacing w:val="6"/>
          <w:sz w:val="32"/>
          <w:szCs w:val="32"/>
          <w:highlight w:val="none"/>
        </w:rPr>
      </w:pPr>
    </w:p>
    <w:p w14:paraId="7C4F0CD7">
      <w:pPr>
        <w:autoSpaceDE w:val="0"/>
        <w:autoSpaceDN w:val="0"/>
        <w:jc w:val="center"/>
        <w:rPr>
          <w:rFonts w:hint="eastAsia" w:ascii="仿宋" w:hAnsi="仿宋" w:eastAsia="仿宋" w:cs="仿宋"/>
          <w:b/>
          <w:color w:val="auto"/>
          <w:spacing w:val="6"/>
          <w:sz w:val="32"/>
          <w:szCs w:val="32"/>
          <w:highlight w:val="none"/>
        </w:rPr>
      </w:pPr>
    </w:p>
    <w:p w14:paraId="7FAC90EF">
      <w:pPr>
        <w:autoSpaceDE w:val="0"/>
        <w:autoSpaceDN w:val="0"/>
        <w:jc w:val="center"/>
        <w:rPr>
          <w:rFonts w:hint="eastAsia" w:ascii="仿宋" w:hAnsi="仿宋" w:eastAsia="仿宋" w:cs="仿宋"/>
          <w:b/>
          <w:color w:val="auto"/>
          <w:spacing w:val="6"/>
          <w:sz w:val="32"/>
          <w:szCs w:val="32"/>
          <w:highlight w:val="none"/>
        </w:rPr>
      </w:pPr>
    </w:p>
    <w:p w14:paraId="1A411258">
      <w:pPr>
        <w:autoSpaceDE w:val="0"/>
        <w:autoSpaceDN w:val="0"/>
        <w:jc w:val="center"/>
        <w:rPr>
          <w:rFonts w:hint="eastAsia" w:ascii="仿宋" w:hAnsi="仿宋" w:eastAsia="仿宋" w:cs="仿宋"/>
          <w:b/>
          <w:color w:val="auto"/>
          <w:spacing w:val="6"/>
          <w:sz w:val="32"/>
          <w:szCs w:val="32"/>
          <w:highlight w:val="none"/>
        </w:rPr>
      </w:pPr>
    </w:p>
    <w:p w14:paraId="4D6974A3">
      <w:pPr>
        <w:autoSpaceDE w:val="0"/>
        <w:autoSpaceDN w:val="0"/>
        <w:jc w:val="center"/>
        <w:rPr>
          <w:rFonts w:hint="eastAsia" w:ascii="仿宋" w:hAnsi="仿宋" w:eastAsia="仿宋" w:cs="仿宋"/>
          <w:b/>
          <w:color w:val="auto"/>
          <w:spacing w:val="6"/>
          <w:sz w:val="32"/>
          <w:szCs w:val="32"/>
          <w:highlight w:val="none"/>
        </w:rPr>
        <w:sectPr>
          <w:pgSz w:w="11906" w:h="16838"/>
          <w:pgMar w:top="1417" w:right="1417" w:bottom="1417" w:left="1701" w:header="1134" w:footer="850" w:gutter="0"/>
          <w:cols w:space="0" w:num="1"/>
          <w:titlePg/>
          <w:docGrid w:linePitch="312" w:charSpace="0"/>
        </w:sectPr>
      </w:pPr>
    </w:p>
    <w:p w14:paraId="61AC73AB">
      <w:pPr>
        <w:snapToGrid w:val="0"/>
        <w:spacing w:line="360" w:lineRule="auto"/>
        <w:jc w:val="left"/>
        <w:outlineLvl w:val="0"/>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rPr>
        <w:t>附件5：</w:t>
      </w:r>
      <w:r>
        <w:rPr>
          <w:rFonts w:hint="eastAsia" w:ascii="仿宋" w:hAnsi="仿宋" w:eastAsia="仿宋" w:cs="仿宋"/>
          <w:b/>
          <w:color w:val="auto"/>
          <w:kern w:val="0"/>
          <w:sz w:val="32"/>
          <w:szCs w:val="32"/>
          <w:highlight w:val="none"/>
          <w:lang w:val="zh-CN"/>
        </w:rPr>
        <w:t>联合协议</w:t>
      </w:r>
    </w:p>
    <w:p w14:paraId="2FDE5AE3">
      <w:pPr>
        <w:widowControl/>
        <w:spacing w:line="36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0051824C">
      <w:pPr>
        <w:snapToGrid w:val="0"/>
        <w:spacing w:line="36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52004A31">
      <w:pPr>
        <w:snapToGrid w:val="0"/>
        <w:spacing w:line="36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702B1690">
      <w:pPr>
        <w:snapToGrid w:val="0"/>
        <w:spacing w:line="36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400D7598">
      <w:pPr>
        <w:snapToGrid w:val="0"/>
        <w:spacing w:line="36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5F65159E">
      <w:pPr>
        <w:snapToGrid w:val="0"/>
        <w:spacing w:line="36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43FB4097">
      <w:pPr>
        <w:snapToGrid w:val="0"/>
        <w:spacing w:line="36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18E9B3CE">
      <w:pPr>
        <w:snapToGrid w:val="0"/>
        <w:spacing w:line="36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58A39C3C">
      <w:pPr>
        <w:snapToGrid w:val="0"/>
        <w:spacing w:line="36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17AD7EB2">
      <w:pPr>
        <w:snapToGrid w:val="0"/>
        <w:spacing w:line="360" w:lineRule="exact"/>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506" w:name="_Hlk101131882"/>
      <w:r>
        <w:rPr>
          <w:rFonts w:hint="eastAsia" w:ascii="仿宋" w:hAnsi="仿宋" w:eastAsia="仿宋" w:cs="仿宋"/>
          <w:color w:val="auto"/>
          <w:kern w:val="0"/>
          <w:sz w:val="24"/>
          <w:highlight w:val="none"/>
          <w:u w:val="single"/>
        </w:rPr>
        <w:t>联合体成员X,……</w:t>
      </w:r>
      <w:bookmarkEnd w:id="506"/>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507"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507"/>
      <w:r>
        <w:rPr>
          <w:rFonts w:hint="eastAsia" w:ascii="仿宋" w:hAnsi="仿宋" w:eastAsia="仿宋" w:cs="仿宋"/>
          <w:b/>
          <w:color w:val="auto"/>
          <w:kern w:val="0"/>
          <w:sz w:val="24"/>
          <w:highlight w:val="none"/>
          <w:lang w:val="zh-CN"/>
        </w:rPr>
        <w:t>）</w:t>
      </w:r>
    </w:p>
    <w:p w14:paraId="75E21E6B">
      <w:pPr>
        <w:spacing w:line="360" w:lineRule="exact"/>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508"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508"/>
    </w:p>
    <w:p w14:paraId="7EB5F211">
      <w:pPr>
        <w:snapToGrid w:val="0"/>
        <w:spacing w:line="36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2514787A">
      <w:pPr>
        <w:snapToGrid w:val="0"/>
        <w:spacing w:line="36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1D5EB55E">
      <w:pPr>
        <w:snapToGrid w:val="0"/>
        <w:spacing w:line="36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556090D8">
      <w:pPr>
        <w:snapToGrid w:val="0"/>
        <w:spacing w:line="36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74A1830F">
      <w:pPr>
        <w:snapToGrid w:val="0"/>
        <w:spacing w:line="36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732DD96C">
      <w:pPr>
        <w:snapToGrid w:val="0"/>
        <w:spacing w:line="360" w:lineRule="exact"/>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40FAF18E">
      <w:pPr>
        <w:snapToGrid w:val="0"/>
        <w:spacing w:line="360" w:lineRule="exact"/>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611AF05">
      <w:pPr>
        <w:snapToGrid w:val="0"/>
        <w:spacing w:line="360" w:lineRule="exact"/>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1F745C3D">
      <w:pPr>
        <w:snapToGrid w:val="0"/>
        <w:spacing w:line="360" w:lineRule="exact"/>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4E0348BB">
      <w:pPr>
        <w:spacing w:line="360" w:lineRule="exact"/>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F0A0D17">
      <w:pPr>
        <w:autoSpaceDE w:val="0"/>
        <w:autoSpaceDN w:val="0"/>
        <w:jc w:val="center"/>
        <w:rPr>
          <w:rFonts w:hint="eastAsia" w:ascii="仿宋" w:hAnsi="仿宋" w:eastAsia="仿宋" w:cs="仿宋"/>
          <w:b/>
          <w:color w:val="auto"/>
          <w:spacing w:val="6"/>
          <w:sz w:val="32"/>
          <w:szCs w:val="32"/>
          <w:highlight w:val="none"/>
        </w:rPr>
      </w:pPr>
    </w:p>
    <w:p w14:paraId="6FA51F6B">
      <w:pPr>
        <w:snapToGrid w:val="0"/>
        <w:spacing w:line="360" w:lineRule="auto"/>
        <w:jc w:val="left"/>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附件6：分包意向协议</w:t>
      </w:r>
    </w:p>
    <w:p w14:paraId="2CB333A6">
      <w:pPr>
        <w:widowControl/>
        <w:spacing w:line="360" w:lineRule="exact"/>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71D130CE">
      <w:pPr>
        <w:snapToGrid w:val="0"/>
        <w:spacing w:line="36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014A564F">
      <w:pPr>
        <w:snapToGrid w:val="0"/>
        <w:spacing w:line="36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1BDDD7C3">
      <w:pPr>
        <w:snapToGrid w:val="0"/>
        <w:spacing w:line="36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28AB1D1F">
      <w:pPr>
        <w:snapToGrid w:val="0"/>
        <w:spacing w:line="36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478905F7">
      <w:pPr>
        <w:spacing w:line="360" w:lineRule="exact"/>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6EB6B2CD">
      <w:pPr>
        <w:snapToGrid w:val="0"/>
        <w:spacing w:line="36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71F6515D">
      <w:pPr>
        <w:snapToGrid w:val="0"/>
        <w:spacing w:line="360" w:lineRule="exact"/>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119C5666">
      <w:pPr>
        <w:spacing w:line="360" w:lineRule="exact"/>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35AB330A">
      <w:pPr>
        <w:snapToGrid w:val="0"/>
        <w:spacing w:line="36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03D1D204">
      <w:pPr>
        <w:snapToGrid w:val="0"/>
        <w:spacing w:line="360" w:lineRule="exact"/>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23728C97">
      <w:pPr>
        <w:snapToGrid w:val="0"/>
        <w:spacing w:line="36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7C884BFA">
      <w:pPr>
        <w:snapToGrid w:val="0"/>
        <w:spacing w:line="36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13D7AED5">
      <w:pPr>
        <w:snapToGrid w:val="0"/>
        <w:spacing w:line="36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545AE257">
      <w:pPr>
        <w:snapToGrid w:val="0"/>
        <w:spacing w:line="360" w:lineRule="exact"/>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DAA0FF4">
      <w:pPr>
        <w:snapToGrid w:val="0"/>
        <w:spacing w:line="360" w:lineRule="exact"/>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4032D025">
      <w:pPr>
        <w:snapToGrid w:val="0"/>
        <w:spacing w:line="36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867E05F">
      <w:pPr>
        <w:snapToGrid w:val="0"/>
        <w:spacing w:line="36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4417A0E9">
      <w:pPr>
        <w:snapToGrid w:val="0"/>
        <w:spacing w:line="36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5984E2FC">
      <w:pPr>
        <w:snapToGrid w:val="0"/>
        <w:spacing w:line="36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5A04BD4E">
      <w:pPr>
        <w:snapToGrid w:val="0"/>
        <w:spacing w:line="360" w:lineRule="exact"/>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投标人名称(电子签名)：</w:t>
      </w:r>
    </w:p>
    <w:p w14:paraId="02DF386D">
      <w:pPr>
        <w:snapToGrid w:val="0"/>
        <w:spacing w:line="360" w:lineRule="exact"/>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48844DF7">
      <w:pPr>
        <w:snapToGrid w:val="0"/>
        <w:spacing w:line="360" w:lineRule="exact"/>
        <w:ind w:firstLine="5760" w:firstLineChars="2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16AFE88F">
      <w:pPr>
        <w:snapToGrid w:val="0"/>
        <w:spacing w:line="360" w:lineRule="exact"/>
        <w:ind w:firstLine="5760" w:firstLineChars="2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757968AC">
      <w:pPr>
        <w:spacing w:line="360" w:lineRule="exact"/>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DB18D90">
      <w:pPr>
        <w:autoSpaceDE w:val="0"/>
        <w:autoSpaceDN w:val="0"/>
        <w:jc w:val="center"/>
        <w:rPr>
          <w:rFonts w:hint="eastAsia" w:ascii="仿宋" w:hAnsi="仿宋" w:eastAsia="仿宋" w:cs="仿宋"/>
          <w:b/>
          <w:color w:val="auto"/>
          <w:spacing w:val="6"/>
          <w:sz w:val="32"/>
          <w:szCs w:val="32"/>
          <w:highlight w:val="none"/>
        </w:rPr>
      </w:pPr>
    </w:p>
    <w:p w14:paraId="2F90A98D">
      <w:pPr>
        <w:snapToGrid w:val="0"/>
        <w:spacing w:line="360" w:lineRule="auto"/>
        <w:jc w:val="left"/>
        <w:outlineLvl w:val="0"/>
        <w:rPr>
          <w:rFonts w:hint="eastAsia" w:ascii="仿宋" w:hAnsi="仿宋" w:eastAsia="仿宋" w:cs="仿宋"/>
          <w:color w:val="auto"/>
          <w:sz w:val="24"/>
          <w:highlight w:val="none"/>
          <w:u w:val="single"/>
        </w:rPr>
      </w:pPr>
      <w:r>
        <w:rPr>
          <w:rFonts w:hint="eastAsia" w:ascii="仿宋" w:hAnsi="仿宋" w:eastAsia="仿宋" w:cs="仿宋"/>
          <w:b/>
          <w:color w:val="auto"/>
          <w:kern w:val="0"/>
          <w:sz w:val="32"/>
          <w:szCs w:val="32"/>
          <w:highlight w:val="none"/>
        </w:rPr>
        <w:t>附件7：中小企业声明函</w:t>
      </w:r>
    </w:p>
    <w:p w14:paraId="5BC550B3">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3BB5D1FF">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945FDDA">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；承建（承接）企业为</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rPr>
        <w:t>；</w:t>
      </w:r>
    </w:p>
    <w:p w14:paraId="1D286259">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；承建（承接）企业为</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rPr>
        <w:t>；</w:t>
      </w:r>
    </w:p>
    <w:p w14:paraId="3151B51E">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269E1000">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18D88A26">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4638857B">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0165A9F0">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3434FF08">
      <w:pPr>
        <w:rPr>
          <w:rFonts w:hint="eastAsia" w:ascii="仿宋" w:hAnsi="仿宋" w:eastAsia="仿宋" w:cs="仿宋"/>
          <w:color w:val="auto"/>
          <w:sz w:val="24"/>
          <w:highlight w:val="none"/>
        </w:rPr>
        <w:sectPr>
          <w:pgSz w:w="11906" w:h="16838"/>
          <w:pgMar w:top="1417" w:right="1417" w:bottom="1417" w:left="1701" w:header="1134" w:footer="850" w:gutter="0"/>
          <w:cols w:space="0" w:num="1"/>
          <w:titlePg/>
          <w:docGrid w:linePitch="312" w:charSpace="0"/>
        </w:sectPr>
      </w:pPr>
      <w:r>
        <w:rPr>
          <w:rFonts w:hint="eastAsia" w:ascii="仿宋" w:hAnsi="仿宋" w:eastAsia="仿宋" w:cs="仿宋"/>
          <w:color w:val="auto"/>
          <w:sz w:val="24"/>
          <w:highlight w:val="none"/>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70289B23">
      <w:pPr>
        <w:snapToGrid w:val="0"/>
        <w:spacing w:line="360" w:lineRule="auto"/>
        <w:jc w:val="left"/>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附件8：政府采购活动现场确认声明书</w:t>
      </w:r>
    </w:p>
    <w:p w14:paraId="60D4931F">
      <w:pPr>
        <w:rPr>
          <w:rFonts w:hint="eastAsia" w:ascii="仿宋" w:hAnsi="仿宋" w:eastAsia="仿宋" w:cs="仿宋"/>
          <w:color w:val="auto"/>
          <w:highlight w:val="none"/>
        </w:rPr>
      </w:pPr>
    </w:p>
    <w:p w14:paraId="561D092B">
      <w:pPr>
        <w:spacing w:line="340" w:lineRule="exac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政府采购活动现场确认声明书</w:t>
      </w:r>
    </w:p>
    <w:p w14:paraId="32F58898">
      <w:pPr>
        <w:spacing w:line="340" w:lineRule="exact"/>
        <w:jc w:val="center"/>
        <w:rPr>
          <w:rFonts w:hint="eastAsia" w:ascii="仿宋" w:hAnsi="仿宋" w:eastAsia="仿宋" w:cs="仿宋"/>
          <w:color w:val="auto"/>
          <w:sz w:val="32"/>
          <w:szCs w:val="32"/>
          <w:highlight w:val="none"/>
        </w:rPr>
      </w:pPr>
    </w:p>
    <w:p w14:paraId="1085FE1F">
      <w:pPr>
        <w:spacing w:line="340" w:lineRule="exact"/>
        <w:jc w:val="left"/>
        <w:rPr>
          <w:rFonts w:hint="eastAsia" w:ascii="仿宋" w:hAnsi="仿宋" w:eastAsia="仿宋" w:cs="仿宋"/>
          <w:color w:val="auto"/>
          <w:sz w:val="24"/>
          <w:highlight w:val="none"/>
          <w:u w:val="single"/>
        </w:rPr>
      </w:pPr>
      <w:r>
        <w:rPr>
          <w:rFonts w:hint="eastAsia" w:ascii="仿宋" w:hAnsi="仿宋" w:eastAsia="仿宋" w:cs="仿宋"/>
          <w:i/>
          <w:color w:val="auto"/>
          <w:sz w:val="24"/>
          <w:highlight w:val="none"/>
          <w:u w:val="single"/>
        </w:rPr>
        <w:t>（采购代理机构名称）</w:t>
      </w:r>
      <w:r>
        <w:rPr>
          <w:rFonts w:hint="eastAsia" w:ascii="仿宋" w:hAnsi="仿宋" w:eastAsia="仿宋" w:cs="仿宋"/>
          <w:color w:val="auto"/>
          <w:sz w:val="24"/>
          <w:highlight w:val="none"/>
          <w:u w:val="single"/>
        </w:rPr>
        <w:t>：</w:t>
      </w:r>
    </w:p>
    <w:p w14:paraId="7F72A900">
      <w:pPr>
        <w:spacing w:line="3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本人经由</w:t>
      </w:r>
      <w:r>
        <w:rPr>
          <w:rFonts w:hint="eastAsia" w:ascii="仿宋" w:hAnsi="仿宋" w:eastAsia="仿宋" w:cs="仿宋"/>
          <w:color w:val="auto"/>
          <w:sz w:val="24"/>
          <w:highlight w:val="none"/>
          <w:u w:val="single"/>
        </w:rPr>
        <w:t xml:space="preserve">   </w:t>
      </w:r>
      <w:r>
        <w:rPr>
          <w:rFonts w:hint="eastAsia" w:ascii="仿宋" w:hAnsi="仿宋" w:eastAsia="仿宋" w:cs="仿宋"/>
          <w:i/>
          <w:color w:val="auto"/>
          <w:sz w:val="24"/>
          <w:highlight w:val="none"/>
          <w:u w:val="single"/>
        </w:rPr>
        <w:t>（公司名称）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法定代表人（负责人）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，合法授权参加</w:t>
      </w:r>
      <w:r>
        <w:rPr>
          <w:rFonts w:hint="eastAsia" w:ascii="仿宋" w:hAnsi="仿宋" w:eastAsia="仿宋" w:cs="仿宋"/>
          <w:i/>
          <w:color w:val="auto"/>
          <w:sz w:val="24"/>
          <w:highlight w:val="none"/>
          <w:u w:val="single"/>
        </w:rPr>
        <w:t>（项目名称）（项目编号）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政府采购活动，经与本单位法人代表（负责人）联系确认，现就有关公平竞争事项郑重声明如下：</w:t>
      </w:r>
    </w:p>
    <w:p w14:paraId="6CCA589D">
      <w:pPr>
        <w:spacing w:line="3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一、本单位与采购人之间 □不存在利害关系 □存在下列利害关系</w:t>
      </w:r>
      <w:r>
        <w:rPr>
          <w:rFonts w:hint="eastAsia" w:ascii="仿宋" w:hAnsi="仿宋" w:eastAsia="仿宋" w:cs="仿宋"/>
          <w:color w:val="auto"/>
          <w:sz w:val="24"/>
          <w:highlight w:val="none"/>
          <w:u w:val="single"/>
        </w:rPr>
        <w:t xml:space="preserve">         ：</w:t>
      </w:r>
    </w:p>
    <w:p w14:paraId="29B6635E">
      <w:pPr>
        <w:spacing w:line="3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A.投资关系    B.行政隶属关系    C.业务指导关系</w:t>
      </w:r>
    </w:p>
    <w:p w14:paraId="550EC904">
      <w:pPr>
        <w:spacing w:line="340" w:lineRule="exact"/>
        <w:ind w:firstLine="48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D.其他可能影响采购公正的利害关系（如有，请如实说明）</w:t>
      </w:r>
      <w:r>
        <w:rPr>
          <w:rFonts w:hint="eastAsia" w:ascii="仿宋" w:hAnsi="仿宋" w:eastAsia="仿宋" w:cs="仿宋"/>
          <w:color w:val="auto"/>
          <w:sz w:val="24"/>
          <w:highlight w:val="none"/>
          <w:u w:val="single"/>
        </w:rPr>
        <w:t xml:space="preserve">         </w:t>
      </w:r>
    </w:p>
    <w:p w14:paraId="33427D50">
      <w:pPr>
        <w:spacing w:line="34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二、现已清楚知道参加本项目采购活动的其他所有供应商名称，本单位</w:t>
      </w:r>
    </w:p>
    <w:p w14:paraId="18CE3E41">
      <w:pPr>
        <w:spacing w:line="34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□与其他所有供应商之间均不存在利害关系  □与</w:t>
      </w:r>
      <w:r>
        <w:rPr>
          <w:rFonts w:hint="eastAsia" w:ascii="仿宋" w:hAnsi="仿宋" w:eastAsia="仿宋" w:cs="仿宋"/>
          <w:color w:val="auto"/>
          <w:sz w:val="24"/>
          <w:highlight w:val="none"/>
          <w:u w:val="single"/>
        </w:rPr>
        <w:t xml:space="preserve">（供应商名称）     </w:t>
      </w:r>
      <w:r>
        <w:rPr>
          <w:rFonts w:hint="eastAsia" w:ascii="仿宋" w:hAnsi="仿宋" w:eastAsia="仿宋" w:cs="仿宋"/>
          <w:color w:val="auto"/>
          <w:sz w:val="24"/>
          <w:highlight w:val="none"/>
        </w:rPr>
        <w:t>之间存在下列利害关系</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B371570">
      <w:pPr>
        <w:spacing w:line="3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A.法定代表人或负责人或实际控制人是同一人</w:t>
      </w:r>
    </w:p>
    <w:p w14:paraId="4B3E2AA6">
      <w:pPr>
        <w:spacing w:line="3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B.法定代表人或负责人或实际控制人是夫妻关系</w:t>
      </w:r>
    </w:p>
    <w:p w14:paraId="2AF70EA7">
      <w:pPr>
        <w:spacing w:line="3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C.法定代表人或负责人或实际控制人是直系血亲关系</w:t>
      </w:r>
    </w:p>
    <w:p w14:paraId="62F9E92B">
      <w:pPr>
        <w:spacing w:line="3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D.法定代表人或负责人或实际控制人存在三代以内旁系血亲关系</w:t>
      </w:r>
    </w:p>
    <w:p w14:paraId="287301EC">
      <w:pPr>
        <w:spacing w:line="3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E.法定代表人或负责人或实际控制人存在近姻亲关系</w:t>
      </w:r>
    </w:p>
    <w:p w14:paraId="5F1D7268">
      <w:pPr>
        <w:spacing w:line="3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F.法定代表人或负责人或实际控制人存在股份控制或实际控制关系</w:t>
      </w:r>
    </w:p>
    <w:p w14:paraId="07BAD80D">
      <w:pPr>
        <w:spacing w:line="3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G.存在共同直接或间接投资设立子公司、联营企业和合营企业情况</w:t>
      </w:r>
    </w:p>
    <w:p w14:paraId="25FF1D27">
      <w:pPr>
        <w:spacing w:line="3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H.存在分级代理或代销关系、同一生产制造商关系、管理关系、重要业务（占主营业务收入50%以上）或重要财务往来关系（如融资）等其他实质性控制关系</w:t>
      </w:r>
    </w:p>
    <w:p w14:paraId="470E1E02">
      <w:pPr>
        <w:spacing w:line="340" w:lineRule="exact"/>
        <w:ind w:left="240" w:hanging="240" w:hanging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I.其他利害关系情况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p>
    <w:p w14:paraId="03A21F74">
      <w:pPr>
        <w:spacing w:line="34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三、现已清楚知道并严格遵守政府采购法律法规和现场纪律。</w:t>
      </w:r>
    </w:p>
    <w:p w14:paraId="7D9D47C1">
      <w:pPr>
        <w:spacing w:line="34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四、我发现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和</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供应商之间存在或可能存在上述第二条第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项利害关系。 </w:t>
      </w:r>
    </w:p>
    <w:p w14:paraId="15D6B42C">
      <w:pPr>
        <w:spacing w:line="340" w:lineRule="exact"/>
        <w:ind w:firstLine="480"/>
        <w:rPr>
          <w:rFonts w:hint="eastAsia" w:ascii="仿宋" w:hAnsi="仿宋" w:eastAsia="仿宋" w:cs="仿宋"/>
          <w:color w:val="auto"/>
          <w:sz w:val="24"/>
          <w:highlight w:val="none"/>
        </w:rPr>
      </w:pPr>
    </w:p>
    <w:p w14:paraId="68CAB59A">
      <w:pPr>
        <w:wordWrap w:val="0"/>
        <w:spacing w:line="340" w:lineRule="exact"/>
        <w:ind w:firstLine="120" w:firstLineChars="5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（投标人代表签名）：          </w:t>
      </w:r>
    </w:p>
    <w:p w14:paraId="43A5C8EF">
      <w:pPr>
        <w:spacing w:line="3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4A1A598E">
      <w:pPr>
        <w:spacing w:line="340" w:lineRule="exact"/>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rPr>
        <w:tab/>
      </w:r>
    </w:p>
    <w:p w14:paraId="6FEA8987">
      <w:pPr>
        <w:spacing w:line="360" w:lineRule="exact"/>
        <w:rPr>
          <w:rFonts w:hint="eastAsia" w:ascii="仿宋" w:hAnsi="仿宋" w:eastAsia="仿宋" w:cs="仿宋"/>
          <w:color w:val="auto"/>
          <w:sz w:val="24"/>
          <w:highlight w:val="none"/>
        </w:rPr>
      </w:pPr>
    </w:p>
    <w:p w14:paraId="13AB044B">
      <w:pPr>
        <w:spacing w:line="36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注：1.投标人认为有利害关系和需要回避的人员，应提供相关证明材料，与本声明书一同提交。由采购代理机构和财政监督部门负责询问核查；</w:t>
      </w:r>
    </w:p>
    <w:p w14:paraId="22D07BA7">
      <w:pPr>
        <w:spacing w:line="360" w:lineRule="exact"/>
        <w:rPr>
          <w:rFonts w:hint="eastAsia" w:ascii="仿宋" w:hAnsi="仿宋" w:eastAsia="仿宋" w:cs="仿宋"/>
          <w:b/>
          <w:color w:val="auto"/>
          <w:sz w:val="24"/>
          <w:highlight w:val="none"/>
        </w:rPr>
      </w:pPr>
      <w:r>
        <w:rPr>
          <w:rFonts w:hint="eastAsia" w:ascii="仿宋" w:hAnsi="仿宋" w:eastAsia="仿宋" w:cs="仿宋"/>
          <w:b/>
          <w:color w:val="auto"/>
          <w:sz w:val="22"/>
          <w:szCs w:val="22"/>
          <w:highlight w:val="none"/>
        </w:rPr>
        <w:t>2.</w:t>
      </w:r>
      <w:r>
        <w:rPr>
          <w:color w:val="auto"/>
          <w:highlight w:val="none"/>
        </w:rPr>
        <w:fldChar w:fldCharType="begin"/>
      </w:r>
      <w:r>
        <w:rPr>
          <w:color w:val="auto"/>
          <w:highlight w:val="none"/>
        </w:rPr>
        <w:instrText xml:space="preserve"> HYPERLINK "mailto:该声明书在投标文件解密后30分钟内以邮件方式发送至邮箱lssggzyjyzx@163.com" </w:instrText>
      </w:r>
      <w:r>
        <w:rPr>
          <w:color w:val="auto"/>
          <w:highlight w:val="none"/>
        </w:rPr>
        <w:fldChar w:fldCharType="separate"/>
      </w:r>
      <w:r>
        <w:rPr>
          <w:rStyle w:val="76"/>
          <w:rFonts w:hint="eastAsia" w:ascii="仿宋" w:hAnsi="仿宋" w:eastAsia="仿宋" w:cs="仿宋"/>
          <w:b/>
          <w:color w:val="auto"/>
          <w:sz w:val="22"/>
          <w:szCs w:val="16"/>
          <w:highlight w:val="none"/>
        </w:rPr>
        <w:t>该声明书在投标文件解密后30分钟内以邮件方式发送至邮箱2845551562@qq.com</w:t>
      </w:r>
      <w:r>
        <w:rPr>
          <w:rStyle w:val="76"/>
          <w:rFonts w:hint="eastAsia" w:ascii="仿宋" w:hAnsi="仿宋" w:eastAsia="仿宋" w:cs="仿宋"/>
          <w:b/>
          <w:color w:val="auto"/>
          <w:sz w:val="22"/>
          <w:szCs w:val="16"/>
          <w:highlight w:val="none"/>
        </w:rPr>
        <w:fldChar w:fldCharType="end"/>
      </w:r>
      <w:r>
        <w:rPr>
          <w:rFonts w:hint="eastAsia" w:ascii="仿宋" w:hAnsi="仿宋" w:eastAsia="仿宋" w:cs="仿宋"/>
          <w:b/>
          <w:color w:val="auto"/>
          <w:sz w:val="22"/>
          <w:szCs w:val="22"/>
          <w:highlight w:val="none"/>
        </w:rPr>
        <w:t>。</w:t>
      </w:r>
    </w:p>
    <w:p w14:paraId="3324774E">
      <w:pPr>
        <w:spacing w:line="360" w:lineRule="auto"/>
        <w:ind w:right="420" w:firstLine="480" w:firstLineChars="200"/>
        <w:rPr>
          <w:rFonts w:hint="eastAsia" w:ascii="仿宋" w:hAnsi="仿宋" w:eastAsia="仿宋" w:cs="仿宋"/>
          <w:color w:val="auto"/>
          <w:sz w:val="24"/>
          <w:highlight w:val="none"/>
        </w:rPr>
      </w:pPr>
    </w:p>
    <w:sectPr>
      <w:pgSz w:w="11906" w:h="16838"/>
      <w:pgMar w:top="1417" w:right="1417" w:bottom="1417" w:left="1701" w:header="1134" w:footer="850"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00000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ans SC"/>
    <w:panose1 w:val="00000000000000000000"/>
    <w:charset w:val="00"/>
    <w:family w:val="roma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0B2E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96517">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CD1D5">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09" w:name="_Toc131845147"/>
    <w:bookmarkStart w:id="510" w:name="_Toc91899912"/>
    <w:bookmarkStart w:id="511" w:name="_Toc36110187"/>
    <w:bookmarkStart w:id="512" w:name="_Toc164085800"/>
    <w:r>
      <w:rPr>
        <w:rFonts w:hint="eastAsia" w:ascii="仿宋_GB2312" w:eastAsia="仿宋_GB2312"/>
        <w:kern w:val="0"/>
        <w:szCs w:val="21"/>
      </w:rPr>
      <w:t xml:space="preserve"> 页</w:t>
    </w:r>
    <w:bookmarkEnd w:id="509"/>
    <w:bookmarkEnd w:id="510"/>
    <w:bookmarkEnd w:id="511"/>
    <w:bookmarkEnd w:id="51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456A9">
    <w:pPr>
      <w:pStyle w:val="39"/>
      <w:framePr w:wrap="around" w:vAnchor="text" w:hAnchor="margin" w:xAlign="right" w:y="1"/>
      <w:rPr>
        <w:rStyle w:val="72"/>
      </w:rPr>
    </w:pPr>
    <w:r>
      <w:fldChar w:fldCharType="begin"/>
    </w:r>
    <w:r>
      <w:rPr>
        <w:rStyle w:val="72"/>
      </w:rPr>
      <w:instrText xml:space="preserve">PAGE  </w:instrText>
    </w:r>
    <w:r>
      <w:fldChar w:fldCharType="end"/>
    </w:r>
  </w:p>
  <w:p w14:paraId="3FCD811D">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0B11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373E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0E1972E">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288A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750456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FA4D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9E3CAE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1E82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C6526E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2C2E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EDB38D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D250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36342CF">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9AD75">
    <w:pPr>
      <w:pStyle w:val="40"/>
      <w:pBdr>
        <w:bottom w:val="single" w:color="auto" w:sz="6" w:space="0"/>
      </w:pBdr>
      <w:tabs>
        <w:tab w:val="center" w:pos="4535"/>
        <w:tab w:val="right" w:pos="9070"/>
        <w:tab w:val="clear" w:pos="4153"/>
        <w:tab w:val="clear" w:pos="8306"/>
      </w:tabs>
      <w:jc w:val="right"/>
      <w:rPr>
        <w:rFonts w:ascii="仿宋_GB2312" w:eastAsia="仿宋_GB2312"/>
        <w:i/>
        <w:u w:val="single"/>
      </w:rPr>
    </w:pPr>
    <w:r>
      <w:rPr>
        <w:rFonts w:hint="eastAsia" w:ascii="仿宋" w:hAnsi="仿宋" w:eastAsia="仿宋" w:cs="仿宋"/>
        <w:lang w:val="zh-CN"/>
      </w:rP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5961F">
    <w:pPr>
      <w:pStyle w:val="40"/>
      <w:jc w:val="right"/>
      <w:rPr>
        <w:rFonts w:hint="eastAsia" w:ascii="仿宋" w:hAnsi="仿宋" w:eastAsia="仿宋" w:cs="仿宋"/>
      </w:rPr>
    </w:pPr>
    <w:r>
      <w:rPr>
        <w:rFonts w:hint="eastAsia" w:ascii="仿宋" w:hAnsi="仿宋" w:eastAsia="仿宋" w:cs="仿宋"/>
      </w:rP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FF6A2">
    <w:pPr>
      <w:pStyle w:val="40"/>
      <w:pBdr>
        <w:bottom w:val="single" w:color="auto" w:sz="6" w:space="0"/>
      </w:pBdr>
      <w:tabs>
        <w:tab w:val="center" w:pos="4535"/>
        <w:tab w:val="right" w:pos="9070"/>
        <w:tab w:val="clear" w:pos="4153"/>
        <w:tab w:val="clear" w:pos="8306"/>
      </w:tabs>
      <w:jc w:val="right"/>
      <w:rPr>
        <w:rFonts w:hint="eastAsia" w:ascii="仿宋" w:hAnsi="仿宋" w:eastAsia="仿宋" w:cs="仿宋"/>
      </w:rPr>
    </w:pPr>
    <w:r>
      <w:rPr>
        <w:rFonts w:hint="eastAsia" w:ascii="仿宋" w:hAnsi="仿宋" w:eastAsia="仿宋" w:cs="仿宋"/>
        <w:lang w:val="zh-CN"/>
      </w:rPr>
      <w:t></w:t>
    </w:r>
    <w:r>
      <w:rPr>
        <w:rFonts w:hint="eastAsia" w:ascii="仿宋" w:hAnsi="仿宋" w:eastAsia="仿宋" w:cs="仿宋"/>
      </w:rPr>
      <w:tab/>
    </w:r>
    <w:r>
      <w:rPr>
        <w:rFonts w:hint="eastAsia" w:ascii="仿宋" w:hAnsi="仿宋" w:eastAsia="仿宋" w:cs="仿宋"/>
        <w:lang w:val="zh-CN"/>
      </w:rPr>
      <w:t></w:t>
    </w:r>
    <w:r>
      <w:rPr>
        <w:rFonts w:hint="eastAsia" w:ascii="仿宋" w:hAnsi="仿宋" w:eastAsia="仿宋" w:cs="仿宋"/>
      </w:rPr>
      <w:tab/>
    </w:r>
    <w:r>
      <w:rPr>
        <w:rFonts w:hint="eastAsia" w:ascii="仿宋" w:hAnsi="仿宋" w:eastAsia="仿宋" w:cs="仿宋"/>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79F0E">
    <w:pPr>
      <w:pStyle w:val="40"/>
      <w:jc w:val="right"/>
    </w:pPr>
    <w:r>
      <w:rPr>
        <w:rFonts w:hint="eastAsia" w:ascii="仿宋" w:hAnsi="仿宋" w:eastAsia="仿宋" w:cs="仿宋"/>
      </w:rP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74489">
    <w:pPr>
      <w:pStyle w:val="40"/>
      <w:jc w:val="right"/>
      <w:rPr>
        <w:rFonts w:hint="eastAsia" w:ascii="仿宋" w:hAnsi="仿宋" w:eastAsia="仿宋" w:cs="仿宋"/>
      </w:rPr>
    </w:pPr>
    <w:r>
      <w:rPr>
        <w:rFonts w:hint="eastAsia" w:ascii="仿宋" w:hAnsi="仿宋" w:eastAsia="仿宋" w:cs="仿宋"/>
      </w:rP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A1B08">
    <w:pPr>
      <w:pStyle w:val="40"/>
      <w:jc w:val="right"/>
      <w:rPr>
        <w:rFonts w:hint="eastAsia" w:ascii="仿宋" w:hAnsi="仿宋" w:eastAsia="仿宋" w:cs="仿宋"/>
        <w:b/>
        <w:i/>
        <w:u w:val="single"/>
      </w:rPr>
    </w:pPr>
    <w:r>
      <w:rPr>
        <w:rFonts w:hint="eastAsia" w:ascii="仿宋" w:hAnsi="仿宋" w:eastAsia="仿宋" w:cs="仿宋"/>
      </w:rP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D6DFA">
    <w:pPr>
      <w:pStyle w:val="40"/>
      <w:jc w:val="right"/>
      <w:rPr>
        <w:rFonts w:hint="eastAsia" w:ascii="仿宋" w:hAnsi="仿宋" w:eastAsia="仿宋" w:cs="仿宋"/>
      </w:rPr>
    </w:pPr>
    <w:r>
      <w:rPr>
        <w:rFonts w:hint="eastAsia" w:ascii="仿宋" w:hAnsi="仿宋" w:eastAsia="仿宋" w:cs="仿宋"/>
      </w:rP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27B58">
    <w:pPr>
      <w:pStyle w:val="40"/>
      <w:jc w:val="right"/>
      <w:rPr>
        <w:rFonts w:ascii="仿宋_GB2312" w:eastAsia="仿宋_GB2312"/>
        <w:b/>
        <w:i/>
        <w:u w:val="single"/>
      </w:rPr>
    </w:pPr>
    <w:r>
      <w:rPr>
        <w:rFonts w:hint="eastAsia"/>
      </w:rPr>
      <w:t xml:space="preserve">                                  </w:t>
    </w:r>
    <w:r>
      <w:t>杭州市政府采购公开招标文件</w:t>
    </w:r>
  </w:p>
  <w:p w14:paraId="6442DC06">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ABE30">
    <w:pPr>
      <w:pStyle w:val="40"/>
      <w:jc w:val="right"/>
      <w:rPr>
        <w:rFonts w:hint="eastAsia" w:ascii="仿宋" w:hAnsi="仿宋" w:eastAsia="仿宋" w:cs="仿宋"/>
      </w:rPr>
    </w:pPr>
    <w:r>
      <w:rPr>
        <w:rFonts w:hint="eastAsia" w:ascii="仿宋" w:hAnsi="仿宋" w:eastAsia="仿宋" w:cs="仿宋"/>
      </w:rP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42749">
    <w:pPr>
      <w:pStyle w:val="40"/>
      <w:jc w:val="right"/>
      <w:rPr>
        <w:rFonts w:hint="eastAsia" w:ascii="仿宋" w:hAnsi="仿宋" w:eastAsia="仿宋" w:cs="仿宋"/>
        <w:b/>
        <w:i/>
        <w:iCs/>
        <w:u w:val="single"/>
      </w:rPr>
    </w:pPr>
    <w:r>
      <w:rPr>
        <w:rFonts w:hint="eastAsia" w:ascii="仿宋" w:hAnsi="仿宋" w:eastAsia="仿宋" w:cs="仿宋"/>
      </w:rP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92D21"/>
    <w:multiLevelType w:val="singleLevel"/>
    <w:tmpl w:val="41892D2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817"/>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2AF2"/>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4CA0"/>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1756"/>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B20"/>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94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7C8"/>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10D"/>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0FC8"/>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40B"/>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30C"/>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6EE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2FE1"/>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A7D44"/>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05DE"/>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003"/>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3519"/>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1ED"/>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9DE"/>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58BD"/>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57E3F"/>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AEC"/>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5FA9"/>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9E1"/>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3D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5E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043"/>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131F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476485"/>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E750E"/>
    <w:rsid w:val="141008D8"/>
    <w:rsid w:val="14125FE6"/>
    <w:rsid w:val="146D271E"/>
    <w:rsid w:val="1477118D"/>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BA4FA2"/>
    <w:rsid w:val="1BD75AB8"/>
    <w:rsid w:val="1C0459C2"/>
    <w:rsid w:val="1C1B3B4A"/>
    <w:rsid w:val="1C88086E"/>
    <w:rsid w:val="1D266CE1"/>
    <w:rsid w:val="1D293D92"/>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A451E4"/>
    <w:rsid w:val="21D56769"/>
    <w:rsid w:val="21E52EF3"/>
    <w:rsid w:val="21FB5D7B"/>
    <w:rsid w:val="22015E94"/>
    <w:rsid w:val="220B1C3D"/>
    <w:rsid w:val="221D1D20"/>
    <w:rsid w:val="22334A87"/>
    <w:rsid w:val="226D06CE"/>
    <w:rsid w:val="22BE6801"/>
    <w:rsid w:val="22F13361"/>
    <w:rsid w:val="233500BF"/>
    <w:rsid w:val="23377FF7"/>
    <w:rsid w:val="236B425F"/>
    <w:rsid w:val="23836192"/>
    <w:rsid w:val="23901F29"/>
    <w:rsid w:val="239C0061"/>
    <w:rsid w:val="23AF2EDD"/>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1033BF"/>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182989"/>
    <w:rsid w:val="33263B3F"/>
    <w:rsid w:val="336963EB"/>
    <w:rsid w:val="33816EEB"/>
    <w:rsid w:val="33826513"/>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22427"/>
    <w:rsid w:val="37EE7094"/>
    <w:rsid w:val="38296C89"/>
    <w:rsid w:val="383002EB"/>
    <w:rsid w:val="38586797"/>
    <w:rsid w:val="38BC0149"/>
    <w:rsid w:val="38CE0BD3"/>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694EAF"/>
    <w:rsid w:val="3E7B5D6B"/>
    <w:rsid w:val="3E843E66"/>
    <w:rsid w:val="3E8F51FE"/>
    <w:rsid w:val="3E926F87"/>
    <w:rsid w:val="3E9A59DE"/>
    <w:rsid w:val="3EA5765F"/>
    <w:rsid w:val="3EAF4836"/>
    <w:rsid w:val="3EC33DFA"/>
    <w:rsid w:val="3F060E16"/>
    <w:rsid w:val="3F1D1096"/>
    <w:rsid w:val="3F2F0234"/>
    <w:rsid w:val="3F6363FE"/>
    <w:rsid w:val="3F756B8F"/>
    <w:rsid w:val="3F95482B"/>
    <w:rsid w:val="4019356B"/>
    <w:rsid w:val="404C551E"/>
    <w:rsid w:val="40592157"/>
    <w:rsid w:val="406E1CAE"/>
    <w:rsid w:val="40A0133A"/>
    <w:rsid w:val="40C31A53"/>
    <w:rsid w:val="40FF545D"/>
    <w:rsid w:val="410067C8"/>
    <w:rsid w:val="410A78B3"/>
    <w:rsid w:val="418F0D2A"/>
    <w:rsid w:val="41D01505"/>
    <w:rsid w:val="42474939"/>
    <w:rsid w:val="424C3C57"/>
    <w:rsid w:val="42613FF3"/>
    <w:rsid w:val="42660D96"/>
    <w:rsid w:val="428667D2"/>
    <w:rsid w:val="42CD1CE0"/>
    <w:rsid w:val="42D7446A"/>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297A89"/>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5137CF"/>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035925"/>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7A74B2"/>
    <w:rsid w:val="558931E1"/>
    <w:rsid w:val="55923347"/>
    <w:rsid w:val="55925180"/>
    <w:rsid w:val="55983B1B"/>
    <w:rsid w:val="55A8376B"/>
    <w:rsid w:val="55DC29B6"/>
    <w:rsid w:val="55DD4241"/>
    <w:rsid w:val="55FA3400"/>
    <w:rsid w:val="56346343"/>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26B62"/>
    <w:rsid w:val="5EFC7377"/>
    <w:rsid w:val="5F06174D"/>
    <w:rsid w:val="5F2C1D4A"/>
    <w:rsid w:val="5F3A3602"/>
    <w:rsid w:val="5F45733B"/>
    <w:rsid w:val="5F6277C6"/>
    <w:rsid w:val="5F6D0B1D"/>
    <w:rsid w:val="5F8D0B82"/>
    <w:rsid w:val="5FCC5339"/>
    <w:rsid w:val="5FE34A5B"/>
    <w:rsid w:val="5FFE1E36"/>
    <w:rsid w:val="60232584"/>
    <w:rsid w:val="60457B68"/>
    <w:rsid w:val="607330CE"/>
    <w:rsid w:val="60825176"/>
    <w:rsid w:val="609F2AC4"/>
    <w:rsid w:val="60FA2EE8"/>
    <w:rsid w:val="60FC0DF8"/>
    <w:rsid w:val="61054A27"/>
    <w:rsid w:val="610A52BC"/>
    <w:rsid w:val="611D2366"/>
    <w:rsid w:val="61421856"/>
    <w:rsid w:val="615227C4"/>
    <w:rsid w:val="61654E3F"/>
    <w:rsid w:val="6182292A"/>
    <w:rsid w:val="619F7F92"/>
    <w:rsid w:val="61F94C26"/>
    <w:rsid w:val="61FF1523"/>
    <w:rsid w:val="62000E56"/>
    <w:rsid w:val="624F3E49"/>
    <w:rsid w:val="62632286"/>
    <w:rsid w:val="62885958"/>
    <w:rsid w:val="62F40B65"/>
    <w:rsid w:val="62F90E69"/>
    <w:rsid w:val="62FC2CFE"/>
    <w:rsid w:val="63024505"/>
    <w:rsid w:val="635600A5"/>
    <w:rsid w:val="635B1DB5"/>
    <w:rsid w:val="63711FED"/>
    <w:rsid w:val="63880DDC"/>
    <w:rsid w:val="638D750D"/>
    <w:rsid w:val="63AC6CC0"/>
    <w:rsid w:val="64055776"/>
    <w:rsid w:val="64240056"/>
    <w:rsid w:val="643E143A"/>
    <w:rsid w:val="64491666"/>
    <w:rsid w:val="648B6EEF"/>
    <w:rsid w:val="649015CE"/>
    <w:rsid w:val="64C158BF"/>
    <w:rsid w:val="64CE2EAA"/>
    <w:rsid w:val="653C3090"/>
    <w:rsid w:val="65854376"/>
    <w:rsid w:val="658767BE"/>
    <w:rsid w:val="65892531"/>
    <w:rsid w:val="66195831"/>
    <w:rsid w:val="662D00D8"/>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015ECC"/>
    <w:rsid w:val="691664E5"/>
    <w:rsid w:val="693E15D3"/>
    <w:rsid w:val="69425627"/>
    <w:rsid w:val="69627681"/>
    <w:rsid w:val="6977531D"/>
    <w:rsid w:val="69B03519"/>
    <w:rsid w:val="69CB7DEE"/>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814BED"/>
    <w:rsid w:val="70F5661B"/>
    <w:rsid w:val="71360107"/>
    <w:rsid w:val="713B688E"/>
    <w:rsid w:val="71D43752"/>
    <w:rsid w:val="71F1796A"/>
    <w:rsid w:val="72154626"/>
    <w:rsid w:val="72262B5D"/>
    <w:rsid w:val="72283FF7"/>
    <w:rsid w:val="722E7212"/>
    <w:rsid w:val="723A0474"/>
    <w:rsid w:val="725923E4"/>
    <w:rsid w:val="72864BF7"/>
    <w:rsid w:val="729023FC"/>
    <w:rsid w:val="732F1ED8"/>
    <w:rsid w:val="733B0187"/>
    <w:rsid w:val="73C0646E"/>
    <w:rsid w:val="73E7CF11"/>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4C090E"/>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733B0F"/>
    <w:rsid w:val="7DB57A34"/>
    <w:rsid w:val="7DE60973"/>
    <w:rsid w:val="7DEF0916"/>
    <w:rsid w:val="7E1E5218"/>
    <w:rsid w:val="7E9A4E1F"/>
    <w:rsid w:val="7EA7723A"/>
    <w:rsid w:val="7EF56FBB"/>
    <w:rsid w:val="7F0768EB"/>
    <w:rsid w:val="7F143BEC"/>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qFormat/>
    <w:uiPriority w:val="0"/>
    <w:rPr>
      <w:b/>
      <w:bCs/>
    </w:rPr>
  </w:style>
  <w:style w:type="paragraph" w:styleId="60">
    <w:name w:val="Body Text First Indent"/>
    <w:basedOn w:val="23"/>
    <w:link w:val="321"/>
    <w:qFormat/>
    <w:uiPriority w:val="0"/>
    <w:pPr>
      <w:ind w:firstLine="420"/>
    </w:pPr>
    <w:rPr>
      <w:rFonts w:hAnsi="Calibri" w:cs="Times New Roman"/>
      <w:snapToGrid/>
      <w:szCs w:val="20"/>
    </w:rPr>
  </w:style>
  <w:style w:type="paragraph" w:styleId="61">
    <w:name w:val="Body Text First Indent 2"/>
    <w:basedOn w:val="24"/>
    <w:next w:val="1"/>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空2字"/>
    <w:basedOn w:val="8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qFormat/>
    <w:uiPriority w:val="99"/>
    <w:rPr>
      <w:rFonts w:ascii="Calibri" w:hAnsi="Calibri" w:eastAsia="仿宋_GB2312" w:cs="Calibri"/>
      <w:kern w:val="2"/>
      <w:sz w:val="32"/>
      <w:szCs w:val="32"/>
      <w:lang w:val="en-US" w:eastAsia="zh-CN" w:bidi="ar-SA"/>
    </w:rPr>
  </w:style>
  <w:style w:type="paragraph" w:customStyle="1" w:styleId="8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5"/>
    <w:qFormat/>
    <w:uiPriority w:val="0"/>
    <w:rPr>
      <w:rFonts w:ascii="宋体"/>
      <w:kern w:val="2"/>
      <w:sz w:val="24"/>
      <w:szCs w:val="21"/>
      <w:lang w:val="zh-CN"/>
    </w:rPr>
  </w:style>
  <w:style w:type="character" w:customStyle="1" w:styleId="182">
    <w:name w:val="标题 9 字符"/>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6"/>
    <w:qFormat/>
    <w:uiPriority w:val="0"/>
    <w:rPr>
      <w:rFonts w:ascii="黑体" w:hAnsi="Courier New" w:eastAsia="黑体"/>
    </w:rPr>
  </w:style>
  <w:style w:type="character" w:customStyle="1" w:styleId="302">
    <w:name w:val="正文文本 2 字符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9"/>
    <w:qFormat/>
    <w:uiPriority w:val="0"/>
    <w:rPr>
      <w:b/>
      <w:bCs/>
      <w:kern w:val="2"/>
      <w:sz w:val="24"/>
      <w:szCs w:val="24"/>
    </w:rPr>
  </w:style>
  <w:style w:type="character" w:customStyle="1" w:styleId="308">
    <w:name w:val="正文文本缩进 2 字符"/>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19"/>
    <w:qFormat/>
    <w:uiPriority w:val="99"/>
    <w:rPr>
      <w:kern w:val="2"/>
      <w:sz w:val="21"/>
      <w:szCs w:val="24"/>
    </w:rPr>
  </w:style>
  <w:style w:type="character" w:customStyle="1" w:styleId="345">
    <w:name w:val="签名 字符"/>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7"/>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67</Pages>
  <Words>5156</Words>
  <Characters>5735</Characters>
  <Lines>1366</Lines>
  <Paragraphs>1371</Paragraphs>
  <TotalTime>23</TotalTime>
  <ScaleCrop>false</ScaleCrop>
  <LinksUpToDate>false</LinksUpToDate>
  <CharactersWithSpaces>5882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粥小粒</cp:lastModifiedBy>
  <cp:lastPrinted>2021-12-28T03:06:00Z</cp:lastPrinted>
  <dcterms:modified xsi:type="dcterms:W3CDTF">2025-07-01T11:17:40Z</dcterms:modified>
  <dc:title>杭州市市民卡扩大发卡工程</dc:title>
  <cp:revision>316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11C722A34BFB4F269076C0C6BEAC0F80_13</vt:lpwstr>
  </property>
  <property fmtid="{D5CDD505-2E9C-101B-9397-08002B2CF9AE}" pid="5" name="KSOTemplateDocerSaveRecord">
    <vt:lpwstr>eyJoZGlkIjoiNDY3MGQ5YTEwMmY0NjgwMDVlNDJlMDZkZDhiNTE4YWYiLCJ1c2VySWQiOiI0NjA5ODUyMDMifQ==</vt:lpwstr>
  </property>
</Properties>
</file>