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 w:hAnsi="仿宋" w:eastAsia="仿宋" w:cs="仿宋_GB2312"/>
          <w:b/>
          <w:sz w:val="44"/>
          <w:szCs w:val="44"/>
        </w:rPr>
      </w:pPr>
    </w:p>
    <w:p>
      <w:pPr>
        <w:jc w:val="center"/>
        <w:rPr>
          <w:rFonts w:hint="eastAsia" w:ascii="仿宋" w:hAnsi="仿宋" w:eastAsia="仿宋" w:cs="仿宋_GB2312"/>
          <w:b/>
          <w:bCs/>
          <w:sz w:val="52"/>
          <w:szCs w:val="52"/>
          <w:lang w:eastAsia="zh-CN"/>
        </w:rPr>
      </w:pPr>
      <w:r>
        <w:rPr>
          <w:rFonts w:hint="eastAsia" w:ascii="仿宋" w:hAnsi="仿宋" w:eastAsia="仿宋" w:cs="仿宋_GB2312"/>
          <w:b/>
          <w:bCs/>
          <w:sz w:val="52"/>
          <w:szCs w:val="52"/>
          <w:lang w:eastAsia="zh-CN"/>
        </w:rPr>
        <w:t>网络消费投诉调解质量提升辅助处理</w:t>
      </w:r>
    </w:p>
    <w:p>
      <w:pPr>
        <w:jc w:val="center"/>
        <w:rPr>
          <w:rFonts w:hint="eastAsia" w:eastAsia="宋体"/>
          <w:lang w:eastAsia="zh-CN"/>
        </w:rPr>
      </w:pPr>
      <w:r>
        <w:rPr>
          <w:rFonts w:hint="eastAsia" w:ascii="仿宋" w:hAnsi="仿宋" w:eastAsia="仿宋" w:cs="仿宋_GB2312"/>
          <w:b/>
          <w:bCs/>
          <w:sz w:val="52"/>
          <w:szCs w:val="52"/>
          <w:lang w:eastAsia="zh-CN"/>
        </w:rPr>
        <w:t>服务外包项目</w:t>
      </w:r>
    </w:p>
    <w:p>
      <w:pPr>
        <w:pStyle w:val="32"/>
      </w:pPr>
    </w:p>
    <w:p>
      <w:pPr>
        <w:pStyle w:val="33"/>
      </w:pPr>
    </w:p>
    <w:p/>
    <w:p>
      <w:pPr>
        <w:pStyle w:val="2"/>
      </w:pPr>
    </w:p>
    <w:p/>
    <w:p/>
    <w:p>
      <w:pPr>
        <w:pStyle w:val="211"/>
        <w:ind w:firstLine="460"/>
      </w:pPr>
    </w:p>
    <w:p>
      <w:pPr>
        <w:adjustRightInd/>
        <w:spacing w:line="360" w:lineRule="auto"/>
        <w:jc w:val="center"/>
        <w:rPr>
          <w:rFonts w:ascii="黑体" w:hAnsi="黑体" w:eastAsia="黑体" w:cs="黑体"/>
          <w:sz w:val="84"/>
          <w:szCs w:val="84"/>
        </w:rPr>
      </w:pPr>
      <w:r>
        <w:rPr>
          <w:rFonts w:hint="eastAsia" w:ascii="黑体" w:hAnsi="黑体" w:eastAsia="黑体" w:cs="黑体"/>
          <w:sz w:val="84"/>
          <w:szCs w:val="84"/>
        </w:rPr>
        <w:t>招  标 文 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pStyle w:val="32"/>
      </w:pPr>
    </w:p>
    <w:p>
      <w:pPr>
        <w:snapToGrid w:val="0"/>
        <w:spacing w:line="360" w:lineRule="auto"/>
        <w:jc w:val="center"/>
        <w:rPr>
          <w:rFonts w:hint="eastAsia" w:ascii="仿宋" w:hAnsi="仿宋" w:eastAsia="仿宋" w:cs="仿宋_GB2312"/>
          <w:sz w:val="36"/>
          <w:szCs w:val="36"/>
          <w:lang w:eastAsia="zh-CN"/>
        </w:rPr>
      </w:pPr>
      <w:r>
        <w:rPr>
          <w:rFonts w:hint="eastAsia" w:ascii="仿宋" w:hAnsi="仿宋" w:eastAsia="仿宋" w:cs="仿宋_GB2312"/>
          <w:sz w:val="36"/>
          <w:szCs w:val="36"/>
        </w:rPr>
        <w:t>编号</w:t>
      </w:r>
      <w:r>
        <w:rPr>
          <w:rFonts w:ascii="仿宋" w:hAnsi="仿宋" w:eastAsia="仿宋" w:cs="仿宋_GB2312"/>
          <w:sz w:val="36"/>
          <w:szCs w:val="36"/>
        </w:rPr>
        <w:t>:</w:t>
      </w:r>
      <w:r>
        <w:rPr>
          <w:rFonts w:hint="eastAsia" w:ascii="仿宋" w:hAnsi="仿宋" w:eastAsia="仿宋" w:cs="仿宋_GB2312"/>
          <w:sz w:val="36"/>
          <w:szCs w:val="36"/>
          <w:lang w:eastAsia="zh-CN"/>
        </w:rPr>
        <w:t>YHZFCG2022-202</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pStyle w:val="32"/>
      </w:pPr>
    </w:p>
    <w:p>
      <w:pPr>
        <w:pStyle w:val="33"/>
      </w:pPr>
    </w:p>
    <w:p>
      <w:pPr>
        <w:spacing w:line="360" w:lineRule="auto"/>
        <w:rPr>
          <w:rFonts w:ascii="仿宋" w:hAnsi="仿宋" w:eastAsia="仿宋"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 xml:space="preserve"> 招标人：杭州市余杭区市场监督管理局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招标代理机构：耀华建设管理有限公司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二二</w:t>
      </w:r>
      <w:r>
        <w:rPr>
          <w:rFonts w:hint="eastAsia" w:ascii="宋体" w:hAnsi="宋体" w:cs="宋体"/>
          <w:bCs/>
          <w:sz w:val="36"/>
          <w:szCs w:val="36"/>
        </w:rPr>
        <w:t xml:space="preserve"> </w:t>
      </w:r>
      <w:r>
        <w:rPr>
          <w:rFonts w:hint="eastAsia" w:ascii="仿宋_GB2312" w:hAnsi="仿宋_GB2312" w:eastAsia="仿宋_GB2312" w:cs="仿宋_GB2312"/>
          <w:bCs/>
          <w:sz w:val="36"/>
          <w:szCs w:val="36"/>
        </w:rPr>
        <w:t xml:space="preserve">年 </w:t>
      </w:r>
      <w:r>
        <w:rPr>
          <w:rFonts w:hint="eastAsia" w:ascii="仿宋_GB2312" w:hAnsi="仿宋_GB2312" w:eastAsia="仿宋_GB2312" w:cs="仿宋_GB2312"/>
          <w:bCs/>
          <w:sz w:val="36"/>
          <w:szCs w:val="36"/>
          <w:lang w:eastAsia="zh-CN"/>
        </w:rPr>
        <w:t>九</w:t>
      </w:r>
      <w:r>
        <w:rPr>
          <w:rFonts w:hint="eastAsia" w:ascii="仿宋_GB2312" w:hAnsi="仿宋_GB2312" w:eastAsia="仿宋_GB2312" w:cs="仿宋_GB2312"/>
          <w:bCs/>
          <w:sz w:val="36"/>
          <w:szCs w:val="36"/>
          <w:lang w:val="en-US" w:eastAsia="zh-CN"/>
        </w:rPr>
        <w:t xml:space="preserve"> </w:t>
      </w:r>
      <w:r>
        <w:rPr>
          <w:rFonts w:hint="eastAsia" w:ascii="仿宋_GB2312" w:hAnsi="仿宋_GB2312" w:eastAsia="仿宋_GB2312" w:cs="仿宋_GB2312"/>
          <w:bCs/>
          <w:sz w:val="36"/>
          <w:szCs w:val="36"/>
        </w:rPr>
        <w:t>月</w:t>
      </w:r>
      <w:r>
        <w:rPr>
          <w:rFonts w:hint="eastAsia" w:ascii="仿宋_GB2312" w:hAnsi="仿宋_GB2312" w:eastAsia="仿宋_GB2312" w:cs="仿宋_GB2312"/>
          <w:bCs/>
          <w:sz w:val="36"/>
          <w:szCs w:val="36"/>
          <w:lang w:val="en-US" w:eastAsia="zh-CN"/>
        </w:rPr>
        <w:t xml:space="preserve"> 八 </w:t>
      </w:r>
      <w:r>
        <w:rPr>
          <w:rFonts w:hint="eastAsia" w:ascii="仿宋_GB2312" w:hAnsi="仿宋_GB2312" w:eastAsia="仿宋_GB2312" w:cs="仿宋_GB2312"/>
          <w:bCs/>
          <w:sz w:val="36"/>
          <w:szCs w:val="36"/>
        </w:rPr>
        <w:t>日</w:t>
      </w:r>
    </w:p>
    <w:p>
      <w:pPr>
        <w:spacing w:line="360" w:lineRule="auto"/>
        <w:jc w:val="center"/>
        <w:rPr>
          <w:rFonts w:ascii="仿宋" w:hAnsi="仿宋" w:eastAsia="仿宋" w:cs="仿宋_GB2312"/>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pPr>
        <w:pStyle w:val="73"/>
        <w:ind w:firstLine="420"/>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tabs>
          <w:tab w:val="left" w:pos="3713"/>
        </w:tabs>
        <w:spacing w:line="360" w:lineRule="auto"/>
        <w:ind w:firstLine="549" w:firstLineChars="229"/>
        <w:rPr>
          <w:rFonts w:ascii="仿宋" w:hAnsi="仿宋" w:eastAsia="仿宋" w:cs="仿宋_GB2312"/>
          <w:sz w:val="24"/>
        </w:rPr>
      </w:pPr>
      <w:r>
        <w:rPr>
          <w:rFonts w:hint="eastAsia" w:ascii="仿宋" w:hAnsi="仿宋" w:eastAsia="仿宋" w:cs="仿宋_GB2312"/>
          <w:sz w:val="24"/>
        </w:rPr>
        <w:tab/>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网络消费投诉调解质量提升辅助处理服务外包项目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8"/>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YHZFCG2022-202</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网络消费投诉调解质量提升辅助处理服务外包项目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7</w:t>
      </w:r>
      <w:r>
        <w:rPr>
          <w:rFonts w:hint="eastAsia" w:ascii="仿宋_GB2312" w:hAnsi="仿宋" w:eastAsia="仿宋_GB2312"/>
          <w:b/>
          <w:sz w:val="24"/>
        </w:rPr>
        <w:t>000000.00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val="en-US" w:eastAsia="zh-CN"/>
        </w:rPr>
        <w:t>7</w:t>
      </w:r>
      <w:r>
        <w:rPr>
          <w:rFonts w:hint="eastAsia" w:ascii="仿宋_GB2312" w:hAnsi="仿宋" w:eastAsia="仿宋_GB2312"/>
          <w:b/>
          <w:sz w:val="24"/>
        </w:rPr>
        <w:t>000000.00</w:t>
      </w:r>
      <w:r>
        <w:rPr>
          <w:rFonts w:ascii="仿宋_GB2312" w:hAnsi="仿宋" w:eastAsia="仿宋_GB2312"/>
          <w:sz w:val="24"/>
        </w:rPr>
        <w:t xml:space="preserve"> </w:t>
      </w:r>
      <w:r>
        <w:rPr>
          <w:rFonts w:hint="eastAsia" w:ascii="仿宋_GB2312" w:hAnsi="仿宋" w:eastAsia="仿宋_GB2312"/>
          <w:sz w:val="24"/>
        </w:rPr>
        <w:t xml:space="preserve"> </w:t>
      </w:r>
    </w:p>
    <w:p>
      <w:pPr>
        <w:pStyle w:val="1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lang w:eastAsia="zh-CN"/>
        </w:rPr>
        <w:t>网络消费投诉调解质量提升辅助处理服务外包项目</w:t>
      </w:r>
      <w:r>
        <w:rPr>
          <w:rFonts w:hint="eastAsia" w:ascii="仿宋_GB2312" w:hAnsi="仿宋" w:eastAsia="仿宋_GB2312"/>
          <w:bCs/>
          <w:color w:val="auto"/>
          <w:kern w:val="2"/>
          <w:sz w:val="24"/>
          <w:szCs w:val="24"/>
        </w:rPr>
        <w:t>，详见招标文件第三部分采购需求。</w:t>
      </w:r>
    </w:p>
    <w:p>
      <w:pPr>
        <w:pStyle w:val="15"/>
        <w:spacing w:line="360" w:lineRule="auto"/>
        <w:ind w:firstLine="480"/>
        <w:outlineLvl w:val="2"/>
        <w:rPr>
          <w:rFonts w:ascii="仿宋_GB2312" w:hAnsi="仿宋" w:eastAsia="仿宋_GB2312"/>
          <w:b/>
          <w:color w:val="auto"/>
          <w:sz w:val="24"/>
        </w:rPr>
      </w:pPr>
      <w:r>
        <w:rPr>
          <w:rFonts w:hint="eastAsia" w:ascii="仿宋_GB2312" w:hAnsi="仿宋" w:eastAsia="仿宋_GB2312"/>
          <w:b/>
          <w:color w:val="auto"/>
          <w:sz w:val="24"/>
        </w:rPr>
        <w:t>合同履约期限：详见招标文件第三部分采购需求。</w:t>
      </w:r>
    </w:p>
    <w:p>
      <w:pPr>
        <w:pStyle w:val="1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仿宋_GB2312" w:hAnsi="仿宋" w:eastAsia="仿宋_GB2312"/>
          <w:b/>
          <w:color w:val="auto"/>
          <w:sz w:val="24"/>
        </w:rPr>
        <w:sym w:font="Wingdings" w:char="00FE"/>
      </w:r>
      <w:r>
        <w:rPr>
          <w:rFonts w:hint="eastAsia" w:ascii="仿宋_GB2312" w:hAnsi="仿宋" w:eastAsia="仿宋_GB2312"/>
          <w:b/>
          <w:color w:val="auto"/>
          <w:sz w:val="24"/>
        </w:rPr>
        <w:t>是，</w:t>
      </w:r>
      <w:r>
        <w:rPr>
          <w:rFonts w:ascii="仿宋_GB2312" w:hAnsi="仿宋" w:eastAsia="仿宋_GB2312"/>
          <w:b/>
          <w:color w:val="auto"/>
          <w:sz w:val="24"/>
        </w:rPr>
        <w:sym w:font="Wingdings" w:char="00A8"/>
      </w:r>
      <w:r>
        <w:rPr>
          <w:rFonts w:hint="eastAsia" w:ascii="仿宋_GB2312" w:hAnsi="仿宋" w:eastAsia="仿宋_GB2312"/>
          <w:b/>
          <w:color w:val="auto"/>
          <w:sz w:val="24"/>
        </w:rPr>
        <w:t>否。</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hint="eastAsia"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hint="eastAsia" w:ascii="仿宋_GB2312" w:hAnsi="仿宋" w:eastAsia="仿宋_GB2312" w:cs="Times New Roman"/>
          <w:kern w:val="2"/>
          <w:sz w:val="24"/>
          <w:lang w:eastAsia="zh-CN"/>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r>
        <w:rPr>
          <w:rFonts w:hint="eastAsia" w:ascii="仿宋_GB2312" w:hAnsi="仿宋" w:eastAsia="仿宋_GB2312"/>
          <w:sz w:val="24"/>
          <w:lang w:val="en-US" w:eastAsia="zh-CN"/>
        </w:rPr>
        <w:t>;</w:t>
      </w:r>
      <w:r>
        <w:rPr>
          <w:rFonts w:hint="eastAsia" w:ascii="仿宋_GB2312" w:hAnsi="仿宋" w:eastAsia="仿宋_GB2312" w:cs="Times New Roman"/>
          <w:kern w:val="2"/>
          <w:sz w:val="24"/>
        </w:rPr>
        <w:t>但为保证小</w:t>
      </w:r>
      <w:r>
        <w:rPr>
          <w:rFonts w:hint="eastAsia" w:ascii="仿宋_GB2312" w:hAnsi="仿宋" w:eastAsia="仿宋_GB2312" w:cs="Times New Roman"/>
          <w:kern w:val="2"/>
          <w:sz w:val="24"/>
          <w:lang w:eastAsia="zh-CN"/>
        </w:rPr>
        <w:t>微</w:t>
      </w:r>
      <w:r>
        <w:rPr>
          <w:rFonts w:hint="eastAsia" w:ascii="仿宋_GB2312" w:hAnsi="仿宋" w:eastAsia="仿宋_GB2312" w:cs="Times New Roman"/>
          <w:kern w:val="2"/>
          <w:sz w:val="24"/>
        </w:rPr>
        <w:t>企业预留采购份额，本项目要求投标人以联合体形式参加，提供联合协议和中小企业声明函，联合协议中小</w:t>
      </w:r>
      <w:r>
        <w:rPr>
          <w:rFonts w:hint="eastAsia" w:ascii="仿宋_GB2312" w:hAnsi="仿宋" w:eastAsia="仿宋_GB2312" w:cs="Times New Roman"/>
          <w:kern w:val="2"/>
          <w:sz w:val="24"/>
          <w:lang w:eastAsia="zh-CN"/>
        </w:rPr>
        <w:t>型或微型</w:t>
      </w:r>
      <w:r>
        <w:rPr>
          <w:rFonts w:hint="eastAsia" w:ascii="仿宋_GB2312" w:hAnsi="仿宋" w:eastAsia="仿宋_GB2312" w:cs="Times New Roman"/>
          <w:kern w:val="2"/>
          <w:sz w:val="24"/>
        </w:rPr>
        <w:t>企业合同金额应当达到</w:t>
      </w:r>
      <w:r>
        <w:rPr>
          <w:rFonts w:hint="eastAsia" w:ascii="仿宋_GB2312" w:hAnsi="仿宋" w:eastAsia="仿宋_GB2312" w:cs="Times New Roman"/>
          <w:kern w:val="2"/>
          <w:sz w:val="24"/>
          <w:lang w:val="en-US" w:eastAsia="zh-CN"/>
        </w:rPr>
        <w:t>70</w:t>
      </w:r>
      <w:r>
        <w:rPr>
          <w:rFonts w:hint="eastAsia" w:ascii="仿宋_GB2312" w:hAnsi="仿宋" w:eastAsia="仿宋_GB2312" w:cs="Times New Roman"/>
          <w:kern w:val="2"/>
          <w:sz w:val="24"/>
        </w:rPr>
        <w:t>%;如果供应商本身提供所有标的均由小</w:t>
      </w:r>
      <w:r>
        <w:rPr>
          <w:rFonts w:hint="eastAsia" w:ascii="仿宋_GB2312" w:hAnsi="仿宋" w:eastAsia="仿宋_GB2312" w:cs="Times New Roman"/>
          <w:kern w:val="2"/>
          <w:sz w:val="24"/>
          <w:lang w:eastAsia="zh-CN"/>
        </w:rPr>
        <w:t>型或微型</w:t>
      </w:r>
      <w:r>
        <w:rPr>
          <w:rFonts w:hint="eastAsia" w:ascii="仿宋_GB2312" w:hAnsi="仿宋" w:eastAsia="仿宋_GB2312" w:cs="Times New Roman"/>
          <w:kern w:val="2"/>
          <w:sz w:val="24"/>
        </w:rPr>
        <w:t>企业制造、承建或承接，视同符合了资格条件，无需再与其他小</w:t>
      </w:r>
      <w:r>
        <w:rPr>
          <w:rFonts w:hint="eastAsia" w:ascii="仿宋_GB2312" w:hAnsi="仿宋" w:eastAsia="仿宋_GB2312" w:cs="Times New Roman"/>
          <w:kern w:val="2"/>
          <w:sz w:val="24"/>
          <w:lang w:eastAsia="zh-CN"/>
        </w:rPr>
        <w:t>型或微型</w:t>
      </w:r>
      <w:r>
        <w:rPr>
          <w:rFonts w:hint="eastAsia" w:ascii="仿宋_GB2312" w:hAnsi="仿宋" w:eastAsia="仿宋_GB2312" w:cs="Times New Roman"/>
          <w:kern w:val="2"/>
          <w:sz w:val="24"/>
        </w:rPr>
        <w:t>企业组成联合体参加政府采购活动，无需提供联合协议</w:t>
      </w:r>
      <w:r>
        <w:rPr>
          <w:rFonts w:hint="eastAsia" w:ascii="仿宋_GB2312" w:hAnsi="仿宋" w:eastAsia="仿宋_GB2312" w:cs="Times New Roman"/>
          <w:kern w:val="2"/>
          <w:sz w:val="24"/>
          <w:lang w:eastAsia="zh-CN"/>
        </w:rPr>
        <w:t>；</w:t>
      </w:r>
    </w:p>
    <w:p>
      <w:pPr>
        <w:spacing w:line="360" w:lineRule="auto"/>
        <w:ind w:firstLine="480" w:firstLineChars="200"/>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480" w:firstLineChars="200"/>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480" w:firstLineChars="200"/>
        <w:rPr>
          <w:rFonts w:ascii="仿宋_GB2312" w:hAnsi="仿宋" w:eastAsia="仿宋_GB2312"/>
          <w:sz w:val="24"/>
        </w:rPr>
      </w:pPr>
      <w:r>
        <w:rPr>
          <w:rFonts w:ascii="MS Gothic" w:hAnsi="MS Gothic" w:eastAsia="仿宋_GB2312"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480" w:firstLineChars="200"/>
        <w:rPr>
          <w:rFonts w:hint="eastAsia"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pStyle w:val="2"/>
      </w:pPr>
    </w:p>
    <w:p>
      <w:pPr>
        <w:spacing w:line="360" w:lineRule="auto"/>
        <w:ind w:firstLine="480" w:firstLineChars="200"/>
        <w:rPr>
          <w:rFonts w:ascii="仿宋" w:hAnsi="仿宋" w:eastAsia="仿宋"/>
          <w:sz w:val="24"/>
        </w:rPr>
      </w:pPr>
      <w:r>
        <w:rPr>
          <w:rFonts w:ascii="MS Gothic" w:hAnsi="MS Gothic" w:eastAsia="仿宋_GB2312" w:cs="Arial"/>
          <w:kern w:val="0"/>
          <w:sz w:val="24"/>
        </w:rPr>
        <w:sym w:font="Wingdings" w:char="00FE"/>
      </w:r>
      <w:r>
        <w:rPr>
          <w:rFonts w:hint="eastAsia" w:ascii="仿宋_GB2312" w:hAnsi="仿宋" w:eastAsia="仿宋_GB2312"/>
          <w:sz w:val="24"/>
        </w:rPr>
        <w:t>要求以联合体形式参加，提供联合协议和中小企业声明函，联合协议中小</w:t>
      </w:r>
      <w:r>
        <w:rPr>
          <w:rFonts w:hint="eastAsia" w:ascii="仿宋_GB2312" w:hAnsi="仿宋" w:eastAsia="仿宋_GB2312"/>
          <w:sz w:val="24"/>
          <w:lang w:eastAsia="zh-CN"/>
        </w:rPr>
        <w:t>微</w:t>
      </w:r>
      <w:r>
        <w:rPr>
          <w:rFonts w:hint="eastAsia" w:ascii="仿宋_GB2312" w:hAnsi="仿宋" w:eastAsia="仿宋_GB2312"/>
          <w:sz w:val="24"/>
        </w:rPr>
        <w:t>企业合同金额应当达到</w:t>
      </w:r>
      <w:r>
        <w:rPr>
          <w:rFonts w:hint="eastAsia" w:ascii="仿宋_GB2312" w:hAnsi="仿宋" w:eastAsia="仿宋_GB2312"/>
          <w:sz w:val="24"/>
          <w:u w:val="single"/>
          <w:lang w:val="en-US" w:eastAsia="zh-CN"/>
        </w:rPr>
        <w:t>70</w:t>
      </w:r>
      <w:r>
        <w:rPr>
          <w:rFonts w:ascii="仿宋_GB2312" w:hAnsi="仿宋" w:eastAsia="仿宋_GB2312"/>
          <w:sz w:val="24"/>
        </w:rPr>
        <w:t>%，小</w:t>
      </w:r>
      <w:r>
        <w:rPr>
          <w:rFonts w:hint="eastAsia" w:ascii="仿宋_GB2312" w:hAnsi="仿宋" w:eastAsia="仿宋_GB2312"/>
          <w:sz w:val="24"/>
        </w:rPr>
        <w:t>微企业合同金额应当达到</w:t>
      </w:r>
      <w:r>
        <w:rPr>
          <w:rFonts w:hint="eastAsia" w:ascii="仿宋_GB2312" w:hAnsi="仿宋" w:eastAsia="仿宋_GB2312"/>
          <w:sz w:val="24"/>
          <w:u w:val="single"/>
          <w:lang w:val="en-US" w:eastAsia="zh-CN"/>
        </w:rPr>
        <w:t>70</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09</w:t>
      </w:r>
      <w:r>
        <w:rPr>
          <w:rFonts w:ascii="仿宋_GB2312" w:hAnsi="仿宋" w:eastAsia="仿宋_GB2312"/>
          <w:sz w:val="24"/>
          <w:u w:val="single"/>
        </w:rPr>
        <w:t>月</w:t>
      </w:r>
      <w:r>
        <w:rPr>
          <w:rFonts w:hint="eastAsia" w:ascii="仿宋_GB2312" w:hAnsi="仿宋" w:eastAsia="仿宋_GB2312"/>
          <w:sz w:val="24"/>
          <w:u w:val="single"/>
          <w:lang w:val="en-US" w:eastAsia="zh-CN"/>
        </w:rPr>
        <w:t>28</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bCs/>
          <w:sz w:val="24"/>
          <w:u w:val="single"/>
          <w:lang w:val="en-US" w:eastAsia="zh-CN"/>
        </w:rPr>
        <w:t>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rPr>
        <w:t>；</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bCs/>
          <w:sz w:val="24"/>
          <w:u w:val="single"/>
          <w:lang w:val="en-US" w:eastAsia="zh-CN"/>
        </w:rPr>
        <w:t>00秒</w:t>
      </w:r>
      <w:r>
        <w:rPr>
          <w:rFonts w:hint="eastAsia" w:ascii="仿宋_GB2312" w:hAnsi="仿宋" w:eastAsia="仿宋_GB2312"/>
          <w:bCs/>
          <w:sz w:val="24"/>
          <w:u w:val="single"/>
        </w:rPr>
        <w:t>；</w:t>
      </w:r>
    </w:p>
    <w:p>
      <w:pPr>
        <w:spacing w:line="360" w:lineRule="auto"/>
        <w:ind w:firstLine="482" w:firstLineChars="200"/>
        <w:rPr>
          <w:rFonts w:hint="eastAsia"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_GB2312" w:hAnsi="仿宋" w:eastAsia="仿宋_GB2312"/>
          <w:sz w:val="24"/>
        </w:rPr>
        <w:t>。</w:t>
      </w:r>
    </w:p>
    <w:p>
      <w:pPr>
        <w:pStyle w:val="2"/>
        <w:rPr>
          <w:rFonts w:hint="eastAsia"/>
          <w:sz w:val="24"/>
          <w:lang w:val="en-US" w:eastAsia="zh-CN"/>
        </w:rPr>
      </w:pPr>
      <w:r>
        <w:rPr>
          <w:rFonts w:hint="eastAsia"/>
          <w:sz w:val="24"/>
          <w:lang w:val="en-US" w:eastAsia="zh-CN"/>
        </w:rPr>
        <w:t xml:space="preserve">    线下组织机构</w:t>
      </w:r>
      <w:r>
        <w:rPr>
          <w:rFonts w:hint="eastAsia" w:ascii="仿宋_GB2312" w:hAnsi="仿宋" w:eastAsia="仿宋_GB2312"/>
          <w:b/>
          <w:sz w:val="24"/>
        </w:rPr>
        <w:t>开标</w:t>
      </w:r>
      <w:r>
        <w:rPr>
          <w:rFonts w:hint="eastAsia"/>
          <w:sz w:val="24"/>
          <w:lang w:val="en-US" w:eastAsia="zh-CN"/>
        </w:rPr>
        <w:t>地点：杭州市临平区南苑街道华元欢乐城-华元大厦20层2027会议室。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widowControl/>
        <w:spacing w:line="360" w:lineRule="auto"/>
        <w:ind w:firstLine="480" w:firstLineChars="200"/>
        <w:jc w:val="left"/>
        <w:rPr>
          <w:rFonts w:ascii="仿宋_GB2312" w:hAnsi="仿宋_GB2312" w:eastAsia="仿宋_GB2312" w:cs="仿宋_GB2312"/>
          <w:bCs/>
          <w:color w:val="000000"/>
          <w:sz w:val="24"/>
        </w:rPr>
      </w:pPr>
      <w:r>
        <w:rPr>
          <w:rFonts w:hint="eastAsia" w:ascii="仿宋_GB2312" w:hAnsi="仿宋_GB2312" w:eastAsia="仿宋_GB2312" w:cs="仿宋_GB2312"/>
          <w:sz w:val="24"/>
        </w:rPr>
        <w:t xml:space="preserve">名称：杭州市余杭区市场监督管理局 </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地址：杭州市余杭区溪沁路8号中国电信浙江创新产业园1号楼4楼。</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项目联系人（询问）：陈先生</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联系电话：0571-86167063</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质疑联系人：王先生</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联系电话：0571-86167127</w:t>
      </w:r>
    </w:p>
    <w:p>
      <w:pPr>
        <w:widowControl/>
        <w:spacing w:line="360" w:lineRule="auto"/>
        <w:ind w:firstLine="482" w:firstLineChars="200"/>
        <w:jc w:val="left"/>
        <w:outlineLvl w:val="1"/>
        <w:rPr>
          <w:rFonts w:ascii="仿宋_GB2312" w:hAnsi="仿宋_GB2312" w:eastAsia="仿宋_GB2312" w:cs="仿宋_GB2312"/>
          <w:b/>
          <w:sz w:val="24"/>
        </w:rPr>
      </w:pPr>
      <w:bookmarkStart w:id="10" w:name="_Toc28359009"/>
      <w:bookmarkStart w:id="11" w:name="_Toc28359086"/>
      <w:bookmarkStart w:id="12" w:name="_Toc31571"/>
      <w:r>
        <w:rPr>
          <w:rFonts w:hint="eastAsia" w:ascii="仿宋_GB2312" w:hAnsi="仿宋_GB2312" w:eastAsia="仿宋_GB2312" w:cs="仿宋_GB2312"/>
          <w:b/>
          <w:sz w:val="24"/>
        </w:rPr>
        <w:t>2.采购代理机构信息</w:t>
      </w:r>
      <w:bookmarkEnd w:id="10"/>
      <w:bookmarkEnd w:id="11"/>
      <w:bookmarkEnd w:id="12"/>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名称：耀华建设管理有限公司</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临平地址：杭州市临平区南苑街道华元欢乐城-华元大厦20层2022办公室。</w:t>
      </w:r>
    </w:p>
    <w:p>
      <w:pPr>
        <w:pStyle w:val="2"/>
        <w:rPr>
          <w:rFonts w:hint="default" w:eastAsia="仿宋_GB2312"/>
          <w:lang w:val="en-US" w:eastAsia="zh-CN"/>
        </w:rPr>
      </w:pPr>
      <w:r>
        <w:rPr>
          <w:rFonts w:hint="eastAsia" w:hAnsi="仿宋_GB2312" w:cs="仿宋_GB2312"/>
          <w:sz w:val="24"/>
          <w:lang w:val="en-US" w:eastAsia="zh-CN"/>
        </w:rPr>
        <w:t xml:space="preserve">    余杭地址：杭州市余杭区联创街77号汇银中心3幢2单元（整幢）1-3层。</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sz w:val="24"/>
        </w:rPr>
        <w:t>项目联系人（</w:t>
      </w:r>
      <w:r>
        <w:rPr>
          <w:rFonts w:hint="eastAsia" w:ascii="仿宋_GB2312" w:hAnsi="仿宋_GB2312" w:eastAsia="仿宋_GB2312" w:cs="仿宋_GB2312"/>
          <w:color w:val="000000"/>
          <w:sz w:val="24"/>
        </w:rPr>
        <w:t>询问）：周聪聪          联系电话：0571-86320706</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sz w:val="24"/>
        </w:rPr>
        <w:t xml:space="preserve">质疑联系人：单成燕                   </w:t>
      </w:r>
      <w:r>
        <w:rPr>
          <w:rFonts w:hint="eastAsia" w:ascii="仿宋_GB2312" w:hAnsi="仿宋_GB2312" w:eastAsia="仿宋_GB2312" w:cs="仿宋_GB2312"/>
          <w:sz w:val="24"/>
        </w:rPr>
        <w:t>联系电话：0571-86320727  18072887619</w:t>
      </w:r>
    </w:p>
    <w:p>
      <w:pPr>
        <w:snapToGrid w:val="0"/>
        <w:spacing w:line="360" w:lineRule="auto"/>
        <w:ind w:firstLine="482" w:firstLineChars="200"/>
        <w:outlineLvl w:val="1"/>
        <w:rPr>
          <w:rFonts w:ascii="仿宋_GB2312" w:hAnsi="仿宋_GB2312" w:eastAsia="仿宋_GB2312" w:cs="仿宋_GB2312"/>
          <w:b/>
          <w:sz w:val="24"/>
        </w:rPr>
      </w:pPr>
      <w:bookmarkStart w:id="13" w:name="_Toc28359087"/>
      <w:bookmarkStart w:id="14" w:name="_Toc28359010"/>
      <w:bookmarkStart w:id="15" w:name="_Toc19946"/>
      <w:r>
        <w:rPr>
          <w:rFonts w:hint="eastAsia" w:ascii="仿宋_GB2312" w:hAnsi="仿宋_GB2312" w:eastAsia="仿宋_GB2312" w:cs="仿宋_GB2312"/>
          <w:b/>
          <w:sz w:val="24"/>
        </w:rPr>
        <w:t>3.</w:t>
      </w:r>
      <w:bookmarkEnd w:id="13"/>
      <w:bookmarkEnd w:id="14"/>
      <w:r>
        <w:rPr>
          <w:rFonts w:hint="eastAsia" w:ascii="仿宋_GB2312" w:hAnsi="仿宋_GB2312" w:eastAsia="仿宋_GB2312" w:cs="仿宋_GB2312"/>
          <w:b/>
          <w:sz w:val="24"/>
        </w:rPr>
        <w:t>同级政府采购监督管理部门</w:t>
      </w:r>
      <w:bookmarkEnd w:id="15"/>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名称：杭州市余杭区财政局</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地址：杭州市余杭区五常街道溪沁路8号中国电信浙江创新园1号楼。</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联系人：杜国强        联系电话：0571-88728858</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监督投诉电话：0571-88728858</w:t>
      </w:r>
    </w:p>
    <w:p>
      <w:pPr>
        <w:pStyle w:val="73"/>
        <w:ind w:firstLine="420"/>
        <w:rPr>
          <w:rFonts w:ascii="仿宋_GB2312" w:hAnsi="仿宋_GB2312" w:eastAsia="仿宋_GB2312" w:cs="仿宋_GB2312"/>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21"/>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ind w:firstLine="240" w:firstLineChars="100"/>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288"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288"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288"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288"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288"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88"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288"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288"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288" w:lineRule="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不组织。</w:t>
            </w:r>
          </w:p>
          <w:p>
            <w:pPr>
              <w:spacing w:line="288" w:lineRule="auto"/>
              <w:rPr>
                <w:rFonts w:ascii="仿宋_GB2312" w:hAnsi="仿宋" w:eastAsia="仿宋_GB2312" w:cs="仿宋_GB2312"/>
                <w:b/>
                <w:kern w:val="0"/>
                <w:sz w:val="24"/>
                <w:lang w:val="zh-CN"/>
              </w:rPr>
            </w:pPr>
            <w:r>
              <w:rPr>
                <w:rFonts w:ascii="Wingdings" w:hAnsi="Wingdings" w:eastAsia="仿宋_GB2312" w:cs="Arial"/>
                <w:kern w:val="0"/>
                <w:sz w:val="24"/>
              </w:rPr>
              <w:sym w:font="Wingdings" w:char="00FE"/>
            </w:r>
            <w:r>
              <w:rPr>
                <w:rFonts w:ascii="仿宋_GB2312" w:hAnsi="仿宋" w:eastAsia="仿宋_GB2312"/>
                <w:kern w:val="0"/>
                <w:sz w:val="24"/>
              </w:rPr>
              <w:t>B</w:t>
            </w:r>
            <w:r>
              <w:rPr>
                <w:rFonts w:hint="eastAsia" w:ascii="仿宋_GB2312" w:hAnsi="仿宋" w:eastAsia="仿宋_GB2312"/>
                <w:sz w:val="24"/>
              </w:rPr>
              <w:t>组织，具体详见评标办法。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是否允许采购进口产品（服务项目不采用）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288"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288"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1"/>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(1)根据《政府采购促进中小企业发展管理办法》（财库﹝2020﹞46 号）要求，本次采购为</w:t>
            </w:r>
            <w:r>
              <w:rPr>
                <w:rFonts w:hint="eastAsia" w:ascii="仿宋_GB2312" w:hAnsi="仿宋_GB2312" w:eastAsia="仿宋_GB2312" w:cs="仿宋_GB2312"/>
                <w:b/>
                <w:bCs/>
                <w:color w:val="000000"/>
                <w:sz w:val="21"/>
                <w:szCs w:val="21"/>
                <w:u w:val="single"/>
                <w:lang w:eastAsia="zh-CN"/>
              </w:rPr>
              <w:t>专门面向中小企业预留采购份额的采购项目</w:t>
            </w:r>
            <w:r>
              <w:rPr>
                <w:rFonts w:hint="eastAsia" w:ascii="仿宋_GB2312" w:hAnsi="仿宋_GB2312" w:eastAsia="仿宋_GB2312" w:cs="仿宋_GB2312"/>
                <w:color w:val="000000"/>
                <w:sz w:val="21"/>
                <w:szCs w:val="21"/>
                <w:lang w:eastAsia="zh-CN"/>
              </w:rPr>
              <w:t>,投标单位应为中小微企业或监狱企业和残疾人福利性单位。</w:t>
            </w:r>
          </w:p>
          <w:p>
            <w:pPr>
              <w:pStyle w:val="621"/>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其中供应商为小微（含监狱企业和残疾人福利性单位）企业的，其报价评审时不予扣除。</w:t>
            </w:r>
          </w:p>
          <w:p>
            <w:pPr>
              <w:pStyle w:val="621"/>
              <w:tabs>
                <w:tab w:val="left" w:pos="1070"/>
              </w:tabs>
              <w:spacing w:line="288" w:lineRule="auto"/>
              <w:ind w:right="52" w:firstLine="210" w:firstLineChars="100"/>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（2）本采购文件所称中小企业，是指在中华人民共和国境</w:t>
            </w:r>
            <w:r>
              <w:rPr>
                <w:rFonts w:hint="eastAsia" w:ascii="仿宋_GB2312" w:hAnsi="仿宋_GB2312" w:eastAsia="仿宋_GB2312" w:cs="仿宋_GB2312"/>
                <w:spacing w:val="-7"/>
                <w:sz w:val="21"/>
                <w:szCs w:val="21"/>
                <w:lang w:eastAsia="zh-CN"/>
              </w:rPr>
              <w:t>内依法设立，依据国务院批准的中小企业划分标准确定的中型</w:t>
            </w:r>
            <w:r>
              <w:rPr>
                <w:rFonts w:hint="eastAsia" w:ascii="仿宋_GB2312" w:hAnsi="仿宋_GB2312" w:eastAsia="仿宋_GB2312" w:cs="仿宋_GB2312"/>
                <w:spacing w:val="-8"/>
                <w:sz w:val="21"/>
                <w:szCs w:val="21"/>
                <w:lang w:eastAsia="zh-CN"/>
              </w:rPr>
              <w:t xml:space="preserve">企业、小型企业和微型企业，但与大企业的负责人为同一人， </w:t>
            </w:r>
            <w:r>
              <w:rPr>
                <w:rFonts w:hint="eastAsia" w:ascii="仿宋_GB2312" w:hAnsi="仿宋_GB2312" w:eastAsia="仿宋_GB2312" w:cs="仿宋_GB2312"/>
                <w:sz w:val="21"/>
                <w:szCs w:val="21"/>
                <w:lang w:eastAsia="zh-CN"/>
              </w:rPr>
              <w:t>或者与大企业存在直接控股、管理关系的除外。</w:t>
            </w:r>
          </w:p>
          <w:p>
            <w:pPr>
              <w:pStyle w:val="621"/>
              <w:tabs>
                <w:tab w:val="left" w:pos="1070"/>
              </w:tabs>
              <w:spacing w:line="288" w:lineRule="auto"/>
              <w:ind w:right="52" w:firstLine="210" w:firstLineChars="100"/>
              <w:rPr>
                <w:rFonts w:ascii="仿宋_GB2312" w:hAnsi="仿宋_GB2312" w:eastAsia="仿宋_GB2312" w:cs="仿宋_GB2312"/>
                <w:spacing w:val="-7"/>
                <w:sz w:val="21"/>
                <w:szCs w:val="21"/>
                <w:lang w:eastAsia="zh-CN"/>
              </w:rPr>
            </w:pPr>
            <w:r>
              <w:rPr>
                <w:rFonts w:hint="eastAsia" w:ascii="仿宋_GB2312" w:hAnsi="仿宋_GB2312" w:eastAsia="仿宋_GB2312" w:cs="仿宋_GB2312"/>
                <w:sz w:val="21"/>
                <w:szCs w:val="21"/>
                <w:lang w:eastAsia="zh-CN"/>
              </w:rPr>
              <w:t>（3）本次</w:t>
            </w:r>
            <w:r>
              <w:rPr>
                <w:rFonts w:hint="eastAsia" w:ascii="仿宋_GB2312" w:hAnsi="仿宋_GB2312" w:eastAsia="仿宋_GB2312" w:cs="仿宋_GB2312"/>
                <w:spacing w:val="-7"/>
                <w:sz w:val="21"/>
                <w:szCs w:val="21"/>
                <w:lang w:eastAsia="zh-CN"/>
              </w:rPr>
              <w:t>采购标的为</w:t>
            </w:r>
            <w:r>
              <w:rPr>
                <w:rFonts w:hint="eastAsia" w:ascii="仿宋_GB2312" w:hAnsi="仿宋_GB2312" w:eastAsia="仿宋_GB2312" w:cs="仿宋_GB2312"/>
                <w:spacing w:val="-7"/>
                <w:sz w:val="21"/>
                <w:szCs w:val="21"/>
                <w:u w:val="single"/>
                <w:lang w:eastAsia="zh-CN"/>
              </w:rPr>
              <w:t xml:space="preserve"> </w:t>
            </w:r>
            <w:r>
              <w:rPr>
                <w:rFonts w:hint="eastAsia" w:ascii="仿宋_GB2312" w:hAnsi="仿宋_GB2312" w:eastAsia="仿宋_GB2312" w:cs="仿宋_GB2312"/>
                <w:b/>
                <w:bCs/>
                <w:spacing w:val="-7"/>
                <w:sz w:val="21"/>
                <w:szCs w:val="21"/>
                <w:u w:val="single"/>
                <w:lang w:eastAsia="zh-CN"/>
              </w:rPr>
              <w:t>网络消费投诉调解质量提升辅助处理服务外包项目</w:t>
            </w:r>
            <w:r>
              <w:rPr>
                <w:rFonts w:hint="eastAsia" w:ascii="仿宋_GB2312" w:hAnsi="仿宋_GB2312" w:eastAsia="仿宋_GB2312" w:cs="仿宋_GB2312"/>
                <w:spacing w:val="-10"/>
                <w:sz w:val="21"/>
                <w:szCs w:val="21"/>
                <w:lang w:eastAsia="zh-CN"/>
              </w:rPr>
              <w:t>，对应的中小企业划分</w:t>
            </w:r>
            <w:r>
              <w:rPr>
                <w:rFonts w:hint="eastAsia" w:ascii="仿宋_GB2312" w:hAnsi="仿宋_GB2312" w:eastAsia="仿宋_GB2312" w:cs="仿宋_GB2312"/>
                <w:sz w:val="21"/>
                <w:szCs w:val="21"/>
                <w:lang w:eastAsia="zh-CN"/>
              </w:rPr>
              <w:t>标准所属行业是：</w:t>
            </w:r>
            <w:r>
              <w:rPr>
                <w:rFonts w:hint="eastAsia" w:ascii="仿宋_GB2312" w:hAnsi="仿宋_GB2312" w:eastAsia="仿宋_GB2312" w:cs="仿宋_GB2312"/>
                <w:b/>
                <w:bCs/>
                <w:sz w:val="21"/>
                <w:szCs w:val="21"/>
                <w:u w:val="single"/>
                <w:lang w:eastAsia="zh-CN"/>
              </w:rPr>
              <w:t>租赁和商务服务业</w:t>
            </w:r>
            <w:r>
              <w:rPr>
                <w:rFonts w:hint="eastAsia" w:ascii="仿宋_GB2312" w:hAnsi="仿宋_GB2312" w:eastAsia="仿宋_GB2312" w:cs="仿宋_GB2312"/>
                <w:spacing w:val="-7"/>
                <w:sz w:val="21"/>
                <w:szCs w:val="21"/>
                <w:lang w:eastAsia="zh-CN"/>
              </w:rPr>
              <w:t>；</w:t>
            </w:r>
          </w:p>
          <w:p>
            <w:pPr>
              <w:pStyle w:val="621"/>
              <w:tabs>
                <w:tab w:val="left" w:pos="1070"/>
              </w:tabs>
              <w:spacing w:line="288" w:lineRule="auto"/>
              <w:ind w:right="52" w:firstLine="196" w:firstLineChars="100"/>
              <w:rPr>
                <w:rFonts w:ascii="仿宋_GB2312" w:hAnsi="仿宋_GB2312" w:eastAsia="仿宋_GB2312" w:cs="仿宋_GB2312"/>
                <w:spacing w:val="-7"/>
                <w:sz w:val="21"/>
                <w:szCs w:val="21"/>
                <w:u w:val="single"/>
              </w:rPr>
            </w:pPr>
            <w:r>
              <w:rPr>
                <w:rFonts w:hint="eastAsia" w:ascii="仿宋_GB2312" w:hAnsi="仿宋_GB2312" w:eastAsia="仿宋_GB2312" w:cs="仿宋_GB2312"/>
                <w:spacing w:val="-7"/>
                <w:kern w:val="0"/>
                <w:sz w:val="21"/>
                <w:szCs w:val="21"/>
                <w:u w:val="single"/>
                <w:lang w:val="en-US" w:eastAsia="zh-CN" w:bidi="ar-SA"/>
              </w:rPr>
              <w:drawing>
                <wp:inline distT="0" distB="0" distL="114300" distR="114300">
                  <wp:extent cx="3606800" cy="488315"/>
                  <wp:effectExtent l="0" t="0" r="12700"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1">
                            <a:lum/>
                          </a:blip>
                          <a:stretch>
                            <a:fillRect/>
                          </a:stretch>
                        </pic:blipFill>
                        <pic:spPr>
                          <a:xfrm>
                            <a:off x="0" y="0"/>
                            <a:ext cx="3606800" cy="488315"/>
                          </a:xfrm>
                          <a:prstGeom prst="rect">
                            <a:avLst/>
                          </a:prstGeom>
                          <a:noFill/>
                          <a:ln>
                            <a:noFill/>
                          </a:ln>
                        </pic:spPr>
                      </pic:pic>
                    </a:graphicData>
                  </a:graphic>
                </wp:inline>
              </w:drawing>
            </w:r>
          </w:p>
          <w:p>
            <w:pPr>
              <w:pStyle w:val="621"/>
              <w:tabs>
                <w:tab w:val="left" w:pos="1070"/>
              </w:tabs>
              <w:spacing w:line="288" w:lineRule="auto"/>
              <w:ind w:right="52" w:firstLine="240" w:firstLineChars="100"/>
              <w:rPr>
                <w:rFonts w:ascii="宋体" w:hAnsi="宋体" w:cs="宋体"/>
                <w:color w:val="000000"/>
                <w:sz w:val="24"/>
                <w:szCs w:val="24"/>
                <w:shd w:val="clear" w:color="auto" w:fill="FFFFFF"/>
                <w:lang w:eastAsia="zh-CN"/>
              </w:rPr>
            </w:pPr>
            <w:r>
              <w:rPr>
                <w:rFonts w:hint="eastAsia" w:ascii="Calibri" w:hAnsi="Calibri" w:eastAsia="宋体" w:cs="Times New Roman"/>
                <w:kern w:val="0"/>
                <w:sz w:val="24"/>
                <w:szCs w:val="22"/>
                <w:lang w:val="en-US" w:eastAsia="zh-CN" w:bidi="ar-SA"/>
              </w:rPr>
              <w:drawing>
                <wp:anchor distT="0" distB="0" distL="114300" distR="114300" simplePos="0" relativeHeight="251661312" behindDoc="0" locked="0" layoutInCell="1" allowOverlap="1">
                  <wp:simplePos x="0" y="0"/>
                  <wp:positionH relativeFrom="column">
                    <wp:posOffset>152400</wp:posOffset>
                  </wp:positionH>
                  <wp:positionV relativeFrom="paragraph">
                    <wp:posOffset>36195</wp:posOffset>
                  </wp:positionV>
                  <wp:extent cx="3616960" cy="329565"/>
                  <wp:effectExtent l="0" t="0" r="2540" b="1333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2">
                            <a:lum/>
                          </a:blip>
                          <a:srcRect t="12953" b="-2591"/>
                          <a:stretch>
                            <a:fillRect/>
                          </a:stretch>
                        </pic:blipFill>
                        <pic:spPr>
                          <a:xfrm>
                            <a:off x="0" y="0"/>
                            <a:ext cx="3616960" cy="329565"/>
                          </a:xfrm>
                          <a:prstGeom prst="rect">
                            <a:avLst/>
                          </a:prstGeom>
                          <a:noFill/>
                          <a:ln>
                            <a:noFill/>
                          </a:ln>
                        </pic:spPr>
                      </pic:pic>
                    </a:graphicData>
                  </a:graphic>
                </wp:anchor>
              </w:drawing>
            </w:r>
          </w:p>
          <w:p>
            <w:pPr>
              <w:pStyle w:val="621"/>
              <w:tabs>
                <w:tab w:val="left" w:pos="1070"/>
              </w:tabs>
              <w:spacing w:line="288" w:lineRule="auto"/>
              <w:ind w:right="52" w:firstLine="211" w:firstLineChars="100"/>
              <w:rPr>
                <w:rFonts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说明： 　　</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1.大型、中型和小型企业须同时满足所列指标的下限，否则下划一档；微型企业只须满足所列指标中的一项即可。 　　</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2.附表中各行业的范围以《国民经济行业分类》（GB/T4754-2017）为准。    </w:t>
            </w:r>
          </w:p>
          <w:p>
            <w:pPr>
              <w:pStyle w:val="621"/>
              <w:tabs>
                <w:tab w:val="left" w:pos="1070"/>
              </w:tabs>
              <w:spacing w:line="288" w:lineRule="auto"/>
              <w:ind w:right="52" w:firstLine="211" w:firstLineChars="100"/>
              <w:rPr>
                <w:rFonts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3.企业划分指标以现行统计制度为准。</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1）从业人员，是指期末从业人员数，没有期末从业人员数的，采用全年平均人员数代替。</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3）资产总额，采用资产总计代替。</w:t>
            </w:r>
          </w:p>
          <w:p>
            <w:pPr>
              <w:pStyle w:val="621"/>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(4)符合小微企业划分标准的个体工商户，视同小微企业。</w:t>
            </w:r>
          </w:p>
          <w:p>
            <w:pPr>
              <w:pStyle w:val="621"/>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(5)中小微企业参加政府采购活动，应当出具《中小企业声明函》。</w:t>
            </w:r>
          </w:p>
          <w:p>
            <w:pPr>
              <w:pStyle w:val="621"/>
              <w:tabs>
                <w:tab w:val="left" w:pos="1070"/>
              </w:tabs>
              <w:ind w:right="52" w:firstLine="210" w:firstLineChars="100"/>
              <w:rPr>
                <w:rFonts w:hAnsi="仿宋_GB2312" w:cs="仿宋_GB2312"/>
                <w:sz w:val="21"/>
                <w:szCs w:val="21"/>
                <w:lang w:eastAsia="zh-CN"/>
              </w:rPr>
            </w:pPr>
            <w:r>
              <w:rPr>
                <w:rFonts w:hint="eastAsia" w:ascii="仿宋_GB2312" w:hAnsi="仿宋_GB2312" w:eastAsia="仿宋_GB2312" w:cs="仿宋_GB2312"/>
                <w:color w:val="000000"/>
                <w:sz w:val="21"/>
                <w:szCs w:val="21"/>
                <w:lang w:eastAsia="zh-CN"/>
              </w:rPr>
              <w:t>(6)监狱企业和残疾人福利性单位视同小型、微型企业，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ind w:firstLine="480" w:firstLineChars="200"/>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480" w:firstLineChars="200"/>
              <w:rPr>
                <w:rFonts w:ascii="仿宋_GB2312" w:hAnsi="仿宋" w:eastAsia="仿宋_GB2312"/>
                <w:snapToGrid w:val="0"/>
                <w:color w:val="000000"/>
                <w:kern w:val="28"/>
                <w:sz w:val="24"/>
              </w:rPr>
            </w:pPr>
            <w:r>
              <w:rPr>
                <w:rFonts w:hint="eastAsia" w:ascii="仿宋_GB2312" w:hAnsi="仿宋" w:eastAsia="仿宋_GB2312"/>
                <w:snapToGrid w:val="0"/>
                <w:color w:val="000000"/>
                <w:kern w:val="28"/>
                <w:sz w:val="24"/>
              </w:rPr>
              <w:t>供应商中标后也可在“政采云”平台申请政采贷：操作路径：登录政采云平台</w:t>
            </w:r>
            <w:r>
              <w:rPr>
                <w:rFonts w:ascii="仿宋_GB2312" w:hAnsi="仿宋" w:eastAsia="仿宋_GB2312"/>
                <w:snapToGrid w:val="0"/>
                <w:color w:val="000000"/>
                <w:kern w:val="28"/>
                <w:sz w:val="24"/>
              </w:rPr>
              <w:t xml:space="preserve"> - </w:t>
            </w:r>
            <w:r>
              <w:rPr>
                <w:rFonts w:hint="eastAsia" w:ascii="仿宋_GB2312" w:hAnsi="仿宋" w:eastAsia="仿宋_GB2312"/>
                <w:snapToGrid w:val="0"/>
                <w:color w:val="000000"/>
                <w:kern w:val="28"/>
                <w:sz w:val="24"/>
              </w:rPr>
              <w:t>金融服务中心</w:t>
            </w:r>
            <w:r>
              <w:rPr>
                <w:rFonts w:ascii="仿宋_GB2312" w:hAnsi="仿宋" w:eastAsia="仿宋_GB2312"/>
                <w:snapToGrid w:val="0"/>
                <w:color w:val="000000"/>
                <w:kern w:val="28"/>
                <w:sz w:val="24"/>
              </w:rPr>
              <w:t xml:space="preserve">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1"/>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kern w:val="28"/>
                <w:sz w:val="24"/>
                <w:szCs w:val="24"/>
              </w:rPr>
              <w:t>备份投标文件送达地点： 密封包装后（建议顺丰邮寄形式）投标截止时间前递交、一份（邮寄地址：</w:t>
            </w:r>
            <w:r>
              <w:rPr>
                <w:rFonts w:hint="eastAsia" w:ascii="仿宋_GB2312" w:hAnsi="仿宋" w:eastAsia="仿宋_GB2312" w:cs="Times New Roman"/>
                <w:kern w:val="28"/>
                <w:sz w:val="24"/>
                <w:szCs w:val="24"/>
                <w:u w:val="single"/>
              </w:rPr>
              <w:t>杭州市临平区南苑街道华元欢乐城-华元大厦20层2022办公室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u w:val="single"/>
              </w:rPr>
              <w:t>周聪聪13067902529</w:t>
            </w:r>
            <w:r>
              <w:rPr>
                <w:rFonts w:hint="eastAsia" w:ascii="仿宋_GB2312" w:hAnsi="仿宋" w:eastAsia="仿宋_GB2312" w:cs="Times New Roman"/>
                <w:kern w:val="28"/>
                <w:sz w:val="24"/>
                <w:szCs w:val="24"/>
              </w:rPr>
              <w:t>。</w:t>
            </w:r>
          </w:p>
          <w:p>
            <w:pPr>
              <w:pStyle w:val="21"/>
              <w:spacing w:line="360" w:lineRule="auto"/>
              <w:rPr>
                <w:rFonts w:ascii="仿宋_GB2312" w:hAnsi="仿宋" w:eastAsia="仿宋_GB2312"/>
                <w:kern w:val="28"/>
                <w:sz w:val="24"/>
              </w:rPr>
            </w:pP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本项目的招标代理费用由中标单位支付，参照《招标代理服务收费管理暂行办法》的通知（计价格[2002]1980号）文件</w:t>
            </w:r>
            <w:r>
              <w:rPr>
                <w:rFonts w:hint="eastAsia" w:ascii="仿宋" w:hAnsi="仿宋" w:eastAsia="仿宋" w:cs="仿宋"/>
                <w:sz w:val="24"/>
                <w:lang w:eastAsia="zh-CN"/>
              </w:rPr>
              <w:t>八折计取</w:t>
            </w:r>
            <w:r>
              <w:rPr>
                <w:rFonts w:hint="eastAsia" w:ascii="仿宋" w:hAnsi="仿宋" w:eastAsia="仿宋" w:cs="仿宋"/>
                <w:sz w:val="24"/>
              </w:rPr>
              <w:t>，投标人在报价时应综合考虑该笔费用，但不单列进投标总价。</w:t>
            </w:r>
          </w:p>
          <w:p>
            <w:pPr>
              <w:pStyle w:val="211"/>
              <w:ind w:firstLine="0" w:firstLineChars="0"/>
            </w:pPr>
            <w:r>
              <w:rPr>
                <w:rFonts w:hint="eastAsia" w:ascii="Arial" w:hAnsi="Arial" w:eastAsia="宋体" w:cs="Times New Roman"/>
                <w:spacing w:val="-5"/>
                <w:kern w:val="0"/>
                <w:sz w:val="24"/>
                <w:szCs w:val="20"/>
                <w:lang w:val="en-US" w:eastAsia="zh-CN" w:bidi="ar-SA"/>
              </w:rPr>
              <w:drawing>
                <wp:anchor distT="0" distB="0" distL="114300" distR="114300" simplePos="0" relativeHeight="251662336" behindDoc="0" locked="0" layoutInCell="1" allowOverlap="1">
                  <wp:simplePos x="0" y="0"/>
                  <wp:positionH relativeFrom="column">
                    <wp:posOffset>323850</wp:posOffset>
                  </wp:positionH>
                  <wp:positionV relativeFrom="paragraph">
                    <wp:posOffset>59690</wp:posOffset>
                  </wp:positionV>
                  <wp:extent cx="2894965" cy="1207770"/>
                  <wp:effectExtent l="0" t="0" r="635" b="1143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33">
                            <a:lum/>
                          </a:blip>
                          <a:stretch>
                            <a:fillRect/>
                          </a:stretch>
                        </pic:blipFill>
                        <pic:spPr>
                          <a:xfrm>
                            <a:off x="0" y="0"/>
                            <a:ext cx="2894965" cy="1207770"/>
                          </a:xfrm>
                          <a:prstGeom prst="rect">
                            <a:avLst/>
                          </a:prstGeom>
                          <a:noFill/>
                          <a:ln>
                            <a:noFill/>
                          </a:ln>
                        </pic:spPr>
                      </pic:pic>
                    </a:graphicData>
                  </a:graphic>
                </wp:anchor>
              </w:drawing>
            </w:r>
          </w:p>
        </w:tc>
      </w:tr>
    </w:tbl>
    <w:p>
      <w:pPr>
        <w:pStyle w:val="40"/>
        <w:ind w:firstLine="627"/>
        <w:rPr>
          <w:rFonts w:ascii="仿宋" w:hAnsi="仿宋" w:eastAsia="仿宋" w:cs="仿宋_GB2312"/>
          <w:b/>
          <w:sz w:val="32"/>
        </w:rPr>
      </w:pPr>
    </w:p>
    <w:bookmarkEnd w:id="9"/>
    <w:p>
      <w:pPr>
        <w:adjustRightInd/>
        <w:spacing w:line="360" w:lineRule="auto"/>
        <w:ind w:firstLine="3845" w:firstLineChars="1197"/>
        <w:outlineLvl w:val="0"/>
        <w:rPr>
          <w:rFonts w:ascii="仿宋_GB2312" w:hAnsi="仿宋" w:eastAsia="仿宋_GB2312" w:cs="仿宋_GB2312"/>
          <w:b/>
          <w:sz w:val="32"/>
          <w:szCs w:val="20"/>
        </w:rPr>
      </w:pPr>
      <w:bookmarkStart w:id="16" w:name="第三部分"/>
      <w:bookmarkStart w:id="17" w:name="_Toc164416483"/>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以联合体形式参加政府采购活动，联合体各方均为中小企业的，联合体视同中小企业。其中，联合体各方均为小微企业的，联合体视同小微企业（本项目不采用）。</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本项目为专门</w:t>
      </w:r>
      <w:r>
        <w:rPr>
          <w:rFonts w:hint="eastAsia" w:ascii="仿宋_GB2312" w:hAnsi="仿宋" w:eastAsia="仿宋_GB2312"/>
          <w:b/>
          <w:bCs/>
          <w:sz w:val="24"/>
          <w:lang w:eastAsia="zh-CN"/>
        </w:rPr>
        <w:t>预留</w:t>
      </w:r>
      <w:r>
        <w:rPr>
          <w:rFonts w:hint="eastAsia" w:ascii="仿宋_GB2312" w:hAnsi="仿宋" w:eastAsia="仿宋_GB2312"/>
          <w:b/>
          <w:bCs/>
          <w:sz w:val="24"/>
        </w:rPr>
        <w:t>面向中小企业，小微企业价格评审不扣减。</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3.4.1 采购人优先采购被认定</w:t>
      </w:r>
      <w:r>
        <w:rPr>
          <w:rFonts w:hint="eastAsia" w:ascii="仿宋_GB2312" w:hAnsi="仿宋" w:eastAsia="仿宋_GB2312"/>
          <w:color w:val="000000"/>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3.4.2首台套产品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color w:val="000000"/>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color w:val="000000"/>
          <w:sz w:val="24"/>
        </w:rPr>
        <w:t xml:space="preserve">4. </w:t>
      </w:r>
      <w:r>
        <w:rPr>
          <w:rFonts w:hint="eastAsia" w:ascii="仿宋_GB2312" w:hAnsi="仿宋" w:eastAsia="仿宋_GB2312"/>
          <w:b/>
          <w:color w:val="000000"/>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21"/>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21"/>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21"/>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21"/>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21"/>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21"/>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21"/>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21"/>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21"/>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21"/>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21"/>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9"/>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.4</w:t>
      </w:r>
      <w:r>
        <w:rPr>
          <w:rFonts w:hint="eastAsia" w:ascii="仿宋_GB2312" w:hAnsi="仿宋" w:eastAsia="仿宋_GB2312"/>
          <w:color w:val="00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rPr>
        <w:t>2021〕17号）,</w:t>
      </w:r>
      <w:r>
        <w:rPr>
          <w:rFonts w:hint="eastAsia" w:ascii="仿宋_GB2312" w:hAnsi="仿宋" w:eastAsia="仿宋_GB2312"/>
          <w:color w:val="000000"/>
        </w:rPr>
        <w:t>采购人或者采购机构在质疑回复后</w:t>
      </w:r>
      <w:r>
        <w:rPr>
          <w:rFonts w:ascii="仿宋_GB2312" w:hAnsi="仿宋" w:eastAsia="仿宋_GB2312"/>
          <w:color w:val="000000"/>
        </w:rPr>
        <w:t>5个工作日内，在浙江政府采购网的“其他公告”栏目公开质疑答复，答复内容应当完整。质疑</w:t>
      </w:r>
      <w:r>
        <w:rPr>
          <w:rFonts w:hint="eastAsia" w:ascii="仿宋_GB2312" w:hAnsi="仿宋" w:eastAsia="仿宋_GB2312"/>
          <w:color w:val="000000"/>
        </w:rPr>
        <w:t>函作为附件上传。</w:t>
      </w:r>
    </w:p>
    <w:p>
      <w:pPr>
        <w:pStyle w:val="579"/>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.5询问或者质疑事项可能影响采购结果的，采购人应当暂停签订合同，已经签订合同的，应当中止履行合同。</w:t>
      </w:r>
    </w:p>
    <w:p>
      <w:pPr>
        <w:pStyle w:val="57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21"/>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21"/>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21"/>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21"/>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21"/>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21"/>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21"/>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21"/>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21"/>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21"/>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21"/>
        <w:numPr>
          <w:ilvl w:val="0"/>
          <w:numId w:val="1"/>
        </w:numPr>
        <w:spacing w:line="360" w:lineRule="auto"/>
        <w:rPr>
          <w:rFonts w:ascii="仿宋_GB2312" w:hAnsi="仿宋" w:eastAsia="仿宋_GB2312" w:cs="仿宋_GB2312"/>
          <w:b/>
          <w:sz w:val="24"/>
          <w:szCs w:val="24"/>
        </w:rPr>
      </w:pPr>
      <w:r>
        <w:rPr>
          <w:rFonts w:ascii="仿宋_GB2312" w:hAnsi="仿宋" w:eastAsia="仿宋_GB2312" w:cs="仿宋_GB2312"/>
          <w:b/>
          <w:sz w:val="24"/>
          <w:szCs w:val="24"/>
        </w:rPr>
        <w:t>开标前答疑会或现场考察</w:t>
      </w:r>
    </w:p>
    <w:p>
      <w:pPr>
        <w:pStyle w:val="21"/>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21"/>
        <w:numPr>
          <w:ilvl w:val="0"/>
          <w:numId w:val="1"/>
        </w:numPr>
        <w:spacing w:line="360" w:lineRule="auto"/>
        <w:rPr>
          <w:rFonts w:ascii="仿宋_GB2312" w:hAnsi="仿宋" w:eastAsia="仿宋_GB2312" w:cs="仿宋_GB2312"/>
          <w:b/>
          <w:szCs w:val="24"/>
        </w:rPr>
      </w:pPr>
      <w:r>
        <w:rPr>
          <w:rFonts w:ascii="仿宋_GB2312" w:hAnsi="仿宋" w:eastAsia="仿宋_GB2312"/>
          <w:b/>
          <w:kern w:val="28"/>
          <w:sz w:val="24"/>
          <w:szCs w:val="24"/>
        </w:rPr>
        <w:t>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21"/>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21"/>
        <w:spacing w:line="360" w:lineRule="auto"/>
        <w:rPr>
          <w:rFonts w:ascii="仿宋_GB2312" w:hAnsi="仿宋" w:eastAsia="仿宋_GB2312" w:cs="仿宋_GB2312"/>
          <w:b/>
          <w:color w:val="000000"/>
          <w:sz w:val="24"/>
          <w:szCs w:val="24"/>
        </w:rPr>
      </w:pPr>
      <w:r>
        <w:rPr>
          <w:rFonts w:ascii="仿宋_GB2312" w:hAnsi="仿宋" w:eastAsia="仿宋_GB2312" w:cs="仿宋_GB2312"/>
          <w:b/>
          <w:color w:val="000000"/>
          <w:sz w:val="24"/>
          <w:szCs w:val="24"/>
        </w:rPr>
        <w:t xml:space="preserve">11. </w:t>
      </w:r>
      <w:r>
        <w:rPr>
          <w:rFonts w:hint="eastAsia" w:ascii="仿宋_GB2312" w:hAnsi="仿宋" w:eastAsia="仿宋_GB2312" w:cs="仿宋_GB2312"/>
          <w:b/>
          <w:color w:val="000000"/>
          <w:sz w:val="24"/>
          <w:szCs w:val="24"/>
        </w:rPr>
        <w:t>投标文件的组成</w:t>
      </w:r>
    </w:p>
    <w:p>
      <w:pPr>
        <w:snapToGrid w:val="0"/>
        <w:spacing w:line="360" w:lineRule="auto"/>
        <w:rPr>
          <w:rFonts w:ascii="仿宋_GB2312" w:hAnsi="仿宋" w:eastAsia="仿宋_GB2312" w:cs="仿宋_GB2312"/>
          <w:color w:val="000000"/>
          <w:sz w:val="24"/>
        </w:rPr>
      </w:pPr>
      <w:r>
        <w:rPr>
          <w:rFonts w:ascii="仿宋_GB2312" w:hAnsi="仿宋" w:eastAsia="仿宋_GB2312" w:cs="仿宋_GB2312"/>
          <w:color w:val="000000"/>
          <w:sz w:val="24"/>
        </w:rPr>
        <w:t>11.1</w:t>
      </w:r>
      <w:r>
        <w:rPr>
          <w:rFonts w:hint="eastAsia" w:ascii="仿宋_GB2312" w:hAnsi="仿宋" w:eastAsia="仿宋_GB2312" w:cs="仿宋_GB2312"/>
          <w:b/>
          <w:color w:val="000000"/>
          <w:sz w:val="24"/>
        </w:rPr>
        <w:t>资格文件</w:t>
      </w:r>
      <w:r>
        <w:rPr>
          <w:rFonts w:hint="eastAsia" w:ascii="仿宋_GB2312" w:hAnsi="仿宋" w:eastAsia="仿宋_GB2312" w:cs="仿宋_GB2312"/>
          <w:color w:val="000000"/>
          <w:sz w:val="24"/>
        </w:rPr>
        <w:t>：</w:t>
      </w:r>
    </w:p>
    <w:p>
      <w:pPr>
        <w:snapToGrid w:val="0"/>
        <w:spacing w:line="360" w:lineRule="auto"/>
        <w:ind w:firstLine="422" w:firstLineChars="200"/>
        <w:rPr>
          <w:rFonts w:ascii="仿宋_GB2312" w:hAnsi="仿宋" w:eastAsia="仿宋_GB2312" w:cs="仿宋_GB2312"/>
          <w:color w:val="000000"/>
          <w:sz w:val="24"/>
        </w:rPr>
      </w:pPr>
      <w:r>
        <w:rPr>
          <w:rFonts w:hint="eastAsia" w:ascii="仿宋_GB2312" w:hAnsi="仿宋" w:eastAsia="仿宋_GB2312"/>
          <w:b/>
          <w:color w:val="000000"/>
        </w:rPr>
        <w:t>▲</w:t>
      </w:r>
      <w:r>
        <w:rPr>
          <w:rFonts w:ascii="仿宋_GB2312" w:hAnsi="仿宋" w:eastAsia="仿宋_GB2312" w:cs="仿宋_GB2312"/>
          <w:color w:val="000000"/>
          <w:sz w:val="24"/>
        </w:rPr>
        <w:t>11.1.1符合参加政府采购活动应当具备的一般条件的承诺函；</w:t>
      </w:r>
    </w:p>
    <w:p>
      <w:pPr>
        <w:spacing w:line="360" w:lineRule="auto"/>
        <w:ind w:firstLine="422" w:firstLineChars="200"/>
        <w:rPr>
          <w:rFonts w:ascii="仿宋_GB2312" w:hAnsi="仿宋" w:eastAsia="仿宋_GB2312" w:cs="仿宋_GB2312"/>
          <w:b/>
          <w:bCs/>
          <w:color w:val="000000"/>
          <w:sz w:val="24"/>
        </w:rPr>
      </w:pPr>
      <w:r>
        <w:rPr>
          <w:rFonts w:hint="eastAsia" w:ascii="仿宋_GB2312" w:hAnsi="仿宋" w:eastAsia="仿宋_GB2312"/>
          <w:b/>
          <w:color w:val="000000"/>
        </w:rPr>
        <w:t>▲</w:t>
      </w:r>
      <w:r>
        <w:rPr>
          <w:rFonts w:ascii="仿宋_GB2312" w:hAnsi="仿宋" w:eastAsia="仿宋_GB2312" w:cs="仿宋_GB2312"/>
          <w:color w:val="000000"/>
          <w:sz w:val="24"/>
        </w:rPr>
        <w:t xml:space="preserve">11.1.2落实政府采购政策需满足的资格要求: </w:t>
      </w:r>
      <w:r>
        <w:rPr>
          <w:rFonts w:hint="eastAsia" w:ascii="仿宋_GB2312" w:hAnsi="仿宋" w:eastAsia="仿宋_GB2312" w:cs="仿宋_GB2312"/>
          <w:b/>
          <w:bCs/>
          <w:color w:val="000000"/>
          <w:sz w:val="24"/>
        </w:rPr>
        <w:t>本项目为专门面向中小企业采购的项目</w:t>
      </w:r>
      <w:r>
        <w:rPr>
          <w:rFonts w:ascii="仿宋_GB2312" w:hAnsi="仿宋" w:eastAsia="仿宋_GB2312" w:cs="仿宋_GB2312"/>
          <w:b/>
          <w:bCs/>
          <w:color w:val="000000"/>
          <w:sz w:val="24"/>
        </w:rPr>
        <w:t xml:space="preserve">,投标单位应为中小企业或监狱企业和残疾人福利性单位，出具《中小企业声明函》，否则作无效投标。    </w:t>
      </w:r>
    </w:p>
    <w:p>
      <w:pPr>
        <w:spacing w:line="360" w:lineRule="auto"/>
        <w:ind w:firstLine="422" w:firstLineChars="200"/>
        <w:rPr>
          <w:rFonts w:hint="eastAsia" w:ascii="仿宋" w:hAnsi="仿宋" w:eastAsia="仿宋_GB2312"/>
          <w:sz w:val="24"/>
          <w:lang w:eastAsia="zh-CN"/>
        </w:rPr>
      </w:pPr>
      <w:r>
        <w:rPr>
          <w:rFonts w:hint="eastAsia" w:ascii="仿宋_GB2312" w:hAnsi="仿宋" w:eastAsia="仿宋_GB2312"/>
          <w:b/>
          <w:color w:val="000000"/>
        </w:rPr>
        <w:t>▲</w:t>
      </w:r>
      <w:r>
        <w:rPr>
          <w:rFonts w:ascii="仿宋_GB2312" w:hAnsi="仿宋" w:eastAsia="仿宋_GB2312" w:cs="仿宋_GB2312"/>
          <w:b/>
          <w:bCs/>
          <w:color w:val="000000"/>
          <w:sz w:val="24"/>
        </w:rPr>
        <w:sym w:font="Wingdings" w:char="00FE"/>
      </w:r>
      <w:r>
        <w:rPr>
          <w:rFonts w:hint="eastAsia" w:ascii="仿宋_GB2312" w:hAnsi="仿宋" w:eastAsia="仿宋_GB2312"/>
          <w:sz w:val="24"/>
        </w:rPr>
        <w:t>要求以联合体形式参加，提供联合协议和中小企业声明函，联合协议中中小企业合同金额应当达到</w:t>
      </w:r>
      <w:r>
        <w:rPr>
          <w:rFonts w:hint="eastAsia" w:ascii="仿宋_GB2312" w:hAnsi="仿宋" w:eastAsia="仿宋_GB2312"/>
          <w:sz w:val="24"/>
          <w:u w:val="single"/>
          <w:lang w:val="en-US" w:eastAsia="zh-CN"/>
        </w:rPr>
        <w:t>70</w:t>
      </w:r>
      <w:r>
        <w:rPr>
          <w:rFonts w:ascii="仿宋_GB2312" w:hAnsi="仿宋" w:eastAsia="仿宋_GB2312"/>
          <w:sz w:val="24"/>
        </w:rPr>
        <w:t>%，小</w:t>
      </w:r>
      <w:r>
        <w:rPr>
          <w:rFonts w:hint="eastAsia" w:ascii="仿宋_GB2312" w:hAnsi="仿宋" w:eastAsia="仿宋_GB2312"/>
          <w:sz w:val="24"/>
        </w:rPr>
        <w:t>微企业合同金额应当达到</w:t>
      </w:r>
      <w:r>
        <w:rPr>
          <w:rFonts w:hint="eastAsia" w:ascii="仿宋_GB2312" w:hAnsi="仿宋" w:eastAsia="仿宋_GB2312"/>
          <w:sz w:val="24"/>
          <w:u w:val="single"/>
          <w:lang w:val="en-US" w:eastAsia="zh-CN"/>
        </w:rPr>
        <w:t>70</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r>
        <w:rPr>
          <w:rFonts w:hint="eastAsia" w:ascii="仿宋" w:hAnsi="仿宋" w:eastAsia="仿宋"/>
          <w:sz w:val="24"/>
          <w:lang w:eastAsia="zh-CN"/>
        </w:rPr>
        <w:t>未提供</w:t>
      </w:r>
      <w:r>
        <w:rPr>
          <w:rFonts w:ascii="仿宋_GB2312" w:hAnsi="仿宋" w:eastAsia="仿宋_GB2312" w:cs="仿宋_GB2312"/>
          <w:b/>
          <w:bCs/>
          <w:color w:val="000000"/>
          <w:sz w:val="24"/>
        </w:rPr>
        <w:t>作无效投标</w:t>
      </w:r>
      <w:r>
        <w:rPr>
          <w:rFonts w:hint="eastAsia" w:ascii="仿宋_GB2312" w:hAnsi="仿宋" w:eastAsia="仿宋_GB2312" w:cs="仿宋_GB2312"/>
          <w:b/>
          <w:bCs/>
          <w:color w:val="000000"/>
          <w:sz w:val="24"/>
          <w:lang w:eastAsia="zh-CN"/>
        </w:rPr>
        <w:t>。</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11.1.3本项目的特定资格要求:无。</w:t>
      </w:r>
    </w:p>
    <w:p>
      <w:pPr>
        <w:snapToGrid w:val="0"/>
        <w:spacing w:line="360" w:lineRule="auto"/>
        <w:ind w:left="105" w:leftChars="50" w:firstLine="482" w:firstLineChars="200"/>
        <w:rPr>
          <w:rFonts w:ascii="仿宋_GB2312" w:hAnsi="仿宋_GB2312" w:eastAsia="仿宋_GB2312" w:cs="仿宋_GB2312"/>
          <w:sz w:val="24"/>
        </w:rPr>
      </w:pPr>
      <w:r>
        <w:rPr>
          <w:rFonts w:hint="eastAsia" w:ascii="仿宋_GB2312" w:hAnsi="仿宋_GB2312" w:eastAsia="仿宋_GB2312" w:cs="仿宋_GB2312"/>
          <w:b/>
          <w:bCs/>
          <w:color w:val="000000"/>
          <w:sz w:val="24"/>
        </w:rPr>
        <w:t>注：上述资格条件审查材料有一项不提供的，视为资格审查不通过。上述内容部分格式及内容详见“</w:t>
      </w:r>
      <w:r>
        <w:rPr>
          <w:rFonts w:hint="eastAsia" w:ascii="仿宋_GB2312" w:hAnsi="仿宋_GB2312" w:eastAsia="仿宋_GB2312" w:cs="仿宋_GB2312"/>
          <w:sz w:val="24"/>
        </w:rPr>
        <w:t>第六部分  应提交的有关格式范例”。</w:t>
      </w:r>
    </w:p>
    <w:p>
      <w:pPr>
        <w:snapToGrid w:val="0"/>
        <w:spacing w:line="360" w:lineRule="auto"/>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11.2.1投标函</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r>
        <w:rPr>
          <w:rFonts w:ascii="仿宋_GB2312" w:hAnsi="仿宋" w:eastAsia="仿宋_GB2312" w:cs="仿宋_GB2312"/>
          <w:b/>
          <w:sz w:val="24"/>
        </w:rPr>
        <w:t>；</w:t>
      </w:r>
      <w:r>
        <w:rPr>
          <w:rFonts w:ascii="仿宋_GB2312" w:hAnsi="仿宋" w:eastAsia="仿宋_GB2312" w:cs="仿宋_GB2312"/>
          <w:b/>
          <w:sz w:val="24"/>
          <w:lang w:val="zh-CN"/>
        </w:rPr>
        <w:t xml:space="preserve"> </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11.2.2授权委托书或法定代表人（单位负责人、自然人本人）身份证明；</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723" w:firstLineChars="300"/>
        <w:rPr>
          <w:rFonts w:ascii="仿宋_GB2312" w:hAnsi="仿宋" w:eastAsia="仿宋_GB2312" w:cs="仿宋_GB2312"/>
          <w:b/>
          <w:sz w:val="24"/>
        </w:rPr>
      </w:pPr>
      <w:r>
        <w:rPr>
          <w:rFonts w:ascii="仿宋_GB2312" w:hAnsi="仿宋" w:eastAsia="仿宋_GB2312" w:cs="仿宋_GB2312"/>
          <w:b/>
          <w:sz w:val="24"/>
        </w:rPr>
        <w:t>11.2.</w:t>
      </w:r>
      <w:r>
        <w:rPr>
          <w:rFonts w:hint="eastAsia" w:ascii="仿宋_GB2312" w:hAnsi="仿宋" w:eastAsia="仿宋_GB2312" w:cs="仿宋_GB2312"/>
          <w:b/>
          <w:sz w:val="24"/>
        </w:rPr>
        <w:t>5</w:t>
      </w:r>
      <w:r>
        <w:rPr>
          <w:rFonts w:ascii="仿宋_GB2312" w:hAnsi="仿宋" w:eastAsia="仿宋_GB2312" w:cs="仿宋_GB2312"/>
          <w:b/>
          <w:sz w:val="24"/>
        </w:rPr>
        <w:t>商务技术偏离表；</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p>
    <w:p>
      <w:pPr>
        <w:snapToGrid w:val="0"/>
        <w:spacing w:line="360" w:lineRule="auto"/>
        <w:ind w:firstLine="723" w:firstLineChars="300"/>
        <w:rPr>
          <w:rFonts w:ascii="仿宋_GB2312" w:hAnsi="仿宋" w:eastAsia="仿宋_GB2312" w:cs="仿宋_GB2312"/>
          <w:b/>
          <w:sz w:val="24"/>
        </w:rPr>
      </w:pPr>
      <w:r>
        <w:rPr>
          <w:rFonts w:ascii="仿宋_GB2312" w:hAnsi="仿宋" w:eastAsia="仿宋_GB2312" w:cs="仿宋_GB2312"/>
          <w:b/>
          <w:sz w:val="24"/>
          <w:lang w:val="zh-CN"/>
        </w:rPr>
        <w:t>11.</w:t>
      </w:r>
      <w:r>
        <w:rPr>
          <w:rFonts w:ascii="仿宋_GB2312" w:hAnsi="仿宋" w:eastAsia="仿宋_GB2312" w:cs="仿宋_GB2312"/>
          <w:b/>
          <w:sz w:val="24"/>
        </w:rPr>
        <w:t>2</w:t>
      </w:r>
      <w:r>
        <w:rPr>
          <w:rFonts w:ascii="仿宋_GB2312" w:hAnsi="仿宋" w:eastAsia="仿宋_GB2312" w:cs="仿宋_GB2312"/>
          <w:b/>
          <w:sz w:val="24"/>
          <w:lang w:val="zh-CN"/>
        </w:rPr>
        <w:t>.</w:t>
      </w:r>
      <w:r>
        <w:rPr>
          <w:rFonts w:hint="eastAsia" w:ascii="仿宋_GB2312" w:hAnsi="仿宋" w:eastAsia="仿宋_GB2312" w:cs="仿宋_GB2312"/>
          <w:b/>
          <w:sz w:val="24"/>
        </w:rPr>
        <w:t>6</w:t>
      </w:r>
      <w:r>
        <w:rPr>
          <w:rFonts w:hint="eastAsia" w:ascii="仿宋_GB2312" w:hAnsi="仿宋" w:eastAsia="仿宋_GB2312" w:cs="仿宋_GB2312"/>
          <w:b/>
          <w:sz w:val="24"/>
          <w:lang w:val="zh-CN"/>
        </w:rPr>
        <w:t>政府采购供应商廉洁自律承诺书；</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8投标人认为需要提供的与本项目有关的其他文件和说明</w:t>
      </w:r>
      <w:r>
        <w:rPr>
          <w:rFonts w:hint="eastAsia" w:ascii="仿宋_GB2312" w:hAnsi="仿宋" w:eastAsia="仿宋_GB2312" w:cs="仿宋_GB2312"/>
          <w:sz w:val="24"/>
          <w:lang w:val="zh-CN"/>
        </w:rPr>
        <w:t>。</w:t>
      </w:r>
    </w:p>
    <w:p>
      <w:pPr>
        <w:snapToGrid w:val="0"/>
        <w:spacing w:line="360" w:lineRule="auto"/>
        <w:ind w:firstLine="720" w:firstLineChars="300"/>
        <w:rPr>
          <w:rFonts w:hint="default" w:ascii="仿宋_GB2312" w:hAnsi="仿宋" w:eastAsia="仿宋_GB2312" w:cs="仿宋_GB2312"/>
          <w:sz w:val="24"/>
          <w:lang w:val="zh-CN" w:eastAsia="zh-CN"/>
        </w:rPr>
      </w:pPr>
      <w:r>
        <w:rPr>
          <w:rFonts w:hint="default" w:ascii="仿宋_GB2312" w:hAnsi="仿宋" w:eastAsia="仿宋_GB2312" w:cs="仿宋_GB2312"/>
          <w:sz w:val="24"/>
          <w:lang w:val="zh-CN" w:eastAsia="zh-CN"/>
        </w:rPr>
        <w:t xml:space="preserve"> 11.2.9</w:t>
      </w:r>
      <w:r>
        <w:rPr>
          <w:rFonts w:hint="eastAsia" w:ascii="仿宋_GB2312" w:hAnsi="仿宋" w:eastAsia="仿宋_GB2312" w:cs="仿宋_GB2312"/>
          <w:sz w:val="24"/>
          <w:lang w:val="zh-CN" w:eastAsia="zh-CN"/>
        </w:rPr>
        <w:t>提供政府采购活动现场确认声明书，格式后附。</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kern w:val="0"/>
          <w:sz w:val="24"/>
        </w:rPr>
        <w:t xml:space="preserve">  </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22" w:firstLineChars="200"/>
        <w:rPr>
          <w:rFonts w:ascii="仿宋_GB2312" w:hAnsi="仿宋" w:eastAsia="仿宋_GB2312" w:cs="仿宋_GB2312"/>
          <w:sz w:val="24"/>
        </w:rPr>
      </w:pPr>
      <w:r>
        <w:rPr>
          <w:rFonts w:hint="eastAsia" w:ascii="仿宋_GB2312" w:hAnsi="仿宋" w:eastAsia="仿宋_GB2312"/>
          <w:b/>
        </w:rPr>
        <w:t>▲</w:t>
      </w:r>
      <w:r>
        <w:rPr>
          <w:rFonts w:ascii="仿宋_GB2312" w:hAnsi="仿宋" w:eastAsia="仿宋_GB2312" w:cs="仿宋_GB2312"/>
          <w:sz w:val="24"/>
        </w:rPr>
        <w:t>11.3.1</w:t>
      </w:r>
      <w:r>
        <w:rPr>
          <w:rFonts w:ascii="仿宋_GB2312" w:hAnsi="仿宋" w:eastAsia="仿宋_GB2312" w:cs="仿宋_GB2312"/>
          <w:b/>
          <w:bCs/>
          <w:sz w:val="24"/>
        </w:rPr>
        <w:t>开标一览表（报价表）；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注：投标文件含有采购人不能接受的附加条件的，投标无效；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numPr>
          <w:ilvl w:val="0"/>
          <w:numId w:val="2"/>
        </w:numPr>
        <w:snapToGrid w:val="0"/>
        <w:spacing w:line="360" w:lineRule="auto"/>
        <w:rPr>
          <w:rFonts w:ascii="仿宋_GB2312" w:hAnsi="仿宋" w:eastAsia="仿宋_GB2312"/>
          <w:b/>
          <w:sz w:val="24"/>
        </w:rPr>
      </w:pPr>
      <w:r>
        <w:rPr>
          <w:rFonts w:ascii="仿宋_GB2312" w:hAnsi="仿宋" w:eastAsia="仿宋_GB2312"/>
          <w:b/>
          <w:sz w:val="24"/>
        </w:rPr>
        <w:t>投标文件的签署、盖章</w:t>
      </w:r>
    </w:p>
    <w:p>
      <w:pPr>
        <w:pStyle w:val="9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21"/>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w:t>
      </w:r>
      <w:r>
        <w:rPr>
          <w:rFonts w:ascii="仿宋_GB2312" w:hAnsi="仿宋" w:eastAsia="仿宋_GB2312" w:cs="仿宋_GB2312"/>
          <w:b/>
          <w:szCs w:val="24"/>
        </w:rPr>
        <w:t xml:space="preserve">. </w:t>
      </w:r>
      <w:r>
        <w:rPr>
          <w:rFonts w:ascii="仿宋_GB2312" w:hAnsi="仿宋" w:eastAsia="仿宋_GB2312" w:cs="仿宋_GB2312"/>
          <w:b/>
          <w:sz w:val="24"/>
          <w:szCs w:val="24"/>
        </w:rPr>
        <w:t>备份投标文件</w:t>
      </w:r>
    </w:p>
    <w:p>
      <w:pPr>
        <w:pStyle w:val="21"/>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21"/>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21"/>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21"/>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1"/>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8"/>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投标文件的无效处理</w:t>
      </w:r>
    </w:p>
    <w:p>
      <w:pPr>
        <w:pStyle w:val="3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98"/>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8"/>
        <w:spacing w:before="0"/>
        <w:ind w:firstLine="643"/>
        <w:rPr>
          <w:rFonts w:ascii="仿宋_GB2312" w:hAnsi="仿宋" w:eastAsia="仿宋_GB2312" w:cs="仿宋_GB2312"/>
          <w:b/>
          <w:sz w:val="32"/>
        </w:rPr>
      </w:pPr>
    </w:p>
    <w:p>
      <w:pPr>
        <w:pStyle w:val="9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52"/>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w:t>
      </w:r>
      <w:r>
        <w:rPr>
          <w:rFonts w:hint="eastAsia" w:ascii="仿宋_GB2312" w:hAnsi="仿宋" w:eastAsia="仿宋_GB2312" w:cs="仿宋_GB2312"/>
          <w:b/>
          <w:sz w:val="24"/>
          <w:szCs w:val="24"/>
        </w:rPr>
        <w:t xml:space="preserve"> </w:t>
      </w:r>
      <w:r>
        <w:rPr>
          <w:rFonts w:ascii="仿宋_GB2312" w:hAnsi="仿宋" w:eastAsia="仿宋_GB2312" w:cs="仿宋_GB2312"/>
          <w:b/>
          <w:sz w:val="24"/>
          <w:szCs w:val="24"/>
        </w:rPr>
        <w:t>开标</w:t>
      </w:r>
      <w:r>
        <w:rPr>
          <w:rFonts w:ascii="仿宋_GB2312" w:eastAsia="仿宋_GB2312"/>
          <w:sz w:val="24"/>
        </w:rPr>
        <w:t xml:space="preserve"> </w:t>
      </w:r>
    </w:p>
    <w:p>
      <w:pPr>
        <w:pStyle w:val="25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5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5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rPr>
        <w:t xml:space="preserve">. </w:t>
      </w:r>
      <w:r>
        <w:rPr>
          <w:rFonts w:ascii="仿宋_GB2312" w:hAnsi="仿宋" w:eastAsia="仿宋_GB2312" w:cs="仿宋_GB2312"/>
          <w:b/>
          <w:sz w:val="24"/>
          <w:szCs w:val="20"/>
        </w:rPr>
        <w:t>资格审查</w:t>
      </w:r>
    </w:p>
    <w:p>
      <w:pPr>
        <w:pStyle w:val="9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rPr>
        <w:t xml:space="preserve">. </w:t>
      </w:r>
      <w:r>
        <w:rPr>
          <w:rFonts w:ascii="仿宋_GB2312" w:hAnsi="仿宋" w:eastAsia="仿宋_GB2312" w:cs="仿宋_GB2312"/>
          <w:b/>
          <w:szCs w:val="24"/>
        </w:rPr>
        <w:t>信用信息查询</w:t>
      </w:r>
    </w:p>
    <w:p>
      <w:pPr>
        <w:pStyle w:val="98"/>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9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9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9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8"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9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w:t>
      </w:r>
      <w:r>
        <w:rPr>
          <w:rFonts w:hint="eastAsia" w:ascii="仿宋" w:hAnsi="仿宋" w:eastAsia="仿宋" w:cs="仿宋"/>
          <w:kern w:val="0"/>
          <w:sz w:val="24"/>
          <w:lang w:val="en-US" w:eastAsia="zh-CN"/>
        </w:rPr>
        <w:t>提倡十个工作日内（法规文件约定</w:t>
      </w:r>
      <w:r>
        <w:rPr>
          <w:rFonts w:hint="eastAsia" w:ascii="仿宋" w:hAnsi="仿宋" w:eastAsia="仿宋" w:cs="仿宋"/>
          <w:kern w:val="0"/>
          <w:sz w:val="24"/>
        </w:rPr>
        <w:t>三十日内</w:t>
      </w:r>
      <w:r>
        <w:rPr>
          <w:rFonts w:hint="eastAsia" w:ascii="仿宋" w:hAnsi="仿宋" w:eastAsia="仿宋" w:cs="仿宋"/>
          <w:kern w:val="0"/>
          <w:sz w:val="24"/>
          <w:lang w:eastAsia="zh-CN"/>
        </w:rPr>
        <w:t>）</w:t>
      </w:r>
      <w:r>
        <w:rPr>
          <w:rFonts w:hint="eastAsia" w:ascii="仿宋" w:hAnsi="仿宋" w:eastAsia="仿宋" w:cs="仿宋"/>
          <w:kern w:val="0"/>
          <w:sz w:val="24"/>
        </w:rPr>
        <w:t>，按照招标文件确定的事项签订政府采购合同，并在合同签订之日起2个工作日内依法发布合同公告。</w:t>
      </w:r>
    </w:p>
    <w:p>
      <w:pPr>
        <w:pStyle w:val="9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9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8"/>
        <w:snapToGrid w:val="0"/>
        <w:spacing w:before="0" w:after="120"/>
        <w:ind w:firstLine="480"/>
        <w:rPr>
          <w:rFonts w:ascii="仿宋_GB2312" w:hAnsi="仿宋" w:eastAsia="仿宋_GB2312" w:cs="仿宋_GB2312"/>
        </w:rPr>
      </w:pPr>
      <w:r>
        <w:rPr>
          <w:rFonts w:hint="eastAsia" w:ascii="仿宋" w:hAnsi="仿宋" w:eastAsia="仿宋" w:cs="仿宋"/>
        </w:rPr>
        <w:t>25.5采购合同由采购人与中标供应商根据招标文件、投标文件等内容通过政府采购电子交易平台在线签订</w:t>
      </w:r>
      <w:r>
        <w:rPr>
          <w:rFonts w:hint="eastAsia" w:ascii="仿宋" w:hAnsi="仿宋" w:eastAsia="仿宋" w:cs="仿宋"/>
          <w:lang w:val="en-US" w:eastAsia="zh-CN"/>
        </w:rPr>
        <w:t>或线下签到后进行系统平台在线</w:t>
      </w:r>
      <w:r>
        <w:rPr>
          <w:rFonts w:hint="eastAsia" w:ascii="仿宋" w:hAnsi="仿宋" w:eastAsia="仿宋" w:cs="仿宋"/>
        </w:rPr>
        <w:t>备案。</w:t>
      </w:r>
    </w:p>
    <w:p>
      <w:pPr>
        <w:pStyle w:val="3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firstLine="480" w:firstLineChars="200"/>
        <w:rPr>
          <w:lang w:val="en-US"/>
        </w:rPr>
      </w:pPr>
      <w:r>
        <w:rPr>
          <w:rFonts w:hint="eastAsia"/>
          <w:snapToGrid w:val="0"/>
          <w:kern w:val="28"/>
          <w:sz w:val="24"/>
        </w:rPr>
        <w:t>供应商</w:t>
      </w:r>
      <w:r>
        <w:rPr>
          <w:rFonts w:hint="eastAsia"/>
          <w:snapToGrid w:val="0"/>
          <w:kern w:val="28"/>
          <w:sz w:val="24"/>
          <w:lang w:val="en-US"/>
        </w:rPr>
        <w:t>可</w:t>
      </w:r>
      <w:r>
        <w:rPr>
          <w:rFonts w:hint="eastAsia"/>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8"/>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8"/>
        <w:numPr>
          <w:ilvl w:val="0"/>
          <w:numId w:val="4"/>
        </w:numPr>
        <w:snapToGrid w:val="0"/>
        <w:spacing w:before="0"/>
        <w:ind w:firstLine="480"/>
        <w:rPr>
          <w:rFonts w:ascii="仿宋_GB2312" w:hAnsi="仿宋" w:eastAsia="仿宋_GB2312" w:cs="仿宋_GB2312"/>
        </w:rPr>
      </w:pP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4"/>
        <w:spacing w:line="360" w:lineRule="auto"/>
        <w:ind w:firstLine="0" w:firstLineChars="0"/>
        <w:rPr>
          <w:rFonts w:ascii="仿宋_GB2312" w:hAnsi="仿宋" w:eastAsia="仿宋_GB2312" w:cs="仿宋_GB2312"/>
          <w:b/>
        </w:rPr>
      </w:pPr>
      <w:r>
        <w:rPr>
          <w:rFonts w:ascii="仿宋_GB2312" w:hAnsi="仿宋" w:eastAsia="仿宋_GB2312" w:cs="仿宋_GB2312"/>
          <w:b/>
        </w:rPr>
        <w:t>29.</w:t>
      </w:r>
      <w:r>
        <w:rPr>
          <w:rFonts w:hint="eastAsia" w:ascii="仿宋_GB2312" w:hAnsi="仿宋" w:eastAsia="仿宋_GB2312" w:cs="仿宋_GB2312"/>
          <w:b/>
        </w:rPr>
        <w:t xml:space="preserve"> </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FF0000"/>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8"/>
    <w:p>
      <w:pPr>
        <w:tabs>
          <w:tab w:val="left" w:pos="0"/>
        </w:tabs>
        <w:spacing w:line="360" w:lineRule="auto"/>
        <w:ind w:firstLine="480"/>
        <w:rPr>
          <w:rFonts w:ascii="仿宋_GB2312" w:hAnsi="仿宋" w:eastAsia="仿宋_GB2312" w:cs="Helvetica"/>
          <w:kern w:val="0"/>
          <w:sz w:val="24"/>
        </w:rPr>
        <w:sectPr>
          <w:footerReference r:id="rId10" w:type="first"/>
          <w:footerReference r:id="rId9" w:type="default"/>
          <w:pgSz w:w="11906" w:h="16838"/>
          <w:pgMar w:top="680" w:right="1418" w:bottom="468" w:left="1418" w:header="851" w:footer="992" w:gutter="0"/>
          <w:cols w:space="720" w:num="1"/>
          <w:titlePg/>
          <w:docGrid w:linePitch="312" w:charSpace="0"/>
        </w:sectPr>
      </w:pPr>
      <w:bookmarkStart w:id="19" w:name="_Hlt68403820"/>
      <w:bookmarkEnd w:id="19"/>
      <w:bookmarkStart w:id="20" w:name="_Hlt68073093"/>
      <w:bookmarkEnd w:id="20"/>
      <w:bookmarkStart w:id="21" w:name="_Hlt75236101"/>
      <w:bookmarkEnd w:id="21"/>
      <w:bookmarkStart w:id="22" w:name="_Hlt74729768"/>
      <w:bookmarkEnd w:id="22"/>
      <w:bookmarkStart w:id="23" w:name="_Hlt75236011"/>
      <w:bookmarkEnd w:id="23"/>
      <w:bookmarkStart w:id="24" w:name="_Hlt68057669"/>
      <w:bookmarkEnd w:id="24"/>
      <w:bookmarkStart w:id="25" w:name="_Hlt74707468"/>
      <w:bookmarkEnd w:id="25"/>
      <w:bookmarkStart w:id="26" w:name="_Hlt74714665"/>
      <w:bookmarkEnd w:id="26"/>
      <w:bookmarkStart w:id="27" w:name="_Hlt68072990"/>
      <w:bookmarkEnd w:id="27"/>
      <w:bookmarkStart w:id="28" w:name="_Hlt74730295"/>
      <w:bookmarkEnd w:id="28"/>
      <w:bookmarkStart w:id="29" w:name="_Hlt75236290"/>
      <w:bookmarkEnd w:id="29"/>
      <w:bookmarkStart w:id="30" w:name="_Hlt68072998"/>
      <w:bookmarkEnd w:id="30"/>
    </w:p>
    <w:bookmarkEnd w:id="16"/>
    <w:bookmarkEnd w:id="17"/>
    <w:p>
      <w:pPr>
        <w:spacing w:line="360" w:lineRule="auto"/>
        <w:jc w:val="center"/>
        <w:outlineLvl w:val="0"/>
        <w:rPr>
          <w:rFonts w:ascii="仿宋" w:hAnsi="仿宋" w:eastAsia="仿宋" w:cs="仿宋"/>
          <w:b/>
          <w:sz w:val="36"/>
          <w:szCs w:val="36"/>
        </w:rPr>
      </w:pPr>
      <w:bookmarkStart w:id="31" w:name="第四部分"/>
      <w:r>
        <w:rPr>
          <w:rFonts w:hint="eastAsia" w:ascii="仿宋" w:hAnsi="仿宋" w:eastAsia="仿宋" w:cs="仿宋"/>
          <w:b/>
          <w:sz w:val="36"/>
          <w:szCs w:val="36"/>
        </w:rPr>
        <w:t>第三部分   采购需求</w:t>
      </w:r>
    </w:p>
    <w:p>
      <w:pPr>
        <w:pStyle w:val="3"/>
        <w:spacing w:before="0" w:after="0" w:line="360" w:lineRule="auto"/>
        <w:ind w:left="0" w:firstLine="0"/>
        <w:rPr>
          <w:rFonts w:ascii="仿宋" w:hAnsi="仿宋" w:eastAsia="仿宋" w:cs="仿宋"/>
          <w:sz w:val="24"/>
          <w:szCs w:val="24"/>
        </w:rPr>
      </w:pPr>
    </w:p>
    <w:p>
      <w:pPr>
        <w:pStyle w:val="3"/>
        <w:pageBreakBefore w:val="0"/>
        <w:kinsoku/>
        <w:wordWrap/>
        <w:overflowPunct/>
        <w:topLinePunct w:val="0"/>
        <w:autoSpaceDE/>
        <w:autoSpaceDN/>
        <w:bidi w:val="0"/>
        <w:snapToGrid/>
        <w:spacing w:before="0" w:after="0" w:line="360" w:lineRule="auto"/>
        <w:ind w:lef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项目</w:t>
      </w:r>
      <w:r>
        <w:rPr>
          <w:rFonts w:hint="eastAsia" w:ascii="仿宋" w:hAnsi="仿宋" w:eastAsia="仿宋" w:cs="仿宋"/>
          <w:sz w:val="24"/>
          <w:szCs w:val="24"/>
          <w:lang w:eastAsia="zh-CN"/>
        </w:rPr>
        <w:t>目标</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为切实提升网络投诉处理质量，降低因调解协商不一致导致的信访积案、复议诉讼风险，本次采购</w:t>
      </w:r>
      <w:r>
        <w:rPr>
          <w:rFonts w:hint="eastAsia" w:ascii="仿宋" w:hAnsi="仿宋" w:eastAsia="仿宋" w:cs="仿宋"/>
          <w:b w:val="0"/>
          <w:bCs w:val="0"/>
          <w:sz w:val="24"/>
          <w:szCs w:val="24"/>
          <w:lang w:val="en-US" w:eastAsia="zh-CN"/>
        </w:rPr>
        <w:t>网络消费投诉调解</w:t>
      </w:r>
      <w:r>
        <w:rPr>
          <w:rFonts w:hint="eastAsia" w:ascii="仿宋" w:hAnsi="仿宋" w:eastAsia="仿宋" w:cs="仿宋"/>
          <w:b w:val="0"/>
          <w:bCs w:val="0"/>
          <w:sz w:val="24"/>
          <w:lang w:val="en-US" w:eastAsia="zh-CN"/>
        </w:rPr>
        <w:t>质量提升辅助</w:t>
      </w:r>
      <w:r>
        <w:rPr>
          <w:rFonts w:hint="eastAsia" w:ascii="仿宋" w:hAnsi="仿宋" w:eastAsia="仿宋" w:cs="仿宋"/>
          <w:b w:val="0"/>
          <w:bCs w:val="0"/>
          <w:sz w:val="24"/>
          <w:szCs w:val="24"/>
          <w:lang w:val="en-US" w:eastAsia="zh-CN"/>
        </w:rPr>
        <w:t>处理服务，确保</w:t>
      </w:r>
      <w:r>
        <w:rPr>
          <w:rFonts w:hint="eastAsia" w:ascii="仿宋" w:hAnsi="仿宋" w:eastAsia="仿宋" w:cs="仿宋"/>
          <w:b w:val="0"/>
          <w:bCs w:val="0"/>
          <w:sz w:val="24"/>
          <w:szCs w:val="24"/>
          <w:lang w:eastAsia="zh-CN"/>
        </w:rPr>
        <w:t>高质量完成</w:t>
      </w:r>
      <w:r>
        <w:rPr>
          <w:rFonts w:hint="eastAsia" w:ascii="仿宋" w:hAnsi="仿宋" w:eastAsia="仿宋" w:cs="仿宋"/>
          <w:b w:val="0"/>
          <w:bCs w:val="0"/>
          <w:sz w:val="24"/>
          <w:szCs w:val="24"/>
        </w:rPr>
        <w:t>各项</w:t>
      </w:r>
      <w:r>
        <w:rPr>
          <w:rFonts w:hint="eastAsia" w:ascii="仿宋" w:hAnsi="仿宋" w:eastAsia="仿宋" w:cs="仿宋"/>
          <w:b w:val="0"/>
          <w:bCs w:val="0"/>
          <w:sz w:val="24"/>
          <w:szCs w:val="24"/>
          <w:lang w:eastAsia="zh-CN"/>
        </w:rPr>
        <w:t>工作任务和</w:t>
      </w:r>
      <w:r>
        <w:rPr>
          <w:rFonts w:hint="eastAsia" w:ascii="仿宋" w:hAnsi="仿宋" w:eastAsia="仿宋" w:cs="仿宋"/>
          <w:b w:val="0"/>
          <w:bCs w:val="0"/>
          <w:sz w:val="24"/>
          <w:szCs w:val="24"/>
        </w:rPr>
        <w:t>考核</w:t>
      </w:r>
      <w:r>
        <w:rPr>
          <w:rFonts w:hint="eastAsia" w:ascii="仿宋" w:hAnsi="仿宋" w:eastAsia="仿宋" w:cs="仿宋"/>
          <w:b w:val="0"/>
          <w:bCs w:val="0"/>
          <w:sz w:val="24"/>
          <w:szCs w:val="24"/>
          <w:lang w:eastAsia="zh-CN"/>
        </w:rPr>
        <w:t>要求，进一步优化网络消费环境，</w:t>
      </w:r>
      <w:r>
        <w:rPr>
          <w:rFonts w:hint="eastAsia" w:ascii="仿宋" w:hAnsi="仿宋" w:eastAsia="仿宋" w:cs="仿宋"/>
          <w:b w:val="0"/>
          <w:bCs w:val="0"/>
          <w:sz w:val="24"/>
          <w:szCs w:val="24"/>
          <w:lang w:val="en-US" w:eastAsia="zh-CN"/>
        </w:rPr>
        <w:t>推动</w:t>
      </w:r>
      <w:r>
        <w:rPr>
          <w:rFonts w:hint="eastAsia" w:ascii="仿宋" w:hAnsi="仿宋" w:eastAsia="仿宋" w:cs="仿宋"/>
          <w:b w:val="0"/>
          <w:bCs w:val="0"/>
          <w:sz w:val="24"/>
          <w:szCs w:val="24"/>
          <w:lang w:eastAsia="zh-CN"/>
        </w:rPr>
        <w:t>平台经济规范健康持续发展。</w:t>
      </w:r>
    </w:p>
    <w:p>
      <w:pPr>
        <w:pStyle w:val="3"/>
        <w:pageBreakBefore w:val="0"/>
        <w:kinsoku/>
        <w:wordWrap/>
        <w:overflowPunct/>
        <w:topLinePunct w:val="0"/>
        <w:autoSpaceDE/>
        <w:autoSpaceDN/>
        <w:bidi w:val="0"/>
        <w:snapToGrid/>
        <w:spacing w:before="0" w:after="0" w:line="360" w:lineRule="auto"/>
        <w:ind w:left="0"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二、</w:t>
      </w:r>
      <w:r>
        <w:rPr>
          <w:rFonts w:hint="eastAsia" w:ascii="仿宋" w:hAnsi="仿宋" w:eastAsia="仿宋" w:cs="仿宋"/>
          <w:sz w:val="24"/>
          <w:szCs w:val="24"/>
        </w:rPr>
        <w:t xml:space="preserve">质量提升服务外包内容  </w:t>
      </w:r>
    </w:p>
    <w:p>
      <w:pPr>
        <w:pageBreakBefore w:val="0"/>
        <w:widowControl/>
        <w:numPr>
          <w:ilvl w:val="0"/>
          <w:numId w:val="5"/>
        </w:numPr>
        <w:kinsoku/>
        <w:wordWrap/>
        <w:overflowPunct/>
        <w:topLinePunct w:val="0"/>
        <w:autoSpaceDE/>
        <w:autoSpaceDN/>
        <w:bidi w:val="0"/>
        <w:snapToGrid/>
        <w:spacing w:line="360" w:lineRule="auto"/>
        <w:ind w:left="0" w:leftChars="0" w:right="240"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增加</w:t>
      </w:r>
      <w:r>
        <w:rPr>
          <w:rFonts w:hint="eastAsia" w:ascii="仿宋" w:hAnsi="仿宋" w:eastAsia="仿宋" w:cs="仿宋"/>
          <w:b/>
          <w:bCs/>
          <w:color w:val="000000"/>
          <w:sz w:val="24"/>
          <w:szCs w:val="24"/>
        </w:rPr>
        <w:t>投诉件记录、分流、处理及后续的整理、分析工作（主要是网络投诉件辅助处理）</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为有效区分本项目与“辅助项目”工作内容，本项目合同实施之日起将余杭区市场监督管理局收到的投诉件按照</w:t>
      </w:r>
      <w:r>
        <w:rPr>
          <w:rFonts w:hint="eastAsia" w:ascii="仿宋" w:hAnsi="仿宋" w:eastAsia="仿宋" w:cs="仿宋"/>
          <w:color w:val="000000"/>
          <w:sz w:val="24"/>
          <w:szCs w:val="24"/>
          <w:lang w:val="en-US" w:eastAsia="zh-CN"/>
        </w:rPr>
        <w:t>当日总量1:1分别交由</w:t>
      </w:r>
      <w:r>
        <w:rPr>
          <w:rFonts w:hint="eastAsia" w:ascii="仿宋" w:hAnsi="仿宋" w:eastAsia="仿宋" w:cs="仿宋"/>
          <w:color w:val="000000"/>
          <w:sz w:val="24"/>
          <w:szCs w:val="24"/>
          <w:lang w:eastAsia="zh-CN"/>
        </w:rPr>
        <w:t>本项目与“辅助项目”进行</w:t>
      </w:r>
      <w:r>
        <w:rPr>
          <w:rFonts w:hint="eastAsia" w:ascii="仿宋" w:hAnsi="仿宋" w:eastAsia="仿宋" w:cs="仿宋"/>
          <w:color w:val="000000"/>
          <w:sz w:val="24"/>
          <w:szCs w:val="24"/>
          <w:lang w:val="en-US" w:eastAsia="zh-CN"/>
        </w:rPr>
        <w:t>处理及后续流程处置，</w:t>
      </w:r>
      <w:r>
        <w:rPr>
          <w:rFonts w:hint="eastAsia" w:ascii="仿宋" w:hAnsi="仿宋" w:eastAsia="仿宋" w:cs="仿宋"/>
          <w:color w:val="000000"/>
          <w:sz w:val="24"/>
          <w:szCs w:val="24"/>
        </w:rPr>
        <w:t>具体包括电话、网络、信件等途径收到的待处理信息登记、系统录入、协查、调解、分流交办、移送、寄递、反馈、告知，和后续信息公开、效能投诉、行政复议、行政诉讼、行政反馈等过程中收集整理、反馈、报告等工作，以及对上述各项工作数据和内容的分析。</w:t>
      </w:r>
    </w:p>
    <w:p>
      <w:pPr>
        <w:pageBreakBefore w:val="0"/>
        <w:numPr>
          <w:ilvl w:val="0"/>
          <w:numId w:val="5"/>
        </w:numPr>
        <w:kinsoku/>
        <w:wordWrap/>
        <w:overflowPunct/>
        <w:topLinePunct w:val="0"/>
        <w:autoSpaceDE/>
        <w:autoSpaceDN/>
        <w:bidi w:val="0"/>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其他相关性辅助处理工作。</w:t>
      </w:r>
    </w:p>
    <w:tbl>
      <w:tblPr>
        <w:tblStyle w:val="74"/>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2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2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辅助工作类型</w:t>
            </w:r>
          </w:p>
        </w:tc>
        <w:tc>
          <w:tcPr>
            <w:tcW w:w="63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92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投诉件调解</w:t>
            </w:r>
          </w:p>
        </w:tc>
        <w:tc>
          <w:tcPr>
            <w:tcW w:w="630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i w:val="0"/>
                <w:caps w:val="0"/>
                <w:color w:val="auto"/>
                <w:spacing w:val="0"/>
                <w:kern w:val="2"/>
                <w:sz w:val="24"/>
                <w:szCs w:val="24"/>
                <w:lang w:val="en-US" w:eastAsia="zh-CN" w:bidi="ar-SA"/>
              </w:rPr>
              <w:t>资料查询、还原消费纠纷、责任判断、电话调解辅助、普法宣传等。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92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其他重要件处置</w:t>
            </w:r>
          </w:p>
        </w:tc>
        <w:tc>
          <w:tcPr>
            <w:tcW w:w="630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i w:val="0"/>
                <w:caps w:val="0"/>
                <w:color w:val="auto"/>
                <w:spacing w:val="0"/>
                <w:kern w:val="2"/>
                <w:sz w:val="24"/>
                <w:szCs w:val="24"/>
                <w:lang w:val="en-US" w:eastAsia="zh-CN" w:bidi="ar-SA"/>
              </w:rPr>
              <w:t>上级交办件、舆情件等查阅资料、移送辅助、协查辅助。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2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复议、诉讼答复</w:t>
            </w:r>
          </w:p>
        </w:tc>
        <w:tc>
          <w:tcPr>
            <w:tcW w:w="630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i w:val="0"/>
                <w:caps w:val="0"/>
                <w:color w:val="auto"/>
                <w:spacing w:val="0"/>
                <w:kern w:val="2"/>
                <w:sz w:val="24"/>
                <w:szCs w:val="24"/>
                <w:lang w:val="en-US" w:eastAsia="zh-CN" w:bidi="ar-SA"/>
              </w:rPr>
              <w:t>查询资料、收集证据材料辅助、复议诉讼答复辅助。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2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复议、诉讼调解</w:t>
            </w:r>
          </w:p>
        </w:tc>
        <w:tc>
          <w:tcPr>
            <w:tcW w:w="630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i w:val="0"/>
                <w:caps w:val="0"/>
                <w:color w:val="auto"/>
                <w:spacing w:val="0"/>
                <w:kern w:val="2"/>
                <w:sz w:val="24"/>
                <w:szCs w:val="24"/>
                <w:lang w:val="en-US" w:eastAsia="zh-CN" w:bidi="ar-SA"/>
              </w:rPr>
              <w:t>查询资料、收集证据材料辅助、调解辅助。</w:t>
            </w:r>
          </w:p>
        </w:tc>
      </w:tr>
    </w:tbl>
    <w:p>
      <w:pPr>
        <w:pStyle w:val="3"/>
        <w:keepNext/>
        <w:keepLines/>
        <w:pageBreakBefore w:val="0"/>
        <w:widowControl w:val="0"/>
        <w:kinsoku/>
        <w:wordWrap/>
        <w:overflowPunct/>
        <w:topLinePunct w:val="0"/>
        <w:autoSpaceDE/>
        <w:autoSpaceDN/>
        <w:bidi w:val="0"/>
        <w:adjustRightInd w:val="0"/>
        <w:snapToGrid/>
        <w:spacing w:before="0" w:after="0" w:line="360" w:lineRule="auto"/>
        <w:ind w:left="434" w:leftChars="202" w:hanging="10" w:hangingChars="4"/>
        <w:textAlignment w:val="auto"/>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服务外包具体要求</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各处理过程时限要求须符合规范，各处理过程及结果均须如实记录并归档，所有记录应可供方便查阅，需要告知有关部门、人员的，应通过适当途径告知，并记录告知情况，告知应在相应处理过程当天完成；部分需书面回复上级交办部门的交办件，需要按照上级部门的要求及时回复；余杭区市场监督管理局认为有关处理不当的，应在规定</w:t>
      </w:r>
      <w:r>
        <w:rPr>
          <w:rFonts w:hint="eastAsia" w:ascii="仿宋" w:hAnsi="仿宋" w:eastAsia="仿宋" w:cs="仿宋"/>
          <w:sz w:val="24"/>
          <w:szCs w:val="24"/>
          <w:lang w:eastAsia="zh-CN"/>
        </w:rPr>
        <w:t>时间</w:t>
      </w:r>
      <w:r>
        <w:rPr>
          <w:rFonts w:hint="eastAsia" w:ascii="仿宋" w:hAnsi="仿宋" w:eastAsia="仿宋" w:cs="仿宋"/>
          <w:sz w:val="24"/>
          <w:szCs w:val="24"/>
        </w:rPr>
        <w:t>内重新处理。</w:t>
      </w:r>
    </w:p>
    <w:p>
      <w:pPr>
        <w:pStyle w:val="2"/>
        <w:pageBreakBefore w:val="0"/>
        <w:tabs>
          <w:tab w:val="left" w:pos="0"/>
          <w:tab w:val="clear" w:pos="432"/>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辅助处理</w:t>
      </w:r>
      <w:r>
        <w:rPr>
          <w:rFonts w:hint="eastAsia" w:ascii="仿宋" w:eastAsia="仿宋" w:cs="仿宋"/>
          <w:sz w:val="24"/>
          <w:szCs w:val="24"/>
          <w:lang w:eastAsia="zh-CN"/>
        </w:rPr>
        <w:t>：</w:t>
      </w:r>
    </w:p>
    <w:p>
      <w:pPr>
        <w:pageBreakBefore w:val="0"/>
        <w:numPr>
          <w:ilvl w:val="0"/>
          <w:numId w:val="6"/>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认真耐心地开展上级交办、系统交办、来访接待、函件拆解扫描，记录各类来源信息并在系统中统一录入数据，并分流至相应处理部门或人员；</w:t>
      </w:r>
    </w:p>
    <w:p>
      <w:pPr>
        <w:pageBreakBefore w:val="0"/>
        <w:numPr>
          <w:ilvl w:val="0"/>
          <w:numId w:val="6"/>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辅助开展投诉调解工作并记录、告知有关情况；</w:t>
      </w:r>
    </w:p>
    <w:p>
      <w:pPr>
        <w:pStyle w:val="2"/>
        <w:pageBreakBefore w:val="0"/>
        <w:tabs>
          <w:tab w:val="left" w:pos="0"/>
          <w:tab w:val="clear" w:pos="432"/>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数据统计分析</w:t>
      </w:r>
      <w:r>
        <w:rPr>
          <w:rFonts w:hint="eastAsia" w:ascii="仿宋" w:eastAsia="仿宋" w:cs="仿宋"/>
          <w:sz w:val="24"/>
          <w:szCs w:val="24"/>
          <w:lang w:val="en-US" w:eastAsia="zh-CN"/>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辅助甲方对网络投诉原始数据进行统计分析，对投诉内容及处理、咨询等相关工作形成日常处理报告（分为周报、月报、季报、年报等）和专项报告。</w:t>
      </w:r>
    </w:p>
    <w:p>
      <w:pPr>
        <w:pStyle w:val="2"/>
        <w:pageBreakBefore w:val="0"/>
        <w:tabs>
          <w:tab w:val="left" w:pos="0"/>
          <w:tab w:val="clear" w:pos="432"/>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eastAsia="仿宋" w:cs="仿宋"/>
          <w:sz w:val="24"/>
          <w:szCs w:val="24"/>
          <w:lang w:val="en-US" w:eastAsia="zh-CN"/>
        </w:rPr>
        <w:t>3.</w:t>
      </w:r>
      <w:r>
        <w:rPr>
          <w:rFonts w:hint="eastAsia" w:ascii="仿宋" w:hAnsi="仿宋" w:eastAsia="仿宋" w:cs="仿宋"/>
          <w:sz w:val="24"/>
          <w:szCs w:val="24"/>
        </w:rPr>
        <w:t>其他与网络投诉相关的辅助性工作</w:t>
      </w:r>
    </w:p>
    <w:p>
      <w:pPr>
        <w:pageBreakBefore w:val="0"/>
        <w:numPr>
          <w:ilvl w:val="-1"/>
          <w:numId w:val="0"/>
        </w:numPr>
        <w:kinsoku/>
        <w:wordWrap/>
        <w:overflowPunct/>
        <w:topLinePunct w:val="0"/>
        <w:autoSpaceDE/>
        <w:autoSpaceDN/>
        <w:bidi w:val="0"/>
        <w:snapToGrid/>
        <w:spacing w:line="360" w:lineRule="auto"/>
        <w:ind w:left="4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根据行政救济内容，收集、整理、分析相关材料；</w:t>
      </w:r>
    </w:p>
    <w:p>
      <w:pPr>
        <w:pageBreakBefore w:val="0"/>
        <w:numPr>
          <w:ilvl w:val="-1"/>
          <w:numId w:val="0"/>
        </w:numPr>
        <w:kinsoku/>
        <w:wordWrap/>
        <w:overflowPunct/>
        <w:topLinePunct w:val="0"/>
        <w:autoSpaceDE/>
        <w:autoSpaceDN/>
        <w:bidi w:val="0"/>
        <w:snapToGrid/>
        <w:spacing w:line="360" w:lineRule="auto"/>
        <w:ind w:left="4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其他与网络投诉相关的辅助性工作。</w:t>
      </w:r>
    </w:p>
    <w:p>
      <w:pPr>
        <w:pStyle w:val="2"/>
        <w:pageBreakBefore w:val="0"/>
        <w:tabs>
          <w:tab w:val="left" w:pos="0"/>
          <w:tab w:val="clear" w:pos="432"/>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质检要求</w:t>
      </w:r>
      <w:r>
        <w:rPr>
          <w:rFonts w:hint="eastAsia" w:ascii="仿宋" w:eastAsia="仿宋" w:cs="仿宋"/>
          <w:sz w:val="24"/>
          <w:szCs w:val="24"/>
          <w:lang w:val="en-US" w:eastAsia="zh-CN"/>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合同周期前三个月，质检专员须每半月对经办人员处理的案件进行抽查复盘，合同周期三个月之后可根据案件质量调整为每月对经办人员处理的案件进行抽查复盘，质检结果出来后一周内通晒相关问题。每月安排专项质检会议。  </w:t>
      </w:r>
    </w:p>
    <w:p>
      <w:pPr>
        <w:pStyle w:val="3"/>
        <w:keepNext/>
        <w:keepLines/>
        <w:pageBreakBefore w:val="0"/>
        <w:widowControl w:val="0"/>
        <w:kinsoku/>
        <w:wordWrap/>
        <w:overflowPunct/>
        <w:topLinePunct w:val="0"/>
        <w:autoSpaceDE/>
        <w:autoSpaceDN/>
        <w:bidi w:val="0"/>
        <w:adjustRightInd w:val="0"/>
        <w:snapToGrid/>
        <w:spacing w:before="0" w:after="0" w:line="360" w:lineRule="auto"/>
        <w:ind w:left="434" w:leftChars="202" w:hanging="10" w:hangingChars="4"/>
        <w:textAlignment w:val="auto"/>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考核要求</w:t>
      </w:r>
    </w:p>
    <w:p>
      <w:pPr>
        <w:pStyle w:val="2"/>
        <w:pageBreakBefore w:val="0"/>
        <w:tabs>
          <w:tab w:val="left" w:pos="0"/>
          <w:tab w:val="clear" w:pos="432"/>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项目目标</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根据规范妥善完成项目期内收到的网络投诉等有关处理工作和历史件的后续辅助处理。</w:t>
      </w:r>
    </w:p>
    <w:p>
      <w:pPr>
        <w:pStyle w:val="2"/>
        <w:pageBreakBefore w:val="0"/>
        <w:tabs>
          <w:tab w:val="left" w:pos="0"/>
          <w:tab w:val="clear" w:pos="432"/>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质量要求</w:t>
      </w:r>
    </w:p>
    <w:p>
      <w:pPr>
        <w:pageBreakBefore w:val="0"/>
        <w:numPr>
          <w:ilvl w:val="0"/>
          <w:numId w:val="7"/>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按照规范程序和时限要求，按时完成受理、分流、告知、移交/移送、反馈后处理等各环节处理工作，不得逾期；</w:t>
      </w:r>
    </w:p>
    <w:p>
      <w:pPr>
        <w:pageBreakBefore w:val="0"/>
        <w:numPr>
          <w:ilvl w:val="0"/>
          <w:numId w:val="7"/>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向外发送的文书差错率不得超过千分之一；</w:t>
      </w:r>
    </w:p>
    <w:p>
      <w:pPr>
        <w:pageBreakBefore w:val="0"/>
        <w:numPr>
          <w:ilvl w:val="0"/>
          <w:numId w:val="7"/>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投标方须在投标文件中提供保障工作时效和质量的具体方案。</w:t>
      </w:r>
    </w:p>
    <w:p>
      <w:pPr>
        <w:pStyle w:val="2"/>
        <w:pageBreakBefore w:val="0"/>
        <w:tabs>
          <w:tab w:val="left" w:pos="0"/>
          <w:tab w:val="clear" w:pos="432"/>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考核指标</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项目考核将按月考核，如中标单位在合同签订后第一个月考核即不通过相关指标，则采购人有权中止合同，采购人可以与顺延第二中标候选人签约，也可重新组织招标。</w:t>
      </w:r>
    </w:p>
    <w:p>
      <w:pPr>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项目组人员不少于</w:t>
      </w:r>
      <w:r>
        <w:rPr>
          <w:rFonts w:hint="eastAsia" w:ascii="仿宋" w:hAnsi="仿宋" w:eastAsia="仿宋" w:cs="仿宋"/>
          <w:sz w:val="24"/>
          <w:szCs w:val="24"/>
          <w:lang w:val="en-US" w:eastAsia="zh-CN"/>
        </w:rPr>
        <w:t>48人，派至采购单位指定服务地点</w:t>
      </w:r>
      <w:r>
        <w:rPr>
          <w:rFonts w:hint="eastAsia" w:ascii="仿宋" w:hAnsi="仿宋" w:eastAsia="仿宋" w:cs="仿宋"/>
          <w:sz w:val="24"/>
          <w:szCs w:val="24"/>
        </w:rPr>
        <w:t>人员不少于</w:t>
      </w:r>
      <w:r>
        <w:rPr>
          <w:rFonts w:hint="eastAsia" w:ascii="仿宋" w:hAnsi="仿宋" w:eastAsia="仿宋" w:cs="仿宋"/>
          <w:sz w:val="24"/>
          <w:szCs w:val="24"/>
          <w:lang w:val="en-US" w:eastAsia="zh-CN"/>
        </w:rPr>
        <w:t>45</w:t>
      </w:r>
      <w:r>
        <w:rPr>
          <w:rFonts w:hint="eastAsia" w:ascii="仿宋" w:hAnsi="仿宋" w:eastAsia="仿宋" w:cs="仿宋"/>
          <w:sz w:val="24"/>
          <w:szCs w:val="24"/>
        </w:rPr>
        <w:t>人；</w:t>
      </w:r>
      <w:r>
        <w:rPr>
          <w:rFonts w:hint="eastAsia" w:ascii="仿宋" w:hAnsi="仿宋" w:eastAsia="仿宋" w:cs="仿宋"/>
          <w:sz w:val="24"/>
          <w:szCs w:val="24"/>
          <w:lang w:eastAsia="zh-CN"/>
        </w:rPr>
        <w:t>项目运行</w:t>
      </w:r>
      <w:r>
        <w:rPr>
          <w:rFonts w:hint="eastAsia" w:ascii="仿宋" w:hAnsi="仿宋" w:eastAsia="仿宋" w:cs="仿宋"/>
          <w:sz w:val="24"/>
          <w:szCs w:val="24"/>
          <w:lang w:val="en-US" w:eastAsia="zh-CN"/>
        </w:rPr>
        <w:t>2个月后，驻场人员</w:t>
      </w:r>
      <w:r>
        <w:rPr>
          <w:rFonts w:hint="eastAsia" w:ascii="仿宋" w:hAnsi="仿宋" w:eastAsia="仿宋" w:cs="仿宋"/>
          <w:sz w:val="24"/>
          <w:szCs w:val="24"/>
        </w:rPr>
        <w:t>每少一人需提供1万元的消费保障资金；</w:t>
      </w:r>
    </w:p>
    <w:p>
      <w:pPr>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行政复议中杭集复被纠错最多1件；因中标方责任导致杭集复被纠错的每增加1件需提供10万元的消费保障资金；</w:t>
      </w:r>
    </w:p>
    <w:p>
      <w:pPr>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行政复议中其他复议件纠错率不高于5%；因中标方责任导致行政复议中其他复议件纠错率每高2个百分比需提供2万元的消费保障资金；</w:t>
      </w:r>
    </w:p>
    <w:p>
      <w:pPr>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行政诉讼败诉最多1件；因中标方责任导致行政诉讼败诉的每增加1件需提供10万元的消费保障资金；</w:t>
      </w:r>
    </w:p>
    <w:p>
      <w:pPr>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投诉按时初查率不低于99.99%；因中标方责任投诉按时初查率下降1个百分比需提供5万元的消费保障资金；</w:t>
      </w:r>
    </w:p>
    <w:p>
      <w:pPr>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普通投诉件</w:t>
      </w:r>
      <w:r>
        <w:rPr>
          <w:rFonts w:hint="eastAsia" w:ascii="仿宋" w:hAnsi="仿宋" w:eastAsia="仿宋" w:cs="仿宋"/>
          <w:color w:val="auto"/>
          <w:sz w:val="24"/>
          <w:szCs w:val="24"/>
          <w:lang w:val="en-US" w:eastAsia="zh-CN"/>
        </w:rPr>
        <w:t>受理后30天内完成调解，</w:t>
      </w:r>
      <w:r>
        <w:rPr>
          <w:rFonts w:hint="eastAsia" w:ascii="仿宋" w:hAnsi="仿宋" w:eastAsia="仿宋" w:cs="仿宋"/>
          <w:color w:val="auto"/>
          <w:sz w:val="24"/>
          <w:szCs w:val="24"/>
        </w:rPr>
        <w:t>投诉按时办结率不低于99.99%；因中标方责任投诉按时办结率下降1个百分比需提供5万元的消费保障资金；</w:t>
      </w:r>
    </w:p>
    <w:p>
      <w:pPr>
        <w:pageBreakBefore w:val="0"/>
        <w:numPr>
          <w:ilvl w:val="0"/>
          <w:numId w:val="8"/>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普通投诉件化解成功率不低于</w:t>
      </w: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；每</w:t>
      </w:r>
      <w:r>
        <w:rPr>
          <w:rFonts w:hint="eastAsia" w:ascii="仿宋" w:hAnsi="仿宋" w:eastAsia="仿宋" w:cs="仿宋"/>
          <w:sz w:val="24"/>
          <w:szCs w:val="24"/>
        </w:rPr>
        <w:t>低全</w:t>
      </w:r>
      <w:r>
        <w:rPr>
          <w:rFonts w:hint="eastAsia" w:ascii="仿宋" w:hAnsi="仿宋" w:eastAsia="仿宋" w:cs="仿宋"/>
          <w:sz w:val="24"/>
          <w:szCs w:val="24"/>
          <w:lang w:eastAsia="zh-CN"/>
        </w:rPr>
        <w:t>国</w:t>
      </w:r>
      <w:r>
        <w:rPr>
          <w:rFonts w:hint="eastAsia" w:ascii="仿宋" w:hAnsi="仿宋" w:eastAsia="仿宋" w:cs="仿宋"/>
          <w:sz w:val="24"/>
          <w:szCs w:val="24"/>
        </w:rPr>
        <w:t>平均水平1个百分比的需提供1万元的消费保障资金。</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以上消费保障资金需缴至采购方</w:t>
      </w:r>
      <w:r>
        <w:rPr>
          <w:rFonts w:hint="eastAsia" w:ascii="仿宋" w:hAnsi="仿宋" w:eastAsia="仿宋" w:cs="仿宋"/>
          <w:sz w:val="24"/>
          <w:szCs w:val="24"/>
          <w:lang w:eastAsia="zh-CN"/>
        </w:rPr>
        <w:t>指定</w:t>
      </w:r>
      <w:r>
        <w:rPr>
          <w:rFonts w:hint="eastAsia" w:ascii="仿宋" w:hAnsi="仿宋" w:eastAsia="仿宋" w:cs="仿宋"/>
          <w:sz w:val="24"/>
          <w:szCs w:val="24"/>
        </w:rPr>
        <w:t>账户。</w:t>
      </w:r>
    </w:p>
    <w:p>
      <w:pPr>
        <w:pStyle w:val="3"/>
        <w:keepNext/>
        <w:keepLines/>
        <w:pageBreakBefore w:val="0"/>
        <w:widowControl w:val="0"/>
        <w:kinsoku/>
        <w:wordWrap/>
        <w:overflowPunct/>
        <w:topLinePunct w:val="0"/>
        <w:autoSpaceDE/>
        <w:autoSpaceDN/>
        <w:bidi w:val="0"/>
        <w:adjustRightInd w:val="0"/>
        <w:snapToGrid/>
        <w:spacing w:before="0" w:after="0" w:line="360" w:lineRule="auto"/>
        <w:ind w:left="438" w:leftChars="88" w:hanging="253" w:hangingChars="105"/>
        <w:textAlignment w:val="auto"/>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各项服务保障</w:t>
      </w:r>
    </w:p>
    <w:p>
      <w:pPr>
        <w:pageBreakBefore w:val="0"/>
        <w:numPr>
          <w:ilvl w:val="0"/>
          <w:numId w:val="9"/>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中标人应保证按照有关国家或行业技术标准规范，对项目外包等各个环节进行严格的质量把关。</w:t>
      </w:r>
    </w:p>
    <w:p>
      <w:pPr>
        <w:pageBreakBefore w:val="0"/>
        <w:numPr>
          <w:ilvl w:val="0"/>
          <w:numId w:val="9"/>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在外包服务期内乙方应严格遵守在甲方的各项工作纪律和规章制度，不得对外泄露甲方业务相关的数据信息。</w:t>
      </w:r>
    </w:p>
    <w:p>
      <w:pPr>
        <w:pageBreakBefore w:val="0"/>
        <w:numPr>
          <w:ilvl w:val="0"/>
          <w:numId w:val="9"/>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项目运行过程中应严格做好安全防范措施，加强安全教育和管理，如中标人人员在实施中违反操作规定或实施现场防范措施设置不明造成人员伤害和财产损失事故的，一切责任均由乙方负责。</w:t>
      </w:r>
    </w:p>
    <w:p>
      <w:pPr>
        <w:pageBreakBefore w:val="0"/>
        <w:numPr>
          <w:ilvl w:val="0"/>
          <w:numId w:val="9"/>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中标人应按规定与从事该项目的工作人员签订劳动用工合同，遵守有关劳动用工的法律法规，中标人聘用人员在用工期间与乙方发生劳资纠纷和工伤事故的，均由中标人负责，不得影响采购单位项目的正常开展，造成影响项目正常实施或出现差错件达到采购人考核下限数的，采购人有权立即终止合同，并视为中标单位违约。</w:t>
      </w:r>
    </w:p>
    <w:p>
      <w:pPr>
        <w:pageBreakBefore w:val="0"/>
        <w:numPr>
          <w:ilvl w:val="0"/>
          <w:numId w:val="9"/>
        </w:numPr>
        <w:kinsoku/>
        <w:wordWrap/>
        <w:overflowPunct/>
        <w:topLinePunct w:val="0"/>
        <w:autoSpaceDE/>
        <w:autoSpaceDN/>
        <w:bidi w:val="0"/>
        <w:snapToGrid/>
        <w:spacing w:line="360" w:lineRule="auto"/>
        <w:ind w:left="0" w:leftChars="0" w:right="24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人需采取措施保障合同期间的人员稳定，全年人员流失率不超过总人数的20%（中标人内部因为岗位调整、办公地址搬迁和人员升迁，造成人员变化的，需事先征得采购人同意，不计入人员流失率）。中标人需具备一定的人员储备能力,在关键岗位人员流失时，可及时补充，确保外包服务的连续性。对中标人人员的岗位设置方案，应征得采购人同意后实施，合同期内，采购人认为中标人人员岗位设置存在不合理或者工作要求调整需调整部分人员岗位的，中标人应在7日内调整到位，中标人需进行岗位调整的，应征得采购人同意后方可调整，人员调整期间应保障各项工作的有序衔接；对合同期间违反采购人工作纪律、不服从管理或工作不符合采购人要求的人员，采购人有权要求中标人予以更换，中标人应在7个工作日内更换相关人员，该被更换人员不得从事与采购人业务有直接关联的工作。</w:t>
      </w:r>
    </w:p>
    <w:p>
      <w:pPr>
        <w:pageBreakBefore w:val="0"/>
        <w:numPr>
          <w:ilvl w:val="0"/>
          <w:numId w:val="9"/>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rPr>
        <w:t>合同期间，</w:t>
      </w:r>
      <w:r>
        <w:rPr>
          <w:rFonts w:hint="eastAsia" w:ascii="仿宋" w:hAnsi="仿宋" w:eastAsia="仿宋" w:cs="仿宋"/>
          <w:sz w:val="24"/>
          <w:szCs w:val="24"/>
        </w:rPr>
        <w:t>中标人</w:t>
      </w:r>
      <w:r>
        <w:rPr>
          <w:rFonts w:hint="eastAsia" w:ascii="仿宋" w:hAnsi="仿宋" w:eastAsia="仿宋" w:cs="仿宋"/>
          <w:color w:val="000000"/>
          <w:sz w:val="24"/>
          <w:szCs w:val="24"/>
        </w:rPr>
        <w:t>应达到甲方项目实施所需的人员数量</w:t>
      </w:r>
      <w:r>
        <w:rPr>
          <w:rFonts w:hint="eastAsia" w:ascii="仿宋" w:hAnsi="仿宋" w:eastAsia="仿宋" w:cs="仿宋"/>
          <w:color w:val="000000"/>
          <w:sz w:val="24"/>
          <w:szCs w:val="24"/>
          <w:lang w:val="en-US" w:eastAsia="zh-CN"/>
        </w:rPr>
        <w:t>和</w:t>
      </w:r>
      <w:r>
        <w:rPr>
          <w:rFonts w:hint="eastAsia" w:ascii="仿宋" w:hAnsi="仿宋" w:eastAsia="仿宋" w:cs="仿宋"/>
          <w:bCs/>
          <w:color w:val="000000"/>
          <w:sz w:val="24"/>
          <w:szCs w:val="24"/>
        </w:rPr>
        <w:t>专业能力</w:t>
      </w:r>
      <w:r>
        <w:rPr>
          <w:rFonts w:hint="eastAsia" w:ascii="仿宋" w:hAnsi="仿宋" w:eastAsia="仿宋" w:cs="仿宋"/>
          <w:color w:val="000000"/>
          <w:sz w:val="24"/>
          <w:szCs w:val="24"/>
        </w:rPr>
        <w:t>要求</w:t>
      </w:r>
      <w:r>
        <w:rPr>
          <w:rFonts w:hint="eastAsia" w:ascii="仿宋" w:hAnsi="仿宋" w:eastAsia="仿宋" w:cs="仿宋"/>
          <w:color w:val="auto"/>
          <w:sz w:val="24"/>
          <w:szCs w:val="24"/>
        </w:rPr>
        <w:t>，</w:t>
      </w:r>
      <w:r>
        <w:rPr>
          <w:rFonts w:hint="eastAsia" w:ascii="仿宋" w:hAnsi="仿宋" w:eastAsia="仿宋" w:cs="仿宋"/>
          <w:sz w:val="24"/>
          <w:szCs w:val="24"/>
          <w:lang w:val="en-US" w:eastAsia="zh-CN"/>
        </w:rPr>
        <w:t>派至采购单位指定服务</w:t>
      </w:r>
      <w:r>
        <w:rPr>
          <w:rFonts w:hint="eastAsia" w:ascii="仿宋" w:hAnsi="仿宋" w:eastAsia="仿宋" w:cs="仿宋"/>
          <w:color w:val="auto"/>
          <w:sz w:val="24"/>
          <w:szCs w:val="24"/>
        </w:rPr>
        <w:t>人员不少于</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名。</w:t>
      </w:r>
      <w:r>
        <w:rPr>
          <w:rFonts w:hint="eastAsia" w:ascii="仿宋" w:hAnsi="仿宋" w:eastAsia="仿宋" w:cs="仿宋"/>
          <w:bCs/>
          <w:color w:val="auto"/>
          <w:sz w:val="24"/>
          <w:szCs w:val="24"/>
          <w:lang w:val="en-US" w:eastAsia="zh-CN"/>
        </w:rPr>
        <w:t>要求</w:t>
      </w:r>
      <w:r>
        <w:rPr>
          <w:rFonts w:hint="eastAsia" w:ascii="仿宋" w:hAnsi="仿宋" w:eastAsia="仿宋" w:cs="仿宋"/>
          <w:bCs/>
          <w:color w:val="auto"/>
          <w:sz w:val="24"/>
          <w:szCs w:val="24"/>
        </w:rPr>
        <w:t>本科及以上学历</w:t>
      </w:r>
      <w:r>
        <w:rPr>
          <w:rFonts w:hint="eastAsia" w:ascii="仿宋" w:hAnsi="仿宋" w:eastAsia="仿宋" w:cs="仿宋"/>
          <w:bCs/>
          <w:color w:val="auto"/>
          <w:sz w:val="24"/>
          <w:szCs w:val="24"/>
          <w:lang w:eastAsia="zh-CN"/>
        </w:rPr>
        <w:t>不少于</w:t>
      </w:r>
      <w:r>
        <w:rPr>
          <w:rFonts w:hint="eastAsia" w:ascii="仿宋" w:hAnsi="仿宋" w:eastAsia="仿宋" w:cs="仿宋"/>
          <w:bCs/>
          <w:color w:val="auto"/>
          <w:sz w:val="24"/>
          <w:szCs w:val="24"/>
          <w:lang w:val="en-US" w:eastAsia="zh-CN"/>
        </w:rPr>
        <w:t>30人</w:t>
      </w:r>
      <w:r>
        <w:rPr>
          <w:rFonts w:hint="eastAsia" w:ascii="仿宋" w:hAnsi="仿宋" w:eastAsia="仿宋" w:cs="仿宋"/>
          <w:bCs/>
          <w:color w:val="auto"/>
          <w:sz w:val="24"/>
          <w:szCs w:val="24"/>
        </w:rPr>
        <w:t>，本科或研究生学历为法律</w:t>
      </w:r>
      <w:r>
        <w:rPr>
          <w:rFonts w:hint="eastAsia" w:ascii="仿宋" w:hAnsi="仿宋" w:eastAsia="仿宋" w:cs="仿宋"/>
          <w:bCs/>
          <w:color w:val="auto"/>
          <w:sz w:val="24"/>
          <w:szCs w:val="24"/>
          <w:lang w:eastAsia="zh-CN"/>
        </w:rPr>
        <w:t>相关</w:t>
      </w:r>
      <w:r>
        <w:rPr>
          <w:rFonts w:hint="eastAsia" w:ascii="仿宋" w:hAnsi="仿宋" w:eastAsia="仿宋" w:cs="仿宋"/>
          <w:bCs/>
          <w:color w:val="auto"/>
          <w:sz w:val="24"/>
          <w:szCs w:val="24"/>
        </w:rPr>
        <w:t>专业的人数不少于</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人。</w:t>
      </w:r>
    </w:p>
    <w:p>
      <w:pPr>
        <w:pageBreakBefore w:val="0"/>
        <w:numPr>
          <w:ilvl w:val="0"/>
          <w:numId w:val="9"/>
        </w:numPr>
        <w:kinsoku/>
        <w:wordWrap/>
        <w:overflowPunct/>
        <w:topLinePunct w:val="0"/>
        <w:autoSpaceDE/>
        <w:autoSpaceDN/>
        <w:bidi w:val="0"/>
        <w:snapToGrid/>
        <w:spacing w:line="360" w:lineRule="auto"/>
        <w:ind w:left="0" w:leftChars="0" w:right="24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中标后提供拟投入本项目的团队人员名单以及学历、专业能力证明。</w:t>
      </w:r>
    </w:p>
    <w:p>
      <w:pPr>
        <w:pageBreakBefore w:val="0"/>
        <w:numPr>
          <w:ilvl w:val="0"/>
          <w:numId w:val="9"/>
        </w:numPr>
        <w:kinsoku/>
        <w:wordWrap/>
        <w:overflowPunct/>
        <w:topLinePunct w:val="0"/>
        <w:autoSpaceDE/>
        <w:autoSpaceDN/>
        <w:bidi w:val="0"/>
        <w:snapToGrid/>
        <w:spacing w:line="360" w:lineRule="auto"/>
        <w:ind w:left="0" w:leftChars="0" w:right="24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中标人应采取措施保障业务质量，加强对员工的业务培训，培训应制定计划，并征得采购人审核同意，业务培训应该严格按计划执行，并围绕采购人的业务需求开展，注重业务培训质量，不得开展与合同业务基本无关的培训，也不得让该项目服务人员从事其他非采购人业务，影响采购人业务的正常开展。服务期间造成业务量积压和超期情况的，中标人应根据甲方要求增加人员配备。</w:t>
      </w:r>
    </w:p>
    <w:p>
      <w:pPr>
        <w:pageBreakBefore w:val="0"/>
        <w:numPr>
          <w:ilvl w:val="0"/>
          <w:numId w:val="9"/>
        </w:numPr>
        <w:kinsoku/>
        <w:wordWrap/>
        <w:overflowPunct/>
        <w:topLinePunct w:val="0"/>
        <w:autoSpaceDE/>
        <w:autoSpaceDN/>
        <w:bidi w:val="0"/>
        <w:snapToGrid/>
        <w:spacing w:line="360" w:lineRule="auto"/>
        <w:ind w:left="0" w:leftChars="0" w:right="24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为保障人员相对稳定，</w:t>
      </w:r>
      <w:r>
        <w:rPr>
          <w:rFonts w:hint="eastAsia" w:ascii="仿宋" w:hAnsi="仿宋" w:eastAsia="仿宋" w:cs="仿宋"/>
          <w:sz w:val="24"/>
          <w:szCs w:val="24"/>
        </w:rPr>
        <w:t>中标人</w:t>
      </w:r>
      <w:r>
        <w:rPr>
          <w:rFonts w:hint="eastAsia" w:ascii="仿宋" w:hAnsi="仿宋" w:eastAsia="仿宋" w:cs="仿宋"/>
          <w:color w:val="000000"/>
          <w:sz w:val="24"/>
          <w:szCs w:val="24"/>
        </w:rPr>
        <w:t>员工平均待遇建议不低于采购单位编外人员待遇，中标人对员工开展工作业务绩效考核的，由采购人和中标人共同制定考核标准。</w:t>
      </w:r>
    </w:p>
    <w:p>
      <w:pPr>
        <w:pageBreakBefore w:val="0"/>
        <w:numPr>
          <w:ilvl w:val="0"/>
          <w:numId w:val="9"/>
        </w:numPr>
        <w:kinsoku/>
        <w:wordWrap/>
        <w:overflowPunct/>
        <w:topLinePunct w:val="0"/>
        <w:autoSpaceDE/>
        <w:autoSpaceDN/>
        <w:bidi w:val="0"/>
        <w:snapToGrid/>
        <w:spacing w:line="360" w:lineRule="auto"/>
        <w:ind w:left="0" w:leftChars="0" w:right="24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中标方须确保工作按时完成，维持一定的工作人员数量，中标后最少配备</w:t>
      </w:r>
      <w:r>
        <w:rPr>
          <w:rFonts w:hint="eastAsia" w:ascii="仿宋" w:hAnsi="仿宋" w:eastAsia="仿宋" w:cs="仿宋"/>
          <w:sz w:val="24"/>
          <w:szCs w:val="24"/>
          <w:lang w:val="en-US" w:eastAsia="zh-CN"/>
        </w:rPr>
        <w:t>48</w:t>
      </w:r>
      <w:r>
        <w:rPr>
          <w:rFonts w:hint="eastAsia" w:ascii="仿宋" w:hAnsi="仿宋" w:eastAsia="仿宋" w:cs="仿宋"/>
          <w:sz w:val="24"/>
          <w:szCs w:val="24"/>
        </w:rPr>
        <w:t>名工作人员提供服务。合同签订后</w:t>
      </w:r>
      <w:r>
        <w:rPr>
          <w:rFonts w:hint="eastAsia" w:ascii="仿宋" w:hAnsi="仿宋" w:eastAsia="仿宋" w:cs="仿宋"/>
          <w:sz w:val="24"/>
          <w:szCs w:val="24"/>
          <w:lang w:val="en-US" w:eastAsia="zh-CN"/>
        </w:rPr>
        <w:t>10</w:t>
      </w:r>
      <w:r>
        <w:rPr>
          <w:rFonts w:hint="eastAsia" w:ascii="仿宋" w:hAnsi="仿宋" w:eastAsia="仿宋" w:cs="仿宋"/>
          <w:sz w:val="24"/>
          <w:szCs w:val="24"/>
        </w:rPr>
        <w:t>天内完成招募培训工作，</w:t>
      </w:r>
      <w:r>
        <w:rPr>
          <w:rFonts w:hint="eastAsia" w:ascii="仿宋" w:hAnsi="仿宋" w:eastAsia="仿宋" w:cs="仿宋"/>
          <w:b/>
          <w:bCs/>
          <w:sz w:val="24"/>
          <w:szCs w:val="24"/>
        </w:rPr>
        <w:t>投标文件需提供各岗位人员到位承诺书。</w:t>
      </w:r>
    </w:p>
    <w:p>
      <w:pPr>
        <w:pageBreakBefore w:val="0"/>
        <w:numPr>
          <w:ilvl w:val="0"/>
          <w:numId w:val="9"/>
        </w:numPr>
        <w:kinsoku/>
        <w:wordWrap/>
        <w:overflowPunct/>
        <w:topLinePunct w:val="0"/>
        <w:autoSpaceDE/>
        <w:autoSpaceDN/>
        <w:bidi w:val="0"/>
        <w:snapToGrid/>
        <w:spacing w:line="360" w:lineRule="auto"/>
        <w:ind w:left="0" w:leftChars="0" w:right="24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中标后</w:t>
      </w:r>
      <w:r>
        <w:rPr>
          <w:rFonts w:hint="eastAsia" w:ascii="仿宋" w:hAnsi="仿宋" w:eastAsia="仿宋" w:cs="仿宋"/>
          <w:sz w:val="24"/>
          <w:szCs w:val="24"/>
          <w:lang w:val="en-US" w:eastAsia="zh-CN"/>
        </w:rPr>
        <w:t>派至采购单位指定地点提供服务的</w:t>
      </w:r>
      <w:r>
        <w:rPr>
          <w:rFonts w:hint="eastAsia" w:ascii="仿宋" w:hAnsi="仿宋" w:eastAsia="仿宋" w:cs="仿宋"/>
          <w:sz w:val="24"/>
          <w:szCs w:val="24"/>
        </w:rPr>
        <w:t>项目组核心岗位</w:t>
      </w:r>
      <w:r>
        <w:rPr>
          <w:rFonts w:hint="eastAsia" w:ascii="仿宋" w:hAnsi="仿宋" w:eastAsia="仿宋" w:cs="仿宋"/>
          <w:sz w:val="24"/>
          <w:szCs w:val="24"/>
          <w:lang w:eastAsia="zh-CN"/>
        </w:rPr>
        <w:t>须包括</w:t>
      </w:r>
      <w:r>
        <w:rPr>
          <w:rFonts w:hint="eastAsia" w:ascii="仿宋" w:hAnsi="仿宋" w:eastAsia="仿宋" w:cs="仿宋"/>
          <w:sz w:val="24"/>
          <w:szCs w:val="24"/>
        </w:rPr>
        <w:t>管理、技术、法律。</w:t>
      </w:r>
    </w:p>
    <w:p>
      <w:pPr>
        <w:pageBreakBefore w:val="0"/>
        <w:numPr>
          <w:ilvl w:val="0"/>
          <w:numId w:val="9"/>
        </w:numPr>
        <w:kinsoku/>
        <w:wordWrap/>
        <w:overflowPunct/>
        <w:topLinePunct w:val="0"/>
        <w:autoSpaceDE/>
        <w:autoSpaceDN/>
        <w:bidi w:val="0"/>
        <w:snapToGrid/>
        <w:spacing w:line="360" w:lineRule="auto"/>
        <w:ind w:left="0" w:leftChars="0" w:right="24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后需安排驻场人员中具有两年以上管理经验的管理人员不少于3人，其中1人为服务管理负责人，负责外包服务团队的人员管理；1人为技术服务人员，负责技术支撑平台的运维服务工作；1人为甲方需求对接人。</w:t>
      </w:r>
    </w:p>
    <w:p>
      <w:pPr>
        <w:pageBreakBefore w:val="0"/>
        <w:numPr>
          <w:ilvl w:val="0"/>
          <w:numId w:val="9"/>
        </w:numPr>
        <w:kinsoku/>
        <w:wordWrap/>
        <w:overflowPunct/>
        <w:topLinePunct w:val="0"/>
        <w:autoSpaceDE/>
        <w:autoSpaceDN/>
        <w:bidi w:val="0"/>
        <w:snapToGrid/>
        <w:spacing w:line="360" w:lineRule="auto"/>
        <w:ind w:left="0" w:leftChars="0" w:right="24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须严格遵守《中华人民共和国劳动法》、《中华人民共和国社会保障法》等法律法规要求，做到合法用工，应当保持合理的薪酬待遇。</w:t>
      </w:r>
    </w:p>
    <w:p>
      <w:pPr>
        <w:pageBreakBefore w:val="0"/>
        <w:numPr>
          <w:ilvl w:val="0"/>
          <w:numId w:val="9"/>
        </w:numPr>
        <w:kinsoku/>
        <w:wordWrap/>
        <w:overflowPunct/>
        <w:topLinePunct w:val="0"/>
        <w:autoSpaceDE/>
        <w:autoSpaceDN/>
        <w:bidi w:val="0"/>
        <w:snapToGrid/>
        <w:spacing w:line="360" w:lineRule="auto"/>
        <w:ind w:left="0" w:leftChars="0" w:right="24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项目组成员须签订保密协议。</w:t>
      </w:r>
    </w:p>
    <w:p>
      <w:pPr>
        <w:pStyle w:val="3"/>
        <w:keepNext/>
        <w:keepLines/>
        <w:pageBreakBefore w:val="0"/>
        <w:widowControl w:val="0"/>
        <w:kinsoku/>
        <w:wordWrap/>
        <w:overflowPunct/>
        <w:topLinePunct w:val="0"/>
        <w:autoSpaceDE/>
        <w:autoSpaceDN/>
        <w:bidi w:val="0"/>
        <w:adjustRightInd w:val="0"/>
        <w:snapToGrid/>
        <w:spacing w:before="0" w:after="0" w:line="360" w:lineRule="auto"/>
        <w:ind w:left="438" w:leftChars="88" w:hanging="253" w:hangingChars="105"/>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六、服务人员能力要求</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供应商须保证服务人员对网络交易投诉</w:t>
      </w:r>
      <w:r>
        <w:rPr>
          <w:rFonts w:hint="eastAsia" w:ascii="仿宋" w:hAnsi="仿宋" w:eastAsia="仿宋" w:cs="仿宋"/>
          <w:sz w:val="24"/>
          <w:szCs w:val="24"/>
          <w:lang w:eastAsia="zh-CN"/>
        </w:rPr>
        <w:t>处理提质</w:t>
      </w:r>
      <w:r>
        <w:rPr>
          <w:rFonts w:hint="eastAsia" w:ascii="仿宋" w:hAnsi="仿宋" w:eastAsia="仿宋" w:cs="仿宋"/>
          <w:sz w:val="24"/>
          <w:szCs w:val="24"/>
        </w:rPr>
        <w:t>工作熟悉熟练，服务人员业务能力能够满足相关性辅助处理工作要求，供应商需提供对投诉调解处理</w:t>
      </w:r>
      <w:r>
        <w:rPr>
          <w:rFonts w:hint="eastAsia" w:ascii="仿宋" w:hAnsi="仿宋" w:eastAsia="仿宋" w:cs="仿宋"/>
          <w:sz w:val="24"/>
          <w:szCs w:val="24"/>
          <w:lang w:eastAsia="zh-CN"/>
        </w:rPr>
        <w:t>、</w:t>
      </w:r>
      <w:r>
        <w:rPr>
          <w:rFonts w:hint="eastAsia" w:ascii="仿宋" w:hAnsi="仿宋" w:eastAsia="仿宋" w:cs="仿宋"/>
          <w:sz w:val="24"/>
          <w:szCs w:val="24"/>
        </w:rPr>
        <w:t>协查移送等各环节辅助工作具体服务方案。</w:t>
      </w:r>
    </w:p>
    <w:p>
      <w:pPr>
        <w:pStyle w:val="3"/>
        <w:keepNext/>
        <w:keepLines/>
        <w:pageBreakBefore w:val="0"/>
        <w:widowControl w:val="0"/>
        <w:kinsoku/>
        <w:wordWrap/>
        <w:overflowPunct/>
        <w:topLinePunct w:val="0"/>
        <w:autoSpaceDE/>
        <w:autoSpaceDN/>
        <w:bidi w:val="0"/>
        <w:adjustRightInd w:val="0"/>
        <w:snapToGrid/>
        <w:spacing w:before="0" w:after="0" w:line="360" w:lineRule="auto"/>
        <w:ind w:left="438" w:leftChars="88" w:hanging="253" w:hangingChars="105"/>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七、其他要求</w:t>
      </w:r>
    </w:p>
    <w:p>
      <w:pPr>
        <w:pageBreakBefore w:val="0"/>
        <w:numPr>
          <w:ilvl w:val="0"/>
          <w:numId w:val="10"/>
        </w:numPr>
        <w:kinsoku/>
        <w:wordWrap/>
        <w:overflowPunct/>
        <w:topLinePunct w:val="0"/>
        <w:autoSpaceDE/>
        <w:autoSpaceDN/>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招标方保留项目运行过程中涉及的所有数据所有权和使用权，未经招标方同意，中标方不得泄露、使用、复制有关数据；</w:t>
      </w:r>
    </w:p>
    <w:p>
      <w:pPr>
        <w:pageBreakBefore w:val="0"/>
        <w:numPr>
          <w:ilvl w:val="0"/>
          <w:numId w:val="10"/>
        </w:numPr>
        <w:kinsoku/>
        <w:wordWrap/>
        <w:overflowPunct/>
        <w:topLinePunct w:val="0"/>
        <w:autoSpaceDE/>
        <w:autoSpaceDN/>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A4纸张、硒粉由招标方提供。其他与工作相关的办公设备及耗材由中标方自行解决，包括但不限于开展工作</w:t>
      </w:r>
      <w:r>
        <w:rPr>
          <w:rFonts w:hint="eastAsia" w:ascii="仿宋" w:hAnsi="仿宋" w:eastAsia="仿宋" w:cs="仿宋"/>
          <w:sz w:val="24"/>
          <w:szCs w:val="24"/>
          <w:lang w:eastAsia="zh-CN"/>
        </w:rPr>
        <w:t>必需的</w:t>
      </w:r>
      <w:r>
        <w:rPr>
          <w:rFonts w:hint="eastAsia" w:ascii="仿宋" w:hAnsi="仿宋" w:eastAsia="仿宋" w:cs="仿宋"/>
          <w:sz w:val="24"/>
          <w:szCs w:val="24"/>
        </w:rPr>
        <w:t>电脑、扫描仪、打印机等相关工作所需要的软硬件设施设备及其维护。</w:t>
      </w:r>
    </w:p>
    <w:p>
      <w:pPr>
        <w:numPr>
          <w:ilvl w:val="-1"/>
          <w:numId w:val="0"/>
        </w:numPr>
        <w:spacing w:line="360" w:lineRule="auto"/>
        <w:ind w:firstLine="0"/>
        <w:rPr>
          <w:rFonts w:hint="default" w:ascii="仿宋" w:hAnsi="仿宋" w:eastAsia="仿宋" w:cs="仿宋"/>
          <w:sz w:val="24"/>
          <w:lang w:val="en-US" w:eastAsia="zh-CN"/>
        </w:rPr>
      </w:pPr>
      <w:r>
        <w:rPr>
          <w:rFonts w:hint="eastAsia" w:ascii="仿宋" w:hAnsi="仿宋" w:eastAsia="仿宋" w:cs="仿宋"/>
          <w:sz w:val="24"/>
          <w:lang w:val="en-US" w:eastAsia="zh-CN"/>
        </w:rPr>
        <w:t xml:space="preserve">    3.由中标单位提供与本项目互联网案件办理相关辅助处理类软件，以便提供辅助处理速度与展示汇总情况。</w:t>
      </w:r>
    </w:p>
    <w:p>
      <w:pPr>
        <w:pageBreakBefore w:val="0"/>
        <w:numPr>
          <w:ilvl w:val="-1"/>
          <w:numId w:val="0"/>
        </w:numPr>
        <w:kinsoku/>
        <w:wordWrap/>
        <w:overflowPunct/>
        <w:topLinePunct w:val="0"/>
        <w:autoSpaceDE/>
        <w:autoSpaceDN/>
        <w:bidi w:val="0"/>
        <w:snapToGrid/>
        <w:spacing w:line="360" w:lineRule="auto"/>
        <w:ind w:left="40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办公场地及桌椅由招标方提供。</w:t>
      </w:r>
    </w:p>
    <w:p>
      <w:pPr>
        <w:pStyle w:val="3"/>
        <w:keepNext/>
        <w:keepLines/>
        <w:pageBreakBefore w:val="0"/>
        <w:widowControl w:val="0"/>
        <w:kinsoku/>
        <w:wordWrap/>
        <w:overflowPunct/>
        <w:topLinePunct w:val="0"/>
        <w:autoSpaceDE/>
        <w:autoSpaceDN/>
        <w:bidi w:val="0"/>
        <w:adjustRightInd w:val="0"/>
        <w:snapToGrid/>
        <w:spacing w:before="0" w:after="0" w:line="360" w:lineRule="auto"/>
        <w:ind w:left="438" w:leftChars="88" w:hanging="253" w:hangingChars="105"/>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八、服务期限</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工作期限为365天，计划时间2022年</w:t>
      </w:r>
      <w:r>
        <w:rPr>
          <w:rFonts w:hint="eastAsia" w:ascii="仿宋" w:hAnsi="仿宋" w:eastAsia="仿宋" w:cs="仿宋"/>
          <w:sz w:val="24"/>
          <w:szCs w:val="24"/>
          <w:lang w:val="en-US" w:eastAsia="zh-CN"/>
        </w:rPr>
        <w:t>XX</w:t>
      </w:r>
      <w:r>
        <w:rPr>
          <w:rFonts w:hint="eastAsia" w:ascii="仿宋" w:hAnsi="仿宋" w:eastAsia="仿宋" w:cs="仿宋"/>
          <w:sz w:val="24"/>
          <w:szCs w:val="24"/>
        </w:rPr>
        <w:t>月</w:t>
      </w:r>
      <w:r>
        <w:rPr>
          <w:rFonts w:hint="eastAsia" w:ascii="仿宋" w:hAnsi="仿宋" w:eastAsia="仿宋" w:cs="仿宋"/>
          <w:sz w:val="24"/>
          <w:szCs w:val="24"/>
          <w:lang w:val="en-US" w:eastAsia="zh-CN"/>
        </w:rPr>
        <w:t>XX</w:t>
      </w:r>
      <w:r>
        <w:rPr>
          <w:rFonts w:hint="eastAsia" w:ascii="仿宋" w:hAnsi="仿宋" w:eastAsia="仿宋" w:cs="仿宋"/>
          <w:sz w:val="24"/>
          <w:szCs w:val="24"/>
        </w:rPr>
        <w:t>日起至2023年</w:t>
      </w:r>
      <w:r>
        <w:rPr>
          <w:rFonts w:hint="eastAsia" w:ascii="仿宋" w:hAnsi="仿宋" w:eastAsia="仿宋" w:cs="仿宋"/>
          <w:sz w:val="24"/>
          <w:szCs w:val="24"/>
          <w:lang w:val="en-US" w:eastAsia="zh-CN"/>
        </w:rPr>
        <w:t>XX</w:t>
      </w:r>
      <w:r>
        <w:rPr>
          <w:rFonts w:hint="eastAsia" w:ascii="仿宋" w:hAnsi="仿宋" w:eastAsia="仿宋" w:cs="仿宋"/>
          <w:sz w:val="24"/>
          <w:szCs w:val="24"/>
        </w:rPr>
        <w:t>月</w:t>
      </w:r>
      <w:r>
        <w:rPr>
          <w:rFonts w:hint="eastAsia" w:ascii="仿宋" w:hAnsi="仿宋" w:eastAsia="仿宋" w:cs="仿宋"/>
          <w:sz w:val="24"/>
          <w:szCs w:val="24"/>
          <w:lang w:val="en-US" w:eastAsia="zh-CN"/>
        </w:rPr>
        <w:t>XX</w:t>
      </w:r>
      <w:r>
        <w:rPr>
          <w:rFonts w:hint="eastAsia" w:ascii="仿宋" w:hAnsi="仿宋" w:eastAsia="仿宋" w:cs="仿宋"/>
          <w:sz w:val="24"/>
          <w:szCs w:val="24"/>
        </w:rPr>
        <w:t>日止。</w:t>
      </w:r>
    </w:p>
    <w:p>
      <w:pPr>
        <w:pStyle w:val="2"/>
        <w:pageBreakBefore w:val="0"/>
        <w:tabs>
          <w:tab w:val="left" w:pos="0"/>
          <w:tab w:val="clear" w:pos="432"/>
        </w:tabs>
        <w:kinsoku/>
        <w:wordWrap/>
        <w:overflowPunct/>
        <w:topLinePunct w:val="0"/>
        <w:autoSpaceDE/>
        <w:autoSpaceDN/>
        <w:bidi w:val="0"/>
        <w:snapToGrid/>
        <w:spacing w:line="360" w:lineRule="auto"/>
        <w:ind w:firstLine="241" w:firstLineChars="100"/>
        <w:textAlignment w:val="auto"/>
        <w:rPr>
          <w:rFonts w:hint="eastAsia" w:ascii="仿宋" w:hAnsi="仿宋" w:eastAsia="仿宋" w:cs="仿宋"/>
          <w:b/>
          <w:bCs/>
          <w:sz w:val="24"/>
          <w:szCs w:val="24"/>
          <w:lang w:val="en-US"/>
        </w:rPr>
      </w:pPr>
      <w:r>
        <w:rPr>
          <w:rFonts w:hint="eastAsia" w:ascii="仿宋" w:eastAsia="仿宋" w:cs="仿宋"/>
          <w:b/>
          <w:bCs/>
          <w:sz w:val="24"/>
          <w:szCs w:val="24"/>
          <w:lang w:eastAsia="zh-CN"/>
        </w:rPr>
        <w:t>九、</w:t>
      </w:r>
      <w:r>
        <w:rPr>
          <w:rFonts w:hint="eastAsia" w:ascii="仿宋" w:hAnsi="仿宋" w:eastAsia="仿宋" w:cs="仿宋"/>
          <w:b/>
          <w:bCs/>
          <w:sz w:val="24"/>
          <w:szCs w:val="24"/>
        </w:rPr>
        <w:t>履约保证金</w:t>
      </w:r>
    </w:p>
    <w:p>
      <w:pPr>
        <w:pageBreakBefore w:val="0"/>
        <w:numPr>
          <w:ilvl w:val="0"/>
          <w:numId w:val="11"/>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bookmarkStart w:id="32" w:name="OLE_LINK42"/>
      <w:bookmarkStart w:id="33" w:name="OLE_LINK41"/>
      <w:r>
        <w:rPr>
          <w:rFonts w:hint="eastAsia" w:ascii="仿宋" w:hAnsi="仿宋" w:eastAsia="仿宋" w:cs="仿宋"/>
          <w:sz w:val="24"/>
          <w:szCs w:val="24"/>
        </w:rPr>
        <w:t>合同签订后三日内由中标单位支付合同总金额的</w:t>
      </w:r>
      <w:r>
        <w:rPr>
          <w:rFonts w:hint="eastAsia" w:ascii="仿宋" w:hAnsi="仿宋" w:eastAsia="仿宋" w:cs="仿宋"/>
          <w:sz w:val="24"/>
          <w:szCs w:val="24"/>
          <w:lang w:val="en-US" w:eastAsia="zh-CN"/>
        </w:rPr>
        <w:t>1</w:t>
      </w:r>
      <w:r>
        <w:rPr>
          <w:rFonts w:hint="eastAsia" w:ascii="仿宋" w:hAnsi="仿宋" w:eastAsia="仿宋" w:cs="仿宋"/>
          <w:sz w:val="24"/>
          <w:szCs w:val="24"/>
        </w:rPr>
        <w:t>%作为履约保证金。项目期满后，服务良好、考核合格、交接验收完毕后30个工作日</w:t>
      </w:r>
      <w:r>
        <w:rPr>
          <w:rFonts w:hint="eastAsia" w:ascii="仿宋" w:hAnsi="仿宋" w:eastAsia="仿宋" w:cs="仿宋"/>
          <w:sz w:val="24"/>
          <w:szCs w:val="24"/>
          <w:lang w:val="en-US" w:eastAsia="zh-CN"/>
        </w:rPr>
        <w:t>退还（如有扣款相应扣除）</w:t>
      </w:r>
      <w:r>
        <w:rPr>
          <w:rFonts w:hint="eastAsia" w:ascii="仿宋" w:hAnsi="仿宋" w:eastAsia="仿宋" w:cs="仿宋"/>
          <w:sz w:val="24"/>
          <w:szCs w:val="24"/>
        </w:rPr>
        <w:t>。</w:t>
      </w:r>
    </w:p>
    <w:bookmarkEnd w:id="32"/>
    <w:bookmarkEnd w:id="33"/>
    <w:p>
      <w:pPr>
        <w:pageBreakBefore w:val="0"/>
        <w:numPr>
          <w:ilvl w:val="0"/>
          <w:numId w:val="11"/>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中标单位如未按时交纳履约保证金，采购人有权解除本合同。</w:t>
      </w:r>
    </w:p>
    <w:p>
      <w:pPr>
        <w:pageBreakBefore w:val="0"/>
        <w:numPr>
          <w:ilvl w:val="0"/>
          <w:numId w:val="11"/>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履约保证金交纳至甲方指定账户。</w:t>
      </w:r>
    </w:p>
    <w:p>
      <w:pPr>
        <w:pStyle w:val="2"/>
        <w:pageBreakBefore w:val="0"/>
        <w:tabs>
          <w:tab w:val="left" w:pos="0"/>
          <w:tab w:val="clear" w:pos="432"/>
        </w:tabs>
        <w:kinsoku/>
        <w:wordWrap/>
        <w:overflowPunct/>
        <w:topLinePunct w:val="0"/>
        <w:autoSpaceDE/>
        <w:autoSpaceDN/>
        <w:bidi w:val="0"/>
        <w:snapToGrid/>
        <w:spacing w:line="360" w:lineRule="auto"/>
        <w:ind w:firstLine="241" w:firstLineChars="100"/>
        <w:textAlignment w:val="auto"/>
        <w:rPr>
          <w:rFonts w:hint="eastAsia" w:ascii="仿宋" w:hAnsi="仿宋" w:eastAsia="仿宋" w:cs="仿宋"/>
          <w:b/>
          <w:bCs/>
          <w:sz w:val="24"/>
          <w:szCs w:val="24"/>
          <w:lang w:val="en-US"/>
        </w:rPr>
      </w:pPr>
      <w:r>
        <w:rPr>
          <w:rFonts w:hint="eastAsia" w:ascii="仿宋" w:eastAsia="仿宋" w:cs="仿宋"/>
          <w:b/>
          <w:bCs/>
          <w:sz w:val="24"/>
          <w:szCs w:val="24"/>
          <w:lang w:eastAsia="zh-CN"/>
        </w:rPr>
        <w:t>十、</w:t>
      </w:r>
      <w:r>
        <w:rPr>
          <w:rFonts w:hint="eastAsia" w:ascii="仿宋" w:hAnsi="仿宋" w:eastAsia="仿宋" w:cs="仿宋"/>
          <w:b/>
          <w:bCs/>
          <w:sz w:val="24"/>
          <w:szCs w:val="24"/>
        </w:rPr>
        <w:t>结算和支付方式</w:t>
      </w:r>
    </w:p>
    <w:p>
      <w:pPr>
        <w:pageBreakBefore w:val="0"/>
        <w:numPr>
          <w:ilvl w:val="0"/>
          <w:numId w:val="12"/>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本项目周期实际处理量结算额超出乙方中标总额在5%（含）以内的，不另行申请财政预算；若实际处理量结算额超出乙方中标总额5%以上的，可由甲方向财政申请追加预算，经财政审批同意后可签订项目补充合同，否则不予签订。</w:t>
      </w:r>
    </w:p>
    <w:p>
      <w:pPr>
        <w:pageBreakBefore w:val="0"/>
        <w:numPr>
          <w:ilvl w:val="0"/>
          <w:numId w:val="12"/>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采购人分三次支付费用（凭正规发票）：首次支付为合同签订后15天内支付本合同总价的</w:t>
      </w:r>
      <w:r>
        <w:rPr>
          <w:rFonts w:hint="eastAsia" w:ascii="仿宋" w:hAnsi="仿宋" w:eastAsia="仿宋" w:cs="仿宋"/>
          <w:sz w:val="24"/>
          <w:szCs w:val="24"/>
          <w:lang w:val="en-US" w:eastAsia="zh-CN"/>
        </w:rPr>
        <w:t>4</w:t>
      </w:r>
      <w:r>
        <w:rPr>
          <w:rFonts w:hint="eastAsia" w:ascii="仿宋" w:hAnsi="仿宋" w:eastAsia="仿宋" w:cs="仿宋"/>
          <w:sz w:val="24"/>
          <w:szCs w:val="24"/>
        </w:rPr>
        <w:t>0%，</w:t>
      </w:r>
      <w:r>
        <w:rPr>
          <w:rFonts w:hint="eastAsia" w:ascii="仿宋" w:hAnsi="仿宋" w:eastAsia="仿宋" w:cs="仿宋"/>
          <w:sz w:val="24"/>
          <w:szCs w:val="24"/>
          <w:lang w:eastAsia="zh-CN"/>
        </w:rPr>
        <w:t>至</w:t>
      </w:r>
      <w:r>
        <w:rPr>
          <w:rFonts w:hint="eastAsia" w:ascii="仿宋" w:hAnsi="仿宋" w:eastAsia="仿宋" w:cs="仿宋"/>
          <w:color w:val="FF0000"/>
          <w:sz w:val="24"/>
          <w:szCs w:val="24"/>
          <w:lang w:eastAsia="zh-CN"/>
        </w:rPr>
        <w:t>半年度</w:t>
      </w:r>
      <w:r>
        <w:rPr>
          <w:rFonts w:hint="eastAsia" w:ascii="仿宋" w:hAnsi="仿宋" w:eastAsia="仿宋" w:cs="仿宋"/>
          <w:color w:val="FF0000"/>
          <w:sz w:val="24"/>
          <w:szCs w:val="24"/>
          <w:lang w:val="en-US" w:eastAsia="zh-CN"/>
        </w:rPr>
        <w:t>/六个月</w:t>
      </w:r>
      <w:r>
        <w:rPr>
          <w:rFonts w:hint="eastAsia" w:ascii="仿宋" w:hAnsi="仿宋" w:eastAsia="仿宋" w:cs="仿宋"/>
          <w:sz w:val="24"/>
          <w:szCs w:val="24"/>
        </w:rPr>
        <w:t>支付金额为本合同总价的</w:t>
      </w:r>
      <w:r>
        <w:rPr>
          <w:rFonts w:hint="eastAsia" w:ascii="仿宋" w:hAnsi="仿宋" w:eastAsia="仿宋" w:cs="仿宋"/>
          <w:sz w:val="24"/>
          <w:szCs w:val="24"/>
          <w:lang w:val="en-US" w:eastAsia="zh-CN"/>
        </w:rPr>
        <w:t>3</w:t>
      </w:r>
      <w:r>
        <w:rPr>
          <w:rFonts w:hint="eastAsia" w:ascii="仿宋" w:hAnsi="仿宋" w:eastAsia="仿宋" w:cs="仿宋"/>
          <w:sz w:val="24"/>
          <w:szCs w:val="24"/>
        </w:rPr>
        <w:t>0%；第三次支付为项目期满全部完成且经考核合格通过，甲方在三十个工作日内根据项目整体考核指标及已完成工作量进行全部清算。在合同期内发现考核不合格的或出现应当终止合同的情形的，合同终止，甲方在合同终止后不再支付合同余款，还有权要求乙方支付合同违约金，违约金的比例为合同结算金额的20%；合同终止后7日内，乙方应将所有相关数据、资料按照甲方要求提供给甲方后，乙方不得擅自留存与甲方业务相关的任何数据，乙方为承担该项目通过开发软件系统留存数据的，应将数据做成结构化数据库形式转交，并提供数据库结构文档，方便甲方对数据检索查询、下载、打印等。</w:t>
      </w:r>
    </w:p>
    <w:p>
      <w:pPr>
        <w:pageBreakBefore w:val="0"/>
        <w:numPr>
          <w:ilvl w:val="0"/>
          <w:numId w:val="12"/>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付款按财政政策执行，因不符合财政资金支付时间要求等原因造成不能及时付款的，甲方不承担责任。</w:t>
      </w:r>
    </w:p>
    <w:p>
      <w:pPr>
        <w:pageBreakBefore w:val="0"/>
        <w:numPr>
          <w:ilvl w:val="0"/>
          <w:numId w:val="12"/>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eastAsia="zh-CN"/>
        </w:rPr>
        <w:t>2</w:t>
      </w:r>
      <w:r>
        <w:rPr>
          <w:rFonts w:hint="eastAsia" w:ascii="仿宋" w:hAnsi="仿宋" w:eastAsia="仿宋" w:cs="仿宋"/>
          <w:sz w:val="24"/>
          <w:szCs w:val="24"/>
        </w:rPr>
        <w:t>年度项目周期结算清单明细由甲方核定。</w:t>
      </w:r>
      <w:r>
        <w:rPr>
          <w:rFonts w:hint="eastAsia" w:ascii="仿宋" w:hAnsi="仿宋" w:eastAsia="仿宋" w:cs="仿宋"/>
          <w:sz w:val="24"/>
          <w:szCs w:val="24"/>
          <w:lang w:eastAsia="zh-CN"/>
        </w:rPr>
        <w:t>甲方为采购单位，乙方为中标单位。</w:t>
      </w:r>
    </w:p>
    <w:p>
      <w:pPr>
        <w:pageBreakBefore w:val="0"/>
        <w:numPr>
          <w:ilvl w:val="0"/>
          <w:numId w:val="12"/>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乙方不得以达到或超出结算金额擅自停止服务，也不得降低服务质量或减少人员，否则将直接视为考核不合格。</w:t>
      </w:r>
    </w:p>
    <w:p>
      <w:pPr>
        <w:pStyle w:val="2"/>
        <w:pageBreakBefore w:val="0"/>
        <w:tabs>
          <w:tab w:val="left" w:pos="0"/>
          <w:tab w:val="clear" w:pos="432"/>
        </w:tabs>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eastAsia="仿宋" w:cs="仿宋"/>
          <w:b/>
          <w:bCs/>
          <w:sz w:val="24"/>
          <w:szCs w:val="24"/>
          <w:lang w:eastAsia="zh-CN"/>
        </w:rPr>
        <w:t>十一、</w:t>
      </w:r>
      <w:r>
        <w:rPr>
          <w:rFonts w:hint="eastAsia" w:ascii="仿宋" w:hAnsi="仿宋" w:eastAsia="仿宋" w:cs="仿宋"/>
          <w:b/>
          <w:bCs/>
          <w:sz w:val="24"/>
          <w:szCs w:val="24"/>
        </w:rPr>
        <w:t>其他说明</w:t>
      </w:r>
    </w:p>
    <w:p>
      <w:pPr>
        <w:pageBreakBefore w:val="0"/>
        <w:numPr>
          <w:ilvl w:val="0"/>
          <w:numId w:val="13"/>
        </w:numPr>
        <w:kinsoku/>
        <w:wordWrap/>
        <w:overflowPunct/>
        <w:topLinePunct w:val="0"/>
        <w:autoSpaceDE/>
        <w:autoSpaceDN/>
        <w:bidi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其他未明事项按采购人要求和合同条款内容执行。</w:t>
      </w:r>
    </w:p>
    <w:p>
      <w:pPr>
        <w:pageBreakBefore w:val="0"/>
        <w:numPr>
          <w:ilvl w:val="0"/>
          <w:numId w:val="13"/>
        </w:numPr>
        <w:kinsoku/>
        <w:wordWrap/>
        <w:overflowPunct/>
        <w:topLinePunct w:val="0"/>
        <w:autoSpaceDE/>
        <w:autoSpaceDN/>
        <w:bidi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本项目根据投标综合单价限价见下表，投标时结合最高限价进行单价报价，结算时根据投标单价结合实际完成数量进行计算。投标综合单价限价分别为：</w:t>
      </w:r>
    </w:p>
    <w:tbl>
      <w:tblPr>
        <w:tblStyle w:val="74"/>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558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558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辅助工作类型</w:t>
            </w:r>
          </w:p>
        </w:tc>
        <w:tc>
          <w:tcPr>
            <w:tcW w:w="238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单件限价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558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投诉件调解</w:t>
            </w:r>
          </w:p>
        </w:tc>
        <w:tc>
          <w:tcPr>
            <w:tcW w:w="238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8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558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其他重要件处置</w:t>
            </w:r>
          </w:p>
        </w:tc>
        <w:tc>
          <w:tcPr>
            <w:tcW w:w="238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558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复议、诉讼答复</w:t>
            </w:r>
          </w:p>
        </w:tc>
        <w:tc>
          <w:tcPr>
            <w:tcW w:w="238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5580" w:type="dxa"/>
            <w:vAlign w:val="center"/>
          </w:tcPr>
          <w:p>
            <w:pPr>
              <w:pStyle w:val="34"/>
              <w:pageBreakBefore w:val="0"/>
              <w:kinsoku/>
              <w:wordWrap/>
              <w:overflowPunct/>
              <w:topLinePunct w:val="0"/>
              <w:autoSpaceDE/>
              <w:autoSpaceDN/>
              <w:bidi w:val="0"/>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复议、诉讼调解</w:t>
            </w:r>
          </w:p>
        </w:tc>
        <w:tc>
          <w:tcPr>
            <w:tcW w:w="238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200元</w:t>
            </w:r>
          </w:p>
        </w:tc>
      </w:tr>
    </w:tbl>
    <w:p>
      <w:pPr>
        <w:pageBreakBefore w:val="0"/>
        <w:kinsoku/>
        <w:wordWrap/>
        <w:overflowPunct/>
        <w:topLinePunct w:val="0"/>
        <w:autoSpaceDE/>
        <w:autoSpaceDN/>
        <w:bidi w:val="0"/>
        <w:snapToGrid/>
        <w:spacing w:line="360" w:lineRule="auto"/>
        <w:ind w:firstLine="0" w:firstLineChars="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注：上述服务包括不限于未明列上表已在采购需求中体现的内容，由投标单位综合考量计入上述综合单价中。</w:t>
      </w:r>
    </w:p>
    <w:p>
      <w:pPr>
        <w:snapToGrid w:val="0"/>
        <w:spacing w:line="480" w:lineRule="auto"/>
        <w:rPr>
          <w:rFonts w:ascii="仿宋" w:hAnsi="仿宋" w:eastAsia="仿宋" w:cs="仿宋"/>
          <w:b/>
          <w:sz w:val="36"/>
          <w:szCs w:val="36"/>
        </w:rPr>
      </w:pPr>
    </w:p>
    <w:p>
      <w:pPr>
        <w:pStyle w:val="2"/>
        <w:rPr>
          <w:rFonts w:ascii="仿宋" w:eastAsia="仿宋" w:cs="仿宋"/>
          <w:b/>
          <w:sz w:val="36"/>
          <w:szCs w:val="36"/>
        </w:rPr>
      </w:pPr>
    </w:p>
    <w:p>
      <w:pPr>
        <w:rPr>
          <w:rFonts w:ascii="仿宋" w:hAnsi="仿宋" w:eastAsia="仿宋" w:cs="仿宋"/>
          <w:b/>
          <w:sz w:val="36"/>
          <w:szCs w:val="36"/>
        </w:rPr>
      </w:pPr>
    </w:p>
    <w:p>
      <w:pPr>
        <w:pStyle w:val="2"/>
        <w:rPr>
          <w:rFonts w:ascii="仿宋" w:eastAsia="仿宋" w:cs="仿宋"/>
          <w:b/>
          <w:sz w:val="36"/>
          <w:szCs w:val="36"/>
        </w:rPr>
      </w:pPr>
    </w:p>
    <w:p>
      <w:pPr>
        <w:rPr>
          <w:rFonts w:ascii="仿宋" w:hAnsi="仿宋" w:eastAsia="仿宋" w:cs="仿宋"/>
          <w:b/>
          <w:sz w:val="36"/>
          <w:szCs w:val="36"/>
        </w:rPr>
      </w:pPr>
    </w:p>
    <w:p>
      <w:pPr>
        <w:pStyle w:val="2"/>
        <w:rPr>
          <w:rFonts w:ascii="仿宋" w:eastAsia="仿宋" w:cs="仿宋"/>
          <w:b/>
          <w:sz w:val="36"/>
          <w:szCs w:val="36"/>
        </w:rPr>
      </w:pPr>
    </w:p>
    <w:p>
      <w:pPr>
        <w:rPr>
          <w:rFonts w:ascii="仿宋" w:eastAsia="仿宋" w:cs="仿宋"/>
          <w:b/>
          <w:sz w:val="36"/>
          <w:szCs w:val="36"/>
        </w:rPr>
      </w:pPr>
    </w:p>
    <w:p>
      <w:pPr>
        <w:pStyle w:val="2"/>
        <w:rPr>
          <w:rFonts w:ascii="仿宋" w:eastAsia="仿宋" w:cs="仿宋"/>
          <w:b/>
          <w:sz w:val="36"/>
          <w:szCs w:val="36"/>
        </w:rPr>
      </w:pPr>
    </w:p>
    <w:p>
      <w:pPr>
        <w:rPr>
          <w:rFonts w:ascii="仿宋" w:eastAsia="仿宋" w:cs="仿宋"/>
          <w:b/>
          <w:sz w:val="36"/>
          <w:szCs w:val="36"/>
        </w:rPr>
      </w:pPr>
    </w:p>
    <w:p>
      <w:pPr>
        <w:pStyle w:val="2"/>
        <w:rPr>
          <w:rFonts w:ascii="仿宋" w:eastAsia="仿宋" w:cs="仿宋"/>
          <w:b/>
          <w:sz w:val="36"/>
          <w:szCs w:val="36"/>
        </w:rPr>
      </w:pPr>
    </w:p>
    <w:p>
      <w:pPr>
        <w:rPr>
          <w:rFonts w:ascii="仿宋" w:eastAsia="仿宋" w:cs="仿宋"/>
          <w:b/>
          <w:sz w:val="36"/>
          <w:szCs w:val="36"/>
        </w:rPr>
      </w:pPr>
    </w:p>
    <w:p>
      <w:pPr>
        <w:pStyle w:val="2"/>
        <w:rPr>
          <w:rFonts w:ascii="仿宋" w:eastAsia="仿宋" w:cs="仿宋"/>
          <w:b/>
          <w:sz w:val="36"/>
          <w:szCs w:val="36"/>
        </w:rPr>
      </w:pPr>
    </w:p>
    <w:p>
      <w:pPr>
        <w:rPr>
          <w:rFonts w:ascii="仿宋" w:eastAsia="仿宋" w:cs="仿宋"/>
          <w:b/>
          <w:sz w:val="36"/>
          <w:szCs w:val="36"/>
        </w:rPr>
      </w:pPr>
    </w:p>
    <w:p>
      <w:pPr>
        <w:pStyle w:val="2"/>
        <w:rPr>
          <w:rFonts w:ascii="仿宋" w:eastAsia="仿宋" w:cs="仿宋"/>
          <w:b/>
          <w:sz w:val="36"/>
          <w:szCs w:val="36"/>
        </w:rPr>
      </w:pPr>
    </w:p>
    <w:p/>
    <w:p>
      <w:pPr>
        <w:rPr>
          <w:rFonts w:ascii="仿宋" w:eastAsia="仿宋" w:cs="仿宋"/>
          <w:b/>
          <w:sz w:val="36"/>
          <w:szCs w:val="36"/>
        </w:rPr>
      </w:pPr>
    </w:p>
    <w:p>
      <w:pPr>
        <w:pStyle w:val="2"/>
        <w:rPr>
          <w:rFonts w:ascii="仿宋" w:eastAsia="仿宋" w:cs="仿宋"/>
          <w:b/>
          <w:sz w:val="36"/>
          <w:szCs w:val="36"/>
        </w:rPr>
      </w:pPr>
    </w:p>
    <w:p/>
    <w:p>
      <w:pPr>
        <w:numPr>
          <w:ilvl w:val="0"/>
          <w:numId w:val="14"/>
        </w:num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  </w:t>
      </w:r>
      <w:bookmarkStart w:id="34" w:name="_Toc184308044"/>
      <w:bookmarkEnd w:id="34"/>
      <w:bookmarkStart w:id="35" w:name="_Toc184314465"/>
      <w:bookmarkEnd w:id="35"/>
      <w:bookmarkStart w:id="36" w:name="_Toc184310336"/>
      <w:bookmarkEnd w:id="36"/>
      <w:bookmarkStart w:id="37" w:name="_Toc184308067"/>
      <w:bookmarkEnd w:id="37"/>
      <w:bookmarkStart w:id="38" w:name="_Toc184314469"/>
      <w:bookmarkEnd w:id="38"/>
      <w:bookmarkStart w:id="39" w:name="_Toc184312110"/>
      <w:bookmarkEnd w:id="39"/>
      <w:bookmarkStart w:id="40" w:name="_Toc184314472"/>
      <w:bookmarkEnd w:id="40"/>
      <w:bookmarkStart w:id="41" w:name="_Toc184310273"/>
      <w:bookmarkEnd w:id="41"/>
      <w:bookmarkStart w:id="42" w:name="_Toc184312106"/>
      <w:bookmarkEnd w:id="42"/>
      <w:bookmarkStart w:id="43" w:name="_Toc184312130"/>
      <w:bookmarkEnd w:id="43"/>
      <w:bookmarkStart w:id="44" w:name="_Toc184312083"/>
      <w:bookmarkEnd w:id="44"/>
      <w:bookmarkStart w:id="45" w:name="_Toc184310289"/>
      <w:bookmarkEnd w:id="45"/>
      <w:bookmarkStart w:id="46" w:name="_Toc184310332"/>
      <w:bookmarkEnd w:id="46"/>
      <w:bookmarkStart w:id="47" w:name="_Toc184312100"/>
      <w:bookmarkEnd w:id="47"/>
      <w:bookmarkStart w:id="48" w:name="_Toc184308079"/>
      <w:bookmarkEnd w:id="48"/>
      <w:bookmarkStart w:id="49" w:name="_Toc184312096"/>
      <w:bookmarkEnd w:id="49"/>
      <w:bookmarkStart w:id="50" w:name="_Toc184310330"/>
      <w:bookmarkEnd w:id="50"/>
      <w:bookmarkStart w:id="51" w:name="_Toc184312115"/>
      <w:bookmarkEnd w:id="51"/>
      <w:bookmarkStart w:id="52" w:name="_Toc184310342"/>
      <w:bookmarkEnd w:id="52"/>
      <w:bookmarkStart w:id="53" w:name="_Toc184312113"/>
      <w:bookmarkEnd w:id="53"/>
      <w:bookmarkStart w:id="54" w:name="_Toc184313260"/>
      <w:bookmarkEnd w:id="54"/>
      <w:bookmarkStart w:id="55" w:name="_Toc184313287"/>
      <w:bookmarkEnd w:id="55"/>
      <w:bookmarkStart w:id="56" w:name="_Toc184312116"/>
      <w:bookmarkEnd w:id="56"/>
      <w:bookmarkStart w:id="57" w:name="_Toc184314443"/>
      <w:bookmarkEnd w:id="57"/>
      <w:bookmarkStart w:id="58" w:name="_Toc184310291"/>
      <w:bookmarkEnd w:id="58"/>
      <w:bookmarkStart w:id="59" w:name="_Toc184312086"/>
      <w:bookmarkEnd w:id="59"/>
      <w:bookmarkStart w:id="60" w:name="_Toc184312123"/>
      <w:bookmarkEnd w:id="60"/>
      <w:bookmarkStart w:id="61" w:name="_Toc184314438"/>
      <w:bookmarkEnd w:id="61"/>
      <w:bookmarkStart w:id="62" w:name="_Toc184310312"/>
      <w:bookmarkEnd w:id="62"/>
      <w:bookmarkStart w:id="63" w:name="_Toc184312133"/>
      <w:bookmarkEnd w:id="63"/>
      <w:bookmarkStart w:id="64" w:name="_Toc184308058"/>
      <w:bookmarkEnd w:id="64"/>
      <w:bookmarkStart w:id="65" w:name="_Toc184310294"/>
      <w:bookmarkEnd w:id="65"/>
      <w:bookmarkStart w:id="66" w:name="_Toc184313284"/>
      <w:bookmarkEnd w:id="66"/>
      <w:bookmarkStart w:id="67" w:name="_Toc184314433"/>
      <w:bookmarkEnd w:id="67"/>
      <w:bookmarkStart w:id="68" w:name="_Toc184308046"/>
      <w:bookmarkEnd w:id="68"/>
      <w:bookmarkStart w:id="69" w:name="_Toc184313264"/>
      <w:bookmarkEnd w:id="69"/>
      <w:bookmarkStart w:id="70" w:name="_Toc184313285"/>
      <w:bookmarkEnd w:id="70"/>
      <w:bookmarkStart w:id="71" w:name="_Toc184312071"/>
      <w:bookmarkEnd w:id="71"/>
      <w:bookmarkStart w:id="72" w:name="_Toc184313262"/>
      <w:bookmarkEnd w:id="72"/>
      <w:bookmarkStart w:id="73" w:name="_Toc184310283"/>
      <w:bookmarkEnd w:id="73"/>
      <w:bookmarkStart w:id="74" w:name="_Toc184308062"/>
      <w:bookmarkEnd w:id="74"/>
      <w:bookmarkStart w:id="75" w:name="_Toc184314412"/>
      <w:bookmarkEnd w:id="75"/>
      <w:bookmarkStart w:id="76" w:name="_Toc184310281"/>
      <w:bookmarkEnd w:id="76"/>
      <w:bookmarkStart w:id="77" w:name="_Toc184310333"/>
      <w:bookmarkEnd w:id="77"/>
      <w:bookmarkStart w:id="78" w:name="_Toc184308054"/>
      <w:bookmarkEnd w:id="78"/>
      <w:bookmarkStart w:id="79" w:name="_Toc184314457"/>
      <w:bookmarkEnd w:id="79"/>
      <w:bookmarkStart w:id="80" w:name="_Toc184314467"/>
      <w:bookmarkEnd w:id="80"/>
      <w:bookmarkStart w:id="81" w:name="_Toc184313254"/>
      <w:bookmarkEnd w:id="81"/>
      <w:bookmarkStart w:id="82" w:name="_Toc184313283"/>
      <w:bookmarkEnd w:id="82"/>
      <w:bookmarkStart w:id="83" w:name="_Toc184308086"/>
      <w:bookmarkEnd w:id="83"/>
      <w:bookmarkStart w:id="84" w:name="_Toc184313300"/>
      <w:bookmarkEnd w:id="84"/>
      <w:bookmarkStart w:id="85" w:name="_Toc184314428"/>
      <w:bookmarkEnd w:id="85"/>
      <w:bookmarkStart w:id="86" w:name="_Toc184308060"/>
      <w:bookmarkEnd w:id="86"/>
      <w:bookmarkStart w:id="87" w:name="_Toc184312102"/>
      <w:bookmarkEnd w:id="87"/>
      <w:bookmarkStart w:id="88" w:name="_Toc184314444"/>
      <w:bookmarkEnd w:id="88"/>
      <w:bookmarkStart w:id="89" w:name="_Toc184310323"/>
      <w:bookmarkEnd w:id="89"/>
      <w:bookmarkStart w:id="90" w:name="_Toc184314459"/>
      <w:bookmarkEnd w:id="90"/>
      <w:bookmarkStart w:id="91" w:name="_Toc184308099"/>
      <w:bookmarkEnd w:id="91"/>
      <w:bookmarkStart w:id="92" w:name="_Toc184308071"/>
      <w:bookmarkEnd w:id="92"/>
      <w:bookmarkStart w:id="93" w:name="_Toc184308065"/>
      <w:bookmarkEnd w:id="93"/>
      <w:bookmarkStart w:id="94" w:name="_Toc184314426"/>
      <w:bookmarkEnd w:id="94"/>
      <w:bookmarkStart w:id="95" w:name="_Toc184313294"/>
      <w:bookmarkEnd w:id="95"/>
      <w:bookmarkStart w:id="96" w:name="_Toc184308088"/>
      <w:bookmarkEnd w:id="96"/>
      <w:bookmarkStart w:id="97" w:name="_Toc184313250"/>
      <w:bookmarkEnd w:id="97"/>
      <w:bookmarkStart w:id="98" w:name="_Toc184314450"/>
      <w:bookmarkEnd w:id="98"/>
      <w:bookmarkStart w:id="99" w:name="_Toc184310329"/>
      <w:bookmarkEnd w:id="99"/>
      <w:bookmarkStart w:id="100" w:name="_Toc184312105"/>
      <w:bookmarkEnd w:id="100"/>
      <w:bookmarkStart w:id="101" w:name="_Toc184314431"/>
      <w:bookmarkEnd w:id="101"/>
      <w:bookmarkStart w:id="102" w:name="_Toc184313304"/>
      <w:bookmarkEnd w:id="102"/>
      <w:bookmarkStart w:id="103" w:name="_Toc184313277"/>
      <w:bookmarkEnd w:id="103"/>
      <w:bookmarkStart w:id="104" w:name="_Toc184312135"/>
      <w:bookmarkEnd w:id="104"/>
      <w:bookmarkStart w:id="105" w:name="_Toc184312084"/>
      <w:bookmarkEnd w:id="105"/>
      <w:bookmarkStart w:id="106" w:name="_Toc184313248"/>
      <w:bookmarkEnd w:id="106"/>
      <w:bookmarkStart w:id="107" w:name="_Toc184312119"/>
      <w:bookmarkEnd w:id="107"/>
      <w:bookmarkStart w:id="108" w:name="_Toc184312126"/>
      <w:bookmarkEnd w:id="108"/>
      <w:bookmarkStart w:id="109" w:name="_Toc184313267"/>
      <w:bookmarkEnd w:id="109"/>
      <w:bookmarkStart w:id="110" w:name="_Toc184313290"/>
      <w:bookmarkEnd w:id="110"/>
      <w:bookmarkStart w:id="111" w:name="_Toc184313271"/>
      <w:bookmarkEnd w:id="111"/>
      <w:bookmarkStart w:id="112" w:name="_Toc184308095"/>
      <w:bookmarkEnd w:id="112"/>
      <w:bookmarkStart w:id="113" w:name="_Toc184313308"/>
      <w:bookmarkEnd w:id="113"/>
      <w:bookmarkStart w:id="114" w:name="_Toc184308108"/>
      <w:bookmarkEnd w:id="114"/>
      <w:bookmarkStart w:id="115" w:name="_Toc184310328"/>
      <w:bookmarkEnd w:id="115"/>
      <w:bookmarkStart w:id="116" w:name="_Toc184310319"/>
      <w:bookmarkEnd w:id="116"/>
      <w:bookmarkStart w:id="117" w:name="_Toc184312088"/>
      <w:bookmarkEnd w:id="117"/>
      <w:bookmarkStart w:id="118" w:name="_Toc184313238"/>
      <w:bookmarkEnd w:id="118"/>
      <w:bookmarkStart w:id="119" w:name="_Toc184314451"/>
      <w:bookmarkEnd w:id="119"/>
      <w:bookmarkStart w:id="120" w:name="_Toc184308063"/>
      <w:bookmarkEnd w:id="120"/>
      <w:bookmarkStart w:id="121" w:name="_Toc184310315"/>
      <w:bookmarkEnd w:id="121"/>
      <w:bookmarkStart w:id="122" w:name="_Toc184313240"/>
      <w:bookmarkEnd w:id="122"/>
      <w:bookmarkStart w:id="123" w:name="_Toc184310272"/>
      <w:bookmarkEnd w:id="123"/>
      <w:bookmarkStart w:id="124" w:name="_Toc184312072"/>
      <w:bookmarkEnd w:id="124"/>
      <w:bookmarkStart w:id="125" w:name="_Toc184312067"/>
      <w:bookmarkEnd w:id="125"/>
      <w:bookmarkStart w:id="126" w:name="_Toc184308091"/>
      <w:bookmarkEnd w:id="126"/>
      <w:bookmarkStart w:id="127" w:name="_Toc184314441"/>
      <w:bookmarkEnd w:id="127"/>
      <w:bookmarkStart w:id="128" w:name="_Toc184310339"/>
      <w:bookmarkEnd w:id="128"/>
      <w:bookmarkStart w:id="129" w:name="_Toc184310290"/>
      <w:bookmarkEnd w:id="129"/>
      <w:bookmarkStart w:id="130" w:name="_Toc184314455"/>
      <w:bookmarkEnd w:id="130"/>
      <w:bookmarkStart w:id="131" w:name="_Toc184308089"/>
      <w:bookmarkEnd w:id="131"/>
      <w:bookmarkStart w:id="132" w:name="_Toc184313306"/>
      <w:bookmarkEnd w:id="132"/>
      <w:bookmarkStart w:id="133" w:name="_Toc184308053"/>
      <w:bookmarkEnd w:id="133"/>
      <w:bookmarkStart w:id="134" w:name="_Toc184310309"/>
      <w:bookmarkEnd w:id="134"/>
      <w:bookmarkStart w:id="135" w:name="_Toc184313282"/>
      <w:bookmarkEnd w:id="135"/>
      <w:bookmarkStart w:id="136" w:name="_Toc184312131"/>
      <w:bookmarkEnd w:id="136"/>
      <w:bookmarkStart w:id="137" w:name="_Toc184310305"/>
      <w:bookmarkEnd w:id="137"/>
      <w:bookmarkStart w:id="138" w:name="_Toc184312093"/>
      <w:bookmarkEnd w:id="138"/>
      <w:bookmarkStart w:id="139" w:name="_Toc184314430"/>
      <w:bookmarkEnd w:id="139"/>
      <w:bookmarkStart w:id="140" w:name="_Toc184314482"/>
      <w:bookmarkEnd w:id="140"/>
      <w:bookmarkStart w:id="141" w:name="_Toc184314460"/>
      <w:bookmarkEnd w:id="141"/>
      <w:bookmarkStart w:id="142" w:name="_Toc184308043"/>
      <w:bookmarkEnd w:id="142"/>
      <w:bookmarkStart w:id="143" w:name="_Toc184308104"/>
      <w:bookmarkEnd w:id="143"/>
      <w:bookmarkStart w:id="144" w:name="_Toc184308085"/>
      <w:bookmarkEnd w:id="144"/>
      <w:bookmarkStart w:id="145" w:name="_Toc184312138"/>
      <w:bookmarkEnd w:id="145"/>
      <w:bookmarkStart w:id="146" w:name="_Toc184312074"/>
      <w:bookmarkEnd w:id="146"/>
      <w:bookmarkStart w:id="147" w:name="_Toc184310318"/>
      <w:bookmarkEnd w:id="147"/>
      <w:bookmarkStart w:id="148" w:name="_Toc184314440"/>
      <w:bookmarkEnd w:id="148"/>
      <w:bookmarkStart w:id="149" w:name="_Toc184312117"/>
      <w:bookmarkEnd w:id="149"/>
      <w:bookmarkStart w:id="150" w:name="_Toc184314475"/>
      <w:bookmarkEnd w:id="150"/>
      <w:bookmarkStart w:id="151" w:name="_Toc184314434"/>
      <w:bookmarkEnd w:id="151"/>
      <w:bookmarkStart w:id="152" w:name="_Toc184314474"/>
      <w:bookmarkEnd w:id="152"/>
      <w:bookmarkStart w:id="153" w:name="_Toc184312092"/>
      <w:bookmarkEnd w:id="153"/>
      <w:bookmarkStart w:id="154" w:name="_Toc184308040"/>
      <w:bookmarkEnd w:id="154"/>
      <w:bookmarkStart w:id="155" w:name="_Toc184312077"/>
      <w:bookmarkEnd w:id="155"/>
      <w:bookmarkStart w:id="156" w:name="_Toc184314439"/>
      <w:bookmarkEnd w:id="156"/>
      <w:bookmarkStart w:id="157" w:name="_Toc184313242"/>
      <w:bookmarkEnd w:id="157"/>
      <w:bookmarkStart w:id="158" w:name="_Toc184314429"/>
      <w:bookmarkEnd w:id="158"/>
      <w:bookmarkStart w:id="159" w:name="_Toc184312107"/>
      <w:bookmarkEnd w:id="159"/>
      <w:bookmarkStart w:id="160" w:name="_Toc184310316"/>
      <w:bookmarkEnd w:id="160"/>
      <w:bookmarkStart w:id="161" w:name="_Toc184310298"/>
      <w:bookmarkEnd w:id="161"/>
      <w:bookmarkStart w:id="162" w:name="_Toc184312114"/>
      <w:bookmarkEnd w:id="162"/>
      <w:bookmarkStart w:id="163" w:name="_Toc184313302"/>
      <w:bookmarkEnd w:id="163"/>
      <w:bookmarkStart w:id="164" w:name="_Toc184312079"/>
      <w:bookmarkEnd w:id="164"/>
      <w:bookmarkStart w:id="165" w:name="_Toc184308097"/>
      <w:bookmarkEnd w:id="165"/>
      <w:bookmarkStart w:id="166" w:name="_Toc184310285"/>
      <w:bookmarkEnd w:id="166"/>
      <w:bookmarkStart w:id="167" w:name="_Toc184310280"/>
      <w:bookmarkEnd w:id="167"/>
      <w:bookmarkStart w:id="168" w:name="_Toc184308103"/>
      <w:bookmarkEnd w:id="168"/>
      <w:bookmarkStart w:id="169" w:name="_Toc184313286"/>
      <w:bookmarkEnd w:id="169"/>
      <w:bookmarkStart w:id="170" w:name="_Toc184310320"/>
      <w:bookmarkEnd w:id="170"/>
      <w:bookmarkStart w:id="171" w:name="_Toc184313274"/>
      <w:bookmarkEnd w:id="171"/>
      <w:bookmarkStart w:id="172" w:name="_Toc184310287"/>
      <w:bookmarkEnd w:id="172"/>
      <w:bookmarkStart w:id="173" w:name="_Toc184314421"/>
      <w:bookmarkEnd w:id="173"/>
      <w:bookmarkStart w:id="174" w:name="_Toc184310296"/>
      <w:bookmarkEnd w:id="174"/>
      <w:bookmarkStart w:id="175" w:name="_Toc184310288"/>
      <w:bookmarkEnd w:id="175"/>
      <w:bookmarkStart w:id="176" w:name="_Toc184313270"/>
      <w:bookmarkEnd w:id="176"/>
      <w:bookmarkStart w:id="177" w:name="_Toc184313309"/>
      <w:bookmarkEnd w:id="177"/>
      <w:bookmarkStart w:id="178" w:name="_Toc184313278"/>
      <w:bookmarkEnd w:id="178"/>
      <w:bookmarkStart w:id="179" w:name="_Toc184312076"/>
      <w:bookmarkEnd w:id="179"/>
      <w:bookmarkStart w:id="180" w:name="_Toc184312069"/>
      <w:bookmarkEnd w:id="180"/>
      <w:bookmarkStart w:id="181" w:name="_Toc184312134"/>
      <w:bookmarkEnd w:id="181"/>
      <w:bookmarkStart w:id="182" w:name="_Toc184310322"/>
      <w:bookmarkEnd w:id="182"/>
      <w:bookmarkStart w:id="183" w:name="_Toc184312095"/>
      <w:bookmarkEnd w:id="183"/>
      <w:bookmarkStart w:id="184" w:name="_Toc184314458"/>
      <w:bookmarkEnd w:id="184"/>
      <w:bookmarkStart w:id="185" w:name="_Toc184314416"/>
      <w:bookmarkEnd w:id="185"/>
      <w:bookmarkStart w:id="186" w:name="_Toc184312075"/>
      <w:bookmarkEnd w:id="186"/>
      <w:bookmarkStart w:id="187" w:name="_Toc184310307"/>
      <w:bookmarkEnd w:id="187"/>
      <w:bookmarkStart w:id="188" w:name="_Toc184312082"/>
      <w:bookmarkEnd w:id="188"/>
      <w:bookmarkStart w:id="189" w:name="_Toc184310317"/>
      <w:bookmarkEnd w:id="189"/>
      <w:bookmarkStart w:id="190" w:name="_Toc184314413"/>
      <w:bookmarkEnd w:id="190"/>
      <w:bookmarkStart w:id="191" w:name="_Toc184308042"/>
      <w:bookmarkEnd w:id="191"/>
      <w:bookmarkStart w:id="192" w:name="_Toc184310341"/>
      <w:bookmarkEnd w:id="192"/>
      <w:bookmarkStart w:id="193" w:name="_Toc184313266"/>
      <w:bookmarkEnd w:id="193"/>
      <w:bookmarkStart w:id="194" w:name="_Toc184313246"/>
      <w:bookmarkEnd w:id="194"/>
      <w:bookmarkStart w:id="195" w:name="_Toc184314418"/>
      <w:bookmarkEnd w:id="195"/>
      <w:bookmarkStart w:id="196" w:name="_Toc184312087"/>
      <w:bookmarkEnd w:id="196"/>
      <w:bookmarkStart w:id="197" w:name="_Toc184312111"/>
      <w:bookmarkEnd w:id="197"/>
      <w:bookmarkStart w:id="198" w:name="_Toc184308069"/>
      <w:bookmarkEnd w:id="198"/>
      <w:bookmarkStart w:id="199" w:name="_Toc184310304"/>
      <w:bookmarkEnd w:id="199"/>
      <w:bookmarkStart w:id="200" w:name="_Toc184308066"/>
      <w:bookmarkEnd w:id="200"/>
      <w:bookmarkStart w:id="201" w:name="_Toc184313303"/>
      <w:bookmarkEnd w:id="201"/>
      <w:bookmarkStart w:id="202" w:name="_Toc184310308"/>
      <w:bookmarkEnd w:id="202"/>
      <w:bookmarkStart w:id="203" w:name="_Toc184310313"/>
      <w:bookmarkEnd w:id="203"/>
      <w:bookmarkStart w:id="204" w:name="_Toc184312104"/>
      <w:bookmarkEnd w:id="204"/>
      <w:bookmarkStart w:id="205" w:name="_Toc184312137"/>
      <w:bookmarkEnd w:id="205"/>
      <w:bookmarkStart w:id="206" w:name="_Toc184314411"/>
      <w:bookmarkEnd w:id="206"/>
      <w:bookmarkStart w:id="207" w:name="_Toc184310327"/>
      <w:bookmarkEnd w:id="207"/>
      <w:bookmarkStart w:id="208" w:name="_Toc184314415"/>
      <w:bookmarkEnd w:id="208"/>
      <w:bookmarkStart w:id="209" w:name="_Toc184314481"/>
      <w:bookmarkEnd w:id="209"/>
      <w:bookmarkStart w:id="210" w:name="_Toc184310301"/>
      <w:bookmarkEnd w:id="210"/>
      <w:bookmarkStart w:id="211" w:name="_Toc184312068"/>
      <w:bookmarkEnd w:id="211"/>
      <w:bookmarkStart w:id="212" w:name="_Toc184314432"/>
      <w:bookmarkEnd w:id="212"/>
      <w:bookmarkStart w:id="213" w:name="_Toc184313299"/>
      <w:bookmarkEnd w:id="213"/>
      <w:bookmarkStart w:id="214" w:name="_Toc184314427"/>
      <w:bookmarkEnd w:id="214"/>
      <w:bookmarkStart w:id="215" w:name="_Toc184308082"/>
      <w:bookmarkEnd w:id="215"/>
      <w:bookmarkStart w:id="216" w:name="_Toc184313265"/>
      <w:bookmarkEnd w:id="216"/>
      <w:bookmarkStart w:id="217" w:name="_Toc184313245"/>
      <w:bookmarkEnd w:id="217"/>
      <w:bookmarkStart w:id="218" w:name="_Toc184313288"/>
      <w:bookmarkEnd w:id="218"/>
      <w:bookmarkStart w:id="219" w:name="_Toc184308057"/>
      <w:bookmarkEnd w:id="219"/>
      <w:bookmarkStart w:id="220" w:name="_Toc184314477"/>
      <w:bookmarkEnd w:id="220"/>
      <w:bookmarkStart w:id="221" w:name="_Toc184314442"/>
      <w:bookmarkEnd w:id="221"/>
      <w:bookmarkStart w:id="222" w:name="_Toc184310279"/>
      <w:bookmarkEnd w:id="222"/>
      <w:bookmarkStart w:id="223" w:name="_Toc184308050"/>
      <w:bookmarkEnd w:id="223"/>
      <w:bookmarkStart w:id="224" w:name="_Toc184308084"/>
      <w:bookmarkEnd w:id="224"/>
      <w:bookmarkStart w:id="225" w:name="_Toc184313301"/>
      <w:bookmarkEnd w:id="225"/>
      <w:bookmarkStart w:id="226" w:name="_Toc184313293"/>
      <w:bookmarkEnd w:id="226"/>
      <w:bookmarkStart w:id="227" w:name="_Toc184310282"/>
      <w:bookmarkEnd w:id="227"/>
      <w:bookmarkStart w:id="228" w:name="_Toc184313295"/>
      <w:bookmarkEnd w:id="228"/>
      <w:bookmarkStart w:id="229" w:name="_Toc184313253"/>
      <w:bookmarkEnd w:id="229"/>
      <w:bookmarkStart w:id="230" w:name="_Toc184308049"/>
      <w:bookmarkEnd w:id="230"/>
      <w:bookmarkStart w:id="231" w:name="_Toc184313251"/>
      <w:bookmarkEnd w:id="231"/>
      <w:bookmarkStart w:id="232" w:name="_Toc184312097"/>
      <w:bookmarkEnd w:id="232"/>
      <w:bookmarkStart w:id="233" w:name="_Toc184308087"/>
      <w:bookmarkEnd w:id="233"/>
      <w:bookmarkStart w:id="234" w:name="_Toc184313298"/>
      <w:bookmarkEnd w:id="234"/>
      <w:bookmarkStart w:id="235" w:name="_Toc184312091"/>
      <w:bookmarkEnd w:id="235"/>
      <w:bookmarkStart w:id="236" w:name="_Toc184313273"/>
      <w:bookmarkEnd w:id="236"/>
      <w:bookmarkStart w:id="237" w:name="_Toc184314462"/>
      <w:bookmarkEnd w:id="237"/>
      <w:bookmarkStart w:id="238" w:name="_Toc184310321"/>
      <w:bookmarkEnd w:id="238"/>
      <w:bookmarkStart w:id="239" w:name="_Toc184310340"/>
      <w:bookmarkEnd w:id="239"/>
      <w:bookmarkStart w:id="240" w:name="_Toc184310295"/>
      <w:bookmarkEnd w:id="240"/>
      <w:bookmarkStart w:id="241" w:name="_Toc184308048"/>
      <w:bookmarkEnd w:id="241"/>
      <w:bookmarkStart w:id="242" w:name="_Toc184310325"/>
      <w:bookmarkEnd w:id="242"/>
      <w:bookmarkStart w:id="243" w:name="_Toc184313291"/>
      <w:bookmarkEnd w:id="243"/>
      <w:bookmarkStart w:id="244" w:name="_Toc184313255"/>
      <w:bookmarkEnd w:id="244"/>
      <w:bookmarkStart w:id="245" w:name="_Toc184314468"/>
      <w:bookmarkEnd w:id="245"/>
      <w:bookmarkStart w:id="246" w:name="_Toc184310302"/>
      <w:bookmarkEnd w:id="246"/>
      <w:bookmarkStart w:id="247" w:name="_Toc184312139"/>
      <w:bookmarkEnd w:id="247"/>
      <w:bookmarkStart w:id="248" w:name="_Toc184310277"/>
      <w:bookmarkEnd w:id="248"/>
      <w:bookmarkStart w:id="249" w:name="_Toc184310299"/>
      <w:bookmarkEnd w:id="249"/>
      <w:bookmarkStart w:id="250" w:name="_Toc184312136"/>
      <w:bookmarkEnd w:id="250"/>
      <w:bookmarkStart w:id="251" w:name="_Toc184314479"/>
      <w:bookmarkEnd w:id="251"/>
      <w:bookmarkStart w:id="252" w:name="_Toc184312122"/>
      <w:bookmarkEnd w:id="252"/>
      <w:bookmarkStart w:id="253" w:name="_Toc184314454"/>
      <w:bookmarkEnd w:id="253"/>
      <w:bookmarkStart w:id="254" w:name="_Toc184308070"/>
      <w:bookmarkEnd w:id="254"/>
      <w:bookmarkStart w:id="255" w:name="_Toc184313261"/>
      <w:bookmarkEnd w:id="255"/>
      <w:bookmarkStart w:id="256" w:name="_Toc184313281"/>
      <w:bookmarkEnd w:id="256"/>
      <w:bookmarkStart w:id="257" w:name="_Toc184314473"/>
      <w:bookmarkEnd w:id="257"/>
      <w:bookmarkStart w:id="258" w:name="_Toc184314456"/>
      <w:bookmarkEnd w:id="258"/>
      <w:bookmarkStart w:id="259" w:name="_Toc184308107"/>
      <w:bookmarkEnd w:id="259"/>
      <w:bookmarkStart w:id="260" w:name="_Toc184312080"/>
      <w:bookmarkEnd w:id="260"/>
      <w:bookmarkStart w:id="261" w:name="_Toc184313241"/>
      <w:bookmarkEnd w:id="261"/>
      <w:bookmarkStart w:id="262" w:name="_Toc184308037"/>
      <w:bookmarkEnd w:id="262"/>
      <w:bookmarkStart w:id="263" w:name="_Toc184313259"/>
      <w:bookmarkEnd w:id="263"/>
      <w:bookmarkStart w:id="264" w:name="_Toc184308074"/>
      <w:bookmarkEnd w:id="264"/>
      <w:bookmarkStart w:id="265" w:name="_Toc184313243"/>
      <w:bookmarkEnd w:id="265"/>
      <w:bookmarkStart w:id="266" w:name="_Toc184312120"/>
      <w:bookmarkEnd w:id="266"/>
      <w:bookmarkStart w:id="267" w:name="_Toc184308083"/>
      <w:bookmarkEnd w:id="267"/>
      <w:bookmarkStart w:id="268" w:name="_Toc184314471"/>
      <w:bookmarkEnd w:id="268"/>
      <w:bookmarkStart w:id="269" w:name="_Toc184308047"/>
      <w:bookmarkEnd w:id="269"/>
      <w:bookmarkStart w:id="270" w:name="_Toc184308080"/>
      <w:bookmarkEnd w:id="270"/>
      <w:bookmarkStart w:id="271" w:name="_Toc184314448"/>
      <w:bookmarkEnd w:id="271"/>
      <w:bookmarkStart w:id="272" w:name="_Toc184314420"/>
      <w:bookmarkEnd w:id="272"/>
      <w:bookmarkStart w:id="273" w:name="_Toc184308052"/>
      <w:bookmarkEnd w:id="273"/>
      <w:bookmarkStart w:id="274" w:name="_Toc184308064"/>
      <w:bookmarkEnd w:id="274"/>
      <w:bookmarkStart w:id="275" w:name="_Toc184308105"/>
      <w:bookmarkEnd w:id="275"/>
      <w:bookmarkStart w:id="276" w:name="_Toc184313296"/>
      <w:bookmarkEnd w:id="276"/>
      <w:bookmarkStart w:id="277" w:name="_Toc184313307"/>
      <w:bookmarkEnd w:id="277"/>
      <w:bookmarkStart w:id="278" w:name="_Toc184314437"/>
      <w:bookmarkEnd w:id="278"/>
      <w:bookmarkStart w:id="279" w:name="_Toc184310331"/>
      <w:bookmarkEnd w:id="279"/>
      <w:bookmarkStart w:id="280" w:name="_Toc184310293"/>
      <w:bookmarkEnd w:id="280"/>
      <w:bookmarkStart w:id="281" w:name="_Toc184308076"/>
      <w:bookmarkEnd w:id="281"/>
      <w:bookmarkStart w:id="282" w:name="_Toc184313249"/>
      <w:bookmarkEnd w:id="282"/>
      <w:bookmarkStart w:id="283" w:name="_Toc184314463"/>
      <w:bookmarkEnd w:id="283"/>
      <w:bookmarkStart w:id="284" w:name="_Toc184314424"/>
      <w:bookmarkEnd w:id="284"/>
      <w:bookmarkStart w:id="285" w:name="_Toc184312112"/>
      <w:bookmarkEnd w:id="285"/>
      <w:bookmarkStart w:id="286" w:name="_Toc184314478"/>
      <w:bookmarkEnd w:id="286"/>
      <w:bookmarkStart w:id="287" w:name="_Toc184314447"/>
      <w:bookmarkEnd w:id="287"/>
      <w:bookmarkStart w:id="288" w:name="_Toc184308068"/>
      <w:bookmarkEnd w:id="288"/>
      <w:bookmarkStart w:id="289" w:name="_Toc184312125"/>
      <w:bookmarkEnd w:id="289"/>
      <w:bookmarkStart w:id="290" w:name="_Toc184310297"/>
      <w:bookmarkEnd w:id="290"/>
      <w:bookmarkStart w:id="291" w:name="_Toc184314452"/>
      <w:bookmarkEnd w:id="291"/>
      <w:bookmarkStart w:id="292" w:name="_Toc184310284"/>
      <w:bookmarkEnd w:id="292"/>
      <w:bookmarkStart w:id="293" w:name="_Toc184313257"/>
      <w:bookmarkEnd w:id="293"/>
      <w:bookmarkStart w:id="294" w:name="_Toc184314422"/>
      <w:bookmarkEnd w:id="294"/>
      <w:bookmarkStart w:id="295" w:name="_Toc184308102"/>
      <w:bookmarkEnd w:id="295"/>
      <w:bookmarkStart w:id="296" w:name="_Toc184308038"/>
      <w:bookmarkEnd w:id="296"/>
      <w:bookmarkStart w:id="297" w:name="_Toc184310324"/>
      <w:bookmarkEnd w:id="297"/>
      <w:bookmarkStart w:id="298" w:name="_Toc184310334"/>
      <w:bookmarkEnd w:id="298"/>
      <w:bookmarkStart w:id="299" w:name="_Toc184312070"/>
      <w:bookmarkEnd w:id="299"/>
      <w:bookmarkStart w:id="300" w:name="_Toc184310338"/>
      <w:bookmarkEnd w:id="300"/>
      <w:bookmarkStart w:id="301" w:name="_Toc184312094"/>
      <w:bookmarkEnd w:id="301"/>
      <w:bookmarkStart w:id="302" w:name="_Toc184314423"/>
      <w:bookmarkEnd w:id="302"/>
      <w:bookmarkStart w:id="303" w:name="_Toc184310337"/>
      <w:bookmarkEnd w:id="303"/>
      <w:bookmarkStart w:id="304" w:name="_Toc184308045"/>
      <w:bookmarkEnd w:id="304"/>
      <w:bookmarkStart w:id="305" w:name="_Toc184312127"/>
      <w:bookmarkEnd w:id="305"/>
      <w:bookmarkStart w:id="306" w:name="_Toc184308051"/>
      <w:bookmarkEnd w:id="306"/>
      <w:bookmarkStart w:id="307" w:name="_Toc184314446"/>
      <w:bookmarkEnd w:id="307"/>
      <w:bookmarkStart w:id="308" w:name="_Toc184314466"/>
      <w:bookmarkEnd w:id="308"/>
      <w:bookmarkStart w:id="309" w:name="_Toc184308094"/>
      <w:bookmarkEnd w:id="309"/>
      <w:bookmarkStart w:id="310" w:name="_Toc184313297"/>
      <w:bookmarkEnd w:id="310"/>
      <w:bookmarkStart w:id="311" w:name="_Toc184314464"/>
      <w:bookmarkEnd w:id="311"/>
      <w:bookmarkStart w:id="312" w:name="_Toc184310310"/>
      <w:bookmarkEnd w:id="312"/>
      <w:bookmarkStart w:id="313" w:name="_Toc184310278"/>
      <w:bookmarkEnd w:id="313"/>
      <w:bookmarkStart w:id="314" w:name="_Toc184312081"/>
      <w:bookmarkEnd w:id="314"/>
      <w:bookmarkStart w:id="315" w:name="_Toc184313276"/>
      <w:bookmarkEnd w:id="315"/>
      <w:bookmarkStart w:id="316" w:name="_Toc184310303"/>
      <w:bookmarkEnd w:id="316"/>
      <w:bookmarkStart w:id="317" w:name="_Toc184314436"/>
      <w:bookmarkEnd w:id="317"/>
      <w:bookmarkStart w:id="318" w:name="_Toc184314476"/>
      <w:bookmarkEnd w:id="318"/>
      <w:bookmarkStart w:id="319" w:name="_Toc184314410"/>
      <w:bookmarkEnd w:id="319"/>
      <w:bookmarkStart w:id="320" w:name="_Toc184314425"/>
      <w:bookmarkEnd w:id="320"/>
      <w:bookmarkStart w:id="321" w:name="_Toc184314449"/>
      <w:bookmarkEnd w:id="321"/>
      <w:bookmarkStart w:id="322" w:name="_Toc184308100"/>
      <w:bookmarkEnd w:id="322"/>
      <w:bookmarkStart w:id="323" w:name="_Toc184308075"/>
      <w:bookmarkEnd w:id="323"/>
      <w:bookmarkStart w:id="324" w:name="_Toc184308056"/>
      <w:bookmarkEnd w:id="324"/>
      <w:bookmarkStart w:id="325" w:name="_Toc184308106"/>
      <w:bookmarkEnd w:id="325"/>
      <w:bookmarkStart w:id="326" w:name="_Toc184308081"/>
      <w:bookmarkEnd w:id="326"/>
      <w:bookmarkStart w:id="327" w:name="_Toc184312073"/>
      <w:bookmarkEnd w:id="327"/>
      <w:bookmarkStart w:id="328" w:name="_Toc184310275"/>
      <w:bookmarkEnd w:id="328"/>
      <w:bookmarkStart w:id="329" w:name="_Toc184308036"/>
      <w:bookmarkEnd w:id="329"/>
      <w:bookmarkStart w:id="330" w:name="_Toc184312109"/>
      <w:bookmarkEnd w:id="330"/>
      <w:bookmarkStart w:id="331" w:name="_Toc184310292"/>
      <w:bookmarkEnd w:id="331"/>
      <w:bookmarkStart w:id="332" w:name="_Toc184308077"/>
      <w:bookmarkEnd w:id="332"/>
      <w:bookmarkStart w:id="333" w:name="_Toc184314445"/>
      <w:bookmarkEnd w:id="333"/>
      <w:bookmarkStart w:id="334" w:name="_Toc184310311"/>
      <w:bookmarkEnd w:id="334"/>
      <w:bookmarkStart w:id="335" w:name="_Toc184313239"/>
      <w:bookmarkEnd w:id="335"/>
      <w:bookmarkStart w:id="336" w:name="_Toc184308092"/>
      <w:bookmarkEnd w:id="336"/>
      <w:bookmarkStart w:id="337" w:name="_Toc184308101"/>
      <w:bookmarkEnd w:id="337"/>
      <w:bookmarkStart w:id="338" w:name="_Toc184312078"/>
      <w:bookmarkEnd w:id="338"/>
      <w:bookmarkStart w:id="339" w:name="_Toc184310306"/>
      <w:bookmarkEnd w:id="339"/>
      <w:bookmarkStart w:id="340" w:name="_Toc184312089"/>
      <w:bookmarkEnd w:id="340"/>
      <w:bookmarkStart w:id="341" w:name="_Toc184312103"/>
      <w:bookmarkEnd w:id="341"/>
      <w:bookmarkStart w:id="342" w:name="_Toc184312124"/>
      <w:bookmarkEnd w:id="342"/>
      <w:bookmarkStart w:id="343" w:name="_Toc184310274"/>
      <w:bookmarkEnd w:id="343"/>
      <w:bookmarkStart w:id="344" w:name="_Toc184310335"/>
      <w:bookmarkEnd w:id="344"/>
      <w:bookmarkStart w:id="345" w:name="_Toc184312085"/>
      <w:bookmarkEnd w:id="345"/>
      <w:bookmarkStart w:id="346" w:name="_Toc184313310"/>
      <w:bookmarkEnd w:id="346"/>
      <w:bookmarkStart w:id="347" w:name="_Toc184310314"/>
      <w:bookmarkEnd w:id="347"/>
      <w:bookmarkStart w:id="348" w:name="_Toc184308073"/>
      <w:bookmarkEnd w:id="348"/>
      <w:bookmarkStart w:id="349" w:name="_Toc184312090"/>
      <w:bookmarkEnd w:id="349"/>
      <w:bookmarkStart w:id="350" w:name="_Toc184313275"/>
      <w:bookmarkEnd w:id="350"/>
      <w:bookmarkStart w:id="351" w:name="_Toc184314417"/>
      <w:bookmarkEnd w:id="351"/>
      <w:bookmarkStart w:id="352" w:name="_Toc184308039"/>
      <w:bookmarkEnd w:id="352"/>
      <w:bookmarkStart w:id="353" w:name="_Toc184308090"/>
      <w:bookmarkEnd w:id="353"/>
      <w:bookmarkStart w:id="354" w:name="_Toc184308093"/>
      <w:bookmarkEnd w:id="354"/>
      <w:bookmarkStart w:id="355" w:name="_Toc184312118"/>
      <w:bookmarkEnd w:id="355"/>
      <w:bookmarkStart w:id="356" w:name="_Toc184314419"/>
      <w:bookmarkEnd w:id="356"/>
      <w:bookmarkStart w:id="357" w:name="_Toc184313305"/>
      <w:bookmarkEnd w:id="357"/>
      <w:bookmarkStart w:id="358" w:name="_Toc184308098"/>
      <w:bookmarkEnd w:id="358"/>
      <w:bookmarkStart w:id="359" w:name="_Toc184310326"/>
      <w:bookmarkEnd w:id="359"/>
      <w:bookmarkStart w:id="360" w:name="_Toc184312129"/>
      <w:bookmarkEnd w:id="360"/>
      <w:bookmarkStart w:id="361" w:name="_Toc184313244"/>
      <w:bookmarkEnd w:id="361"/>
      <w:bookmarkStart w:id="362" w:name="_Toc184313247"/>
      <w:bookmarkEnd w:id="362"/>
      <w:bookmarkStart w:id="363" w:name="_Toc184313269"/>
      <w:bookmarkEnd w:id="363"/>
      <w:bookmarkStart w:id="364" w:name="_Toc184313256"/>
      <w:bookmarkEnd w:id="364"/>
      <w:bookmarkStart w:id="365" w:name="_Toc184312121"/>
      <w:bookmarkEnd w:id="365"/>
      <w:bookmarkStart w:id="366" w:name="_Toc184313263"/>
      <w:bookmarkEnd w:id="366"/>
      <w:bookmarkStart w:id="367" w:name="_Toc184313280"/>
      <w:bookmarkEnd w:id="367"/>
      <w:bookmarkStart w:id="368" w:name="_Toc184314453"/>
      <w:bookmarkEnd w:id="368"/>
      <w:bookmarkStart w:id="369" w:name="_Toc184313292"/>
      <w:bookmarkEnd w:id="369"/>
      <w:bookmarkStart w:id="370" w:name="_Toc184308096"/>
      <w:bookmarkEnd w:id="370"/>
      <w:bookmarkStart w:id="371" w:name="_Toc184312108"/>
      <w:bookmarkEnd w:id="371"/>
      <w:bookmarkStart w:id="372" w:name="_Toc184312128"/>
      <w:bookmarkEnd w:id="372"/>
      <w:bookmarkStart w:id="373" w:name="_Toc184314470"/>
      <w:bookmarkEnd w:id="373"/>
      <w:bookmarkStart w:id="374" w:name="_Toc184310344"/>
      <w:bookmarkEnd w:id="374"/>
      <w:bookmarkStart w:id="375" w:name="_Toc184310343"/>
      <w:bookmarkEnd w:id="375"/>
      <w:bookmarkStart w:id="376" w:name="_Toc184310300"/>
      <w:bookmarkEnd w:id="376"/>
      <w:bookmarkStart w:id="377" w:name="_Toc184314414"/>
      <w:bookmarkEnd w:id="377"/>
      <w:bookmarkStart w:id="378" w:name="_Toc184310276"/>
      <w:bookmarkEnd w:id="378"/>
      <w:bookmarkStart w:id="379" w:name="_Toc184313268"/>
      <w:bookmarkEnd w:id="379"/>
      <w:bookmarkStart w:id="380" w:name="_Toc184313279"/>
      <w:bookmarkEnd w:id="380"/>
      <w:bookmarkStart w:id="381" w:name="_Toc184312132"/>
      <w:bookmarkEnd w:id="381"/>
      <w:bookmarkStart w:id="382" w:name="_Toc184312101"/>
      <w:bookmarkEnd w:id="382"/>
      <w:bookmarkStart w:id="383" w:name="_Toc184312099"/>
      <w:bookmarkEnd w:id="383"/>
      <w:bookmarkStart w:id="384" w:name="_Toc184310286"/>
      <w:bookmarkEnd w:id="384"/>
      <w:bookmarkStart w:id="385" w:name="_Toc184314435"/>
      <w:bookmarkEnd w:id="385"/>
      <w:bookmarkStart w:id="386" w:name="_Toc184308059"/>
      <w:bookmarkEnd w:id="386"/>
      <w:bookmarkStart w:id="387" w:name="_Toc184308041"/>
      <w:bookmarkEnd w:id="387"/>
      <w:bookmarkStart w:id="388" w:name="_Toc184313252"/>
      <w:bookmarkEnd w:id="388"/>
      <w:bookmarkStart w:id="389" w:name="_Toc184314480"/>
      <w:bookmarkEnd w:id="389"/>
      <w:bookmarkStart w:id="390" w:name="_Toc184308072"/>
      <w:bookmarkEnd w:id="390"/>
      <w:bookmarkStart w:id="391" w:name="_Toc184308061"/>
      <w:bookmarkEnd w:id="391"/>
      <w:bookmarkStart w:id="392" w:name="_Toc184314461"/>
      <w:bookmarkEnd w:id="392"/>
      <w:bookmarkStart w:id="393" w:name="_Toc184312098"/>
      <w:bookmarkEnd w:id="393"/>
      <w:bookmarkStart w:id="394" w:name="_Toc184313289"/>
      <w:bookmarkEnd w:id="394"/>
      <w:bookmarkStart w:id="395" w:name="_Toc184313272"/>
      <w:bookmarkEnd w:id="395"/>
      <w:bookmarkStart w:id="396" w:name="_Toc184308078"/>
      <w:bookmarkEnd w:id="396"/>
      <w:bookmarkStart w:id="397" w:name="_Toc184308055"/>
      <w:bookmarkEnd w:id="397"/>
      <w:bookmarkStart w:id="398" w:name="_Toc184313258"/>
      <w:bookmarkEnd w:id="398"/>
      <w:r>
        <w:rPr>
          <w:rFonts w:hint="eastAsia" w:ascii="仿宋" w:hAnsi="仿宋" w:eastAsia="仿宋" w:cs="仿宋"/>
          <w:b/>
          <w:sz w:val="36"/>
          <w:szCs w:val="36"/>
        </w:rPr>
        <w:t>评标办法</w:t>
      </w:r>
    </w:p>
    <w:p>
      <w:pPr>
        <w:spacing w:line="360" w:lineRule="auto"/>
        <w:ind w:firstLine="482" w:firstLineChars="200"/>
        <w:rPr>
          <w:rFonts w:hint="eastAsia" w:ascii="宋体" w:hAnsi="宋体" w:eastAsia="宋体" w:cs="宋体"/>
          <w:b/>
          <w:bCs/>
          <w:sz w:val="24"/>
          <w:lang w:val="en-US" w:eastAsia="zh-CN"/>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、评分办法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（1）满分为100分。总得分=技术得分+商务得分；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（2）技术得分=技术评分，技术评分=所有评委的有效评分的算术平均数。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（3）商务得分=（评标基准价/投标报价）*价格权值*100，评标基准价=有效投标人的最低投标报价，价格权值=</w:t>
      </w:r>
      <w:r>
        <w:rPr>
          <w:rFonts w:hint="eastAsia" w:ascii="仿宋" w:hAnsi="仿宋" w:eastAsia="仿宋" w:cs="仿宋"/>
          <w:sz w:val="24"/>
          <w:lang w:val="en-US" w:eastAsia="zh-CN"/>
        </w:rPr>
        <w:t>1</w:t>
      </w:r>
      <w:r>
        <w:rPr>
          <w:rFonts w:hint="eastAsia" w:ascii="仿宋" w:hAnsi="仿宋" w:eastAsia="仿宋" w:cs="仿宋"/>
          <w:sz w:val="24"/>
        </w:rPr>
        <w:t>0%。</w:t>
      </w:r>
    </w:p>
    <w:p>
      <w:pPr>
        <w:spacing w:line="360" w:lineRule="auto"/>
        <w:ind w:firstLine="588" w:firstLineChars="245"/>
        <w:jc w:val="left"/>
        <w:rPr>
          <w:rFonts w:hint="eastAsia" w:ascii="仿宋" w:hAnsi="仿宋" w:eastAsia="仿宋" w:cs="仿宋"/>
          <w:sz w:val="24"/>
        </w:rPr>
      </w:pPr>
      <w:r>
        <w:rPr>
          <w:rFonts w:hint="eastAsia" w:ascii="仿宋" w:hAnsi="仿宋" w:eastAsia="仿宋" w:cs="仿宋"/>
          <w:sz w:val="24"/>
        </w:rPr>
        <w:t>技术分评分细则（</w:t>
      </w:r>
      <w:r>
        <w:rPr>
          <w:rFonts w:hint="eastAsia" w:ascii="仿宋" w:hAnsi="仿宋" w:eastAsia="仿宋" w:cs="仿宋"/>
          <w:sz w:val="24"/>
          <w:lang w:val="en-US" w:eastAsia="zh-CN"/>
        </w:rPr>
        <w:t>90</w:t>
      </w:r>
      <w:r>
        <w:rPr>
          <w:rFonts w:hint="eastAsia" w:ascii="仿宋" w:hAnsi="仿宋" w:eastAsia="仿宋" w:cs="仿宋"/>
          <w:sz w:val="24"/>
        </w:rPr>
        <w:t>分）</w:t>
      </w:r>
    </w:p>
    <w:tbl>
      <w:tblPr>
        <w:tblStyle w:val="74"/>
        <w:tblW w:w="978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60"/>
        <w:gridCol w:w="6781"/>
        <w:gridCol w:w="7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709" w:type="dxa"/>
            <w:noWrap w:val="0"/>
            <w:vAlign w:val="center"/>
          </w:tcPr>
          <w:p>
            <w:pPr>
              <w:widowControl/>
              <w:jc w:val="center"/>
              <w:rPr>
                <w:rFonts w:hint="eastAsia" w:ascii="仿宋" w:hAnsi="仿宋" w:eastAsia="仿宋" w:cs="仿宋"/>
                <w:b/>
                <w:bCs w:val="0"/>
                <w:kern w:val="0"/>
                <w:sz w:val="24"/>
                <w:szCs w:val="24"/>
              </w:rPr>
            </w:pPr>
            <w:bookmarkStart w:id="399" w:name="_Hlk37601106"/>
            <w:r>
              <w:rPr>
                <w:rFonts w:hint="eastAsia" w:ascii="仿宋" w:hAnsi="仿宋" w:eastAsia="仿宋" w:cs="仿宋"/>
                <w:b/>
                <w:bCs w:val="0"/>
                <w:kern w:val="0"/>
                <w:sz w:val="24"/>
                <w:szCs w:val="24"/>
              </w:rPr>
              <w:t>序号</w:t>
            </w:r>
          </w:p>
        </w:tc>
        <w:tc>
          <w:tcPr>
            <w:tcW w:w="1560" w:type="dxa"/>
            <w:noWrap w:val="0"/>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评审项目</w:t>
            </w:r>
          </w:p>
        </w:tc>
        <w:tc>
          <w:tcPr>
            <w:tcW w:w="6781" w:type="dxa"/>
            <w:noWrap w:val="0"/>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评审细则</w:t>
            </w:r>
          </w:p>
        </w:tc>
        <w:tc>
          <w:tcPr>
            <w:tcW w:w="731" w:type="dxa"/>
            <w:noWrap w:val="0"/>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9" w:hRule="atLeast"/>
          <w:jc w:val="center"/>
        </w:trPr>
        <w:tc>
          <w:tcPr>
            <w:tcW w:w="709"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560"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sz w:val="24"/>
                <w:lang w:bidi="zh-CN"/>
              </w:rPr>
              <w:t>类似业绩</w:t>
            </w:r>
          </w:p>
        </w:tc>
        <w:tc>
          <w:tcPr>
            <w:tcW w:w="6781" w:type="dxa"/>
            <w:noWrap w:val="0"/>
            <w:vAlign w:val="center"/>
          </w:tcPr>
          <w:p>
            <w:pPr>
              <w:widowControl/>
              <w:spacing w:line="360" w:lineRule="auto"/>
              <w:rPr>
                <w:rFonts w:hint="eastAsia" w:ascii="仿宋" w:hAnsi="仿宋" w:eastAsia="仿宋" w:cs="仿宋"/>
                <w:sz w:val="24"/>
                <w:szCs w:val="24"/>
              </w:rPr>
            </w:pPr>
            <w:r>
              <w:rPr>
                <w:rFonts w:hint="eastAsia" w:ascii="仿宋" w:hAnsi="仿宋" w:eastAsia="仿宋" w:cs="仿宋"/>
                <w:sz w:val="24"/>
                <w:szCs w:val="24"/>
              </w:rPr>
              <w:t>投标供应商自2019年1月1日以来承接过类似项目业绩，每个得</w:t>
            </w:r>
            <w:r>
              <w:rPr>
                <w:rFonts w:hint="eastAsia" w:ascii="仿宋" w:hAnsi="仿宋" w:eastAsia="仿宋" w:cs="仿宋"/>
                <w:sz w:val="24"/>
                <w:szCs w:val="24"/>
                <w:lang w:val="en-US" w:eastAsia="zh-CN"/>
              </w:rPr>
              <w:t>1</w:t>
            </w:r>
            <w:r>
              <w:rPr>
                <w:rFonts w:hint="eastAsia" w:ascii="仿宋" w:hAnsi="仿宋" w:eastAsia="仿宋" w:cs="仿宋"/>
                <w:sz w:val="24"/>
                <w:szCs w:val="24"/>
              </w:rPr>
              <w:t>分，没有的不得分，最多得</w:t>
            </w:r>
            <w:r>
              <w:rPr>
                <w:rFonts w:hint="eastAsia" w:ascii="仿宋" w:hAnsi="仿宋" w:eastAsia="仿宋" w:cs="仿宋"/>
                <w:sz w:val="24"/>
                <w:szCs w:val="24"/>
                <w:lang w:val="en-US" w:eastAsia="zh-CN"/>
              </w:rPr>
              <w:t>1</w:t>
            </w:r>
            <w:r>
              <w:rPr>
                <w:rFonts w:hint="eastAsia" w:ascii="仿宋" w:hAnsi="仿宋" w:eastAsia="仿宋" w:cs="仿宋"/>
                <w:sz w:val="24"/>
                <w:szCs w:val="24"/>
              </w:rPr>
              <w:t>分【证明材料为合同，时间以合同签订时间为准，投标时提供合同复印件加盖公章，未提供证明材料的不得分】</w:t>
            </w:r>
          </w:p>
        </w:tc>
        <w:tc>
          <w:tcPr>
            <w:tcW w:w="731" w:type="dxa"/>
            <w:tcBorders>
              <w:bottom w:val="single" w:color="auto" w:sz="4" w:space="0"/>
            </w:tcBorders>
            <w:noWrap w:val="0"/>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2" w:hRule="atLeast"/>
          <w:jc w:val="center"/>
        </w:trPr>
        <w:tc>
          <w:tcPr>
            <w:tcW w:w="709" w:type="dxa"/>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560" w:type="dxa"/>
            <w:noWrap w:val="0"/>
            <w:vAlign w:val="center"/>
          </w:tcPr>
          <w:p>
            <w:pPr>
              <w:widowControl/>
              <w:spacing w:line="360" w:lineRule="auto"/>
              <w:jc w:val="center"/>
              <w:rPr>
                <w:rFonts w:hint="eastAsia" w:ascii="仿宋" w:hAnsi="仿宋" w:eastAsia="仿宋" w:cs="仿宋"/>
                <w:sz w:val="24"/>
                <w:lang w:bidi="zh-CN"/>
              </w:rPr>
            </w:pPr>
            <w:r>
              <w:rPr>
                <w:rFonts w:hint="eastAsia" w:ascii="仿宋" w:hAnsi="仿宋" w:eastAsia="仿宋" w:cs="仿宋"/>
                <w:sz w:val="24"/>
              </w:rPr>
              <w:t>项目调研</w:t>
            </w:r>
          </w:p>
        </w:tc>
        <w:tc>
          <w:tcPr>
            <w:tcW w:w="6781" w:type="dxa"/>
            <w:noWrap w:val="0"/>
            <w:vAlign w:val="center"/>
          </w:tcPr>
          <w:p>
            <w:pPr>
              <w:widowControl/>
              <w:numPr>
                <w:ilvl w:val="0"/>
                <w:numId w:val="15"/>
              </w:numPr>
              <w:autoSpaceDE/>
              <w:autoSpaceDN/>
              <w:adjustRightInd/>
              <w:spacing w:line="360" w:lineRule="auto"/>
              <w:rPr>
                <w:rFonts w:hint="eastAsia" w:ascii="仿宋" w:hAnsi="仿宋" w:eastAsia="仿宋" w:cs="仿宋"/>
                <w:sz w:val="24"/>
              </w:rPr>
            </w:pPr>
            <w:r>
              <w:rPr>
                <w:rFonts w:hint="eastAsia" w:ascii="仿宋" w:hAnsi="仿宋" w:eastAsia="仿宋" w:cs="仿宋"/>
                <w:sz w:val="24"/>
              </w:rPr>
              <w:t>能积极参加本项目现场调研，</w:t>
            </w:r>
            <w:r>
              <w:rPr>
                <w:rFonts w:hint="eastAsia" w:ascii="仿宋" w:hAnsi="仿宋" w:eastAsia="仿宋" w:cs="仿宋"/>
                <w:sz w:val="24"/>
                <w:lang w:eastAsia="zh-CN"/>
              </w:rPr>
              <w:t>调研本项目需求目标</w:t>
            </w:r>
            <w:r>
              <w:rPr>
                <w:rFonts w:hint="eastAsia" w:ascii="仿宋" w:hAnsi="仿宋" w:eastAsia="仿宋" w:cs="仿宋"/>
                <w:sz w:val="24"/>
              </w:rPr>
              <w:t>，并能提供</w:t>
            </w:r>
            <w:r>
              <w:rPr>
                <w:rFonts w:hint="eastAsia" w:ascii="仿宋" w:hAnsi="仿宋" w:eastAsia="仿宋" w:cs="仿宋"/>
                <w:sz w:val="24"/>
                <w:lang w:eastAsia="zh-CN"/>
              </w:rPr>
              <w:t>调研报告</w:t>
            </w:r>
            <w:r>
              <w:rPr>
                <w:rFonts w:hint="eastAsia" w:ascii="仿宋" w:hAnsi="仿宋" w:eastAsia="仿宋" w:cs="仿宋"/>
                <w:sz w:val="24"/>
              </w:rPr>
              <w:t>的得</w:t>
            </w:r>
            <w:r>
              <w:rPr>
                <w:rFonts w:hint="eastAsia" w:ascii="仿宋" w:hAnsi="仿宋" w:eastAsia="仿宋" w:cs="仿宋"/>
                <w:sz w:val="24"/>
                <w:lang w:val="en-US" w:eastAsia="zh-CN"/>
              </w:rPr>
              <w:t>3</w:t>
            </w:r>
            <w:r>
              <w:rPr>
                <w:rFonts w:hint="eastAsia" w:ascii="仿宋" w:hAnsi="仿宋" w:eastAsia="仿宋" w:cs="仿宋"/>
                <w:sz w:val="24"/>
              </w:rPr>
              <w:t>分；</w:t>
            </w:r>
          </w:p>
          <w:p>
            <w:pPr>
              <w:widowControl/>
              <w:numPr>
                <w:ilvl w:val="0"/>
                <w:numId w:val="15"/>
              </w:numPr>
              <w:spacing w:line="360" w:lineRule="auto"/>
              <w:rPr>
                <w:rFonts w:hint="eastAsia" w:ascii="仿宋" w:hAnsi="仿宋" w:eastAsia="仿宋" w:cs="仿宋"/>
                <w:sz w:val="24"/>
              </w:rPr>
            </w:pPr>
            <w:r>
              <w:rPr>
                <w:rFonts w:hint="eastAsia" w:ascii="仿宋" w:hAnsi="仿宋" w:eastAsia="仿宋" w:cs="仿宋"/>
                <w:sz w:val="24"/>
              </w:rPr>
              <w:t>根据现场调研，能准确理解采购人服务要求、服务范围、人员要求及待遇情况，并提供详细调研报告，根据调研报告</w:t>
            </w:r>
            <w:r>
              <w:rPr>
                <w:rFonts w:hint="eastAsia" w:ascii="仿宋" w:hAnsi="仿宋" w:eastAsia="仿宋" w:cs="仿宋"/>
                <w:sz w:val="24"/>
                <w:lang w:eastAsia="zh-CN"/>
              </w:rPr>
              <w:t>合理性（</w:t>
            </w:r>
            <w:r>
              <w:rPr>
                <w:rFonts w:hint="eastAsia" w:ascii="仿宋" w:hAnsi="仿宋" w:eastAsia="仿宋" w:cs="仿宋"/>
                <w:sz w:val="24"/>
                <w:lang w:val="en-US" w:eastAsia="zh-CN"/>
              </w:rPr>
              <w:t>0-1.5分）和可行性（1.5分），进行</w:t>
            </w:r>
            <w:r>
              <w:rPr>
                <w:rFonts w:hint="eastAsia" w:ascii="仿宋" w:hAnsi="仿宋" w:eastAsia="仿宋" w:cs="仿宋"/>
                <w:sz w:val="24"/>
              </w:rPr>
              <w:t>打分。</w:t>
            </w:r>
          </w:p>
        </w:tc>
        <w:tc>
          <w:tcPr>
            <w:tcW w:w="731" w:type="dxa"/>
            <w:tcBorders>
              <w:bottom w:val="single" w:color="auto" w:sz="4" w:space="0"/>
            </w:tcBorders>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709" w:type="dxa"/>
            <w:vMerge w:val="restart"/>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560" w:type="dxa"/>
            <w:vMerge w:val="restart"/>
            <w:noWrap w:val="0"/>
            <w:vAlign w:val="center"/>
          </w:tcPr>
          <w:p>
            <w:pPr>
              <w:widowControl/>
              <w:spacing w:line="360" w:lineRule="auto"/>
              <w:jc w:val="center"/>
              <w:rPr>
                <w:rFonts w:hint="eastAsia" w:ascii="仿宋" w:hAnsi="仿宋" w:eastAsia="仿宋" w:cs="仿宋"/>
                <w:sz w:val="24"/>
                <w:lang w:bidi="zh-CN"/>
              </w:rPr>
            </w:pPr>
            <w:r>
              <w:rPr>
                <w:rFonts w:hint="eastAsia" w:ascii="仿宋" w:hAnsi="仿宋" w:eastAsia="仿宋" w:cs="仿宋"/>
                <w:kern w:val="0"/>
                <w:sz w:val="24"/>
                <w:szCs w:val="24"/>
              </w:rPr>
              <w:t>对现状的</w:t>
            </w:r>
            <w:r>
              <w:rPr>
                <w:rFonts w:hint="eastAsia" w:ascii="仿宋" w:hAnsi="仿宋" w:eastAsia="仿宋" w:cs="仿宋"/>
                <w:kern w:val="0"/>
                <w:sz w:val="24"/>
                <w:szCs w:val="24"/>
                <w:lang w:val="en-US" w:eastAsia="zh-CN"/>
              </w:rPr>
              <w:t>分</w:t>
            </w:r>
            <w:r>
              <w:rPr>
                <w:rFonts w:hint="eastAsia" w:ascii="仿宋" w:hAnsi="仿宋" w:eastAsia="仿宋" w:cs="仿宋"/>
                <w:kern w:val="0"/>
                <w:sz w:val="24"/>
                <w:szCs w:val="24"/>
              </w:rPr>
              <w:t>析以及重点难点的解决</w:t>
            </w:r>
            <w:r>
              <w:rPr>
                <w:rFonts w:hint="eastAsia" w:ascii="仿宋" w:hAnsi="仿宋" w:eastAsia="仿宋" w:cs="仿宋"/>
                <w:kern w:val="0"/>
                <w:sz w:val="24"/>
                <w:szCs w:val="24"/>
                <w:lang w:val="en-US" w:eastAsia="zh-CN"/>
              </w:rPr>
              <w:t>措施</w:t>
            </w:r>
            <w:r>
              <w:rPr>
                <w:rFonts w:hint="eastAsia" w:ascii="仿宋" w:hAnsi="仿宋" w:eastAsia="仿宋" w:cs="仿宋"/>
                <w:kern w:val="0"/>
                <w:sz w:val="24"/>
                <w:szCs w:val="24"/>
              </w:rPr>
              <w:t>方案</w:t>
            </w:r>
          </w:p>
        </w:tc>
        <w:tc>
          <w:tcPr>
            <w:tcW w:w="6781" w:type="dxa"/>
            <w:tcBorders>
              <w:bottom w:val="single" w:color="auto" w:sz="4" w:space="0"/>
            </w:tcBorders>
            <w:noWrap w:val="0"/>
            <w:vAlign w:val="center"/>
          </w:tcPr>
          <w:p>
            <w:pPr>
              <w:widowControl/>
              <w:numPr>
                <w:ilvl w:val="0"/>
                <w:numId w:val="0"/>
              </w:numPr>
              <w:snapToGrid/>
              <w:spacing w:line="360" w:lineRule="auto"/>
              <w:ind w:firstLine="0" w:firstLineChars="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对项目现状、存在的问题和难点、要点等问题进行调查</w:t>
            </w:r>
            <w:r>
              <w:rPr>
                <w:rFonts w:hint="eastAsia" w:ascii="仿宋" w:hAnsi="仿宋" w:eastAsia="仿宋" w:cs="仿宋"/>
                <w:kern w:val="0"/>
                <w:sz w:val="24"/>
                <w:szCs w:val="24"/>
                <w:lang w:val="en-US" w:eastAsia="zh-CN"/>
              </w:rPr>
              <w:t>分</w:t>
            </w:r>
            <w:r>
              <w:rPr>
                <w:rFonts w:hint="eastAsia" w:ascii="仿宋" w:hAnsi="仿宋" w:eastAsia="仿宋" w:cs="仿宋"/>
                <w:kern w:val="0"/>
                <w:sz w:val="24"/>
                <w:szCs w:val="24"/>
              </w:rPr>
              <w:t>析</w:t>
            </w:r>
            <w:r>
              <w:rPr>
                <w:rFonts w:hint="eastAsia" w:ascii="仿宋" w:hAnsi="仿宋" w:eastAsia="仿宋" w:cs="仿宋"/>
                <w:kern w:val="0"/>
                <w:sz w:val="24"/>
                <w:szCs w:val="24"/>
                <w:lang w:eastAsia="zh-CN"/>
              </w:rPr>
              <w:t>；</w:t>
            </w:r>
          </w:p>
          <w:p>
            <w:pPr>
              <w:widowControl/>
              <w:numPr>
                <w:ilvl w:val="0"/>
                <w:numId w:val="0"/>
              </w:numPr>
              <w:snapToGrid/>
              <w:spacing w:line="360" w:lineRule="auto"/>
              <w:ind w:firstLine="240" w:firstLineChars="100"/>
              <w:rPr>
                <w:rFonts w:hint="eastAsia" w:ascii="仿宋" w:hAnsi="仿宋" w:eastAsia="仿宋" w:cs="仿宋"/>
                <w:sz w:val="24"/>
              </w:rPr>
            </w:pPr>
            <w:r>
              <w:rPr>
                <w:rFonts w:hint="eastAsia" w:ascii="仿宋" w:hAnsi="仿宋" w:eastAsia="仿宋" w:cs="仿宋"/>
                <w:sz w:val="24"/>
                <w:szCs w:val="24"/>
                <w:lang w:val="en-US" w:eastAsia="zh-CN"/>
              </w:rPr>
              <w:t>投标人提供的现状分析调查内容全面、剖析思路清晰的得5分；现状分析调查内容较全面、剖析思路较清晰的得3分；现状分析调查内容不够全面、剖析不够清晰的得1分</w:t>
            </w:r>
            <w:r>
              <w:rPr>
                <w:rFonts w:hint="eastAsia" w:ascii="仿宋" w:hAnsi="仿宋" w:eastAsia="仿宋" w:cs="仿宋"/>
                <w:spacing w:val="-7"/>
                <w:sz w:val="24"/>
                <w:szCs w:val="24"/>
                <w:lang w:val="en-US" w:eastAsia="zh-CN"/>
              </w:rPr>
              <w:t>。</w:t>
            </w:r>
          </w:p>
        </w:tc>
        <w:tc>
          <w:tcPr>
            <w:tcW w:w="731" w:type="dxa"/>
            <w:tcBorders>
              <w:bottom w:val="single" w:color="auto" w:sz="4" w:space="0"/>
            </w:tcBorders>
            <w:noWrap w:val="0"/>
            <w:vAlign w:val="center"/>
          </w:tcPr>
          <w:p>
            <w:pPr>
              <w:widowControl/>
              <w:spacing w:line="360" w:lineRule="auto"/>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rPr>
            </w:pPr>
          </w:p>
        </w:tc>
        <w:tc>
          <w:tcPr>
            <w:tcW w:w="1560" w:type="dxa"/>
            <w:vMerge w:val="continue"/>
            <w:noWrap w:val="0"/>
            <w:vAlign w:val="center"/>
          </w:tcPr>
          <w:p>
            <w:pPr>
              <w:widowControl/>
              <w:spacing w:line="360" w:lineRule="auto"/>
              <w:jc w:val="center"/>
              <w:rPr>
                <w:rFonts w:hint="eastAsia" w:ascii="仿宋" w:hAnsi="仿宋" w:eastAsia="仿宋" w:cs="仿宋"/>
                <w:kern w:val="0"/>
                <w:sz w:val="24"/>
                <w:szCs w:val="24"/>
              </w:rPr>
            </w:pPr>
          </w:p>
        </w:tc>
        <w:tc>
          <w:tcPr>
            <w:tcW w:w="6781" w:type="dxa"/>
            <w:tcBorders>
              <w:bottom w:val="single" w:color="auto" w:sz="4" w:space="0"/>
            </w:tcBorders>
            <w:noWrap w:val="0"/>
            <w:vAlign w:val="center"/>
          </w:tcPr>
          <w:p>
            <w:pPr>
              <w:widowControl/>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rPr>
              <w:t>针对本项目提出克服问题、难点和要点的解决措施</w:t>
            </w:r>
            <w:r>
              <w:rPr>
                <w:rFonts w:hint="eastAsia" w:ascii="仿宋" w:hAnsi="仿宋" w:eastAsia="仿宋" w:cs="仿宋"/>
                <w:sz w:val="24"/>
                <w:lang w:val="en-US" w:eastAsia="zh-CN"/>
              </w:rPr>
              <w:t>方案</w:t>
            </w:r>
            <w:r>
              <w:rPr>
                <w:rFonts w:hint="eastAsia" w:ascii="仿宋" w:hAnsi="仿宋" w:eastAsia="仿宋" w:cs="仿宋"/>
                <w:sz w:val="24"/>
              </w:rPr>
              <w:t>。</w:t>
            </w:r>
          </w:p>
          <w:p>
            <w:pPr>
              <w:widowControl/>
              <w:spacing w:line="360" w:lineRule="auto"/>
              <w:rPr>
                <w:rFonts w:hint="eastAsia" w:ascii="仿宋" w:hAnsi="仿宋" w:eastAsia="仿宋" w:cs="仿宋"/>
                <w:sz w:val="24"/>
              </w:rPr>
            </w:pPr>
            <w:r>
              <w:rPr>
                <w:rFonts w:hint="eastAsia" w:ascii="仿宋" w:hAnsi="仿宋" w:eastAsia="仿宋" w:cs="仿宋"/>
                <w:sz w:val="24"/>
                <w:szCs w:val="24"/>
                <w:lang w:val="en-US" w:eastAsia="zh-CN"/>
              </w:rPr>
              <w:t>投标人提供的解决措施</w:t>
            </w:r>
            <w:r>
              <w:rPr>
                <w:rFonts w:hint="eastAsia" w:ascii="仿宋" w:hAnsi="仿宋" w:eastAsia="仿宋" w:cs="仿宋"/>
                <w:sz w:val="24"/>
                <w:lang w:val="en-US" w:eastAsia="zh-CN"/>
              </w:rPr>
              <w:t>方案</w:t>
            </w:r>
            <w:r>
              <w:rPr>
                <w:rFonts w:hint="eastAsia" w:ascii="仿宋" w:hAnsi="仿宋" w:eastAsia="仿宋" w:cs="仿宋"/>
                <w:sz w:val="24"/>
                <w:szCs w:val="24"/>
                <w:lang w:val="en-US" w:eastAsia="zh-CN"/>
              </w:rPr>
              <w:t>内容全面、思路清晰的得5分；解决措施</w:t>
            </w:r>
            <w:r>
              <w:rPr>
                <w:rFonts w:hint="eastAsia" w:ascii="仿宋" w:hAnsi="仿宋" w:eastAsia="仿宋" w:cs="仿宋"/>
                <w:sz w:val="24"/>
                <w:lang w:val="en-US" w:eastAsia="zh-CN"/>
              </w:rPr>
              <w:t>方案</w:t>
            </w:r>
            <w:r>
              <w:rPr>
                <w:rFonts w:hint="eastAsia" w:ascii="仿宋" w:hAnsi="仿宋" w:eastAsia="仿宋" w:cs="仿宋"/>
                <w:sz w:val="24"/>
                <w:szCs w:val="24"/>
                <w:lang w:val="en-US" w:eastAsia="zh-CN"/>
              </w:rPr>
              <w:t>内容较全面、思路较清晰的得3分；解决措施</w:t>
            </w:r>
            <w:r>
              <w:rPr>
                <w:rFonts w:hint="eastAsia" w:ascii="仿宋" w:hAnsi="仿宋" w:eastAsia="仿宋" w:cs="仿宋"/>
                <w:sz w:val="24"/>
                <w:lang w:val="en-US" w:eastAsia="zh-CN"/>
              </w:rPr>
              <w:t>方案</w:t>
            </w:r>
            <w:r>
              <w:rPr>
                <w:rFonts w:hint="eastAsia" w:ascii="仿宋" w:hAnsi="仿宋" w:eastAsia="仿宋" w:cs="仿宋"/>
                <w:sz w:val="24"/>
                <w:szCs w:val="24"/>
                <w:lang w:val="en-US" w:eastAsia="zh-CN"/>
              </w:rPr>
              <w:t>内容不够全面、不够清晰的得1分</w:t>
            </w:r>
            <w:r>
              <w:rPr>
                <w:rFonts w:hint="eastAsia" w:ascii="仿宋" w:hAnsi="仿宋" w:eastAsia="仿宋" w:cs="仿宋"/>
                <w:spacing w:val="-7"/>
                <w:sz w:val="24"/>
                <w:szCs w:val="24"/>
                <w:lang w:val="en-US" w:eastAsia="zh-CN"/>
              </w:rPr>
              <w:t>。</w:t>
            </w:r>
          </w:p>
        </w:tc>
        <w:tc>
          <w:tcPr>
            <w:tcW w:w="731" w:type="dxa"/>
            <w:tcBorders>
              <w:bottom w:val="single" w:color="auto" w:sz="4" w:space="0"/>
            </w:tcBorders>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55" w:hRule="atLeast"/>
          <w:jc w:val="center"/>
        </w:trPr>
        <w:tc>
          <w:tcPr>
            <w:tcW w:w="709" w:type="dxa"/>
            <w:noWrap w:val="0"/>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560" w:type="dxa"/>
            <w:noWrap w:val="0"/>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项目实施方案</w:t>
            </w:r>
          </w:p>
        </w:tc>
        <w:tc>
          <w:tcPr>
            <w:tcW w:w="6781" w:type="dxa"/>
            <w:noWrap w:val="0"/>
            <w:vAlign w:val="center"/>
          </w:tcPr>
          <w:p>
            <w:pPr>
              <w:widowControl/>
              <w:numPr>
                <w:ilvl w:val="0"/>
                <w:numId w:val="0"/>
              </w:numPr>
              <w:spacing w:line="360" w:lineRule="auto"/>
              <w:rPr>
                <w:rFonts w:hint="eastAsia" w:ascii="仿宋" w:hAnsi="仿宋" w:eastAsia="仿宋" w:cs="仿宋"/>
                <w:sz w:val="24"/>
              </w:rPr>
            </w:pPr>
            <w:r>
              <w:rPr>
                <w:rFonts w:hint="eastAsia" w:ascii="仿宋" w:hAnsi="仿宋" w:eastAsia="仿宋" w:cs="仿宋"/>
                <w:sz w:val="24"/>
              </w:rPr>
              <w:t>根据投标人提供的实施方案进行综合评比。</w:t>
            </w:r>
          </w:p>
          <w:p>
            <w:pPr>
              <w:widowControl/>
              <w:numPr>
                <w:ilvl w:val="-1"/>
                <w:numId w:val="0"/>
              </w:num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w:t>
            </w:r>
            <w:bookmarkStart w:id="400" w:name="_Hlk38125930"/>
            <w:r>
              <w:rPr>
                <w:rFonts w:hint="eastAsia" w:ascii="仿宋" w:hAnsi="仿宋" w:eastAsia="仿宋" w:cs="仿宋"/>
                <w:sz w:val="24"/>
              </w:rPr>
              <w:t>工作流程说明</w:t>
            </w:r>
            <w:bookmarkEnd w:id="400"/>
            <w:r>
              <w:rPr>
                <w:rFonts w:hint="eastAsia" w:ascii="仿宋" w:hAnsi="仿宋" w:eastAsia="仿宋" w:cs="仿宋"/>
                <w:sz w:val="24"/>
              </w:rPr>
              <w:t>（附流程图</w:t>
            </w:r>
            <w:r>
              <w:rPr>
                <w:rFonts w:hint="eastAsia" w:ascii="仿宋" w:hAnsi="仿宋" w:eastAsia="仿宋" w:cs="仿宋"/>
                <w:sz w:val="24"/>
                <w:lang w:val="en-US" w:eastAsia="zh-CN"/>
              </w:rPr>
              <w:t>)：</w:t>
            </w:r>
          </w:p>
          <w:p>
            <w:pPr>
              <w:widowControl/>
              <w:numPr>
                <w:ilvl w:val="0"/>
                <w:numId w:val="0"/>
              </w:numPr>
              <w:spacing w:line="360" w:lineRule="auto"/>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lang w:val="en-US" w:eastAsia="zh-CN"/>
              </w:rPr>
              <w:t>与需求响应程度和具体辅助处理事项响应程度进行打分，</w:t>
            </w:r>
            <w:r>
              <w:rPr>
                <w:rFonts w:hint="eastAsia" w:ascii="仿宋" w:hAnsi="仿宋" w:eastAsia="仿宋" w:cs="仿宋"/>
                <w:sz w:val="24"/>
              </w:rPr>
              <w:t>附流程图</w:t>
            </w:r>
            <w:r>
              <w:rPr>
                <w:rFonts w:hint="eastAsia" w:ascii="仿宋" w:hAnsi="仿宋" w:eastAsia="仿宋" w:cs="仿宋"/>
                <w:sz w:val="24"/>
                <w:lang w:val="en-US" w:eastAsia="zh-CN"/>
              </w:rPr>
              <w:t>完全吻合得3分，</w:t>
            </w:r>
            <w:r>
              <w:rPr>
                <w:rFonts w:hint="eastAsia" w:ascii="仿宋" w:hAnsi="仿宋" w:eastAsia="仿宋" w:cs="仿宋"/>
                <w:sz w:val="24"/>
              </w:rPr>
              <w:t>附流程图</w:t>
            </w:r>
            <w:r>
              <w:rPr>
                <w:rFonts w:hint="eastAsia" w:ascii="仿宋" w:hAnsi="仿宋" w:eastAsia="仿宋" w:cs="仿宋"/>
                <w:sz w:val="24"/>
                <w:lang w:val="en-US" w:eastAsia="zh-CN"/>
              </w:rPr>
              <w:t>一般吻合得1分，不吻合不得分；</w:t>
            </w:r>
          </w:p>
          <w:p>
            <w:pPr>
              <w:widowControl/>
              <w:numPr>
                <w:ilvl w:val="-1"/>
                <w:numId w:val="0"/>
              </w:numPr>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bookmarkStart w:id="401" w:name="_Hlk38197946"/>
            <w:r>
              <w:rPr>
                <w:rFonts w:hint="eastAsia" w:ascii="仿宋" w:hAnsi="仿宋" w:eastAsia="仿宋" w:cs="仿宋"/>
                <w:sz w:val="24"/>
              </w:rPr>
              <w:t>服务质量保证措施</w:t>
            </w:r>
            <w:bookmarkEnd w:id="401"/>
            <w:r>
              <w:rPr>
                <w:rFonts w:hint="eastAsia" w:ascii="仿宋" w:hAnsi="仿宋" w:eastAsia="仿宋" w:cs="仿宋"/>
                <w:sz w:val="24"/>
                <w:lang w:eastAsia="zh-CN"/>
              </w:rPr>
              <w:t>：</w:t>
            </w:r>
          </w:p>
          <w:p>
            <w:pPr>
              <w:widowControl/>
              <w:numPr>
                <w:ilvl w:val="-1"/>
                <w:numId w:val="0"/>
              </w:numPr>
              <w:spacing w:line="360" w:lineRule="auto"/>
              <w:rPr>
                <w:rFonts w:hint="eastAsia" w:ascii="仿宋" w:hAnsi="仿宋" w:eastAsia="仿宋" w:cs="仿宋"/>
                <w:sz w:val="24"/>
              </w:rPr>
            </w:pPr>
            <w:r>
              <w:rPr>
                <w:rFonts w:hint="eastAsia" w:ascii="仿宋" w:hAnsi="仿宋" w:eastAsia="仿宋" w:cs="仿宋"/>
                <w:sz w:val="24"/>
                <w:lang w:eastAsia="zh-CN"/>
              </w:rPr>
              <w:t>提供的措施</w:t>
            </w:r>
            <w:r>
              <w:rPr>
                <w:rFonts w:hint="eastAsia" w:ascii="仿宋" w:hAnsi="仿宋" w:eastAsia="仿宋" w:cs="仿宋"/>
                <w:sz w:val="24"/>
              </w:rPr>
              <w:t>科学、可靠</w:t>
            </w:r>
            <w:r>
              <w:rPr>
                <w:rFonts w:hint="eastAsia" w:ascii="仿宋" w:hAnsi="仿宋" w:eastAsia="仿宋" w:cs="仿宋"/>
                <w:sz w:val="24"/>
                <w:lang w:eastAsia="zh-CN"/>
              </w:rPr>
              <w:t>的得</w:t>
            </w:r>
            <w:r>
              <w:rPr>
                <w:rFonts w:hint="eastAsia" w:ascii="仿宋" w:hAnsi="仿宋" w:eastAsia="仿宋" w:cs="仿宋"/>
                <w:sz w:val="24"/>
                <w:lang w:val="en-US" w:eastAsia="zh-CN"/>
              </w:rPr>
              <w:t>3分</w:t>
            </w:r>
            <w:r>
              <w:rPr>
                <w:rFonts w:hint="eastAsia" w:ascii="仿宋" w:hAnsi="仿宋" w:eastAsia="仿宋" w:cs="仿宋"/>
                <w:sz w:val="24"/>
                <w:lang w:eastAsia="zh-CN"/>
              </w:rPr>
              <w:t>，提供的措施较</w:t>
            </w:r>
            <w:r>
              <w:rPr>
                <w:rFonts w:hint="eastAsia" w:ascii="仿宋" w:hAnsi="仿宋" w:eastAsia="仿宋" w:cs="仿宋"/>
                <w:sz w:val="24"/>
              </w:rPr>
              <w:t>科学、可靠</w:t>
            </w:r>
            <w:r>
              <w:rPr>
                <w:rFonts w:hint="eastAsia" w:ascii="仿宋" w:hAnsi="仿宋" w:eastAsia="仿宋" w:cs="仿宋"/>
                <w:sz w:val="24"/>
                <w:lang w:eastAsia="zh-CN"/>
              </w:rPr>
              <w:t>的得</w:t>
            </w:r>
            <w:r>
              <w:rPr>
                <w:rFonts w:hint="eastAsia" w:ascii="仿宋" w:hAnsi="仿宋" w:eastAsia="仿宋" w:cs="仿宋"/>
                <w:sz w:val="24"/>
                <w:lang w:val="en-US" w:eastAsia="zh-CN"/>
              </w:rPr>
              <w:t>2分</w:t>
            </w:r>
            <w:r>
              <w:rPr>
                <w:rFonts w:hint="eastAsia" w:ascii="仿宋" w:hAnsi="仿宋" w:eastAsia="仿宋" w:cs="仿宋"/>
                <w:sz w:val="24"/>
                <w:lang w:eastAsia="zh-CN"/>
              </w:rPr>
              <w:t>，提供的方案不足，欠缺的得</w:t>
            </w:r>
            <w:r>
              <w:rPr>
                <w:rFonts w:hint="eastAsia" w:ascii="仿宋" w:hAnsi="仿宋" w:eastAsia="仿宋" w:cs="仿宋"/>
                <w:sz w:val="24"/>
                <w:lang w:val="en-US" w:eastAsia="zh-CN"/>
              </w:rPr>
              <w:t>1分</w:t>
            </w:r>
            <w:r>
              <w:rPr>
                <w:rFonts w:hint="eastAsia" w:ascii="仿宋" w:hAnsi="仿宋" w:eastAsia="仿宋" w:cs="仿宋"/>
                <w:sz w:val="24"/>
              </w:rPr>
              <w:t>。</w:t>
            </w:r>
          </w:p>
          <w:p>
            <w:pPr>
              <w:widowControl/>
              <w:numPr>
                <w:ilvl w:val="0"/>
                <w:numId w:val="0"/>
              </w:numPr>
              <w:spacing w:line="360" w:lineRule="auto"/>
              <w:rPr>
                <w:rFonts w:hint="eastAsia" w:ascii="仿宋" w:hAnsi="仿宋" w:eastAsia="仿宋" w:cs="仿宋"/>
                <w:sz w:val="24"/>
                <w:lang w:eastAsia="zh-CN"/>
              </w:rPr>
            </w:pPr>
            <w:r>
              <w:rPr>
                <w:rFonts w:hint="eastAsia" w:ascii="仿宋" w:hAnsi="仿宋" w:eastAsia="仿宋" w:cs="仿宋"/>
                <w:sz w:val="24"/>
              </w:rPr>
              <w:t>（3）</w:t>
            </w:r>
            <w:bookmarkStart w:id="402" w:name="_Hlk38205910"/>
            <w:r>
              <w:rPr>
                <w:rFonts w:hint="eastAsia" w:ascii="仿宋" w:hAnsi="仿宋" w:eastAsia="仿宋" w:cs="仿宋"/>
                <w:sz w:val="24"/>
              </w:rPr>
              <w:t>工作计划安排</w:t>
            </w:r>
            <w:bookmarkEnd w:id="402"/>
            <w:r>
              <w:rPr>
                <w:rFonts w:hint="eastAsia" w:ascii="仿宋" w:hAnsi="仿宋" w:eastAsia="仿宋" w:cs="仿宋"/>
                <w:sz w:val="24"/>
                <w:lang w:eastAsia="zh-CN"/>
              </w:rPr>
              <w:t>：</w:t>
            </w:r>
          </w:p>
          <w:p>
            <w:pPr>
              <w:widowControl/>
              <w:numPr>
                <w:ilvl w:val="0"/>
                <w:numId w:val="0"/>
              </w:num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lang w:val="en-US" w:eastAsia="zh-CN"/>
              </w:rPr>
              <w:t>根据</w:t>
            </w:r>
            <w:r>
              <w:rPr>
                <w:rFonts w:hint="eastAsia" w:ascii="仿宋" w:hAnsi="仿宋" w:eastAsia="仿宋" w:cs="仿宋"/>
                <w:sz w:val="24"/>
                <w:lang w:val="en-US" w:eastAsia="zh-CN"/>
              </w:rPr>
              <w:t>投标人对本项目的保证进度的工作实施时间计划安排进行全方位的描述，项目时间节点控制充分满足项目具体情况，并对项目进度计划有详细合理的描述，根据投标人提供的项目计划安排方案</w:t>
            </w:r>
            <w:r>
              <w:rPr>
                <w:rFonts w:hint="eastAsia" w:ascii="仿宋" w:hAnsi="仿宋" w:eastAsia="仿宋" w:cs="仿宋"/>
                <w:sz w:val="24"/>
                <w:lang w:eastAsia="zh-CN"/>
              </w:rPr>
              <w:t>合理、清晰、全面的得</w:t>
            </w:r>
            <w:r>
              <w:rPr>
                <w:rFonts w:hint="eastAsia" w:ascii="仿宋" w:hAnsi="仿宋" w:eastAsia="仿宋" w:cs="仿宋"/>
                <w:sz w:val="24"/>
                <w:lang w:val="en-US" w:eastAsia="zh-CN"/>
              </w:rPr>
              <w:t>3分，</w:t>
            </w:r>
            <w:r>
              <w:rPr>
                <w:rFonts w:hint="eastAsia" w:ascii="仿宋" w:hAnsi="仿宋" w:eastAsia="仿宋" w:cs="仿宋"/>
                <w:sz w:val="24"/>
                <w:lang w:eastAsia="zh-CN"/>
              </w:rPr>
              <w:t>较合理、清晰、全面的得</w:t>
            </w:r>
            <w:r>
              <w:rPr>
                <w:rFonts w:hint="eastAsia" w:ascii="仿宋" w:hAnsi="仿宋" w:eastAsia="仿宋" w:cs="仿宋"/>
                <w:sz w:val="24"/>
                <w:lang w:val="en-US" w:eastAsia="zh-CN"/>
              </w:rPr>
              <w:t>2分，</w:t>
            </w:r>
            <w:r>
              <w:rPr>
                <w:rFonts w:hint="eastAsia" w:ascii="仿宋" w:hAnsi="仿宋" w:eastAsia="仿宋" w:cs="仿宋"/>
                <w:sz w:val="24"/>
                <w:lang w:eastAsia="zh-CN"/>
              </w:rPr>
              <w:t>不够全面、清晰的得</w:t>
            </w:r>
            <w:r>
              <w:rPr>
                <w:rFonts w:hint="eastAsia" w:ascii="仿宋" w:hAnsi="仿宋" w:eastAsia="仿宋" w:cs="仿宋"/>
                <w:sz w:val="24"/>
                <w:lang w:val="en-US" w:eastAsia="zh-CN"/>
              </w:rPr>
              <w:t>1分</w:t>
            </w:r>
            <w:r>
              <w:rPr>
                <w:rFonts w:hint="eastAsia" w:ascii="仿宋" w:hAnsi="仿宋" w:eastAsia="仿宋" w:cs="仿宋"/>
                <w:sz w:val="24"/>
              </w:rPr>
              <w:t>。</w:t>
            </w:r>
          </w:p>
          <w:p>
            <w:pPr>
              <w:widowControl/>
              <w:numPr>
                <w:ilvl w:val="-1"/>
                <w:numId w:val="0"/>
              </w:numPr>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rPr>
              <w:t>应急突发事情的响应及处理方案</w:t>
            </w:r>
            <w:r>
              <w:rPr>
                <w:rFonts w:hint="eastAsia" w:ascii="仿宋" w:hAnsi="仿宋" w:eastAsia="仿宋" w:cs="仿宋"/>
                <w:sz w:val="24"/>
                <w:lang w:eastAsia="zh-CN"/>
              </w:rPr>
              <w:t>：</w:t>
            </w:r>
          </w:p>
          <w:p>
            <w:pPr>
              <w:widowControl/>
              <w:numPr>
                <w:ilvl w:val="-1"/>
                <w:numId w:val="0"/>
              </w:numPr>
              <w:spacing w:line="360" w:lineRule="auto"/>
              <w:rPr>
                <w:rFonts w:hint="eastAsia" w:ascii="仿宋" w:hAnsi="仿宋" w:eastAsia="仿宋" w:cs="仿宋"/>
                <w:sz w:val="24"/>
              </w:rPr>
            </w:pPr>
            <w:r>
              <w:rPr>
                <w:rFonts w:hint="eastAsia" w:ascii="仿宋" w:hAnsi="仿宋" w:eastAsia="仿宋" w:cs="仿宋"/>
                <w:sz w:val="24"/>
                <w:szCs w:val="24"/>
                <w:lang w:val="en-US" w:eastAsia="zh-CN"/>
              </w:rPr>
              <w:t>根据</w:t>
            </w:r>
            <w:r>
              <w:rPr>
                <w:rFonts w:hint="eastAsia" w:ascii="仿宋" w:hAnsi="仿宋" w:eastAsia="仿宋" w:cs="仿宋"/>
                <w:sz w:val="24"/>
                <w:lang w:eastAsia="zh-CN"/>
              </w:rPr>
              <w:t>提供</w:t>
            </w:r>
            <w:r>
              <w:rPr>
                <w:rFonts w:hint="eastAsia" w:ascii="仿宋" w:hAnsi="仿宋" w:eastAsia="仿宋" w:cs="仿宋"/>
                <w:sz w:val="24"/>
              </w:rPr>
              <w:t>突发事情的响应及处理</w:t>
            </w:r>
            <w:r>
              <w:rPr>
                <w:rFonts w:hint="eastAsia" w:ascii="仿宋" w:hAnsi="仿宋" w:eastAsia="仿宋" w:cs="仿宋"/>
                <w:sz w:val="24"/>
                <w:lang w:eastAsia="zh-CN"/>
              </w:rPr>
              <w:t>方案合理、清晰、全面的得</w:t>
            </w:r>
            <w:r>
              <w:rPr>
                <w:rFonts w:hint="eastAsia" w:ascii="仿宋" w:hAnsi="仿宋" w:eastAsia="仿宋" w:cs="仿宋"/>
                <w:sz w:val="24"/>
                <w:lang w:val="en-US" w:eastAsia="zh-CN"/>
              </w:rPr>
              <w:t>3分，</w:t>
            </w:r>
            <w:r>
              <w:rPr>
                <w:rFonts w:hint="eastAsia" w:ascii="仿宋" w:hAnsi="仿宋" w:eastAsia="仿宋" w:cs="仿宋"/>
                <w:sz w:val="24"/>
                <w:lang w:eastAsia="zh-CN"/>
              </w:rPr>
              <w:t>较合理、清晰、全面的得</w:t>
            </w:r>
            <w:r>
              <w:rPr>
                <w:rFonts w:hint="eastAsia" w:ascii="仿宋" w:hAnsi="仿宋" w:eastAsia="仿宋" w:cs="仿宋"/>
                <w:sz w:val="24"/>
                <w:lang w:val="en-US" w:eastAsia="zh-CN"/>
              </w:rPr>
              <w:t>2分，提供的方案不足，欠缺的得1分。</w:t>
            </w:r>
          </w:p>
          <w:p>
            <w:pPr>
              <w:widowControl/>
              <w:numPr>
                <w:ilvl w:val="-1"/>
                <w:numId w:val="0"/>
              </w:numPr>
              <w:spacing w:line="360" w:lineRule="auto"/>
              <w:rPr>
                <w:rFonts w:hint="eastAsia" w:ascii="仿宋" w:hAnsi="仿宋" w:eastAsia="仿宋" w:cs="仿宋"/>
                <w:sz w:val="24"/>
                <w:lang w:eastAsia="zh-CN"/>
              </w:rPr>
            </w:pPr>
            <w:r>
              <w:rPr>
                <w:rFonts w:hint="eastAsia" w:ascii="仿宋" w:hAnsi="仿宋" w:eastAsia="仿宋" w:cs="仿宋"/>
                <w:sz w:val="24"/>
                <w:lang w:val="en-US" w:eastAsia="zh-CN"/>
              </w:rPr>
              <w:t>(5)</w:t>
            </w:r>
            <w:r>
              <w:rPr>
                <w:rFonts w:hint="eastAsia" w:ascii="仿宋" w:hAnsi="仿宋" w:eastAsia="仿宋" w:cs="仿宋"/>
                <w:sz w:val="24"/>
              </w:rPr>
              <w:t>项目管理服务机构设置方案、运作流程、管理方式</w:t>
            </w:r>
            <w:r>
              <w:rPr>
                <w:rFonts w:hint="eastAsia" w:ascii="仿宋" w:hAnsi="仿宋" w:eastAsia="仿宋" w:cs="仿宋"/>
                <w:sz w:val="24"/>
                <w:lang w:eastAsia="zh-CN"/>
              </w:rPr>
              <w:t>：</w:t>
            </w:r>
          </w:p>
          <w:p>
            <w:pPr>
              <w:widowControl/>
              <w:numPr>
                <w:ilvl w:val="-1"/>
                <w:numId w:val="0"/>
              </w:numPr>
              <w:spacing w:line="360" w:lineRule="auto"/>
              <w:rPr>
                <w:rFonts w:hint="eastAsia" w:ascii="仿宋" w:hAnsi="仿宋" w:eastAsia="仿宋" w:cs="仿宋"/>
                <w:sz w:val="24"/>
              </w:rPr>
            </w:pPr>
            <w:r>
              <w:rPr>
                <w:rFonts w:hint="eastAsia" w:ascii="仿宋" w:hAnsi="仿宋" w:eastAsia="仿宋" w:cs="仿宋"/>
                <w:sz w:val="24"/>
                <w:szCs w:val="24"/>
                <w:lang w:val="en-US" w:eastAsia="zh-CN"/>
              </w:rPr>
              <w:t>根据投标人提供的方案内容全面、合理的得3分，内容较全面、一般合理的得2分，内容不够全面、不够合理的得1分</w:t>
            </w:r>
            <w:r>
              <w:rPr>
                <w:rFonts w:hint="eastAsia" w:ascii="仿宋" w:hAnsi="仿宋" w:eastAsia="仿宋" w:cs="仿宋"/>
                <w:spacing w:val="-7"/>
                <w:sz w:val="24"/>
                <w:szCs w:val="24"/>
                <w:lang w:val="en-US" w:eastAsia="zh-CN"/>
              </w:rPr>
              <w:t>。</w:t>
            </w:r>
          </w:p>
        </w:tc>
        <w:tc>
          <w:tcPr>
            <w:tcW w:w="731"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09" w:type="dxa"/>
            <w:vMerge w:val="restart"/>
            <w:noWrap w:val="0"/>
            <w:vAlign w:val="center"/>
          </w:tcPr>
          <w:p>
            <w:pPr>
              <w:widowControl/>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w:t>
            </w:r>
          </w:p>
        </w:tc>
        <w:tc>
          <w:tcPr>
            <w:tcW w:w="1560" w:type="dxa"/>
            <w:vMerge w:val="restart"/>
            <w:noWrap w:val="0"/>
            <w:vAlign w:val="center"/>
          </w:tcPr>
          <w:p>
            <w:pPr>
              <w:pStyle w:val="98"/>
              <w:widowControl/>
              <w:spacing w:before="0"/>
              <w:ind w:firstLine="0" w:firstLineChars="0"/>
              <w:jc w:val="center"/>
              <w:rPr>
                <w:rFonts w:hint="eastAsia" w:ascii="仿宋" w:hAnsi="仿宋" w:eastAsia="仿宋" w:cs="仿宋"/>
                <w:b w:val="0"/>
                <w:bCs w:val="0"/>
                <w:kern w:val="0"/>
                <w:szCs w:val="24"/>
                <w:highlight w:val="none"/>
              </w:rPr>
            </w:pPr>
            <w:r>
              <w:rPr>
                <w:rFonts w:hint="eastAsia" w:ascii="仿宋" w:hAnsi="仿宋" w:eastAsia="仿宋" w:cs="仿宋"/>
                <w:b w:val="0"/>
                <w:bCs w:val="0"/>
                <w:kern w:val="0"/>
                <w:szCs w:val="24"/>
                <w:highlight w:val="none"/>
              </w:rPr>
              <w:t>内部管理</w:t>
            </w:r>
          </w:p>
        </w:tc>
        <w:tc>
          <w:tcPr>
            <w:tcW w:w="6781" w:type="dxa"/>
            <w:noWrap w:val="0"/>
            <w:vAlign w:val="center"/>
          </w:tcPr>
          <w:p>
            <w:pPr>
              <w:pStyle w:val="98"/>
              <w:widowControl/>
              <w:spacing w:before="0"/>
              <w:ind w:firstLine="0" w:firstLineChars="0"/>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根据投标单位</w:t>
            </w:r>
            <w:r>
              <w:rPr>
                <w:rFonts w:hint="eastAsia" w:ascii="仿宋" w:hAnsi="仿宋" w:eastAsia="仿宋" w:cs="仿宋"/>
                <w:b w:val="0"/>
                <w:bCs w:val="0"/>
                <w:szCs w:val="24"/>
                <w:highlight w:val="none"/>
                <w:lang w:eastAsia="zh-CN"/>
              </w:rPr>
              <w:t>根据本项目设计制定的管理制度与</w:t>
            </w:r>
            <w:r>
              <w:rPr>
                <w:rFonts w:hint="eastAsia" w:ascii="仿宋" w:hAnsi="仿宋" w:eastAsia="仿宋" w:cs="仿宋"/>
                <w:b w:val="0"/>
                <w:bCs w:val="0"/>
                <w:szCs w:val="24"/>
                <w:highlight w:val="none"/>
              </w:rPr>
              <w:t>与项目需求</w:t>
            </w:r>
            <w:r>
              <w:rPr>
                <w:rFonts w:hint="eastAsia" w:ascii="仿宋" w:hAnsi="仿宋" w:eastAsia="仿宋" w:cs="仿宋"/>
                <w:b w:val="0"/>
                <w:bCs w:val="0"/>
                <w:szCs w:val="24"/>
                <w:highlight w:val="none"/>
                <w:lang w:eastAsia="zh-CN"/>
              </w:rPr>
              <w:t>的合理与规范</w:t>
            </w:r>
            <w:r>
              <w:rPr>
                <w:rFonts w:hint="eastAsia" w:ascii="仿宋" w:hAnsi="仿宋" w:eastAsia="仿宋" w:cs="仿宋"/>
                <w:b w:val="0"/>
                <w:bCs w:val="0"/>
                <w:szCs w:val="24"/>
                <w:highlight w:val="none"/>
              </w:rPr>
              <w:t>情况，进行打分。</w:t>
            </w:r>
          </w:p>
          <w:p>
            <w:pPr>
              <w:pStyle w:val="98"/>
              <w:widowControl/>
              <w:spacing w:before="0"/>
              <w:ind w:firstLine="0" w:firstLineChars="0"/>
              <w:rPr>
                <w:rFonts w:hint="eastAsia" w:ascii="仿宋" w:hAnsi="仿宋" w:eastAsia="仿宋" w:cs="仿宋"/>
                <w:b w:val="0"/>
                <w:bCs w:val="0"/>
                <w:kern w:val="0"/>
                <w:szCs w:val="24"/>
                <w:highlight w:val="none"/>
              </w:rPr>
            </w:pPr>
            <w:r>
              <w:rPr>
                <w:rFonts w:hint="eastAsia" w:ascii="仿宋" w:hAnsi="仿宋" w:eastAsia="仿宋" w:cs="仿宋"/>
                <w:b w:val="0"/>
                <w:bCs w:val="0"/>
                <w:sz w:val="24"/>
                <w:szCs w:val="24"/>
                <w:highlight w:val="none"/>
                <w:lang w:eastAsia="zh-CN"/>
              </w:rPr>
              <w:t>制度设置合理、规范、全面的得</w:t>
            </w:r>
            <w:r>
              <w:rPr>
                <w:rFonts w:hint="eastAsia" w:ascii="仿宋" w:hAnsi="仿宋" w:eastAsia="仿宋" w:cs="仿宋"/>
                <w:b w:val="0"/>
                <w:bCs w:val="0"/>
                <w:sz w:val="24"/>
                <w:szCs w:val="24"/>
                <w:highlight w:val="none"/>
                <w:lang w:val="en-US" w:eastAsia="zh-CN"/>
              </w:rPr>
              <w:t>5分，</w:t>
            </w:r>
            <w:r>
              <w:rPr>
                <w:rFonts w:hint="eastAsia" w:ascii="仿宋" w:hAnsi="仿宋" w:eastAsia="仿宋" w:cs="仿宋"/>
                <w:b w:val="0"/>
                <w:bCs w:val="0"/>
                <w:sz w:val="24"/>
                <w:szCs w:val="24"/>
                <w:highlight w:val="none"/>
                <w:lang w:eastAsia="zh-CN"/>
              </w:rPr>
              <w:t>制度设置较合理、规范、较全面的得</w:t>
            </w:r>
            <w:r>
              <w:rPr>
                <w:rFonts w:hint="eastAsia" w:ascii="仿宋" w:hAnsi="仿宋" w:eastAsia="仿宋" w:cs="仿宋"/>
                <w:b w:val="0"/>
                <w:bCs w:val="0"/>
                <w:sz w:val="24"/>
                <w:szCs w:val="24"/>
                <w:highlight w:val="none"/>
                <w:lang w:val="en-US" w:eastAsia="zh-CN"/>
              </w:rPr>
              <w:t>3分，</w:t>
            </w:r>
            <w:r>
              <w:rPr>
                <w:rFonts w:hint="eastAsia" w:ascii="仿宋" w:hAnsi="仿宋" w:eastAsia="仿宋" w:cs="仿宋"/>
                <w:b w:val="0"/>
                <w:bCs w:val="0"/>
                <w:sz w:val="24"/>
                <w:szCs w:val="24"/>
                <w:highlight w:val="none"/>
                <w:lang w:eastAsia="zh-CN"/>
              </w:rPr>
              <w:t>制度设置不够全面、规范的得</w:t>
            </w:r>
            <w:r>
              <w:rPr>
                <w:rFonts w:hint="eastAsia" w:ascii="仿宋" w:hAnsi="仿宋" w:eastAsia="仿宋" w:cs="仿宋"/>
                <w:b w:val="0"/>
                <w:bCs w:val="0"/>
                <w:sz w:val="24"/>
                <w:szCs w:val="24"/>
                <w:highlight w:val="none"/>
                <w:lang w:val="en-US" w:eastAsia="zh-CN"/>
              </w:rPr>
              <w:t>1分</w:t>
            </w:r>
            <w:r>
              <w:rPr>
                <w:rFonts w:hint="eastAsia" w:ascii="仿宋" w:hAnsi="仿宋" w:eastAsia="仿宋" w:cs="仿宋"/>
                <w:b w:val="0"/>
                <w:bCs w:val="0"/>
                <w:sz w:val="24"/>
                <w:szCs w:val="24"/>
                <w:highlight w:val="none"/>
              </w:rPr>
              <w:t>。</w:t>
            </w:r>
          </w:p>
        </w:tc>
        <w:tc>
          <w:tcPr>
            <w:tcW w:w="731" w:type="dxa"/>
            <w:noWrap w:val="0"/>
            <w:vAlign w:val="center"/>
          </w:tcPr>
          <w:p>
            <w:pPr>
              <w:widowControl/>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09" w:type="dxa"/>
            <w:vMerge w:val="continue"/>
            <w:noWrap w:val="0"/>
            <w:vAlign w:val="center"/>
          </w:tcPr>
          <w:p>
            <w:pPr>
              <w:widowControl/>
              <w:spacing w:line="360" w:lineRule="auto"/>
              <w:jc w:val="center"/>
              <w:rPr>
                <w:rFonts w:hint="eastAsia" w:ascii="仿宋" w:hAnsi="仿宋" w:eastAsia="仿宋" w:cs="仿宋"/>
                <w:b w:val="0"/>
                <w:bCs w:val="0"/>
                <w:kern w:val="0"/>
                <w:sz w:val="24"/>
                <w:szCs w:val="24"/>
              </w:rPr>
            </w:pPr>
          </w:p>
        </w:tc>
        <w:tc>
          <w:tcPr>
            <w:tcW w:w="1560" w:type="dxa"/>
            <w:vMerge w:val="continue"/>
            <w:noWrap w:val="0"/>
            <w:vAlign w:val="center"/>
          </w:tcPr>
          <w:p>
            <w:pPr>
              <w:pStyle w:val="98"/>
              <w:widowControl/>
              <w:spacing w:before="0"/>
              <w:ind w:firstLine="480" w:firstLineChars="200"/>
              <w:jc w:val="center"/>
              <w:rPr>
                <w:rFonts w:hint="eastAsia" w:ascii="仿宋" w:hAnsi="仿宋" w:eastAsia="仿宋" w:cs="仿宋"/>
                <w:b w:val="0"/>
                <w:bCs w:val="0"/>
                <w:kern w:val="0"/>
                <w:szCs w:val="24"/>
              </w:rPr>
            </w:pPr>
          </w:p>
        </w:tc>
        <w:tc>
          <w:tcPr>
            <w:tcW w:w="6781" w:type="dxa"/>
            <w:noWrap w:val="0"/>
            <w:vAlign w:val="center"/>
          </w:tcPr>
          <w:p>
            <w:pPr>
              <w:pStyle w:val="98"/>
              <w:widowControl/>
              <w:spacing w:before="0"/>
              <w:ind w:firstLine="0" w:firstLineChars="0"/>
              <w:rPr>
                <w:rFonts w:hint="eastAsia" w:ascii="仿宋" w:hAnsi="仿宋" w:eastAsia="仿宋" w:cs="仿宋"/>
                <w:b w:val="0"/>
                <w:bCs w:val="0"/>
                <w:kern w:val="0"/>
                <w:szCs w:val="24"/>
              </w:rPr>
            </w:pPr>
            <w:r>
              <w:rPr>
                <w:rFonts w:hint="eastAsia" w:ascii="仿宋" w:hAnsi="仿宋" w:eastAsia="仿宋" w:cs="仿宋"/>
                <w:b w:val="0"/>
                <w:bCs w:val="0"/>
                <w:szCs w:val="24"/>
              </w:rPr>
              <w:t>内控管理：针对</w:t>
            </w:r>
            <w:r>
              <w:rPr>
                <w:rFonts w:hint="eastAsia" w:ascii="仿宋" w:hAnsi="仿宋" w:eastAsia="仿宋" w:cs="仿宋"/>
                <w:b w:val="0"/>
                <w:bCs w:val="0"/>
                <w:szCs w:val="24"/>
                <w:lang w:eastAsia="zh-CN"/>
              </w:rPr>
              <w:t>打提质</w:t>
            </w:r>
            <w:r>
              <w:rPr>
                <w:rFonts w:hint="eastAsia" w:ascii="仿宋" w:hAnsi="仿宋" w:eastAsia="仿宋" w:cs="仿宋"/>
                <w:b w:val="0"/>
                <w:bCs w:val="0"/>
                <w:szCs w:val="24"/>
              </w:rPr>
              <w:t>服务质量管理考核制定情况及内控管理制度完善</w:t>
            </w:r>
            <w:r>
              <w:rPr>
                <w:rFonts w:hint="eastAsia" w:ascii="仿宋" w:hAnsi="仿宋" w:eastAsia="仿宋" w:cs="仿宋"/>
                <w:b w:val="0"/>
                <w:bCs w:val="0"/>
                <w:szCs w:val="24"/>
                <w:lang w:eastAsia="zh-CN"/>
              </w:rPr>
              <w:t>情况（</w:t>
            </w:r>
            <w:r>
              <w:rPr>
                <w:rFonts w:hint="eastAsia" w:ascii="仿宋" w:hAnsi="仿宋" w:eastAsia="仿宋" w:cs="仿宋"/>
                <w:b w:val="0"/>
                <w:bCs w:val="0"/>
                <w:szCs w:val="24"/>
                <w:lang w:val="en-US" w:eastAsia="zh-CN"/>
              </w:rPr>
              <w:t>0-1分）和合理情况（0-1分），</w:t>
            </w:r>
            <w:r>
              <w:rPr>
                <w:rFonts w:hint="eastAsia" w:ascii="仿宋" w:hAnsi="仿宋" w:eastAsia="仿宋" w:cs="仿宋"/>
                <w:b w:val="0"/>
                <w:bCs w:val="0"/>
                <w:szCs w:val="24"/>
              </w:rPr>
              <w:t>进行打分。</w:t>
            </w:r>
          </w:p>
        </w:tc>
        <w:tc>
          <w:tcPr>
            <w:tcW w:w="731" w:type="dxa"/>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09" w:type="dxa"/>
            <w:vMerge w:val="continue"/>
            <w:noWrap w:val="0"/>
            <w:vAlign w:val="center"/>
          </w:tcPr>
          <w:p>
            <w:pPr>
              <w:widowControl/>
              <w:spacing w:line="360" w:lineRule="auto"/>
              <w:jc w:val="center"/>
              <w:rPr>
                <w:rFonts w:hint="eastAsia" w:ascii="仿宋" w:hAnsi="仿宋" w:eastAsia="仿宋" w:cs="仿宋"/>
                <w:b w:val="0"/>
                <w:bCs w:val="0"/>
                <w:kern w:val="0"/>
                <w:sz w:val="24"/>
                <w:szCs w:val="24"/>
              </w:rPr>
            </w:pPr>
          </w:p>
        </w:tc>
        <w:tc>
          <w:tcPr>
            <w:tcW w:w="1560" w:type="dxa"/>
            <w:vMerge w:val="continue"/>
            <w:noWrap w:val="0"/>
            <w:vAlign w:val="center"/>
          </w:tcPr>
          <w:p>
            <w:pPr>
              <w:pStyle w:val="98"/>
              <w:widowControl/>
              <w:spacing w:before="0"/>
              <w:ind w:firstLine="480" w:firstLineChars="200"/>
              <w:jc w:val="center"/>
              <w:rPr>
                <w:rFonts w:hint="eastAsia" w:ascii="仿宋" w:hAnsi="仿宋" w:eastAsia="仿宋" w:cs="仿宋"/>
                <w:b w:val="0"/>
                <w:bCs w:val="0"/>
                <w:kern w:val="0"/>
                <w:szCs w:val="24"/>
              </w:rPr>
            </w:pPr>
          </w:p>
        </w:tc>
        <w:tc>
          <w:tcPr>
            <w:tcW w:w="6781" w:type="dxa"/>
            <w:noWrap w:val="0"/>
            <w:vAlign w:val="center"/>
          </w:tcPr>
          <w:p>
            <w:pPr>
              <w:pStyle w:val="98"/>
              <w:widowControl/>
              <w:spacing w:before="0"/>
              <w:ind w:firstLine="0" w:firstLineChars="0"/>
              <w:rPr>
                <w:rFonts w:hint="eastAsia" w:ascii="仿宋" w:hAnsi="仿宋" w:eastAsia="仿宋" w:cs="仿宋"/>
                <w:b w:val="0"/>
                <w:bCs w:val="0"/>
                <w:kern w:val="0"/>
                <w:szCs w:val="24"/>
              </w:rPr>
            </w:pPr>
            <w:r>
              <w:rPr>
                <w:rFonts w:hint="eastAsia" w:ascii="仿宋" w:hAnsi="仿宋" w:eastAsia="仿宋" w:cs="仿宋"/>
                <w:b w:val="0"/>
                <w:bCs w:val="0"/>
                <w:color w:val="auto"/>
                <w:szCs w:val="24"/>
              </w:rPr>
              <w:t>档案管理：根据投标单位响应的内部档案管理制度</w:t>
            </w:r>
            <w:r>
              <w:rPr>
                <w:rFonts w:hint="eastAsia" w:ascii="仿宋" w:hAnsi="仿宋" w:eastAsia="仿宋" w:cs="仿宋"/>
                <w:b w:val="0"/>
                <w:bCs w:val="0"/>
                <w:color w:val="auto"/>
                <w:szCs w:val="24"/>
                <w:lang w:eastAsia="zh-CN"/>
              </w:rPr>
              <w:t>规范性（</w:t>
            </w:r>
            <w:r>
              <w:rPr>
                <w:rFonts w:hint="eastAsia" w:ascii="仿宋" w:hAnsi="仿宋" w:eastAsia="仿宋" w:cs="仿宋"/>
                <w:b w:val="0"/>
                <w:bCs w:val="0"/>
                <w:color w:val="auto"/>
                <w:szCs w:val="24"/>
              </w:rPr>
              <w:t>0-</w:t>
            </w:r>
            <w:r>
              <w:rPr>
                <w:rFonts w:hint="eastAsia" w:ascii="仿宋" w:hAnsi="仿宋" w:eastAsia="仿宋" w:cs="仿宋"/>
                <w:b w:val="0"/>
                <w:bCs w:val="0"/>
                <w:color w:val="auto"/>
                <w:szCs w:val="24"/>
                <w:lang w:val="en-US" w:eastAsia="zh-CN"/>
              </w:rPr>
              <w:t>1</w:t>
            </w:r>
            <w:r>
              <w:rPr>
                <w:rFonts w:hint="eastAsia" w:ascii="仿宋" w:hAnsi="仿宋" w:eastAsia="仿宋" w:cs="仿宋"/>
                <w:b w:val="0"/>
                <w:bCs w:val="0"/>
                <w:color w:val="auto"/>
                <w:szCs w:val="24"/>
              </w:rPr>
              <w:t>分</w:t>
            </w:r>
            <w:r>
              <w:rPr>
                <w:rFonts w:hint="eastAsia" w:ascii="仿宋" w:hAnsi="仿宋" w:eastAsia="仿宋" w:cs="仿宋"/>
                <w:b w:val="0"/>
                <w:bCs w:val="0"/>
                <w:color w:val="auto"/>
                <w:szCs w:val="24"/>
                <w:lang w:eastAsia="zh-CN"/>
              </w:rPr>
              <w:t>）和合理性（</w:t>
            </w:r>
            <w:r>
              <w:rPr>
                <w:rFonts w:hint="eastAsia" w:ascii="仿宋" w:hAnsi="仿宋" w:eastAsia="仿宋" w:cs="仿宋"/>
                <w:b w:val="0"/>
                <w:bCs w:val="0"/>
                <w:color w:val="auto"/>
                <w:szCs w:val="24"/>
                <w:lang w:val="en-US" w:eastAsia="zh-CN"/>
              </w:rPr>
              <w:t>0-1分）</w:t>
            </w:r>
            <w:r>
              <w:rPr>
                <w:rFonts w:hint="eastAsia" w:ascii="仿宋" w:hAnsi="仿宋" w:eastAsia="仿宋" w:cs="仿宋"/>
                <w:b w:val="0"/>
                <w:bCs w:val="0"/>
                <w:color w:val="auto"/>
                <w:szCs w:val="24"/>
              </w:rPr>
              <w:t>进行打分，包括数据归集、卷宗归档制度等。</w:t>
            </w:r>
          </w:p>
        </w:tc>
        <w:tc>
          <w:tcPr>
            <w:tcW w:w="731" w:type="dxa"/>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noWrap w:val="0"/>
            <w:vAlign w:val="center"/>
          </w:tcPr>
          <w:p>
            <w:pPr>
              <w:widowControl/>
              <w:spacing w:line="360" w:lineRule="auto"/>
              <w:jc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val="en-US" w:eastAsia="zh-CN"/>
              </w:rPr>
              <w:t>6</w:t>
            </w:r>
          </w:p>
        </w:tc>
        <w:tc>
          <w:tcPr>
            <w:tcW w:w="1560" w:type="dxa"/>
            <w:noWrap w:val="0"/>
            <w:vAlign w:val="center"/>
          </w:tcPr>
          <w:p>
            <w:pPr>
              <w:pStyle w:val="321"/>
              <w:ind w:left="0" w:lef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sz w:val="24"/>
                <w:szCs w:val="24"/>
                <w:lang w:val="en-US" w:eastAsia="zh-CN"/>
              </w:rPr>
              <w:t>项目团队要求</w:t>
            </w: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rPr>
            </w:pPr>
            <w:r>
              <w:rPr>
                <w:rFonts w:hint="eastAsia" w:ascii="仿宋" w:hAnsi="仿宋" w:eastAsia="仿宋" w:cs="仿宋"/>
                <w:b w:val="0"/>
                <w:bCs w:val="0"/>
                <w:sz w:val="24"/>
                <w:szCs w:val="24"/>
                <w:lang w:val="en-US" w:eastAsia="zh-CN"/>
              </w:rPr>
              <w:t>（1）项目总负责人：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① 项目总负责人通过国家统一法律职业资格考试并已获取法律职业资格证书的，得2分，需提供证书复印件并加盖公章，否则不得分；</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（2）根据投标人拟投入本项目的服务团队专业能力进行打分（0-12分）：</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① 服务团队不少于48人;派出服务人员不少于45人;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② 其中本科学历人数不少于30人;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③ 本科或研究生学历为法律相关专业且的人数不少于10人;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上述三个条件，提供承诺书，每满足一条得4分，不满足不得分。承诺书内容须明确且符合上述内容，否则不得分。</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（3）投标人须提供项目启动后能够10天内立即派出至区市场监管局进行项目实施服务的承诺书，不提供不得分。（1分）</w:t>
            </w:r>
          </w:p>
        </w:tc>
        <w:tc>
          <w:tcPr>
            <w:tcW w:w="731" w:type="dxa"/>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restart"/>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1560" w:type="dxa"/>
            <w:vMerge w:val="restart"/>
            <w:noWrap w:val="0"/>
            <w:vAlign w:val="center"/>
          </w:tcPr>
          <w:p>
            <w:pPr>
              <w:pStyle w:val="321"/>
              <w:ind w:left="0" w:leftChars="0" w:firstLine="0" w:firstLineChars="0"/>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lang w:val="en-US" w:eastAsia="zh-CN"/>
              </w:rPr>
              <w:t>演示--（采用钉钉屏幕共享，实现远程在线系统演示），设备、网络、平台等与演示有关的内容均由供应商自行准备。演示顺序以供应商投标文件解密先后顺序为准。以下流程提供功能截图并进行现场软件演示，演示时间不超过15分钟。</w:t>
            </w:r>
          </w:p>
        </w:tc>
        <w:tc>
          <w:tcPr>
            <w:tcW w:w="7512" w:type="dxa"/>
            <w:gridSpan w:val="2"/>
            <w:noWrap w:val="0"/>
            <w:vAlign w:val="center"/>
          </w:tcPr>
          <w:p>
            <w:pPr>
              <w:widowControl/>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要求投标人演示辅助处理流程，需演示对投诉工单的辅助处理、质量检查，协助管理者提升网络消费投诉调解质量，减少效能投诉、降低行政复议和诉讼风险。</w:t>
            </w:r>
          </w:p>
          <w:p>
            <w:pPr>
              <w:widowControl/>
              <w:jc w:val="left"/>
              <w:rPr>
                <w:rFonts w:hint="eastAsia" w:ascii="仿宋" w:hAnsi="仿宋" w:eastAsia="仿宋" w:cs="仿宋"/>
                <w:bCs/>
                <w:kern w:val="0"/>
                <w:sz w:val="24"/>
                <w:szCs w:val="24"/>
              </w:rPr>
            </w:pPr>
            <w:r>
              <w:rPr>
                <w:rFonts w:hint="eastAsia" w:ascii="仿宋" w:hAnsi="仿宋" w:eastAsia="仿宋" w:cs="仿宋"/>
                <w:b w:val="0"/>
                <w:bCs w:val="0"/>
                <w:sz w:val="24"/>
                <w:szCs w:val="24"/>
                <w:lang w:val="en-US" w:eastAsia="zh-CN"/>
              </w:rPr>
              <w:t>评审专家从功能完整度、需求满足度、业务流程合理度等方面对演示效果进行综合评定，投标人须提供真实网络环境下的系统功能演示，PPT、视频录制方式演示不得分。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①演示工单详情和申请人详情查看，在线调解小计编辑，已调解工单通话记录信息查看管理功能。（2分）</w:t>
            </w:r>
          </w:p>
        </w:tc>
        <w:tc>
          <w:tcPr>
            <w:tcW w:w="731" w:type="dxa"/>
            <w:vMerge w:val="restart"/>
            <w:noWrap w:val="0"/>
            <w:vAlign w:val="center"/>
          </w:tcPr>
          <w:p>
            <w:pPr>
              <w:widowControl/>
              <w:jc w:val="center"/>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18分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②演示调解员组长对工单进行分配操作功能，调解员组长选择具体工单，进行分配给相应的调解员填写说明进行分配处理，根据演示内容进行打分0-2分；（2分）</w:t>
            </w:r>
          </w:p>
        </w:tc>
        <w:tc>
          <w:tcPr>
            <w:tcW w:w="731" w:type="dxa"/>
            <w:vMerge w:val="continue"/>
            <w:noWrap w:val="0"/>
            <w:vAlign w:val="center"/>
          </w:tcPr>
          <w:p>
            <w:pPr>
              <w:widowControl/>
              <w:jc w:val="center"/>
              <w:rPr>
                <w:rFonts w:hint="eastAsia"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③演示调解管理员能够查看工单详情和申请人画像，基于大数据分析结果识别投诉人为普通消费者或职业投诉者，并展示其关联关系、投诉类型、商品类型、复议诉讼、涉及省市信息，根据演示内容进行打分0-2分；（2分）</w:t>
            </w:r>
          </w:p>
        </w:tc>
        <w:tc>
          <w:tcPr>
            <w:tcW w:w="731" w:type="dxa"/>
            <w:vMerge w:val="continue"/>
            <w:noWrap w:val="0"/>
            <w:vAlign w:val="center"/>
          </w:tcPr>
          <w:p>
            <w:pPr>
              <w:widowControl/>
              <w:jc w:val="center"/>
              <w:rPr>
                <w:rFonts w:hint="eastAsia"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④演示调解员在工单在线调解过程中，可在线编辑调解小计和选择快捷语，并支持多格式文件如rar、zip、doc、pdf、jpg调解文件上传，根据演示内容进行打分0-2分；（2分）</w:t>
            </w:r>
          </w:p>
        </w:tc>
        <w:tc>
          <w:tcPr>
            <w:tcW w:w="731" w:type="dxa"/>
            <w:vMerge w:val="continue"/>
            <w:noWrap w:val="0"/>
            <w:vAlign w:val="center"/>
          </w:tcPr>
          <w:p>
            <w:pPr>
              <w:widowControl/>
              <w:jc w:val="center"/>
              <w:rPr>
                <w:rFonts w:hint="eastAsia"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⑤演示调解员在线编辑调解协议操作。支持在线起草调解协议，选择行政调解模板，可在线修改编辑调解协议后进行提交确认，根据演示内容进行打分0-2分；（2分）</w:t>
            </w:r>
          </w:p>
        </w:tc>
        <w:tc>
          <w:tcPr>
            <w:tcW w:w="731" w:type="dxa"/>
            <w:vMerge w:val="continue"/>
            <w:noWrap w:val="0"/>
            <w:vAlign w:val="center"/>
          </w:tcPr>
          <w:p>
            <w:pPr>
              <w:widowControl/>
              <w:jc w:val="center"/>
              <w:rPr>
                <w:rFonts w:hint="eastAsia"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⑥演示查看已完结工单调解员与申请人的历史通话记录、视频/笔录信息，支持通话记录信息播放和下载操作，根据演示内容进行打分0-2分；（2分）</w:t>
            </w:r>
          </w:p>
        </w:tc>
        <w:tc>
          <w:tcPr>
            <w:tcW w:w="731" w:type="dxa"/>
            <w:vMerge w:val="continue"/>
            <w:noWrap w:val="0"/>
            <w:vAlign w:val="center"/>
          </w:tcPr>
          <w:p>
            <w:pPr>
              <w:widowControl/>
              <w:jc w:val="center"/>
              <w:rPr>
                <w:rFonts w:hint="eastAsia"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⑦演示调解过程中专家库支撑功能，调解员可查询搜索经典案例和专家回复情况，在专家问答功能中查看历史问答情况和新增提问操作，根据演示内容进行打分0-2分；（2分）</w:t>
            </w:r>
          </w:p>
        </w:tc>
        <w:tc>
          <w:tcPr>
            <w:tcW w:w="731" w:type="dxa"/>
            <w:vMerge w:val="continue"/>
            <w:noWrap w:val="0"/>
            <w:vAlign w:val="center"/>
          </w:tcPr>
          <w:p>
            <w:pPr>
              <w:widowControl/>
              <w:jc w:val="center"/>
              <w:rPr>
                <w:rFonts w:hint="eastAsia"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⑧演示调解员可查看个人质检结果与扣分细项，可对存在异议的扣分项进行申诉。（2分）</w:t>
            </w:r>
          </w:p>
        </w:tc>
        <w:tc>
          <w:tcPr>
            <w:tcW w:w="731" w:type="dxa"/>
            <w:vMerge w:val="continue"/>
            <w:noWrap w:val="0"/>
            <w:vAlign w:val="center"/>
          </w:tcPr>
          <w:p>
            <w:pPr>
              <w:widowControl/>
              <w:jc w:val="center"/>
              <w:rPr>
                <w:rFonts w:hint="eastAsia"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98"/>
              <w:keepNext w:val="0"/>
              <w:keepLines w:val="0"/>
              <w:pageBreakBefore w:val="0"/>
              <w:widowControl/>
              <w:kinsoku/>
              <w:wordWrap/>
              <w:overflowPunct/>
              <w:topLinePunct w:val="0"/>
              <w:autoSpaceDE/>
              <w:autoSpaceDN/>
              <w:bidi w:val="0"/>
              <w:adjustRightInd/>
              <w:snapToGrid/>
              <w:spacing w:before="0" w:beforeLines="0" w:beforeAutospacing="0" w:afterAutospacing="0" w:line="360" w:lineRule="auto"/>
              <w:ind w:left="0" w:leftChars="0" w:right="0" w:rightChars="0" w:firstLine="0" w:firstLineChars="0"/>
              <w:jc w:val="center"/>
              <w:textAlignment w:val="auto"/>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sz w:val="24"/>
                <w:szCs w:val="24"/>
                <w:highlight w:val="none"/>
                <w:lang w:val="en-US" w:eastAsia="zh-CN"/>
              </w:rPr>
              <w:t>⑨演示管理员对整体调解工作数据总览操作，可查看全部渠道、行政调解、人民调解、和消保委调解渠道数据，包括本年投诉总数、调解满意度、月投诉期数统计数据，以及结合日/周/月/年维度展示商家来源地排名、投诉量、投诉类型、投诉周期、投诉人排行榜等数据，根据演示内容进行打分0-2分；（2分）</w:t>
            </w:r>
          </w:p>
        </w:tc>
        <w:tc>
          <w:tcPr>
            <w:tcW w:w="731" w:type="dxa"/>
            <w:vMerge w:val="continue"/>
            <w:noWrap w:val="0"/>
            <w:vAlign w:val="center"/>
          </w:tcPr>
          <w:p>
            <w:pPr>
              <w:widowControl/>
              <w:jc w:val="center"/>
              <w:rPr>
                <w:rFonts w:hint="eastAsia"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restart"/>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1560" w:type="dxa"/>
            <w:vMerge w:val="restart"/>
            <w:noWrap w:val="0"/>
            <w:vAlign w:val="center"/>
          </w:tcPr>
          <w:p>
            <w:pPr>
              <w:pStyle w:val="321"/>
              <w:ind w:left="0" w:leftChars="0" w:firstLine="0" w:firstLineChars="0"/>
              <w:jc w:val="center"/>
              <w:rPr>
                <w:rFonts w:hint="eastAsia" w:ascii="仿宋" w:hAnsi="仿宋" w:eastAsia="仿宋" w:cs="仿宋"/>
                <w:b w:val="0"/>
                <w:bCs w:val="0"/>
                <w:sz w:val="24"/>
                <w:szCs w:val="24"/>
                <w:highlight w:val="none"/>
                <w:lang w:val="en-US" w:eastAsia="zh-CN"/>
              </w:rPr>
            </w:pPr>
          </w:p>
          <w:p>
            <w:pPr>
              <w:pStyle w:val="321"/>
              <w:ind w:left="0" w:leftChars="0" w:firstLine="0" w:firstLineChars="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val="0"/>
                <w:bCs w:val="0"/>
                <w:sz w:val="24"/>
                <w:szCs w:val="24"/>
                <w:highlight w:val="none"/>
                <w:lang w:val="en-US" w:eastAsia="zh-CN"/>
              </w:rPr>
              <w:t>售后服务</w:t>
            </w:r>
          </w:p>
        </w:tc>
        <w:tc>
          <w:tcPr>
            <w:tcW w:w="6781" w:type="dxa"/>
            <w:noWrap w:val="0"/>
            <w:vAlign w:val="center"/>
          </w:tcPr>
          <w:p>
            <w:pPr>
              <w:pStyle w:val="321"/>
              <w:numPr>
                <w:ilvl w:val="0"/>
                <w:numId w:val="16"/>
              </w:numPr>
              <w:ind w:left="0" w:leftChars="0" w:firstLine="0" w:firstLineChars="0"/>
              <w:jc w:val="both"/>
              <w:rPr>
                <w:rFonts w:hint="eastAsia" w:ascii="仿宋" w:hAnsi="仿宋" w:eastAsia="仿宋" w:cs="仿宋"/>
                <w:kern w:val="2"/>
                <w:sz w:val="24"/>
                <w:szCs w:val="24"/>
                <w:highlight w:val="none"/>
                <w:lang w:val="zh-CN" w:eastAsia="zh-CN"/>
              </w:rPr>
            </w:pPr>
            <w:r>
              <w:rPr>
                <w:rFonts w:hint="eastAsia" w:ascii="仿宋" w:hAnsi="仿宋" w:eastAsia="仿宋" w:cs="仿宋"/>
                <w:b w:val="0"/>
                <w:bCs w:val="0"/>
                <w:sz w:val="24"/>
                <w:szCs w:val="24"/>
                <w:highlight w:val="none"/>
                <w:lang w:val="en-US" w:eastAsia="zh-CN"/>
              </w:rPr>
              <w:t>根据供应商拟定的售后服务方案，包括持续服务保障情况、服务内容、响应时间、技术支持保障措施等响应方式和现场服务人员保证解决措施进行打分。由评标委员会根据</w:t>
            </w:r>
            <w:r>
              <w:rPr>
                <w:rFonts w:hint="eastAsia" w:ascii="仿宋" w:hAnsi="仿宋" w:eastAsia="仿宋" w:cs="仿宋"/>
                <w:sz w:val="24"/>
                <w:szCs w:val="24"/>
              </w:rPr>
              <w:t>解决措施全面、合理的，具有针对性得</w:t>
            </w:r>
            <w:r>
              <w:rPr>
                <w:rFonts w:hint="eastAsia" w:ascii="仿宋" w:hAnsi="仿宋" w:eastAsia="仿宋" w:cs="仿宋"/>
                <w:sz w:val="24"/>
                <w:szCs w:val="24"/>
                <w:lang w:val="en-US" w:eastAsia="zh-CN"/>
              </w:rPr>
              <w:t>5</w:t>
            </w:r>
            <w:r>
              <w:rPr>
                <w:rFonts w:hint="eastAsia" w:ascii="仿宋" w:hAnsi="仿宋" w:eastAsia="仿宋" w:cs="仿宋"/>
                <w:sz w:val="24"/>
                <w:szCs w:val="24"/>
              </w:rPr>
              <w:t>分；解决措施基本全面、合理的，针对性较弱得</w:t>
            </w:r>
            <w:r>
              <w:rPr>
                <w:rFonts w:hint="eastAsia" w:ascii="仿宋" w:hAnsi="仿宋" w:eastAsia="仿宋" w:cs="仿宋"/>
                <w:sz w:val="24"/>
                <w:szCs w:val="24"/>
                <w:lang w:val="en-US" w:eastAsia="zh-CN"/>
              </w:rPr>
              <w:t>3</w:t>
            </w:r>
            <w:r>
              <w:rPr>
                <w:rFonts w:hint="eastAsia" w:ascii="仿宋" w:hAnsi="仿宋" w:eastAsia="仿宋" w:cs="仿宋"/>
                <w:sz w:val="24"/>
                <w:szCs w:val="24"/>
              </w:rPr>
              <w:t>分；解决措施描述较为简单或存在缺漏得</w:t>
            </w:r>
            <w:r>
              <w:rPr>
                <w:rFonts w:hint="eastAsia" w:ascii="仿宋" w:hAnsi="仿宋" w:eastAsia="仿宋" w:cs="仿宋"/>
                <w:sz w:val="24"/>
                <w:szCs w:val="24"/>
                <w:lang w:val="en-US" w:eastAsia="zh-CN"/>
              </w:rPr>
              <w:t>0-2</w:t>
            </w:r>
            <w:r>
              <w:rPr>
                <w:rFonts w:hint="eastAsia" w:ascii="仿宋" w:hAnsi="仿宋" w:eastAsia="仿宋" w:cs="仿宋"/>
                <w:sz w:val="24"/>
                <w:szCs w:val="24"/>
              </w:rPr>
              <w:t>分。</w:t>
            </w:r>
          </w:p>
        </w:tc>
        <w:tc>
          <w:tcPr>
            <w:tcW w:w="731" w:type="dxa"/>
            <w:noWrap w:val="0"/>
            <w:vAlign w:val="center"/>
          </w:tcPr>
          <w:p>
            <w:pPr>
              <w:widowControl/>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vMerge w:val="continue"/>
            <w:noWrap w:val="0"/>
            <w:vAlign w:val="center"/>
          </w:tcPr>
          <w:p>
            <w:pPr>
              <w:widowControl/>
              <w:spacing w:line="360" w:lineRule="auto"/>
              <w:jc w:val="center"/>
              <w:rPr>
                <w:rFonts w:hint="eastAsia" w:ascii="仿宋" w:hAnsi="仿宋" w:eastAsia="仿宋" w:cs="仿宋"/>
                <w:kern w:val="0"/>
                <w:sz w:val="24"/>
                <w:szCs w:val="24"/>
                <w:lang w:val="en-US" w:eastAsia="zh-CN"/>
              </w:rPr>
            </w:pPr>
          </w:p>
        </w:tc>
        <w:tc>
          <w:tcPr>
            <w:tcW w:w="1560" w:type="dxa"/>
            <w:vMerge w:val="continue"/>
            <w:noWrap w:val="0"/>
            <w:vAlign w:val="center"/>
          </w:tcPr>
          <w:p>
            <w:pPr>
              <w:pStyle w:val="321"/>
              <w:ind w:left="0" w:leftChars="0" w:firstLine="0" w:firstLineChars="0"/>
              <w:jc w:val="center"/>
              <w:rPr>
                <w:rFonts w:hint="eastAsia" w:ascii="仿宋" w:hAnsi="仿宋" w:eastAsia="仿宋" w:cs="仿宋"/>
                <w:b/>
                <w:bCs/>
                <w:color w:val="000000"/>
                <w:sz w:val="24"/>
                <w:szCs w:val="24"/>
                <w:highlight w:val="none"/>
                <w:lang w:val="en-US" w:eastAsia="zh-CN"/>
              </w:rPr>
            </w:pPr>
          </w:p>
        </w:tc>
        <w:tc>
          <w:tcPr>
            <w:tcW w:w="6781" w:type="dxa"/>
            <w:noWrap w:val="0"/>
            <w:vAlign w:val="center"/>
          </w:tcPr>
          <w:p>
            <w:pPr>
              <w:pStyle w:val="321"/>
              <w:ind w:left="0" w:leftChars="0" w:firstLine="0" w:firstLineChars="0"/>
              <w:jc w:val="both"/>
              <w:rPr>
                <w:rFonts w:hint="eastAsia" w:ascii="仿宋" w:hAnsi="仿宋" w:eastAsia="仿宋" w:cs="仿宋"/>
                <w:kern w:val="2"/>
                <w:sz w:val="24"/>
                <w:szCs w:val="24"/>
                <w:highlight w:val="none"/>
                <w:lang w:val="zh-CN"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sz w:val="24"/>
                <w:szCs w:val="24"/>
                <w:highlight w:val="none"/>
              </w:rPr>
              <w:t>投标人提供具有较强的本地化服务能力，在本地拥有常驻服务以及较强的专业技术队伍，进行打</w:t>
            </w:r>
            <w:r>
              <w:rPr>
                <w:rFonts w:hint="eastAsia" w:ascii="仿宋" w:hAnsi="仿宋" w:eastAsia="仿宋" w:cs="仿宋"/>
                <w:color w:val="000000"/>
                <w:sz w:val="24"/>
                <w:szCs w:val="24"/>
                <w:highlight w:val="none"/>
              </w:rPr>
              <w:t>分0-</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r>
              <w:rPr>
                <w:rFonts w:hint="eastAsia" w:ascii="仿宋" w:hAnsi="仿宋" w:eastAsia="仿宋" w:cs="仿宋"/>
                <w:b w:val="0"/>
                <w:bCs w:val="0"/>
                <w:sz w:val="24"/>
                <w:szCs w:val="24"/>
                <w:highlight w:val="none"/>
                <w:lang w:val="en-US" w:eastAsia="zh-CN"/>
              </w:rPr>
              <w:t>考察投标人本地化服务能力，投标人在本市有常驻售后服务机构，或在本市有分公司或办事处等作为常驻服务和技术支持机构的加2分，需提供本地工商注册资料以及距采购人最近的服务网点情况表、售后服务机构地址、人员名单、联系方式等或提供上述内容中标后提供的承诺书。</w:t>
            </w:r>
          </w:p>
        </w:tc>
        <w:tc>
          <w:tcPr>
            <w:tcW w:w="731" w:type="dxa"/>
            <w:noWrap w:val="0"/>
            <w:vAlign w:val="center"/>
          </w:tcPr>
          <w:p>
            <w:pPr>
              <w:widowControl/>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1560" w:type="dxa"/>
            <w:noWrap w:val="0"/>
            <w:vAlign w:val="center"/>
          </w:tcPr>
          <w:p>
            <w:pPr>
              <w:pStyle w:val="321"/>
              <w:ind w:left="0" w:leftChars="0" w:firstLine="0" w:firstLineChars="0"/>
              <w:jc w:val="center"/>
              <w:rPr>
                <w:rFonts w:hint="eastAsia" w:ascii="仿宋" w:hAnsi="仿宋" w:eastAsia="仿宋" w:cs="仿宋"/>
                <w:bCs w:val="0"/>
                <w:kern w:val="0"/>
                <w:sz w:val="24"/>
                <w:szCs w:val="24"/>
                <w:highlight w:val="none"/>
              </w:rPr>
            </w:pPr>
            <w:r>
              <w:rPr>
                <w:rFonts w:hint="eastAsia" w:ascii="仿宋" w:hAnsi="仿宋" w:eastAsia="仿宋" w:cs="仿宋"/>
                <w:sz w:val="24"/>
                <w:szCs w:val="24"/>
                <w:lang w:val="en-US" w:eastAsia="zh-CN"/>
              </w:rPr>
              <w:t>优惠条件</w:t>
            </w:r>
          </w:p>
        </w:tc>
        <w:tc>
          <w:tcPr>
            <w:tcW w:w="6781" w:type="dxa"/>
            <w:noWrap w:val="0"/>
            <w:vAlign w:val="center"/>
          </w:tcPr>
          <w:p>
            <w:pPr>
              <w:pStyle w:val="321"/>
              <w:ind w:left="0" w:leftChars="0" w:firstLine="0" w:firstLineChars="0"/>
              <w:jc w:val="both"/>
              <w:rPr>
                <w:rFonts w:hint="eastAsia" w:ascii="仿宋" w:hAnsi="仿宋" w:eastAsia="仿宋" w:cs="仿宋"/>
                <w:kern w:val="0"/>
                <w:sz w:val="24"/>
                <w:szCs w:val="24"/>
                <w:highlight w:val="none"/>
              </w:rPr>
            </w:pPr>
            <w:r>
              <w:rPr>
                <w:rFonts w:hint="eastAsia" w:ascii="仿宋" w:hAnsi="仿宋" w:eastAsia="仿宋" w:cs="仿宋"/>
                <w:sz w:val="24"/>
                <w:szCs w:val="24"/>
                <w:lang w:val="en-US" w:eastAsia="zh-CN"/>
              </w:rPr>
              <w:t>投标人提出的优惠条件（0-1分）和承诺情况（0-1分）的合理性进行打分，以及可实现程度可行性（0-2分），进行打分。</w:t>
            </w:r>
          </w:p>
        </w:tc>
        <w:tc>
          <w:tcPr>
            <w:tcW w:w="731" w:type="dxa"/>
            <w:noWrap w:val="0"/>
            <w:vAlign w:val="center"/>
          </w:tcPr>
          <w:p>
            <w:pPr>
              <w:widowControl/>
              <w:jc w:val="center"/>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09" w:type="dxa"/>
            <w:noWrap w:val="0"/>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1560" w:type="dxa"/>
            <w:noWrap w:val="0"/>
            <w:vAlign w:val="center"/>
          </w:tcPr>
          <w:p>
            <w:pPr>
              <w:keepNext w:val="0"/>
              <w:keepLines w:val="0"/>
              <w:pageBreakBefore w:val="0"/>
              <w:widowControl/>
              <w:kinsoku/>
              <w:wordWrap/>
              <w:overflowPunct/>
              <w:topLinePunct w:val="0"/>
              <w:autoSpaceDE/>
              <w:autoSpaceDN/>
              <w:bidi w:val="0"/>
              <w:spacing w:beforeLines="0" w:afterLines="0" w:line="288"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highlight w:val="none"/>
              </w:rPr>
              <w:t>法律风险防建议</w:t>
            </w:r>
          </w:p>
        </w:tc>
        <w:tc>
          <w:tcPr>
            <w:tcW w:w="6781" w:type="dxa"/>
            <w:noWrap w:val="0"/>
            <w:vAlign w:val="center"/>
          </w:tcPr>
          <w:p>
            <w:pPr>
              <w:pStyle w:val="34"/>
              <w:keepNext w:val="0"/>
              <w:keepLines w:val="0"/>
              <w:pageBreakBefore w:val="0"/>
              <w:kinsoku/>
              <w:wordWrap/>
              <w:overflowPunct/>
              <w:topLinePunct w:val="0"/>
              <w:autoSpaceDE/>
              <w:autoSpaceDN/>
              <w:bidi w:val="0"/>
              <w:snapToGrid w:val="0"/>
              <w:spacing w:beforeLines="0" w:afterLines="0" w:line="288" w:lineRule="auto"/>
              <w:ind w:left="0" w:leftChars="0"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highlight w:val="none"/>
              </w:rPr>
              <w:t>投标人</w:t>
            </w:r>
            <w:r>
              <w:rPr>
                <w:rFonts w:hint="eastAsia" w:ascii="仿宋" w:hAnsi="仿宋" w:eastAsia="仿宋" w:cs="仿宋"/>
                <w:bCs/>
                <w:sz w:val="24"/>
                <w:szCs w:val="24"/>
                <w:highlight w:val="none"/>
                <w:u w:val="none" w:color="000000"/>
                <w:lang w:val="en-US" w:eastAsia="zh-CN"/>
              </w:rPr>
              <w:t>提出对采购人目前有实际作用的相关法律风险防控建议，</w:t>
            </w:r>
            <w:r>
              <w:rPr>
                <w:rFonts w:hint="eastAsia" w:ascii="仿宋" w:hAnsi="仿宋" w:eastAsia="仿宋" w:cs="仿宋"/>
                <w:sz w:val="24"/>
              </w:rPr>
              <w:t>全面、合理的，具有针对性得</w:t>
            </w:r>
            <w:r>
              <w:rPr>
                <w:rFonts w:hint="eastAsia" w:ascii="仿宋" w:hAnsi="仿宋" w:eastAsia="仿宋" w:cs="仿宋"/>
                <w:sz w:val="24"/>
                <w:lang w:val="en-US" w:eastAsia="zh-CN"/>
              </w:rPr>
              <w:t>5</w:t>
            </w:r>
            <w:r>
              <w:rPr>
                <w:rFonts w:hint="eastAsia" w:ascii="仿宋" w:hAnsi="仿宋" w:eastAsia="仿宋" w:cs="仿宋"/>
                <w:sz w:val="24"/>
              </w:rPr>
              <w:t>分；解决措施基本全面、合理的，针对性较弱得</w:t>
            </w:r>
            <w:r>
              <w:rPr>
                <w:rFonts w:hint="eastAsia" w:ascii="仿宋" w:hAnsi="仿宋" w:eastAsia="仿宋" w:cs="仿宋"/>
                <w:sz w:val="24"/>
                <w:lang w:val="en-US" w:eastAsia="zh-CN"/>
              </w:rPr>
              <w:t>3</w:t>
            </w:r>
            <w:r>
              <w:rPr>
                <w:rFonts w:hint="eastAsia" w:ascii="仿宋" w:hAnsi="仿宋" w:eastAsia="仿宋" w:cs="仿宋"/>
                <w:sz w:val="24"/>
              </w:rPr>
              <w:t>分；解决措施描述较为简单或存在缺漏得</w:t>
            </w:r>
            <w:r>
              <w:rPr>
                <w:rFonts w:hint="eastAsia" w:ascii="仿宋" w:hAnsi="仿宋" w:eastAsia="仿宋" w:cs="仿宋"/>
                <w:sz w:val="24"/>
                <w:lang w:val="en-US" w:eastAsia="zh-CN"/>
              </w:rPr>
              <w:t>0-1</w:t>
            </w:r>
            <w:r>
              <w:rPr>
                <w:rFonts w:hint="eastAsia" w:ascii="仿宋" w:hAnsi="仿宋" w:eastAsia="仿宋" w:cs="仿宋"/>
                <w:sz w:val="24"/>
              </w:rPr>
              <w:t>分。</w:t>
            </w:r>
            <w:r>
              <w:rPr>
                <w:rFonts w:hint="eastAsia" w:ascii="仿宋" w:hAnsi="仿宋" w:eastAsia="仿宋" w:cs="仿宋"/>
                <w:bCs/>
                <w:sz w:val="24"/>
                <w:szCs w:val="24"/>
                <w:highlight w:val="none"/>
                <w:u w:val="none" w:color="000000"/>
                <w:lang w:val="en-US" w:eastAsia="zh-CN"/>
              </w:rPr>
              <w:t>进行打分，未表述不得分。</w:t>
            </w:r>
          </w:p>
        </w:tc>
        <w:tc>
          <w:tcPr>
            <w:tcW w:w="731" w:type="dxa"/>
            <w:noWrap w:val="0"/>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50" w:type="dxa"/>
            <w:gridSpan w:val="3"/>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 计</w:t>
            </w:r>
          </w:p>
        </w:tc>
        <w:tc>
          <w:tcPr>
            <w:tcW w:w="731" w:type="dxa"/>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90分</w:t>
            </w:r>
          </w:p>
        </w:tc>
      </w:tr>
      <w:bookmarkEnd w:id="399"/>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2、商务分+技术分=评标委员会所有成员评分合计数/评标委员会组成人员数（精确到小数点后二位）；</w:t>
      </w:r>
    </w:p>
    <w:p>
      <w:pPr>
        <w:spacing w:line="360" w:lineRule="auto"/>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3、价格分（10分）</w:t>
      </w:r>
      <w:r>
        <w:rPr>
          <w:rFonts w:hint="eastAsia" w:ascii="仿宋_GB2312" w:hAnsi="仿宋_GB2312" w:eastAsia="仿宋_GB2312" w:cs="仿宋_GB2312"/>
          <w:color w:val="000000"/>
          <w:sz w:val="24"/>
        </w:rPr>
        <w:t>采用低价优先法计算，即满足招标文件要求且投标价格最低的投标报价为评标基准价，其他投标人的价格分按照下列公式计算：</w:t>
      </w:r>
    </w:p>
    <w:p>
      <w:pPr>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价格分=（评标基准价/投标报价）×10%×100（精确到小数点后二位）；</w:t>
      </w:r>
    </w:p>
    <w:p>
      <w:pPr>
        <w:pStyle w:val="73"/>
        <w:ind w:left="0" w:leftChars="0" w:firstLine="420"/>
      </w:pPr>
      <w:r>
        <w:rPr>
          <w:rFonts w:hint="eastAsia"/>
        </w:rPr>
        <w:t>报价是中标的一个重要因素，但最低报价不是中标的唯一依据。</w:t>
      </w:r>
    </w:p>
    <w:p>
      <w:pPr>
        <w:pStyle w:val="73"/>
        <w:spacing w:line="360" w:lineRule="auto"/>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4、各投标人的综合得分为：技术商务得分+投标价格得分之和，总和为100分，其中：商务技术得分90分，投标价格得分10分。</w:t>
      </w:r>
    </w:p>
    <w:p>
      <w:pPr>
        <w:pStyle w:val="73"/>
        <w:ind w:firstLine="420"/>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8"/>
        <w:spacing w:before="0"/>
        <w:ind w:firstLine="480"/>
        <w:rPr>
          <w:rFonts w:hint="eastAsia"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FF0000"/>
          <w:kern w:val="0"/>
          <w:szCs w:val="24"/>
          <w:lang w:val="en-US" w:eastAsia="zh-CN"/>
        </w:rPr>
        <w:t>2</w:t>
      </w:r>
      <w:r>
        <w:rPr>
          <w:rFonts w:ascii="仿宋" w:hAnsi="仿宋" w:eastAsia="仿宋" w:cs="仿宋"/>
          <w:color w:val="FF0000"/>
          <w:kern w:val="0"/>
          <w:szCs w:val="24"/>
        </w:rPr>
        <w:t>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pStyle w:val="98"/>
        <w:spacing w:before="0"/>
        <w:ind w:firstLine="480"/>
        <w:rPr>
          <w:rFonts w:ascii="仿宋" w:hAnsi="仿宋" w:eastAsia="仿宋" w:cs="仿宋"/>
          <w:color w:val="FF0000"/>
          <w:kern w:val="0"/>
          <w:szCs w:val="24"/>
        </w:rPr>
      </w:pPr>
      <w:r>
        <w:rPr>
          <w:rFonts w:hint="eastAsia" w:ascii="仿宋_GB2312" w:hAnsi="仿宋" w:eastAsia="仿宋_GB2312"/>
          <w:color w:val="FF0000"/>
        </w:rPr>
        <w:t>本项目专门面向中小企业的政府采购货物或服务项目，对小型和微型企业的投标报价不予</w:t>
      </w:r>
      <w:r>
        <w:rPr>
          <w:rFonts w:ascii="仿宋_GB2312" w:hAnsi="仿宋" w:eastAsia="仿宋_GB2312"/>
          <w:color w:val="FF0000"/>
        </w:rPr>
        <w:t>扣除。</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430" w:leftChars="205"/>
        <w:rPr>
          <w:rFonts w:cs="Arial"/>
          <w:kern w:val="0"/>
          <w:sz w:val="24"/>
          <w:szCs w:val="24"/>
          <w:lang w:val="en-US"/>
        </w:rPr>
      </w:pPr>
      <w:r>
        <w:rPr>
          <w:rFonts w:cs="Arial"/>
          <w:kern w:val="0"/>
          <w:sz w:val="24"/>
          <w:szCs w:val="24"/>
          <w:lang w:val="en-US"/>
        </w:rPr>
        <w:t xml:space="preserve">4.2.13 </w:t>
      </w:r>
      <w:r>
        <w:rPr>
          <w:rFonts w:hint="eastAsia" w:cs="Arial"/>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31"/>
    <w:p>
      <w:bookmarkStart w:id="403" w:name="第五部分"/>
      <w:bookmarkStart w:id="404" w:name="_Toc86217003"/>
    </w:p>
    <w:p>
      <w:pPr>
        <w:pStyle w:val="73"/>
        <w:ind w:firstLine="420"/>
      </w:pPr>
    </w:p>
    <w:p>
      <w:pPr>
        <w:pStyle w:val="33"/>
      </w:pPr>
    </w:p>
    <w:p/>
    <w:p>
      <w:pPr>
        <w:pStyle w:val="91"/>
      </w:pPr>
    </w:p>
    <w:p/>
    <w:p>
      <w:pPr>
        <w:pStyle w:val="91"/>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91"/>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napToGrid w:val="0"/>
        <w:spacing w:line="360" w:lineRule="auto"/>
        <w:jc w:val="center"/>
        <w:outlineLvl w:val="0"/>
        <w:rPr>
          <w:rFonts w:ascii="宋体" w:hAnsi="宋体"/>
          <w:b/>
          <w:color w:val="000000"/>
          <w:sz w:val="32"/>
          <w:szCs w:val="32"/>
        </w:rPr>
      </w:pPr>
      <w:bookmarkStart w:id="405" w:name="_Toc331685784"/>
    </w:p>
    <w:p>
      <w:pPr>
        <w:snapToGrid w:val="0"/>
        <w:spacing w:line="360" w:lineRule="auto"/>
        <w:jc w:val="center"/>
        <w:outlineLvl w:val="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（以最终合同为准）</w:t>
      </w:r>
    </w:p>
    <w:p>
      <w:pPr>
        <w:autoSpaceDE w:val="0"/>
        <w:autoSpaceDN w:val="0"/>
        <w:snapToGrid w:val="0"/>
        <w:spacing w:line="360" w:lineRule="auto"/>
        <w:ind w:firstLine="436" w:firstLineChars="1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项目名称：</w:t>
      </w:r>
      <w:r>
        <w:rPr>
          <w:rFonts w:hint="eastAsia" w:ascii="仿宋_GB2312" w:hAnsi="仿宋_GB2312" w:eastAsia="仿宋_GB2312" w:cs="仿宋_GB2312"/>
          <w:color w:val="000000"/>
          <w:sz w:val="24"/>
          <w:lang w:eastAsia="zh-CN"/>
        </w:rPr>
        <w:t>网络消费投诉调解质量提升辅助处理服务外包项目</w:t>
      </w:r>
      <w:r>
        <w:rPr>
          <w:rFonts w:hint="eastAsia" w:ascii="仿宋_GB2312" w:hAnsi="仿宋_GB2312" w:eastAsia="仿宋_GB2312" w:cs="仿宋_GB2312"/>
          <w:color w:val="000000"/>
          <w:sz w:val="24"/>
        </w:rPr>
        <w:t xml:space="preserve"> </w:t>
      </w:r>
    </w:p>
    <w:p>
      <w:pPr>
        <w:pStyle w:val="21"/>
        <w:snapToGrid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招标编号：</w:t>
      </w:r>
      <w:r>
        <w:rPr>
          <w:rFonts w:hint="eastAsia" w:ascii="仿宋_GB2312" w:hAnsi="仿宋_GB2312" w:eastAsia="仿宋_GB2312" w:cs="仿宋_GB2312"/>
          <w:sz w:val="24"/>
          <w:lang w:eastAsia="zh-CN"/>
        </w:rPr>
        <w:t>YHZFCG2022-202</w:t>
      </w:r>
    </w:p>
    <w:p>
      <w:pPr>
        <w:pStyle w:val="21"/>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甲方：杭州市余杭区市场监督管理局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kern w:val="2"/>
          <w:sz w:val="24"/>
          <w:szCs w:val="24"/>
          <w:lang w:eastAsia="zh-CN"/>
        </w:rPr>
        <w:t>甲、乙双方根据网络消费投诉调解质量提升辅助处理服务外包项目（招标编号：</w:t>
      </w:r>
      <w:r>
        <w:rPr>
          <w:rFonts w:hint="eastAsia" w:ascii="仿宋_GB2312" w:hAnsi="仿宋_GB2312" w:eastAsia="仿宋_GB2312" w:cs="仿宋_GB2312"/>
          <w:sz w:val="24"/>
          <w:u w:val="single"/>
          <w:lang w:eastAsia="zh-CN"/>
        </w:rPr>
        <w:t>YHZFCG2022-202</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eastAsia="zh-CN"/>
        </w:rPr>
        <w:t>政府采购</w:t>
      </w:r>
      <w:r>
        <w:rPr>
          <w:rFonts w:hint="eastAsia" w:ascii="仿宋_GB2312" w:hAnsi="仿宋_GB2312" w:eastAsia="仿宋_GB2312" w:cs="仿宋_GB2312"/>
          <w:color w:val="000000"/>
          <w:sz w:val="24"/>
          <w:szCs w:val="24"/>
          <w:lang w:eastAsia="zh-CN"/>
        </w:rPr>
        <w:t>公开招标的结果，签署本合同。</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6" w:name="_Toc5663"/>
      <w:r>
        <w:rPr>
          <w:rFonts w:hint="eastAsia" w:ascii="仿宋_GB2312" w:hAnsi="仿宋_GB2312" w:eastAsia="仿宋_GB2312" w:cs="仿宋_GB2312"/>
          <w:b/>
          <w:color w:val="000000"/>
          <w:sz w:val="24"/>
          <w:szCs w:val="24"/>
          <w:lang w:eastAsia="zh-CN"/>
        </w:rPr>
        <w:t>一、服务内容</w:t>
      </w:r>
      <w:bookmarkEnd w:id="406"/>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具体内容和相关要求详见招标文件“</w:t>
      </w:r>
      <w:r>
        <w:rPr>
          <w:rFonts w:hint="eastAsia" w:ascii="仿宋_GB2312" w:hAnsi="仿宋_GB2312" w:eastAsia="仿宋_GB2312" w:cs="仿宋_GB2312"/>
          <w:kern w:val="0"/>
          <w:sz w:val="24"/>
        </w:rPr>
        <w:t>第三部分——项目技术规范和服务要求”</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7" w:name="_Toc13637"/>
      <w:r>
        <w:rPr>
          <w:rFonts w:hint="eastAsia" w:ascii="仿宋_GB2312" w:hAnsi="仿宋_GB2312" w:eastAsia="仿宋_GB2312" w:cs="仿宋_GB2312"/>
          <w:b/>
          <w:color w:val="000000"/>
          <w:sz w:val="24"/>
          <w:szCs w:val="24"/>
          <w:lang w:eastAsia="zh-CN"/>
        </w:rPr>
        <w:t>二、</w:t>
      </w:r>
      <w:r>
        <w:rPr>
          <w:rFonts w:hint="eastAsia" w:ascii="仿宋_GB2312" w:hAnsi="仿宋_GB2312" w:eastAsia="仿宋_GB2312" w:cs="仿宋_GB2312"/>
          <w:b/>
          <w:bCs/>
          <w:sz w:val="24"/>
          <w:lang w:eastAsia="zh-CN" w:bidi="en-US"/>
        </w:rPr>
        <w:t>服务时间要求</w:t>
      </w:r>
      <w:bookmarkEnd w:id="407"/>
    </w:p>
    <w:p>
      <w:pPr>
        <w:pStyle w:val="626"/>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8" w:name="_Toc22910"/>
      <w:r>
        <w:rPr>
          <w:rFonts w:hint="eastAsia" w:ascii="仿宋_GB2312" w:hAnsi="仿宋_GB2312" w:eastAsia="仿宋_GB2312" w:cs="仿宋_GB2312"/>
          <w:b/>
          <w:color w:val="000000"/>
          <w:sz w:val="24"/>
          <w:szCs w:val="24"/>
          <w:lang w:eastAsia="zh-CN"/>
        </w:rPr>
        <w:t>三、合同金额</w:t>
      </w:r>
      <w:bookmarkEnd w:id="408"/>
    </w:p>
    <w:p>
      <w:pPr>
        <w:pStyle w:val="626"/>
        <w:snapToGrid w:val="0"/>
        <w:spacing w:line="360" w:lineRule="auto"/>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合同金额为（大写）</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元）人民币；</w:t>
      </w:r>
    </w:p>
    <w:tbl>
      <w:tblPr>
        <w:tblStyle w:val="74"/>
        <w:tblW w:w="8205"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30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bCs/>
                <w:sz w:val="24"/>
                <w:szCs w:val="24"/>
              </w:rPr>
              <w:t>序号</w:t>
            </w:r>
          </w:p>
        </w:tc>
        <w:tc>
          <w:tcPr>
            <w:tcW w:w="33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bCs/>
                <w:sz w:val="24"/>
                <w:szCs w:val="24"/>
              </w:rPr>
              <w:t>辅助工作类型</w:t>
            </w:r>
          </w:p>
        </w:tc>
        <w:tc>
          <w:tcPr>
            <w:tcW w:w="397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投标单件报价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3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投诉件调解</w:t>
            </w:r>
          </w:p>
        </w:tc>
        <w:tc>
          <w:tcPr>
            <w:tcW w:w="397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3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33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其他重要件处置</w:t>
            </w:r>
          </w:p>
        </w:tc>
        <w:tc>
          <w:tcPr>
            <w:tcW w:w="397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3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33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复议、诉讼答复</w:t>
            </w:r>
          </w:p>
        </w:tc>
        <w:tc>
          <w:tcPr>
            <w:tcW w:w="397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33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复议、诉讼调解</w:t>
            </w:r>
          </w:p>
        </w:tc>
        <w:tc>
          <w:tcPr>
            <w:tcW w:w="3975"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hint="eastAsia" w:ascii="仿宋" w:hAnsi="仿宋" w:eastAsia="仿宋" w:cs="仿宋"/>
                <w:sz w:val="24"/>
                <w:szCs w:val="24"/>
                <w:lang w:eastAsia="zh-CN"/>
              </w:rPr>
            </w:pPr>
          </w:p>
        </w:tc>
      </w:tr>
    </w:tbl>
    <w:p>
      <w:pPr>
        <w:pStyle w:val="626"/>
        <w:snapToGrid w:val="0"/>
        <w:spacing w:line="360" w:lineRule="auto"/>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注：合同总金额即本项目预算总金额，实际结算根据投标单价乘以数量并结合考核内容按实结算。具体参见招标文件相关要求。</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9" w:name="_Toc3395"/>
      <w:r>
        <w:rPr>
          <w:rFonts w:hint="eastAsia" w:ascii="仿宋_GB2312" w:hAnsi="仿宋_GB2312" w:eastAsia="仿宋_GB2312" w:cs="仿宋_GB2312"/>
          <w:b/>
          <w:color w:val="000000"/>
          <w:sz w:val="24"/>
          <w:szCs w:val="24"/>
          <w:lang w:eastAsia="zh-CN"/>
        </w:rPr>
        <w:t>四、技术资料</w:t>
      </w:r>
      <w:bookmarkEnd w:id="409"/>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1、乙方应按招标文件规定的时间向甲方提供有关技术资料。</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0" w:name="_Toc24660"/>
      <w:r>
        <w:rPr>
          <w:rFonts w:hint="eastAsia" w:ascii="仿宋_GB2312" w:hAnsi="仿宋_GB2312" w:eastAsia="仿宋_GB2312" w:cs="仿宋_GB2312"/>
          <w:b/>
          <w:color w:val="000000"/>
          <w:sz w:val="24"/>
          <w:szCs w:val="24"/>
          <w:lang w:eastAsia="zh-CN"/>
        </w:rPr>
        <w:t>五、知识产权</w:t>
      </w:r>
      <w:bookmarkEnd w:id="410"/>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乙方应保证提供服务过程中不会侵犯任何第三方的知识产权。</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1" w:name="_Toc27890"/>
      <w:r>
        <w:rPr>
          <w:rFonts w:hint="eastAsia" w:ascii="仿宋_GB2312" w:hAnsi="仿宋_GB2312" w:eastAsia="仿宋_GB2312" w:cs="仿宋_GB2312"/>
          <w:b/>
          <w:color w:val="000000"/>
          <w:sz w:val="24"/>
          <w:szCs w:val="24"/>
          <w:lang w:eastAsia="zh-CN"/>
        </w:rPr>
        <w:t>六、履约保证金</w:t>
      </w:r>
      <w:bookmarkEnd w:id="411"/>
    </w:p>
    <w:p>
      <w:pPr>
        <w:pStyle w:val="626"/>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2" w:name="_Toc724"/>
      <w:r>
        <w:rPr>
          <w:rFonts w:hint="eastAsia" w:ascii="仿宋_GB2312" w:hAnsi="仿宋_GB2312" w:eastAsia="仿宋_GB2312" w:cs="仿宋_GB2312"/>
          <w:b/>
          <w:color w:val="000000"/>
          <w:sz w:val="24"/>
          <w:szCs w:val="24"/>
          <w:lang w:eastAsia="zh-CN"/>
        </w:rPr>
        <w:t>七、转包或分包</w:t>
      </w:r>
      <w:bookmarkEnd w:id="412"/>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1、本合同范围的服务，应由乙方直接供应，不得转让他人供应；</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2、除非得到甲方的书面同意，乙方不得将本合同范围的服务全部或部分分包给他人供应；</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3、如有转让和未经甲方同意的分包行为，甲方有权解除合同，没收履约保证金并追究乙方的违约责任。</w:t>
      </w:r>
    </w:p>
    <w:p>
      <w:pPr>
        <w:pStyle w:val="626"/>
        <w:snapToGrid w:val="0"/>
        <w:spacing w:line="360" w:lineRule="auto"/>
        <w:ind w:firstLine="482" w:firstLineChars="200"/>
        <w:outlineLvl w:val="1"/>
        <w:rPr>
          <w:rFonts w:ascii="仿宋_GB2312" w:hAnsi="仿宋_GB2312" w:eastAsia="仿宋_GB2312" w:cs="仿宋_GB2312"/>
          <w:color w:val="000000"/>
          <w:sz w:val="24"/>
          <w:szCs w:val="24"/>
          <w:lang w:eastAsia="zh-CN"/>
        </w:rPr>
      </w:pPr>
      <w:bookmarkStart w:id="413" w:name="_Toc26219"/>
      <w:r>
        <w:rPr>
          <w:rFonts w:hint="eastAsia" w:ascii="仿宋_GB2312" w:hAnsi="仿宋_GB2312" w:eastAsia="仿宋_GB2312" w:cs="仿宋_GB2312"/>
          <w:b/>
          <w:color w:val="000000"/>
          <w:sz w:val="24"/>
          <w:szCs w:val="24"/>
          <w:lang w:eastAsia="zh-CN"/>
        </w:rPr>
        <w:t>八、合同履行时间、履行方式及履行地点</w:t>
      </w:r>
      <w:bookmarkEnd w:id="413"/>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1、履行时间：   ；</w:t>
      </w:r>
    </w:p>
    <w:p>
      <w:pPr>
        <w:pStyle w:val="626"/>
        <w:snapToGrid w:val="0"/>
        <w:spacing w:line="360" w:lineRule="auto"/>
        <w:ind w:firstLine="480" w:firstLineChars="200"/>
        <w:rPr>
          <w:rFonts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szCs w:val="24"/>
          <w:lang w:eastAsia="zh-CN"/>
        </w:rPr>
        <w:t>2、</w:t>
      </w:r>
      <w:r>
        <w:rPr>
          <w:rFonts w:hint="eastAsia" w:ascii="仿宋_GB2312" w:hAnsi="仿宋_GB2312" w:eastAsia="仿宋_GB2312" w:cs="仿宋_GB2312"/>
          <w:color w:val="000000"/>
          <w:sz w:val="24"/>
          <w:lang w:eastAsia="zh-CN"/>
        </w:rPr>
        <w:t>履行地点：   。</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4" w:name="_Toc670"/>
      <w:r>
        <w:rPr>
          <w:rFonts w:hint="eastAsia" w:ascii="仿宋_GB2312" w:hAnsi="仿宋_GB2312" w:eastAsia="仿宋_GB2312" w:cs="仿宋_GB2312"/>
          <w:b/>
          <w:color w:val="000000"/>
          <w:sz w:val="24"/>
          <w:szCs w:val="24"/>
          <w:lang w:eastAsia="zh-CN"/>
        </w:rPr>
        <w:t>九、款项支付</w:t>
      </w:r>
      <w:bookmarkEnd w:id="414"/>
    </w:p>
    <w:p>
      <w:pPr>
        <w:pStyle w:val="626"/>
        <w:snapToGrid w:val="0"/>
        <w:spacing w:line="360" w:lineRule="auto"/>
        <w:ind w:firstLine="960" w:firstLineChars="400"/>
        <w:rPr>
          <w:rFonts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szCs w:val="24"/>
          <w:lang w:eastAsia="zh-CN"/>
        </w:rPr>
        <w:t>按招标文件约定执行</w:t>
      </w:r>
      <w:r>
        <w:rPr>
          <w:rFonts w:hint="eastAsia" w:ascii="仿宋_GB2312" w:hAnsi="仿宋_GB2312" w:eastAsia="仿宋_GB2312" w:cs="仿宋_GB2312"/>
          <w:bCs/>
          <w:color w:val="000000"/>
          <w:sz w:val="24"/>
          <w:lang w:eastAsia="zh-CN"/>
        </w:rPr>
        <w:t>。</w:t>
      </w:r>
    </w:p>
    <w:p>
      <w:pPr>
        <w:autoSpaceDE w:val="0"/>
        <w:autoSpaceDN w:val="0"/>
        <w:snapToGrid w:val="0"/>
        <w:spacing w:line="360" w:lineRule="auto"/>
        <w:ind w:firstLine="482" w:firstLineChars="200"/>
        <w:outlineLvl w:val="1"/>
        <w:rPr>
          <w:rFonts w:ascii="仿宋_GB2312" w:hAnsi="仿宋_GB2312" w:eastAsia="仿宋_GB2312" w:cs="仿宋_GB2312"/>
          <w:b/>
          <w:color w:val="000000"/>
          <w:sz w:val="24"/>
        </w:rPr>
      </w:pPr>
      <w:bookmarkStart w:id="415" w:name="_Toc29970"/>
      <w:r>
        <w:rPr>
          <w:rFonts w:hint="eastAsia" w:ascii="仿宋_GB2312" w:hAnsi="仿宋_GB2312" w:eastAsia="仿宋_GB2312" w:cs="仿宋_GB2312"/>
          <w:b/>
          <w:color w:val="000000"/>
          <w:sz w:val="24"/>
        </w:rPr>
        <w:t>十、税费</w:t>
      </w:r>
      <w:bookmarkEnd w:id="415"/>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本合同执行中相关的一切税费均由乙方负担。</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6" w:name="_Toc13501"/>
      <w:r>
        <w:rPr>
          <w:rFonts w:hint="eastAsia" w:ascii="仿宋_GB2312" w:hAnsi="仿宋_GB2312" w:eastAsia="仿宋_GB2312" w:cs="仿宋_GB2312"/>
          <w:b/>
          <w:color w:val="000000"/>
          <w:sz w:val="24"/>
          <w:szCs w:val="24"/>
          <w:lang w:eastAsia="zh-CN"/>
        </w:rPr>
        <w:t>十一、质量保证及后续服务</w:t>
      </w:r>
      <w:bookmarkEnd w:id="416"/>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1、乙方应按招标文件规定向甲方提供服务。</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（1）重做：由乙方承担所发生的全部费用。</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（2）解除合同。</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3、在服务质量保证期内，乙方应对出现的质量及安全问题负责处理解决并承担一切费用。</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7" w:name="_Toc11285"/>
      <w:r>
        <w:rPr>
          <w:rFonts w:hint="eastAsia" w:ascii="仿宋_GB2312" w:hAnsi="仿宋_GB2312" w:eastAsia="仿宋_GB2312" w:cs="仿宋_GB2312"/>
          <w:b/>
          <w:color w:val="000000"/>
          <w:sz w:val="24"/>
          <w:szCs w:val="24"/>
          <w:lang w:eastAsia="zh-CN"/>
        </w:rPr>
        <w:t>十二、违约责任</w:t>
      </w:r>
      <w:bookmarkEnd w:id="417"/>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1、甲方无正当理由拒收接受服务的，甲方向乙方偿付合同款项百分之五作为违约金。</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2、甲方无故逾期验收和办理款项支付手续的，甲方应按逾期付款总额每日万分之五向乙方支付违约金，赔付上线为合同总额的百分之五。</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3、乙方未能如期提供服务的，每逾期一日向甲方支付合同款项的万分之五作为违约金，赔付上线为合同总额的百分之五。</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4、乙方因未能如期提供服务或因其他违约行为导致甲方解除合同的，乙方应向甲方支付合同总值的百分之五违约金。</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8" w:name="_Toc28853"/>
      <w:r>
        <w:rPr>
          <w:rFonts w:hint="eastAsia" w:ascii="仿宋_GB2312" w:hAnsi="仿宋_GB2312" w:eastAsia="仿宋_GB2312" w:cs="仿宋_GB2312"/>
          <w:b/>
          <w:color w:val="000000"/>
          <w:sz w:val="24"/>
          <w:szCs w:val="24"/>
          <w:lang w:eastAsia="zh-CN"/>
        </w:rPr>
        <w:t>十三、不可抗力事件处理</w:t>
      </w:r>
      <w:bookmarkEnd w:id="418"/>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1、在合同有效期内，任何一方因不可抗力事件导致不能履行合同，则合同履行期可延长，其延长期与不可抗力影响期相同。</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2、不可抗力事件发生后，应立即通知对方，并寄送有关权威机构出具的证明。</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3、不可抗力事件延续120天以上，双方应通过友好协商，确定是否继续履行合同。</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9" w:name="_Toc31178"/>
      <w:r>
        <w:rPr>
          <w:rFonts w:hint="eastAsia" w:ascii="仿宋_GB2312" w:hAnsi="仿宋_GB2312" w:eastAsia="仿宋_GB2312" w:cs="仿宋_GB2312"/>
          <w:b/>
          <w:color w:val="000000"/>
          <w:sz w:val="24"/>
          <w:szCs w:val="24"/>
          <w:lang w:eastAsia="zh-CN"/>
        </w:rPr>
        <w:t>十四、诉讼</w:t>
      </w:r>
      <w:bookmarkEnd w:id="419"/>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双方在执行合同中所发生的一切争议，应通过协商解决。如协商不成，可向甲方所在地法院起诉。</w:t>
      </w:r>
    </w:p>
    <w:p>
      <w:pPr>
        <w:pStyle w:val="62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20" w:name="_Toc5342"/>
      <w:r>
        <w:rPr>
          <w:rFonts w:hint="eastAsia" w:ascii="仿宋_GB2312" w:hAnsi="仿宋_GB2312" w:eastAsia="仿宋_GB2312" w:cs="仿宋_GB2312"/>
          <w:b/>
          <w:color w:val="000000"/>
          <w:sz w:val="24"/>
          <w:szCs w:val="24"/>
          <w:lang w:eastAsia="zh-CN"/>
        </w:rPr>
        <w:t>十五、合同生效及其它</w:t>
      </w:r>
      <w:bookmarkEnd w:id="420"/>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1、合同经双方法定代表人或授权代表签字或盖章并加盖单位公章后生效。</w:t>
      </w:r>
    </w:p>
    <w:p>
      <w:pPr>
        <w:pStyle w:val="62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21"/>
        <w:snapToGrid w:val="0"/>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4、本合同一式陆份，具有同等法律效力，甲乙双方各执叁份。</w:t>
      </w:r>
    </w:p>
    <w:p>
      <w:pPr>
        <w:pStyle w:val="21"/>
        <w:snapToGrid w:val="0"/>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360" w:lineRule="auto"/>
        <w:ind w:firstLine="480" w:firstLineChars="200"/>
        <w:rPr>
          <w:rFonts w:ascii="仿宋_GB2312" w:hAnsi="仿宋_GB2312" w:eastAsia="仿宋_GB2312" w:cs="仿宋_GB2312"/>
          <w:color w:val="000000"/>
          <w:sz w:val="24"/>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签订时间：                                签订时间：</w:t>
      </w:r>
    </w:p>
    <w:p>
      <w:pPr>
        <w:pStyle w:val="73"/>
        <w:spacing w:line="360" w:lineRule="auto"/>
        <w:ind w:left="0" w:leftChars="0" w:firstLine="5520" w:firstLineChars="2300"/>
        <w:rPr>
          <w:rFonts w:ascii="仿宋_GB2312" w:hAnsi="仿宋_GB2312" w:eastAsia="仿宋_GB2312" w:cs="仿宋_GB2312"/>
        </w:rPr>
      </w:pPr>
      <w:r>
        <w:rPr>
          <w:rFonts w:hint="eastAsia" w:ascii="仿宋_GB2312" w:hAnsi="仿宋_GB2312" w:eastAsia="仿宋_GB2312" w:cs="仿宋_GB2312"/>
          <w:color w:val="000000"/>
          <w:sz w:val="24"/>
        </w:rPr>
        <w:t>签订地点：</w:t>
      </w:r>
    </w:p>
    <w:p>
      <w:pPr>
        <w:pStyle w:val="36"/>
        <w:spacing w:line="560" w:lineRule="exact"/>
        <w:ind w:firstLine="482"/>
        <w:jc w:val="center"/>
        <w:rPr>
          <w:rFonts w:hAnsi="仿宋_GB2312" w:cs="仿宋_GB2312"/>
          <w:b/>
          <w:szCs w:val="24"/>
        </w:rPr>
      </w:pPr>
      <w:r>
        <w:rPr>
          <w:rFonts w:hint="eastAsia" w:hAnsi="仿宋_GB2312" w:cs="仿宋_GB2312"/>
          <w:b/>
          <w:szCs w:val="24"/>
        </w:rPr>
        <w:t xml:space="preserve"> </w:t>
      </w:r>
      <w:bookmarkEnd w:id="405"/>
    </w:p>
    <w:p>
      <w:pPr>
        <w:spacing w:line="360" w:lineRule="auto"/>
        <w:ind w:left="-420" w:leftChars="-200" w:right="-420" w:rightChars="-200" w:firstLine="480" w:firstLineChars="200"/>
        <w:jc w:val="center"/>
        <w:outlineLvl w:val="0"/>
        <w:rPr>
          <w:rFonts w:ascii="仿宋" w:hAnsi="仿宋" w:eastAsia="仿宋"/>
          <w:sz w:val="24"/>
        </w:rPr>
      </w:pPr>
    </w:p>
    <w:p>
      <w:pPr>
        <w:pStyle w:val="73"/>
        <w:ind w:firstLine="480"/>
        <w:rPr>
          <w:rFonts w:ascii="仿宋" w:hAnsi="仿宋" w:eastAsia="仿宋"/>
          <w:sz w:val="24"/>
        </w:rPr>
      </w:pPr>
    </w:p>
    <w:p>
      <w:pPr>
        <w:pStyle w:val="33"/>
        <w:rPr>
          <w:rFonts w:ascii="仿宋" w:hAnsi="仿宋" w:eastAsia="仿宋"/>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
      <w:pPr>
        <w:pStyle w:val="73"/>
        <w:ind w:firstLine="480"/>
        <w:rPr>
          <w:rFonts w:ascii="仿宋" w:hAnsi="仿宋" w:eastAsia="仿宋"/>
          <w:sz w:val="24"/>
        </w:rPr>
      </w:pPr>
    </w:p>
    <w:p>
      <w:pPr>
        <w:pStyle w:val="33"/>
        <w:rPr>
          <w:rFonts w:ascii="仿宋" w:hAnsi="仿宋" w:eastAsia="仿宋"/>
        </w:rPr>
      </w:pPr>
    </w:p>
    <w:p>
      <w:pPr>
        <w:rPr>
          <w:rFonts w:ascii="仿宋" w:hAnsi="仿宋" w:eastAsia="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03"/>
      <w:r>
        <w:rPr>
          <w:rFonts w:hint="eastAsia" w:ascii="仿宋" w:hAnsi="仿宋" w:eastAsia="仿宋" w:cs="仿宋"/>
          <w:b/>
          <w:sz w:val="36"/>
          <w:szCs w:val="20"/>
        </w:rPr>
        <w:t xml:space="preserve"> </w:t>
      </w:r>
      <w:bookmarkEnd w:id="404"/>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b/>
          <w:color w:val="000000"/>
          <w:sz w:val="24"/>
        </w:rPr>
      </w:pPr>
      <w:r>
        <w:rPr>
          <w:rFonts w:hint="eastAsia" w:ascii="仿宋" w:hAnsi="仿宋" w:eastAsia="仿宋" w:cs="仿宋"/>
          <w:b/>
          <w:color w:val="000000"/>
          <w:sz w:val="24"/>
        </w:rPr>
        <w:t>一、投标人提交投标文件须知：</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pPr>
        <w:snapToGrid w:val="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pPr>
        <w:rPr>
          <w:rFonts w:ascii="仿宋" w:hAnsi="仿宋" w:eastAsia="仿宋" w:cs="仿宋"/>
          <w:b/>
          <w:kern w:val="0"/>
          <w:sz w:val="36"/>
          <w:szCs w:val="36"/>
        </w:rPr>
      </w:pPr>
    </w:p>
    <w:p>
      <w:pPr>
        <w:pStyle w:val="73"/>
        <w:ind w:firstLine="723"/>
        <w:rPr>
          <w:rFonts w:ascii="仿宋_GB2312" w:hAnsi="仿宋" w:eastAsia="仿宋_GB2312" w:cs="仿宋_GB2312"/>
          <w:b/>
          <w:kern w:val="0"/>
          <w:sz w:val="36"/>
          <w:szCs w:val="36"/>
        </w:rPr>
      </w:pPr>
    </w:p>
    <w:p>
      <w:pPr>
        <w:pStyle w:val="33"/>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625"/>
        <w:rPr>
          <w:rFonts w:ascii="仿宋_GB2312" w:hAnsi="仿宋" w:eastAsia="仿宋_GB2312" w:cs="仿宋_GB2312"/>
          <w:b/>
          <w:sz w:val="36"/>
          <w:szCs w:val="36"/>
        </w:rPr>
      </w:pPr>
    </w:p>
    <w:p>
      <w:pPr>
        <w:pStyle w:val="625"/>
        <w:rPr>
          <w:rFonts w:ascii="仿宋_GB2312" w:hAnsi="仿宋" w:eastAsia="仿宋_GB2312" w:cs="仿宋_GB2312"/>
          <w:b/>
          <w:sz w:val="36"/>
          <w:szCs w:val="36"/>
        </w:rPr>
      </w:pPr>
    </w:p>
    <w:p>
      <w:pPr>
        <w:pStyle w:val="625"/>
        <w:rPr>
          <w:rFonts w:ascii="仿宋_GB2312" w:hAnsi="仿宋" w:eastAsia="仿宋_GB2312" w:cs="仿宋_GB2312"/>
          <w:b/>
          <w:sz w:val="36"/>
          <w:szCs w:val="36"/>
        </w:rPr>
      </w:pPr>
    </w:p>
    <w:p>
      <w:pPr>
        <w:pStyle w:val="625"/>
        <w:rPr>
          <w:rFonts w:ascii="仿宋_GB2312" w:hAnsi="仿宋" w:eastAsia="仿宋_GB2312" w:cs="仿宋_GB2312"/>
          <w:b/>
          <w:sz w:val="36"/>
          <w:szCs w:val="36"/>
        </w:rPr>
      </w:pPr>
    </w:p>
    <w:p>
      <w:pPr>
        <w:pStyle w:val="625"/>
        <w:rPr>
          <w:rFonts w:ascii="仿宋_GB2312" w:hAnsi="仿宋" w:eastAsia="仿宋_GB2312" w:cs="仿宋_GB2312"/>
          <w:b/>
          <w:sz w:val="36"/>
          <w:szCs w:val="36"/>
        </w:rPr>
      </w:pPr>
    </w:p>
    <w:p>
      <w:pPr>
        <w:pStyle w:val="625"/>
        <w:rPr>
          <w:rFonts w:ascii="仿宋_GB2312" w:hAnsi="仿宋" w:eastAsia="仿宋_GB2312" w:cs="仿宋_GB2312"/>
          <w:b/>
          <w:sz w:val="36"/>
          <w:szCs w:val="36"/>
        </w:rPr>
      </w:pPr>
    </w:p>
    <w:p>
      <w:pPr>
        <w:pStyle w:val="625"/>
        <w:rPr>
          <w:rFonts w:ascii="仿宋_GB2312" w:hAnsi="仿宋" w:eastAsia="仿宋_GB2312" w:cs="仿宋_GB2312"/>
          <w:b/>
          <w:sz w:val="36"/>
          <w:szCs w:val="36"/>
        </w:rPr>
      </w:pPr>
    </w:p>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625"/>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1" w:type="default"/>
          <w:footerReference r:id="rId12" w:type="default"/>
          <w:pgSz w:w="11906" w:h="16838"/>
          <w:pgMar w:top="993" w:right="1474" w:bottom="1134" w:left="1474" w:header="851" w:footer="641" w:gutter="0"/>
          <w:cols w:space="720" w:num="1"/>
          <w:docGrid w:type="lines" w:linePitch="315" w:charSpace="0"/>
        </w:sectPr>
      </w:pPr>
    </w:p>
    <w:p>
      <w:pPr>
        <w:pStyle w:val="73"/>
        <w:ind w:firstLine="420"/>
      </w:pPr>
    </w:p>
    <w:p>
      <w:pPr>
        <w:spacing w:line="360" w:lineRule="auto"/>
        <w:jc w:val="center"/>
        <w:outlineLvl w:val="0"/>
        <w:rPr>
          <w:rFonts w:ascii="华文仿宋" w:hAnsi="华文仿宋" w:eastAsia="华文仿宋" w:cs="华文仿宋"/>
          <w:b/>
          <w:kern w:val="0"/>
          <w:sz w:val="36"/>
          <w:szCs w:val="36"/>
        </w:rPr>
      </w:pPr>
      <w:r>
        <w:rPr>
          <w:rFonts w:hint="eastAsia" w:ascii="华文仿宋" w:hAnsi="华文仿宋" w:eastAsia="华文仿宋" w:cs="华文仿宋"/>
          <w:b/>
          <w:kern w:val="0"/>
          <w:sz w:val="36"/>
          <w:szCs w:val="36"/>
        </w:rPr>
        <w:t>目 录</w:t>
      </w:r>
    </w:p>
    <w:p>
      <w:pPr>
        <w:spacing w:line="360" w:lineRule="auto"/>
        <w:jc w:val="center"/>
        <w:outlineLvl w:val="0"/>
        <w:rPr>
          <w:rFonts w:ascii="华文仿宋" w:hAnsi="华文仿宋" w:eastAsia="华文仿宋" w:cs="华文仿宋"/>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pStyle w:val="34"/>
        <w:ind w:firstLine="0" w:firstLineChars="0"/>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rPr>
        <w:t>…………………………………………（页码）</w:t>
      </w:r>
    </w:p>
    <w:p>
      <w:pPr>
        <w:widowControl/>
        <w:snapToGrid w:val="0"/>
        <w:spacing w:line="360" w:lineRule="auto"/>
        <w:jc w:val="left"/>
        <w:rPr>
          <w:rFonts w:ascii="宋体" w:hAnsi="宋体" w:cs="宋体"/>
          <w:color w:val="000000"/>
          <w:kern w:val="0"/>
          <w:sz w:val="24"/>
        </w:rPr>
      </w:pPr>
    </w:p>
    <w:p>
      <w:pPr>
        <w:pStyle w:val="34"/>
      </w:pPr>
    </w:p>
    <w:p>
      <w:pPr>
        <w:widowControl/>
        <w:snapToGrid w:val="0"/>
        <w:spacing w:line="360" w:lineRule="auto"/>
        <w:jc w:val="left"/>
        <w:rPr>
          <w:rFonts w:ascii="宋体" w:hAnsi="宋体" w:cs="宋体"/>
          <w:color w:val="000000"/>
          <w:kern w:val="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pStyle w:val="73"/>
        <w:ind w:firstLine="480"/>
        <w:rPr>
          <w:rFonts w:cs="宋体"/>
          <w:color w:val="000000"/>
          <w:sz w:val="24"/>
        </w:rPr>
      </w:pPr>
    </w:p>
    <w:p>
      <w:pPr>
        <w:pStyle w:val="33"/>
      </w:pPr>
    </w:p>
    <w:p/>
    <w:p>
      <w:pPr>
        <w:pStyle w:val="73"/>
        <w:ind w:firstLine="420"/>
      </w:pPr>
    </w:p>
    <w:p>
      <w:pPr>
        <w:pStyle w:val="33"/>
      </w:pPr>
    </w:p>
    <w:p/>
    <w:p>
      <w:pPr>
        <w:pStyle w:val="73"/>
        <w:ind w:firstLine="420"/>
      </w:pPr>
    </w:p>
    <w:p>
      <w:pPr>
        <w:pStyle w:val="33"/>
      </w:pPr>
    </w:p>
    <w:p/>
    <w:p>
      <w:pPr>
        <w:pStyle w:val="625"/>
      </w:pPr>
    </w:p>
    <w:p>
      <w:pPr>
        <w:pStyle w:val="625"/>
      </w:pPr>
    </w:p>
    <w:p>
      <w:pPr>
        <w:pStyle w:val="625"/>
      </w:pPr>
    </w:p>
    <w:p>
      <w:pPr>
        <w:pStyle w:val="625"/>
      </w:pPr>
    </w:p>
    <w:p>
      <w:pPr>
        <w:pStyle w:val="625"/>
      </w:pPr>
    </w:p>
    <w:p>
      <w:pPr>
        <w:pStyle w:val="625"/>
      </w:pPr>
    </w:p>
    <w:p>
      <w:pPr>
        <w:pStyle w:val="625"/>
      </w:pPr>
    </w:p>
    <w:p>
      <w:pPr>
        <w:pStyle w:val="625"/>
      </w:pPr>
    </w:p>
    <w:p>
      <w:pPr>
        <w:pStyle w:val="625"/>
      </w:pPr>
    </w:p>
    <w:p>
      <w:pPr>
        <w:pStyle w:val="625"/>
      </w:pPr>
    </w:p>
    <w:p>
      <w:pPr>
        <w:pStyle w:val="625"/>
      </w:pPr>
    </w:p>
    <w:p>
      <w:pPr>
        <w:pStyle w:val="625"/>
      </w:pPr>
    </w:p>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网络消费投诉调解质量提升辅助处理服务外包项目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pStyle w:val="73"/>
        <w:ind w:firstLine="420"/>
      </w:pPr>
    </w:p>
    <w:p>
      <w:pPr>
        <w:snapToGrid w:val="0"/>
        <w:spacing w:line="360" w:lineRule="auto"/>
        <w:ind w:right="480"/>
        <w:jc w:val="center"/>
        <w:rPr>
          <w:rFonts w:ascii="仿宋_GB2312" w:hAnsi="仿宋" w:eastAsia="仿宋_GB2312" w:cs="仿宋_GB2312"/>
          <w:b/>
          <w:kern w:val="0"/>
          <w:sz w:val="32"/>
          <w:szCs w:val="32"/>
        </w:rPr>
      </w:pPr>
    </w:p>
    <w:p>
      <w:pPr>
        <w:pStyle w:val="625"/>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widowControl/>
        <w:spacing w:line="360" w:lineRule="auto"/>
        <w:ind w:left="150"/>
        <w:jc w:val="center"/>
        <w:rPr>
          <w:rFonts w:ascii="仿宋_GB2312" w:hAnsi="仿宋" w:eastAsia="仿宋_GB2312" w:cs="仿宋_GB2312"/>
          <w:b/>
          <w:kern w:val="0"/>
          <w:sz w:val="32"/>
          <w:szCs w:val="32"/>
        </w:rPr>
      </w:pPr>
    </w:p>
    <w:p>
      <w:pPr>
        <w:snapToGrid w:val="0"/>
        <w:spacing w:line="360" w:lineRule="auto"/>
        <w:ind w:firstLine="960" w:firstLineChars="400"/>
        <w:rPr>
          <w:rFonts w:ascii="仿宋_GB2312" w:hAnsi="仿宋" w:eastAsia="仿宋_GB2312" w:cs="仿宋_GB2312"/>
          <w:b/>
          <w:bCs/>
          <w:color w:val="000000"/>
          <w:sz w:val="24"/>
        </w:rPr>
      </w:pPr>
      <w:r>
        <w:rPr>
          <w:rFonts w:ascii="仿宋_GB2312" w:hAnsi="仿宋" w:eastAsia="仿宋_GB2312" w:cs="仿宋_GB2312"/>
          <w:color w:val="000000"/>
          <w:sz w:val="24"/>
        </w:rPr>
        <w:t xml:space="preserve">落实政府采购政策需满足的资格要求: </w:t>
      </w:r>
      <w:r>
        <w:rPr>
          <w:rFonts w:hint="eastAsia" w:ascii="仿宋_GB2312" w:hAnsi="仿宋" w:eastAsia="仿宋_GB2312" w:cs="仿宋_GB2312"/>
          <w:b/>
          <w:bCs/>
          <w:color w:val="000000"/>
          <w:sz w:val="24"/>
        </w:rPr>
        <w:t>本项目为专门面向中小企业采购的项目</w:t>
      </w:r>
      <w:r>
        <w:rPr>
          <w:rFonts w:ascii="仿宋_GB2312" w:hAnsi="仿宋" w:eastAsia="仿宋_GB2312" w:cs="仿宋_GB2312"/>
          <w:b/>
          <w:bCs/>
          <w:color w:val="000000"/>
          <w:sz w:val="24"/>
        </w:rPr>
        <w:t xml:space="preserve">,投标单位应为中小企业或监狱企业和残疾人福利性单位，出具《中小企业声明函》，否则作无效投标。                 </w:t>
      </w:r>
    </w:p>
    <w:p>
      <w:pPr>
        <w:pStyle w:val="73"/>
        <w:ind w:firstLine="643"/>
        <w:rPr>
          <w:rFonts w:ascii="仿宋_GB2312" w:hAnsi="仿宋" w:eastAsia="仿宋_GB2312" w:cs="仿宋_GB2312"/>
          <w:b/>
          <w:kern w:val="0"/>
          <w:sz w:val="32"/>
          <w:szCs w:val="32"/>
        </w:rPr>
      </w:pPr>
    </w:p>
    <w:p>
      <w:pPr>
        <w:snapToGrid w:val="0"/>
        <w:spacing w:before="50" w:after="50" w:line="360" w:lineRule="auto"/>
        <w:ind w:firstLine="413" w:firstLineChars="196"/>
        <w:jc w:val="left"/>
        <w:rPr>
          <w:rFonts w:ascii="仿宋_GB2312" w:hAnsi="仿宋" w:eastAsia="仿宋_GB2312" w:cs="仿宋_GB2312"/>
          <w:sz w:val="24"/>
        </w:rPr>
      </w:pPr>
      <w:r>
        <w:rPr>
          <w:rFonts w:hint="eastAsia" w:ascii="仿宋_GB2312" w:hAnsi="仿宋" w:eastAsia="仿宋_GB2312"/>
          <w:b/>
          <w:color w:val="000000"/>
        </w:rPr>
        <w:t>▲</w:t>
      </w:r>
      <w:r>
        <w:rPr>
          <w:rFonts w:hint="eastAsia" w:ascii="仿宋_GB2312" w:hAnsi="仿宋" w:eastAsia="仿宋_GB2312" w:cs="仿宋_GB2312"/>
          <w:b/>
          <w:bCs w:val="0"/>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b/>
          <w:bCs w:val="0"/>
          <w:sz w:val="24"/>
        </w:rPr>
        <w:t>5</w:t>
      </w:r>
      <w:r>
        <w:rPr>
          <w:rFonts w:hint="eastAsia" w:ascii="仿宋_GB2312" w:hAnsi="仿宋" w:eastAsia="仿宋_GB2312" w:cs="仿宋_GB2312"/>
          <w:b/>
          <w:bCs w:val="0"/>
          <w:sz w:val="24"/>
        </w:rPr>
        <w:t>）</w:t>
      </w:r>
      <w:r>
        <w:rPr>
          <w:rFonts w:hint="eastAsia" w:ascii="仿宋_GB2312" w:hAnsi="仿宋" w:eastAsia="仿宋_GB2312" w:cs="仿宋_GB2312"/>
          <w:sz w:val="24"/>
        </w:rPr>
        <w:t>。</w:t>
      </w:r>
      <w:r>
        <w:rPr>
          <w:rFonts w:ascii="仿宋_GB2312" w:hAnsi="仿宋" w:eastAsia="仿宋_GB2312" w:cs="仿宋_GB2312"/>
          <w:sz w:val="24"/>
        </w:rPr>
        <w:t xml:space="preserve"> </w:t>
      </w:r>
    </w:p>
    <w:p>
      <w:pPr>
        <w:pStyle w:val="2"/>
      </w:pPr>
    </w:p>
    <w:p>
      <w:pPr>
        <w:spacing w:line="360" w:lineRule="auto"/>
        <w:ind w:firstLine="422" w:firstLineChars="200"/>
        <w:rPr>
          <w:rFonts w:hint="eastAsia" w:ascii="仿宋" w:hAnsi="仿宋" w:eastAsia="仿宋_GB2312"/>
          <w:sz w:val="24"/>
          <w:lang w:eastAsia="zh-CN"/>
        </w:rPr>
      </w:pPr>
      <w:r>
        <w:rPr>
          <w:rFonts w:hint="eastAsia" w:ascii="仿宋_GB2312" w:hAnsi="仿宋" w:eastAsia="仿宋_GB2312"/>
          <w:b/>
          <w:color w:val="000000"/>
        </w:rPr>
        <w:t>▲</w:t>
      </w:r>
      <w:r>
        <w:rPr>
          <w:rFonts w:ascii="仿宋_GB2312" w:hAnsi="仿宋" w:eastAsia="仿宋_GB2312" w:cs="仿宋_GB2312"/>
          <w:b/>
          <w:bCs/>
          <w:color w:val="000000"/>
          <w:sz w:val="24"/>
        </w:rPr>
        <w:sym w:font="Wingdings" w:char="00FE"/>
      </w:r>
      <w:r>
        <w:rPr>
          <w:rFonts w:hint="eastAsia" w:ascii="仿宋_GB2312" w:hAnsi="仿宋" w:eastAsia="仿宋_GB2312"/>
          <w:sz w:val="24"/>
        </w:rPr>
        <w:t>要求以联合体形式参加，提供联合协议和中小企业声明函，联合协议中中小企业合同金额应当达到</w:t>
      </w:r>
      <w:r>
        <w:rPr>
          <w:rFonts w:hint="eastAsia" w:ascii="仿宋_GB2312" w:hAnsi="仿宋" w:eastAsia="仿宋_GB2312"/>
          <w:sz w:val="24"/>
          <w:u w:val="single"/>
          <w:lang w:val="en-US" w:eastAsia="zh-CN"/>
        </w:rPr>
        <w:t>70</w:t>
      </w:r>
      <w:r>
        <w:rPr>
          <w:rFonts w:ascii="仿宋_GB2312" w:hAnsi="仿宋" w:eastAsia="仿宋_GB2312"/>
          <w:sz w:val="24"/>
        </w:rPr>
        <w:t>%，小</w:t>
      </w:r>
      <w:r>
        <w:rPr>
          <w:rFonts w:hint="eastAsia" w:ascii="仿宋_GB2312" w:hAnsi="仿宋" w:eastAsia="仿宋_GB2312"/>
          <w:sz w:val="24"/>
        </w:rPr>
        <w:t>微企业合同金额应当达到</w:t>
      </w:r>
      <w:r>
        <w:rPr>
          <w:rFonts w:hint="eastAsia" w:ascii="仿宋_GB2312" w:hAnsi="仿宋" w:eastAsia="仿宋_GB2312"/>
          <w:sz w:val="24"/>
          <w:u w:val="single"/>
          <w:lang w:val="en-US" w:eastAsia="zh-CN"/>
        </w:rPr>
        <w:t>70</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r>
        <w:rPr>
          <w:rFonts w:hint="eastAsia" w:ascii="仿宋" w:hAnsi="仿宋" w:eastAsia="仿宋"/>
          <w:sz w:val="24"/>
          <w:lang w:eastAsia="zh-CN"/>
        </w:rPr>
        <w:t>未提供</w:t>
      </w:r>
      <w:r>
        <w:rPr>
          <w:rFonts w:ascii="仿宋_GB2312" w:hAnsi="仿宋" w:eastAsia="仿宋_GB2312" w:cs="仿宋_GB2312"/>
          <w:b/>
          <w:bCs/>
          <w:color w:val="000000"/>
          <w:sz w:val="24"/>
        </w:rPr>
        <w:t>作无效投标</w:t>
      </w:r>
      <w:r>
        <w:rPr>
          <w:rFonts w:hint="eastAsia" w:ascii="仿宋_GB2312" w:hAnsi="仿宋" w:eastAsia="仿宋_GB2312" w:cs="仿宋_GB2312"/>
          <w:b/>
          <w:bCs/>
          <w:color w:val="000000"/>
          <w:sz w:val="24"/>
          <w:lang w:eastAsia="zh-CN"/>
        </w:rPr>
        <w:t>。</w:t>
      </w:r>
    </w:p>
    <w:p>
      <w:pPr>
        <w:pStyle w:val="33"/>
        <w:rPr>
          <w:rFonts w:ascii="仿宋_GB2312" w:hAnsi="仿宋" w:eastAsia="仿宋_GB2312" w:cs="仿宋_GB2312"/>
          <w:b/>
          <w:kern w:val="0"/>
          <w:sz w:val="32"/>
          <w:szCs w:val="32"/>
        </w:rPr>
      </w:pP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pStyle w:val="73"/>
        <w:ind w:firstLine="420"/>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p>
    <w:p>
      <w:pPr>
        <w:spacing w:line="360" w:lineRule="auto"/>
        <w:ind w:right="420" w:firstLine="2530" w:firstLineChars="7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pStyle w:val="34"/>
        <w:spacing w:line="360" w:lineRule="auto"/>
        <w:rPr>
          <w:rFonts w:ascii="仿宋_GB2312" w:hAnsi="仿宋_GB2312" w:eastAsia="仿宋_GB2312" w:cs="仿宋_GB231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1" w:name="_Toc17190"/>
      <w:r>
        <w:rPr>
          <w:rFonts w:hint="eastAsia" w:ascii="仿宋_GB2312" w:hAnsi="仿宋_GB2312" w:eastAsia="仿宋_GB2312" w:cs="仿宋_GB2312"/>
          <w:b/>
          <w:bCs/>
          <w:color w:val="000000"/>
          <w:sz w:val="52"/>
          <w:szCs w:val="52"/>
        </w:rPr>
        <w:t>商 务 技 术 文 件</w:t>
      </w:r>
      <w:bookmarkEnd w:id="421"/>
    </w:p>
    <w:p>
      <w:pPr>
        <w:widowControl/>
        <w:spacing w:line="360" w:lineRule="auto"/>
        <w:ind w:right="-2"/>
        <w:jc w:val="center"/>
        <w:outlineLvl w:val="1"/>
        <w:rPr>
          <w:rFonts w:ascii="仿宋_GB2312" w:hAnsi="仿宋_GB2312" w:eastAsia="仿宋_GB2312" w:cs="仿宋_GB2312"/>
          <w:b/>
          <w:color w:val="000000"/>
          <w:sz w:val="36"/>
          <w:szCs w:val="36"/>
        </w:rPr>
      </w:pPr>
      <w:bookmarkStart w:id="422" w:name="_Toc27078"/>
      <w:r>
        <w:rPr>
          <w:rFonts w:hint="eastAsia" w:ascii="仿宋_GB2312" w:hAnsi="仿宋_GB2312" w:eastAsia="仿宋_GB2312" w:cs="仿宋_GB2312"/>
          <w:b/>
          <w:color w:val="000000"/>
          <w:sz w:val="36"/>
          <w:szCs w:val="36"/>
        </w:rPr>
        <w:t>（线上电子招投标）</w:t>
      </w:r>
      <w:bookmarkEnd w:id="422"/>
    </w:p>
    <w:p>
      <w:pPr>
        <w:pStyle w:val="625"/>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3" w:name="_Toc28851"/>
      <w:r>
        <w:rPr>
          <w:rFonts w:hint="eastAsia" w:ascii="仿宋_GB2312" w:hAnsi="仿宋_GB2312" w:eastAsia="仿宋_GB2312" w:cs="仿宋_GB2312"/>
          <w:b/>
          <w:bCs/>
          <w:color w:val="000000"/>
          <w:sz w:val="36"/>
          <w:szCs w:val="36"/>
        </w:rPr>
        <w:t xml:space="preserve">  招标编号：</w:t>
      </w:r>
      <w:bookmarkEnd w:id="423"/>
      <w:r>
        <w:rPr>
          <w:rFonts w:hint="eastAsia" w:ascii="仿宋_GB2312" w:hAnsi="仿宋_GB2312" w:eastAsia="仿宋_GB2312" w:cs="仿宋_GB2312"/>
          <w:b/>
          <w:bCs/>
          <w:color w:val="000000"/>
          <w:sz w:val="36"/>
          <w:szCs w:val="36"/>
        </w:rPr>
        <w:t xml:space="preserve">YHZFCG2022- </w:t>
      </w:r>
    </w:p>
    <w:p>
      <w:pPr>
        <w:pStyle w:val="625"/>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72"/>
          <w:szCs w:val="72"/>
        </w:rPr>
        <w:t>件</w:t>
      </w:r>
    </w:p>
    <w:p>
      <w:pPr>
        <w:pStyle w:val="34"/>
        <w:spacing w:line="360" w:lineRule="auto"/>
        <w:rPr>
          <w:rFonts w:ascii="仿宋_GB2312" w:hAnsi="仿宋_GB2312" w:eastAsia="仿宋_GB2312" w:cs="仿宋_GB2312"/>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cols w:space="720" w:num="1"/>
          <w:docGrid w:type="lines" w:linePitch="315" w:charSpace="0"/>
        </w:sectPr>
      </w:pPr>
    </w:p>
    <w:p>
      <w:pPr>
        <w:pStyle w:val="73"/>
        <w:ind w:firstLine="420"/>
        <w:rPr>
          <w:rFonts w:ascii="仿宋_GB2312" w:hAnsi="仿宋_GB2312" w:eastAsia="仿宋_GB2312" w:cs="仿宋_GB2312"/>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）关于对招标文件中有关条款的拒绝声明（如果有的话）</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）投标人认为需要提供的与本项目有关的其他文件和说明</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73"/>
        <w:ind w:firstLine="643"/>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snapToGrid w:val="0"/>
        <w:spacing w:line="360" w:lineRule="auto"/>
        <w:jc w:val="center"/>
        <w:outlineLvl w:val="0"/>
        <w:rPr>
          <w:rFonts w:ascii="仿宋_GB2312" w:hAnsi="仿宋" w:eastAsia="仿宋_GB2312" w:cs="仿宋_GB2312"/>
          <w:b/>
          <w:kern w:val="0"/>
          <w:sz w:val="32"/>
          <w:szCs w:val="32"/>
        </w:rPr>
      </w:pPr>
    </w:p>
    <w:p>
      <w:pPr>
        <w:pStyle w:val="73"/>
        <w:ind w:firstLine="643"/>
        <w:rPr>
          <w:rFonts w:ascii="仿宋_GB2312" w:hAnsi="仿宋" w:eastAsia="仿宋_GB2312" w:cs="仿宋_GB2312"/>
          <w:b/>
          <w:kern w:val="0"/>
          <w:sz w:val="32"/>
          <w:szCs w:val="32"/>
        </w:rPr>
      </w:pPr>
    </w:p>
    <w:p>
      <w:pPr>
        <w:pStyle w:val="33"/>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12"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zh-CN"/>
        </w:rPr>
        <w:t>杭州市余杭区市场监督管理局</w:t>
      </w:r>
      <w:r>
        <w:rPr>
          <w:rFonts w:hint="eastAsia" w:ascii="仿宋_GB2312" w:hAnsi="仿宋" w:eastAsia="仿宋_GB2312" w:cs="仿宋_GB2312"/>
          <w:sz w:val="24"/>
        </w:rPr>
        <w:t>）、（耀华建设管理有限公司）：</w:t>
      </w:r>
    </w:p>
    <w:p>
      <w:pPr>
        <w:snapToGrid w:val="0"/>
        <w:spacing w:line="312"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eastAsia="zh-CN"/>
        </w:rPr>
        <w:t>网络消费投诉调解质量提升辅助处理服务外包项目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12"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12"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12" w:lineRule="auto"/>
        <w:ind w:firstLine="3600" w:firstLineChars="1500"/>
        <w:rPr>
          <w:rFonts w:ascii="仿宋_GB2312" w:hAnsi="仿宋" w:eastAsia="仿宋_GB2312" w:cs="仿宋_GB2312"/>
          <w:sz w:val="24"/>
        </w:rPr>
      </w:pPr>
    </w:p>
    <w:p>
      <w:pPr>
        <w:spacing w:line="312"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12"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4154" w:firstLineChars="1293"/>
      </w:pPr>
      <w:r>
        <w:rPr>
          <w:rFonts w:hint="eastAsia" w:ascii="仿宋_GB2312" w:hAnsi="仿宋" w:eastAsia="仿宋_GB2312" w:cs="仿宋_GB2312"/>
          <w:b/>
          <w:kern w:val="0"/>
          <w:sz w:val="32"/>
          <w:szCs w:val="32"/>
          <w:lang w:val="zh-CN"/>
        </w:rPr>
        <w:t>授</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权</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委</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托</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书</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val="zh-CN"/>
        </w:rPr>
        <w:t>杭州市余杭区市场监督管理局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网络消费投诉调解质量提升辅助处理服务外包项目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投标人名称(公章或电子公章)：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rPr>
          <w:rFonts w:ascii="仿宋_GB2312" w:hAnsi="仿宋" w:eastAsia="仿宋_GB2312" w:cs="仿宋_GB2312"/>
          <w:sz w:val="24"/>
        </w:rPr>
      </w:pPr>
    </w:p>
    <w:p>
      <w:pPr>
        <w:pStyle w:val="73"/>
        <w:ind w:firstLine="420"/>
      </w:pPr>
    </w:p>
    <w:p>
      <w:pPr>
        <w:autoSpaceDE w:val="0"/>
        <w:autoSpaceDN w:val="0"/>
        <w:spacing w:line="360" w:lineRule="auto"/>
        <w:jc w:val="center"/>
        <w:rPr>
          <w:rFonts w:hint="eastAsia" w:ascii="仿宋_GB2312" w:hAnsi="仿宋" w:eastAsia="仿宋_GB2312" w:cs="仿宋_GB2312"/>
          <w:b/>
          <w:kern w:val="0"/>
          <w:sz w:val="32"/>
          <w:szCs w:val="32"/>
          <w:lang w:val="zh-CN"/>
        </w:rPr>
      </w:pP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 xml:space="preserve">注：另提供-法人或者其他组织机构的营业执照（扫描件或复印件加盖公章）或事业法人登记证书或其他工商等登记证明材料；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spacing w:line="360" w:lineRule="auto"/>
        <w:jc w:val="cente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lang w:val="zh-CN"/>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0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7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jc w:val="center"/>
        </w:trPr>
        <w:tc>
          <w:tcPr>
            <w:tcW w:w="9207" w:type="dxa"/>
            <w:vAlign w:val="top"/>
          </w:tcPr>
          <w:p>
            <w:pPr>
              <w:pStyle w:val="100"/>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eastAsia" w:ascii="仿宋" w:hAnsi="仿宋" w:eastAsia="仿宋" w:cs="仿宋"/>
          <w:color w:val="000000"/>
          <w:kern w:val="0"/>
          <w:sz w:val="24"/>
          <w:lang w:val="zh-CN"/>
        </w:rPr>
        <w:t>(公章或电子公章)</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73"/>
        <w:ind w:left="0" w:leftChars="0" w:firstLine="0" w:firstLineChars="0"/>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7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71"/>
        <w:gridCol w:w="321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07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21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79"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3210"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79" w:type="dxa"/>
            <w:vAlign w:val="top"/>
          </w:tcPr>
          <w:p>
            <w:pPr>
              <w:rPr>
                <w:rFonts w:ascii="仿宋" w:hAnsi="仿宋" w:eastAsia="仿宋" w:cs="仿宋_GB2312"/>
                <w:sz w:val="24"/>
              </w:rPr>
            </w:pPr>
          </w:p>
          <w:p>
            <w:r>
              <w:rPr>
                <w:rFonts w:hint="eastAsia" w:ascii="仿宋" w:hAnsi="仿宋" w:eastAsia="仿宋" w:cs="仿宋_GB2312"/>
                <w:sz w:val="24"/>
              </w:rPr>
              <w:t>详见投标文件所有内容。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hint="eastAsia" w:ascii="仿宋" w:hAnsi="仿宋" w:eastAsia="仿宋"/>
                <w:sz w:val="24"/>
                <w:lang w:val="en-US" w:eastAsia="zh-CN"/>
              </w:rPr>
              <w:t>2</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3210" w:type="dxa"/>
            <w:vAlign w:val="center"/>
          </w:tcPr>
          <w:p>
            <w:pPr>
              <w:rPr>
                <w:rFonts w:ascii="仿宋" w:hAnsi="仿宋" w:eastAsia="仿宋"/>
                <w:sz w:val="24"/>
              </w:rPr>
            </w:pPr>
            <w:r>
              <w:rPr>
                <w:rFonts w:hint="eastAsia" w:ascii="仿宋" w:hAnsi="仿宋" w:eastAsia="仿宋"/>
                <w:sz w:val="24"/>
              </w:rPr>
              <w:t>投标函</w:t>
            </w:r>
          </w:p>
        </w:tc>
        <w:tc>
          <w:tcPr>
            <w:tcW w:w="1679"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4071" w:type="dxa"/>
            <w:vAlign w:val="center"/>
          </w:tcPr>
          <w:p>
            <w:pPr>
              <w:spacing w:line="360" w:lineRule="auto"/>
              <w:jc w:val="left"/>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210"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79" w:type="dxa"/>
            <w:vAlign w:val="top"/>
          </w:tcPr>
          <w:p>
            <w:pPr>
              <w:rPr>
                <w:rFonts w:hint="eastAsia" w:ascii="仿宋" w:hAnsi="仿宋" w:eastAsia="仿宋" w:cs="仿宋_GB2312"/>
                <w:sz w:val="24"/>
              </w:rPr>
            </w:pPr>
            <w:r>
              <w:rPr>
                <w:rFonts w:hint="eastAsia" w:ascii="仿宋" w:hAnsi="仿宋" w:eastAsia="仿宋" w:cs="仿宋_GB2312"/>
                <w:sz w:val="24"/>
              </w:rPr>
              <w:t>见投标文件第</w:t>
            </w:r>
          </w:p>
          <w:p>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numPr>
          <w:ilvl w:val="0"/>
          <w:numId w:val="0"/>
        </w:numPr>
        <w:spacing w:line="360" w:lineRule="auto"/>
        <w:ind w:right="240" w:firstLine="480" w:firstLineChars="200"/>
        <w:rPr>
          <w:rFonts w:ascii="仿宋" w:hAnsi="仿宋" w:eastAsia="仿宋" w:cs="仿宋"/>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74"/>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vAlign w:val="top"/>
          </w:tcPr>
          <w:p/>
          <w:p/>
        </w:tc>
        <w:tc>
          <w:tcPr>
            <w:tcW w:w="189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 </w:t>
            </w:r>
          </w:p>
        </w:tc>
        <w:tc>
          <w:tcPr>
            <w:tcW w:w="5399" w:type="dxa"/>
            <w:vAlign w:val="top"/>
          </w:tcPr>
          <w:p>
            <w:pPr>
              <w:widowControl/>
              <w:shd w:val="clear" w:color="auto" w:fill="FFFFFF"/>
              <w:adjustRightInd/>
              <w:spacing w:after="225" w:line="315" w:lineRule="atLeast"/>
              <w:ind w:firstLine="420"/>
              <w:jc w:val="left"/>
              <w:rPr>
                <w:rFonts w:ascii="仿宋" w:eastAsia="仿宋"/>
                <w:sz w:val="24"/>
              </w:rPr>
            </w:pPr>
          </w:p>
        </w:tc>
        <w:tc>
          <w:tcPr>
            <w:tcW w:w="1344" w:type="dxa"/>
            <w:vAlign w:val="center"/>
          </w:tcPr>
          <w:p>
            <w:pPr>
              <w:spacing w:line="360" w:lineRule="auto"/>
              <w:ind w:firstLine="120" w:firstLineChars="5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、商务技术偏离表</w:t>
      </w:r>
    </w:p>
    <w:tbl>
      <w:tblPr>
        <w:tblStyle w:val="75"/>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1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95"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320"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投标人保证：除商务技术偏离表列出的偏离外，投标人响应招标文件的全部要求。全部响应的可统一填写“完全响应招标文件条款”即可。</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ascii="仿宋_GB2312" w:hAnsi="仿宋" w:eastAsia="仿宋_GB2312" w:cs="仿宋_GB2312"/>
          <w:kern w:val="0"/>
          <w:sz w:val="24"/>
          <w:lang w:val="zh-CN"/>
        </w:rPr>
        <w:t xml:space="preserve"> 投标人名称(公章或电子公章)：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73"/>
        <w:ind w:firstLine="643"/>
        <w:rPr>
          <w:rFonts w:ascii="仿宋_GB2312" w:hAnsi="仿宋" w:eastAsia="仿宋_GB2312"/>
          <w:b/>
          <w:bCs/>
          <w:sz w:val="32"/>
          <w:szCs w:val="32"/>
        </w:rPr>
      </w:pPr>
    </w:p>
    <w:p>
      <w:pPr>
        <w:pStyle w:val="33"/>
      </w:pPr>
    </w:p>
    <w:p>
      <w:pPr>
        <w:rPr>
          <w:rFonts w:ascii="仿宋_GB2312" w:hAnsi="仿宋" w:eastAsia="仿宋_GB2312" w:cs="仿宋_GB2312"/>
          <w:b/>
          <w:kern w:val="0"/>
          <w:sz w:val="32"/>
          <w:szCs w:val="32"/>
        </w:rPr>
      </w:pPr>
    </w:p>
    <w:p>
      <w:pPr>
        <w:pStyle w:val="34"/>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val="zh-CN"/>
        </w:rPr>
        <w:t>杭州市余杭区市场监督管理局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投标人名称(公章或电子公章)：</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4" w:name="_Toc105"/>
      <w:r>
        <w:rPr>
          <w:rFonts w:hint="eastAsia" w:ascii="仿宋_GB2312" w:hAnsi="仿宋_GB2312" w:eastAsia="仿宋_GB2312" w:cs="仿宋_GB2312"/>
          <w:b/>
          <w:bCs/>
          <w:color w:val="000000"/>
          <w:sz w:val="52"/>
          <w:szCs w:val="52"/>
        </w:rPr>
        <w:t>报 价 文 件</w:t>
      </w:r>
      <w:bookmarkEnd w:id="424"/>
    </w:p>
    <w:p>
      <w:pPr>
        <w:widowControl/>
        <w:spacing w:line="360" w:lineRule="auto"/>
        <w:ind w:right="-2"/>
        <w:jc w:val="center"/>
        <w:outlineLvl w:val="1"/>
        <w:rPr>
          <w:rFonts w:ascii="仿宋_GB2312" w:hAnsi="仿宋_GB2312" w:eastAsia="仿宋_GB2312" w:cs="仿宋_GB2312"/>
          <w:b/>
          <w:color w:val="000000"/>
          <w:sz w:val="36"/>
          <w:szCs w:val="36"/>
        </w:rPr>
      </w:pPr>
      <w:bookmarkStart w:id="425" w:name="_Toc22501"/>
      <w:r>
        <w:rPr>
          <w:rFonts w:hint="eastAsia" w:ascii="仿宋_GB2312" w:hAnsi="仿宋_GB2312" w:eastAsia="仿宋_GB2312" w:cs="仿宋_GB2312"/>
          <w:b/>
          <w:color w:val="000000"/>
          <w:sz w:val="36"/>
          <w:szCs w:val="36"/>
        </w:rPr>
        <w:t>（线上电子招投标）</w:t>
      </w:r>
      <w:bookmarkEnd w:id="425"/>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6"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26"/>
      <w:r>
        <w:rPr>
          <w:rFonts w:hint="eastAsia" w:ascii="仿宋_GB2312" w:hAnsi="仿宋_GB2312" w:eastAsia="仿宋_GB2312" w:cs="仿宋_GB2312"/>
          <w:b/>
          <w:bCs/>
          <w:color w:val="000000"/>
          <w:sz w:val="36"/>
          <w:szCs w:val="36"/>
        </w:rPr>
        <w:t xml:space="preserve">YHZFCG2022- </w:t>
      </w:r>
    </w:p>
    <w:p>
      <w:pPr>
        <w:pStyle w:val="625"/>
        <w:spacing w:line="360" w:lineRule="auto"/>
        <w:rPr>
          <w:rFonts w:ascii="仿宋_GB2312" w:hAnsi="仿宋_GB2312" w:eastAsia="仿宋_GB2312" w:cs="仿宋_GB2312"/>
          <w:sz w:val="72"/>
          <w:szCs w:val="72"/>
        </w:rPr>
      </w:pP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8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杭州市余杭区市场监督管理局：</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u w:val="single"/>
          <w:lang w:eastAsia="zh-CN"/>
        </w:rPr>
        <w:t>网络消费投诉调解质量提升辅助处理服务外包项目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74"/>
        <w:tblW w:w="12763"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568"/>
        <w:gridCol w:w="5"/>
        <w:gridCol w:w="4904"/>
        <w:gridCol w:w="2800"/>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2568" w:type="dxa"/>
            <w:vAlign w:val="center"/>
          </w:tcPr>
          <w:p>
            <w:pPr>
              <w:spacing w:line="360" w:lineRule="auto"/>
              <w:jc w:val="center"/>
              <w:rPr>
                <w:rFonts w:ascii="仿宋_GB2312" w:hAnsi="仿宋" w:eastAsia="仿宋_GB2312" w:cs="仿宋_GB2312"/>
                <w:b/>
                <w:sz w:val="24"/>
              </w:rPr>
            </w:pPr>
            <w:r>
              <w:rPr>
                <w:rFonts w:hint="eastAsia" w:ascii="仿宋" w:hAnsi="仿宋" w:eastAsia="仿宋" w:cs="仿宋"/>
                <w:b/>
                <w:bCs/>
                <w:sz w:val="24"/>
                <w:szCs w:val="24"/>
              </w:rPr>
              <w:t>辅助工作类型</w:t>
            </w:r>
          </w:p>
        </w:tc>
        <w:tc>
          <w:tcPr>
            <w:tcW w:w="4909" w:type="dxa"/>
            <w:gridSpan w:val="2"/>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综合</w:t>
            </w:r>
            <w:r>
              <w:rPr>
                <w:rFonts w:hint="eastAsia" w:ascii="仿宋_GB2312" w:hAnsi="仿宋" w:eastAsia="仿宋_GB2312"/>
                <w:b/>
                <w:sz w:val="24"/>
              </w:rPr>
              <w:t>单价</w:t>
            </w:r>
            <w:r>
              <w:rPr>
                <w:rFonts w:hint="eastAsia" w:ascii="仿宋_GB2312" w:hAnsi="仿宋" w:eastAsia="仿宋_GB2312"/>
                <w:b/>
                <w:sz w:val="24"/>
                <w:lang w:eastAsia="zh-CN"/>
              </w:rPr>
              <w:t>（元</w:t>
            </w:r>
            <w:r>
              <w:rPr>
                <w:rFonts w:hint="eastAsia" w:ascii="仿宋_GB2312" w:hAnsi="仿宋" w:eastAsia="仿宋_GB2312"/>
                <w:b/>
                <w:sz w:val="24"/>
                <w:lang w:val="en-US" w:eastAsia="zh-CN"/>
              </w:rPr>
              <w:t>/件）</w:t>
            </w:r>
          </w:p>
        </w:tc>
        <w:tc>
          <w:tcPr>
            <w:tcW w:w="28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服务期限</w:t>
            </w:r>
          </w:p>
        </w:tc>
        <w:tc>
          <w:tcPr>
            <w:tcW w:w="1844"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34"/>
              <w:spacing w:line="360" w:lineRule="auto"/>
              <w:ind w:firstLine="0" w:firstLineChars="0"/>
              <w:jc w:val="center"/>
              <w:rPr>
                <w:rFonts w:ascii="仿宋_GB2312" w:hAnsi="仿宋" w:eastAsia="仿宋_GB2312" w:cs="仿宋_GB2312"/>
                <w:sz w:val="24"/>
              </w:rPr>
            </w:pPr>
            <w:r>
              <w:rPr>
                <w:rFonts w:hint="eastAsia" w:ascii="仿宋" w:hAnsi="仿宋" w:eastAsia="仿宋" w:cs="仿宋"/>
              </w:rPr>
              <w:t>1</w:t>
            </w:r>
          </w:p>
        </w:tc>
        <w:tc>
          <w:tcPr>
            <w:tcW w:w="2568"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kern w:val="2"/>
                <w:sz w:val="24"/>
                <w:szCs w:val="24"/>
                <w:lang w:val="en-US" w:eastAsia="zh-CN" w:bidi="ar-SA"/>
              </w:rPr>
            </w:pPr>
            <w:r>
              <w:rPr>
                <w:rFonts w:hint="eastAsia" w:ascii="仿宋" w:hAnsi="仿宋" w:eastAsia="仿宋" w:cs="仿宋"/>
                <w:sz w:val="24"/>
                <w:szCs w:val="24"/>
              </w:rPr>
              <w:t>投诉件调解</w:t>
            </w:r>
          </w:p>
        </w:tc>
        <w:tc>
          <w:tcPr>
            <w:tcW w:w="4909" w:type="dxa"/>
            <w:gridSpan w:val="2"/>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sz w:val="24"/>
              </w:rPr>
            </w:pPr>
          </w:p>
        </w:tc>
        <w:tc>
          <w:tcPr>
            <w:tcW w:w="28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sz w:val="24"/>
              </w:rPr>
            </w:pPr>
            <w:r>
              <w:rPr>
                <w:rFonts w:hint="eastAsia" w:ascii="仿宋" w:hAnsi="仿宋" w:eastAsia="仿宋" w:cs="仿宋"/>
                <w:b/>
                <w:bCs/>
                <w:sz w:val="24"/>
                <w:szCs w:val="24"/>
                <w:lang w:eastAsia="zh-CN"/>
              </w:rPr>
              <w:t>详见采购需求</w:t>
            </w:r>
          </w:p>
        </w:tc>
        <w:tc>
          <w:tcPr>
            <w:tcW w:w="1844"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pPr>
              <w:pStyle w:val="34"/>
              <w:spacing w:line="360" w:lineRule="auto"/>
              <w:ind w:firstLine="0" w:firstLineChars="0"/>
              <w:jc w:val="center"/>
              <w:rPr>
                <w:rFonts w:ascii="仿宋_GB2312" w:hAnsi="仿宋" w:eastAsia="仿宋_GB2312" w:cs="仿宋_GB2312"/>
                <w:sz w:val="24"/>
              </w:rPr>
            </w:pPr>
            <w:r>
              <w:rPr>
                <w:rFonts w:hint="eastAsia" w:ascii="仿宋" w:hAnsi="仿宋" w:eastAsia="仿宋" w:cs="仿宋"/>
              </w:rPr>
              <w:t>2</w:t>
            </w:r>
          </w:p>
        </w:tc>
        <w:tc>
          <w:tcPr>
            <w:tcW w:w="2568"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kern w:val="2"/>
                <w:sz w:val="24"/>
                <w:szCs w:val="24"/>
                <w:lang w:val="en-US" w:eastAsia="zh-CN" w:bidi="ar-SA"/>
              </w:rPr>
            </w:pPr>
            <w:r>
              <w:rPr>
                <w:rFonts w:hint="eastAsia" w:ascii="仿宋" w:hAnsi="仿宋" w:eastAsia="仿宋" w:cs="仿宋"/>
                <w:sz w:val="24"/>
                <w:szCs w:val="24"/>
              </w:rPr>
              <w:t>其他重要件处置</w:t>
            </w:r>
          </w:p>
        </w:tc>
        <w:tc>
          <w:tcPr>
            <w:tcW w:w="4909" w:type="dxa"/>
            <w:gridSpan w:val="2"/>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sz w:val="24"/>
              </w:rPr>
            </w:pPr>
          </w:p>
        </w:tc>
        <w:tc>
          <w:tcPr>
            <w:tcW w:w="28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sz w:val="24"/>
              </w:rPr>
            </w:pPr>
            <w:r>
              <w:rPr>
                <w:rFonts w:hint="eastAsia" w:ascii="仿宋" w:hAnsi="仿宋" w:eastAsia="仿宋" w:cs="仿宋"/>
                <w:b/>
                <w:bCs/>
                <w:sz w:val="24"/>
                <w:szCs w:val="24"/>
                <w:lang w:eastAsia="zh-CN"/>
              </w:rPr>
              <w:t>详见采购需求</w:t>
            </w:r>
          </w:p>
        </w:tc>
        <w:tc>
          <w:tcPr>
            <w:tcW w:w="1844"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34"/>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3</w:t>
            </w:r>
          </w:p>
        </w:tc>
        <w:tc>
          <w:tcPr>
            <w:tcW w:w="2568"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kern w:val="2"/>
                <w:sz w:val="24"/>
                <w:szCs w:val="24"/>
                <w:lang w:val="en-US" w:eastAsia="zh-CN" w:bidi="ar-SA"/>
              </w:rPr>
            </w:pPr>
            <w:r>
              <w:rPr>
                <w:rFonts w:hint="eastAsia" w:ascii="仿宋" w:hAnsi="仿宋" w:eastAsia="仿宋" w:cs="仿宋"/>
                <w:sz w:val="24"/>
                <w:szCs w:val="24"/>
              </w:rPr>
              <w:t>复议、诉讼答复</w:t>
            </w:r>
          </w:p>
        </w:tc>
        <w:tc>
          <w:tcPr>
            <w:tcW w:w="4909" w:type="dxa"/>
            <w:gridSpan w:val="2"/>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sz w:val="24"/>
              </w:rPr>
            </w:pPr>
          </w:p>
        </w:tc>
        <w:tc>
          <w:tcPr>
            <w:tcW w:w="28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sz w:val="24"/>
              </w:rPr>
            </w:pPr>
            <w:r>
              <w:rPr>
                <w:rFonts w:hint="eastAsia" w:ascii="仿宋" w:hAnsi="仿宋" w:eastAsia="仿宋" w:cs="仿宋"/>
                <w:b/>
                <w:bCs/>
                <w:sz w:val="24"/>
                <w:szCs w:val="24"/>
                <w:lang w:eastAsia="zh-CN"/>
              </w:rPr>
              <w:t>详见采购需求</w:t>
            </w:r>
          </w:p>
        </w:tc>
        <w:tc>
          <w:tcPr>
            <w:tcW w:w="1844"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34"/>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4</w:t>
            </w:r>
          </w:p>
        </w:tc>
        <w:tc>
          <w:tcPr>
            <w:tcW w:w="2568"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kern w:val="2"/>
                <w:sz w:val="24"/>
                <w:szCs w:val="24"/>
                <w:lang w:val="en-US" w:eastAsia="zh-CN" w:bidi="ar-SA"/>
              </w:rPr>
            </w:pPr>
            <w:r>
              <w:rPr>
                <w:rFonts w:hint="eastAsia" w:ascii="仿宋" w:hAnsi="仿宋" w:eastAsia="仿宋" w:cs="仿宋"/>
                <w:sz w:val="24"/>
                <w:szCs w:val="24"/>
              </w:rPr>
              <w:t>复议、诉讼调解</w:t>
            </w:r>
          </w:p>
        </w:tc>
        <w:tc>
          <w:tcPr>
            <w:tcW w:w="4909" w:type="dxa"/>
            <w:gridSpan w:val="2"/>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sz w:val="24"/>
              </w:rPr>
            </w:pPr>
          </w:p>
        </w:tc>
        <w:tc>
          <w:tcPr>
            <w:tcW w:w="2800" w:type="dxa"/>
            <w:vAlign w:val="center"/>
          </w:tcPr>
          <w:p>
            <w:pPr>
              <w:pStyle w:val="34"/>
              <w:pageBreakBefore w:val="0"/>
              <w:kinsoku/>
              <w:wordWrap/>
              <w:overflowPunct/>
              <w:topLinePunct w:val="0"/>
              <w:autoSpaceDE/>
              <w:autoSpaceDN/>
              <w:bidi w:val="0"/>
              <w:snapToGrid/>
              <w:spacing w:line="360" w:lineRule="auto"/>
              <w:ind w:firstLine="0" w:firstLineChars="0"/>
              <w:jc w:val="center"/>
              <w:textAlignment w:val="auto"/>
              <w:rPr>
                <w:rFonts w:ascii="仿宋_GB2312" w:hAnsi="仿宋" w:eastAsia="仿宋_GB2312" w:cs="仿宋_GB2312"/>
                <w:sz w:val="24"/>
              </w:rPr>
            </w:pPr>
            <w:r>
              <w:rPr>
                <w:rFonts w:hint="eastAsia" w:ascii="仿宋" w:hAnsi="仿宋" w:eastAsia="仿宋" w:cs="仿宋"/>
                <w:b/>
                <w:bCs/>
                <w:sz w:val="24"/>
                <w:szCs w:val="24"/>
                <w:lang w:eastAsia="zh-CN"/>
              </w:rPr>
              <w:t>详见采购需求</w:t>
            </w:r>
          </w:p>
        </w:tc>
        <w:tc>
          <w:tcPr>
            <w:tcW w:w="1844"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3215"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eastAsia="zh-CN"/>
              </w:rPr>
              <w:t>综合单价</w:t>
            </w:r>
            <w:r>
              <w:rPr>
                <w:rFonts w:hint="eastAsia" w:ascii="仿宋_GB2312" w:hAnsi="仿宋" w:eastAsia="仿宋_GB2312" w:cs="仿宋_GB2312"/>
                <w:b/>
                <w:sz w:val="24"/>
              </w:rPr>
              <w:t>报价</w:t>
            </w:r>
            <w:r>
              <w:rPr>
                <w:rFonts w:hint="eastAsia" w:ascii="仿宋_GB2312" w:hAnsi="仿宋" w:eastAsia="仿宋_GB2312" w:cs="仿宋_GB2312"/>
                <w:b/>
                <w:sz w:val="24"/>
                <w:lang w:val="en-US" w:eastAsia="zh-CN"/>
              </w:rPr>
              <w:t>小计</w:t>
            </w:r>
          </w:p>
        </w:tc>
        <w:tc>
          <w:tcPr>
            <w:tcW w:w="9548" w:type="dxa"/>
            <w:gridSpan w:val="3"/>
            <w:vAlign w:val="center"/>
          </w:tcPr>
          <w:p>
            <w:pPr>
              <w:spacing w:line="360" w:lineRule="auto"/>
              <w:jc w:val="left"/>
              <w:rPr>
                <w:rFonts w:hint="eastAsia" w:ascii="仿宋_GB2312" w:hAnsi="仿宋" w:eastAsia="仿宋_GB2312" w:cs="仿宋_GB2312"/>
                <w:b/>
                <w:sz w:val="24"/>
                <w:lang w:eastAsia="zh-CN"/>
              </w:rPr>
            </w:pPr>
            <w:r>
              <w:rPr>
                <w:rFonts w:hint="eastAsia" w:ascii="仿宋_GB2312" w:hAnsi="仿宋" w:eastAsia="仿宋_GB2312" w:cs="仿宋_GB2312"/>
                <w:b/>
                <w:sz w:val="24"/>
              </w:rPr>
              <w:t>（小写）</w:t>
            </w:r>
            <w:r>
              <w:rPr>
                <w:rFonts w:hint="eastAsia" w:ascii="仿宋_GB2312" w:hAnsi="仿宋" w:eastAsia="仿宋_GB2312" w:cs="仿宋_GB2312"/>
                <w:b/>
                <w:sz w:val="24"/>
                <w:lang w:eastAsia="zh-CN"/>
              </w:rPr>
              <w:t>：</w:t>
            </w:r>
          </w:p>
          <w:p>
            <w:pPr>
              <w:jc w:val="left"/>
              <w:rPr>
                <w:rFonts w:hint="default"/>
                <w:lang w:val="en-US" w:eastAsia="zh-CN"/>
              </w:rPr>
            </w:pPr>
            <w:r>
              <w:rPr>
                <w:rFonts w:hint="eastAsia" w:ascii="仿宋_GB2312" w:hAnsi="仿宋" w:eastAsia="仿宋_GB2312" w:cs="仿宋_GB2312"/>
                <w:b/>
                <w:sz w:val="24"/>
                <w:lang w:val="en-US" w:eastAsia="zh-CN"/>
              </w:rPr>
              <w:t>（大写）：</w:t>
            </w:r>
          </w:p>
        </w:tc>
      </w:tr>
    </w:tbl>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注：</w:t>
      </w: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pacing w:line="48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3</w:t>
      </w:r>
      <w:r>
        <w:rPr>
          <w:rFonts w:ascii="仿宋_GB2312" w:hAnsi="仿宋" w:eastAsia="仿宋_GB2312" w:cs="仿宋_GB2312"/>
          <w:kern w:val="0"/>
          <w:sz w:val="24"/>
          <w:lang w:val="zh-CN"/>
        </w:rPr>
        <w:t>、特别提示：</w:t>
      </w:r>
    </w:p>
    <w:p>
      <w:pPr>
        <w:spacing w:line="480" w:lineRule="auto"/>
        <w:ind w:firstLine="480" w:firstLineChars="200"/>
        <w:rPr>
          <w:rFonts w:hint="eastAsia" w:ascii="仿宋" w:hAnsi="仿宋" w:eastAsia="仿宋" w:cs="仿宋"/>
          <w:b/>
          <w:bCs/>
          <w:sz w:val="24"/>
          <w:lang w:eastAsia="zh-CN"/>
        </w:rPr>
      </w:pPr>
      <w:r>
        <w:rPr>
          <w:rFonts w:hint="eastAsia" w:ascii="仿宋_GB2312" w:hAnsi="仿宋" w:eastAsia="仿宋_GB2312" w:cs="仿宋_GB2312"/>
          <w:kern w:val="0"/>
          <w:sz w:val="24"/>
          <w:lang w:val="en-US" w:eastAsia="zh-CN"/>
        </w:rPr>
        <w:t>3.1</w:t>
      </w:r>
      <w:r>
        <w:rPr>
          <w:rFonts w:hint="eastAsia" w:ascii="仿宋" w:hAnsi="仿宋" w:eastAsia="仿宋" w:cs="仿宋"/>
          <w:b/>
          <w:bCs/>
          <w:sz w:val="24"/>
          <w:lang w:eastAsia="zh-CN"/>
        </w:rPr>
        <w:t>上述服务包括不限于未明列上表已在采购需求中体现的内容，由投标单位综合考量计入上述综合单价中。</w:t>
      </w:r>
    </w:p>
    <w:p>
      <w:pPr>
        <w:autoSpaceDE w:val="0"/>
        <w:autoSpaceDN w:val="0"/>
        <w:spacing w:line="360" w:lineRule="auto"/>
        <w:ind w:right="112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3.2最高单价限价详见采购需求。超过最高限价作无效投标处理。</w:t>
      </w:r>
    </w:p>
    <w:p>
      <w:pPr>
        <w:autoSpaceDE w:val="0"/>
        <w:autoSpaceDN w:val="0"/>
        <w:spacing w:line="360" w:lineRule="auto"/>
        <w:ind w:right="1120"/>
        <w:jc w:val="left"/>
        <w:rPr>
          <w:rFonts w:hint="eastAsia" w:ascii="仿宋_GB2312" w:hAnsi="仿宋_GB2312" w:eastAsia="仿宋_GB2312" w:cs="仿宋_GB2312"/>
          <w:kern w:val="0"/>
          <w:sz w:val="24"/>
          <w:lang w:val="zh-CN"/>
        </w:rPr>
      </w:pPr>
    </w:p>
    <w:p>
      <w:pPr>
        <w:autoSpaceDE w:val="0"/>
        <w:autoSpaceDN w:val="0"/>
        <w:spacing w:line="360" w:lineRule="auto"/>
        <w:ind w:right="1120" w:firstLine="4320" w:firstLineChars="18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投标人名称(公章或电子公章)：</w:t>
      </w:r>
      <w:r>
        <w:rPr>
          <w:rFonts w:ascii="仿宋_GB2312" w:hAnsi="仿宋_GB2312" w:eastAsia="仿宋_GB2312" w:cs="仿宋_GB2312"/>
          <w:kern w:val="0"/>
          <w:sz w:val="24"/>
          <w:lang w:val="zh-CN"/>
        </w:rPr>
        <w:t xml:space="preserve">                                                                                                                                                                                                               </w:t>
      </w:r>
    </w:p>
    <w:p>
      <w:pPr>
        <w:spacing w:line="360" w:lineRule="auto"/>
        <w:ind w:firstLine="4800" w:firstLineChars="2000"/>
        <w:rPr>
          <w:sz w:val="24"/>
        </w:rPr>
      </w:pPr>
      <w:r>
        <w:rPr>
          <w:rFonts w:hint="eastAsia" w:ascii="仿宋_GB2312" w:hAnsi="仿宋_GB2312" w:eastAsia="仿宋_GB2312" w:cs="仿宋_GB2312"/>
          <w:kern w:val="0"/>
          <w:sz w:val="24"/>
          <w:lang w:val="zh-CN"/>
        </w:rPr>
        <w:t>签发日期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firstLine="960" w:firstLineChars="400"/>
        <w:rPr>
          <w:rFonts w:ascii="仿宋" w:eastAsia="仿宋"/>
          <w:sz w:val="24"/>
          <w:szCs w:val="24"/>
          <w:lang w:val="en-US"/>
        </w:rPr>
      </w:pPr>
      <w:r>
        <w:rPr>
          <w:rFonts w:hint="eastAsia" w:ascii="仿宋" w:eastAsia="仿宋"/>
          <w:sz w:val="24"/>
          <w:szCs w:val="24"/>
          <w:lang w:val="en-US"/>
        </w:rPr>
        <w:t>（三）杭州e融平台申请融资</w:t>
      </w:r>
    </w:p>
    <w:p>
      <w:pPr>
        <w:pStyle w:val="2"/>
        <w:ind w:firstLine="960" w:firstLineChars="400"/>
        <w:rPr>
          <w:rFonts w:ascii="仿宋" w:eastAsia="仿宋"/>
          <w:sz w:val="24"/>
          <w:szCs w:val="24"/>
          <w:lang w:val="en-US"/>
        </w:rPr>
      </w:pPr>
      <w:r>
        <w:rPr>
          <w:rFonts w:hint="eastAsia" w:ascii="仿宋" w:eastAsia="仿宋"/>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27" w:name="_Toc465665161"/>
      <w:r>
        <w:rPr>
          <w:rFonts w:hint="eastAsia" w:ascii="仿宋_GB2312" w:hAnsi="仿宋" w:eastAsia="仿宋_GB2312"/>
        </w:rPr>
        <w:t>附件</w:t>
      </w:r>
      <w:bookmarkEnd w:id="42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8" w:name="OLE_LINK14"/>
      <w:bookmarkStart w:id="429" w:name="OLE_LINK13"/>
      <w:r>
        <w:rPr>
          <w:rFonts w:hint="eastAsia" w:ascii="仿宋_GB2312" w:hAnsi="仿宋" w:eastAsia="仿宋_GB2312"/>
          <w:b/>
          <w:spacing w:val="6"/>
          <w:sz w:val="32"/>
          <w:szCs w:val="32"/>
        </w:rPr>
        <w:t>残疾人福利性单位声明函</w:t>
      </w:r>
    </w:p>
    <w:bookmarkEnd w:id="428"/>
    <w:bookmarkEnd w:id="42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rPr>
          <w:rFonts w:ascii="仿宋_GB2312" w:hAnsi="仿宋" w:eastAsia="仿宋_GB2312"/>
          <w:b/>
          <w:spacing w:val="6"/>
          <w:sz w:val="32"/>
          <w:szCs w:val="32"/>
        </w:rPr>
      </w:pPr>
    </w:p>
    <w:p>
      <w:pPr>
        <w:rPr>
          <w:rFonts w:ascii="仿宋_GB2312" w:hAnsi="仿宋" w:eastAsia="仿宋_GB2312"/>
          <w:b/>
          <w:spacing w:val="6"/>
          <w:sz w:val="32"/>
          <w:szCs w:val="32"/>
        </w:rPr>
      </w:pPr>
    </w:p>
    <w:p>
      <w:pPr>
        <w:pStyle w:val="2"/>
        <w:rPr>
          <w:rFonts w:ascii="仿宋_GB2312" w:hAnsi="仿宋" w:eastAsia="仿宋_GB2312"/>
          <w:b/>
          <w:spacing w:val="6"/>
          <w:sz w:val="32"/>
          <w:szCs w:val="32"/>
        </w:rPr>
      </w:pPr>
    </w:p>
    <w:p>
      <w:pPr>
        <w:rPr>
          <w:rFonts w:ascii="仿宋_GB2312" w:hAnsi="仿宋" w:eastAsia="仿宋_GB2312"/>
          <w:b/>
          <w:spacing w:val="6"/>
          <w:sz w:val="32"/>
          <w:szCs w:val="32"/>
        </w:rPr>
      </w:pPr>
    </w:p>
    <w:p>
      <w:pPr>
        <w:pStyle w:val="2"/>
        <w:rPr>
          <w:rFonts w:ascii="仿宋_GB2312" w:hAnsi="仿宋" w:eastAsia="仿宋_GB2312"/>
          <w:b/>
          <w:spacing w:val="6"/>
          <w:sz w:val="32"/>
          <w:szCs w:val="32"/>
        </w:rPr>
      </w:pPr>
    </w:p>
    <w:p>
      <w:pPr>
        <w:rPr>
          <w:rFonts w:ascii="仿宋_GB2312" w:hAnsi="仿宋" w:eastAsia="仿宋_GB2312"/>
          <w:b/>
          <w:spacing w:val="6"/>
          <w:sz w:val="32"/>
          <w:szCs w:val="32"/>
        </w:rPr>
      </w:pPr>
    </w:p>
    <w:p>
      <w:pPr>
        <w:pStyle w:val="2"/>
        <w:rPr>
          <w:rFonts w:ascii="仿宋_GB2312" w:hAnsi="仿宋" w:eastAsia="仿宋_GB2312"/>
          <w:b/>
          <w:spacing w:val="6"/>
          <w:sz w:val="32"/>
          <w:szCs w:val="32"/>
        </w:rPr>
      </w:pPr>
    </w:p>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hint="eastAsia"/>
        </w:rPr>
      </w:pPr>
    </w:p>
    <w:p>
      <w:pPr>
        <w:pStyle w:val="2"/>
        <w:rPr>
          <w:rFonts w:hint="eastAsia"/>
        </w:rPr>
      </w:pPr>
      <w:bookmarkStart w:id="430" w:name="_GoBack"/>
      <w:bookmarkEnd w:id="430"/>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lang w:eastAsia="zh-CN"/>
        </w:rPr>
        <w:t>网络消费投诉调解质量提升辅助处理服务外包项目</w:t>
      </w:r>
      <w:r>
        <w:rPr>
          <w:rFonts w:hint="eastAsia" w:ascii="仿宋" w:hAnsi="仿宋" w:eastAsia="仿宋" w:cs="仿宋_GB2312"/>
          <w:sz w:val="24"/>
        </w:rPr>
        <w:t>【招标编号：（</w:t>
      </w:r>
      <w:r>
        <w:rPr>
          <w:rFonts w:hint="eastAsia" w:ascii="仿宋" w:hAnsi="仿宋" w:eastAsia="仿宋" w:cs="仿宋_GB2312"/>
          <w:sz w:val="24"/>
          <w:lang w:eastAsia="zh-CN"/>
        </w:rPr>
        <w:t>YHZFCG2022-202</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right="480" w:firstLine="4080" w:firstLineChars="1700"/>
        <w:rPr>
          <w:rFonts w:hint="eastAsia" w:ascii="仿宋" w:hAnsi="仿宋" w:eastAsia="仿宋" w:cs="宋体"/>
          <w:sz w:val="24"/>
        </w:rPr>
      </w:pPr>
    </w:p>
    <w:p>
      <w:pPr>
        <w:spacing w:line="360" w:lineRule="auto"/>
        <w:ind w:right="480" w:firstLine="6960" w:firstLineChars="29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387600" cy="1809750"/>
                <wp:effectExtent l="4445" t="4445" r="8255" b="14605"/>
                <wp:wrapNone/>
                <wp:docPr id="2" name="Rectangle 17"/>
                <wp:cNvGraphicFramePr/>
                <a:graphic xmlns:a="http://schemas.openxmlformats.org/drawingml/2006/main">
                  <a:graphicData uri="http://schemas.microsoft.com/office/word/2010/wordprocessingShape">
                    <wps:wsp>
                      <wps:cNvSpPr/>
                      <wps:spPr>
                        <a:xfrm>
                          <a:off x="0" y="0"/>
                          <a:ext cx="2387600" cy="18097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42.5pt;width:188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408555" cy="1639570"/>
                <wp:effectExtent l="4445" t="4445" r="12700" b="6985"/>
                <wp:wrapNone/>
                <wp:docPr id="3" name="Rectangle 16"/>
                <wp:cNvGraphicFramePr/>
                <a:graphic xmlns:a="http://schemas.openxmlformats.org/drawingml/2006/main">
                  <a:graphicData uri="http://schemas.microsoft.com/office/word/2010/wordprocessingShape">
                    <wps:wsp>
                      <wps:cNvSpPr/>
                      <wps:spPr>
                        <a:xfrm>
                          <a:off x="0" y="0"/>
                          <a:ext cx="2408555" cy="16395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29.1pt;width:189.6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（2022年餐饮服务外包项目）</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10440" w:firstLineChars="43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240" w:lineRule="auto"/>
        <w:ind w:right="420"/>
        <w:rPr>
          <w:rFonts w:ascii="仿宋_GB2312" w:hAnsi="仿宋" w:eastAsia="仿宋_GB2312" w:cs="仿宋_GB2312"/>
          <w:sz w:val="24"/>
        </w:rPr>
      </w:pP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cs="仿宋_GB2312"/>
          <w:sz w:val="24"/>
        </w:rPr>
      </w:pPr>
    </w:p>
    <w:p>
      <w:pPr>
        <w:rPr>
          <w:rFonts w:ascii="仿宋_GB2312" w:hAnsi="仿宋" w:eastAsia="仿宋_GB2312" w:cs="仿宋_GB2312"/>
          <w:sz w:val="24"/>
        </w:rPr>
      </w:pPr>
    </w:p>
    <w:p>
      <w:pPr>
        <w:pStyle w:val="2"/>
        <w:rPr>
          <w:rFonts w:cs="仿宋_GB2312"/>
          <w:sz w:val="24"/>
        </w:rPr>
      </w:pPr>
    </w:p>
    <w:tbl>
      <w:tblPr>
        <w:tblStyle w:val="7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仿宋" w:hAnsi="仿宋" w:eastAsia="仿宋" w:cs="仿宋"/>
                <w:b/>
                <w:sz w:val="32"/>
                <w:szCs w:val="32"/>
              </w:rPr>
            </w:pPr>
            <w:r>
              <w:rPr>
                <w:rFonts w:hint="eastAsia" w:ascii="仿宋" w:hAnsi="仿宋" w:eastAsia="仿宋" w:cs="仿宋"/>
                <w:b/>
                <w:kern w:val="0"/>
                <w:sz w:val="32"/>
                <w:szCs w:val="32"/>
              </w:rPr>
              <w:t>中小微行业划型标准规定</w:t>
            </w:r>
            <w:r>
              <w:rPr>
                <w:rFonts w:hint="eastAsia" w:ascii="仿宋" w:hAnsi="仿宋" w:eastAsia="仿宋" w:cs="仿宋"/>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rPr>
          <w:rFonts w:ascii="仿宋" w:eastAsia="仿宋" w:cs="仿宋"/>
        </w:rPr>
        <w:sectPr>
          <w:headerReference r:id="rId22" w:type="first"/>
          <w:footerReference r:id="rId24" w:type="first"/>
          <w:headerReference r:id="rId21" w:type="default"/>
          <w:footerReference r:id="rId23" w:type="default"/>
          <w:pgSz w:w="16838" w:h="11906" w:orient="landscape"/>
          <w:pgMar w:top="1418" w:right="1276" w:bottom="1418" w:left="1247" w:header="851" w:footer="992" w:gutter="0"/>
          <w:cols w:space="720" w:num="1"/>
          <w:titlePg/>
          <w:docGrid w:linePitch="312" w:charSpace="0"/>
        </w:sectPr>
      </w:pPr>
    </w:p>
    <w:p>
      <w:pPr>
        <w:rPr>
          <w:rFonts w:ascii="仿宋" w:hAnsi="仿宋" w:eastAsia="仿宋" w:cs="仿宋"/>
        </w:rPr>
      </w:pPr>
    </w:p>
    <w:p>
      <w:pPr>
        <w:rPr>
          <w:rFonts w:ascii="仿宋" w:hAnsi="仿宋" w:eastAsia="仿宋" w:cs="仿宋"/>
          <w:b/>
          <w:sz w:val="48"/>
          <w:szCs w:val="48"/>
        </w:rPr>
      </w:pPr>
      <w:r>
        <w:rPr>
          <w:rFonts w:hint="eastAsia" w:ascii="仿宋" w:hAnsi="仿宋" w:eastAsia="仿宋" w:cs="仿宋"/>
          <w:sz w:val="30"/>
          <w:szCs w:val="30"/>
        </w:rPr>
        <w:t>附件（中标后提供）：</w:t>
      </w:r>
    </w:p>
    <w:p>
      <w:pPr>
        <w:jc w:val="center"/>
        <w:rPr>
          <w:rFonts w:ascii="仿宋" w:hAnsi="仿宋" w:eastAsia="仿宋" w:cs="仿宋"/>
          <w:b/>
          <w:sz w:val="48"/>
          <w:szCs w:val="48"/>
        </w:rPr>
      </w:pPr>
    </w:p>
    <w:p>
      <w:pPr>
        <w:jc w:val="center"/>
        <w:rPr>
          <w:rFonts w:ascii="仿宋" w:hAnsi="仿宋" w:eastAsia="仿宋" w:cs="仿宋"/>
          <w:b/>
          <w:sz w:val="48"/>
          <w:szCs w:val="48"/>
        </w:rPr>
      </w:pPr>
      <w:r>
        <w:rPr>
          <w:rFonts w:hint="eastAsia" w:ascii="仿宋" w:hAnsi="仿宋" w:eastAsia="仿宋" w:cs="仿宋"/>
          <w:b/>
          <w:sz w:val="48"/>
          <w:szCs w:val="48"/>
        </w:rPr>
        <w:t>承 诺 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u w:val="single"/>
        </w:rPr>
        <w:t xml:space="preserve">耀华建设管理有限公司 </w:t>
      </w:r>
      <w:r>
        <w:rPr>
          <w:rFonts w:hint="eastAsia" w:ascii="仿宋" w:hAnsi="仿宋" w:eastAsia="仿宋" w:cs="仿宋"/>
          <w:sz w:val="30"/>
          <w:szCs w:val="30"/>
        </w:rPr>
        <w:t>：</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（项目名称）   </w:t>
      </w:r>
      <w:r>
        <w:rPr>
          <w:rFonts w:hint="eastAsia" w:ascii="仿宋" w:hAnsi="仿宋" w:eastAsia="仿宋" w:cs="仿宋"/>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投标文件纸质版</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内容均一致，如不一致导致的任何法律责任自付。特此承诺！</w:t>
      </w:r>
    </w:p>
    <w:p>
      <w:pPr>
        <w:spacing w:line="780" w:lineRule="exact"/>
        <w:ind w:firstLine="450" w:firstLineChars="150"/>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r>
        <w:rPr>
          <w:rFonts w:hint="eastAsia" w:ascii="仿宋" w:hAnsi="仿宋" w:eastAsia="仿宋" w:cs="仿宋"/>
          <w:sz w:val="30"/>
          <w:szCs w:val="30"/>
        </w:rPr>
        <w:t>投标人名称（盖公章）：</w:t>
      </w:r>
    </w:p>
    <w:p>
      <w:pPr>
        <w:spacing w:line="780" w:lineRule="exact"/>
        <w:ind w:firstLine="5850" w:firstLineChars="1950"/>
        <w:rPr>
          <w:rFonts w:ascii="仿宋" w:hAnsi="仿宋" w:eastAsia="仿宋" w:cs="仿宋"/>
          <w:sz w:val="30"/>
          <w:szCs w:val="30"/>
        </w:rPr>
      </w:pPr>
      <w:r>
        <w:rPr>
          <w:rFonts w:hint="eastAsia" w:ascii="仿宋" w:hAnsi="仿宋" w:eastAsia="仿宋" w:cs="仿宋"/>
          <w:sz w:val="30"/>
          <w:szCs w:val="30"/>
        </w:rPr>
        <w:t>2022年   月   日</w:t>
      </w:r>
    </w:p>
    <w:p>
      <w:pPr>
        <w:spacing w:line="360" w:lineRule="auto"/>
        <w:ind w:firstLine="480" w:firstLineChars="200"/>
        <w:rPr>
          <w:rFonts w:ascii="仿宋" w:hAnsi="仿宋" w:eastAsia="仿宋" w:cs="仿宋"/>
          <w:color w:val="000000"/>
          <w:sz w:val="24"/>
        </w:rPr>
      </w:pPr>
    </w:p>
    <w:p>
      <w:pPr>
        <w:rPr>
          <w:rFonts w:ascii="仿宋" w:hAnsi="仿宋" w:eastAsia="仿宋" w:cs="仿宋"/>
        </w:rPr>
      </w:pPr>
    </w:p>
    <w:p>
      <w:pPr>
        <w:pStyle w:val="33"/>
        <w:ind w:firstLine="0"/>
        <w:rPr>
          <w:rFonts w:ascii="仿宋" w:hAnsi="仿宋" w:eastAsia="仿宋" w:cs="仿宋"/>
        </w:rPr>
      </w:pPr>
    </w:p>
    <w:p>
      <w:pPr>
        <w:pStyle w:val="2"/>
        <w:rPr>
          <w:rFonts w:ascii="仿宋" w:eastAsia="仿宋" w:cs="仿宋"/>
          <w:lang w:val="en-US"/>
        </w:rPr>
      </w:pPr>
    </w:p>
    <w:p>
      <w:pPr>
        <w:rPr>
          <w:rFonts w:ascii="仿宋" w:hAnsi="仿宋" w:eastAsia="仿宋" w:cs="仿宋"/>
        </w:rPr>
      </w:pPr>
    </w:p>
    <w:p>
      <w:pPr>
        <w:pStyle w:val="630"/>
        <w:numPr>
          <w:ilvl w:val="0"/>
          <w:numId w:val="0"/>
        </w:numPr>
        <w:snapToGrid w:val="0"/>
        <w:spacing w:before="120" w:after="120"/>
        <w:rPr>
          <w:rFonts w:ascii="仿宋" w:hAnsi="仿宋" w:eastAsia="仿宋" w:cs="仿宋"/>
          <w:b/>
          <w:sz w:val="28"/>
          <w:szCs w:val="28"/>
          <w:highlight w:val="yellow"/>
        </w:rPr>
      </w:pPr>
    </w:p>
    <w:p>
      <w:pPr>
        <w:pStyle w:val="630"/>
        <w:numPr>
          <w:ilvl w:val="0"/>
          <w:numId w:val="0"/>
        </w:numPr>
        <w:snapToGrid w:val="0"/>
        <w:spacing w:before="120" w:after="120"/>
        <w:rPr>
          <w:rFonts w:ascii="仿宋" w:hAnsi="仿宋" w:eastAsia="仿宋" w:cs="仿宋"/>
          <w:b/>
          <w:sz w:val="28"/>
          <w:szCs w:val="28"/>
          <w:highlight w:val="yellow"/>
        </w:rPr>
      </w:pPr>
    </w:p>
    <w:p>
      <w:pPr>
        <w:pStyle w:val="630"/>
        <w:numPr>
          <w:ilvl w:val="0"/>
          <w:numId w:val="0"/>
        </w:numPr>
        <w:snapToGrid w:val="0"/>
        <w:spacing w:before="120" w:after="120"/>
        <w:rPr>
          <w:rFonts w:ascii="仿宋" w:hAnsi="仿宋" w:eastAsia="仿宋" w:cs="仿宋"/>
          <w:b/>
          <w:sz w:val="28"/>
          <w:szCs w:val="28"/>
          <w:highlight w:val="yellow"/>
        </w:rPr>
      </w:pPr>
      <w:r>
        <w:rPr>
          <w:rFonts w:hint="eastAsia" w:ascii="仿宋" w:hAnsi="仿宋" w:eastAsia="仿宋" w:cs="仿宋"/>
          <w:b/>
          <w:sz w:val="28"/>
          <w:szCs w:val="28"/>
          <w:highlight w:val="yellow"/>
        </w:rPr>
        <w:t>确认声明书（将以下表格填写完成后，与投标文件同步制作递交）</w:t>
      </w:r>
    </w:p>
    <w:p>
      <w:pPr>
        <w:pStyle w:val="630"/>
        <w:snapToGrid w:val="0"/>
        <w:spacing w:before="120" w:after="120"/>
        <w:jc w:val="center"/>
        <w:rPr>
          <w:rFonts w:ascii="仿宋" w:hAnsi="仿宋" w:eastAsia="仿宋" w:cs="仿宋"/>
          <w:kern w:val="0"/>
          <w:sz w:val="21"/>
          <w:szCs w:val="21"/>
        </w:rPr>
      </w:pPr>
      <w:r>
        <w:rPr>
          <w:rFonts w:hint="eastAsia" w:ascii="仿宋" w:hAnsi="仿宋" w:eastAsia="仿宋" w:cs="仿宋"/>
          <w:b/>
        </w:rPr>
        <w:t>（要求在电子投标文件解密后，自行核实下述承诺内容，如有不符，重新联系代理公司重新按新的内容邮箱递交）</w:t>
      </w:r>
    </w:p>
    <w:p>
      <w:pPr>
        <w:pStyle w:val="630"/>
        <w:snapToGrid w:val="0"/>
        <w:spacing w:before="120" w:after="120"/>
        <w:jc w:val="center"/>
        <w:rPr>
          <w:rFonts w:ascii="仿宋" w:hAnsi="仿宋" w:eastAsia="仿宋" w:cs="仿宋"/>
          <w:b/>
        </w:rPr>
      </w:pPr>
    </w:p>
    <w:p>
      <w:pPr>
        <w:pStyle w:val="630"/>
        <w:snapToGrid w:val="0"/>
        <w:spacing w:before="120" w:after="120"/>
        <w:jc w:val="center"/>
        <w:rPr>
          <w:rFonts w:ascii="仿宋" w:hAnsi="仿宋" w:eastAsia="仿宋" w:cs="仿宋"/>
          <w:b/>
        </w:rPr>
      </w:pPr>
      <w:r>
        <w:rPr>
          <w:rFonts w:hint="eastAsia" w:ascii="仿宋" w:hAnsi="仿宋" w:eastAsia="仿宋" w:cs="仿宋"/>
          <w:b/>
        </w:rPr>
        <w:t>政府采购活动现场确认声明书</w:t>
      </w:r>
    </w:p>
    <w:p>
      <w:pPr>
        <w:pStyle w:val="630"/>
        <w:snapToGrid w:val="0"/>
        <w:spacing w:before="120" w:after="120" w:line="380" w:lineRule="exact"/>
        <w:rPr>
          <w:rFonts w:ascii="仿宋" w:hAnsi="仿宋" w:eastAsia="仿宋" w:cs="仿宋"/>
          <w:b/>
        </w:rPr>
      </w:pPr>
      <w:r>
        <w:rPr>
          <w:rFonts w:hint="eastAsia" w:ascii="仿宋" w:hAnsi="仿宋" w:eastAsia="仿宋" w:cs="仿宋"/>
          <w:kern w:val="0"/>
          <w:u w:val="single"/>
        </w:rPr>
        <w:t xml:space="preserve">                        </w:t>
      </w:r>
      <w:r>
        <w:rPr>
          <w:rFonts w:hint="eastAsia" w:ascii="仿宋" w:hAnsi="仿宋" w:eastAsia="仿宋" w:cs="仿宋"/>
          <w:kern w:val="0"/>
        </w:rPr>
        <w:t>：</w:t>
      </w:r>
    </w:p>
    <w:p>
      <w:pPr>
        <w:pStyle w:val="630"/>
        <w:snapToGrid w:val="0"/>
        <w:spacing w:before="120" w:after="120" w:line="380" w:lineRule="exact"/>
        <w:ind w:firstLine="504" w:firstLineChars="200"/>
        <w:rPr>
          <w:rFonts w:ascii="仿宋" w:hAnsi="仿宋" w:eastAsia="仿宋" w:cs="仿宋"/>
          <w:spacing w:val="6"/>
        </w:rPr>
      </w:pPr>
      <w:r>
        <w:rPr>
          <w:rFonts w:hint="eastAsia" w:ascii="仿宋" w:hAnsi="仿宋" w:eastAsia="仿宋" w:cs="仿宋"/>
          <w:spacing w:val="6"/>
        </w:rPr>
        <w:t>本人经由</w:t>
      </w:r>
      <w:r>
        <w:rPr>
          <w:rFonts w:hint="eastAsia" w:ascii="仿宋" w:hAnsi="仿宋" w:eastAsia="仿宋" w:cs="仿宋"/>
          <w:spacing w:val="6"/>
          <w:u w:val="single"/>
        </w:rPr>
        <w:t xml:space="preserve">                  （单位）</w:t>
      </w:r>
      <w:r>
        <w:rPr>
          <w:rFonts w:hint="eastAsia" w:ascii="仿宋" w:hAnsi="仿宋" w:eastAsia="仿宋" w:cs="仿宋"/>
          <w:spacing w:val="6"/>
        </w:rPr>
        <w:t>负责人</w:t>
      </w:r>
      <w:r>
        <w:rPr>
          <w:rFonts w:hint="eastAsia" w:ascii="仿宋" w:hAnsi="仿宋" w:eastAsia="仿宋" w:cs="仿宋"/>
          <w:spacing w:val="6"/>
          <w:u w:val="single"/>
        </w:rPr>
        <w:t xml:space="preserve">        （姓名）</w:t>
      </w:r>
      <w:r>
        <w:rPr>
          <w:rFonts w:hint="eastAsia" w:ascii="仿宋" w:hAnsi="仿宋" w:eastAsia="仿宋" w:cs="仿宋"/>
          <w:spacing w:val="6"/>
        </w:rPr>
        <w:t>合法授权参加</w:t>
      </w:r>
      <w:r>
        <w:rPr>
          <w:rFonts w:hint="eastAsia" w:ascii="仿宋" w:hAnsi="仿宋" w:eastAsia="仿宋" w:cs="仿宋"/>
          <w:spacing w:val="6"/>
          <w:u w:val="single"/>
        </w:rPr>
        <w:t xml:space="preserve">                </w:t>
      </w:r>
      <w:r>
        <w:rPr>
          <w:rFonts w:hint="eastAsia" w:ascii="仿宋" w:hAnsi="仿宋" w:eastAsia="仿宋" w:cs="仿宋"/>
          <w:spacing w:val="6"/>
        </w:rPr>
        <w:t>项目（编号：</w:t>
      </w:r>
      <w:r>
        <w:rPr>
          <w:rFonts w:hint="eastAsia" w:ascii="仿宋" w:hAnsi="仿宋" w:eastAsia="仿宋" w:cs="仿宋"/>
          <w:spacing w:val="6"/>
          <w:u w:val="single"/>
        </w:rPr>
        <w:t xml:space="preserve">        </w:t>
      </w:r>
      <w:r>
        <w:rPr>
          <w:rFonts w:hint="eastAsia" w:ascii="仿宋" w:hAnsi="仿宋" w:eastAsia="仿宋" w:cs="仿宋"/>
          <w:spacing w:val="6"/>
        </w:rPr>
        <w:t xml:space="preserve">）政府采购活动，经与本单位法人代表（负责人）联系确认，现就有关公平竞争事项郑重声明如下： </w:t>
      </w:r>
    </w:p>
    <w:p>
      <w:pPr>
        <w:pStyle w:val="631"/>
        <w:widowControl/>
        <w:numPr>
          <w:ilvl w:val="0"/>
          <w:numId w:val="17"/>
        </w:numPr>
        <w:snapToGrid w:val="0"/>
        <w:spacing w:line="380" w:lineRule="exact"/>
        <w:ind w:firstLine="453" w:firstLineChars="189"/>
        <w:rPr>
          <w:rFonts w:hint="default" w:ascii="仿宋" w:hAnsi="仿宋" w:eastAsia="仿宋" w:cs="仿宋"/>
          <w:kern w:val="0"/>
          <w:sz w:val="24"/>
          <w:szCs w:val="24"/>
        </w:rPr>
      </w:pPr>
      <w:r>
        <w:rPr>
          <w:rFonts w:ascii="仿宋" w:hAnsi="仿宋" w:eastAsia="仿宋" w:cs="仿宋"/>
          <w:kern w:val="0"/>
          <w:sz w:val="24"/>
          <w:szCs w:val="24"/>
        </w:rPr>
        <w:t>本单位与采购人之间 □不存在利害关系 □存在下列利害关系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631"/>
        <w:widowControl/>
        <w:snapToGrid w:val="0"/>
        <w:spacing w:line="380" w:lineRule="exact"/>
        <w:rPr>
          <w:rFonts w:hint="default"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pPr>
        <w:pStyle w:val="631"/>
        <w:widowControl/>
        <w:snapToGrid w:val="0"/>
        <w:spacing w:line="380" w:lineRule="exact"/>
        <w:rPr>
          <w:rFonts w:hint="default"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pPr>
        <w:pStyle w:val="631"/>
        <w:widowControl/>
        <w:snapToGrid w:val="0"/>
        <w:spacing w:line="380" w:lineRule="exact"/>
        <w:rPr>
          <w:rFonts w:hint="default" w:ascii="仿宋" w:hAnsi="仿宋" w:eastAsia="仿宋" w:cs="仿宋"/>
          <w:kern w:val="0"/>
          <w:sz w:val="24"/>
          <w:szCs w:val="24"/>
        </w:rPr>
      </w:pPr>
      <w:r>
        <w:rPr>
          <w:rFonts w:ascii="仿宋" w:hAnsi="仿宋" w:eastAsia="仿宋" w:cs="仿宋"/>
          <w:spacing w:val="6"/>
          <w:sz w:val="24"/>
          <w:szCs w:val="24"/>
        </w:rPr>
        <w:t xml:space="preserve">  二、</w:t>
      </w:r>
      <w:r>
        <w:rPr>
          <w:rFonts w:ascii="仿宋" w:hAnsi="仿宋" w:eastAsia="仿宋" w:cs="仿宋"/>
          <w:kern w:val="0"/>
          <w:sz w:val="24"/>
          <w:szCs w:val="24"/>
        </w:rPr>
        <w:t>现已清楚知道参加本项目采购活动的其他所有供应商名称，本单位 □与其他所有供应商之间均不存在利害关系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630"/>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A.法定代表人或负责人或实际控制人是同一人</w:t>
      </w:r>
    </w:p>
    <w:p>
      <w:pPr>
        <w:pStyle w:val="630"/>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B.法定代表人或负责人或实际控制人是夫妻关系</w:t>
      </w:r>
    </w:p>
    <w:p>
      <w:pPr>
        <w:pStyle w:val="630"/>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C.法定代表人或负责人或实际控制人是直系血亲关系</w:t>
      </w:r>
    </w:p>
    <w:p>
      <w:pPr>
        <w:pStyle w:val="630"/>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D.法定代表人或负责人或实际控制人存在三代以内旁系血亲关系</w:t>
      </w:r>
    </w:p>
    <w:p>
      <w:pPr>
        <w:pStyle w:val="630"/>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E.法定代表人或负责人或实际控制人存在近姻亲关系</w:t>
      </w:r>
    </w:p>
    <w:p>
      <w:pPr>
        <w:pStyle w:val="630"/>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F.法定代表人或负责人或实际控制人存在股份控制或实际控制关系</w:t>
      </w:r>
    </w:p>
    <w:p>
      <w:pPr>
        <w:pStyle w:val="630"/>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G.存在共同直接或间接投资设立子公司、联营企业和合营企业情况</w:t>
      </w:r>
    </w:p>
    <w:p>
      <w:pPr>
        <w:pStyle w:val="630"/>
        <w:adjustRightInd/>
        <w:snapToGrid w:val="0"/>
        <w:spacing w:before="120" w:after="120" w:line="300" w:lineRule="exact"/>
        <w:rPr>
          <w:rFonts w:ascii="仿宋" w:hAnsi="仿宋" w:eastAsia="仿宋" w:cs="仿宋"/>
        </w:rPr>
      </w:pPr>
      <w:r>
        <w:rPr>
          <w:rFonts w:hint="eastAsia" w:ascii="仿宋" w:hAnsi="仿宋" w:eastAsia="仿宋" w:cs="仿宋"/>
          <w:kern w:val="0"/>
        </w:rPr>
        <w:t xml:space="preserve">  H.存在分级代理或代销关系、同一生产制造商关系、</w:t>
      </w:r>
      <w:r>
        <w:rPr>
          <w:rFonts w:hint="eastAsia" w:ascii="仿宋" w:hAnsi="仿宋" w:eastAsia="仿宋" w:cs="仿宋"/>
        </w:rPr>
        <w:t>管理关系、重要业务（占主营业务收入50%以上）或重要财务往来关系（如融资）等其他实质性控制关系</w:t>
      </w:r>
    </w:p>
    <w:p>
      <w:pPr>
        <w:pStyle w:val="630"/>
        <w:snapToGrid w:val="0"/>
        <w:spacing w:before="120" w:after="120" w:line="380" w:lineRule="exact"/>
        <w:rPr>
          <w:rFonts w:ascii="仿宋" w:hAnsi="仿宋" w:eastAsia="仿宋" w:cs="仿宋"/>
          <w:spacing w:val="6"/>
        </w:rPr>
      </w:pPr>
      <w:r>
        <w:rPr>
          <w:rFonts w:hint="eastAsia" w:ascii="仿宋" w:hAnsi="仿宋" w:eastAsia="仿宋" w:cs="仿宋"/>
        </w:rPr>
        <w:t xml:space="preserve">    I</w:t>
      </w:r>
      <w:r>
        <w:rPr>
          <w:rFonts w:hint="eastAsia" w:ascii="仿宋" w:hAnsi="仿宋" w:eastAsia="仿宋" w:cs="仿宋"/>
          <w:kern w:val="0"/>
        </w:rPr>
        <w:t>.</w:t>
      </w:r>
      <w:r>
        <w:rPr>
          <w:rFonts w:hint="eastAsia" w:ascii="仿宋" w:hAnsi="仿宋" w:eastAsia="仿宋" w:cs="仿宋"/>
        </w:rPr>
        <w:t>其他利害关系情况</w:t>
      </w:r>
      <w:r>
        <w:rPr>
          <w:rFonts w:hint="eastAsia" w:ascii="仿宋" w:hAnsi="仿宋" w:eastAsia="仿宋" w:cs="仿宋"/>
          <w:u w:val="single"/>
        </w:rPr>
        <w:t xml:space="preserve">                              </w:t>
      </w:r>
      <w:r>
        <w:rPr>
          <w:rFonts w:hint="eastAsia" w:ascii="仿宋" w:hAnsi="仿宋" w:eastAsia="仿宋" w:cs="仿宋"/>
          <w:kern w:val="0"/>
        </w:rPr>
        <w:t>。</w:t>
      </w:r>
    </w:p>
    <w:p>
      <w:pPr>
        <w:pStyle w:val="631"/>
        <w:widowControl/>
        <w:numPr>
          <w:ilvl w:val="0"/>
          <w:numId w:val="18"/>
        </w:numPr>
        <w:snapToGrid w:val="0"/>
        <w:spacing w:line="380" w:lineRule="exact"/>
        <w:ind w:firstLine="453" w:firstLineChars="189"/>
        <w:rPr>
          <w:rFonts w:hint="default" w:ascii="仿宋" w:hAnsi="仿宋" w:eastAsia="仿宋" w:cs="仿宋"/>
          <w:kern w:val="0"/>
          <w:sz w:val="24"/>
          <w:szCs w:val="24"/>
        </w:rPr>
      </w:pPr>
      <w:r>
        <w:rPr>
          <w:rFonts w:ascii="仿宋" w:hAnsi="仿宋" w:eastAsia="仿宋" w:cs="仿宋"/>
          <w:sz w:val="24"/>
          <w:szCs w:val="24"/>
        </w:rPr>
        <w:t>现已清楚知道并</w:t>
      </w:r>
      <w:r>
        <w:rPr>
          <w:rFonts w:ascii="仿宋" w:hAnsi="仿宋" w:eastAsia="仿宋" w:cs="仿宋"/>
          <w:kern w:val="0"/>
          <w:sz w:val="24"/>
          <w:szCs w:val="24"/>
        </w:rPr>
        <w:t>严格遵守政府采购法律法规和现场纪律。</w:t>
      </w:r>
    </w:p>
    <w:p>
      <w:pPr>
        <w:pStyle w:val="631"/>
        <w:widowControl/>
        <w:numPr>
          <w:ilvl w:val="0"/>
          <w:numId w:val="18"/>
        </w:numPr>
        <w:snapToGrid w:val="0"/>
        <w:spacing w:line="380" w:lineRule="exact"/>
        <w:ind w:firstLine="453" w:firstLineChars="189"/>
        <w:rPr>
          <w:rFonts w:hint="default" w:ascii="仿宋" w:hAnsi="仿宋" w:eastAsia="仿宋" w:cs="仿宋"/>
          <w:sz w:val="24"/>
          <w:szCs w:val="24"/>
        </w:rPr>
      </w:pPr>
      <w:r>
        <w:rPr>
          <w:rFonts w:ascii="仿宋" w:hAnsi="仿宋" w:eastAsia="仿宋" w:cs="仿宋"/>
          <w:kern w:val="0"/>
          <w:sz w:val="24"/>
          <w:szCs w:val="24"/>
        </w:rPr>
        <w:t>我发现</w:t>
      </w:r>
      <w:r>
        <w:rPr>
          <w:rFonts w:ascii="仿宋" w:hAnsi="仿宋" w:eastAsia="仿宋" w:cs="仿宋"/>
          <w:kern w:val="0"/>
          <w:sz w:val="24"/>
          <w:szCs w:val="24"/>
          <w:u w:val="single"/>
        </w:rPr>
        <w:t xml:space="preserve">                    </w:t>
      </w:r>
      <w:r>
        <w:rPr>
          <w:rFonts w:ascii="仿宋" w:hAnsi="仿宋" w:eastAsia="仿宋" w:cs="仿宋"/>
          <w:kern w:val="0"/>
          <w:sz w:val="24"/>
          <w:szCs w:val="24"/>
        </w:rPr>
        <w:t>供应商之间存在或可能存在上述第二条第</w:t>
      </w:r>
      <w:r>
        <w:rPr>
          <w:rFonts w:ascii="仿宋" w:hAnsi="仿宋" w:eastAsia="仿宋" w:cs="仿宋"/>
          <w:kern w:val="0"/>
          <w:sz w:val="24"/>
          <w:szCs w:val="24"/>
          <w:u w:val="single"/>
        </w:rPr>
        <w:t xml:space="preserve">        </w:t>
      </w:r>
      <w:r>
        <w:rPr>
          <w:rFonts w:ascii="仿宋" w:hAnsi="仿宋" w:eastAsia="仿宋" w:cs="仿宋"/>
          <w:kern w:val="0"/>
          <w:sz w:val="24"/>
          <w:szCs w:val="24"/>
        </w:rPr>
        <w:t>项利害关系。</w:t>
      </w:r>
    </w:p>
    <w:p>
      <w:pPr>
        <w:pStyle w:val="630"/>
        <w:snapToGrid w:val="0"/>
        <w:spacing w:before="120" w:after="120"/>
        <w:ind w:firstLine="480" w:firstLineChars="200"/>
        <w:rPr>
          <w:rFonts w:ascii="仿宋" w:hAnsi="仿宋" w:eastAsia="仿宋" w:cs="仿宋"/>
        </w:rPr>
      </w:pPr>
      <w:r>
        <w:rPr>
          <w:rFonts w:hint="eastAsia" w:ascii="仿宋" w:hAnsi="仿宋" w:eastAsia="仿宋" w:cs="仿宋"/>
        </w:rPr>
        <w:t xml:space="preserve">                                          供应商盖章：</w:t>
      </w:r>
    </w:p>
    <w:p>
      <w:pPr>
        <w:pStyle w:val="630"/>
        <w:snapToGrid w:val="0"/>
        <w:spacing w:before="120" w:after="120"/>
        <w:ind w:firstLine="5520" w:firstLineChars="2300"/>
        <w:rPr>
          <w:rFonts w:ascii="仿宋" w:hAnsi="仿宋" w:eastAsia="仿宋" w:cs="仿宋"/>
        </w:rPr>
      </w:pPr>
      <w:r>
        <w:rPr>
          <w:rFonts w:hint="eastAsia" w:ascii="仿宋" w:hAnsi="仿宋" w:eastAsia="仿宋" w:cs="仿宋"/>
        </w:rPr>
        <w:t>授权委托代表签名：</w:t>
      </w:r>
    </w:p>
    <w:p>
      <w:pPr>
        <w:snapToGrid w:val="0"/>
        <w:spacing w:line="360" w:lineRule="auto"/>
        <w:jc w:val="left"/>
        <w:rPr>
          <w:sz w:val="24"/>
        </w:rPr>
      </w:pPr>
      <w:r>
        <w:rPr>
          <w:rFonts w:hint="eastAsia" w:ascii="仿宋" w:hAnsi="仿宋" w:eastAsia="仿宋" w:cs="仿宋"/>
          <w:sz w:val="24"/>
        </w:rPr>
        <w:t xml:space="preserve">                                               年    月    日</w:t>
      </w: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Quad Arrow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Quad Arrow 25"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ARtor4BAACcAwAADgAAAAAAAAABACAAAAAeAQAAZHJzL2Uyb0RvYy54bWxQSwUGAAAA&#10;AAYABgBZAQAATg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p>
                        <w:p/>
                      </w:txbxContent>
                    </wps:txbx>
                    <wps:bodyPr wrap="none" lIns="0" tIns="0" rIns="0" bIns="0" upright="1">
                      <a:spAutoFit/>
                    </wps:bodyPr>
                  </wps:wsp>
                </a:graphicData>
              </a:graphic>
            </wp:anchor>
          </w:drawing>
        </mc:Choice>
        <mc:Fallback>
          <w:pict>
            <v:shape id="Quad Arrow 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4XlL4BAACc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MNbcKaMycsTfxHLxp2jwgD29ymDg0+VJT46ik1&#10;jg8wUvbiD+RMwscWbfqSJEZx6u/l2l81RibTo+1muy0pJCm2XAi/eHvuMcQnBZYlo+ZIA8x9FeeX&#10;EKfUJSVVc/CojclDNO4vB2EmT5G4TxyTFcfjOAs6QnMhPQPNvuaOVp0z8+yotWlNFgMX47gYvUd9&#10;6ojaOvMK/r6PRCJzSxUm2LkwDS2rmxcsbcWf95z19lP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Z4XlL4BAACcAwAADgAAAAAAAAABACAAAAAeAQAAZHJzL2Uyb0RvYy54bWxQSwUGAAAA&#10;AAYABgBZAQAATgUAAAAA&#10;">
              <v:fill on="f" focussize="0,0"/>
              <v:stroke on="f"/>
              <v:imagedata o:title=""/>
              <o:lock v:ext="edit" aspectratio="f"/>
              <v:textbox inset="0mm,0mm,0mm,0mm" style="mso-fit-shape-to-text:t;">
                <w:txbxContent>
                  <w:p>
                    <w:pPr>
                      <w:pStyle w:val="53"/>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Quad Arrow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shape id="Quad Arrow 10"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487Gn74BAACcAwAADgAAAAAAAAABACAAAAAeAQAAZHJzL2Uyb0RvYy54bWxQSwUGAAAA&#10;AAYABgBZAQAATg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jc w:val="center"/>
                          </w:pPr>
                        </w:p>
                        <w:p/>
                      </w:txbxContent>
                    </wps:txbx>
                    <wps:bodyPr wrap="none" lIns="0" tIns="0" rIns="0" bIns="0" upright="1">
                      <a:spAutoFit/>
                    </wps:bodyPr>
                  </wps:wsp>
                </a:graphicData>
              </a:graphic>
            </wp:anchor>
          </w:drawing>
        </mc:Choice>
        <mc:Fallback>
          <w:pict>
            <v:shape id="Quad Arrow 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XEAKK8AQAAmwMAAA4AAAAAAAAAAQAgAAAAHgEAAGRycy9lMm9Eb2MueG1sUEsFBgAAAAAG&#10;AAYAWQEAAEwFAAAAAA==&#10;">
              <v:fill on="f" focussize="0,0"/>
              <v:stroke on="f"/>
              <v:imagedata o:title=""/>
              <o:lock v:ext="edit" aspectratio="f"/>
              <v:textbox inset="0mm,0mm,0mm,0mm" style="mso-fit-shape-to-text:t;">
                <w:txbxContent>
                  <w:p>
                    <w:pPr>
                      <w:pStyle w:val="53"/>
                      <w:jc w:val="center"/>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Quad Arrow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68</w:t>
                          </w:r>
                          <w:r>
                            <w:fldChar w:fldCharType="end"/>
                          </w:r>
                        </w:p>
                      </w:txbxContent>
                    </wps:txbx>
                    <wps:bodyPr wrap="none" lIns="0" tIns="0" rIns="0" bIns="0" upright="1">
                      <a:spAutoFit/>
                    </wps:bodyPr>
                  </wps:wsp>
                </a:graphicData>
              </a:graphic>
            </wp:anchor>
          </w:drawing>
        </mc:Choice>
        <mc:Fallback>
          <w:pict>
            <v:shape id="Quad Arrow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ti/6G8AQAAmwMAAA4AAAAAAAAAAQAgAAAAHgEAAGRycy9lMm9Eb2MueG1sUEsFBgAAAAAG&#10;AAYAWQEAAEwFA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Quad Arrow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69</w:t>
                          </w:r>
                          <w:r>
                            <w:fldChar w:fldCharType="end"/>
                          </w:r>
                        </w:p>
                      </w:txbxContent>
                    </wps:txbx>
                    <wps:bodyPr wrap="none" lIns="0" tIns="0" rIns="0" bIns="0" upright="1">
                      <a:spAutoFit/>
                    </wps:bodyPr>
                  </wps:wsp>
                </a:graphicData>
              </a:graphic>
            </wp:anchor>
          </w:drawing>
        </mc:Choice>
        <mc:Fallback>
          <w:pict>
            <v:shape id="Quad Arrow 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vmV8K8AQAAmwMAAA4AAAAAAAAAAQAgAAAAHgEAAGRycy9lMm9Eb2MueG1sUEsFBgAAAAAG&#10;AAYAWQEAAEwFA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JRbxOvQEAAJsDAAAOAAAAAAAAAAEAIAAAAB4BAABkcnMvZTJvRG9jLnhtbFBLBQYAAAAA&#10;BgAGAFkBAABNBQ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p>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ygyyvQEAAJsDAAAOAAAAAAAAAAEAIAAAAB4BAABkcnMvZTJvRG9jLnhtbFBLBQYAAAAA&#10;BgAGAFkBAABNBQAAAAA=&#10;">
              <v:fill on="f" focussize="0,0"/>
              <v:stroke on="f"/>
              <v:imagedata o:title=""/>
              <o:lock v:ext="edit" aspectratio="f"/>
              <v:textbox inset="0mm,0mm,0mm,0mm" style="mso-fit-shape-to-text:t;">
                <w:txbxContent>
                  <w:p>
                    <w:pPr>
                      <w:pStyle w:val="53"/>
                    </w:pPr>
                  </w:p>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right" w:y="1"/>
      <w:rPr>
        <w:rStyle w:val="84"/>
      </w:rPr>
    </w:pPr>
    <w:r>
      <w:fldChar w:fldCharType="begin"/>
    </w:r>
    <w:r>
      <w:rPr>
        <w:rStyle w:val="84"/>
      </w:rPr>
      <w:instrText xml:space="preserve">PAGE  </w:instrText>
    </w:r>
    <w:r>
      <w:fldChar w:fldCharType="end"/>
    </w:r>
  </w:p>
  <w:p>
    <w:pPr>
      <w:pStyle w:val="5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Quad Arrow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Quad Arrow 4"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v3B374BAACbAwAADgAAAAAAAAABACAAAAAeAQAAZHJzL2Uyb0RvYy54bWxQSwUGAAAA&#10;AAYABgBZAQAATg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70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p>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93QiHvQEAAJsDAAAOAAAAAAAAAAEAIAAAAB4BAABkcnMvZTJvRG9jLnhtbFBLBQYAAAAA&#10;BgAGAFkBAABNBQAAAAA=&#10;">
              <v:fill on="f" focussize="0,0"/>
              <v:stroke on="f"/>
              <v:imagedata o:title=""/>
              <o:lock v:ext="edit" aspectratio="f"/>
              <v:textbox inset="0mm,0mm,0mm,0mm" style="mso-fit-shape-to-text:t;">
                <w:txbxContent>
                  <w:p>
                    <w:pPr>
                      <w:pStyle w:val="53"/>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right" w:y="1"/>
      <w:rPr>
        <w:rStyle w:val="84"/>
      </w:rPr>
    </w:pPr>
    <w:r>
      <w:fldChar w:fldCharType="begin"/>
    </w:r>
    <w:r>
      <w:rPr>
        <w:rStyle w:val="84"/>
      </w:rPr>
      <w:instrText xml:space="preserve">PAGE  </w:instrText>
    </w:r>
    <w:r>
      <w:fldChar w:fldCharType="end"/>
    </w:r>
  </w:p>
  <w:p>
    <w:pPr>
      <w:pStyle w:val="5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Quad Arrow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27"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R/7v74BAACcAwAADgAAAAAAAAABACAAAAAeAQAAZHJzL2Uyb0RvYy54bWxQSwUGAAAA&#10;AAYABgBZAQAATg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p>
                        <w:p/>
                      </w:txbxContent>
                    </wps:txbx>
                    <wps:bodyPr wrap="none" lIns="0" tIns="0" rIns="0" bIns="0" upright="1">
                      <a:spAutoFit/>
                    </wps:bodyPr>
                  </wps:wsp>
                </a:graphicData>
              </a:graphic>
            </wp:anchor>
          </w:drawing>
        </mc:Choice>
        <mc:Fallback>
          <w:pict>
            <v:shape id="Quad Arrow 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hYGJvQEAAJwDAAAOAAAAAAAAAAEAIAAAAB4BAABkcnMvZTJvRG9jLnhtbFBLBQYAAAAA&#10;BgAGAFkBAABNBQAAAAA=&#10;">
              <v:fill on="f" focussize="0,0"/>
              <v:stroke on="f"/>
              <v:imagedata o:title=""/>
              <o:lock v:ext="edit" aspectratio="f"/>
              <v:textbox inset="0mm,0mm,0mm,0mm" style="mso-fit-shape-to-text:t;">
                <w:txbxContent>
                  <w:p>
                    <w:pPr>
                      <w:pStyle w:val="53"/>
                    </w:pPr>
                  </w:p>
                  <w:p/>
                </w:txbxContent>
              </v:textbox>
            </v:shape>
          </w:pict>
        </mc:Fallback>
      </mc:AlternateContent>
    </w:r>
    <w:r>
      <w:rPr>
        <w:rFonts w:ascii="楷体_GB2312" w:hAnsi="Times New Roman" w:eastAsia="楷体_GB2312" w:cs="Times New Roman"/>
        <w:color w:val="0000FF"/>
        <w:kern w:val="2"/>
        <w:sz w:val="18"/>
        <w:szCs w:val="18"/>
        <w:u w:val="thick"/>
        <w:lang w:val="en-US" w:eastAsia="zh-CN" w:bidi="ar-SA"/>
      </w:rPr>
      <w:drawing>
        <wp:anchor distT="0" distB="0" distL="114300" distR="114300" simplePos="0" relativeHeight="251659264" behindDoc="0" locked="0" layoutInCell="1" allowOverlap="1">
          <wp:simplePos x="0" y="0"/>
          <wp:positionH relativeFrom="column">
            <wp:posOffset>-181610</wp:posOffset>
          </wp:positionH>
          <wp:positionV relativeFrom="paragraph">
            <wp:posOffset>-91440</wp:posOffset>
          </wp:positionV>
          <wp:extent cx="1023620" cy="351155"/>
          <wp:effectExtent l="0" t="0" r="5080" b="1079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Quad Arrow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Quad Arrow 2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a2hzsb4BAACcAwAADgAAAAAAAAABACAAAAAeAQAAZHJzL2Uyb0RvYy54bWxQSwUGAAAA&#10;AAYABgBZAQAATg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21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Quad Arrow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p>
                        <w:p/>
                      </w:txbxContent>
                    </wps:txbx>
                    <wps:bodyPr wrap="none" lIns="0" tIns="0" rIns="0" bIns="0" upright="1">
                      <a:spAutoFit/>
                    </wps:bodyPr>
                  </wps:wsp>
                </a:graphicData>
              </a:graphic>
            </wp:anchor>
          </w:drawing>
        </mc:Choice>
        <mc:Fallback>
          <w:pict>
            <v:shape id="Quad Arrow 20"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AoOAFvQEAAJwDAAAOAAAAAAAAAAEAIAAAAB4BAABkcnMvZTJvRG9jLnhtbFBLBQYAAAAA&#10;BgAGAFkBAABNBQAAAAA=&#10;">
              <v:fill on="f" focussize="0,0"/>
              <v:stroke on="f"/>
              <v:imagedata o:title=""/>
              <o:lock v:ext="edit" aspectratio="f"/>
              <v:textbox inset="0mm,0mm,0mm,0mm" style="mso-fit-shape-to-text:t;">
                <w:txbxContent>
                  <w:p>
                    <w:pPr>
                      <w:pStyle w:val="53"/>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Quad Arrow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Quad Arrow 23"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NdJOVL4BAACcAwAADgAAAAAAAAABACAAAAAeAQAAZHJzL2Uyb0RvYy54bWxQSwUGAAAA&#10;AAYABgBZAQAATg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Quad Arrow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p>
                        <w:p/>
                      </w:txbxContent>
                    </wps:txbx>
                    <wps:bodyPr wrap="none" lIns="0" tIns="0" rIns="0" bIns="0" upright="1">
                      <a:spAutoFit/>
                    </wps:bodyPr>
                  </wps:wsp>
                </a:graphicData>
              </a:graphic>
            </wp:anchor>
          </w:drawing>
        </mc:Choice>
        <mc:Fallback>
          <w:pict>
            <v:shape id="Quad Arrow 22"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hrd4L4BAACcAwAADgAAAAAAAAABACAAAAAeAQAAZHJzL2Uyb0RvYy54bWxQSwUGAAAA&#10;AAYABgBZAQAATgUAAAAA&#10;">
              <v:fill on="f" focussize="0,0"/>
              <v:stroke on="f"/>
              <v:imagedata o:title=""/>
              <o:lock v:ext="edit" aspectratio="f"/>
              <v:textbox inset="0mm,0mm,0mm,0mm" style="mso-fit-shape-to-text:t;">
                <w:txbxContent>
                  <w:p>
                    <w:pPr>
                      <w:pStyle w:val="53"/>
                    </w:pPr>
                  </w:p>
                  <w:p/>
                </w:txbxContent>
              </v:textbox>
            </v:shape>
          </w:pict>
        </mc:Fallback>
      </mc:AlternateContent>
    </w:r>
    <w:r>
      <w:rPr>
        <w:rFonts w:ascii="楷体_GB2312" w:hAnsi="Times New Roman" w:eastAsia="楷体_GB2312" w:cs="Times New Roman"/>
        <w:color w:val="0000FF"/>
        <w:kern w:val="2"/>
        <w:sz w:val="18"/>
        <w:szCs w:val="18"/>
        <w:u w:val="thick"/>
        <w:lang w:val="en-US" w:eastAsia="zh-CN" w:bidi="ar-SA"/>
      </w:rPr>
      <w:drawing>
        <wp:anchor distT="0" distB="0" distL="114300" distR="114300" simplePos="0" relativeHeight="251661312" behindDoc="0" locked="0" layoutInCell="1" allowOverlap="1">
          <wp:simplePos x="0" y="0"/>
          <wp:positionH relativeFrom="column">
            <wp:posOffset>-181610</wp:posOffset>
          </wp:positionH>
          <wp:positionV relativeFrom="paragraph">
            <wp:posOffset>-91440</wp:posOffset>
          </wp:positionV>
          <wp:extent cx="1023620" cy="351155"/>
          <wp:effectExtent l="0" t="0" r="5080" b="1079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color w:val="0000FF"/>
        <w:u w:val="thick"/>
      </w:rPr>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Rectangle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Rectangle 1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CR&#10;eDAltgEAAJEDAAAOAAAAAAAAAAEAIAAAAB8BAABkcnMvZTJvRG9jLnhtbFBLBQYAAAAABgAGAFkB&#10;AABHBQ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22</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028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Rectangle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Rectangle 18"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AY&#10;s2P9tgEAAJADAAAOAAAAAAAAAAEAIAAAAB8BAABkcnMvZTJvRG9jLnhtbFBLBQYAAAAABgAGAFkB&#10;AABH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Quad Arrow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Quad Arrow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AHfd/74BAACcAwAADgAAAAAAAAABACAAAAAeAQAAZHJzL2Uyb0RvYy54bWxQSwUGAAAA&#10;AAYABgBZAQAATg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Quad Arrow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Quad Arrow 1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HiJS5L4BAACcAwAADgAAAAAAAAABACAAAAAeAQAAZHJzL2Uyb0RvYy54bWxQSwUGAAAA&#10;AAYABgBZAQAATgU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Quad Arrow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jc w:val="center"/>
                          </w:pPr>
                        </w:p>
                        <w:p/>
                      </w:txbxContent>
                    </wps:txbx>
                    <wps:bodyPr wrap="none" lIns="0" tIns="0" rIns="0" bIns="0" upright="1">
                      <a:spAutoFit/>
                    </wps:bodyPr>
                  </wps:wsp>
                </a:graphicData>
              </a:graphic>
            </wp:anchor>
          </w:drawing>
        </mc:Choice>
        <mc:Fallback>
          <w:pict>
            <v:shape id="Quad Arrow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aJK74BAACc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MNbcItZ05YmviPXjTsHhEGtt6kDg0+VJT46ik1&#10;jg8wUvbiD+RMwscWbfqSJEZx6u/l2l81RibTo+1muy0pJCm2XAi/eHvuMcQnBZYlo+ZIA8x9FeeX&#10;EKfUJSVVc/CojclDNO4vB2EmT5G4TxyTFcfjOAs6QnMhPQPNvuaOVp0z8+yotWlNFgMX47gYvUd9&#10;6ojaOvMK/r6PRCJzSxUm2LkwDS2rmxcsbcWf95z19lP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lxaJK74BAACcAwAADgAAAAAAAAABACAAAAAeAQAAZHJzL2Uyb0RvYy54bWxQSwUGAAAA&#10;AAYABgBZAQAATgUAAAAA&#10;">
              <v:fill on="f" focussize="0,0"/>
              <v:stroke on="f"/>
              <v:imagedata o:title=""/>
              <o:lock v:ext="edit" aspectratio="f"/>
              <v:textbox inset="0mm,0mm,0mm,0mm" style="mso-fit-shape-to-text:t;">
                <w:txbxContent>
                  <w:p>
                    <w:pPr>
                      <w:pStyle w:val="53"/>
                      <w:jc w:val="center"/>
                    </w:pPr>
                  </w:p>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Quad Arrow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8"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N3svQEAAJsDAAAOAAAAAAAAAAEAIAAAAB4BAABkcnMvZTJvRG9jLnhtbFBLBQYAAAAA&#10;BgAGAFkBAABNBQAAAAA=&#10;">
              <v:fill on="f" focussize="0,0"/>
              <v:stroke on="f"/>
              <v:imagedata o:title=""/>
              <o:lock v:ext="edit" aspectratio="f"/>
              <v:textbox inset="0mm,0mm,0mm,0mm" style="mso-fit-shape-to-text:t;">
                <w:txbxContent>
                  <w:p>
                    <w:pPr>
                      <w:pStyle w:val="5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Quad Arrow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3"/>
                            <w:jc w:val="center"/>
                          </w:pPr>
                        </w:p>
                        <w:p/>
                      </w:txbxContent>
                    </wps:txbx>
                    <wps:bodyPr wrap="none" lIns="0" tIns="0" rIns="0" bIns="0" upright="1">
                      <a:spAutoFit/>
                    </wps:bodyPr>
                  </wps:wsp>
                </a:graphicData>
              </a:graphic>
            </wp:anchor>
          </w:drawing>
        </mc:Choice>
        <mc:Fallback>
          <w:pict>
            <v:shape id="Quad Arrow 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OFkhO8AQAAmwMAAA4AAAAAAAAAAQAgAAAAHgEAAGRycy9lMm9Eb2MueG1sUEsFBgAAAAAG&#10;AAYAWQEAAEwFAAAAAA==&#10;">
              <v:fill on="f" focussize="0,0"/>
              <v:stroke on="f"/>
              <v:imagedata o:title=""/>
              <o:lock v:ext="edit" aspectratio="f"/>
              <v:textbox inset="0mm,0mm,0mm,0mm" style="mso-fit-shape-to-text:t;">
                <w:txbxContent>
                  <w:p>
                    <w:pPr>
                      <w:pStyle w:val="53"/>
                      <w:jc w:val="center"/>
                    </w:pPr>
                  </w:p>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single" w:color="auto" w:sz="6" w:space="4"/>
      </w:pBdr>
      <w:jc w:val="right"/>
    </w:pPr>
    <w:r>
      <w:t></w:t>
    </w:r>
    <w:r>
      <w:rPr>
        <w:rFonts w:hint="eastAsia"/>
      </w:rPr>
      <w:t xml:space="preserve">             </w:t>
    </w:r>
    <w:r>
      <w:t>杭州市政府采购公开招标文件</w:t>
    </w:r>
  </w:p>
  <w:p>
    <w:pPr>
      <w:pStyle w:val="7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w:t>
    </w:r>
    <w:r>
      <w:rPr>
        <w:rFonts w:hint="eastAsia"/>
      </w:rPr>
      <w:t xml:space="preserve">         </w:t>
    </w:r>
  </w:p>
  <w:p>
    <w:pPr>
      <w:pStyle w:val="5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91230"/>
    <w:multiLevelType w:val="singleLevel"/>
    <w:tmpl w:val="86E91230"/>
    <w:lvl w:ilvl="0" w:tentative="0">
      <w:start w:val="1"/>
      <w:numFmt w:val="decimal"/>
      <w:suff w:val="nothing"/>
      <w:lvlText w:val="%1．"/>
      <w:lvlJc w:val="left"/>
      <w:pPr>
        <w:ind w:left="0" w:firstLine="400"/>
      </w:pPr>
      <w:rPr>
        <w:rFonts w:hint="default"/>
      </w:rPr>
    </w:lvl>
  </w:abstractNum>
  <w:abstractNum w:abstractNumId="1">
    <w:nsid w:val="98E9A51A"/>
    <w:multiLevelType w:val="singleLevel"/>
    <w:tmpl w:val="98E9A51A"/>
    <w:lvl w:ilvl="0" w:tentative="0">
      <w:start w:val="16"/>
      <w:numFmt w:val="decimal"/>
      <w:suff w:val="space"/>
      <w:lvlText w:val="%1."/>
      <w:lvlJc w:val="left"/>
    </w:lvl>
  </w:abstractNum>
  <w:abstractNum w:abstractNumId="2">
    <w:nsid w:val="9E94263C"/>
    <w:multiLevelType w:val="singleLevel"/>
    <w:tmpl w:val="9E94263C"/>
    <w:lvl w:ilvl="0" w:tentative="0">
      <w:start w:val="1"/>
      <w:numFmt w:val="decimal"/>
      <w:suff w:val="nothing"/>
      <w:lvlText w:val="%1．"/>
      <w:lvlJc w:val="left"/>
      <w:pPr>
        <w:ind w:left="0" w:firstLine="400"/>
      </w:pPr>
      <w:rPr>
        <w:rFonts w:hint="default"/>
      </w:rPr>
    </w:lvl>
  </w:abstractNum>
  <w:abstractNum w:abstractNumId="3">
    <w:nsid w:val="C0A5C122"/>
    <w:multiLevelType w:val="singleLevel"/>
    <w:tmpl w:val="C0A5C122"/>
    <w:lvl w:ilvl="0" w:tentative="0">
      <w:start w:val="1"/>
      <w:numFmt w:val="decimal"/>
      <w:suff w:val="nothing"/>
      <w:lvlText w:val="%1．"/>
      <w:lvlJc w:val="left"/>
      <w:pPr>
        <w:ind w:left="0" w:firstLine="400"/>
      </w:pPr>
      <w:rPr>
        <w:rFonts w:hint="default"/>
      </w:rPr>
    </w:lvl>
  </w:abstractNum>
  <w:abstractNum w:abstractNumId="4">
    <w:nsid w:val="C8DD7C47"/>
    <w:multiLevelType w:val="singleLevel"/>
    <w:tmpl w:val="C8DD7C47"/>
    <w:lvl w:ilvl="0" w:tentative="0">
      <w:start w:val="1"/>
      <w:numFmt w:val="decimal"/>
      <w:suff w:val="nothing"/>
      <w:lvlText w:val="%1．"/>
      <w:lvlJc w:val="left"/>
      <w:pPr>
        <w:ind w:left="0" w:firstLine="400"/>
      </w:pPr>
      <w:rPr>
        <w:rFonts w:hint="default"/>
      </w:rPr>
    </w:lvl>
  </w:abstractNum>
  <w:abstractNum w:abstractNumId="5">
    <w:nsid w:val="F0275A3C"/>
    <w:multiLevelType w:val="singleLevel"/>
    <w:tmpl w:val="F0275A3C"/>
    <w:lvl w:ilvl="0" w:tentative="0">
      <w:start w:val="4"/>
      <w:numFmt w:val="chineseCounting"/>
      <w:suff w:val="space"/>
      <w:lvlText w:val="第%1部分"/>
      <w:lvlJc w:val="left"/>
      <w:rPr>
        <w:rFonts w:hint="eastAsia"/>
      </w:rPr>
    </w:lvl>
  </w:abstractNum>
  <w:abstractNum w:abstractNumId="6">
    <w:nsid w:val="00000003"/>
    <w:multiLevelType w:val="multilevel"/>
    <w:tmpl w:val="0000000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C6F4090"/>
    <w:multiLevelType w:val="singleLevel"/>
    <w:tmpl w:val="0C6F4090"/>
    <w:lvl w:ilvl="0" w:tentative="0">
      <w:start w:val="1"/>
      <w:numFmt w:val="decimal"/>
      <w:suff w:val="nothing"/>
      <w:lvlText w:val="%1．"/>
      <w:lvlJc w:val="left"/>
      <w:pPr>
        <w:ind w:left="0" w:firstLine="400"/>
      </w:pPr>
      <w:rPr>
        <w:rFonts w:hint="default"/>
      </w:rPr>
    </w:lvl>
  </w:abstractNum>
  <w:abstractNum w:abstractNumId="8">
    <w:nsid w:val="2A107D1F"/>
    <w:multiLevelType w:val="singleLevel"/>
    <w:tmpl w:val="2A107D1F"/>
    <w:lvl w:ilvl="0" w:tentative="0">
      <w:start w:val="13"/>
      <w:numFmt w:val="decimal"/>
      <w:suff w:val="space"/>
      <w:lvlText w:val="%1."/>
      <w:lvlJc w:val="left"/>
    </w:lvl>
  </w:abstractNum>
  <w:abstractNum w:abstractNumId="9">
    <w:nsid w:val="36B117BF"/>
    <w:multiLevelType w:val="singleLevel"/>
    <w:tmpl w:val="36B117BF"/>
    <w:lvl w:ilvl="0" w:tentative="0">
      <w:start w:val="1"/>
      <w:numFmt w:val="decimal"/>
      <w:suff w:val="nothing"/>
      <w:lvlText w:val="%1．"/>
      <w:lvlJc w:val="left"/>
      <w:pPr>
        <w:ind w:left="0" w:firstLine="400"/>
      </w:pPr>
      <w:rPr>
        <w:rFonts w:hint="default"/>
      </w:rPr>
    </w:lvl>
  </w:abstractNum>
  <w:abstractNum w:abstractNumId="10">
    <w:nsid w:val="3B1F8C28"/>
    <w:multiLevelType w:val="singleLevel"/>
    <w:tmpl w:val="3B1F8C28"/>
    <w:lvl w:ilvl="0" w:tentative="0">
      <w:start w:val="1"/>
      <w:numFmt w:val="decimal"/>
      <w:suff w:val="nothing"/>
      <w:lvlText w:val="%1．"/>
      <w:lvlJc w:val="left"/>
      <w:pPr>
        <w:ind w:left="0" w:firstLine="400"/>
      </w:pPr>
      <w:rPr>
        <w:rFonts w:hint="default"/>
      </w:rPr>
    </w:lvl>
  </w:abstractNum>
  <w:abstractNum w:abstractNumId="11">
    <w:nsid w:val="4936EC05"/>
    <w:multiLevelType w:val="singleLevel"/>
    <w:tmpl w:val="4936EC05"/>
    <w:lvl w:ilvl="0" w:tentative="0">
      <w:start w:val="1"/>
      <w:numFmt w:val="decimal"/>
      <w:suff w:val="nothing"/>
      <w:lvlText w:val="%1．"/>
      <w:lvlJc w:val="left"/>
      <w:pPr>
        <w:ind w:left="0" w:firstLine="400"/>
      </w:pPr>
      <w:rPr>
        <w:rFonts w:hint="default"/>
      </w:rPr>
    </w:lvl>
  </w:abstractNum>
  <w:abstractNum w:abstractNumId="12">
    <w:nsid w:val="4ED86553"/>
    <w:multiLevelType w:val="singleLevel"/>
    <w:tmpl w:val="4ED86553"/>
    <w:lvl w:ilvl="0" w:tentative="0">
      <w:start w:val="1"/>
      <w:numFmt w:val="decimal"/>
      <w:suff w:val="nothing"/>
      <w:lvlText w:val="%1）"/>
      <w:lvlJc w:val="left"/>
    </w:lvl>
  </w:abstractNum>
  <w:abstractNum w:abstractNumId="13">
    <w:nsid w:val="517C102A"/>
    <w:multiLevelType w:val="singleLevel"/>
    <w:tmpl w:val="517C102A"/>
    <w:lvl w:ilvl="0" w:tentative="0">
      <w:start w:val="28"/>
      <w:numFmt w:val="decimal"/>
      <w:suff w:val="space"/>
      <w:lvlText w:val="%1."/>
      <w:lvlJc w:val="left"/>
      <w:pPr>
        <w:ind w:left="120" w:firstLine="0"/>
      </w:p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FF69203"/>
    <w:multiLevelType w:val="singleLevel"/>
    <w:tmpl w:val="5FF69203"/>
    <w:lvl w:ilvl="0" w:tentative="0">
      <w:start w:val="1"/>
      <w:numFmt w:val="decimal"/>
      <w:suff w:val="nothing"/>
      <w:lvlText w:val="%1．"/>
      <w:lvlJc w:val="left"/>
      <w:pPr>
        <w:ind w:left="0" w:firstLine="400"/>
      </w:pPr>
      <w:rPr>
        <w:rFonts w:hint="default"/>
      </w:rPr>
    </w:lvl>
  </w:abstractNum>
  <w:abstractNum w:abstractNumId="17">
    <w:nsid w:val="73414110"/>
    <w:multiLevelType w:val="singleLevel"/>
    <w:tmpl w:val="73414110"/>
    <w:lvl w:ilvl="0" w:tentative="0">
      <w:start w:val="8"/>
      <w:numFmt w:val="decimal"/>
      <w:suff w:val="space"/>
      <w:lvlText w:val="%1."/>
      <w:lvlJc w:val="left"/>
    </w:lvl>
  </w:abstractNum>
  <w:num w:numId="1">
    <w:abstractNumId w:val="17"/>
  </w:num>
  <w:num w:numId="2">
    <w:abstractNumId w:val="8"/>
  </w:num>
  <w:num w:numId="3">
    <w:abstractNumId w:val="1"/>
  </w:num>
  <w:num w:numId="4">
    <w:abstractNumId w:val="13"/>
  </w:num>
  <w:num w:numId="5">
    <w:abstractNumId w:val="4"/>
  </w:num>
  <w:num w:numId="6">
    <w:abstractNumId w:val="0"/>
  </w:num>
  <w:num w:numId="7">
    <w:abstractNumId w:val="2"/>
  </w:num>
  <w:num w:numId="8">
    <w:abstractNumId w:val="16"/>
  </w:num>
  <w:num w:numId="9">
    <w:abstractNumId w:val="9"/>
  </w:num>
  <w:num w:numId="10">
    <w:abstractNumId w:val="11"/>
  </w:num>
  <w:num w:numId="11">
    <w:abstractNumId w:val="3"/>
  </w:num>
  <w:num w:numId="12">
    <w:abstractNumId w:val="10"/>
  </w:num>
  <w:num w:numId="13">
    <w:abstractNumId w:val="7"/>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E3MjA4ZjZjNDc5MDgyMTY1MjgxNjIwN2Ex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FA"/>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7D30"/>
    <w:rsid w:val="017C7CCD"/>
    <w:rsid w:val="019F7441"/>
    <w:rsid w:val="01B37585"/>
    <w:rsid w:val="01BA1319"/>
    <w:rsid w:val="01D55165"/>
    <w:rsid w:val="01DF6BF8"/>
    <w:rsid w:val="01EC2C57"/>
    <w:rsid w:val="01ED6FD3"/>
    <w:rsid w:val="02642858"/>
    <w:rsid w:val="026B2E25"/>
    <w:rsid w:val="02824D4D"/>
    <w:rsid w:val="02B94E08"/>
    <w:rsid w:val="02DC4B10"/>
    <w:rsid w:val="02DD76CE"/>
    <w:rsid w:val="02F36323"/>
    <w:rsid w:val="02F5619C"/>
    <w:rsid w:val="0326446A"/>
    <w:rsid w:val="032D5555"/>
    <w:rsid w:val="036634D2"/>
    <w:rsid w:val="036F16CD"/>
    <w:rsid w:val="038C7DA2"/>
    <w:rsid w:val="03DD35E4"/>
    <w:rsid w:val="03DF3D4F"/>
    <w:rsid w:val="04076900"/>
    <w:rsid w:val="041A5A3B"/>
    <w:rsid w:val="0421059C"/>
    <w:rsid w:val="042311BA"/>
    <w:rsid w:val="042B157A"/>
    <w:rsid w:val="048F763B"/>
    <w:rsid w:val="049F330E"/>
    <w:rsid w:val="04AA775C"/>
    <w:rsid w:val="04AF1889"/>
    <w:rsid w:val="04F66F48"/>
    <w:rsid w:val="05251E14"/>
    <w:rsid w:val="05A16594"/>
    <w:rsid w:val="05A7762D"/>
    <w:rsid w:val="060E5941"/>
    <w:rsid w:val="06110FAF"/>
    <w:rsid w:val="06493CA7"/>
    <w:rsid w:val="064D67D9"/>
    <w:rsid w:val="065A6178"/>
    <w:rsid w:val="066F1CF3"/>
    <w:rsid w:val="06930BB8"/>
    <w:rsid w:val="07245D42"/>
    <w:rsid w:val="07264C62"/>
    <w:rsid w:val="0779354C"/>
    <w:rsid w:val="08061376"/>
    <w:rsid w:val="08452D77"/>
    <w:rsid w:val="086401F8"/>
    <w:rsid w:val="08751CAA"/>
    <w:rsid w:val="087E4C40"/>
    <w:rsid w:val="08D66AD6"/>
    <w:rsid w:val="08DA33A3"/>
    <w:rsid w:val="08E80F13"/>
    <w:rsid w:val="08FD1DEA"/>
    <w:rsid w:val="09335624"/>
    <w:rsid w:val="0944690F"/>
    <w:rsid w:val="09535675"/>
    <w:rsid w:val="095F057D"/>
    <w:rsid w:val="09642282"/>
    <w:rsid w:val="09733572"/>
    <w:rsid w:val="09772C16"/>
    <w:rsid w:val="098353B5"/>
    <w:rsid w:val="098E09A3"/>
    <w:rsid w:val="09A92330"/>
    <w:rsid w:val="09B06B87"/>
    <w:rsid w:val="09C13146"/>
    <w:rsid w:val="09E04166"/>
    <w:rsid w:val="0A1C0718"/>
    <w:rsid w:val="0A3E7710"/>
    <w:rsid w:val="0A494834"/>
    <w:rsid w:val="0A5B7E63"/>
    <w:rsid w:val="0AA374A5"/>
    <w:rsid w:val="0AAB7649"/>
    <w:rsid w:val="0ABC5606"/>
    <w:rsid w:val="0AF4451F"/>
    <w:rsid w:val="0B30404E"/>
    <w:rsid w:val="0B4C6C14"/>
    <w:rsid w:val="0B631A88"/>
    <w:rsid w:val="0B683D45"/>
    <w:rsid w:val="0B7F3F11"/>
    <w:rsid w:val="0B884417"/>
    <w:rsid w:val="0B8F4947"/>
    <w:rsid w:val="0B953FC7"/>
    <w:rsid w:val="0B9D6DBB"/>
    <w:rsid w:val="0BC042E6"/>
    <w:rsid w:val="0BF6188C"/>
    <w:rsid w:val="0BF73C91"/>
    <w:rsid w:val="0C0360CB"/>
    <w:rsid w:val="0C170175"/>
    <w:rsid w:val="0C370E2F"/>
    <w:rsid w:val="0C4E7726"/>
    <w:rsid w:val="0C571A41"/>
    <w:rsid w:val="0C5C1171"/>
    <w:rsid w:val="0C5E1CBC"/>
    <w:rsid w:val="0C615B50"/>
    <w:rsid w:val="0C6E378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C6522A"/>
    <w:rsid w:val="11E104CC"/>
    <w:rsid w:val="11E20309"/>
    <w:rsid w:val="121E0D0A"/>
    <w:rsid w:val="12255233"/>
    <w:rsid w:val="12530213"/>
    <w:rsid w:val="127723A9"/>
    <w:rsid w:val="12862074"/>
    <w:rsid w:val="12883966"/>
    <w:rsid w:val="129427A7"/>
    <w:rsid w:val="129E45B4"/>
    <w:rsid w:val="12D81596"/>
    <w:rsid w:val="13072A44"/>
    <w:rsid w:val="13172C53"/>
    <w:rsid w:val="135F4BE2"/>
    <w:rsid w:val="139B1A0A"/>
    <w:rsid w:val="139D25C7"/>
    <w:rsid w:val="13BF3CE4"/>
    <w:rsid w:val="13FB2D35"/>
    <w:rsid w:val="141008D8"/>
    <w:rsid w:val="14125FE6"/>
    <w:rsid w:val="146D271E"/>
    <w:rsid w:val="14731F34"/>
    <w:rsid w:val="14982588"/>
    <w:rsid w:val="149A5AD9"/>
    <w:rsid w:val="14A7619D"/>
    <w:rsid w:val="150536C3"/>
    <w:rsid w:val="150C1963"/>
    <w:rsid w:val="151447A0"/>
    <w:rsid w:val="154A6454"/>
    <w:rsid w:val="15762120"/>
    <w:rsid w:val="15AA548B"/>
    <w:rsid w:val="15DE6F34"/>
    <w:rsid w:val="16A8729C"/>
    <w:rsid w:val="16B33777"/>
    <w:rsid w:val="16BC70A7"/>
    <w:rsid w:val="16C6339E"/>
    <w:rsid w:val="16F36C8C"/>
    <w:rsid w:val="172F2D79"/>
    <w:rsid w:val="17557BEF"/>
    <w:rsid w:val="177E0790"/>
    <w:rsid w:val="178E5663"/>
    <w:rsid w:val="17BF5F86"/>
    <w:rsid w:val="17D349C1"/>
    <w:rsid w:val="1830729E"/>
    <w:rsid w:val="1870062C"/>
    <w:rsid w:val="18817102"/>
    <w:rsid w:val="18830A15"/>
    <w:rsid w:val="18852B28"/>
    <w:rsid w:val="188B5321"/>
    <w:rsid w:val="19401D80"/>
    <w:rsid w:val="19932372"/>
    <w:rsid w:val="19A20DD5"/>
    <w:rsid w:val="19AE03F1"/>
    <w:rsid w:val="1A071A03"/>
    <w:rsid w:val="1A1F16AE"/>
    <w:rsid w:val="1A336431"/>
    <w:rsid w:val="1A3B5C77"/>
    <w:rsid w:val="1A984BAD"/>
    <w:rsid w:val="1AB8220E"/>
    <w:rsid w:val="1ABF0FF7"/>
    <w:rsid w:val="1AE4166C"/>
    <w:rsid w:val="1AF06CFB"/>
    <w:rsid w:val="1AF11B8D"/>
    <w:rsid w:val="1B11359C"/>
    <w:rsid w:val="1B2A271F"/>
    <w:rsid w:val="1B530544"/>
    <w:rsid w:val="1B713184"/>
    <w:rsid w:val="1BA209CF"/>
    <w:rsid w:val="1BB4777D"/>
    <w:rsid w:val="1BD75AB8"/>
    <w:rsid w:val="1BE04958"/>
    <w:rsid w:val="1BFB7A40"/>
    <w:rsid w:val="1C02560E"/>
    <w:rsid w:val="1C0459C2"/>
    <w:rsid w:val="1C1B3B4A"/>
    <w:rsid w:val="1C88086E"/>
    <w:rsid w:val="1D266CE1"/>
    <w:rsid w:val="1D3963AF"/>
    <w:rsid w:val="1D461625"/>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5E1D3F"/>
    <w:rsid w:val="1F6B09CC"/>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BE6801"/>
    <w:rsid w:val="233500BF"/>
    <w:rsid w:val="23377FF7"/>
    <w:rsid w:val="23651C9F"/>
    <w:rsid w:val="236B425F"/>
    <w:rsid w:val="23836192"/>
    <w:rsid w:val="23901F29"/>
    <w:rsid w:val="239816A9"/>
    <w:rsid w:val="239C0061"/>
    <w:rsid w:val="23B908A4"/>
    <w:rsid w:val="23D47425"/>
    <w:rsid w:val="23E95BEF"/>
    <w:rsid w:val="23FD0064"/>
    <w:rsid w:val="240A0748"/>
    <w:rsid w:val="24525BA6"/>
    <w:rsid w:val="245375B0"/>
    <w:rsid w:val="24642C0A"/>
    <w:rsid w:val="24B22173"/>
    <w:rsid w:val="24B95AD9"/>
    <w:rsid w:val="24BE24DA"/>
    <w:rsid w:val="24CF5825"/>
    <w:rsid w:val="24D663E6"/>
    <w:rsid w:val="24D77F2B"/>
    <w:rsid w:val="256C0A82"/>
    <w:rsid w:val="258B00E2"/>
    <w:rsid w:val="25A917A6"/>
    <w:rsid w:val="25BE27CC"/>
    <w:rsid w:val="25F74A5C"/>
    <w:rsid w:val="2628662C"/>
    <w:rsid w:val="262D45DE"/>
    <w:rsid w:val="26A53EF9"/>
    <w:rsid w:val="26A94201"/>
    <w:rsid w:val="26AC274F"/>
    <w:rsid w:val="27044A29"/>
    <w:rsid w:val="271D34C8"/>
    <w:rsid w:val="276142BF"/>
    <w:rsid w:val="27717DEC"/>
    <w:rsid w:val="27783712"/>
    <w:rsid w:val="27907362"/>
    <w:rsid w:val="27D65640"/>
    <w:rsid w:val="28333E1D"/>
    <w:rsid w:val="28454BD6"/>
    <w:rsid w:val="28455253"/>
    <w:rsid w:val="28551971"/>
    <w:rsid w:val="285B1C53"/>
    <w:rsid w:val="289F7086"/>
    <w:rsid w:val="28C32028"/>
    <w:rsid w:val="28CC490F"/>
    <w:rsid w:val="28CE678A"/>
    <w:rsid w:val="28DE40AA"/>
    <w:rsid w:val="29345E77"/>
    <w:rsid w:val="294C65AD"/>
    <w:rsid w:val="29806583"/>
    <w:rsid w:val="298B3C4C"/>
    <w:rsid w:val="29AA44E3"/>
    <w:rsid w:val="29F26D24"/>
    <w:rsid w:val="2A15033F"/>
    <w:rsid w:val="2A1662C1"/>
    <w:rsid w:val="2A1C7367"/>
    <w:rsid w:val="2A2815FA"/>
    <w:rsid w:val="2A6D6092"/>
    <w:rsid w:val="2A7D76B4"/>
    <w:rsid w:val="2B437463"/>
    <w:rsid w:val="2B717030"/>
    <w:rsid w:val="2B7807EE"/>
    <w:rsid w:val="2BBF00EC"/>
    <w:rsid w:val="2BC37CFD"/>
    <w:rsid w:val="2BD5237F"/>
    <w:rsid w:val="2BE536CE"/>
    <w:rsid w:val="2BE758D9"/>
    <w:rsid w:val="2C07444B"/>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4352DD"/>
    <w:rsid w:val="2F9341F7"/>
    <w:rsid w:val="2F946CCB"/>
    <w:rsid w:val="2FD25781"/>
    <w:rsid w:val="2FFD7934"/>
    <w:rsid w:val="30536A79"/>
    <w:rsid w:val="30733ACD"/>
    <w:rsid w:val="308C3862"/>
    <w:rsid w:val="309379D8"/>
    <w:rsid w:val="30A270F7"/>
    <w:rsid w:val="30DF1478"/>
    <w:rsid w:val="30EC586F"/>
    <w:rsid w:val="319C6071"/>
    <w:rsid w:val="31AC537E"/>
    <w:rsid w:val="31E3679B"/>
    <w:rsid w:val="31E732FD"/>
    <w:rsid w:val="32517576"/>
    <w:rsid w:val="32B06690"/>
    <w:rsid w:val="32BE5C2C"/>
    <w:rsid w:val="32FB6478"/>
    <w:rsid w:val="33263B3F"/>
    <w:rsid w:val="336963EB"/>
    <w:rsid w:val="33816EEB"/>
    <w:rsid w:val="33EB55CD"/>
    <w:rsid w:val="33EC4C02"/>
    <w:rsid w:val="340D2360"/>
    <w:rsid w:val="3410665D"/>
    <w:rsid w:val="34211214"/>
    <w:rsid w:val="342E63AB"/>
    <w:rsid w:val="34923951"/>
    <w:rsid w:val="34950E68"/>
    <w:rsid w:val="34986E94"/>
    <w:rsid w:val="34AF62C9"/>
    <w:rsid w:val="34CB4388"/>
    <w:rsid w:val="34FA6E12"/>
    <w:rsid w:val="358D5588"/>
    <w:rsid w:val="35981D80"/>
    <w:rsid w:val="360D5E4C"/>
    <w:rsid w:val="363A3B40"/>
    <w:rsid w:val="365302AE"/>
    <w:rsid w:val="36607A0A"/>
    <w:rsid w:val="366E227C"/>
    <w:rsid w:val="366F2E0D"/>
    <w:rsid w:val="367B6A5C"/>
    <w:rsid w:val="36A74ADA"/>
    <w:rsid w:val="36AD60D5"/>
    <w:rsid w:val="36B224F9"/>
    <w:rsid w:val="36EC0CC9"/>
    <w:rsid w:val="36FC5E87"/>
    <w:rsid w:val="37224F7B"/>
    <w:rsid w:val="373F410B"/>
    <w:rsid w:val="378660C8"/>
    <w:rsid w:val="37EE7094"/>
    <w:rsid w:val="38296C89"/>
    <w:rsid w:val="383002EB"/>
    <w:rsid w:val="38586797"/>
    <w:rsid w:val="38BC0149"/>
    <w:rsid w:val="38D87D1C"/>
    <w:rsid w:val="39636459"/>
    <w:rsid w:val="396B7F6C"/>
    <w:rsid w:val="39B417A9"/>
    <w:rsid w:val="39F06197"/>
    <w:rsid w:val="39FC5695"/>
    <w:rsid w:val="3A006D8E"/>
    <w:rsid w:val="3A3651E5"/>
    <w:rsid w:val="3A616A18"/>
    <w:rsid w:val="3A744481"/>
    <w:rsid w:val="3A8C7BEF"/>
    <w:rsid w:val="3A906246"/>
    <w:rsid w:val="3ADE3FB6"/>
    <w:rsid w:val="3B0741BF"/>
    <w:rsid w:val="3B2349B7"/>
    <w:rsid w:val="3B616CFF"/>
    <w:rsid w:val="3B6259F6"/>
    <w:rsid w:val="3B976654"/>
    <w:rsid w:val="3BC01EFC"/>
    <w:rsid w:val="3BCA786A"/>
    <w:rsid w:val="3BD31E2F"/>
    <w:rsid w:val="3BF15831"/>
    <w:rsid w:val="3C063CB7"/>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213B4"/>
    <w:rsid w:val="3F95482B"/>
    <w:rsid w:val="3FF46A69"/>
    <w:rsid w:val="4019356B"/>
    <w:rsid w:val="40592157"/>
    <w:rsid w:val="406E1CAE"/>
    <w:rsid w:val="40A0133A"/>
    <w:rsid w:val="40A74181"/>
    <w:rsid w:val="40C31A53"/>
    <w:rsid w:val="40E44B73"/>
    <w:rsid w:val="40FF545D"/>
    <w:rsid w:val="410067C8"/>
    <w:rsid w:val="418F0D2A"/>
    <w:rsid w:val="41D01505"/>
    <w:rsid w:val="41D63FD8"/>
    <w:rsid w:val="41E2613A"/>
    <w:rsid w:val="41F76AC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168D5"/>
    <w:rsid w:val="43C77C27"/>
    <w:rsid w:val="43DE09EE"/>
    <w:rsid w:val="44002FAD"/>
    <w:rsid w:val="44467546"/>
    <w:rsid w:val="449101D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A16E6"/>
    <w:rsid w:val="46893F2B"/>
    <w:rsid w:val="46C4686E"/>
    <w:rsid w:val="46EB5470"/>
    <w:rsid w:val="47147836"/>
    <w:rsid w:val="477B778F"/>
    <w:rsid w:val="478203EC"/>
    <w:rsid w:val="47B025FA"/>
    <w:rsid w:val="4809698F"/>
    <w:rsid w:val="4811697D"/>
    <w:rsid w:val="48135E3E"/>
    <w:rsid w:val="48542939"/>
    <w:rsid w:val="487A3E25"/>
    <w:rsid w:val="487F17BC"/>
    <w:rsid w:val="488B5503"/>
    <w:rsid w:val="48937E21"/>
    <w:rsid w:val="489A0361"/>
    <w:rsid w:val="48B94FF3"/>
    <w:rsid w:val="48E37AAB"/>
    <w:rsid w:val="48F863B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071261"/>
    <w:rsid w:val="4B236AAE"/>
    <w:rsid w:val="4B3527A5"/>
    <w:rsid w:val="4B707271"/>
    <w:rsid w:val="4B9739F7"/>
    <w:rsid w:val="4BD45567"/>
    <w:rsid w:val="4BEE2503"/>
    <w:rsid w:val="4C245A30"/>
    <w:rsid w:val="4CB6685F"/>
    <w:rsid w:val="4CC367FE"/>
    <w:rsid w:val="4D077F3C"/>
    <w:rsid w:val="4D123355"/>
    <w:rsid w:val="4D2A3B31"/>
    <w:rsid w:val="4D312C52"/>
    <w:rsid w:val="4D905305"/>
    <w:rsid w:val="4D964A72"/>
    <w:rsid w:val="4D9C1254"/>
    <w:rsid w:val="4DAE7818"/>
    <w:rsid w:val="4E793892"/>
    <w:rsid w:val="4E800872"/>
    <w:rsid w:val="4EC569ED"/>
    <w:rsid w:val="4ED50EA1"/>
    <w:rsid w:val="4EEC050C"/>
    <w:rsid w:val="4F104EC3"/>
    <w:rsid w:val="4F47354A"/>
    <w:rsid w:val="4F911C54"/>
    <w:rsid w:val="4FD90BCF"/>
    <w:rsid w:val="4FE625E0"/>
    <w:rsid w:val="4FFE6C3E"/>
    <w:rsid w:val="5021480F"/>
    <w:rsid w:val="50750E8F"/>
    <w:rsid w:val="50962ECB"/>
    <w:rsid w:val="50A42E38"/>
    <w:rsid w:val="50A4577F"/>
    <w:rsid w:val="50B73D1F"/>
    <w:rsid w:val="50BD5BC9"/>
    <w:rsid w:val="50C11EEE"/>
    <w:rsid w:val="50E97CFC"/>
    <w:rsid w:val="50FA4028"/>
    <w:rsid w:val="510D65B7"/>
    <w:rsid w:val="511157AB"/>
    <w:rsid w:val="5142540C"/>
    <w:rsid w:val="518832C8"/>
    <w:rsid w:val="519F5234"/>
    <w:rsid w:val="51A0432A"/>
    <w:rsid w:val="51A86090"/>
    <w:rsid w:val="51B7396D"/>
    <w:rsid w:val="522E4CC3"/>
    <w:rsid w:val="5244713B"/>
    <w:rsid w:val="52615633"/>
    <w:rsid w:val="52977FD4"/>
    <w:rsid w:val="52A25790"/>
    <w:rsid w:val="52A96B6F"/>
    <w:rsid w:val="52B45975"/>
    <w:rsid w:val="52D94AA4"/>
    <w:rsid w:val="52EA3A62"/>
    <w:rsid w:val="52F50BB8"/>
    <w:rsid w:val="53097272"/>
    <w:rsid w:val="531526DC"/>
    <w:rsid w:val="53414394"/>
    <w:rsid w:val="53544462"/>
    <w:rsid w:val="5397158E"/>
    <w:rsid w:val="54013861"/>
    <w:rsid w:val="542A104D"/>
    <w:rsid w:val="54487265"/>
    <w:rsid w:val="544D6070"/>
    <w:rsid w:val="545E28FC"/>
    <w:rsid w:val="54605E1E"/>
    <w:rsid w:val="54B3506A"/>
    <w:rsid w:val="54B40BE7"/>
    <w:rsid w:val="54C61495"/>
    <w:rsid w:val="54CA0D16"/>
    <w:rsid w:val="54DD4057"/>
    <w:rsid w:val="54E7490F"/>
    <w:rsid w:val="54ED3438"/>
    <w:rsid w:val="550764A4"/>
    <w:rsid w:val="550B2BF6"/>
    <w:rsid w:val="55214EB5"/>
    <w:rsid w:val="55364EFD"/>
    <w:rsid w:val="555D4828"/>
    <w:rsid w:val="557A4C8B"/>
    <w:rsid w:val="557B0F98"/>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92B1F"/>
    <w:rsid w:val="5A824FB6"/>
    <w:rsid w:val="5A874767"/>
    <w:rsid w:val="5AAD6F28"/>
    <w:rsid w:val="5AC635BB"/>
    <w:rsid w:val="5AD50114"/>
    <w:rsid w:val="5AD63A24"/>
    <w:rsid w:val="5B2E1A1D"/>
    <w:rsid w:val="5B843A1C"/>
    <w:rsid w:val="5B873E3F"/>
    <w:rsid w:val="5C02690E"/>
    <w:rsid w:val="5C196DA7"/>
    <w:rsid w:val="5C2A048C"/>
    <w:rsid w:val="5C80234E"/>
    <w:rsid w:val="5C8A680C"/>
    <w:rsid w:val="5CFA37F2"/>
    <w:rsid w:val="5D0C4701"/>
    <w:rsid w:val="5D0F0395"/>
    <w:rsid w:val="5D221076"/>
    <w:rsid w:val="5D397964"/>
    <w:rsid w:val="5D5A391C"/>
    <w:rsid w:val="5D5F10C0"/>
    <w:rsid w:val="5D891B7B"/>
    <w:rsid w:val="5DAD38EE"/>
    <w:rsid w:val="5DEB56F0"/>
    <w:rsid w:val="5E006862"/>
    <w:rsid w:val="5E0207B9"/>
    <w:rsid w:val="5E1834A1"/>
    <w:rsid w:val="5E261785"/>
    <w:rsid w:val="5E4A7017"/>
    <w:rsid w:val="5E552BBA"/>
    <w:rsid w:val="5E611C10"/>
    <w:rsid w:val="5EE11F1E"/>
    <w:rsid w:val="5EFC7377"/>
    <w:rsid w:val="5F06174D"/>
    <w:rsid w:val="5F3A3602"/>
    <w:rsid w:val="5F3C04A7"/>
    <w:rsid w:val="5F6277C6"/>
    <w:rsid w:val="5F6D0B1D"/>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654E3F"/>
    <w:rsid w:val="6182292A"/>
    <w:rsid w:val="619F7F92"/>
    <w:rsid w:val="61EF49E2"/>
    <w:rsid w:val="61F94C26"/>
    <w:rsid w:val="62000E56"/>
    <w:rsid w:val="620152D8"/>
    <w:rsid w:val="624F3E49"/>
    <w:rsid w:val="62632286"/>
    <w:rsid w:val="62885958"/>
    <w:rsid w:val="62F40B65"/>
    <w:rsid w:val="62FC2CFE"/>
    <w:rsid w:val="63024505"/>
    <w:rsid w:val="635B1DB5"/>
    <w:rsid w:val="63711FED"/>
    <w:rsid w:val="63880DDC"/>
    <w:rsid w:val="638D750D"/>
    <w:rsid w:val="63AC6CC0"/>
    <w:rsid w:val="63DF054D"/>
    <w:rsid w:val="64055776"/>
    <w:rsid w:val="64184872"/>
    <w:rsid w:val="64240056"/>
    <w:rsid w:val="643E143A"/>
    <w:rsid w:val="648B6EEF"/>
    <w:rsid w:val="64C158BF"/>
    <w:rsid w:val="64CE2EAA"/>
    <w:rsid w:val="653C3090"/>
    <w:rsid w:val="65716420"/>
    <w:rsid w:val="65854376"/>
    <w:rsid w:val="658767BE"/>
    <w:rsid w:val="65892531"/>
    <w:rsid w:val="65EA4748"/>
    <w:rsid w:val="66195831"/>
    <w:rsid w:val="662E75B1"/>
    <w:rsid w:val="66342C2E"/>
    <w:rsid w:val="663E784C"/>
    <w:rsid w:val="668B6A45"/>
    <w:rsid w:val="669C4947"/>
    <w:rsid w:val="672F3F24"/>
    <w:rsid w:val="673E055F"/>
    <w:rsid w:val="67551CE3"/>
    <w:rsid w:val="675E5CB8"/>
    <w:rsid w:val="67625388"/>
    <w:rsid w:val="67A22552"/>
    <w:rsid w:val="67B22DCC"/>
    <w:rsid w:val="67BE71AA"/>
    <w:rsid w:val="67D90273"/>
    <w:rsid w:val="67DE5875"/>
    <w:rsid w:val="67E55852"/>
    <w:rsid w:val="67EB1AB4"/>
    <w:rsid w:val="67FA1285"/>
    <w:rsid w:val="68551F4F"/>
    <w:rsid w:val="687C10C9"/>
    <w:rsid w:val="68840C16"/>
    <w:rsid w:val="68876EFB"/>
    <w:rsid w:val="68884654"/>
    <w:rsid w:val="689B3ABC"/>
    <w:rsid w:val="689F444F"/>
    <w:rsid w:val="68B96DBB"/>
    <w:rsid w:val="68CA2805"/>
    <w:rsid w:val="68E937A3"/>
    <w:rsid w:val="693E15D3"/>
    <w:rsid w:val="69627681"/>
    <w:rsid w:val="6977531D"/>
    <w:rsid w:val="69CC2BFF"/>
    <w:rsid w:val="69FD55B8"/>
    <w:rsid w:val="6A0B1C62"/>
    <w:rsid w:val="6A2406C8"/>
    <w:rsid w:val="6ADE0BD1"/>
    <w:rsid w:val="6AE309E6"/>
    <w:rsid w:val="6AE96859"/>
    <w:rsid w:val="6B147746"/>
    <w:rsid w:val="6B24787C"/>
    <w:rsid w:val="6B573233"/>
    <w:rsid w:val="6B5B6274"/>
    <w:rsid w:val="6B935D53"/>
    <w:rsid w:val="6BD61E9B"/>
    <w:rsid w:val="6C196F71"/>
    <w:rsid w:val="6C1D0DCA"/>
    <w:rsid w:val="6C226FCB"/>
    <w:rsid w:val="6C31226F"/>
    <w:rsid w:val="6C552F0B"/>
    <w:rsid w:val="6C6116E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43CD3"/>
    <w:rsid w:val="6F8331F1"/>
    <w:rsid w:val="6FAE1A09"/>
    <w:rsid w:val="6FD75BF8"/>
    <w:rsid w:val="707723D0"/>
    <w:rsid w:val="70D93627"/>
    <w:rsid w:val="70F5661B"/>
    <w:rsid w:val="71360107"/>
    <w:rsid w:val="713B688E"/>
    <w:rsid w:val="7143471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EC38DC"/>
    <w:rsid w:val="75F54412"/>
    <w:rsid w:val="761D08E0"/>
    <w:rsid w:val="765D347C"/>
    <w:rsid w:val="76826699"/>
    <w:rsid w:val="76C87133"/>
    <w:rsid w:val="76CD08D5"/>
    <w:rsid w:val="76DB4B92"/>
    <w:rsid w:val="76FE2BEF"/>
    <w:rsid w:val="77052AA4"/>
    <w:rsid w:val="77136511"/>
    <w:rsid w:val="77340A39"/>
    <w:rsid w:val="77351FD0"/>
    <w:rsid w:val="77472422"/>
    <w:rsid w:val="777F31F2"/>
    <w:rsid w:val="77D1700D"/>
    <w:rsid w:val="77EC04CC"/>
    <w:rsid w:val="784F291D"/>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53BB9"/>
    <w:rsid w:val="7B5A2978"/>
    <w:rsid w:val="7B5A7E4C"/>
    <w:rsid w:val="7B667AF9"/>
    <w:rsid w:val="7B7468F8"/>
    <w:rsid w:val="7BEE0103"/>
    <w:rsid w:val="7C0A0FE4"/>
    <w:rsid w:val="7C254906"/>
    <w:rsid w:val="7C590818"/>
    <w:rsid w:val="7C6819CF"/>
    <w:rsid w:val="7C7C10F6"/>
    <w:rsid w:val="7C853BEA"/>
    <w:rsid w:val="7C881368"/>
    <w:rsid w:val="7CE27788"/>
    <w:rsid w:val="7CF7112C"/>
    <w:rsid w:val="7D0C32F1"/>
    <w:rsid w:val="7D0F408D"/>
    <w:rsid w:val="7D3E59E9"/>
    <w:rsid w:val="7D491C6C"/>
    <w:rsid w:val="7D5429C0"/>
    <w:rsid w:val="7D553C43"/>
    <w:rsid w:val="7D6A39E8"/>
    <w:rsid w:val="7D6E6D43"/>
    <w:rsid w:val="7DB57A34"/>
    <w:rsid w:val="7DE60973"/>
    <w:rsid w:val="7DEF0916"/>
    <w:rsid w:val="7E1E5218"/>
    <w:rsid w:val="7E1E5516"/>
    <w:rsid w:val="7E9A4E1F"/>
    <w:rsid w:val="7EA7723A"/>
    <w:rsid w:val="7ED152B8"/>
    <w:rsid w:val="7EF56FBB"/>
    <w:rsid w:val="7F0768EB"/>
    <w:rsid w:val="7F143BEC"/>
    <w:rsid w:val="7F715AF2"/>
    <w:rsid w:val="7F886E69"/>
    <w:rsid w:val="7FC0595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1">
    <w:name w:val="Default Paragraph Font"/>
    <w:unhideWhenUsed/>
    <w:qFormat/>
    <w:uiPriority w:val="1"/>
  </w:style>
  <w:style w:type="table" w:default="1" w:styleId="7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9"/>
    <w:qFormat/>
    <w:uiPriority w:val="0"/>
    <w:pPr>
      <w:shd w:val="clear" w:color="auto" w:fill="000080"/>
    </w:pPr>
  </w:style>
  <w:style w:type="paragraph" w:styleId="19">
    <w:name w:val="annotation text"/>
    <w:basedOn w:val="1"/>
    <w:next w:val="20"/>
    <w:link w:val="867"/>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671"/>
    <w:qFormat/>
    <w:uiPriority w:val="0"/>
    <w:rPr>
      <w:rFonts w:ascii="宋体" w:hAnsi="Courier New" w:cs="Arial"/>
      <w:snapToGrid w:val="0"/>
      <w:szCs w:val="21"/>
    </w:rPr>
  </w:style>
  <w:style w:type="paragraph" w:styleId="22">
    <w:name w:val="Body Text 2"/>
    <w:basedOn w:val="1"/>
    <w:next w:val="23"/>
    <w:link w:val="831"/>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 Char Char Char Char Char Char Char Char Char Char Char Char Char Char Char Char"/>
    <w:basedOn w:val="1"/>
    <w:next w:val="25"/>
    <w:qFormat/>
    <w:uiPriority w:val="0"/>
    <w:pPr>
      <w:widowControl w:val="0"/>
      <w:spacing w:before="0" w:after="0" w:line="240" w:lineRule="auto"/>
      <w:ind w:left="0" w:firstLine="3584"/>
      <w:jc w:val="both"/>
    </w:pPr>
  </w:style>
  <w:style w:type="paragraph" w:customStyle="1" w:styleId="25">
    <w:name w:val="List Paragraph"/>
    <w:basedOn w:val="1"/>
    <w:next w:val="26"/>
    <w:qFormat/>
    <w:uiPriority w:val="34"/>
    <w:pPr>
      <w:ind w:firstLine="420" w:firstLineChars="200"/>
    </w:pPr>
  </w:style>
  <w:style w:type="paragraph" w:customStyle="1" w:styleId="26">
    <w:name w:val="Char"/>
    <w:basedOn w:val="1"/>
    <w:next w:val="27"/>
    <w:qFormat/>
    <w:uiPriority w:val="0"/>
    <w:rPr>
      <w:rFonts w:ascii="仿宋_GB2312" w:eastAsia="仿宋_GB2312"/>
      <w:b/>
      <w:sz w:val="32"/>
      <w:szCs w:val="32"/>
    </w:rPr>
  </w:style>
  <w:style w:type="paragraph" w:customStyle="1" w:styleId="27">
    <w:name w:val="p0"/>
    <w:basedOn w:val="1"/>
    <w:next w:val="28"/>
    <w:qFormat/>
    <w:uiPriority w:val="0"/>
    <w:pPr>
      <w:widowControl/>
      <w:adjustRightInd/>
    </w:pPr>
    <w:rPr>
      <w:kern w:val="0"/>
      <w:szCs w:val="21"/>
    </w:rPr>
  </w:style>
  <w:style w:type="paragraph" w:customStyle="1" w:styleId="28">
    <w:name w:val=" Char Char2"/>
    <w:basedOn w:val="1"/>
    <w:next w:val="21"/>
    <w:qFormat/>
    <w:uiPriority w:val="0"/>
    <w:pPr>
      <w:widowControl w:val="0"/>
      <w:spacing w:before="0" w:after="0" w:line="240" w:lineRule="auto"/>
      <w:ind w:left="0" w:firstLine="3584"/>
      <w:jc w:val="both"/>
    </w:pPr>
  </w:style>
  <w:style w:type="paragraph" w:styleId="29">
    <w:name w:val="Salutation"/>
    <w:basedOn w:val="1"/>
    <w:next w:val="1"/>
    <w:link w:val="827"/>
    <w:qFormat/>
    <w:uiPriority w:val="0"/>
    <w:rPr>
      <w:rFonts w:ascii="仿宋_GB2312" w:eastAsia="仿宋_GB2312"/>
      <w:sz w:val="28"/>
      <w:szCs w:val="20"/>
    </w:rPr>
  </w:style>
  <w:style w:type="paragraph" w:styleId="30">
    <w:name w:val="Body Text 3"/>
    <w:basedOn w:val="1"/>
    <w:link w:val="855"/>
    <w:qFormat/>
    <w:uiPriority w:val="0"/>
    <w:pPr>
      <w:jc w:val="center"/>
    </w:pPr>
    <w:rPr>
      <w:szCs w:val="20"/>
    </w:rPr>
  </w:style>
  <w:style w:type="paragraph" w:styleId="31">
    <w:name w:val="List Bullet 3"/>
    <w:basedOn w:val="1"/>
    <w:unhideWhenUsed/>
    <w:qFormat/>
    <w:uiPriority w:val="0"/>
    <w:pPr>
      <w:snapToGrid w:val="0"/>
      <w:spacing w:line="360" w:lineRule="auto"/>
      <w:ind w:left="360" w:right="238" w:hanging="360"/>
      <w:contextualSpacing/>
    </w:pPr>
    <w:rPr>
      <w:sz w:val="24"/>
    </w:rPr>
  </w:style>
  <w:style w:type="paragraph" w:styleId="32">
    <w:name w:val="Body Text"/>
    <w:basedOn w:val="1"/>
    <w:next w:val="33"/>
    <w:link w:val="944"/>
    <w:qFormat/>
    <w:uiPriority w:val="0"/>
    <w:pPr>
      <w:autoSpaceDE w:val="0"/>
      <w:autoSpaceDN w:val="0"/>
      <w:spacing w:line="360" w:lineRule="auto"/>
    </w:pPr>
    <w:rPr>
      <w:rFonts w:ascii="宋体" w:hAnsi="Arial" w:cs="Arial"/>
      <w:snapToGrid w:val="0"/>
      <w:sz w:val="24"/>
      <w:szCs w:val="21"/>
      <w:lang w:val="zh-CN"/>
    </w:rPr>
  </w:style>
  <w:style w:type="paragraph" w:styleId="33">
    <w:name w:val="Body Text First Indent"/>
    <w:basedOn w:val="32"/>
    <w:next w:val="1"/>
    <w:link w:val="846"/>
    <w:qFormat/>
    <w:uiPriority w:val="0"/>
    <w:pPr>
      <w:ind w:firstLine="420"/>
    </w:pPr>
    <w:rPr>
      <w:rFonts w:hAnsi="Calibri" w:cs="Times New Roman"/>
      <w:szCs w:val="20"/>
    </w:rPr>
  </w:style>
  <w:style w:type="paragraph" w:styleId="34">
    <w:name w:val="Body Text Indent"/>
    <w:basedOn w:val="1"/>
    <w:next w:val="35"/>
    <w:link w:val="795"/>
    <w:qFormat/>
    <w:uiPriority w:val="0"/>
    <w:pPr>
      <w:spacing w:line="480" w:lineRule="exact"/>
      <w:ind w:firstLine="480" w:firstLineChars="200"/>
    </w:pPr>
    <w:rPr>
      <w:rFonts w:ascii="宋体" w:hAnsi="宋体"/>
      <w:sz w:val="24"/>
    </w:rPr>
  </w:style>
  <w:style w:type="paragraph" w:customStyle="1" w:styleId="35">
    <w:name w:val="正文文本首行缩进 21"/>
    <w:basedOn w:val="36"/>
    <w:qFormat/>
    <w:uiPriority w:val="99"/>
    <w:pPr>
      <w:tabs>
        <w:tab w:val="right" w:leader="dot" w:pos="8268"/>
      </w:tabs>
      <w:spacing w:line="200" w:lineRule="atLeast"/>
      <w:ind w:firstLine="420"/>
    </w:pPr>
    <w:rPr>
      <w:rFonts w:hAnsi="Courier New"/>
      <w:spacing w:val="-4"/>
      <w:sz w:val="18"/>
    </w:rPr>
  </w:style>
  <w:style w:type="paragraph" w:customStyle="1" w:styleId="36">
    <w:name w:val="正文缩进1"/>
    <w:basedOn w:val="37"/>
    <w:next w:val="40"/>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37">
    <w:name w:val="正文1"/>
    <w:basedOn w:val="38"/>
    <w:next w:val="3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9">
    <w:name w:val="标题 21"/>
    <w:basedOn w:val="37"/>
    <w:next w:val="37"/>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40">
    <w:name w:val="正文文本首行缩进 2"/>
    <w:basedOn w:val="36"/>
    <w:qFormat/>
    <w:uiPriority w:val="99"/>
    <w:pPr>
      <w:spacing w:line="200" w:lineRule="atLeast"/>
      <w:ind w:firstLine="420"/>
    </w:pPr>
    <w:rPr>
      <w:rFonts w:ascii="宋体"/>
      <w:spacing w:val="-4"/>
      <w:sz w:val="18"/>
    </w:rPr>
  </w:style>
  <w:style w:type="paragraph" w:styleId="4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42">
    <w:name w:val="List 2"/>
    <w:basedOn w:val="1"/>
    <w:qFormat/>
    <w:uiPriority w:val="0"/>
    <w:pPr>
      <w:adjustRightInd/>
      <w:spacing w:line="360" w:lineRule="auto"/>
      <w:ind w:left="100" w:leftChars="200" w:hanging="200" w:hangingChars="200"/>
    </w:pPr>
    <w:rPr>
      <w:rFonts w:eastAsia="微软雅黑"/>
    </w:rPr>
  </w:style>
  <w:style w:type="paragraph" w:styleId="4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4">
    <w:name w:val="List Bullet 2"/>
    <w:basedOn w:val="1"/>
    <w:qFormat/>
    <w:uiPriority w:val="0"/>
    <w:pPr>
      <w:autoSpaceDE w:val="0"/>
      <w:autoSpaceDN w:val="0"/>
      <w:ind w:left="420"/>
      <w:jc w:val="left"/>
    </w:pPr>
    <w:rPr>
      <w:rFonts w:ascii="宋体" w:hAnsi="宋体"/>
      <w:color w:val="000000"/>
      <w:kern w:val="0"/>
      <w:sz w:val="24"/>
      <w:szCs w:val="20"/>
    </w:rPr>
  </w:style>
  <w:style w:type="paragraph" w:styleId="45">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46">
    <w:name w:val="toc 5"/>
    <w:basedOn w:val="1"/>
    <w:next w:val="1"/>
    <w:qFormat/>
    <w:uiPriority w:val="0"/>
    <w:pPr>
      <w:ind w:left="1680" w:leftChars="800"/>
    </w:pPr>
  </w:style>
  <w:style w:type="paragraph" w:styleId="4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8">
    <w:name w:val="toc 8"/>
    <w:basedOn w:val="1"/>
    <w:next w:val="1"/>
    <w:qFormat/>
    <w:uiPriority w:val="0"/>
    <w:pPr>
      <w:ind w:left="2940" w:leftChars="1400"/>
    </w:pPr>
  </w:style>
  <w:style w:type="paragraph" w:styleId="49">
    <w:name w:val="Date"/>
    <w:basedOn w:val="1"/>
    <w:next w:val="1"/>
    <w:link w:val="721"/>
    <w:qFormat/>
    <w:uiPriority w:val="0"/>
    <w:pPr>
      <w:ind w:left="100" w:leftChars="2500"/>
    </w:pPr>
    <w:rPr>
      <w:rFonts w:ascii="宋体"/>
      <w:sz w:val="24"/>
      <w:szCs w:val="21"/>
      <w:lang w:val="zh-CN"/>
    </w:rPr>
  </w:style>
  <w:style w:type="paragraph" w:styleId="50">
    <w:name w:val="Body Text Indent 2"/>
    <w:basedOn w:val="1"/>
    <w:link w:val="835"/>
    <w:qFormat/>
    <w:uiPriority w:val="0"/>
    <w:pPr>
      <w:spacing w:line="360" w:lineRule="auto"/>
      <w:ind w:firstLine="601"/>
      <w:textAlignment w:val="baseline"/>
    </w:pPr>
    <w:rPr>
      <w:rFonts w:ascii="宋体"/>
      <w:kern w:val="0"/>
      <w:sz w:val="28"/>
      <w:szCs w:val="20"/>
    </w:rPr>
  </w:style>
  <w:style w:type="paragraph" w:styleId="51">
    <w:name w:val="endnote text"/>
    <w:basedOn w:val="1"/>
    <w:link w:val="952"/>
    <w:qFormat/>
    <w:uiPriority w:val="0"/>
    <w:rPr>
      <w:lang w:val="zh-CN"/>
    </w:rPr>
  </w:style>
  <w:style w:type="paragraph" w:styleId="52">
    <w:name w:val="Balloon Text"/>
    <w:basedOn w:val="1"/>
    <w:link w:val="728"/>
    <w:qFormat/>
    <w:uiPriority w:val="0"/>
    <w:rPr>
      <w:sz w:val="18"/>
      <w:szCs w:val="18"/>
    </w:rPr>
  </w:style>
  <w:style w:type="paragraph" w:styleId="53">
    <w:name w:val="footer"/>
    <w:basedOn w:val="1"/>
    <w:link w:val="903"/>
    <w:qFormat/>
    <w:uiPriority w:val="99"/>
    <w:pPr>
      <w:tabs>
        <w:tab w:val="center" w:pos="4153"/>
        <w:tab w:val="right" w:pos="8306"/>
      </w:tabs>
      <w:snapToGrid w:val="0"/>
      <w:jc w:val="left"/>
    </w:pPr>
    <w:rPr>
      <w:sz w:val="18"/>
      <w:szCs w:val="18"/>
    </w:rPr>
  </w:style>
  <w:style w:type="paragraph" w:styleId="54">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56">
    <w:name w:val="toc 1"/>
    <w:basedOn w:val="1"/>
    <w:next w:val="1"/>
    <w:qFormat/>
    <w:uiPriority w:val="0"/>
  </w:style>
  <w:style w:type="paragraph" w:styleId="57">
    <w:name w:val="toc 4"/>
    <w:basedOn w:val="1"/>
    <w:next w:val="1"/>
    <w:qFormat/>
    <w:uiPriority w:val="0"/>
    <w:pPr>
      <w:ind w:left="1260" w:leftChars="600"/>
    </w:pPr>
  </w:style>
  <w:style w:type="paragraph" w:styleId="58">
    <w:name w:val="index heading"/>
    <w:basedOn w:val="1"/>
    <w:next w:val="59"/>
    <w:qFormat/>
    <w:uiPriority w:val="0"/>
    <w:pPr>
      <w:adjustRightInd/>
      <w:ind w:firstLine="200" w:firstLineChars="200"/>
    </w:pPr>
  </w:style>
  <w:style w:type="paragraph" w:styleId="59">
    <w:name w:val="index 1"/>
    <w:basedOn w:val="1"/>
    <w:next w:val="1"/>
    <w:qFormat/>
    <w:uiPriority w:val="0"/>
    <w:pPr>
      <w:adjustRightInd/>
      <w:spacing w:line="360" w:lineRule="auto"/>
      <w:ind w:firstLine="200" w:firstLineChars="200"/>
      <w:jc w:val="center"/>
    </w:pPr>
    <w:rPr>
      <w:sz w:val="24"/>
      <w:szCs w:val="20"/>
    </w:rPr>
  </w:style>
  <w:style w:type="paragraph" w:styleId="60">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1">
    <w:name w:val="List Number 5"/>
    <w:basedOn w:val="1"/>
    <w:qFormat/>
    <w:uiPriority w:val="0"/>
    <w:pPr>
      <w:tabs>
        <w:tab w:val="left" w:pos="902"/>
      </w:tabs>
      <w:adjustRightInd/>
      <w:spacing w:line="400" w:lineRule="exact"/>
      <w:ind w:left="902" w:hanging="420"/>
    </w:pPr>
    <w:rPr>
      <w:sz w:val="24"/>
      <w:szCs w:val="20"/>
    </w:rPr>
  </w:style>
  <w:style w:type="paragraph" w:styleId="62">
    <w:name w:val="List"/>
    <w:basedOn w:val="1"/>
    <w:qFormat/>
    <w:uiPriority w:val="0"/>
    <w:pPr>
      <w:ind w:left="200" w:hanging="200" w:hangingChars="200"/>
    </w:pPr>
  </w:style>
  <w:style w:type="paragraph" w:styleId="63">
    <w:name w:val="footnote text"/>
    <w:basedOn w:val="15"/>
    <w:link w:val="837"/>
    <w:qFormat/>
    <w:uiPriority w:val="0"/>
    <w:pPr>
      <w:adjustRightInd/>
      <w:snapToGrid/>
      <w:spacing w:before="60" w:after="60" w:line="300" w:lineRule="exact"/>
      <w:ind w:firstLine="0"/>
    </w:pPr>
    <w:rPr>
      <w:rFonts w:ascii="Calibri"/>
      <w:color w:val="0000FF"/>
      <w:kern w:val="0"/>
      <w:sz w:val="21"/>
    </w:rPr>
  </w:style>
  <w:style w:type="paragraph" w:styleId="64">
    <w:name w:val="toc 6"/>
    <w:basedOn w:val="1"/>
    <w:next w:val="1"/>
    <w:qFormat/>
    <w:uiPriority w:val="0"/>
    <w:pPr>
      <w:ind w:left="2100" w:leftChars="1000"/>
    </w:pPr>
  </w:style>
  <w:style w:type="paragraph" w:styleId="65">
    <w:name w:val="List 5"/>
    <w:basedOn w:val="1"/>
    <w:qFormat/>
    <w:uiPriority w:val="0"/>
    <w:pPr>
      <w:adjustRightInd/>
      <w:ind w:left="100" w:leftChars="800" w:hanging="200" w:hangingChars="200"/>
    </w:pPr>
  </w:style>
  <w:style w:type="paragraph" w:styleId="66">
    <w:name w:val="Body Text Indent 3"/>
    <w:basedOn w:val="1"/>
    <w:link w:val="896"/>
    <w:qFormat/>
    <w:uiPriority w:val="0"/>
    <w:pPr>
      <w:spacing w:line="360" w:lineRule="auto"/>
      <w:ind w:firstLine="420"/>
    </w:pPr>
    <w:rPr>
      <w:sz w:val="24"/>
      <w:szCs w:val="20"/>
    </w:rPr>
  </w:style>
  <w:style w:type="paragraph" w:styleId="67">
    <w:name w:val="toc 2"/>
    <w:basedOn w:val="1"/>
    <w:next w:val="1"/>
    <w:qFormat/>
    <w:uiPriority w:val="0"/>
    <w:pPr>
      <w:ind w:left="420" w:leftChars="200"/>
    </w:pPr>
  </w:style>
  <w:style w:type="paragraph" w:styleId="68">
    <w:name w:val="toc 9"/>
    <w:basedOn w:val="1"/>
    <w:next w:val="1"/>
    <w:qFormat/>
    <w:uiPriority w:val="0"/>
    <w:pPr>
      <w:ind w:left="3360" w:leftChars="1600"/>
    </w:pPr>
  </w:style>
  <w:style w:type="paragraph" w:styleId="69">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0">
    <w:name w:val="Normal (Web)"/>
    <w:basedOn w:val="1"/>
    <w:qFormat/>
    <w:uiPriority w:val="99"/>
    <w:pPr>
      <w:widowControl/>
      <w:spacing w:before="100" w:beforeAutospacing="1" w:after="100" w:afterAutospacing="1"/>
      <w:jc w:val="left"/>
    </w:pPr>
    <w:rPr>
      <w:rFonts w:ascii="宋体" w:hAnsi="宋体"/>
      <w:kern w:val="0"/>
      <w:sz w:val="24"/>
    </w:rPr>
  </w:style>
  <w:style w:type="paragraph" w:styleId="71">
    <w:name w:val="Title"/>
    <w:basedOn w:val="1"/>
    <w:link w:val="815"/>
    <w:qFormat/>
    <w:uiPriority w:val="10"/>
    <w:pPr>
      <w:widowControl/>
      <w:overflowPunct w:val="0"/>
      <w:autoSpaceDE w:val="0"/>
      <w:autoSpaceDN w:val="0"/>
      <w:jc w:val="center"/>
      <w:textAlignment w:val="baseline"/>
    </w:pPr>
    <w:rPr>
      <w:b/>
      <w:kern w:val="0"/>
      <w:sz w:val="24"/>
      <w:szCs w:val="20"/>
    </w:rPr>
  </w:style>
  <w:style w:type="paragraph" w:styleId="72">
    <w:name w:val="annotation subject"/>
    <w:basedOn w:val="19"/>
    <w:next w:val="19"/>
    <w:link w:val="644"/>
    <w:qFormat/>
    <w:uiPriority w:val="0"/>
    <w:rPr>
      <w:b/>
      <w:bCs/>
    </w:rPr>
  </w:style>
  <w:style w:type="paragraph" w:styleId="73">
    <w:name w:val="Body Text First Indent 2"/>
    <w:basedOn w:val="34"/>
    <w:next w:val="33"/>
    <w:link w:val="667"/>
    <w:qFormat/>
    <w:uiPriority w:val="0"/>
    <w:pPr>
      <w:adjustRightInd/>
      <w:spacing w:after="120" w:line="240" w:lineRule="auto"/>
      <w:ind w:left="420" w:leftChars="200" w:firstLine="210"/>
    </w:pPr>
    <w:rPr>
      <w:sz w:val="21"/>
    </w:rPr>
  </w:style>
  <w:style w:type="table" w:styleId="75">
    <w:name w:val="Table Grid"/>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Theme"/>
    <w:basedOn w:val="7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Elegant"/>
    <w:basedOn w:val="7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8">
    <w:name w:val="Table Grid 5"/>
    <w:basedOn w:val="7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9">
    <w:name w:val="Table Grid 8"/>
    <w:basedOn w:val="7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0">
    <w:name w:val="Table Professional"/>
    <w:basedOn w:val="7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2">
    <w:name w:val="Strong"/>
    <w:qFormat/>
    <w:uiPriority w:val="22"/>
    <w:rPr>
      <w:b/>
      <w:bCs/>
    </w:rPr>
  </w:style>
  <w:style w:type="character" w:styleId="83">
    <w:name w:val="endnote reference"/>
    <w:qFormat/>
    <w:uiPriority w:val="0"/>
    <w:rPr>
      <w:vertAlign w:val="superscript"/>
    </w:rPr>
  </w:style>
  <w:style w:type="character" w:styleId="84">
    <w:name w:val="page number"/>
    <w:basedOn w:val="81"/>
    <w:qFormat/>
    <w:uiPriority w:val="0"/>
    <w:rPr>
      <w:rFonts w:ascii="Arial" w:hAnsi="Arial" w:eastAsia="黑体" w:cs="Arial"/>
      <w:snapToGrid w:val="0"/>
      <w:kern w:val="0"/>
      <w:szCs w:val="21"/>
    </w:rPr>
  </w:style>
  <w:style w:type="character" w:styleId="85">
    <w:name w:val="FollowedHyperlink"/>
    <w:qFormat/>
    <w:uiPriority w:val="99"/>
    <w:rPr>
      <w:rFonts w:ascii="Arial" w:hAnsi="Arial" w:eastAsia="黑体" w:cs="Arial"/>
      <w:snapToGrid w:val="0"/>
      <w:color w:val="000000"/>
      <w:kern w:val="0"/>
      <w:sz w:val="18"/>
      <w:szCs w:val="18"/>
      <w:u w:val="none"/>
    </w:rPr>
  </w:style>
  <w:style w:type="character" w:styleId="86">
    <w:name w:val="Emphasis"/>
    <w:qFormat/>
    <w:uiPriority w:val="20"/>
    <w:rPr>
      <w:color w:val="CC0033"/>
    </w:rPr>
  </w:style>
  <w:style w:type="character" w:styleId="87">
    <w:name w:val="line number"/>
    <w:basedOn w:val="81"/>
    <w:qFormat/>
    <w:uiPriority w:val="0"/>
    <w:rPr>
      <w:rFonts w:ascii="Arial" w:hAnsi="Arial" w:eastAsia="黑体" w:cs="Arial"/>
      <w:snapToGrid w:val="0"/>
      <w:kern w:val="0"/>
      <w:szCs w:val="21"/>
    </w:rPr>
  </w:style>
  <w:style w:type="character" w:styleId="88">
    <w:name w:val="Hyperlink"/>
    <w:qFormat/>
    <w:uiPriority w:val="99"/>
    <w:rPr>
      <w:rFonts w:ascii="Arial" w:hAnsi="Arial" w:eastAsia="黑体" w:cs="Arial"/>
      <w:snapToGrid w:val="0"/>
      <w:color w:val="000000"/>
      <w:kern w:val="0"/>
      <w:sz w:val="18"/>
      <w:szCs w:val="18"/>
      <w:u w:val="none"/>
    </w:rPr>
  </w:style>
  <w:style w:type="character" w:styleId="89">
    <w:name w:val="HTML Code"/>
    <w:qFormat/>
    <w:uiPriority w:val="0"/>
    <w:rPr>
      <w:rFonts w:ascii="黑体" w:hAnsi="Courier New" w:eastAsia="黑体" w:cs="楷体_GB2312"/>
      <w:sz w:val="20"/>
      <w:szCs w:val="20"/>
    </w:rPr>
  </w:style>
  <w:style w:type="character" w:styleId="90">
    <w:name w:val="annotation reference"/>
    <w:qFormat/>
    <w:uiPriority w:val="99"/>
    <w:rPr>
      <w:sz w:val="21"/>
      <w:szCs w:val="21"/>
    </w:rPr>
  </w:style>
  <w:style w:type="paragraph" w:customStyle="1" w:styleId="91">
    <w:name w:val="正文首行缩进 21"/>
    <w:basedOn w:val="92"/>
    <w:next w:val="1"/>
    <w:qFormat/>
    <w:uiPriority w:val="0"/>
    <w:pPr>
      <w:ind w:firstLine="210"/>
    </w:pPr>
  </w:style>
  <w:style w:type="paragraph" w:customStyle="1" w:styleId="92">
    <w:name w:val="正文文本缩进1"/>
    <w:basedOn w:val="1"/>
    <w:next w:val="1"/>
    <w:qFormat/>
    <w:uiPriority w:val="0"/>
    <w:pPr>
      <w:widowControl/>
      <w:ind w:left="420"/>
    </w:pPr>
    <w:rPr>
      <w:color w:val="000000"/>
    </w:rPr>
  </w:style>
  <w:style w:type="paragraph" w:customStyle="1" w:styleId="93">
    <w:name w:val="表格非标题文字"/>
    <w:link w:val="63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4">
    <w:name w:val="*正文"/>
    <w:basedOn w:val="1"/>
    <w:link w:val="634"/>
    <w:qFormat/>
    <w:uiPriority w:val="0"/>
    <w:pPr>
      <w:snapToGrid w:val="0"/>
      <w:spacing w:line="360" w:lineRule="auto"/>
      <w:ind w:firstLine="482"/>
      <w:jc w:val="left"/>
    </w:pPr>
    <w:rPr>
      <w:rFonts w:ascii="宋体" w:hAnsi="宋体"/>
      <w:kern w:val="0"/>
      <w:sz w:val="24"/>
      <w:szCs w:val="20"/>
    </w:rPr>
  </w:style>
  <w:style w:type="paragraph" w:customStyle="1" w:styleId="95">
    <w:name w:val="U_正文"/>
    <w:basedOn w:val="1"/>
    <w:link w:val="642"/>
    <w:qFormat/>
    <w:uiPriority w:val="0"/>
    <w:pPr>
      <w:adjustRightInd/>
      <w:spacing w:beforeLines="20" w:afterLines="20" w:line="300" w:lineRule="auto"/>
      <w:ind w:firstLine="200" w:firstLineChars="200"/>
    </w:pPr>
    <w:rPr>
      <w:kern w:val="0"/>
      <w:sz w:val="24"/>
    </w:rPr>
  </w:style>
  <w:style w:type="paragraph" w:customStyle="1" w:styleId="96">
    <w:name w:val="哈哈正文"/>
    <w:basedOn w:val="1"/>
    <w:link w:val="649"/>
    <w:qFormat/>
    <w:uiPriority w:val="0"/>
    <w:pPr>
      <w:adjustRightInd/>
      <w:spacing w:line="360" w:lineRule="auto"/>
      <w:ind w:firstLine="200" w:firstLineChars="200"/>
    </w:pPr>
    <w:rPr>
      <w:rFonts w:ascii="宋体" w:hAnsi="宋体"/>
      <w:sz w:val="24"/>
      <w:szCs w:val="20"/>
    </w:rPr>
  </w:style>
  <w:style w:type="paragraph" w:customStyle="1" w:styleId="97">
    <w:name w:val="5正文"/>
    <w:basedOn w:val="1"/>
    <w:link w:val="66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8">
    <w:name w:val="正文2"/>
    <w:basedOn w:val="1"/>
    <w:next w:val="19"/>
    <w:link w:val="676"/>
    <w:qFormat/>
    <w:uiPriority w:val="0"/>
    <w:pPr>
      <w:spacing w:before="156" w:line="360" w:lineRule="auto"/>
      <w:ind w:firstLine="510" w:firstLineChars="200"/>
    </w:pPr>
    <w:rPr>
      <w:sz w:val="24"/>
      <w:szCs w:val="20"/>
    </w:rPr>
  </w:style>
  <w:style w:type="paragraph" w:customStyle="1" w:styleId="99">
    <w:name w:val="无间隔1"/>
    <w:link w:val="684"/>
    <w:qFormat/>
    <w:uiPriority w:val="1"/>
    <w:rPr>
      <w:rFonts w:ascii="Times New Roman" w:hAnsi="Times New Roman" w:eastAsia="宋体" w:cs="Times New Roman"/>
      <w:sz w:val="22"/>
      <w:szCs w:val="22"/>
      <w:lang w:val="en-US" w:eastAsia="zh-CN" w:bidi="ar-SA"/>
    </w:rPr>
  </w:style>
  <w:style w:type="paragraph" w:customStyle="1" w:styleId="100">
    <w:name w:val="纯文本_0_0"/>
    <w:basedOn w:val="101"/>
    <w:link w:val="692"/>
    <w:qFormat/>
    <w:uiPriority w:val="0"/>
    <w:rPr>
      <w:rFonts w:ascii="宋体" w:hAnsi="Courier New"/>
      <w:szCs w:val="21"/>
    </w:rPr>
  </w:style>
  <w:style w:type="paragraph" w:customStyle="1" w:styleId="10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绿盟科技）"/>
    <w:link w:val="702"/>
    <w:qFormat/>
    <w:uiPriority w:val="0"/>
    <w:pPr>
      <w:spacing w:line="300" w:lineRule="auto"/>
    </w:pPr>
    <w:rPr>
      <w:rFonts w:ascii="Arial" w:hAnsi="Arial" w:eastAsia="宋体" w:cs="Times New Roman"/>
      <w:sz w:val="21"/>
      <w:szCs w:val="21"/>
      <w:lang w:val="en-US" w:eastAsia="zh-CN" w:bidi="ar-SA"/>
    </w:rPr>
  </w:style>
  <w:style w:type="paragraph" w:customStyle="1" w:styleId="103">
    <w:name w:val="表格名称"/>
    <w:basedOn w:val="2"/>
    <w:link w:val="711"/>
    <w:qFormat/>
    <w:uiPriority w:val="0"/>
    <w:pPr>
      <w:snapToGrid w:val="0"/>
      <w:spacing w:before="240" w:after="240" w:line="240" w:lineRule="auto"/>
      <w:jc w:val="center"/>
    </w:pPr>
    <w:rPr>
      <w:rFonts w:ascii="Calibri" w:hAnsi="Calibri" w:eastAsia="宋体"/>
      <w:kern w:val="0"/>
      <w:szCs w:val="20"/>
    </w:rPr>
  </w:style>
  <w:style w:type="paragraph" w:customStyle="1" w:styleId="104">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5">
    <w:name w:val="3级"/>
    <w:basedOn w:val="106"/>
    <w:link w:val="737"/>
    <w:qFormat/>
    <w:uiPriority w:val="0"/>
    <w:pPr>
      <w:ind w:left="0" w:right="466" w:firstLine="288"/>
    </w:pPr>
    <w:rPr>
      <w:rFonts w:hAnsi="宋体"/>
    </w:rPr>
  </w:style>
  <w:style w:type="paragraph" w:customStyle="1" w:styleId="10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7">
    <w:name w:val="标题4-dyf"/>
    <w:basedOn w:val="5"/>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8">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09">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0">
    <w:name w:val="正文样式"/>
    <w:basedOn w:val="1"/>
    <w:link w:val="779"/>
    <w:qFormat/>
    <w:uiPriority w:val="0"/>
    <w:pPr>
      <w:adjustRightInd/>
      <w:spacing w:line="360" w:lineRule="auto"/>
      <w:ind w:firstLine="480" w:firstLineChars="200"/>
    </w:pPr>
    <w:rPr>
      <w:kern w:val="0"/>
      <w:sz w:val="24"/>
    </w:rPr>
  </w:style>
  <w:style w:type="paragraph" w:customStyle="1" w:styleId="111">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2">
    <w:name w:val="列表1"/>
    <w:basedOn w:val="1"/>
    <w:next w:val="113"/>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3">
    <w:name w:val="列表段落1"/>
    <w:basedOn w:val="1"/>
    <w:qFormat/>
    <w:uiPriority w:val="34"/>
    <w:pPr>
      <w:spacing w:line="360" w:lineRule="auto"/>
      <w:ind w:firstLine="200" w:firstLineChars="200"/>
    </w:pPr>
    <w:rPr>
      <w:rFonts w:eastAsia="楷体_GB2312" w:cs="Lucida Sans"/>
      <w:sz w:val="24"/>
    </w:rPr>
  </w:style>
  <w:style w:type="paragraph" w:customStyle="1" w:styleId="114">
    <w:name w:val="此正文"/>
    <w:basedOn w:val="1"/>
    <w:link w:val="810"/>
    <w:qFormat/>
    <w:uiPriority w:val="0"/>
    <w:pPr>
      <w:adjustRightInd/>
      <w:spacing w:line="360" w:lineRule="auto"/>
      <w:ind w:firstLine="200" w:firstLineChars="200"/>
    </w:pPr>
    <w:rPr>
      <w:sz w:val="24"/>
    </w:rPr>
  </w:style>
  <w:style w:type="paragraph" w:customStyle="1" w:styleId="115">
    <w:name w:val="样式 样式 标题 4h4H4Fab-4T5Ref Heading 1rh1Heading sqlsect 1.2.3.... +..."/>
    <w:basedOn w:val="116"/>
    <w:link w:val="832"/>
    <w:qFormat/>
    <w:uiPriority w:val="0"/>
    <w:pPr>
      <w:tabs>
        <w:tab w:val="left" w:pos="2356"/>
      </w:tabs>
    </w:pPr>
  </w:style>
  <w:style w:type="paragraph" w:customStyle="1" w:styleId="116">
    <w:name w:val="样式 标题 4h4H4Fab-4T5Ref Heading 1rh1Heading sqlsect 1.2.3...."/>
    <w:basedOn w:val="5"/>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7">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8">
    <w:name w:val="纯文本1"/>
    <w:basedOn w:val="1"/>
    <w:link w:val="845"/>
    <w:qFormat/>
    <w:uiPriority w:val="0"/>
    <w:pPr>
      <w:adjustRightInd/>
    </w:pPr>
    <w:rPr>
      <w:rFonts w:ascii="宋体" w:hAnsi="Courier New"/>
      <w:kern w:val="0"/>
      <w:sz w:val="20"/>
      <w:szCs w:val="20"/>
    </w:rPr>
  </w:style>
  <w:style w:type="paragraph" w:customStyle="1" w:styleId="119">
    <w:name w:val="正文说明"/>
    <w:basedOn w:val="1"/>
    <w:link w:val="857"/>
    <w:qFormat/>
    <w:uiPriority w:val="0"/>
    <w:pPr>
      <w:adjustRightInd/>
      <w:spacing w:line="360" w:lineRule="auto"/>
    </w:pPr>
    <w:rPr>
      <w:kern w:val="0"/>
      <w:sz w:val="24"/>
    </w:rPr>
  </w:style>
  <w:style w:type="paragraph" w:customStyle="1" w:styleId="120">
    <w:name w:val="Table Text"/>
    <w:basedOn w:val="1"/>
    <w:link w:val="863"/>
    <w:qFormat/>
    <w:uiPriority w:val="0"/>
    <w:pPr>
      <w:widowControl/>
      <w:spacing w:before="60" w:after="60"/>
      <w:jc w:val="left"/>
    </w:pPr>
    <w:rPr>
      <w:kern w:val="0"/>
      <w:sz w:val="24"/>
    </w:rPr>
  </w:style>
  <w:style w:type="paragraph" w:customStyle="1" w:styleId="121">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2">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3">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4">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5">
    <w:name w:val="正文段"/>
    <w:basedOn w:val="1"/>
    <w:link w:val="915"/>
    <w:qFormat/>
    <w:uiPriority w:val="0"/>
    <w:pPr>
      <w:widowControl/>
      <w:snapToGrid w:val="0"/>
      <w:spacing w:afterLines="50"/>
      <w:ind w:firstLine="200" w:firstLineChars="200"/>
    </w:pPr>
    <w:rPr>
      <w:kern w:val="0"/>
      <w:sz w:val="24"/>
      <w:szCs w:val="20"/>
    </w:rPr>
  </w:style>
  <w:style w:type="paragraph" w:customStyle="1" w:styleId="126">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7">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28">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29">
    <w:name w:val="样式 正文缩进 + 首行缩进:  2 字符"/>
    <w:basedOn w:val="15"/>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0">
    <w:name w:val="样式 正文文本缩进 + 左侧:  2 字符 首行缩进:  2 字符"/>
    <w:basedOn w:val="3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7">
    <w:name w:val="标题4_自定义"/>
    <w:basedOn w:val="5"/>
    <w:qFormat/>
    <w:uiPriority w:val="0"/>
    <w:pPr>
      <w:adjustRightInd/>
      <w:spacing w:before="0" w:after="0" w:line="360" w:lineRule="auto"/>
    </w:pPr>
    <w:rPr>
      <w:rFonts w:ascii="Verdana" w:eastAsia="Verdana"/>
      <w:sz w:val="21"/>
      <w:lang w:val="en-US"/>
    </w:rPr>
  </w:style>
  <w:style w:type="paragraph" w:customStyle="1" w:styleId="138">
    <w:name w:val="正文 内标 序号标"/>
    <w:basedOn w:val="139"/>
    <w:qFormat/>
    <w:uiPriority w:val="0"/>
    <w:pPr>
      <w:tabs>
        <w:tab w:val="left" w:pos="0"/>
      </w:tabs>
      <w:adjustRightInd/>
      <w:spacing w:before="0"/>
      <w:ind w:firstLine="482"/>
    </w:pPr>
    <w:rPr>
      <w:rFonts w:ascii="微软雅黑" w:hAnsi="微软雅黑"/>
      <w:sz w:val="24"/>
      <w:szCs w:val="24"/>
    </w:rPr>
  </w:style>
  <w:style w:type="paragraph" w:customStyle="1" w:styleId="139">
    <w:name w:val="My正文"/>
    <w:basedOn w:val="1"/>
    <w:qFormat/>
    <w:uiPriority w:val="0"/>
    <w:pPr>
      <w:spacing w:before="120" w:line="360" w:lineRule="auto"/>
      <w:ind w:firstLine="567"/>
    </w:pPr>
    <w:rPr>
      <w:rFonts w:ascii="Arial" w:hAnsi="Arial"/>
      <w:sz w:val="20"/>
      <w:szCs w:val="20"/>
    </w:rPr>
  </w:style>
  <w:style w:type="paragraph" w:customStyle="1" w:styleId="14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3">
    <w:name w:val="修订2"/>
    <w:qFormat/>
    <w:uiPriority w:val="0"/>
    <w:rPr>
      <w:rFonts w:ascii="Times New Roman" w:hAnsi="Times New Roman" w:eastAsia="宋体" w:cs="Times New Roman"/>
      <w:kern w:val="2"/>
      <w:sz w:val="21"/>
      <w:lang w:val="en-US" w:eastAsia="zh-CN" w:bidi="ar-SA"/>
    </w:rPr>
  </w:style>
  <w:style w:type="paragraph" w:customStyle="1" w:styleId="14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6">
    <w:name w:val="文章标题"/>
    <w:next w:val="14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7">
    <w:name w:val="封面公司名"/>
    <w:qFormat/>
    <w:uiPriority w:val="0"/>
    <w:pPr>
      <w:jc w:val="center"/>
    </w:pPr>
    <w:rPr>
      <w:rFonts w:ascii="Arial" w:hAnsi="Arial" w:eastAsia="楷体_GB2312" w:cs="宋体"/>
      <w:bCs/>
      <w:kern w:val="2"/>
      <w:sz w:val="28"/>
      <w:lang w:val="en-US" w:eastAsia="zh-CN" w:bidi="ar-SA"/>
    </w:rPr>
  </w:style>
  <w:style w:type="paragraph" w:customStyle="1" w:styleId="148">
    <w:name w:val="Char1 Char Char Char5"/>
    <w:basedOn w:val="1"/>
    <w:qFormat/>
    <w:uiPriority w:val="0"/>
    <w:pPr>
      <w:adjustRightInd/>
      <w:ind w:firstLine="200" w:firstLineChars="200"/>
    </w:pPr>
    <w:rPr>
      <w:rFonts w:ascii="Tahoma" w:hAnsi="Tahoma"/>
      <w:sz w:val="24"/>
      <w:szCs w:val="20"/>
    </w:rPr>
  </w:style>
  <w:style w:type="paragraph" w:customStyle="1" w:styleId="14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1">
    <w:name w:val="Char Char Char Char Char Char Char Char"/>
    <w:basedOn w:val="1"/>
    <w:qFormat/>
    <w:uiPriority w:val="0"/>
    <w:pPr>
      <w:tabs>
        <w:tab w:val="left" w:pos="360"/>
      </w:tabs>
    </w:pPr>
    <w:rPr>
      <w:sz w:val="24"/>
      <w:szCs w:val="20"/>
    </w:rPr>
  </w:style>
  <w:style w:type="paragraph" w:customStyle="1" w:styleId="152">
    <w:name w:val="Char Char11 Char Char Char"/>
    <w:basedOn w:val="1"/>
    <w:qFormat/>
    <w:uiPriority w:val="0"/>
    <w:pPr>
      <w:spacing w:line="360" w:lineRule="auto"/>
    </w:pPr>
    <w:rPr>
      <w:szCs w:val="20"/>
    </w:rPr>
  </w:style>
  <w:style w:type="paragraph" w:customStyle="1" w:styleId="15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5">
    <w:name w:val="样式3"/>
    <w:basedOn w:val="156"/>
    <w:qFormat/>
    <w:uiPriority w:val="0"/>
    <w:pPr>
      <w:tabs>
        <w:tab w:val="left" w:pos="2790"/>
        <w:tab w:val="left" w:pos="4230"/>
      </w:tabs>
      <w:spacing w:beforeLines="100"/>
      <w:jc w:val="left"/>
    </w:pPr>
  </w:style>
  <w:style w:type="paragraph" w:customStyle="1" w:styleId="15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7">
    <w:name w:val="Char Char1 Char Char1 Char Char1"/>
    <w:basedOn w:val="1"/>
    <w:qFormat/>
    <w:uiPriority w:val="0"/>
    <w:pPr>
      <w:tabs>
        <w:tab w:val="left" w:pos="840"/>
      </w:tabs>
      <w:ind w:left="840" w:hanging="420"/>
    </w:pPr>
    <w:rPr>
      <w:rFonts w:ascii="Tahoma" w:hAnsi="Tahoma"/>
      <w:sz w:val="24"/>
    </w:rPr>
  </w:style>
  <w:style w:type="paragraph" w:customStyle="1" w:styleId="15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9">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1">
    <w:name w:val="正文21"/>
    <w:basedOn w:val="1"/>
    <w:qFormat/>
    <w:uiPriority w:val="0"/>
    <w:pPr>
      <w:adjustRightInd/>
      <w:spacing w:before="156" w:line="360" w:lineRule="auto"/>
      <w:ind w:firstLine="510" w:firstLineChars="200"/>
    </w:pPr>
    <w:rPr>
      <w:sz w:val="24"/>
      <w:szCs w:val="20"/>
    </w:rPr>
  </w:style>
  <w:style w:type="paragraph" w:customStyle="1" w:styleId="16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4">
    <w:name w:val="Char1"/>
    <w:basedOn w:val="1"/>
    <w:qFormat/>
    <w:uiPriority w:val="0"/>
    <w:rPr>
      <w:rFonts w:ascii="仿宋_GB2312" w:eastAsia="仿宋_GB2312"/>
      <w:b/>
      <w:sz w:val="32"/>
      <w:szCs w:val="32"/>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9">
    <w:name w:val="6级标题"/>
    <w:basedOn w:val="170"/>
    <w:qFormat/>
    <w:uiPriority w:val="0"/>
    <w:pPr>
      <w:keepNext/>
      <w:tabs>
        <w:tab w:val="left" w:pos="360"/>
      </w:tabs>
      <w:outlineLvl w:val="5"/>
    </w:pPr>
  </w:style>
  <w:style w:type="paragraph" w:customStyle="1" w:styleId="170">
    <w:name w:val="5级标题"/>
    <w:basedOn w:val="17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1">
    <w:name w:val="4级标题"/>
    <w:basedOn w:val="11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2">
    <w:name w:val="样式 正文文本缩进 + 段前: 2 字符"/>
    <w:basedOn w:val="1"/>
    <w:qFormat/>
    <w:uiPriority w:val="0"/>
    <w:pPr>
      <w:adjustRightInd/>
      <w:ind w:left="420" w:leftChars="200"/>
      <w:jc w:val="left"/>
    </w:pPr>
    <w:rPr>
      <w:sz w:val="28"/>
      <w:szCs w:val="20"/>
      <w:lang w:eastAsia="zh-TW"/>
    </w:rPr>
  </w:style>
  <w:style w:type="paragraph" w:customStyle="1" w:styleId="173">
    <w:name w:val="Char2 Char Char"/>
    <w:basedOn w:val="1"/>
    <w:qFormat/>
    <w:uiPriority w:val="0"/>
    <w:pPr>
      <w:adjustRightInd/>
    </w:pPr>
    <w:rPr>
      <w:rFonts w:ascii="Tahoma" w:hAnsi="Tahoma"/>
      <w:sz w:val="24"/>
      <w:szCs w:val="20"/>
    </w:rPr>
  </w:style>
  <w:style w:type="paragraph" w:customStyle="1" w:styleId="174">
    <w:name w:val="_Style 11"/>
    <w:basedOn w:val="1"/>
    <w:qFormat/>
    <w:uiPriority w:val="34"/>
    <w:pPr>
      <w:adjustRightInd/>
      <w:ind w:firstLine="420" w:firstLineChars="200"/>
    </w:pPr>
    <w:rPr>
      <w:rFonts w:eastAsia="仿宋_GB2312"/>
      <w:sz w:val="28"/>
    </w:rPr>
  </w:style>
  <w:style w:type="paragraph" w:customStyle="1" w:styleId="17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9">
    <w:name w:val="无间隔2"/>
    <w:basedOn w:val="1"/>
    <w:link w:val="953"/>
    <w:qFormat/>
    <w:uiPriority w:val="99"/>
    <w:rPr>
      <w:szCs w:val="22"/>
    </w:rPr>
  </w:style>
  <w:style w:type="paragraph" w:customStyle="1" w:styleId="1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1">
    <w:name w:val="Char Char Char Char Char Char Char Char Char Char Char Char1 Char1"/>
    <w:basedOn w:val="1"/>
    <w:qFormat/>
    <w:uiPriority w:val="6"/>
    <w:rPr>
      <w:rFonts w:ascii="Tahoma" w:hAnsi="Tahoma" w:cs="仿宋_GB2312"/>
      <w:sz w:val="24"/>
      <w:szCs w:val="20"/>
    </w:rPr>
  </w:style>
  <w:style w:type="paragraph" w:customStyle="1" w:styleId="18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6">
    <w:name w:val="五级无标题条"/>
    <w:basedOn w:val="1"/>
    <w:qFormat/>
    <w:uiPriority w:val="0"/>
    <w:pPr>
      <w:adjustRightInd/>
    </w:pPr>
  </w:style>
  <w:style w:type="paragraph" w:customStyle="1" w:styleId="187">
    <w:name w:val="Char5"/>
    <w:basedOn w:val="1"/>
    <w:qFormat/>
    <w:uiPriority w:val="0"/>
    <w:rPr>
      <w:rFonts w:ascii="仿宋_GB2312" w:eastAsia="仿宋_GB2312"/>
      <w:b/>
      <w:sz w:val="32"/>
      <w:szCs w:val="32"/>
    </w:rPr>
  </w:style>
  <w:style w:type="paragraph" w:customStyle="1" w:styleId="18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9">
    <w:name w:val="彩色列表 - 强调文字颜色 12"/>
    <w:basedOn w:val="1"/>
    <w:qFormat/>
    <w:uiPriority w:val="0"/>
    <w:pPr>
      <w:adjustRightInd/>
      <w:ind w:firstLine="420" w:firstLineChars="200"/>
    </w:pPr>
    <w:rPr>
      <w:rFonts w:ascii="Calibri" w:hAnsi="Calibri"/>
      <w:szCs w:val="22"/>
    </w:rPr>
  </w:style>
  <w:style w:type="paragraph" w:customStyle="1" w:styleId="19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2"/>
    <w:basedOn w:val="1"/>
    <w:qFormat/>
    <w:uiPriority w:val="0"/>
    <w:rPr>
      <w:rFonts w:ascii="仿宋_GB2312" w:eastAsia="仿宋_GB2312"/>
      <w:b/>
      <w:sz w:val="32"/>
      <w:szCs w:val="32"/>
    </w:rPr>
  </w:style>
  <w:style w:type="paragraph" w:customStyle="1" w:styleId="192">
    <w:name w:val="数字标题3"/>
    <w:basedOn w:val="4"/>
    <w:next w:val="1"/>
    <w:qFormat/>
    <w:uiPriority w:val="0"/>
    <w:pPr>
      <w:spacing w:line="240" w:lineRule="auto"/>
    </w:pPr>
    <w:rPr>
      <w:sz w:val="28"/>
      <w:szCs w:val="28"/>
    </w:rPr>
  </w:style>
  <w:style w:type="paragraph" w:customStyle="1" w:styleId="193">
    <w:name w:val="FA正文"/>
    <w:basedOn w:val="1"/>
    <w:qFormat/>
    <w:uiPriority w:val="0"/>
    <w:pPr>
      <w:spacing w:line="360" w:lineRule="auto"/>
      <w:ind w:firstLine="480" w:firstLineChars="200"/>
    </w:pPr>
    <w:rPr>
      <w:rFonts w:hAnsi="宋体"/>
      <w:sz w:val="24"/>
      <w:szCs w:val="20"/>
    </w:rPr>
  </w:style>
  <w:style w:type="paragraph" w:customStyle="1" w:styleId="194">
    <w:name w:val="MM Topic 5"/>
    <w:basedOn w:val="6"/>
    <w:qFormat/>
    <w:uiPriority w:val="0"/>
    <w:pPr>
      <w:tabs>
        <w:tab w:val="left" w:pos="2520"/>
        <w:tab w:val="clear" w:pos="1008"/>
      </w:tabs>
      <w:adjustRightInd/>
      <w:ind w:left="2520" w:hanging="420"/>
    </w:pPr>
  </w:style>
  <w:style w:type="paragraph" w:customStyle="1" w:styleId="195">
    <w:name w:val="Char Char Char Char Char Char Char Char Char Char1"/>
    <w:basedOn w:val="1"/>
    <w:qFormat/>
    <w:uiPriority w:val="0"/>
    <w:rPr>
      <w:rFonts w:ascii="仿宋_GB2312" w:eastAsia="仿宋_GB2312"/>
      <w:b/>
      <w:sz w:val="32"/>
      <w:szCs w:val="32"/>
    </w:rPr>
  </w:style>
  <w:style w:type="paragraph" w:customStyle="1" w:styleId="19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7">
    <w:name w:val="修订1"/>
    <w:qFormat/>
    <w:uiPriority w:val="3"/>
    <w:rPr>
      <w:rFonts w:ascii="Times New Roman" w:hAnsi="Times New Roman" w:eastAsia="宋体" w:cs="Times New Roman"/>
      <w:color w:val="000000"/>
      <w:kern w:val="1"/>
      <w:sz w:val="21"/>
      <w:lang w:val="en-US" w:eastAsia="zh-CN" w:bidi="ar-SA"/>
    </w:rPr>
  </w:style>
  <w:style w:type="paragraph" w:customStyle="1" w:styleId="198">
    <w:name w:val="Char2 Char Char Char"/>
    <w:basedOn w:val="1"/>
    <w:qFormat/>
    <w:uiPriority w:val="0"/>
    <w:rPr>
      <w:rFonts w:ascii="仿宋_GB2312" w:eastAsia="仿宋_GB2312"/>
      <w:b/>
      <w:sz w:val="32"/>
      <w:szCs w:val="32"/>
    </w:rPr>
  </w:style>
  <w:style w:type="paragraph" w:customStyle="1" w:styleId="199">
    <w:name w:val="Char2 Char Char Char1"/>
    <w:basedOn w:val="1"/>
    <w:qFormat/>
    <w:uiPriority w:val="6"/>
    <w:rPr>
      <w:rFonts w:ascii="仿宋_GB2312" w:eastAsia="仿宋_GB2312"/>
      <w:b/>
      <w:sz w:val="32"/>
      <w:szCs w:val="32"/>
    </w:rPr>
  </w:style>
  <w:style w:type="paragraph" w:customStyle="1" w:styleId="200">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201">
    <w:name w:val="图中文字"/>
    <w:basedOn w:val="1"/>
    <w:qFormat/>
    <w:uiPriority w:val="0"/>
    <w:pPr>
      <w:snapToGrid w:val="0"/>
      <w:spacing w:line="0" w:lineRule="atLeast"/>
      <w:ind w:firstLine="200" w:firstLineChars="200"/>
      <w:jc w:val="center"/>
    </w:pPr>
    <w:rPr>
      <w:sz w:val="24"/>
      <w:szCs w:val="20"/>
    </w:rPr>
  </w:style>
  <w:style w:type="paragraph" w:customStyle="1" w:styleId="20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3">
    <w:name w:val="MM Topic 3"/>
    <w:basedOn w:val="4"/>
    <w:qFormat/>
    <w:uiPriority w:val="0"/>
    <w:pPr>
      <w:tabs>
        <w:tab w:val="left" w:pos="1680"/>
        <w:tab w:val="clear" w:pos="900"/>
      </w:tabs>
      <w:adjustRightInd/>
      <w:ind w:left="1680" w:hanging="420"/>
    </w:pPr>
  </w:style>
  <w:style w:type="paragraph" w:customStyle="1" w:styleId="204">
    <w:name w:val="标准小四"/>
    <w:basedOn w:val="1"/>
    <w:qFormat/>
    <w:uiPriority w:val="0"/>
    <w:pPr>
      <w:spacing w:line="360" w:lineRule="auto"/>
      <w:ind w:firstLine="480" w:firstLineChars="200"/>
    </w:pPr>
    <w:rPr>
      <w:rFonts w:ascii="Arial" w:hAnsi="Arial"/>
      <w:sz w:val="24"/>
      <w:szCs w:val="21"/>
    </w:rPr>
  </w:style>
  <w:style w:type="paragraph" w:customStyle="1" w:styleId="20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6">
    <w:name w:val="表格（小）"/>
    <w:basedOn w:val="1"/>
    <w:qFormat/>
    <w:uiPriority w:val="0"/>
    <w:pPr>
      <w:adjustRightInd/>
      <w:snapToGrid w:val="0"/>
      <w:spacing w:line="300" w:lineRule="auto"/>
    </w:pPr>
    <w:rPr>
      <w:rFonts w:eastAsia="仿宋"/>
      <w:szCs w:val="21"/>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Char2 Char Char1"/>
    <w:basedOn w:val="1"/>
    <w:qFormat/>
    <w:uiPriority w:val="6"/>
    <w:pPr>
      <w:adjustRightInd/>
    </w:pPr>
    <w:rPr>
      <w:rFonts w:ascii="Tahoma" w:hAnsi="Tahoma"/>
      <w:sz w:val="24"/>
      <w:szCs w:val="20"/>
    </w:rPr>
  </w:style>
  <w:style w:type="paragraph" w:customStyle="1" w:styleId="209">
    <w:name w:val="列出段落5"/>
    <w:basedOn w:val="1"/>
    <w:qFormat/>
    <w:uiPriority w:val="0"/>
    <w:pPr>
      <w:spacing w:line="360" w:lineRule="auto"/>
      <w:ind w:firstLine="200" w:firstLineChars="200"/>
    </w:pPr>
    <w:rPr>
      <w:rFonts w:eastAsia="楷体_GB2312" w:cs="Lucida Sans"/>
      <w:sz w:val="24"/>
    </w:rPr>
  </w:style>
  <w:style w:type="paragraph" w:customStyle="1" w:styleId="21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1">
    <w:name w:val="表格文字"/>
    <w:basedOn w:val="1"/>
    <w:next w:val="32"/>
    <w:qFormat/>
    <w:uiPriority w:val="0"/>
    <w:pPr>
      <w:adjustRightInd/>
      <w:ind w:firstLine="200" w:firstLineChars="200"/>
    </w:pPr>
    <w:rPr>
      <w:rFonts w:ascii="Arial" w:hAnsi="Arial"/>
      <w:spacing w:val="-5"/>
      <w:kern w:val="0"/>
      <w:sz w:val="24"/>
      <w:szCs w:val="20"/>
    </w:rPr>
  </w:style>
  <w:style w:type="paragraph" w:customStyle="1" w:styleId="21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_Style 3"/>
    <w:basedOn w:val="1"/>
    <w:qFormat/>
    <w:uiPriority w:val="0"/>
    <w:pPr>
      <w:adjustRightInd/>
      <w:ind w:firstLine="420" w:firstLineChars="200"/>
    </w:pPr>
    <w:rPr>
      <w:rFonts w:eastAsia="仿宋_GB2312"/>
      <w:sz w:val="28"/>
    </w:rPr>
  </w:style>
  <w:style w:type="paragraph" w:customStyle="1" w:styleId="21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9">
    <w:name w:val="Bulleting First Indent 1"/>
    <w:basedOn w:val="3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0">
    <w:name w:val="左对齐表格文字"/>
    <w:basedOn w:val="1"/>
    <w:qFormat/>
    <w:uiPriority w:val="0"/>
    <w:pPr>
      <w:adjustRightInd/>
      <w:ind w:firstLine="200" w:firstLineChars="200"/>
      <w:jc w:val="right"/>
    </w:pPr>
  </w:style>
  <w:style w:type="paragraph" w:customStyle="1" w:styleId="221">
    <w:name w:val="Char Char11 Char Char Char Char Char Char Char Char Char"/>
    <w:basedOn w:val="1"/>
    <w:qFormat/>
    <w:uiPriority w:val="0"/>
    <w:pPr>
      <w:spacing w:line="360" w:lineRule="auto"/>
    </w:pPr>
    <w:rPr>
      <w:szCs w:val="20"/>
    </w:rPr>
  </w:style>
  <w:style w:type="paragraph" w:customStyle="1" w:styleId="222">
    <w:name w:val="正文1.25"/>
    <w:basedOn w:val="1"/>
    <w:qFormat/>
    <w:uiPriority w:val="0"/>
    <w:pPr>
      <w:adjustRightInd/>
      <w:spacing w:line="300" w:lineRule="auto"/>
      <w:ind w:firstLine="480" w:firstLineChars="200"/>
    </w:pPr>
    <w:rPr>
      <w:sz w:val="24"/>
      <w:szCs w:val="20"/>
    </w:rPr>
  </w:style>
  <w:style w:type="paragraph" w:customStyle="1" w:styleId="22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6">
    <w:name w:val="Char Char1 Char Char Char1"/>
    <w:basedOn w:val="1"/>
    <w:qFormat/>
    <w:uiPriority w:val="6"/>
    <w:rPr>
      <w:rFonts w:ascii="仿宋_GB2312" w:eastAsia="仿宋_GB2312"/>
      <w:b/>
      <w:sz w:val="32"/>
      <w:szCs w:val="20"/>
    </w:rPr>
  </w:style>
  <w:style w:type="paragraph" w:customStyle="1" w:styleId="227">
    <w:name w:val="列出段落2"/>
    <w:basedOn w:val="1"/>
    <w:qFormat/>
    <w:uiPriority w:val="0"/>
    <w:pPr>
      <w:adjustRightInd/>
      <w:ind w:firstLine="420" w:firstLineChars="200"/>
    </w:pPr>
    <w:rPr>
      <w:rFonts w:ascii="宋体" w:hAnsi="宋体"/>
      <w:sz w:val="24"/>
    </w:rPr>
  </w:style>
  <w:style w:type="paragraph" w:customStyle="1" w:styleId="228">
    <w:name w:val="默认段落字体 Para Char Char Char Char Char Char Char"/>
    <w:basedOn w:val="1"/>
    <w:qFormat/>
    <w:uiPriority w:val="0"/>
    <w:rPr>
      <w:rFonts w:eastAsia="仿宋_GB2312"/>
      <w:sz w:val="28"/>
      <w:szCs w:val="20"/>
    </w:rPr>
  </w:style>
  <w:style w:type="paragraph" w:customStyle="1" w:styleId="22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0">
    <w:name w:val="样式 标题 4PIM 4H4h4bulletblbbH41H42H43H44H45H46H47H48...1"/>
    <w:basedOn w:val="5"/>
    <w:qFormat/>
    <w:uiPriority w:val="0"/>
    <w:pPr>
      <w:widowControl/>
      <w:jc w:val="left"/>
    </w:pPr>
    <w:rPr>
      <w:rFonts w:cs="宋体"/>
      <w:sz w:val="24"/>
      <w:szCs w:val="20"/>
    </w:rPr>
  </w:style>
  <w:style w:type="paragraph" w:customStyle="1" w:styleId="231">
    <w:name w:val="彩色列表 - 强调文字颜色 11"/>
    <w:basedOn w:val="1"/>
    <w:qFormat/>
    <w:uiPriority w:val="0"/>
    <w:pPr>
      <w:adjustRightInd/>
      <w:ind w:firstLine="420" w:firstLineChars="200"/>
    </w:pPr>
    <w:rPr>
      <w:rFonts w:ascii="Calibri" w:hAnsi="Calibri"/>
      <w:szCs w:val="22"/>
    </w:rPr>
  </w:style>
  <w:style w:type="paragraph" w:customStyle="1" w:styleId="232">
    <w:name w:val="加粗正文"/>
    <w:basedOn w:val="1"/>
    <w:qFormat/>
    <w:uiPriority w:val="0"/>
    <w:pPr>
      <w:adjustRightInd/>
      <w:spacing w:beforeLines="50" w:afterLines="50" w:line="360" w:lineRule="auto"/>
      <w:ind w:firstLine="422" w:firstLineChars="200"/>
    </w:pPr>
    <w:rPr>
      <w:b/>
      <w:bCs/>
      <w:szCs w:val="21"/>
    </w:rPr>
  </w:style>
  <w:style w:type="paragraph" w:customStyle="1" w:styleId="23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5">
    <w:name w:val="Char Char Char1 Char1"/>
    <w:basedOn w:val="1"/>
    <w:qFormat/>
    <w:uiPriority w:val="6"/>
    <w:rPr>
      <w:szCs w:val="20"/>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7">
    <w:name w:val="样式 标题 2 + 宋体 左侧:  1.76 厘米 首行缩进:  0 厘米"/>
    <w:basedOn w:val="2"/>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1">
    <w:name w:val="CM14"/>
    <w:basedOn w:val="109"/>
    <w:next w:val="109"/>
    <w:qFormat/>
    <w:uiPriority w:val="0"/>
    <w:pPr>
      <w:spacing w:after="68"/>
    </w:pPr>
    <w:rPr>
      <w:rFonts w:ascii="FHLHE E+ Futura Bk" w:eastAsia="FHLHE E+ Futura Bk" w:cs="Times New Roman"/>
      <w:color w:val="auto"/>
    </w:rPr>
  </w:style>
  <w:style w:type="paragraph" w:customStyle="1" w:styleId="24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5">
    <w:name w:val="正文文字 2"/>
    <w:basedOn w:val="109"/>
    <w:next w:val="109"/>
    <w:qFormat/>
    <w:uiPriority w:val="0"/>
    <w:rPr>
      <w:rFonts w:ascii="宋体" w:eastAsia="宋体" w:cs="Times New Roman"/>
      <w:color w:val="auto"/>
    </w:rPr>
  </w:style>
  <w:style w:type="paragraph" w:customStyle="1" w:styleId="24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7">
    <w:name w:val="Char Char1 Char"/>
    <w:basedOn w:val="1"/>
    <w:qFormat/>
    <w:uiPriority w:val="0"/>
    <w:rPr>
      <w:rFonts w:ascii="仿宋_GB2312" w:eastAsia="仿宋_GB2312"/>
      <w:b/>
      <w:sz w:val="32"/>
      <w:szCs w:val="32"/>
    </w:rPr>
  </w:style>
  <w:style w:type="paragraph" w:customStyle="1" w:styleId="24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0">
    <w:name w:val="Char Char111"/>
    <w:basedOn w:val="1"/>
    <w:qFormat/>
    <w:uiPriority w:val="0"/>
    <w:pPr>
      <w:spacing w:line="360" w:lineRule="auto"/>
    </w:pPr>
    <w:rPr>
      <w:szCs w:val="20"/>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3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标题五"/>
    <w:basedOn w:val="1"/>
    <w:qFormat/>
    <w:uiPriority w:val="0"/>
    <w:pPr>
      <w:adjustRightInd/>
      <w:spacing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3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22"/>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2"/>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3"/>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2"/>
    <w:qFormat/>
    <w:uiPriority w:val="0"/>
    <w:pPr>
      <w:widowControl/>
      <w:spacing w:before="260" w:after="260" w:line="416" w:lineRule="auto"/>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36"/>
    <w:next w:val="1"/>
    <w:qFormat/>
    <w:uiPriority w:val="0"/>
    <w:pPr>
      <w:snapToGrid w:val="0"/>
      <w:ind w:firstLine="42" w:firstLineChars="21"/>
    </w:pPr>
    <w:rPr>
      <w:rFonts w:ascii="宋体" w:hAnsi="宋体"/>
      <w:kern w:val="0"/>
      <w:sz w:val="20"/>
      <w:szCs w:val="20"/>
    </w:rPr>
  </w:style>
  <w:style w:type="paragraph" w:customStyle="1" w:styleId="32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4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Lines="0" w:afterLines="0"/>
      <w:ind w:left="1680"/>
      <w:outlineLvl w:val="2"/>
    </w:pPr>
  </w:style>
  <w:style w:type="paragraph" w:customStyle="1" w:styleId="351">
    <w:name w:val="章标题"/>
    <w:next w:val="33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5"/>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Lines="50"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3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2"/>
    <w:qFormat/>
    <w:uiPriority w:val="0"/>
    <w:pPr>
      <w:spacing w:before="120" w:after="120"/>
      <w:jc w:val="both"/>
    </w:pPr>
    <w:rPr>
      <w:rFonts w:ascii="宋体" w:hAnsi="Arial" w:eastAsia="宋体"/>
      <w:sz w:val="28"/>
      <w:lang w:val="en-US"/>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50"/>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32"/>
    <w:qFormat/>
    <w:uiPriority w:val="0"/>
    <w:pPr>
      <w:snapToGrid w:val="0"/>
      <w:ind w:firstLine="480" w:firstLineChars="200"/>
    </w:pPr>
    <w:rPr>
      <w:rFonts w:ascii="Times New Roman"/>
      <w:szCs w:val="24"/>
      <w:lang w:val="en-US"/>
    </w:rPr>
  </w:style>
  <w:style w:type="paragraph" w:customStyle="1" w:styleId="46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7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3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66"/>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3"/>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7"/>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32"/>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2"/>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50"/>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34"/>
    <w:qFormat/>
    <w:uiPriority w:val="0"/>
    <w:pPr>
      <w:adjustRightInd/>
      <w:spacing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8"/>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13"/>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5"/>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4"/>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1"/>
    <w:qFormat/>
    <w:uiPriority w:val="0"/>
    <w:rPr>
      <w:b w:val="0"/>
      <w:sz w:val="20"/>
    </w:rPr>
  </w:style>
  <w:style w:type="paragraph" w:customStyle="1" w:styleId="584">
    <w:name w:val="正文首行缩进1"/>
    <w:basedOn w:val="3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qFormat/>
    <w:uiPriority w:val="0"/>
    <w:pPr>
      <w:tabs>
        <w:tab w:val="left" w:pos="1080"/>
        <w:tab w:val="clear" w:pos="1008"/>
      </w:tabs>
      <w:ind w:left="1080" w:hanging="1080"/>
    </w:pPr>
  </w:style>
  <w:style w:type="paragraph" w:customStyle="1" w:styleId="587">
    <w:name w:val="数字标题1"/>
    <w:basedOn w:val="3"/>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9"/>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7"/>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3">
    <w:name w:val="_Style 947"/>
    <w:basedOn w:val="1"/>
    <w:next w:val="113"/>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2"/>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Normal]"/>
    <w:qFormat/>
    <w:uiPriority w:val="0"/>
    <w:rPr>
      <w:rFonts w:ascii="宋体" w:hAnsi="宋体" w:eastAsia="宋体" w:cs="Times New Roman"/>
      <w:sz w:val="24"/>
      <w:szCs w:val="22"/>
      <w:lang w:val="zh-CN" w:eastAsia="zh-CN" w:bidi="ar-SA"/>
    </w:rPr>
  </w:style>
  <w:style w:type="paragraph" w:customStyle="1" w:styleId="626">
    <w:name w:val="No Spacing1"/>
    <w:qFormat/>
    <w:uiPriority w:val="0"/>
    <w:rPr>
      <w:rFonts w:ascii="Times New Roman" w:hAnsi="Times New Roman" w:eastAsia="??" w:cs="宋体"/>
      <w:sz w:val="22"/>
      <w:szCs w:val="22"/>
      <w:lang w:val="en-US" w:eastAsia="en-US" w:bidi="ar-SA"/>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Normal Indent1"/>
    <w:basedOn w:val="1"/>
    <w:qFormat/>
    <w:uiPriority w:val="0"/>
    <w:pPr>
      <w:ind w:firstLine="420"/>
    </w:pPr>
    <w:rPr>
      <w:szCs w:val="20"/>
    </w:rPr>
  </w:style>
  <w:style w:type="paragraph" w:customStyle="1" w:styleId="629">
    <w:name w:val="列出段落6"/>
    <w:basedOn w:val="1"/>
    <w:qFormat/>
    <w:uiPriority w:val="34"/>
    <w:pPr>
      <w:ind w:firstLine="420" w:firstLineChars="200"/>
    </w:pPr>
  </w:style>
  <w:style w:type="paragraph" w:customStyle="1" w:styleId="630">
    <w:name w:val="纯文本3"/>
    <w:basedOn w:val="1"/>
    <w:qFormat/>
    <w:uiPriority w:val="0"/>
    <w:pPr>
      <w:spacing w:beforeLines="50" w:afterLines="50" w:line="400" w:lineRule="exact"/>
    </w:pPr>
    <w:rPr>
      <w:rFonts w:ascii="宋体" w:hAnsi="Courier New"/>
      <w:sz w:val="24"/>
    </w:rPr>
  </w:style>
  <w:style w:type="paragraph" w:customStyle="1" w:styleId="63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2">
    <w:name w:val="公文标2级"/>
    <w:basedOn w:val="1"/>
    <w:qFormat/>
    <w:uiPriority w:val="0"/>
    <w:rPr>
      <w:rFonts w:ascii="楷体_GB2312" w:hAnsi="楷体_GB2312" w:eastAsia="楷体" w:cs="楷体"/>
      <w:color w:val="000000"/>
      <w:kern w:val="1"/>
      <w:sz w:val="32"/>
    </w:rPr>
  </w:style>
  <w:style w:type="character" w:customStyle="1" w:styleId="633">
    <w:name w:val="表格非标题文字 Char"/>
    <w:link w:val="93"/>
    <w:qFormat/>
    <w:uiPriority w:val="0"/>
    <w:rPr>
      <w:rFonts w:ascii="Futura Bk" w:hAnsi="Futura Bk"/>
      <w:kern w:val="2"/>
      <w:sz w:val="18"/>
      <w:szCs w:val="21"/>
      <w:lang w:val="en-US" w:eastAsia="zh-CN" w:bidi="ar-SA"/>
    </w:rPr>
  </w:style>
  <w:style w:type="character" w:customStyle="1" w:styleId="634">
    <w:name w:val="*正文 Char"/>
    <w:link w:val="94"/>
    <w:qFormat/>
    <w:locked/>
    <w:uiPriority w:val="0"/>
    <w:rPr>
      <w:rFonts w:ascii="宋体" w:hAnsi="宋体"/>
      <w:sz w:val="24"/>
    </w:rPr>
  </w:style>
  <w:style w:type="character" w:customStyle="1" w:styleId="635">
    <w:name w:val="Char Char71"/>
    <w:semiHidden/>
    <w:qFormat/>
    <w:uiPriority w:val="0"/>
    <w:rPr>
      <w:rFonts w:eastAsia="宋体"/>
      <w:kern w:val="2"/>
      <w:sz w:val="21"/>
      <w:szCs w:val="24"/>
      <w:lang w:val="en-US" w:eastAsia="zh-CN" w:bidi="ar-SA"/>
    </w:rPr>
  </w:style>
  <w:style w:type="character" w:customStyle="1" w:styleId="636">
    <w:name w:val="Char Char6"/>
    <w:qFormat/>
    <w:uiPriority w:val="0"/>
    <w:rPr>
      <w:rFonts w:eastAsia="宋体"/>
      <w:kern w:val="2"/>
      <w:sz w:val="21"/>
      <w:szCs w:val="24"/>
      <w:lang w:val="en-US" w:eastAsia="zh-CN" w:bidi="ar-SA"/>
    </w:rPr>
  </w:style>
  <w:style w:type="character" w:customStyle="1" w:styleId="637">
    <w:name w:val="正文缩进 Char"/>
    <w:qFormat/>
    <w:uiPriority w:val="0"/>
    <w:rPr>
      <w:rFonts w:eastAsia="宋体"/>
      <w:kern w:val="2"/>
      <w:sz w:val="21"/>
      <w:lang w:val="en-US" w:eastAsia="zh-CN"/>
    </w:rPr>
  </w:style>
  <w:style w:type="character" w:customStyle="1" w:styleId="638">
    <w:name w:val="正文首行缩进 Char1"/>
    <w:qFormat/>
    <w:uiPriority w:val="0"/>
    <w:rPr>
      <w:rFonts w:ascii="宋体" w:hAnsi="Times New Roman" w:eastAsia="宋体" w:cs="Times New Roman"/>
      <w:snapToGrid w:val="0"/>
      <w:kern w:val="2"/>
      <w:sz w:val="24"/>
      <w:szCs w:val="21"/>
      <w:lang w:val="zh-CN"/>
    </w:rPr>
  </w:style>
  <w:style w:type="character" w:customStyle="1" w:styleId="639">
    <w:name w:val="Char Char28"/>
    <w:qFormat/>
    <w:uiPriority w:val="6"/>
    <w:rPr>
      <w:rFonts w:ascii="仿宋_GB2312" w:hAnsi="仿宋_GB2312" w:eastAsia="仿宋_GB2312"/>
      <w:kern w:val="1"/>
      <w:sz w:val="28"/>
    </w:rPr>
  </w:style>
  <w:style w:type="character" w:customStyle="1" w:styleId="64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1">
    <w:name w:val="Heading 1 Char"/>
    <w:qFormat/>
    <w:uiPriority w:val="6"/>
    <w:rPr>
      <w:rFonts w:ascii="Times New Roman" w:hAnsi="Times New Roman" w:eastAsia="黑体" w:cs="Times New Roman"/>
      <w:b/>
      <w:kern w:val="0"/>
      <w:sz w:val="24"/>
      <w:szCs w:val="24"/>
    </w:rPr>
  </w:style>
  <w:style w:type="character" w:customStyle="1" w:styleId="642">
    <w:name w:val="U_正文 Char"/>
    <w:link w:val="95"/>
    <w:qFormat/>
    <w:uiPriority w:val="0"/>
    <w:rPr>
      <w:sz w:val="24"/>
      <w:szCs w:val="24"/>
    </w:rPr>
  </w:style>
  <w:style w:type="character" w:customStyle="1" w:styleId="643">
    <w:name w:val="HTML 地址 Char1"/>
    <w:qFormat/>
    <w:uiPriority w:val="0"/>
    <w:rPr>
      <w:rFonts w:ascii="Times New Roman" w:hAnsi="Times New Roman" w:eastAsia="宋体" w:cs="Times New Roman"/>
      <w:i/>
      <w:iCs/>
      <w:szCs w:val="24"/>
    </w:rPr>
  </w:style>
  <w:style w:type="character" w:customStyle="1" w:styleId="644">
    <w:name w:val="批注主题 Char1"/>
    <w:link w:val="72"/>
    <w:qFormat/>
    <w:uiPriority w:val="0"/>
    <w:rPr>
      <w:b/>
      <w:bCs/>
      <w:kern w:val="2"/>
      <w:sz w:val="21"/>
      <w:szCs w:val="24"/>
    </w:rPr>
  </w:style>
  <w:style w:type="character" w:customStyle="1" w:styleId="645">
    <w:name w:val="Char Char51"/>
    <w:qFormat/>
    <w:uiPriority w:val="0"/>
    <w:rPr>
      <w:rFonts w:ascii="宋体" w:hAnsi="Courier New" w:eastAsia="宋体"/>
      <w:kern w:val="2"/>
      <w:sz w:val="21"/>
      <w:lang w:val="en-US" w:eastAsia="zh-CN"/>
    </w:rPr>
  </w:style>
  <w:style w:type="character" w:customStyle="1" w:styleId="646">
    <w:name w:val="表正文 Char"/>
    <w:qFormat/>
    <w:uiPriority w:val="0"/>
    <w:rPr>
      <w:rFonts w:ascii="宋体" w:eastAsia="宋体"/>
      <w:snapToGrid w:val="0"/>
      <w:color w:val="000000"/>
      <w:kern w:val="28"/>
      <w:sz w:val="28"/>
      <w:lang w:val="en-US" w:eastAsia="zh-CN" w:bidi="ar-SA"/>
    </w:rPr>
  </w:style>
  <w:style w:type="character" w:customStyle="1" w:styleId="647">
    <w:name w:val="Char Char34"/>
    <w:qFormat/>
    <w:uiPriority w:val="6"/>
    <w:rPr>
      <w:b/>
      <w:kern w:val="1"/>
      <w:sz w:val="28"/>
      <w:szCs w:val="28"/>
    </w:rPr>
  </w:style>
  <w:style w:type="character" w:customStyle="1" w:styleId="64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9">
    <w:name w:val="哈哈正文 Char"/>
    <w:link w:val="96"/>
    <w:qFormat/>
    <w:uiPriority w:val="0"/>
    <w:rPr>
      <w:rFonts w:ascii="宋体" w:hAnsi="宋体" w:eastAsia="宋体"/>
      <w:kern w:val="2"/>
      <w:sz w:val="24"/>
      <w:lang w:bidi="ar-SA"/>
    </w:rPr>
  </w:style>
  <w:style w:type="character" w:customStyle="1" w:styleId="650">
    <w:name w:val="未处理的提及1"/>
    <w:qFormat/>
    <w:uiPriority w:val="0"/>
    <w:rPr>
      <w:color w:val="808080"/>
      <w:shd w:val="clear" w:color="auto" w:fill="E6E6E6"/>
    </w:rPr>
  </w:style>
  <w:style w:type="character" w:customStyle="1" w:styleId="651">
    <w:name w:val="txt"/>
    <w:qFormat/>
    <w:uiPriority w:val="0"/>
    <w:rPr>
      <w:rFonts w:ascii="仿宋_GB2312" w:eastAsia="微软雅黑"/>
      <w:b/>
      <w:kern w:val="2"/>
      <w:sz w:val="32"/>
      <w:szCs w:val="32"/>
      <w:lang w:val="en-US" w:eastAsia="zh-CN" w:bidi="ar-SA"/>
    </w:rPr>
  </w:style>
  <w:style w:type="character" w:customStyle="1" w:styleId="652">
    <w:name w:val="二级标题 Char Char"/>
    <w:qFormat/>
    <w:uiPriority w:val="0"/>
    <w:rPr>
      <w:rFonts w:ascii="宋体" w:hAnsi="宋体" w:eastAsia="宋体"/>
      <w:b/>
      <w:snapToGrid w:val="0"/>
      <w:kern w:val="2"/>
      <w:sz w:val="24"/>
      <w:szCs w:val="24"/>
      <w:lang w:val="en-US" w:eastAsia="zh-CN" w:bidi="ar-SA"/>
    </w:rPr>
  </w:style>
  <w:style w:type="character" w:customStyle="1" w:styleId="653">
    <w:name w:val="Char Char32"/>
    <w:qFormat/>
    <w:uiPriority w:val="6"/>
    <w:rPr>
      <w:b/>
      <w:kern w:val="1"/>
      <w:sz w:val="24"/>
      <w:szCs w:val="24"/>
    </w:rPr>
  </w:style>
  <w:style w:type="character" w:customStyle="1" w:styleId="654">
    <w:name w:val="PI Char1"/>
    <w:qFormat/>
    <w:uiPriority w:val="0"/>
    <w:rPr>
      <w:rFonts w:ascii="宋体" w:hAnsi="宋体"/>
      <w:kern w:val="2"/>
      <w:sz w:val="24"/>
      <w:szCs w:val="24"/>
    </w:rPr>
  </w:style>
  <w:style w:type="character" w:customStyle="1" w:styleId="655">
    <w:name w:val="tw4winTerm"/>
    <w:qFormat/>
    <w:uiPriority w:val="0"/>
    <w:rPr>
      <w:color w:val="0000FF"/>
    </w:rPr>
  </w:style>
  <w:style w:type="character" w:customStyle="1" w:styleId="656">
    <w:name w:val="Footer Char"/>
    <w:qFormat/>
    <w:locked/>
    <w:uiPriority w:val="0"/>
    <w:rPr>
      <w:rFonts w:eastAsia="宋体"/>
      <w:kern w:val="2"/>
      <w:sz w:val="18"/>
      <w:lang w:val="en-US" w:eastAsia="zh-CN" w:bidi="ar-SA"/>
    </w:rPr>
  </w:style>
  <w:style w:type="character" w:customStyle="1" w:styleId="657">
    <w:name w:val="普通文字 Char Char1"/>
    <w:qFormat/>
    <w:uiPriority w:val="0"/>
    <w:rPr>
      <w:rFonts w:ascii="宋体" w:hAnsi="Courier New"/>
      <w:kern w:val="2"/>
      <w:sz w:val="21"/>
    </w:rPr>
  </w:style>
  <w:style w:type="character" w:customStyle="1" w:styleId="658">
    <w:name w:val="Char Char101"/>
    <w:qFormat/>
    <w:uiPriority w:val="6"/>
    <w:rPr>
      <w:rFonts w:ascii="宋体" w:hAnsi="宋体"/>
      <w:kern w:val="2"/>
      <w:sz w:val="21"/>
      <w:szCs w:val="24"/>
      <w:lang w:val="en-US" w:eastAsia="zh-CN"/>
    </w:rPr>
  </w:style>
  <w:style w:type="character" w:customStyle="1" w:styleId="659">
    <w:name w:val="标题 4 Char"/>
    <w:qFormat/>
    <w:uiPriority w:val="0"/>
    <w:rPr>
      <w:rFonts w:ascii="Arial" w:hAnsi="Arial" w:eastAsia="黑体"/>
      <w:b/>
      <w:kern w:val="2"/>
      <w:sz w:val="28"/>
    </w:rPr>
  </w:style>
  <w:style w:type="character" w:customStyle="1" w:styleId="660">
    <w:name w:val="链接"/>
    <w:qFormat/>
    <w:uiPriority w:val="0"/>
    <w:rPr>
      <w:color w:val="0000FF"/>
      <w:sz w:val="21"/>
      <w:szCs w:val="21"/>
      <w:u w:val="single"/>
    </w:rPr>
  </w:style>
  <w:style w:type="character" w:customStyle="1" w:styleId="661">
    <w:name w:val="h4 Char"/>
    <w:qFormat/>
    <w:uiPriority w:val="0"/>
    <w:rPr>
      <w:rFonts w:ascii="Arial" w:hAnsi="Arial" w:eastAsia="黑体"/>
      <w:b/>
      <w:bCs/>
      <w:kern w:val="2"/>
      <w:sz w:val="28"/>
      <w:szCs w:val="28"/>
      <w:lang w:val="zh-CN" w:eastAsia="zh-CN" w:bidi="ar-SA"/>
    </w:rPr>
  </w:style>
  <w:style w:type="character" w:customStyle="1" w:styleId="662">
    <w:name w:val="5正文 Char"/>
    <w:link w:val="97"/>
    <w:qFormat/>
    <w:uiPriority w:val="0"/>
    <w:rPr>
      <w:rFonts w:ascii="仿宋_GB2312" w:hAnsi="微软雅黑" w:eastAsia="仿宋_GB2312"/>
      <w:sz w:val="28"/>
      <w:szCs w:val="21"/>
    </w:rPr>
  </w:style>
  <w:style w:type="character" w:customStyle="1" w:styleId="663">
    <w:name w:val="标题 3 字符"/>
    <w:qFormat/>
    <w:uiPriority w:val="9"/>
    <w:rPr>
      <w:b/>
      <w:bCs/>
      <w:kern w:val="2"/>
      <w:sz w:val="32"/>
      <w:szCs w:val="32"/>
    </w:rPr>
  </w:style>
  <w:style w:type="character" w:customStyle="1" w:styleId="664">
    <w:name w:val="样式6 Char"/>
    <w:qFormat/>
    <w:uiPriority w:val="0"/>
    <w:rPr>
      <w:rFonts w:ascii="仿宋_GB2312" w:hAnsi="宋体" w:eastAsia="仿宋_GB2312"/>
      <w:b/>
      <w:bCs/>
      <w:kern w:val="2"/>
      <w:sz w:val="24"/>
      <w:szCs w:val="24"/>
      <w:lang w:val="en-US" w:eastAsia="zh-CN" w:bidi="ar-SA"/>
    </w:rPr>
  </w:style>
  <w:style w:type="character" w:customStyle="1" w:styleId="665">
    <w:name w:val="Char Char14"/>
    <w:qFormat/>
    <w:uiPriority w:val="6"/>
    <w:rPr>
      <w:rFonts w:ascii="黑体" w:hAnsi="黑体" w:eastAsia="黑体"/>
    </w:rPr>
  </w:style>
  <w:style w:type="character" w:customStyle="1" w:styleId="666">
    <w:name w:val="Heading 2 Hidden Char"/>
    <w:qFormat/>
    <w:uiPriority w:val="0"/>
    <w:rPr>
      <w:rFonts w:ascii="仿宋_GB2312" w:eastAsia="仿宋_GB2312"/>
      <w:b/>
      <w:bCs/>
      <w:kern w:val="2"/>
      <w:sz w:val="24"/>
      <w:szCs w:val="24"/>
      <w:lang w:val="zh-CN" w:eastAsia="zh-CN" w:bidi="ar-SA"/>
    </w:rPr>
  </w:style>
  <w:style w:type="character" w:customStyle="1" w:styleId="667">
    <w:name w:val="正文首行缩进 2 Char"/>
    <w:link w:val="73"/>
    <w:qFormat/>
    <w:uiPriority w:val="0"/>
    <w:rPr>
      <w:rFonts w:ascii="宋体" w:hAnsi="宋体"/>
      <w:kern w:val="2"/>
      <w:sz w:val="21"/>
      <w:szCs w:val="24"/>
    </w:rPr>
  </w:style>
  <w:style w:type="character" w:customStyle="1" w:styleId="668">
    <w:name w:val="font11"/>
    <w:qFormat/>
    <w:uiPriority w:val="0"/>
    <w:rPr>
      <w:rFonts w:hint="default" w:ascii="Times New Roman" w:hAnsi="Times New Roman" w:cs="Times New Roman"/>
      <w:color w:val="000000"/>
      <w:sz w:val="22"/>
      <w:szCs w:val="22"/>
      <w:u w:val="none"/>
    </w:rPr>
  </w:style>
  <w:style w:type="character" w:customStyle="1" w:styleId="669">
    <w:name w:val="表正文 Char1"/>
    <w:qFormat/>
    <w:uiPriority w:val="0"/>
    <w:rPr>
      <w:rFonts w:ascii="宋体" w:eastAsia="宋体"/>
      <w:snapToGrid w:val="0"/>
      <w:color w:val="000000"/>
      <w:kern w:val="28"/>
      <w:sz w:val="28"/>
    </w:rPr>
  </w:style>
  <w:style w:type="character" w:customStyle="1" w:styleId="670">
    <w:name w:val="blue1"/>
    <w:basedOn w:val="81"/>
    <w:qFormat/>
    <w:uiPriority w:val="0"/>
    <w:rPr>
      <w:rFonts w:ascii="Arial" w:hAnsi="Arial" w:eastAsia="黑体" w:cs="Arial"/>
      <w:snapToGrid w:val="0"/>
      <w:kern w:val="0"/>
      <w:szCs w:val="21"/>
    </w:rPr>
  </w:style>
  <w:style w:type="character" w:customStyle="1" w:styleId="671">
    <w:name w:val="纯文本 Char"/>
    <w:link w:val="21"/>
    <w:qFormat/>
    <w:uiPriority w:val="0"/>
    <w:rPr>
      <w:rFonts w:ascii="宋体" w:hAnsi="Courier New" w:eastAsia="宋体" w:cs="Arial"/>
      <w:snapToGrid w:val="0"/>
      <w:kern w:val="2"/>
      <w:sz w:val="21"/>
      <w:szCs w:val="21"/>
      <w:lang w:val="en-US" w:eastAsia="zh-CN" w:bidi="ar-SA"/>
    </w:rPr>
  </w:style>
  <w:style w:type="character" w:customStyle="1" w:styleId="672">
    <w:name w:val="标书1 Char"/>
    <w:qFormat/>
    <w:uiPriority w:val="0"/>
    <w:rPr>
      <w:rFonts w:eastAsia="宋体"/>
      <w:b/>
      <w:bCs/>
      <w:kern w:val="44"/>
      <w:sz w:val="44"/>
      <w:szCs w:val="44"/>
      <w:lang w:val="en-US" w:eastAsia="zh-CN" w:bidi="ar-SA"/>
    </w:rPr>
  </w:style>
  <w:style w:type="character" w:customStyle="1" w:styleId="673">
    <w:name w:val="样式5 Char"/>
    <w:qFormat/>
    <w:uiPriority w:val="0"/>
    <w:rPr>
      <w:rFonts w:ascii="仿宋_GB2312" w:hAnsi="仿宋" w:eastAsia="仿宋_GB2312"/>
      <w:kern w:val="2"/>
      <w:sz w:val="24"/>
      <w:szCs w:val="24"/>
    </w:rPr>
  </w:style>
  <w:style w:type="character" w:customStyle="1" w:styleId="674">
    <w:name w:val="样式4 Char"/>
    <w:qFormat/>
    <w:uiPriority w:val="0"/>
    <w:rPr>
      <w:rFonts w:ascii="仿宋_GB2312" w:hAnsi="仿宋" w:eastAsia="仿宋_GB2312"/>
      <w:b/>
      <w:kern w:val="2"/>
      <w:sz w:val="32"/>
      <w:szCs w:val="32"/>
      <w:lang w:bidi="ar-SA"/>
    </w:rPr>
  </w:style>
  <w:style w:type="character" w:customStyle="1" w:styleId="675">
    <w:name w:val="插图说明 Char"/>
    <w:qFormat/>
    <w:uiPriority w:val="0"/>
    <w:rPr>
      <w:rFonts w:eastAsia="黑体"/>
      <w:sz w:val="24"/>
      <w:lang w:val="en-US" w:eastAsia="zh-CN"/>
    </w:rPr>
  </w:style>
  <w:style w:type="character" w:customStyle="1" w:styleId="676">
    <w:name w:val="正文2 Char Char"/>
    <w:link w:val="98"/>
    <w:qFormat/>
    <w:uiPriority w:val="0"/>
    <w:rPr>
      <w:rFonts w:eastAsia="宋体"/>
      <w:kern w:val="2"/>
      <w:sz w:val="24"/>
      <w:lang w:val="en-US" w:eastAsia="zh-CN" w:bidi="ar-SA"/>
    </w:rPr>
  </w:style>
  <w:style w:type="character" w:customStyle="1" w:styleId="677">
    <w:name w:val="Char Char24"/>
    <w:qFormat/>
    <w:uiPriority w:val="6"/>
    <w:rPr>
      <w:kern w:val="1"/>
      <w:sz w:val="21"/>
    </w:rPr>
  </w:style>
  <w:style w:type="character" w:customStyle="1" w:styleId="678">
    <w:name w:val="副标题 Char"/>
    <w:link w:val="60"/>
    <w:qFormat/>
    <w:uiPriority w:val="0"/>
    <w:rPr>
      <w:rFonts w:ascii="Arial" w:hAnsi="Arial" w:eastAsia="隶书"/>
      <w:b/>
      <w:bCs/>
      <w:kern w:val="28"/>
      <w:sz w:val="44"/>
      <w:szCs w:val="32"/>
      <w:lang w:val="en-US" w:eastAsia="zh-CN" w:bidi="ar-SA"/>
    </w:rPr>
  </w:style>
  <w:style w:type="character" w:customStyle="1" w:styleId="679">
    <w:name w:val="普通文字 Char1 Char"/>
    <w:qFormat/>
    <w:uiPriority w:val="0"/>
    <w:rPr>
      <w:rFonts w:ascii="宋体" w:hAnsi="Courier New" w:eastAsia="宋体"/>
      <w:kern w:val="2"/>
      <w:sz w:val="21"/>
      <w:szCs w:val="24"/>
      <w:lang w:val="en-US" w:eastAsia="zh-CN" w:bidi="ar-SA"/>
    </w:rPr>
  </w:style>
  <w:style w:type="character" w:customStyle="1" w:styleId="680">
    <w:name w:val="h3 Char1"/>
    <w:qFormat/>
    <w:uiPriority w:val="0"/>
    <w:rPr>
      <w:rFonts w:eastAsia="宋体"/>
      <w:b/>
      <w:bCs/>
      <w:kern w:val="2"/>
      <w:sz w:val="32"/>
      <w:szCs w:val="32"/>
      <w:lang w:bidi="ar-SA"/>
    </w:rPr>
  </w:style>
  <w:style w:type="character" w:customStyle="1" w:styleId="681">
    <w:name w:val="标题 Char1"/>
    <w:qFormat/>
    <w:uiPriority w:val="0"/>
    <w:rPr>
      <w:rFonts w:ascii="Cambria" w:hAnsi="Cambria" w:eastAsia="宋体" w:cs="Times New Roman"/>
      <w:b/>
      <w:bCs/>
      <w:sz w:val="32"/>
      <w:szCs w:val="32"/>
      <w:lang w:bidi="ar-SA"/>
    </w:rPr>
  </w:style>
  <w:style w:type="character" w:customStyle="1" w:styleId="682">
    <w:name w:val="gf正文1 Char"/>
    <w:qFormat/>
    <w:uiPriority w:val="0"/>
    <w:rPr>
      <w:rFonts w:ascii="宋体" w:hAnsi="宋体" w:eastAsia="宋体" w:cs="宋体"/>
      <w:kern w:val="2"/>
      <w:sz w:val="24"/>
      <w:szCs w:val="24"/>
      <w:lang w:val="en-US" w:eastAsia="zh-CN" w:bidi="ar-SA"/>
    </w:rPr>
  </w:style>
  <w:style w:type="character" w:customStyle="1" w:styleId="683">
    <w:name w:val="正文文本缩进 Char1"/>
    <w:qFormat/>
    <w:uiPriority w:val="0"/>
    <w:rPr>
      <w:rFonts w:ascii="Calibri" w:hAnsi="Calibri"/>
      <w:sz w:val="28"/>
    </w:rPr>
  </w:style>
  <w:style w:type="character" w:customStyle="1" w:styleId="684">
    <w:name w:val="No Spacing Char"/>
    <w:link w:val="99"/>
    <w:qFormat/>
    <w:uiPriority w:val="1"/>
    <w:rPr>
      <w:sz w:val="22"/>
      <w:szCs w:val="22"/>
      <w:lang w:val="en-US" w:eastAsia="zh-CN" w:bidi="ar-SA"/>
    </w:rPr>
  </w:style>
  <w:style w:type="character" w:customStyle="1" w:styleId="685">
    <w:name w:val="样式7 Char"/>
    <w:qFormat/>
    <w:uiPriority w:val="0"/>
    <w:rPr>
      <w:rFonts w:ascii="仿宋_GB2312" w:hAnsi="仿宋" w:eastAsia="仿宋_GB2312"/>
      <w:b/>
      <w:kern w:val="2"/>
      <w:sz w:val="24"/>
      <w:szCs w:val="24"/>
    </w:rPr>
  </w:style>
  <w:style w:type="character" w:customStyle="1" w:styleId="686">
    <w:name w:val="font12gray1"/>
    <w:qFormat/>
    <w:uiPriority w:val="0"/>
    <w:rPr>
      <w:rFonts w:ascii="仿宋_GB2312" w:eastAsia="微软雅黑"/>
      <w:b/>
      <w:spacing w:val="300"/>
      <w:kern w:val="2"/>
      <w:sz w:val="18"/>
      <w:szCs w:val="18"/>
      <w:lang w:val="en-US" w:eastAsia="zh-CN" w:bidi="ar-SA"/>
    </w:rPr>
  </w:style>
  <w:style w:type="character" w:customStyle="1" w:styleId="687">
    <w:name w:val="Char Char7"/>
    <w:semiHidden/>
    <w:qFormat/>
    <w:uiPriority w:val="0"/>
    <w:rPr>
      <w:rFonts w:eastAsia="宋体"/>
      <w:kern w:val="2"/>
      <w:sz w:val="21"/>
      <w:szCs w:val="24"/>
      <w:lang w:val="en-US" w:eastAsia="zh-CN" w:bidi="ar-SA"/>
    </w:rPr>
  </w:style>
  <w:style w:type="character" w:customStyle="1" w:styleId="688">
    <w:name w:val="表名 Char"/>
    <w:qFormat/>
    <w:uiPriority w:val="0"/>
    <w:rPr>
      <w:rFonts w:eastAsia="宋体"/>
      <w:b/>
      <w:bCs/>
      <w:kern w:val="2"/>
      <w:sz w:val="24"/>
      <w:szCs w:val="24"/>
      <w:lang w:val="en-US" w:eastAsia="zh-CN" w:bidi="ar-SA"/>
    </w:rPr>
  </w:style>
  <w:style w:type="character" w:customStyle="1" w:styleId="689">
    <w:name w:val="Document Map Char"/>
    <w:qFormat/>
    <w:locked/>
    <w:uiPriority w:val="0"/>
    <w:rPr>
      <w:rFonts w:eastAsia="宋体"/>
      <w:kern w:val="2"/>
      <w:sz w:val="21"/>
      <w:szCs w:val="24"/>
      <w:lang w:val="en-US" w:eastAsia="zh-CN" w:bidi="ar-SA"/>
    </w:rPr>
  </w:style>
  <w:style w:type="character" w:customStyle="1" w:styleId="690">
    <w:name w:val="font41"/>
    <w:qFormat/>
    <w:uiPriority w:val="0"/>
    <w:rPr>
      <w:rFonts w:hint="eastAsia" w:ascii="仿宋_GB2312" w:eastAsia="仿宋_GB2312" w:cs="仿宋_GB2312"/>
      <w:color w:val="000000"/>
      <w:sz w:val="22"/>
      <w:szCs w:val="22"/>
      <w:u w:val="none"/>
    </w:rPr>
  </w:style>
  <w:style w:type="character" w:customStyle="1" w:styleId="691">
    <w:name w:val="标题 6 Char"/>
    <w:link w:val="7"/>
    <w:qFormat/>
    <w:uiPriority w:val="0"/>
    <w:rPr>
      <w:rFonts w:ascii="Arial" w:hAnsi="Arial" w:eastAsia="黑体"/>
      <w:b/>
      <w:bCs/>
      <w:kern w:val="2"/>
      <w:sz w:val="24"/>
      <w:szCs w:val="24"/>
    </w:rPr>
  </w:style>
  <w:style w:type="character" w:customStyle="1" w:styleId="692">
    <w:name w:val="纯文本 Char_0"/>
    <w:link w:val="100"/>
    <w:qFormat/>
    <w:uiPriority w:val="0"/>
    <w:rPr>
      <w:rFonts w:ascii="宋体" w:hAnsi="Courier New"/>
      <w:kern w:val="2"/>
      <w:sz w:val="21"/>
      <w:szCs w:val="21"/>
      <w:lang w:val="en-US" w:eastAsia="zh-CN"/>
    </w:rPr>
  </w:style>
  <w:style w:type="character" w:customStyle="1" w:styleId="693">
    <w:name w:val="Balloon Text Char"/>
    <w:qFormat/>
    <w:locked/>
    <w:uiPriority w:val="0"/>
    <w:rPr>
      <w:rFonts w:eastAsia="宋体"/>
      <w:kern w:val="2"/>
      <w:sz w:val="18"/>
      <w:szCs w:val="18"/>
      <w:lang w:val="en-US" w:eastAsia="zh-CN" w:bidi="ar-SA"/>
    </w:rPr>
  </w:style>
  <w:style w:type="character" w:customStyle="1" w:styleId="694">
    <w:name w:val="正文 项目2 Char"/>
    <w:basedOn w:val="695"/>
    <w:qFormat/>
    <w:uiPriority w:val="0"/>
    <w:rPr>
      <w:rFonts w:ascii="仿宋_GB2312" w:hAnsi="仿宋_GB2312" w:eastAsia="仿宋_GB2312"/>
      <w:kern w:val="2"/>
      <w:sz w:val="24"/>
      <w:lang w:bidi="ar-SA"/>
    </w:rPr>
  </w:style>
  <w:style w:type="character" w:customStyle="1" w:styleId="695">
    <w:name w:val="正文 项目 Char"/>
    <w:qFormat/>
    <w:uiPriority w:val="0"/>
    <w:rPr>
      <w:rFonts w:ascii="仿宋_GB2312" w:hAnsi="仿宋_GB2312" w:eastAsia="仿宋_GB2312"/>
      <w:kern w:val="2"/>
      <w:sz w:val="24"/>
      <w:lang w:bidi="ar-SA"/>
    </w:rPr>
  </w:style>
  <w:style w:type="character" w:customStyle="1" w:styleId="696">
    <w:name w:val="h Char Char1"/>
    <w:qFormat/>
    <w:uiPriority w:val="0"/>
    <w:rPr>
      <w:rFonts w:eastAsia="宋体"/>
      <w:kern w:val="2"/>
      <w:sz w:val="18"/>
      <w:szCs w:val="18"/>
      <w:lang w:val="en-US" w:eastAsia="zh-CN" w:bidi="ar-SA"/>
    </w:rPr>
  </w:style>
  <w:style w:type="character" w:customStyle="1" w:styleId="697">
    <w:name w:val="Char Char27"/>
    <w:qFormat/>
    <w:uiPriority w:val="6"/>
    <w:rPr>
      <w:rFonts w:ascii="宋体" w:hAnsi="宋体" w:eastAsia="宋体"/>
      <w:color w:val="000000"/>
      <w:kern w:val="1"/>
      <w:sz w:val="28"/>
      <w:lang w:val="en-US" w:eastAsia="zh-CN" w:bidi="ar-SA"/>
    </w:rPr>
  </w:style>
  <w:style w:type="character" w:customStyle="1" w:styleId="698">
    <w:name w:val="px14"/>
    <w:qFormat/>
    <w:uiPriority w:val="0"/>
    <w:rPr>
      <w:rFonts w:ascii="仿宋_GB2312" w:eastAsia="微软雅黑" w:cs="Times New Roman"/>
      <w:b/>
      <w:kern w:val="2"/>
      <w:sz w:val="32"/>
      <w:szCs w:val="32"/>
      <w:lang w:val="en-US" w:eastAsia="zh-CN" w:bidi="ar-SA"/>
    </w:rPr>
  </w:style>
  <w:style w:type="character" w:customStyle="1" w:styleId="699">
    <w:name w:val="HTML 预设格式 Char1"/>
    <w:qFormat/>
    <w:uiPriority w:val="0"/>
    <w:rPr>
      <w:rFonts w:ascii="Courier New" w:hAnsi="Courier New" w:eastAsia="宋体" w:cs="Courier New"/>
      <w:sz w:val="20"/>
      <w:szCs w:val="20"/>
    </w:rPr>
  </w:style>
  <w:style w:type="character" w:customStyle="1" w:styleId="700">
    <w:name w:val="普通文字 Char1"/>
    <w:qFormat/>
    <w:uiPriority w:val="0"/>
    <w:rPr>
      <w:rFonts w:ascii="宋体" w:hAnsi="Courier New" w:eastAsia="宋体"/>
      <w:kern w:val="2"/>
      <w:sz w:val="21"/>
      <w:lang w:val="en-US" w:eastAsia="zh-CN"/>
    </w:rPr>
  </w:style>
  <w:style w:type="character" w:customStyle="1" w:styleId="701">
    <w:name w:val="hei16b1"/>
    <w:qFormat/>
    <w:uiPriority w:val="0"/>
    <w:rPr>
      <w:rFonts w:hint="default" w:ascii="Arial" w:hAnsi="Arial" w:cs="Arial"/>
      <w:b/>
      <w:bCs/>
      <w:color w:val="000000"/>
      <w:sz w:val="24"/>
      <w:szCs w:val="24"/>
    </w:rPr>
  </w:style>
  <w:style w:type="character" w:customStyle="1" w:styleId="702">
    <w:name w:val="正文（绿盟科技） Char"/>
    <w:link w:val="102"/>
    <w:qFormat/>
    <w:uiPriority w:val="0"/>
    <w:rPr>
      <w:rFonts w:ascii="Arial" w:hAnsi="Arial"/>
      <w:sz w:val="21"/>
      <w:szCs w:val="21"/>
    </w:rPr>
  </w:style>
  <w:style w:type="character" w:customStyle="1" w:styleId="703">
    <w:name w:val="Char Char19"/>
    <w:qFormat/>
    <w:uiPriority w:val="6"/>
    <w:rPr>
      <w:rFonts w:ascii="宋体" w:hAnsi="宋体"/>
      <w:i/>
      <w:sz w:val="24"/>
      <w:szCs w:val="24"/>
    </w:rPr>
  </w:style>
  <w:style w:type="character" w:customStyle="1" w:styleId="704">
    <w:name w:val="页脚 Char"/>
    <w:qFormat/>
    <w:uiPriority w:val="0"/>
    <w:rPr>
      <w:rFonts w:eastAsia="仿宋_GB2312"/>
      <w:kern w:val="2"/>
      <w:sz w:val="18"/>
      <w:lang w:val="en-US" w:eastAsia="zh-CN"/>
    </w:rPr>
  </w:style>
  <w:style w:type="character" w:customStyle="1" w:styleId="705">
    <w:name w:val="批注主题 Char"/>
    <w:qFormat/>
    <w:uiPriority w:val="0"/>
    <w:rPr>
      <w:rFonts w:eastAsia="宋体"/>
      <w:b/>
      <w:bCs/>
      <w:kern w:val="2"/>
      <w:sz w:val="21"/>
      <w:szCs w:val="24"/>
      <w:lang w:val="en-US" w:eastAsia="zh-CN" w:bidi="ar-SA"/>
    </w:rPr>
  </w:style>
  <w:style w:type="character" w:customStyle="1" w:styleId="706">
    <w:name w:val="Comment Text Char"/>
    <w:qFormat/>
    <w:locked/>
    <w:uiPriority w:val="0"/>
    <w:rPr>
      <w:rFonts w:ascii="宋体" w:hAnsi="宋体" w:eastAsia="宋体"/>
      <w:kern w:val="2"/>
      <w:sz w:val="24"/>
      <w:lang w:val="en-US" w:eastAsia="zh-CN" w:bidi="ar-SA"/>
    </w:rPr>
  </w:style>
  <w:style w:type="character" w:customStyle="1" w:styleId="707">
    <w:name w:val="标题 2 字符"/>
    <w:qFormat/>
    <w:uiPriority w:val="1"/>
    <w:rPr>
      <w:rFonts w:ascii="仿宋_GB2312" w:hAnsi="Times New Roman" w:eastAsia="仿宋_GB2312" w:cs="Times New Roman"/>
      <w:b/>
      <w:kern w:val="2"/>
      <w:sz w:val="24"/>
      <w:lang w:val="zh-CN"/>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3"/>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Char"/>
    <w:link w:val="49"/>
    <w:qFormat/>
    <w:uiPriority w:val="0"/>
    <w:rPr>
      <w:rFonts w:ascii="宋体"/>
      <w:kern w:val="2"/>
      <w:sz w:val="24"/>
      <w:szCs w:val="21"/>
      <w:lang w:val="zh-CN"/>
    </w:rPr>
  </w:style>
  <w:style w:type="character" w:customStyle="1" w:styleId="722">
    <w:name w:val="标题 9 Char"/>
    <w:link w:val="10"/>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Char"/>
    <w:link w:val="52"/>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4"/>
    <w:qFormat/>
    <w:locked/>
    <w:uiPriority w:val="0"/>
    <w:rPr>
      <w:rFonts w:ascii="Tahoma" w:hAnsi="Tahoma"/>
      <w:sz w:val="24"/>
      <w:szCs w:val="24"/>
    </w:rPr>
  </w:style>
  <w:style w:type="character" w:customStyle="1" w:styleId="732">
    <w:name w:val="正文缩进 Char2"/>
    <w:link w:val="15"/>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5"/>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Char1"/>
    <w:link w:val="18"/>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81"/>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Char"/>
    <w:link w:val="45"/>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07"/>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08"/>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Char"/>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109"/>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0"/>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1"/>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2"/>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Char3"/>
    <w:link w:val="34"/>
    <w:qFormat/>
    <w:uiPriority w:val="0"/>
    <w:rPr>
      <w:rFonts w:ascii="宋体" w:hAnsi="宋体"/>
      <w:kern w:val="2"/>
      <w:sz w:val="24"/>
      <w:szCs w:val="24"/>
    </w:rPr>
  </w:style>
  <w:style w:type="character" w:customStyle="1" w:styleId="796">
    <w:name w:val="font01"/>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14"/>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Char"/>
    <w:link w:val="3"/>
    <w:qFormat/>
    <w:uiPriority w:val="9"/>
    <w:rPr>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Char2"/>
    <w:link w:val="71"/>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Char"/>
    <w:link w:val="6"/>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Char"/>
    <w:link w:val="29"/>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Char"/>
    <w:link w:val="69"/>
    <w:qFormat/>
    <w:uiPriority w:val="0"/>
    <w:rPr>
      <w:rFonts w:ascii="黑体" w:hAnsi="Courier New" w:eastAsia="黑体"/>
    </w:rPr>
  </w:style>
  <w:style w:type="character" w:customStyle="1" w:styleId="831">
    <w:name w:val="正文文本 2 Char1"/>
    <w:link w:val="22"/>
    <w:qFormat/>
    <w:uiPriority w:val="0"/>
    <w:rPr>
      <w:kern w:val="2"/>
      <w:sz w:val="21"/>
      <w:szCs w:val="24"/>
    </w:rPr>
  </w:style>
  <w:style w:type="character" w:customStyle="1" w:styleId="832">
    <w:name w:val="样式 样式 标题 4h4H4Fab-4T5Ref Heading 1rh1Heading sqlsect 1.2.3.... +... Char"/>
    <w:link w:val="115"/>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Char"/>
    <w:link w:val="8"/>
    <w:qFormat/>
    <w:uiPriority w:val="0"/>
    <w:rPr>
      <w:b/>
      <w:bCs/>
      <w:kern w:val="2"/>
      <w:sz w:val="24"/>
      <w:szCs w:val="24"/>
    </w:rPr>
  </w:style>
  <w:style w:type="character" w:customStyle="1" w:styleId="835">
    <w:name w:val="正文文本缩进 2 Char"/>
    <w:link w:val="50"/>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Char"/>
    <w:link w:val="63"/>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7"/>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18"/>
    <w:qFormat/>
    <w:uiPriority w:val="0"/>
    <w:rPr>
      <w:rFonts w:ascii="宋体" w:hAnsi="Courier New"/>
    </w:rPr>
  </w:style>
  <w:style w:type="character" w:customStyle="1" w:styleId="846">
    <w:name w:val="正文首行缩进 Char"/>
    <w:link w:val="33"/>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Char2"/>
    <w:link w:val="5"/>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Char"/>
    <w:link w:val="30"/>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19"/>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0"/>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Char1"/>
    <w:link w:val="19"/>
    <w:qFormat/>
    <w:uiPriority w:val="0"/>
    <w:rPr>
      <w:kern w:val="2"/>
      <w:sz w:val="21"/>
      <w:szCs w:val="24"/>
    </w:rPr>
  </w:style>
  <w:style w:type="character" w:customStyle="1" w:styleId="868">
    <w:name w:val="签名 Char"/>
    <w:link w:val="55"/>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21"/>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2"/>
    <w:qFormat/>
    <w:uiPriority w:val="0"/>
    <w:rPr>
      <w:rFonts w:ascii="宋体"/>
    </w:rPr>
  </w:style>
  <w:style w:type="character" w:customStyle="1" w:styleId="879">
    <w:name w:val="标题 8 Char"/>
    <w:link w:val="9"/>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Char"/>
    <w:link w:val="66"/>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3"/>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Char2"/>
    <w:link w:val="53"/>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4"/>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Char2"/>
    <w:link w:val="54"/>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5"/>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6"/>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7"/>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6"/>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28"/>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81"/>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29"/>
    <w:qFormat/>
    <w:uiPriority w:val="0"/>
    <w:rPr>
      <w:rFonts w:cs="宋体"/>
      <w:kern w:val="2"/>
      <w:sz w:val="24"/>
    </w:rPr>
  </w:style>
  <w:style w:type="character" w:customStyle="1" w:styleId="944">
    <w:name w:val="正文文本 Char1"/>
    <w:link w:val="32"/>
    <w:qFormat/>
    <w:uiPriority w:val="0"/>
    <w:rPr>
      <w:rFonts w:ascii="宋体" w:hAnsi="Arial" w:eastAsia="宋体" w:cs="Arial"/>
      <w:snapToGrid w:val="0"/>
      <w:kern w:val="2"/>
      <w:sz w:val="24"/>
      <w:szCs w:val="21"/>
      <w:lang w:val="zh-CN" w:eastAsia="zh-CN" w:bidi="ar-SA"/>
    </w:rPr>
  </w:style>
  <w:style w:type="character" w:customStyle="1" w:styleId="945">
    <w:name w:val="gray6"/>
    <w:basedOn w:val="81"/>
    <w:qFormat/>
    <w:uiPriority w:val="0"/>
    <w:rPr>
      <w:rFonts w:ascii="Arial" w:hAnsi="Arial" w:eastAsia="黑体" w:cs="Arial"/>
      <w:snapToGrid w:val="0"/>
      <w:kern w:val="0"/>
      <w:szCs w:val="21"/>
    </w:rPr>
  </w:style>
  <w:style w:type="character" w:customStyle="1" w:styleId="946">
    <w:name w:val="hui"/>
    <w:basedOn w:val="81"/>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Char"/>
    <w:link w:val="51"/>
    <w:qFormat/>
    <w:uiPriority w:val="0"/>
    <w:rPr>
      <w:kern w:val="2"/>
      <w:sz w:val="21"/>
      <w:szCs w:val="24"/>
      <w:lang w:val="zh-CN"/>
    </w:rPr>
  </w:style>
  <w:style w:type="character" w:customStyle="1" w:styleId="953">
    <w:name w:val="无间隔 Char"/>
    <w:link w:val="179"/>
    <w:qFormat/>
    <w:uiPriority w:val="99"/>
    <w:rPr>
      <w:kern w:val="2"/>
      <w:sz w:val="21"/>
      <w:szCs w:val="22"/>
    </w:rPr>
  </w:style>
  <w:style w:type="character" w:customStyle="1" w:styleId="954">
    <w:name w:val="标准文本 Char Char"/>
    <w:link w:val="612"/>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81"/>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1"/>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6"/>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3"/>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4"/>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5"/>
    <w:basedOn w:val="7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35363</Words>
  <Characters>37402</Characters>
  <Lines>325</Lines>
  <Paragraphs>91</Paragraphs>
  <TotalTime>18</TotalTime>
  <ScaleCrop>false</ScaleCrop>
  <LinksUpToDate>false</LinksUpToDate>
  <CharactersWithSpaces>42153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2022-01-27T12:24:00Z</dcterms:created>
  <dc:creator>玥</dc:creator>
  <cp:lastModifiedBy>成燕</cp:lastModifiedBy>
  <cp:lastPrinted>2022-09-05T00:48:00Z</cp:lastPrinted>
  <dcterms:modified xsi:type="dcterms:W3CDTF">2022-09-08T15:53:55Z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19394FE349F4406B99E1B449D7471019</vt:lpwstr>
  </property>
</Properties>
</file>