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 w:hAnsi="仿宋" w:eastAsia="仿宋" w:cs="仿宋_GB2312"/>
          <w:b/>
          <w:sz w:val="44"/>
          <w:szCs w:val="44"/>
        </w:rPr>
      </w:pPr>
    </w:p>
    <w:p>
      <w:pPr>
        <w:pStyle w:val="23"/>
        <w:jc w:val="center"/>
        <w:rPr>
          <w:rFonts w:ascii="仿宋" w:hAnsi="仿宋" w:eastAsia="仿宋" w:cs="仿宋_GB2312"/>
          <w:b/>
          <w:bCs/>
          <w:sz w:val="52"/>
          <w:szCs w:val="52"/>
        </w:rPr>
      </w:pPr>
      <w:r>
        <w:rPr>
          <w:rFonts w:hint="eastAsia" w:ascii="仿宋" w:hAnsi="仿宋" w:eastAsia="仿宋" w:cs="仿宋_GB2312"/>
          <w:b/>
          <w:bCs/>
          <w:sz w:val="52"/>
          <w:szCs w:val="52"/>
        </w:rPr>
        <w:t>2022年网络投诉件辅助处理劳务</w:t>
      </w:r>
    </w:p>
    <w:p>
      <w:pPr>
        <w:pStyle w:val="23"/>
        <w:jc w:val="center"/>
      </w:pPr>
      <w:r>
        <w:rPr>
          <w:rFonts w:hint="eastAsia" w:ascii="仿宋" w:hAnsi="仿宋" w:eastAsia="仿宋" w:cs="仿宋_GB2312"/>
          <w:b/>
          <w:bCs/>
          <w:sz w:val="52"/>
          <w:szCs w:val="52"/>
        </w:rPr>
        <w:t>外包项目</w:t>
      </w:r>
    </w:p>
    <w:p/>
    <w:p>
      <w:pPr>
        <w:pStyle w:val="23"/>
      </w:pPr>
    </w:p>
    <w:p>
      <w:pPr>
        <w:pStyle w:val="24"/>
      </w:pPr>
    </w:p>
    <w:p/>
    <w:p>
      <w:pPr>
        <w:pStyle w:val="204"/>
        <w:ind w:firstLine="460"/>
      </w:pPr>
    </w:p>
    <w:p>
      <w:pPr>
        <w:adjustRightInd/>
        <w:spacing w:line="360" w:lineRule="auto"/>
        <w:jc w:val="center"/>
        <w:rPr>
          <w:rFonts w:ascii="黑体" w:hAnsi="黑体" w:eastAsia="黑体" w:cs="黑体"/>
          <w:sz w:val="84"/>
          <w:szCs w:val="84"/>
        </w:rPr>
      </w:pPr>
      <w:r>
        <w:rPr>
          <w:rFonts w:hint="eastAsia" w:ascii="黑体" w:hAnsi="黑体" w:eastAsia="黑体" w:cs="黑体"/>
          <w:sz w:val="84"/>
          <w:szCs w:val="84"/>
        </w:rPr>
        <w:t>招  标 文 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pStyle w:val="23"/>
      </w:pPr>
    </w:p>
    <w:p>
      <w:pPr>
        <w:snapToGrid w:val="0"/>
        <w:spacing w:line="360" w:lineRule="auto"/>
        <w:jc w:val="center"/>
        <w:rPr>
          <w:rFonts w:ascii="仿宋" w:hAnsi="仿宋" w:eastAsia="仿宋" w:cs="仿宋_GB2312"/>
          <w:sz w:val="36"/>
          <w:szCs w:val="36"/>
        </w:rPr>
      </w:pPr>
      <w:r>
        <w:rPr>
          <w:rFonts w:hint="eastAsia" w:ascii="仿宋" w:hAnsi="仿宋" w:eastAsia="仿宋" w:cs="仿宋_GB2312"/>
          <w:sz w:val="36"/>
          <w:szCs w:val="36"/>
        </w:rPr>
        <w:t>编号</w:t>
      </w:r>
      <w:r>
        <w:rPr>
          <w:rFonts w:ascii="仿宋" w:hAnsi="仿宋" w:eastAsia="仿宋" w:cs="仿宋_GB2312"/>
          <w:sz w:val="36"/>
          <w:szCs w:val="36"/>
        </w:rPr>
        <w:t>:</w:t>
      </w:r>
      <w:r>
        <w:rPr>
          <w:rFonts w:hint="eastAsia" w:ascii="仿宋" w:hAnsi="仿宋" w:eastAsia="仿宋" w:cs="仿宋_GB2312"/>
          <w:sz w:val="36"/>
          <w:szCs w:val="36"/>
        </w:rPr>
        <w:t>YHZFCG2022-127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3"/>
      </w:pPr>
    </w:p>
    <w:p>
      <w:pPr>
        <w:spacing w:line="360" w:lineRule="auto"/>
        <w:rPr>
          <w:rFonts w:ascii="仿宋" w:hAnsi="仿宋" w:eastAsia="仿宋" w:cs="仿宋_GB2312"/>
          <w:sz w:val="24"/>
        </w:rPr>
      </w:pP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 xml:space="preserve"> 招标人：杭州市余杭区市场监督管理局 </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招标代理机构：耀华建设管理有限公司</w:t>
      </w:r>
    </w:p>
    <w:p>
      <w:pPr>
        <w:snapToGrid w:val="0"/>
        <w:spacing w:line="480" w:lineRule="auto"/>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二</w:t>
      </w:r>
      <w:r>
        <w:rPr>
          <w:rFonts w:hint="eastAsia" w:ascii="宋体" w:hAnsi="宋体" w:cs="宋体"/>
          <w:bCs/>
          <w:sz w:val="36"/>
          <w:szCs w:val="36"/>
        </w:rPr>
        <w:t>〇</w:t>
      </w:r>
      <w:r>
        <w:rPr>
          <w:rFonts w:hint="eastAsia" w:ascii="仿宋_GB2312" w:hAnsi="仿宋_GB2312" w:eastAsia="仿宋_GB2312" w:cs="仿宋_GB2312"/>
          <w:bCs/>
          <w:sz w:val="36"/>
          <w:szCs w:val="36"/>
        </w:rPr>
        <w:t>二二</w:t>
      </w:r>
      <w:r>
        <w:rPr>
          <w:rFonts w:hint="eastAsia" w:ascii="宋体" w:hAnsi="宋体" w:cs="宋体"/>
          <w:bCs/>
          <w:sz w:val="36"/>
          <w:szCs w:val="36"/>
        </w:rPr>
        <w:t xml:space="preserve"> </w:t>
      </w:r>
      <w:r>
        <w:rPr>
          <w:rFonts w:hint="eastAsia" w:ascii="仿宋_GB2312" w:hAnsi="仿宋_GB2312" w:eastAsia="仿宋_GB2312" w:cs="仿宋_GB2312"/>
          <w:bCs/>
          <w:sz w:val="36"/>
          <w:szCs w:val="36"/>
        </w:rPr>
        <w:t xml:space="preserve">年 </w:t>
      </w:r>
      <w:r>
        <w:rPr>
          <w:rFonts w:hint="eastAsia" w:ascii="仿宋_GB2312" w:hAnsi="仿宋_GB2312" w:eastAsia="仿宋_GB2312" w:cs="仿宋_GB2312"/>
          <w:bCs/>
          <w:sz w:val="36"/>
          <w:szCs w:val="36"/>
          <w:lang w:val="en-US" w:eastAsia="zh-CN"/>
        </w:rPr>
        <w:t>五</w:t>
      </w:r>
      <w:r>
        <w:rPr>
          <w:rFonts w:hint="eastAsia" w:ascii="仿宋_GB2312" w:hAnsi="仿宋_GB2312" w:eastAsia="仿宋_GB2312" w:cs="仿宋_GB2312"/>
          <w:bCs/>
          <w:sz w:val="36"/>
          <w:szCs w:val="36"/>
        </w:rPr>
        <w:t xml:space="preserve"> 月</w:t>
      </w:r>
      <w:r>
        <w:rPr>
          <w:rFonts w:hint="eastAsia" w:ascii="仿宋_GB2312" w:hAnsi="仿宋_GB2312" w:eastAsia="仿宋_GB2312" w:cs="仿宋_GB2312"/>
          <w:bCs/>
          <w:sz w:val="36"/>
          <w:szCs w:val="36"/>
          <w:lang w:val="en-US" w:eastAsia="zh-CN"/>
        </w:rPr>
        <w:t xml:space="preserve"> 十七</w:t>
      </w:r>
      <w:r>
        <w:rPr>
          <w:rFonts w:hint="eastAsia" w:ascii="仿宋_GB2312" w:hAnsi="仿宋_GB2312" w:eastAsia="仿宋_GB2312" w:cs="仿宋_GB2312"/>
          <w:bCs/>
          <w:sz w:val="36"/>
          <w:szCs w:val="36"/>
        </w:rPr>
        <w:t xml:space="preserve"> 日</w:t>
      </w:r>
    </w:p>
    <w:p>
      <w:pPr>
        <w:spacing w:line="360" w:lineRule="auto"/>
        <w:jc w:val="center"/>
        <w:rPr>
          <w:rFonts w:ascii="仿宋" w:hAnsi="仿宋" w:eastAsia="仿宋" w:cs="仿宋_GB2312"/>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65"/>
        <w:ind w:firstLine="420"/>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tabs>
          <w:tab w:val="left" w:pos="3713"/>
        </w:tabs>
        <w:spacing w:line="360" w:lineRule="auto"/>
        <w:ind w:firstLine="549" w:firstLineChars="229"/>
        <w:rPr>
          <w:rFonts w:ascii="仿宋" w:hAnsi="仿宋" w:eastAsia="仿宋" w:cs="仿宋_GB2312"/>
          <w:sz w:val="24"/>
        </w:rPr>
      </w:pPr>
      <w:r>
        <w:rPr>
          <w:rFonts w:hint="eastAsia" w:ascii="仿宋" w:hAnsi="仿宋" w:eastAsia="仿宋" w:cs="仿宋_GB2312"/>
          <w:sz w:val="24"/>
        </w:rPr>
        <w:tab/>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（2022年网络投诉件辅助处理劳务外包项目）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   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项目编号：YHZFCG2022-127</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2022年网络投诉件辅助处理劳务外包项目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13000000.00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最高限价（元）：13000000.00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2022年网络投诉件辅助处理劳务外包项目，详见招标文件第三部分采购需求。</w:t>
      </w:r>
    </w:p>
    <w:p>
      <w:pPr>
        <w:pStyle w:val="15"/>
        <w:spacing w:line="360" w:lineRule="auto"/>
        <w:ind w:firstLine="480"/>
        <w:outlineLvl w:val="2"/>
        <w:rPr>
          <w:rFonts w:ascii="仿宋_GB2312" w:hAnsi="仿宋" w:eastAsia="仿宋_GB2312"/>
          <w:b/>
          <w:color w:val="auto"/>
          <w:sz w:val="24"/>
        </w:rPr>
      </w:pPr>
      <w:r>
        <w:rPr>
          <w:rFonts w:hint="eastAsia" w:ascii="仿宋_GB2312" w:hAnsi="仿宋" w:eastAsia="仿宋_GB2312"/>
          <w:b/>
          <w:color w:val="auto"/>
          <w:sz w:val="24"/>
        </w:rPr>
        <w:t>合同履约期限：详见招标文件第三部分采购需求。</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仿宋_GB2312" w:hAnsi="仿宋" w:eastAsia="仿宋_GB2312"/>
          <w:b/>
          <w:color w:val="auto"/>
          <w:sz w:val="24"/>
        </w:rPr>
        <w:sym w:font="Wingdings" w:char="00A8"/>
      </w:r>
      <w:r>
        <w:rPr>
          <w:rFonts w:hint="eastAsia" w:ascii="仿宋_GB2312" w:hAnsi="仿宋" w:eastAsia="仿宋_GB2312"/>
          <w:b/>
          <w:color w:val="auto"/>
          <w:sz w:val="24"/>
        </w:rPr>
        <w:t>是，</w:t>
      </w:r>
      <w:r>
        <w:rPr>
          <w:rFonts w:ascii="仿宋_GB2312" w:hAnsi="仿宋" w:eastAsia="仿宋_GB2312"/>
          <w:b/>
          <w:color w:val="auto"/>
          <w:sz w:val="24"/>
        </w:rPr>
        <w:sym w:font="Wingdings" w:char="00FE"/>
      </w:r>
      <w:r>
        <w:rPr>
          <w:rFonts w:hint="eastAsia" w:ascii="仿宋_GB2312" w:hAnsi="仿宋" w:eastAsia="仿宋_GB2312"/>
          <w:b/>
          <w:color w:val="auto"/>
          <w:sz w:val="24"/>
        </w:rPr>
        <w:t>否。</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06</w:t>
      </w:r>
      <w:r>
        <w:rPr>
          <w:rFonts w:ascii="仿宋_GB2312" w:hAnsi="仿宋" w:eastAsia="仿宋_GB2312"/>
          <w:sz w:val="24"/>
          <w:u w:val="single"/>
        </w:rPr>
        <w:t>月</w:t>
      </w:r>
      <w:r>
        <w:rPr>
          <w:rFonts w:hint="eastAsia" w:ascii="仿宋_GB2312" w:hAnsi="仿宋" w:eastAsia="仿宋_GB2312"/>
          <w:sz w:val="24"/>
          <w:u w:val="single"/>
          <w:lang w:val="en-US" w:eastAsia="zh-CN"/>
        </w:rPr>
        <w:t>06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 xml:space="preserve">2022 </w:t>
      </w:r>
      <w:r>
        <w:rPr>
          <w:rFonts w:ascii="仿宋_GB2312" w:hAnsi="仿宋" w:eastAsia="仿宋_GB2312"/>
          <w:sz w:val="24"/>
          <w:u w:val="single"/>
        </w:rPr>
        <w:t>年</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r>
        <w:rPr>
          <w:rFonts w:hint="eastAsia" w:ascii="仿宋_GB2312" w:hAnsi="仿宋" w:eastAsia="仿宋_GB2312"/>
          <w:bCs/>
          <w:sz w:val="24"/>
          <w:u w:val="single"/>
          <w:lang w:val="en-US" w:eastAsia="zh-CN"/>
        </w:rPr>
        <w:t>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https://www.zcygov.cn/）</w:t>
      </w:r>
      <w:r>
        <w:rPr>
          <w:rFonts w:hint="eastAsia" w:ascii="仿宋_GB2312" w:hAnsi="仿宋" w:eastAsia="仿宋_GB2312"/>
          <w:sz w:val="24"/>
        </w:rPr>
        <w:t>；</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 xml:space="preserve">2022 </w:t>
      </w:r>
      <w:r>
        <w:rPr>
          <w:rFonts w:ascii="仿宋_GB2312" w:hAnsi="仿宋" w:eastAsia="仿宋_GB2312"/>
          <w:sz w:val="24"/>
          <w:u w:val="single"/>
        </w:rPr>
        <w:t>年</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r>
        <w:rPr>
          <w:rFonts w:hint="eastAsia" w:ascii="仿宋_GB2312" w:hAnsi="仿宋" w:eastAsia="仿宋_GB2312"/>
          <w:bCs/>
          <w:sz w:val="24"/>
          <w:u w:val="single"/>
          <w:lang w:val="en-US" w:eastAsia="zh-CN"/>
        </w:rPr>
        <w:t>00秒</w:t>
      </w:r>
      <w:r>
        <w:rPr>
          <w:rFonts w:hint="eastAsia" w:ascii="仿宋_GB2312" w:hAnsi="仿宋" w:eastAsia="仿宋_GB2312"/>
          <w:bCs/>
          <w:sz w:val="24"/>
          <w:u w:val="single"/>
        </w:rPr>
        <w:t xml:space="preserve"> ；</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w:t>
      </w:r>
    </w:p>
    <w:p>
      <w:pPr>
        <w:pStyle w:val="2"/>
        <w:rPr>
          <w:rFonts w:hint="eastAsia"/>
          <w:sz w:val="24"/>
          <w:lang w:val="en-US" w:eastAsia="zh-CN"/>
        </w:rPr>
      </w:pPr>
      <w:r>
        <w:rPr>
          <w:rFonts w:hint="eastAsia"/>
          <w:sz w:val="24"/>
          <w:lang w:val="en-US" w:eastAsia="zh-CN"/>
        </w:rPr>
        <w:t xml:space="preserve">    线下组织机构</w:t>
      </w:r>
      <w:r>
        <w:rPr>
          <w:rFonts w:hint="eastAsia" w:ascii="仿宋_GB2312" w:hAnsi="仿宋" w:eastAsia="仿宋_GB2312"/>
          <w:b/>
          <w:sz w:val="24"/>
        </w:rPr>
        <w:t>开标</w:t>
      </w:r>
      <w:r>
        <w:rPr>
          <w:rFonts w:hint="eastAsia"/>
          <w:sz w:val="24"/>
          <w:lang w:val="en-US" w:eastAsia="zh-CN"/>
        </w:rPr>
        <w:t>地点：杭州市临平区南苑街道华元欢乐城-华元大厦20层2027会议室。</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widowControl/>
        <w:spacing w:line="360" w:lineRule="auto"/>
        <w:ind w:firstLine="480" w:firstLineChars="200"/>
        <w:jc w:val="left"/>
        <w:rPr>
          <w:rFonts w:ascii="仿宋_GB2312" w:hAnsi="仿宋_GB2312" w:eastAsia="仿宋_GB2312" w:cs="仿宋_GB2312"/>
          <w:bCs/>
          <w:color w:val="000000"/>
          <w:sz w:val="24"/>
        </w:rPr>
      </w:pPr>
      <w:r>
        <w:rPr>
          <w:rFonts w:hint="eastAsia" w:ascii="仿宋_GB2312" w:hAnsi="仿宋_GB2312" w:eastAsia="仿宋_GB2312" w:cs="仿宋_GB2312"/>
          <w:sz w:val="24"/>
        </w:rPr>
        <w:t xml:space="preserve">名称：杭州市余杭区市场监督管理局 </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地址：杭州市余杭区溪沁路8号中国电信浙江创新产业园1号楼4楼。</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项目联系人（询问）：陈先生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联系电话：0571-86167063</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质疑联系人：王先生</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联系电话：0571-86167127</w:t>
      </w:r>
    </w:p>
    <w:p>
      <w:pPr>
        <w:widowControl/>
        <w:spacing w:line="360" w:lineRule="auto"/>
        <w:ind w:firstLine="482" w:firstLineChars="200"/>
        <w:jc w:val="left"/>
        <w:outlineLvl w:val="1"/>
        <w:rPr>
          <w:rFonts w:ascii="仿宋_GB2312" w:hAnsi="仿宋_GB2312" w:eastAsia="仿宋_GB2312" w:cs="仿宋_GB2312"/>
          <w:b/>
          <w:sz w:val="24"/>
        </w:rPr>
      </w:pPr>
      <w:bookmarkStart w:id="10" w:name="_Toc28359009"/>
      <w:bookmarkStart w:id="11" w:name="_Toc31571"/>
      <w:bookmarkStart w:id="12" w:name="_Toc28359086"/>
      <w:r>
        <w:rPr>
          <w:rFonts w:hint="eastAsia" w:ascii="仿宋_GB2312" w:hAnsi="仿宋_GB2312" w:eastAsia="仿宋_GB2312" w:cs="仿宋_GB2312"/>
          <w:b/>
          <w:sz w:val="24"/>
        </w:rPr>
        <w:t>2.采购代理机构信息</w:t>
      </w:r>
      <w:bookmarkEnd w:id="10"/>
      <w:bookmarkEnd w:id="11"/>
      <w:bookmarkEnd w:id="12"/>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名称：耀华建设管理有限公司</w:t>
      </w:r>
    </w:p>
    <w:p>
      <w:p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临平地址：杭州市临平区南苑街道华元欢乐城-华元大厦20层2022办公室。</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sz w:val="24"/>
        </w:rPr>
        <w:t>项目联系人（</w:t>
      </w:r>
      <w:r>
        <w:rPr>
          <w:rFonts w:hint="eastAsia" w:ascii="仿宋_GB2312" w:hAnsi="仿宋_GB2312" w:eastAsia="仿宋_GB2312" w:cs="仿宋_GB2312"/>
          <w:color w:val="000000"/>
          <w:sz w:val="24"/>
        </w:rPr>
        <w:t>询问）：周聪聪          联系电话：0571-86320706</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 xml:space="preserve">质疑联系人：单成燕                   </w:t>
      </w:r>
      <w:r>
        <w:rPr>
          <w:rFonts w:hint="eastAsia" w:ascii="仿宋_GB2312" w:hAnsi="仿宋_GB2312" w:eastAsia="仿宋_GB2312" w:cs="仿宋_GB2312"/>
          <w:sz w:val="24"/>
        </w:rPr>
        <w:t>联系电话：0571-86320727  18072887619</w:t>
      </w:r>
    </w:p>
    <w:p>
      <w:pPr>
        <w:snapToGrid w:val="0"/>
        <w:spacing w:line="360" w:lineRule="auto"/>
        <w:ind w:firstLine="482" w:firstLineChars="200"/>
        <w:outlineLvl w:val="1"/>
        <w:rPr>
          <w:rFonts w:ascii="仿宋_GB2312" w:hAnsi="仿宋_GB2312" w:eastAsia="仿宋_GB2312" w:cs="仿宋_GB2312"/>
          <w:b/>
          <w:sz w:val="24"/>
        </w:rPr>
      </w:pPr>
      <w:bookmarkStart w:id="13" w:name="_Toc28359010"/>
      <w:bookmarkStart w:id="14" w:name="_Toc28359087"/>
      <w:bookmarkStart w:id="15" w:name="_Toc19946"/>
      <w:r>
        <w:rPr>
          <w:rFonts w:hint="eastAsia" w:ascii="仿宋_GB2312" w:hAnsi="仿宋_GB2312" w:eastAsia="仿宋_GB2312" w:cs="仿宋_GB2312"/>
          <w:b/>
          <w:sz w:val="24"/>
        </w:rPr>
        <w:t>3.</w:t>
      </w:r>
      <w:bookmarkEnd w:id="13"/>
      <w:bookmarkEnd w:id="14"/>
      <w:r>
        <w:rPr>
          <w:rFonts w:hint="eastAsia" w:ascii="仿宋_GB2312" w:hAnsi="仿宋_GB2312" w:eastAsia="仿宋_GB2312" w:cs="仿宋_GB2312"/>
          <w:b/>
          <w:sz w:val="24"/>
        </w:rPr>
        <w:t>同级政府采购监督管理部门</w:t>
      </w:r>
      <w:bookmarkEnd w:id="15"/>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名称：杭州市余杭区财政局</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地址：杭州市余杭区五常街道溪沁路8号中国电信浙江创新园1号楼。</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联系人：杜国强        联系电话：0571-88728858</w:t>
      </w:r>
    </w:p>
    <w:p>
      <w:pPr>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监督投诉电话：0571-88728858</w:t>
      </w:r>
    </w:p>
    <w:p>
      <w:pPr>
        <w:pStyle w:val="65"/>
        <w:ind w:firstLine="420"/>
        <w:rPr>
          <w:rFonts w:ascii="仿宋_GB2312" w:hAnsi="仿宋_GB2312" w:eastAsia="仿宋_GB2312" w:cs="仿宋_GB2312"/>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ind w:firstLine="240" w:firstLineChars="100"/>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288"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288"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288"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288"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288"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288" w:lineRule="auto"/>
              <w:rPr>
                <w:rFonts w:ascii="仿宋_GB2312" w:hAnsi="仿宋" w:eastAsia="仿宋_GB2312"/>
                <w:b/>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不组织。</w:t>
            </w:r>
          </w:p>
          <w:p>
            <w:pPr>
              <w:spacing w:line="288" w:lineRule="auto"/>
              <w:rPr>
                <w:rFonts w:ascii="仿宋_GB2312" w:hAnsi="仿宋" w:eastAsia="仿宋_GB2312" w:cs="仿宋_GB2312"/>
                <w:b/>
                <w:kern w:val="0"/>
                <w:sz w:val="24"/>
                <w:lang w:val="zh-CN"/>
              </w:rPr>
            </w:pPr>
            <w:r>
              <w:rPr>
                <w:rFonts w:ascii="Wingdings" w:hAnsi="Wingdings" w:eastAsia="仿宋_GB2312" w:cs="Arial"/>
                <w:kern w:val="0"/>
                <w:sz w:val="24"/>
              </w:rPr>
              <w:sym w:font="Wingdings" w:char="00FE"/>
            </w:r>
            <w:r>
              <w:rPr>
                <w:rFonts w:ascii="仿宋_GB2312" w:hAnsi="仿宋" w:eastAsia="仿宋_GB2312"/>
                <w:kern w:val="0"/>
                <w:sz w:val="24"/>
              </w:rPr>
              <w:t>B</w:t>
            </w:r>
            <w:r>
              <w:rPr>
                <w:rFonts w:hint="eastAsia" w:ascii="仿宋_GB2312" w:hAnsi="仿宋" w:eastAsia="仿宋_GB2312"/>
                <w:sz w:val="24"/>
              </w:rPr>
              <w:t>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288"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288" w:lineRule="auto"/>
              <w:jc w:val="center"/>
              <w:rPr>
                <w:rFonts w:ascii="仿宋_GB2312" w:hAnsi="仿宋" w:eastAsia="仿宋_GB2312" w:cs="仿宋_GB2312"/>
                <w:sz w:val="24"/>
              </w:rPr>
            </w:pPr>
          </w:p>
          <w:p>
            <w:pPr>
              <w:snapToGrid w:val="0"/>
              <w:spacing w:line="288"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288"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5"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(1)根据《政府采购促进中小企业发展管理办法》（财库﹝2020﹞46 号）要求，本次采购为</w:t>
            </w:r>
            <w:r>
              <w:rPr>
                <w:rFonts w:hint="eastAsia" w:ascii="仿宋_GB2312" w:hAnsi="仿宋_GB2312" w:eastAsia="仿宋_GB2312" w:cs="仿宋_GB2312"/>
                <w:b/>
                <w:bCs/>
                <w:color w:val="000000"/>
                <w:sz w:val="21"/>
                <w:szCs w:val="21"/>
                <w:u w:val="single"/>
                <w:lang w:eastAsia="zh-CN"/>
              </w:rPr>
              <w:t>专门面向中小企业预留采购份额的采购项目</w:t>
            </w:r>
            <w:r>
              <w:rPr>
                <w:rFonts w:hint="eastAsia" w:ascii="仿宋_GB2312" w:hAnsi="仿宋_GB2312" w:eastAsia="仿宋_GB2312" w:cs="仿宋_GB2312"/>
                <w:color w:val="000000"/>
                <w:sz w:val="21"/>
                <w:szCs w:val="21"/>
                <w:lang w:eastAsia="zh-CN"/>
              </w:rPr>
              <w:t>,投标单位应为中小微企业或监狱企业和残疾人福利性单位。</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其中供应商为小微（含监狱企业和残疾人福利性单位）企业的，其报价评审时不予扣除。</w:t>
            </w:r>
          </w:p>
          <w:p>
            <w:pPr>
              <w:pStyle w:val="618"/>
              <w:tabs>
                <w:tab w:val="left" w:pos="1070"/>
              </w:tabs>
              <w:spacing w:line="288" w:lineRule="auto"/>
              <w:ind w:right="52" w:firstLine="210" w:firstLineChars="100"/>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（2）本采购文件所称中小企业，是指在中华人民共和国境</w:t>
            </w:r>
            <w:r>
              <w:rPr>
                <w:rFonts w:hint="eastAsia" w:ascii="仿宋_GB2312" w:hAnsi="仿宋_GB2312" w:eastAsia="仿宋_GB2312" w:cs="仿宋_GB2312"/>
                <w:spacing w:val="-7"/>
                <w:sz w:val="21"/>
                <w:szCs w:val="21"/>
                <w:lang w:eastAsia="zh-CN"/>
              </w:rPr>
              <w:t>内依法设立，依据国务院批准的中小企业划分标准确定的中型</w:t>
            </w:r>
            <w:r>
              <w:rPr>
                <w:rFonts w:hint="eastAsia" w:ascii="仿宋_GB2312" w:hAnsi="仿宋_GB2312" w:eastAsia="仿宋_GB2312" w:cs="仿宋_GB2312"/>
                <w:spacing w:val="-8"/>
                <w:sz w:val="21"/>
                <w:szCs w:val="21"/>
                <w:lang w:eastAsia="zh-CN"/>
              </w:rPr>
              <w:t xml:space="preserve">企业、小型企业和微型企业，但与大企业的负责人为同一人， </w:t>
            </w:r>
            <w:r>
              <w:rPr>
                <w:rFonts w:hint="eastAsia" w:ascii="仿宋_GB2312" w:hAnsi="仿宋_GB2312" w:eastAsia="仿宋_GB2312" w:cs="仿宋_GB2312"/>
                <w:sz w:val="21"/>
                <w:szCs w:val="21"/>
                <w:lang w:eastAsia="zh-CN"/>
              </w:rPr>
              <w:t>或者与大企业存在直接控股、管理关系的除外。</w:t>
            </w:r>
          </w:p>
          <w:p>
            <w:pPr>
              <w:pStyle w:val="618"/>
              <w:tabs>
                <w:tab w:val="left" w:pos="1070"/>
              </w:tabs>
              <w:spacing w:line="288" w:lineRule="auto"/>
              <w:ind w:right="52" w:firstLine="210" w:firstLineChars="100"/>
              <w:rPr>
                <w:rFonts w:ascii="仿宋_GB2312" w:hAnsi="仿宋_GB2312" w:eastAsia="仿宋_GB2312" w:cs="仿宋_GB2312"/>
                <w:spacing w:val="-7"/>
                <w:sz w:val="21"/>
                <w:szCs w:val="21"/>
                <w:lang w:eastAsia="zh-CN"/>
              </w:rPr>
            </w:pPr>
            <w:r>
              <w:rPr>
                <w:rFonts w:hint="eastAsia" w:ascii="仿宋_GB2312" w:hAnsi="仿宋_GB2312" w:eastAsia="仿宋_GB2312" w:cs="仿宋_GB2312"/>
                <w:sz w:val="21"/>
                <w:szCs w:val="21"/>
                <w:lang w:eastAsia="zh-CN"/>
              </w:rPr>
              <w:t>（3）本次</w:t>
            </w:r>
            <w:r>
              <w:rPr>
                <w:rFonts w:hint="eastAsia" w:ascii="仿宋_GB2312" w:hAnsi="仿宋_GB2312" w:eastAsia="仿宋_GB2312" w:cs="仿宋_GB2312"/>
                <w:spacing w:val="-7"/>
                <w:sz w:val="21"/>
                <w:szCs w:val="21"/>
                <w:lang w:eastAsia="zh-CN"/>
              </w:rPr>
              <w:t>采购标的为</w:t>
            </w:r>
            <w:r>
              <w:rPr>
                <w:rFonts w:hint="eastAsia" w:ascii="仿宋_GB2312" w:hAnsi="仿宋_GB2312" w:eastAsia="仿宋_GB2312" w:cs="仿宋_GB2312"/>
                <w:spacing w:val="-7"/>
                <w:sz w:val="21"/>
                <w:szCs w:val="21"/>
                <w:u w:val="single"/>
                <w:lang w:eastAsia="zh-CN"/>
              </w:rPr>
              <w:t xml:space="preserve"> </w:t>
            </w:r>
            <w:r>
              <w:rPr>
                <w:rFonts w:hint="eastAsia" w:ascii="仿宋_GB2312" w:hAnsi="仿宋_GB2312" w:eastAsia="仿宋_GB2312" w:cs="仿宋_GB2312"/>
                <w:b/>
                <w:bCs/>
                <w:spacing w:val="-7"/>
                <w:sz w:val="21"/>
                <w:szCs w:val="21"/>
                <w:u w:val="single"/>
                <w:lang w:eastAsia="zh-CN"/>
              </w:rPr>
              <w:t>2022年网络投诉件辅助处理劳务外包项目</w:t>
            </w:r>
            <w:r>
              <w:rPr>
                <w:rFonts w:hint="eastAsia" w:ascii="仿宋_GB2312" w:hAnsi="仿宋_GB2312" w:eastAsia="仿宋_GB2312" w:cs="仿宋_GB2312"/>
                <w:spacing w:val="-10"/>
                <w:sz w:val="21"/>
                <w:szCs w:val="21"/>
                <w:lang w:eastAsia="zh-CN"/>
              </w:rPr>
              <w:t>，对应的中小企业划分</w:t>
            </w:r>
            <w:r>
              <w:rPr>
                <w:rFonts w:hint="eastAsia" w:ascii="仿宋_GB2312" w:hAnsi="仿宋_GB2312" w:eastAsia="仿宋_GB2312" w:cs="仿宋_GB2312"/>
                <w:sz w:val="21"/>
                <w:szCs w:val="21"/>
                <w:lang w:eastAsia="zh-CN"/>
              </w:rPr>
              <w:t>标准所属行业是：</w:t>
            </w:r>
            <w:r>
              <w:rPr>
                <w:rFonts w:hint="eastAsia" w:ascii="仿宋_GB2312" w:hAnsi="仿宋_GB2312" w:eastAsia="仿宋_GB2312" w:cs="仿宋_GB2312"/>
                <w:b/>
                <w:bCs/>
                <w:sz w:val="21"/>
                <w:szCs w:val="21"/>
                <w:u w:val="single"/>
                <w:lang w:eastAsia="zh-CN"/>
              </w:rPr>
              <w:t>租赁和商务服务业</w:t>
            </w:r>
            <w:r>
              <w:rPr>
                <w:rFonts w:hint="eastAsia" w:ascii="仿宋_GB2312" w:hAnsi="仿宋_GB2312" w:eastAsia="仿宋_GB2312" w:cs="仿宋_GB2312"/>
                <w:spacing w:val="-7"/>
                <w:sz w:val="21"/>
                <w:szCs w:val="21"/>
                <w:lang w:eastAsia="zh-CN"/>
              </w:rPr>
              <w:t>；</w:t>
            </w:r>
          </w:p>
          <w:p>
            <w:pPr>
              <w:pStyle w:val="618"/>
              <w:tabs>
                <w:tab w:val="left" w:pos="1070"/>
              </w:tabs>
              <w:spacing w:line="288" w:lineRule="auto"/>
              <w:ind w:right="52" w:firstLine="196" w:firstLineChars="100"/>
              <w:rPr>
                <w:rFonts w:ascii="仿宋_GB2312" w:hAnsi="仿宋_GB2312" w:eastAsia="仿宋_GB2312" w:cs="仿宋_GB2312"/>
                <w:spacing w:val="-7"/>
                <w:sz w:val="21"/>
                <w:szCs w:val="21"/>
                <w:u w:val="single"/>
              </w:rPr>
            </w:pPr>
            <w:r>
              <w:rPr>
                <w:rFonts w:hint="eastAsia" w:ascii="仿宋_GB2312" w:hAnsi="仿宋_GB2312" w:eastAsia="仿宋_GB2312" w:cs="仿宋_GB2312"/>
                <w:spacing w:val="-7"/>
                <w:kern w:val="0"/>
                <w:sz w:val="21"/>
                <w:szCs w:val="21"/>
                <w:u w:val="single"/>
                <w:lang w:val="en-US" w:eastAsia="zh-CN" w:bidi="ar-SA"/>
              </w:rPr>
              <w:pict>
                <v:shape id="_x0000_i1025" o:spt="75" type="#_x0000_t75" style="height:38.45pt;width:284pt;" fillcolor="#FFFFFF"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w:pict>
            </w:r>
          </w:p>
          <w:p>
            <w:pPr>
              <w:pStyle w:val="618"/>
              <w:tabs>
                <w:tab w:val="left" w:pos="1070"/>
              </w:tabs>
              <w:spacing w:line="288" w:lineRule="auto"/>
              <w:ind w:right="52" w:firstLine="240" w:firstLineChars="100"/>
              <w:rPr>
                <w:rFonts w:ascii="宋体" w:hAnsi="宋体" w:cs="宋体"/>
                <w:color w:val="000000"/>
                <w:sz w:val="24"/>
                <w:szCs w:val="24"/>
                <w:shd w:val="clear" w:color="auto" w:fill="FFFFFF"/>
                <w:lang w:eastAsia="zh-CN"/>
              </w:rPr>
            </w:pPr>
            <w:r>
              <w:rPr>
                <w:rFonts w:hint="eastAsia" w:ascii="Calibri" w:hAnsi="Calibri" w:eastAsia="宋体" w:cs="Times New Roman"/>
                <w:kern w:val="0"/>
                <w:sz w:val="24"/>
                <w:szCs w:val="22"/>
                <w:lang w:val="en-US" w:eastAsia="zh-CN" w:bidi="ar-SA"/>
              </w:rPr>
              <w:pict>
                <v:shape id="图片 1" o:spid="_x0000_s1057" o:spt="75" type="#_x0000_t75" style="position:absolute;left:0pt;margin-left:12pt;margin-top:2.85pt;height:25.95pt;width:284.8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33" croptop="8489f" cropbottom="-1698f" gain="65536f" blacklevel="0f" gamma="0" o:title=""/>
                  <o:lock v:ext="edit" position="f" selection="f" grouping="f" rotation="f" cropping="f" text="f" aspectratio="t"/>
                  <w10:wrap type="square"/>
                </v:shape>
              </w:pict>
            </w:r>
          </w:p>
          <w:p>
            <w:pPr>
              <w:pStyle w:val="618"/>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说明：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1.大型、中型和小型企业须同时满足所列指标的下限，否则下划一档；微型企业只须满足所列指标中的一项即可。 　　</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2.附表中各行业的范围以《国民经济行业分类》（GB/T4754-2017）为准。    </w:t>
            </w:r>
          </w:p>
          <w:p>
            <w:pPr>
              <w:pStyle w:val="618"/>
              <w:tabs>
                <w:tab w:val="left" w:pos="1070"/>
              </w:tabs>
              <w:spacing w:line="288" w:lineRule="auto"/>
              <w:ind w:right="52" w:firstLine="211" w:firstLineChars="100"/>
              <w:rPr>
                <w:rFonts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3.企业划分指标以现行统计制度为准。</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1）从业人员，是指期末从业人员数，没有期末从业人员数的，采用全年平均人员数代替。</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hAnsi="仿宋_GB2312" w:eastAsia="仿宋_GB2312" w:cs="仿宋_GB2312"/>
                <w:b/>
                <w:bCs/>
                <w:sz w:val="21"/>
                <w:szCs w:val="21"/>
                <w:lang w:eastAsia="zh-CN"/>
              </w:rPr>
              <w:br w:type="textWrapping"/>
            </w:r>
            <w:r>
              <w:rPr>
                <w:rFonts w:hint="eastAsia" w:ascii="仿宋_GB2312" w:hAnsi="仿宋_GB2312" w:eastAsia="仿宋_GB2312" w:cs="仿宋_GB2312"/>
                <w:b/>
                <w:bCs/>
                <w:sz w:val="21"/>
                <w:szCs w:val="21"/>
                <w:lang w:eastAsia="zh-CN"/>
              </w:rPr>
              <w:t> 3）资产总额，采用资产总计代替。</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(4)符合小微企业划分标准的个体工商户，视同小微企业。</w:t>
            </w:r>
          </w:p>
          <w:p>
            <w:pPr>
              <w:pStyle w:val="618"/>
              <w:tabs>
                <w:tab w:val="left" w:pos="1070"/>
              </w:tabs>
              <w:spacing w:line="288" w:lineRule="auto"/>
              <w:ind w:right="52" w:firstLine="210" w:firstLineChars="100"/>
              <w:rPr>
                <w:rFonts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(5)中小微企业参加政府采购活动，应当出具《中小企业声明函》。</w:t>
            </w:r>
          </w:p>
          <w:p>
            <w:pPr>
              <w:pStyle w:val="618"/>
              <w:tabs>
                <w:tab w:val="left" w:pos="1070"/>
              </w:tabs>
              <w:ind w:right="52" w:firstLine="210" w:firstLineChars="100"/>
              <w:rPr>
                <w:rFonts w:hAnsi="仿宋_GB2312" w:cs="仿宋_GB2312"/>
                <w:sz w:val="21"/>
                <w:szCs w:val="21"/>
                <w:lang w:eastAsia="zh-CN"/>
              </w:rPr>
            </w:pPr>
            <w:r>
              <w:rPr>
                <w:rFonts w:hint="eastAsia" w:ascii="仿宋_GB2312" w:hAnsi="仿宋_GB2312" w:eastAsia="仿宋_GB2312" w:cs="仿宋_GB2312"/>
                <w:color w:val="000000"/>
                <w:sz w:val="21"/>
                <w:szCs w:val="21"/>
                <w:lang w:eastAsia="zh-CN"/>
              </w:rPr>
              <w:t>(6)监狱企业和残疾人福利性单位视同小型、微型企业，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ind w:firstLine="480" w:firstLineChars="200"/>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w:t>
            </w:r>
            <w:r>
              <w:rPr>
                <w:rFonts w:ascii="仿宋_GB2312" w:hAnsi="仿宋" w:eastAsia="仿宋_GB2312"/>
                <w:snapToGrid w:val="0"/>
                <w:color w:val="000000"/>
                <w:kern w:val="28"/>
                <w:sz w:val="24"/>
              </w:rPr>
              <w:t xml:space="preserve"> - </w:t>
            </w:r>
            <w:r>
              <w:rPr>
                <w:rFonts w:hint="eastAsia" w:ascii="仿宋_GB2312" w:hAnsi="仿宋" w:eastAsia="仿宋_GB2312"/>
                <w:snapToGrid w:val="0"/>
                <w:color w:val="000000"/>
                <w:kern w:val="28"/>
                <w:sz w:val="24"/>
              </w:rPr>
              <w:t>金融服务中心</w:t>
            </w:r>
            <w:r>
              <w:rPr>
                <w:rFonts w:ascii="仿宋_GB2312" w:hAnsi="仿宋" w:eastAsia="仿宋_GB2312"/>
                <w:snapToGrid w:val="0"/>
                <w:color w:val="000000"/>
                <w:kern w:val="28"/>
                <w:sz w:val="24"/>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kern w:val="28"/>
                <w:sz w:val="24"/>
                <w:szCs w:val="24"/>
              </w:rPr>
              <w:t>备份投标文件送达地点： 密封包装后（建议顺丰邮寄形式）投标截止时间前递交、一份（邮寄地址：</w:t>
            </w:r>
            <w:r>
              <w:rPr>
                <w:rFonts w:hint="eastAsia" w:ascii="仿宋_GB2312" w:hAnsi="仿宋" w:eastAsia="仿宋_GB2312" w:cs="Times New Roman"/>
                <w:kern w:val="28"/>
                <w:sz w:val="24"/>
                <w:szCs w:val="24"/>
                <w:u w:val="single"/>
              </w:rPr>
              <w:t>杭州市临平区南苑街道华元欢乐城-华元大厦20层2022办公室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u w:val="single"/>
              </w:rPr>
              <w:t>周聪聪13067902529</w:t>
            </w:r>
            <w:r>
              <w:rPr>
                <w:rFonts w:hint="eastAsia" w:ascii="仿宋_GB2312" w:hAnsi="仿宋" w:eastAsia="仿宋_GB2312" w:cs="Times New Roman"/>
                <w:kern w:val="28"/>
                <w:sz w:val="24"/>
                <w:szCs w:val="24"/>
              </w:rPr>
              <w:t xml:space="preserve"> 。</w:t>
            </w:r>
          </w:p>
          <w:p>
            <w:pPr>
              <w:pStyle w:val="37"/>
              <w:spacing w:line="360" w:lineRule="auto"/>
              <w:rPr>
                <w:rFonts w:ascii="仿宋_GB2312" w:hAnsi="仿宋" w:eastAsia="仿宋_GB2312"/>
                <w:kern w:val="28"/>
                <w:sz w:val="24"/>
              </w:rPr>
            </w:pP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pPr>
            <w:r>
              <w:rPr>
                <w:rFonts w:hint="eastAsia"/>
              </w:rPr>
              <w:t>本项目的招标代理费用由中标单位支付，参照《招标代理服务收费管理暂行办法》的通知（计价格[2002]1980号）文件直接支付给分散采购招标代理单位，投标人在报价时应综合考虑该笔费用，但不单列进投标总价。</w:t>
            </w:r>
          </w:p>
          <w:p>
            <w:pPr>
              <w:pStyle w:val="204"/>
              <w:ind w:firstLine="0" w:firstLineChars="0"/>
            </w:pPr>
            <w:r>
              <w:rPr>
                <w:rFonts w:hint="eastAsia" w:ascii="Arial" w:hAnsi="Arial" w:eastAsia="宋体" w:cs="Times New Roman"/>
                <w:spacing w:val="-5"/>
                <w:kern w:val="0"/>
                <w:sz w:val="24"/>
                <w:szCs w:val="20"/>
                <w:lang w:val="en-US" w:eastAsia="zh-CN" w:bidi="ar-SA"/>
              </w:rPr>
              <w:pict>
                <v:shape id="_x0000_i1058" o:spt="75" type="#_x0000_t75" style="height:95.1pt;width:227.95pt;" fillcolor="#FFFFFF"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w:pict>
            </w:r>
          </w:p>
        </w:tc>
      </w:tr>
    </w:tbl>
    <w:p>
      <w:pPr>
        <w:pStyle w:val="26"/>
        <w:ind w:firstLine="627"/>
        <w:rPr>
          <w:rFonts w:ascii="仿宋" w:hAnsi="仿宋" w:eastAsia="仿宋" w:cs="仿宋_GB2312"/>
          <w:b/>
          <w:sz w:val="32"/>
        </w:rPr>
      </w:pPr>
    </w:p>
    <w:bookmarkEnd w:id="9"/>
    <w:p>
      <w:pPr>
        <w:adjustRightInd/>
        <w:spacing w:line="360" w:lineRule="auto"/>
        <w:ind w:firstLine="3845" w:firstLineChars="1197"/>
        <w:outlineLvl w:val="0"/>
        <w:rPr>
          <w:rFonts w:ascii="仿宋_GB2312" w:hAnsi="仿宋" w:eastAsia="仿宋_GB2312" w:cs="仿宋_GB2312"/>
          <w:b/>
          <w:sz w:val="32"/>
          <w:szCs w:val="20"/>
        </w:rPr>
      </w:pPr>
      <w:bookmarkStart w:id="16" w:name="第三部分"/>
      <w:bookmarkStart w:id="17" w:name="_Toc164416483"/>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以联合体形式参加政府采购活动，联合体各方均为中小企业的，联合体视同中小企业。其中，联合体各方均为小微企业的，联合体视同小微企业（本项目不采用）。</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本项目为专门面向中小企业，小微企业价格评审不扣减。</w:t>
      </w:r>
    </w:p>
    <w:p>
      <w:pPr>
        <w:spacing w:line="360" w:lineRule="auto"/>
        <w:ind w:firstLine="480" w:firstLineChars="200"/>
        <w:rPr>
          <w:rFonts w:ascii="仿宋_GB2312" w:hAnsi="仿宋" w:eastAsia="仿宋_GB2312"/>
          <w:sz w:val="24"/>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w:t>
      </w:r>
    </w:p>
    <w:p>
      <w:pPr>
        <w:spacing w:line="360" w:lineRule="auto"/>
        <w:ind w:firstLine="480" w:firstLineChars="200"/>
        <w:rPr>
          <w:rFonts w:ascii="仿宋_GB2312" w:hAnsi="仿宋" w:eastAsia="仿宋_GB2312"/>
          <w:sz w:val="24"/>
        </w:rPr>
      </w:pPr>
      <w:r>
        <w:rPr>
          <w:rFonts w:ascii="仿宋_GB2312" w:hAnsi="仿宋" w:eastAsia="仿宋_GB2312"/>
          <w:sz w:val="24"/>
        </w:rPr>
        <w:t>组成联合体或者接受分包的小微企业与联合体内其他企业、分包企业之间存在直接控股、管理关系的，不享受价格扣除优惠政策。</w:t>
      </w:r>
      <w:r>
        <w:rPr>
          <w:rFonts w:hint="eastAsia" w:ascii="仿宋_GB2312" w:hAnsi="仿宋" w:eastAsia="仿宋_GB2312"/>
          <w:sz w:val="24"/>
        </w:rPr>
        <w:t>本项目专门面向中小企业的政府采购货物或服务项目，对小型和微型企业的投标报价不予</w:t>
      </w:r>
      <w:r>
        <w:rPr>
          <w:rFonts w:ascii="仿宋_GB2312" w:hAnsi="仿宋" w:eastAsia="仿宋_GB2312"/>
          <w:sz w:val="24"/>
        </w:rPr>
        <w:t>扣除。</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3.4.1 采购人优先采购被认定</w:t>
      </w:r>
      <w:r>
        <w:rPr>
          <w:rFonts w:hint="eastAsia" w:ascii="仿宋_GB2312" w:hAnsi="仿宋" w:eastAsia="仿宋_GB2312"/>
          <w:color w:val="000000"/>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color w:val="000000"/>
          <w:sz w:val="24"/>
        </w:rPr>
        <w:t>3.4.2首台套产品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color w:val="000000"/>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color w:val="000000"/>
          <w:sz w:val="24"/>
        </w:rPr>
        <w:t xml:space="preserve">4. </w:t>
      </w:r>
      <w:r>
        <w:rPr>
          <w:rFonts w:hint="eastAsia" w:ascii="仿宋_GB2312" w:hAnsi="仿宋" w:eastAsia="仿宋_GB2312"/>
          <w:b/>
          <w:color w:val="000000"/>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numPr>
          <w:ilvl w:val="0"/>
          <w:numId w:val="1"/>
        </w:numPr>
        <w:spacing w:line="360" w:lineRule="auto"/>
        <w:rPr>
          <w:rFonts w:ascii="仿宋_GB2312" w:hAnsi="仿宋" w:eastAsia="仿宋_GB2312" w:cs="仿宋_GB2312"/>
          <w:b/>
          <w:sz w:val="24"/>
          <w:szCs w:val="24"/>
        </w:rPr>
      </w:pPr>
      <w:r>
        <w:rPr>
          <w:rFonts w:ascii="仿宋_GB2312" w:hAnsi="仿宋" w:eastAsia="仿宋_GB2312" w:cs="仿宋_GB2312"/>
          <w:b/>
          <w:sz w:val="24"/>
          <w:szCs w:val="24"/>
        </w:rPr>
        <w:t>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numPr>
          <w:ilvl w:val="0"/>
          <w:numId w:val="1"/>
        </w:numPr>
        <w:spacing w:line="360" w:lineRule="auto"/>
        <w:rPr>
          <w:rFonts w:ascii="仿宋_GB2312" w:hAnsi="仿宋" w:eastAsia="仿宋_GB2312" w:cs="仿宋_GB2312"/>
          <w:b/>
          <w:szCs w:val="24"/>
        </w:rPr>
      </w:pPr>
      <w:r>
        <w:rPr>
          <w:rFonts w:ascii="仿宋_GB2312" w:hAnsi="仿宋" w:eastAsia="仿宋_GB2312"/>
          <w:b/>
          <w:kern w:val="28"/>
          <w:sz w:val="24"/>
          <w:szCs w:val="24"/>
        </w:rPr>
        <w:t>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color w:val="000000"/>
          <w:sz w:val="24"/>
          <w:szCs w:val="24"/>
        </w:rPr>
      </w:pPr>
      <w:r>
        <w:rPr>
          <w:rFonts w:ascii="仿宋_GB2312" w:hAnsi="仿宋" w:eastAsia="仿宋_GB2312" w:cs="仿宋_GB2312"/>
          <w:b/>
          <w:color w:val="000000"/>
          <w:sz w:val="24"/>
          <w:szCs w:val="24"/>
        </w:rPr>
        <w:t xml:space="preserve">11. </w:t>
      </w:r>
      <w:r>
        <w:rPr>
          <w:rFonts w:hint="eastAsia" w:ascii="仿宋_GB2312" w:hAnsi="仿宋" w:eastAsia="仿宋_GB2312" w:cs="仿宋_GB2312"/>
          <w:b/>
          <w:color w:val="000000"/>
          <w:sz w:val="24"/>
          <w:szCs w:val="24"/>
        </w:rPr>
        <w:t>投标文件的组成</w:t>
      </w:r>
    </w:p>
    <w:p>
      <w:pPr>
        <w:snapToGrid w:val="0"/>
        <w:spacing w:line="360" w:lineRule="auto"/>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843" w:firstLineChars="400"/>
        <w:rPr>
          <w:rFonts w:ascii="仿宋_GB2312" w:hAnsi="仿宋" w:eastAsia="仿宋_GB2312" w:cs="仿宋_GB2312"/>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11.1.1符合参加政府采购活动应当具备的一般条件的承诺函；</w:t>
      </w:r>
    </w:p>
    <w:p>
      <w:pPr>
        <w:snapToGrid w:val="0"/>
        <w:spacing w:line="360" w:lineRule="auto"/>
        <w:ind w:firstLine="843" w:firstLineChars="400"/>
        <w:rPr>
          <w:rFonts w:ascii="仿宋_GB2312" w:hAnsi="仿宋" w:eastAsia="仿宋_GB2312" w:cs="仿宋_GB2312"/>
          <w:b/>
          <w:bCs/>
          <w:color w:val="000000"/>
          <w:sz w:val="24"/>
        </w:rPr>
      </w:pPr>
      <w:r>
        <w:rPr>
          <w:rFonts w:hint="eastAsia" w:ascii="仿宋_GB2312" w:hAnsi="仿宋" w:eastAsia="仿宋_GB2312"/>
          <w:b/>
          <w:color w:val="000000"/>
        </w:rPr>
        <w:t>▲</w:t>
      </w:r>
      <w:r>
        <w:rPr>
          <w:rFonts w:ascii="仿宋_GB2312" w:hAnsi="仿宋" w:eastAsia="仿宋_GB2312" w:cs="仿宋_GB2312"/>
          <w:color w:val="000000"/>
          <w:sz w:val="24"/>
        </w:rPr>
        <w:t xml:space="preserve">11.1.2落实政府采购政策需满足的资格要求: </w:t>
      </w:r>
      <w:r>
        <w:rPr>
          <w:rFonts w:hint="eastAsia" w:ascii="仿宋_GB2312" w:hAnsi="仿宋" w:eastAsia="仿宋_GB2312" w:cs="仿宋_GB2312"/>
          <w:b/>
          <w:bCs/>
          <w:color w:val="000000"/>
          <w:sz w:val="24"/>
        </w:rPr>
        <w:t>本项目为专门面向中小企业采购的项目</w:t>
      </w:r>
      <w:r>
        <w:rPr>
          <w:rFonts w:ascii="仿宋_GB2312" w:hAnsi="仿宋" w:eastAsia="仿宋_GB2312" w:cs="仿宋_GB2312"/>
          <w:b/>
          <w:bCs/>
          <w:color w:val="000000"/>
          <w:sz w:val="24"/>
        </w:rPr>
        <w:t xml:space="preserve">,投标单位应为中小企业或监狱企业和残疾人福利性单位，出具《中小企业声明函》，否则作无效投标。                 </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11.1.3本项目的特定资格要求:无。</w:t>
      </w:r>
    </w:p>
    <w:p>
      <w:pPr>
        <w:snapToGrid w:val="0"/>
        <w:spacing w:line="360" w:lineRule="auto"/>
        <w:ind w:left="105" w:leftChars="50" w:firstLine="482" w:firstLineChars="200"/>
        <w:rPr>
          <w:rFonts w:ascii="仿宋_GB2312" w:hAnsi="仿宋_GB2312" w:eastAsia="仿宋_GB2312" w:cs="仿宋_GB2312"/>
          <w:sz w:val="24"/>
        </w:rPr>
      </w:pPr>
      <w:r>
        <w:rPr>
          <w:rFonts w:hint="eastAsia" w:ascii="仿宋_GB2312" w:hAnsi="仿宋_GB2312" w:eastAsia="仿宋_GB2312" w:cs="仿宋_GB2312"/>
          <w:b/>
          <w:bCs/>
          <w:color w:val="000000"/>
          <w:sz w:val="24"/>
        </w:rPr>
        <w:t>注：上述资格条件审查材料有一项不提供的，视为资格审查不通过。上述内容部分格式及内容详见“</w:t>
      </w:r>
      <w:r>
        <w:rPr>
          <w:rFonts w:hint="eastAsia" w:ascii="仿宋_GB2312" w:hAnsi="仿宋_GB2312" w:eastAsia="仿宋_GB2312" w:cs="仿宋_GB2312"/>
          <w:sz w:val="24"/>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11.2.1投标函</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r>
        <w:rPr>
          <w:rFonts w:ascii="仿宋_GB2312" w:hAnsi="仿宋" w:eastAsia="仿宋_GB2312" w:cs="仿宋_GB2312"/>
          <w:b/>
          <w:sz w:val="24"/>
        </w:rPr>
        <w:t>；</w:t>
      </w:r>
      <w:r>
        <w:rPr>
          <w:rFonts w:ascii="仿宋_GB2312" w:hAnsi="仿宋" w:eastAsia="仿宋_GB2312" w:cs="仿宋_GB2312"/>
          <w:b/>
          <w:sz w:val="24"/>
          <w:lang w:val="zh-CN"/>
        </w:rPr>
        <w:t xml:space="preserve"> </w:t>
      </w:r>
    </w:p>
    <w:p>
      <w:pPr>
        <w:snapToGrid w:val="0"/>
        <w:spacing w:line="360" w:lineRule="auto"/>
        <w:ind w:firstLine="632" w:firstLineChars="300"/>
        <w:rPr>
          <w:rFonts w:ascii="仿宋_GB2312" w:hAnsi="仿宋" w:eastAsia="仿宋_GB2312" w:cs="仿宋_GB2312"/>
          <w:b/>
          <w:sz w:val="24"/>
        </w:rPr>
      </w:pPr>
      <w:r>
        <w:rPr>
          <w:rFonts w:hint="eastAsia" w:ascii="仿宋_GB2312" w:hAnsi="仿宋" w:eastAsia="仿宋_GB2312"/>
          <w:b/>
        </w:rPr>
        <w:t>▲</w:t>
      </w:r>
      <w:r>
        <w:rPr>
          <w:rFonts w:ascii="仿宋_GB2312" w:hAnsi="仿宋" w:eastAsia="仿宋_GB2312" w:cs="仿宋_GB2312"/>
          <w:b/>
          <w:sz w:val="24"/>
        </w:rPr>
        <w:t>11.2.2授权委托书或法定代表人（单位负责人、自然人本人）身份证明；</w:t>
      </w:r>
      <w:r>
        <w:rPr>
          <w:rFonts w:hint="eastAsia" w:ascii="仿宋_GB2312" w:hAnsi="仿宋" w:eastAsia="仿宋_GB2312" w:cs="仿宋_GB2312"/>
          <w:b/>
          <w:sz w:val="24"/>
        </w:rPr>
        <w:t>（格式内容见“</w:t>
      </w:r>
      <w:r>
        <w:rPr>
          <w:rFonts w:hint="eastAsia" w:ascii="仿宋_GB2312" w:hAnsi="仿宋_GB2312" w:eastAsia="仿宋_GB2312" w:cs="仿宋_GB2312"/>
          <w:b/>
          <w:sz w:val="24"/>
        </w:rPr>
        <w:t>第六部分  应提交的有关格式范例”</w:t>
      </w:r>
      <w:r>
        <w:rPr>
          <w:rFonts w:hint="eastAsia" w:ascii="仿宋_GB2312" w:hAnsi="仿宋" w:eastAsia="仿宋_GB2312" w:cs="仿宋_GB2312"/>
          <w:b/>
          <w:sz w:val="24"/>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723" w:firstLineChars="300"/>
        <w:rPr>
          <w:rFonts w:ascii="仿宋_GB2312" w:hAnsi="仿宋" w:eastAsia="仿宋_GB2312" w:cs="仿宋_GB2312"/>
          <w:b/>
          <w:sz w:val="24"/>
        </w:rPr>
      </w:pPr>
      <w:r>
        <w:rPr>
          <w:rFonts w:ascii="仿宋_GB2312" w:hAnsi="仿宋" w:eastAsia="仿宋_GB2312" w:cs="仿宋_GB2312"/>
          <w:b/>
          <w:sz w:val="24"/>
        </w:rPr>
        <w:t>11.2.</w:t>
      </w:r>
      <w:r>
        <w:rPr>
          <w:rFonts w:hint="eastAsia" w:ascii="仿宋_GB2312" w:hAnsi="仿宋" w:eastAsia="仿宋_GB2312" w:cs="仿宋_GB2312"/>
          <w:b/>
          <w:sz w:val="24"/>
        </w:rPr>
        <w:t>5</w:t>
      </w:r>
      <w:r>
        <w:rPr>
          <w:rFonts w:ascii="仿宋_GB2312" w:hAnsi="仿宋" w:eastAsia="仿宋_GB2312" w:cs="仿宋_GB2312"/>
          <w:b/>
          <w:sz w:val="24"/>
        </w:rPr>
        <w:t>商务技术偏离表；</w:t>
      </w:r>
    </w:p>
    <w:p>
      <w:pPr>
        <w:snapToGrid w:val="0"/>
        <w:spacing w:line="360" w:lineRule="auto"/>
        <w:ind w:firstLine="723" w:firstLineChars="300"/>
        <w:rPr>
          <w:rFonts w:ascii="仿宋_GB2312" w:hAnsi="仿宋" w:eastAsia="仿宋_GB2312" w:cs="仿宋_GB2312"/>
          <w:sz w:val="24"/>
          <w:lang w:val="zh-CN"/>
        </w:rPr>
      </w:pPr>
      <w:r>
        <w:rPr>
          <w:rFonts w:ascii="仿宋_GB2312" w:hAnsi="仿宋" w:eastAsia="仿宋_GB2312" w:cs="仿宋_GB2312"/>
          <w:b/>
          <w:sz w:val="24"/>
          <w:lang w:val="zh-CN"/>
        </w:rPr>
        <w:t>11.</w:t>
      </w:r>
      <w:r>
        <w:rPr>
          <w:rFonts w:ascii="仿宋_GB2312" w:hAnsi="仿宋" w:eastAsia="仿宋_GB2312" w:cs="仿宋_GB2312"/>
          <w:b/>
          <w:sz w:val="24"/>
        </w:rPr>
        <w:t>2</w:t>
      </w:r>
      <w:r>
        <w:rPr>
          <w:rFonts w:ascii="仿宋_GB2312" w:hAnsi="仿宋" w:eastAsia="仿宋_GB2312" w:cs="仿宋_GB2312"/>
          <w:b/>
          <w:sz w:val="24"/>
          <w:lang w:val="zh-CN"/>
        </w:rPr>
        <w:t>.</w:t>
      </w:r>
      <w:r>
        <w:rPr>
          <w:rFonts w:hint="eastAsia" w:ascii="仿宋_GB2312" w:hAnsi="仿宋" w:eastAsia="仿宋_GB2312" w:cs="仿宋_GB2312"/>
          <w:b/>
          <w:sz w:val="24"/>
        </w:rPr>
        <w:t>6</w:t>
      </w:r>
      <w:r>
        <w:rPr>
          <w:rFonts w:hint="eastAsia" w:ascii="仿宋_GB2312" w:hAnsi="仿宋" w:eastAsia="仿宋_GB2312" w:cs="仿宋_GB2312"/>
          <w:b/>
          <w:sz w:val="24"/>
          <w:lang w:val="zh-CN"/>
        </w:rPr>
        <w:t>政府采购供应商廉洁自律承诺书；</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8投标人认为需要提供的与本项目有关的其他文件和说明</w:t>
      </w:r>
      <w:r>
        <w:rPr>
          <w:rFonts w:hint="eastAsia" w:ascii="仿宋_GB2312" w:hAnsi="仿宋" w:eastAsia="仿宋_GB2312" w:cs="仿宋_GB2312"/>
          <w:sz w:val="24"/>
          <w:lang w:val="zh-CN"/>
        </w:rPr>
        <w:t>。</w:t>
      </w:r>
    </w:p>
    <w:p>
      <w:pPr>
        <w:pStyle w:val="65"/>
        <w:ind w:left="0" w:leftChars="0" w:firstLine="0" w:firstLineChars="0"/>
      </w:pPr>
      <w:r>
        <w:rPr>
          <w:rFonts w:hint="eastAsia"/>
        </w:rPr>
        <w:t xml:space="preserve">     注：本项目无须提供联合协议和分包意向协议。</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kern w:val="0"/>
          <w:sz w:val="24"/>
        </w:rPr>
        <w:t xml:space="preserve">  </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22" w:firstLineChars="200"/>
        <w:rPr>
          <w:rFonts w:ascii="仿宋_GB2312" w:hAnsi="仿宋" w:eastAsia="仿宋_GB2312" w:cs="仿宋_GB2312"/>
          <w:sz w:val="24"/>
        </w:rPr>
      </w:pPr>
      <w:r>
        <w:rPr>
          <w:rFonts w:hint="eastAsia" w:ascii="仿宋_GB2312" w:hAnsi="仿宋" w:eastAsia="仿宋_GB2312"/>
          <w:b/>
        </w:rPr>
        <w:t>▲</w:t>
      </w:r>
      <w:r>
        <w:rPr>
          <w:rFonts w:ascii="仿宋_GB2312" w:hAnsi="仿宋" w:eastAsia="仿宋_GB2312" w:cs="仿宋_GB2312"/>
          <w:sz w:val="24"/>
        </w:rPr>
        <w:t>11.3.1</w:t>
      </w:r>
      <w:r>
        <w:rPr>
          <w:rFonts w:ascii="仿宋_GB2312" w:hAnsi="仿宋" w:eastAsia="仿宋_GB2312" w:cs="仿宋_GB2312"/>
          <w:b/>
          <w:bCs/>
          <w:sz w:val="24"/>
        </w:rPr>
        <w:t>开标一览表（报价表）；</w:t>
      </w:r>
      <w:r>
        <w:rPr>
          <w:rFonts w:hint="eastAsia" w:ascii="仿宋_GB2312" w:hAnsi="仿宋" w:eastAsia="仿宋_GB2312" w:cs="仿宋_GB2312"/>
          <w:sz w:val="24"/>
        </w:rPr>
        <w:t>（格式内容见“</w:t>
      </w:r>
      <w:r>
        <w:rPr>
          <w:rFonts w:hint="eastAsia" w:ascii="仿宋_GB2312" w:hAnsi="仿宋_GB2312" w:eastAsia="仿宋_GB2312" w:cs="仿宋_GB2312"/>
          <w:sz w:val="24"/>
        </w:rPr>
        <w:t>第六部分  应提交的有关格式范例”</w:t>
      </w:r>
      <w:r>
        <w:rPr>
          <w:rFonts w:hint="eastAsia"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注：投标文件含有采购人不能接受的附加条件的，投标无效；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numPr>
          <w:ilvl w:val="0"/>
          <w:numId w:val="2"/>
        </w:numPr>
        <w:snapToGrid w:val="0"/>
        <w:spacing w:line="360" w:lineRule="auto"/>
        <w:rPr>
          <w:rFonts w:ascii="仿宋_GB2312" w:hAnsi="仿宋" w:eastAsia="仿宋_GB2312"/>
          <w:b/>
          <w:sz w:val="24"/>
        </w:rPr>
      </w:pPr>
      <w:r>
        <w:rPr>
          <w:rFonts w:ascii="仿宋_GB2312" w:hAnsi="仿宋" w:eastAsia="仿宋_GB2312"/>
          <w:b/>
          <w:sz w:val="24"/>
        </w:rPr>
        <w:t>投标文件的签署、盖章</w:t>
      </w:r>
    </w:p>
    <w:p>
      <w:pPr>
        <w:pStyle w:val="9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w:t>
      </w:r>
      <w:r>
        <w:rPr>
          <w:rFonts w:ascii="仿宋_GB2312" w:hAnsi="仿宋" w:eastAsia="仿宋_GB2312" w:cs="仿宋_GB2312"/>
          <w:b/>
          <w:szCs w:val="24"/>
        </w:rPr>
        <w:t xml:space="preserve">. </w:t>
      </w:r>
      <w:r>
        <w:rPr>
          <w:rFonts w:ascii="仿宋_GB2312" w:hAnsi="仿宋" w:eastAsia="仿宋_GB2312" w:cs="仿宋_GB2312"/>
          <w:b/>
          <w:sz w:val="24"/>
          <w:szCs w:val="24"/>
        </w:rPr>
        <w:t>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91"/>
        <w:numPr>
          <w:ilvl w:val="0"/>
          <w:numId w:val="3"/>
        </w:numPr>
        <w:spacing w:before="0"/>
        <w:ind w:firstLine="0" w:firstLineChars="0"/>
        <w:rPr>
          <w:rFonts w:ascii="仿宋_GB2312" w:hAnsi="仿宋" w:eastAsia="仿宋_GB2312" w:cs="仿宋_GB2312"/>
          <w:b/>
          <w:szCs w:val="24"/>
        </w:rPr>
      </w:pP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w:t>
      </w:r>
      <w:r>
        <w:rPr>
          <w:rFonts w:hint="eastAsia" w:ascii="仿宋_GB2312" w:hAnsi="仿宋" w:eastAsia="仿宋_GB2312" w:cs="仿宋_GB2312"/>
          <w:b/>
          <w:sz w:val="24"/>
          <w:szCs w:val="24"/>
        </w:rPr>
        <w:t xml:space="preserve"> </w:t>
      </w:r>
      <w:r>
        <w:rPr>
          <w:rFonts w:ascii="仿宋_GB2312" w:hAnsi="仿宋" w:eastAsia="仿宋_GB2312" w:cs="仿宋_GB2312"/>
          <w:b/>
          <w:sz w:val="24"/>
          <w:szCs w:val="24"/>
        </w:rPr>
        <w:t>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rPr>
        <w:t xml:space="preserve">. </w:t>
      </w:r>
      <w:r>
        <w:rPr>
          <w:rFonts w:ascii="仿宋_GB2312" w:hAnsi="仿宋" w:eastAsia="仿宋_GB2312" w:cs="仿宋_GB2312"/>
          <w:b/>
          <w:sz w:val="24"/>
          <w:szCs w:val="20"/>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 xml:space="preserve">. </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8"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2"/>
        <w:ind w:firstLine="480" w:firstLineChars="200"/>
        <w:rPr>
          <w:lang w:val="en-US"/>
        </w:rPr>
      </w:pPr>
      <w:r>
        <w:rPr>
          <w:rFonts w:hint="eastAsia"/>
          <w:snapToGrid w:val="0"/>
          <w:kern w:val="28"/>
          <w:sz w:val="24"/>
        </w:rPr>
        <w:t>供应商</w:t>
      </w:r>
      <w:r>
        <w:rPr>
          <w:rFonts w:hint="eastAsia"/>
          <w:snapToGrid w:val="0"/>
          <w:kern w:val="28"/>
          <w:sz w:val="24"/>
          <w:lang w:val="en-US"/>
        </w:rPr>
        <w:t>可</w:t>
      </w:r>
      <w:r>
        <w:rPr>
          <w:rFonts w:hint="eastAsia"/>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numPr>
          <w:ilvl w:val="0"/>
          <w:numId w:val="4"/>
        </w:numPr>
        <w:snapToGrid w:val="0"/>
        <w:spacing w:before="0"/>
        <w:ind w:firstLine="480"/>
        <w:rPr>
          <w:rFonts w:ascii="仿宋_GB2312" w:hAnsi="仿宋" w:eastAsia="仿宋_GB2312" w:cs="仿宋_GB2312"/>
        </w:rPr>
      </w:pP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w:t>
      </w:r>
      <w:r>
        <w:rPr>
          <w:rFonts w:hint="eastAsia" w:ascii="仿宋_GB2312" w:hAnsi="仿宋" w:eastAsia="仿宋_GB2312" w:cs="仿宋_GB2312"/>
          <w:b/>
        </w:rPr>
        <w:t xml:space="preserve"> </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8"/>
    <w:p>
      <w:pPr>
        <w:tabs>
          <w:tab w:val="left" w:pos="0"/>
        </w:tabs>
        <w:spacing w:line="360" w:lineRule="auto"/>
        <w:ind w:firstLine="480"/>
        <w:rPr>
          <w:rFonts w:ascii="仿宋_GB2312" w:hAnsi="仿宋" w:eastAsia="仿宋_GB2312" w:cs="Helvetica"/>
          <w:kern w:val="0"/>
          <w:sz w:val="24"/>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19" w:name="_Hlt75236290"/>
      <w:bookmarkEnd w:id="19"/>
      <w:bookmarkStart w:id="20" w:name="_Hlt75236101"/>
      <w:bookmarkEnd w:id="20"/>
      <w:bookmarkStart w:id="21" w:name="_Hlt68403820"/>
      <w:bookmarkEnd w:id="21"/>
      <w:bookmarkStart w:id="22" w:name="_Hlt74707468"/>
      <w:bookmarkEnd w:id="22"/>
      <w:bookmarkStart w:id="23" w:name="_Hlt68057669"/>
      <w:bookmarkEnd w:id="23"/>
      <w:bookmarkStart w:id="24" w:name="_Hlt75236011"/>
      <w:bookmarkEnd w:id="24"/>
      <w:bookmarkStart w:id="25" w:name="_Hlt74714665"/>
      <w:bookmarkEnd w:id="25"/>
      <w:bookmarkStart w:id="26" w:name="_Hlt74729768"/>
      <w:bookmarkEnd w:id="26"/>
      <w:bookmarkStart w:id="27" w:name="_Hlt68072998"/>
      <w:bookmarkEnd w:id="27"/>
      <w:bookmarkStart w:id="28" w:name="_Hlt74730295"/>
      <w:bookmarkEnd w:id="28"/>
      <w:bookmarkStart w:id="29" w:name="_Hlt68072990"/>
      <w:bookmarkEnd w:id="29"/>
      <w:bookmarkStart w:id="30" w:name="_Hlt68073093"/>
      <w:bookmarkEnd w:id="30"/>
    </w:p>
    <w:bookmarkEnd w:id="16"/>
    <w:bookmarkEnd w:id="17"/>
    <w:p>
      <w:pPr>
        <w:spacing w:line="360" w:lineRule="auto"/>
        <w:jc w:val="center"/>
        <w:outlineLvl w:val="0"/>
        <w:rPr>
          <w:rFonts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pStyle w:val="3"/>
        <w:spacing w:before="0" w:after="0" w:line="360" w:lineRule="auto"/>
        <w:ind w:left="0" w:firstLine="0"/>
        <w:rPr>
          <w:rFonts w:ascii="仿宋" w:hAnsi="仿宋" w:eastAsia="仿宋" w:cs="仿宋"/>
          <w:sz w:val="24"/>
          <w:szCs w:val="24"/>
        </w:rPr>
      </w:pPr>
    </w:p>
    <w:p>
      <w:pPr>
        <w:pStyle w:val="3"/>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一、项目概况</w:t>
      </w:r>
    </w:p>
    <w:p>
      <w:pPr>
        <w:spacing w:line="360" w:lineRule="auto"/>
        <w:ind w:firstLine="480" w:firstLineChars="200"/>
        <w:rPr>
          <w:rFonts w:ascii="仿宋" w:hAnsi="仿宋" w:eastAsia="仿宋" w:cs="仿宋"/>
          <w:sz w:val="24"/>
        </w:rPr>
      </w:pPr>
      <w:r>
        <w:rPr>
          <w:rFonts w:hint="eastAsia" w:ascii="仿宋" w:hAnsi="仿宋" w:eastAsia="仿宋" w:cs="仿宋"/>
          <w:bCs/>
          <w:sz w:val="24"/>
        </w:rPr>
        <w:t>数字经济时代不断衍生出新模式新业态，消费内容和场景随之快速变化。近几年来，尤其受疫情影响以来，消费行为加速转向线上，与此同时，网络交易及其引起的消费投诉举报事件呈几何级增加，余杭作为天猫、淘宝等多家网络交易平台的属地监管单位，承担大量的网络消费投诉举报处理、协查、移送工作。2020年度</w:t>
      </w:r>
      <w:r>
        <w:rPr>
          <w:rFonts w:hint="eastAsia" w:ascii="仿宋" w:hAnsi="仿宋" w:eastAsia="仿宋" w:cs="仿宋"/>
          <w:color w:val="000000"/>
          <w:sz w:val="24"/>
        </w:rPr>
        <w:t>余杭区市场监督管理局</w:t>
      </w:r>
      <w:r>
        <w:rPr>
          <w:rFonts w:hint="eastAsia" w:ascii="仿宋" w:hAnsi="仿宋" w:eastAsia="仿宋" w:cs="仿宋"/>
          <w:bCs/>
          <w:sz w:val="24"/>
        </w:rPr>
        <w:t>共登记受理各类来信、来电、来访和网上信访网络消费投诉举报共计</w:t>
      </w:r>
      <w:r>
        <w:rPr>
          <w:rFonts w:hint="eastAsia" w:ascii="仿宋" w:hAnsi="仿宋" w:eastAsia="仿宋" w:cs="仿宋"/>
          <w:color w:val="000000"/>
          <w:sz w:val="24"/>
        </w:rPr>
        <w:t>31.2万件，</w:t>
      </w:r>
      <w:r>
        <w:rPr>
          <w:rFonts w:hint="eastAsia" w:ascii="仿宋" w:hAnsi="仿宋" w:eastAsia="仿宋" w:cs="仿宋"/>
          <w:bCs/>
          <w:sz w:val="24"/>
        </w:rPr>
        <w:t>2021年度已超44.3万件，比2020年度总量增长42%以上，预计2022年度将超50万件。</w:t>
      </w:r>
      <w:r>
        <w:rPr>
          <w:rFonts w:hint="eastAsia" w:ascii="仿宋" w:hAnsi="仿宋" w:eastAsia="仿宋" w:cs="仿宋"/>
          <w:color w:val="000000"/>
          <w:sz w:val="24"/>
        </w:rPr>
        <w:t>余杭区市场监督管理局对以上工作辅助处理部分进行服务外包，要求提供涉及网络投诉举报相关工作辅助处理服务，保障网络投诉举报及有关案件妥善处理。</w:t>
      </w:r>
    </w:p>
    <w:p>
      <w:pPr>
        <w:pStyle w:val="3"/>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 xml:space="preserve">二、服务外包内容   </w:t>
      </w:r>
    </w:p>
    <w:p>
      <w:pPr>
        <w:widowControl/>
        <w:spacing w:line="360" w:lineRule="auto"/>
        <w:ind w:right="240" w:firstLine="482"/>
        <w:rPr>
          <w:rFonts w:ascii="仿宋" w:hAnsi="仿宋" w:eastAsia="仿宋" w:cs="仿宋"/>
          <w:sz w:val="24"/>
        </w:rPr>
      </w:pPr>
      <w:r>
        <w:rPr>
          <w:rFonts w:hint="eastAsia" w:ascii="仿宋" w:hAnsi="仿宋" w:eastAsia="仿宋" w:cs="仿宋"/>
          <w:b/>
          <w:bCs/>
          <w:color w:val="000000"/>
          <w:sz w:val="24"/>
        </w:rPr>
        <w:t>1、投诉举报件记录、分流、处理及后续的整理、分析工作（主要是网络投诉举报件辅助处理）</w:t>
      </w:r>
      <w:r>
        <w:rPr>
          <w:rFonts w:hint="eastAsia" w:ascii="仿宋" w:hAnsi="仿宋" w:eastAsia="仿宋" w:cs="仿宋"/>
          <w:color w:val="000000"/>
          <w:sz w:val="24"/>
        </w:rPr>
        <w:t>。具体包括电话、网络、信件等途径收到的待处理信息登记、系统录入、协查、辅助办案处理、调解、分流交办、移送、寄递、反馈、告知，和后续信息公开、效能投诉、行政复议、行政诉讼、行政反馈等过程中收集整理、反馈、报告等工作，以及对上述各项工作数据和内容的分析。</w:t>
      </w:r>
    </w:p>
    <w:p>
      <w:pPr>
        <w:widowControl/>
        <w:spacing w:line="360" w:lineRule="auto"/>
        <w:ind w:right="240" w:firstLine="482"/>
        <w:rPr>
          <w:rFonts w:ascii="仿宋" w:hAnsi="仿宋" w:eastAsia="仿宋" w:cs="仿宋"/>
          <w:b/>
          <w:bCs/>
          <w:color w:val="000000"/>
          <w:sz w:val="24"/>
        </w:rPr>
      </w:pPr>
      <w:r>
        <w:rPr>
          <w:rFonts w:hint="eastAsia" w:ascii="仿宋" w:hAnsi="仿宋" w:eastAsia="仿宋" w:cs="仿宋"/>
          <w:b/>
          <w:bCs/>
          <w:color w:val="000000"/>
          <w:sz w:val="24"/>
        </w:rPr>
        <w:t>2、其他相关性辅助处理工作。</w:t>
      </w:r>
    </w:p>
    <w:tbl>
      <w:tblPr>
        <w:tblStyle w:val="66"/>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2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25"/>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1920" w:type="dxa"/>
            <w:vAlign w:val="center"/>
          </w:tcPr>
          <w:p>
            <w:pPr>
              <w:pStyle w:val="25"/>
              <w:spacing w:line="360" w:lineRule="auto"/>
              <w:ind w:firstLine="0" w:firstLineChars="0"/>
              <w:jc w:val="center"/>
              <w:rPr>
                <w:rFonts w:ascii="仿宋" w:hAnsi="仿宋" w:eastAsia="仿宋" w:cs="仿宋"/>
                <w:b/>
                <w:bCs/>
              </w:rPr>
            </w:pPr>
            <w:r>
              <w:rPr>
                <w:rFonts w:hint="eastAsia" w:ascii="仿宋" w:hAnsi="仿宋" w:eastAsia="仿宋" w:cs="仿宋"/>
                <w:b/>
                <w:bCs/>
              </w:rPr>
              <w:t>辅助工作类型</w:t>
            </w:r>
          </w:p>
        </w:tc>
        <w:tc>
          <w:tcPr>
            <w:tcW w:w="6300" w:type="dxa"/>
            <w:vAlign w:val="center"/>
          </w:tcPr>
          <w:p>
            <w:pPr>
              <w:pStyle w:val="25"/>
              <w:spacing w:line="360" w:lineRule="auto"/>
              <w:ind w:firstLine="0" w:firstLineChars="0"/>
              <w:jc w:val="center"/>
              <w:rPr>
                <w:rFonts w:ascii="仿宋" w:hAnsi="仿宋" w:eastAsia="仿宋" w:cs="仿宋"/>
                <w:b/>
                <w:bCs/>
              </w:rPr>
            </w:pPr>
            <w:r>
              <w:rPr>
                <w:rFonts w:hint="eastAsia" w:ascii="仿宋" w:hAnsi="仿宋" w:eastAsia="仿宋" w:cs="仿宋"/>
                <w:b/>
                <w:bCs/>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投诉件调解</w:t>
            </w:r>
          </w:p>
        </w:tc>
        <w:tc>
          <w:tcPr>
            <w:tcW w:w="6300" w:type="dxa"/>
            <w:vAlign w:val="top"/>
          </w:tcPr>
          <w:p>
            <w:pPr>
              <w:pStyle w:val="25"/>
              <w:spacing w:line="360" w:lineRule="auto"/>
              <w:ind w:firstLine="0" w:firstLineChars="0"/>
              <w:rPr>
                <w:rFonts w:ascii="仿宋" w:hAnsi="仿宋" w:eastAsia="仿宋" w:cs="仿宋"/>
              </w:rPr>
            </w:pPr>
            <w:r>
              <w:rPr>
                <w:rFonts w:hint="eastAsia" w:ascii="仿宋" w:hAnsi="仿宋" w:eastAsia="仿宋" w:cs="仿宋"/>
                <w:i w:val="0"/>
                <w:caps w:val="0"/>
                <w:color w:val="auto"/>
                <w:spacing w:val="0"/>
                <w:kern w:val="2"/>
                <w:sz w:val="24"/>
                <w:szCs w:val="24"/>
                <w:lang w:val="en-US" w:eastAsia="zh-CN" w:bidi="ar-SA"/>
              </w:rPr>
              <w:t>资料查询、还原消费纠纷、责任判断、电话调解辅助、普法宣传等。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2</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举报件处置</w:t>
            </w:r>
          </w:p>
        </w:tc>
        <w:tc>
          <w:tcPr>
            <w:tcW w:w="6300" w:type="dxa"/>
            <w:vAlign w:val="top"/>
          </w:tcPr>
          <w:p>
            <w:pPr>
              <w:pStyle w:val="25"/>
              <w:spacing w:line="360" w:lineRule="auto"/>
              <w:ind w:firstLine="0" w:firstLineChars="0"/>
              <w:rPr>
                <w:rFonts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查阅资料、联系举报人被举报人辅助、移送辅助、协查辅助、不予立案判定辅助。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920" w:type="dxa"/>
            <w:vAlign w:val="center"/>
          </w:tcPr>
          <w:p>
            <w:pPr>
              <w:pStyle w:val="25"/>
              <w:spacing w:line="360" w:lineRule="auto"/>
              <w:ind w:firstLine="0" w:firstLineChars="0"/>
              <w:jc w:val="both"/>
              <w:rPr>
                <w:rFonts w:hint="eastAsia" w:ascii="仿宋" w:hAnsi="仿宋" w:eastAsia="仿宋" w:cs="仿宋"/>
                <w:lang w:eastAsia="zh-CN"/>
              </w:rPr>
            </w:pPr>
            <w:r>
              <w:rPr>
                <w:rFonts w:hint="eastAsia" w:ascii="仿宋" w:hAnsi="仿宋" w:eastAsia="仿宋" w:cs="仿宋"/>
              </w:rPr>
              <w:t>书信举报件处置</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查阅资料、联系举报人被举报人辅助、移送辅助、协查辅助、立案不予立案判定辅助、告知辅助。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920" w:type="dxa"/>
            <w:vAlign w:val="center"/>
          </w:tcPr>
          <w:p>
            <w:pPr>
              <w:pStyle w:val="25"/>
              <w:spacing w:line="360" w:lineRule="auto"/>
              <w:ind w:firstLine="0" w:firstLineChars="0"/>
              <w:jc w:val="both"/>
              <w:rPr>
                <w:rFonts w:hint="eastAsia" w:ascii="仿宋" w:hAnsi="仿宋" w:eastAsia="仿宋" w:cs="仿宋"/>
                <w:lang w:eastAsia="zh-CN"/>
              </w:rPr>
            </w:pPr>
            <w:r>
              <w:rPr>
                <w:rFonts w:hint="eastAsia" w:ascii="仿宋" w:hAnsi="仿宋" w:eastAsia="仿宋" w:cs="仿宋"/>
              </w:rPr>
              <w:t>其他重要件处置</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上级交办件、舆情件等查阅资料、联系举报人被举报人辅助、移送辅助、协查辅助、立案不予立案判定辅助。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5</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监管宝立案调查</w:t>
            </w:r>
          </w:p>
        </w:tc>
        <w:tc>
          <w:tcPr>
            <w:tcW w:w="6300" w:type="dxa"/>
            <w:vAlign w:val="top"/>
          </w:tcPr>
          <w:p>
            <w:pPr>
              <w:pStyle w:val="25"/>
              <w:spacing w:line="360" w:lineRule="auto"/>
              <w:ind w:firstLine="0" w:firstLineChars="0"/>
              <w:rPr>
                <w:rFonts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查阅资料、联系举报人被举报人辅助、立案辅助、调查取证辅助、行政处罚不予行政处罚销案辅助。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6</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监管宝不予立案</w:t>
            </w:r>
          </w:p>
        </w:tc>
        <w:tc>
          <w:tcPr>
            <w:tcW w:w="6300" w:type="dxa"/>
            <w:vAlign w:val="top"/>
          </w:tcPr>
          <w:p>
            <w:pPr>
              <w:pStyle w:val="25"/>
              <w:spacing w:line="360" w:lineRule="auto"/>
              <w:ind w:firstLine="0" w:firstLineChars="0"/>
              <w:rPr>
                <w:rFonts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查阅资料、联系举报人被举报人辅助、不予立案辅助。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7</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商家地址责改</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责改辅助、信息反馈辅助。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8</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外地案件移送</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查阅资料、协查辅助、移送辅助、办案辅助、反馈辅助。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9</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外地协查调查</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查阅资料、协查辅助、反馈辅助。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商品处置</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商品处置辅助。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p>
        </w:tc>
        <w:tc>
          <w:tcPr>
            <w:tcW w:w="1920" w:type="dxa"/>
            <w:vAlign w:val="center"/>
          </w:tcPr>
          <w:p>
            <w:pPr>
              <w:pStyle w:val="25"/>
              <w:spacing w:line="360" w:lineRule="auto"/>
              <w:ind w:firstLine="0" w:firstLineChars="0"/>
              <w:jc w:val="both"/>
              <w:rPr>
                <w:rFonts w:ascii="仿宋" w:hAnsi="仿宋" w:eastAsia="仿宋" w:cs="仿宋"/>
              </w:rPr>
            </w:pPr>
            <w:r>
              <w:rPr>
                <w:rFonts w:hint="eastAsia" w:ascii="仿宋" w:hAnsi="仿宋" w:eastAsia="仿宋" w:cs="仿宋"/>
              </w:rPr>
              <w:t>其他系统处置</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rPr>
              <w:t>五级分发系统、广告监测系统</w:t>
            </w:r>
            <w:r>
              <w:rPr>
                <w:rFonts w:hint="eastAsia" w:ascii="仿宋" w:hAnsi="仿宋" w:eastAsia="仿宋" w:cs="仿宋"/>
                <w:lang w:eastAsia="zh-CN"/>
              </w:rPr>
              <w:t>等上级系统件</w:t>
            </w:r>
            <w:r>
              <w:rPr>
                <w:rFonts w:hint="eastAsia" w:ascii="仿宋" w:hAnsi="仿宋" w:eastAsia="仿宋" w:cs="仿宋"/>
                <w:i w:val="0"/>
                <w:caps w:val="0"/>
                <w:color w:val="auto"/>
                <w:spacing w:val="0"/>
                <w:kern w:val="2"/>
                <w:sz w:val="24"/>
                <w:szCs w:val="24"/>
                <w:lang w:val="en-US" w:eastAsia="zh-CN" w:bidi="ar-SA"/>
              </w:rPr>
              <w:t>查阅资料、协查辅助、移送辅助、反馈辅助。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920" w:type="dxa"/>
            <w:vAlign w:val="center"/>
          </w:tcPr>
          <w:p>
            <w:pPr>
              <w:pStyle w:val="25"/>
              <w:spacing w:line="360" w:lineRule="auto"/>
              <w:ind w:firstLine="0" w:firstLineChars="0"/>
              <w:jc w:val="both"/>
              <w:rPr>
                <w:rFonts w:hint="eastAsia" w:ascii="仿宋" w:hAnsi="仿宋" w:eastAsia="仿宋" w:cs="仿宋"/>
              </w:rPr>
            </w:pPr>
            <w:r>
              <w:rPr>
                <w:rFonts w:hint="eastAsia" w:ascii="仿宋" w:hAnsi="仿宋" w:eastAsia="仿宋" w:cs="仿宋"/>
              </w:rPr>
              <w:t>复议、诉讼答复</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查询资料、收集证据材料辅助、复议诉讼答复辅助。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920" w:type="dxa"/>
            <w:vAlign w:val="center"/>
          </w:tcPr>
          <w:p>
            <w:pPr>
              <w:pStyle w:val="25"/>
              <w:spacing w:line="360" w:lineRule="auto"/>
              <w:ind w:firstLine="0" w:firstLineChars="0"/>
              <w:jc w:val="both"/>
              <w:rPr>
                <w:rFonts w:hint="eastAsia" w:ascii="仿宋" w:hAnsi="仿宋" w:eastAsia="仿宋" w:cs="仿宋"/>
              </w:rPr>
            </w:pPr>
            <w:r>
              <w:rPr>
                <w:rFonts w:hint="eastAsia" w:ascii="仿宋" w:hAnsi="仿宋" w:eastAsia="仿宋" w:cs="仿宋"/>
              </w:rPr>
              <w:t>复议、诉讼调解</w:t>
            </w:r>
          </w:p>
        </w:tc>
        <w:tc>
          <w:tcPr>
            <w:tcW w:w="6300" w:type="dxa"/>
            <w:vAlign w:val="top"/>
          </w:tcPr>
          <w:p>
            <w:pPr>
              <w:pStyle w:val="25"/>
              <w:spacing w:line="360" w:lineRule="auto"/>
              <w:ind w:firstLine="0" w:firstLineChars="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查询资料、收集证据材料辅助、调解辅助。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920" w:type="dxa"/>
            <w:vAlign w:val="center"/>
          </w:tcPr>
          <w:p>
            <w:pPr>
              <w:pStyle w:val="25"/>
              <w:spacing w:line="360" w:lineRule="auto"/>
              <w:ind w:firstLine="0" w:firstLineChars="0"/>
              <w:jc w:val="both"/>
              <w:rPr>
                <w:rFonts w:hint="eastAsia" w:ascii="仿宋" w:hAnsi="仿宋" w:eastAsia="仿宋" w:cs="仿宋"/>
              </w:rPr>
            </w:pPr>
            <w:r>
              <w:rPr>
                <w:rFonts w:hint="eastAsia" w:ascii="仿宋" w:hAnsi="仿宋" w:eastAsia="仿宋" w:cs="仿宋"/>
                <w:lang w:eastAsia="zh-CN"/>
              </w:rPr>
              <w:t>信息公开辅助</w:t>
            </w:r>
          </w:p>
        </w:tc>
        <w:tc>
          <w:tcPr>
            <w:tcW w:w="6300" w:type="dxa"/>
            <w:vAlign w:val="top"/>
          </w:tcPr>
          <w:p>
            <w:pPr>
              <w:pStyle w:val="25"/>
              <w:spacing w:line="480" w:lineRule="exact"/>
              <w:ind w:firstLine="480" w:firstLineChars="200"/>
              <w:rPr>
                <w:rFonts w:hint="eastAsia" w:ascii="仿宋" w:hAnsi="仿宋" w:eastAsia="仿宋" w:cs="仿宋"/>
              </w:rPr>
            </w:pPr>
            <w:r>
              <w:rPr>
                <w:rFonts w:hint="eastAsia" w:ascii="仿宋" w:hAnsi="仿宋" w:eastAsia="仿宋" w:cs="仿宋"/>
                <w:i w:val="0"/>
                <w:caps w:val="0"/>
                <w:color w:val="auto"/>
                <w:spacing w:val="0"/>
                <w:kern w:val="2"/>
                <w:sz w:val="24"/>
                <w:szCs w:val="24"/>
                <w:lang w:val="en-US" w:eastAsia="zh-CN" w:bidi="ar-SA"/>
              </w:rPr>
              <w:t>查询资料、反馈辅助、告知辅助。</w:t>
            </w:r>
          </w:p>
        </w:tc>
      </w:tr>
    </w:tbl>
    <w:p>
      <w:pPr>
        <w:widowControl/>
        <w:numPr>
          <w:ilvl w:val="0"/>
          <w:numId w:val="5"/>
        </w:numPr>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宣传辅助服务工作</w:t>
      </w:r>
    </w:p>
    <w:p>
      <w:pPr>
        <w:spacing w:line="360" w:lineRule="auto"/>
        <w:ind w:firstLine="480" w:firstLineChars="200"/>
        <w:rPr>
          <w:rFonts w:ascii="仿宋" w:hAnsi="仿宋" w:eastAsia="仿宋" w:cs="仿宋"/>
          <w:sz w:val="24"/>
        </w:rPr>
      </w:pPr>
      <w:r>
        <w:rPr>
          <w:rFonts w:hint="eastAsia" w:ascii="仿宋" w:hAnsi="仿宋" w:eastAsia="仿宋" w:cs="仿宋"/>
          <w:sz w:val="24"/>
        </w:rPr>
        <w:t>根据甲方（采购人）要求，配合做好内部材料汇总、相关信息材料撰写发布和宣传服务工作，与市级（含）以上主流融媒体机构对接并开展合作，加强对外宣传质量。</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三、服务外包具体要求</w:t>
      </w:r>
    </w:p>
    <w:p>
      <w:pPr>
        <w:pStyle w:val="629"/>
        <w:spacing w:line="360" w:lineRule="auto"/>
        <w:ind w:right="240" w:firstLine="482"/>
        <w:rPr>
          <w:rFonts w:ascii="仿宋" w:hAnsi="仿宋" w:eastAsia="仿宋" w:cs="仿宋"/>
          <w:b/>
          <w:bCs/>
          <w:sz w:val="24"/>
        </w:rPr>
      </w:pPr>
      <w:r>
        <w:rPr>
          <w:rFonts w:hint="eastAsia" w:ascii="仿宋" w:hAnsi="仿宋" w:eastAsia="仿宋" w:cs="仿宋"/>
          <w:b/>
          <w:bCs/>
          <w:sz w:val="24"/>
        </w:rPr>
        <w:t>（一）总要求</w:t>
      </w:r>
    </w:p>
    <w:p>
      <w:pPr>
        <w:pStyle w:val="629"/>
        <w:spacing w:line="360" w:lineRule="auto"/>
        <w:ind w:right="240" w:firstLine="480"/>
        <w:rPr>
          <w:rFonts w:ascii="仿宋" w:hAnsi="仿宋" w:eastAsia="仿宋" w:cs="仿宋"/>
          <w:sz w:val="24"/>
        </w:rPr>
      </w:pPr>
      <w:r>
        <w:rPr>
          <w:rFonts w:hint="eastAsia" w:ascii="仿宋" w:hAnsi="仿宋" w:eastAsia="仿宋" w:cs="仿宋"/>
          <w:sz w:val="24"/>
        </w:rPr>
        <w:t>各处理过程时限要求须符合规范，各处理过程及结果均须如实记录并归档，所有记录应可供方便查阅，需要告知有关部门、人员的，应通过适当途径告知，并记录告知情况，告知应在相应处理过程当天完成；部分需书面回复上级交办部门的交办件，需要按照上级部门的要求及时回复；余杭区市场监督管理局认为有关处理不当的，应在规定的不超过24小时内重新处理。</w:t>
      </w:r>
    </w:p>
    <w:p>
      <w:pPr>
        <w:pStyle w:val="629"/>
        <w:spacing w:line="360" w:lineRule="auto"/>
        <w:ind w:right="240" w:firstLine="482"/>
        <w:rPr>
          <w:rFonts w:ascii="仿宋" w:hAnsi="仿宋" w:eastAsia="仿宋" w:cs="仿宋"/>
          <w:b/>
          <w:bCs/>
          <w:sz w:val="24"/>
        </w:rPr>
      </w:pPr>
      <w:r>
        <w:rPr>
          <w:rFonts w:hint="eastAsia" w:ascii="仿宋" w:hAnsi="仿宋" w:eastAsia="仿宋" w:cs="仿宋"/>
          <w:b/>
          <w:bCs/>
          <w:sz w:val="24"/>
        </w:rPr>
        <w:t>（二）投诉辅助处理</w:t>
      </w:r>
    </w:p>
    <w:p>
      <w:pPr>
        <w:spacing w:line="360" w:lineRule="auto"/>
        <w:ind w:right="240" w:firstLine="480"/>
        <w:rPr>
          <w:rFonts w:ascii="仿宋" w:hAnsi="仿宋" w:eastAsia="仿宋" w:cs="仿宋"/>
          <w:sz w:val="24"/>
        </w:rPr>
      </w:pPr>
      <w:r>
        <w:rPr>
          <w:rFonts w:hint="eastAsia" w:ascii="仿宋" w:hAnsi="仿宋" w:eastAsia="仿宋" w:cs="仿宋"/>
          <w:sz w:val="24"/>
        </w:rPr>
        <w:t>1、认真耐心地开展上级交办、系统交办、来访接待、函件拆解扫描，记录各类来源信息并在系统中统一录入数据，并分流至相应处理部门或人员；</w:t>
      </w:r>
    </w:p>
    <w:p>
      <w:pPr>
        <w:spacing w:line="360" w:lineRule="auto"/>
        <w:ind w:right="240" w:firstLine="480"/>
        <w:rPr>
          <w:rFonts w:ascii="仿宋" w:hAnsi="仿宋" w:eastAsia="仿宋" w:cs="仿宋"/>
          <w:sz w:val="24"/>
        </w:rPr>
      </w:pPr>
      <w:r>
        <w:rPr>
          <w:rFonts w:hint="eastAsia" w:ascii="仿宋" w:hAnsi="仿宋" w:eastAsia="仿宋" w:cs="仿宋"/>
          <w:sz w:val="24"/>
        </w:rPr>
        <w:t>2、辅助开展投诉调解工作并记录、告知有关情况；</w:t>
      </w:r>
    </w:p>
    <w:p>
      <w:pPr>
        <w:spacing w:line="360" w:lineRule="auto"/>
        <w:ind w:right="240" w:firstLine="482"/>
        <w:rPr>
          <w:rFonts w:ascii="仿宋" w:hAnsi="仿宋" w:eastAsia="仿宋" w:cs="仿宋"/>
          <w:b/>
          <w:bCs/>
          <w:sz w:val="24"/>
        </w:rPr>
      </w:pPr>
      <w:r>
        <w:rPr>
          <w:rFonts w:hint="eastAsia" w:ascii="仿宋" w:hAnsi="仿宋" w:eastAsia="仿宋" w:cs="仿宋"/>
          <w:b/>
          <w:bCs/>
          <w:sz w:val="24"/>
        </w:rPr>
        <w:t>（三）举报辅助处理</w:t>
      </w:r>
    </w:p>
    <w:p>
      <w:pPr>
        <w:spacing w:line="360" w:lineRule="auto"/>
        <w:ind w:right="240" w:firstLine="480"/>
        <w:rPr>
          <w:rFonts w:ascii="仿宋" w:hAnsi="仿宋" w:eastAsia="仿宋" w:cs="仿宋"/>
          <w:sz w:val="24"/>
        </w:rPr>
      </w:pPr>
      <w:r>
        <w:rPr>
          <w:rFonts w:hint="eastAsia" w:ascii="仿宋" w:hAnsi="仿宋" w:eastAsia="仿宋" w:cs="仿宋"/>
          <w:sz w:val="24"/>
        </w:rPr>
        <w:t>1、认真耐心地开展上级交办、系统交办、来访接待、函件拆解扫描，记录各类来源信息并在系统中统一录入数据，并分流至相应处理部门或人员；</w:t>
      </w:r>
    </w:p>
    <w:p>
      <w:pPr>
        <w:spacing w:line="360" w:lineRule="auto"/>
        <w:ind w:right="240" w:firstLine="480"/>
        <w:rPr>
          <w:rFonts w:ascii="仿宋" w:hAnsi="仿宋" w:eastAsia="仿宋" w:cs="仿宋"/>
          <w:sz w:val="24"/>
        </w:rPr>
      </w:pPr>
      <w:r>
        <w:rPr>
          <w:rFonts w:hint="eastAsia" w:ascii="仿宋" w:hAnsi="仿宋" w:eastAsia="仿宋" w:cs="仿宋"/>
          <w:sz w:val="24"/>
        </w:rPr>
        <w:t>2、收集整理相关证据材料；</w:t>
      </w:r>
    </w:p>
    <w:p>
      <w:pPr>
        <w:spacing w:line="360" w:lineRule="auto"/>
        <w:ind w:right="240" w:firstLine="480"/>
        <w:rPr>
          <w:rFonts w:ascii="仿宋" w:hAnsi="仿宋" w:eastAsia="仿宋" w:cs="仿宋"/>
          <w:sz w:val="24"/>
        </w:rPr>
      </w:pPr>
      <w:r>
        <w:rPr>
          <w:rFonts w:hint="eastAsia" w:ascii="仿宋" w:hAnsi="仿宋" w:eastAsia="仿宋" w:cs="仿宋"/>
          <w:sz w:val="24"/>
        </w:rPr>
        <w:t>3、辅助移送或转办；</w:t>
      </w:r>
    </w:p>
    <w:p>
      <w:pPr>
        <w:spacing w:line="360" w:lineRule="auto"/>
        <w:ind w:right="240" w:firstLine="480"/>
        <w:rPr>
          <w:rFonts w:ascii="仿宋" w:hAnsi="仿宋" w:eastAsia="仿宋" w:cs="仿宋"/>
          <w:sz w:val="24"/>
        </w:rPr>
      </w:pPr>
      <w:r>
        <w:rPr>
          <w:rFonts w:hint="eastAsia" w:ascii="仿宋" w:hAnsi="仿宋" w:eastAsia="仿宋" w:cs="仿宋"/>
          <w:sz w:val="24"/>
        </w:rPr>
        <w:t>4、跟踪并辅助处理转办、移送的违法线索并做好相应记录。</w:t>
      </w:r>
    </w:p>
    <w:p>
      <w:pPr>
        <w:spacing w:line="360" w:lineRule="auto"/>
        <w:ind w:right="240" w:firstLine="480"/>
        <w:rPr>
          <w:rFonts w:ascii="仿宋" w:hAnsi="仿宋" w:eastAsia="仿宋" w:cs="仿宋"/>
          <w:color w:val="000000"/>
          <w:sz w:val="24"/>
        </w:rPr>
      </w:pPr>
      <w:r>
        <w:rPr>
          <w:rFonts w:hint="eastAsia" w:ascii="仿宋" w:hAnsi="仿宋" w:eastAsia="仿宋" w:cs="仿宋"/>
          <w:color w:val="000000"/>
          <w:sz w:val="24"/>
        </w:rPr>
        <w:t>5、辅助开展网络违法案件处理。</w:t>
      </w:r>
    </w:p>
    <w:p>
      <w:pPr>
        <w:pStyle w:val="629"/>
        <w:spacing w:line="360" w:lineRule="auto"/>
        <w:ind w:right="240" w:firstLine="482"/>
        <w:rPr>
          <w:rFonts w:ascii="仿宋" w:hAnsi="仿宋" w:eastAsia="仿宋" w:cs="仿宋"/>
          <w:b/>
          <w:bCs/>
          <w:sz w:val="24"/>
        </w:rPr>
      </w:pPr>
      <w:r>
        <w:rPr>
          <w:rFonts w:hint="eastAsia" w:ascii="仿宋" w:hAnsi="仿宋" w:eastAsia="仿宋" w:cs="仿宋"/>
          <w:b/>
          <w:bCs/>
          <w:sz w:val="24"/>
        </w:rPr>
        <w:t>（四）协查处理</w:t>
      </w:r>
    </w:p>
    <w:p>
      <w:pPr>
        <w:spacing w:line="360" w:lineRule="auto"/>
        <w:ind w:right="240" w:firstLine="480"/>
        <w:rPr>
          <w:rFonts w:ascii="仿宋" w:hAnsi="仿宋" w:eastAsia="仿宋" w:cs="仿宋"/>
          <w:sz w:val="24"/>
        </w:rPr>
      </w:pPr>
      <w:r>
        <w:rPr>
          <w:rFonts w:hint="eastAsia" w:ascii="仿宋" w:hAnsi="仿宋" w:eastAsia="仿宋" w:cs="仿宋"/>
          <w:sz w:val="24"/>
        </w:rPr>
        <w:t>1、认真耐心地开展上级交办、系统交办、来访接待、函件拆解扫描，记录各类来源信息并在系统中统一录入数据，并分流至相应处理部门或人员；</w:t>
      </w:r>
    </w:p>
    <w:p>
      <w:pPr>
        <w:widowControl/>
        <w:spacing w:line="360" w:lineRule="auto"/>
        <w:ind w:right="240" w:firstLine="480"/>
        <w:rPr>
          <w:rFonts w:ascii="仿宋" w:hAnsi="仿宋" w:eastAsia="仿宋" w:cs="仿宋"/>
          <w:sz w:val="24"/>
        </w:rPr>
      </w:pPr>
      <w:r>
        <w:rPr>
          <w:rFonts w:hint="eastAsia" w:ascii="仿宋" w:hAnsi="仿宋" w:eastAsia="仿宋" w:cs="仿宋"/>
          <w:sz w:val="24"/>
        </w:rPr>
        <w:t>2、以可作为证据的方式向有关经营者或有关单位获取信息并反馈协查发起部门；</w:t>
      </w:r>
    </w:p>
    <w:p>
      <w:pPr>
        <w:pStyle w:val="629"/>
        <w:spacing w:line="360" w:lineRule="auto"/>
        <w:ind w:right="240" w:firstLine="482"/>
        <w:rPr>
          <w:rFonts w:ascii="仿宋" w:hAnsi="仿宋" w:eastAsia="仿宋" w:cs="仿宋"/>
          <w:b/>
          <w:bCs/>
          <w:kern w:val="0"/>
          <w:sz w:val="24"/>
        </w:rPr>
      </w:pPr>
      <w:r>
        <w:rPr>
          <w:rFonts w:hint="eastAsia" w:ascii="仿宋" w:hAnsi="仿宋" w:eastAsia="仿宋" w:cs="仿宋"/>
          <w:b/>
          <w:bCs/>
          <w:kern w:val="0"/>
          <w:sz w:val="24"/>
        </w:rPr>
        <w:t>（五）数据统计分析</w:t>
      </w:r>
    </w:p>
    <w:p>
      <w:pPr>
        <w:widowControl/>
        <w:spacing w:line="360" w:lineRule="auto"/>
        <w:ind w:right="240" w:firstLine="480"/>
        <w:rPr>
          <w:rFonts w:ascii="仿宋" w:hAnsi="仿宋" w:eastAsia="仿宋" w:cs="仿宋"/>
          <w:sz w:val="24"/>
        </w:rPr>
      </w:pPr>
      <w:r>
        <w:rPr>
          <w:rFonts w:hint="eastAsia" w:ascii="仿宋" w:hAnsi="仿宋" w:eastAsia="仿宋" w:cs="仿宋"/>
          <w:sz w:val="24"/>
        </w:rPr>
        <w:t>辅助甲方对网络投诉举报原始数据进行统计分析，对投诉举报内容及处理、咨询等相关工作形成日常处理报告（分为周报、月报、季报、年报等）和专项报告。</w:t>
      </w:r>
    </w:p>
    <w:p>
      <w:pPr>
        <w:widowControl/>
        <w:spacing w:line="360" w:lineRule="auto"/>
        <w:ind w:right="240" w:firstLine="482"/>
        <w:rPr>
          <w:rFonts w:ascii="仿宋" w:hAnsi="仿宋" w:eastAsia="仿宋" w:cs="仿宋"/>
          <w:b/>
          <w:bCs/>
          <w:sz w:val="24"/>
        </w:rPr>
      </w:pPr>
      <w:r>
        <w:rPr>
          <w:rFonts w:hint="eastAsia" w:ascii="仿宋" w:hAnsi="仿宋" w:eastAsia="仿宋" w:cs="仿宋"/>
          <w:b/>
          <w:bCs/>
          <w:sz w:val="24"/>
        </w:rPr>
        <w:t>（六）其他与网络投诉举报相关的辅助性工作。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1、根据行政救济内容，收集、整理、分析相关材料；</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2、其他与网络</w:t>
      </w:r>
      <w:r>
        <w:rPr>
          <w:rFonts w:hint="eastAsia" w:ascii="仿宋" w:hAnsi="仿宋" w:eastAsia="仿宋" w:cs="仿宋"/>
          <w:kern w:val="0"/>
          <w:sz w:val="24"/>
        </w:rPr>
        <w:t>投诉举报相关的辅助性工作。</w:t>
      </w:r>
    </w:p>
    <w:p>
      <w:pPr>
        <w:pStyle w:val="629"/>
        <w:spacing w:line="360" w:lineRule="auto"/>
        <w:ind w:right="240" w:firstLine="480"/>
        <w:rPr>
          <w:rFonts w:ascii="仿宋" w:hAnsi="仿宋" w:eastAsia="仿宋" w:cs="仿宋"/>
          <w:b/>
          <w:bCs/>
          <w:kern w:val="0"/>
          <w:sz w:val="24"/>
        </w:rPr>
      </w:pPr>
      <w:r>
        <w:rPr>
          <w:rFonts w:hint="eastAsia" w:ascii="仿宋" w:hAnsi="仿宋" w:eastAsia="仿宋" w:cs="仿宋"/>
          <w:b/>
          <w:bCs/>
          <w:kern w:val="0"/>
          <w:sz w:val="24"/>
        </w:rPr>
        <w:t>（七）质检要求：</w:t>
      </w:r>
    </w:p>
    <w:p>
      <w:pPr>
        <w:pStyle w:val="629"/>
        <w:spacing w:line="360" w:lineRule="auto"/>
        <w:ind w:right="240" w:firstLine="480" w:firstLineChars="200"/>
        <w:rPr>
          <w:rFonts w:ascii="仿宋" w:hAnsi="仿宋" w:eastAsia="仿宋" w:cs="仿宋"/>
          <w:kern w:val="0"/>
          <w:sz w:val="24"/>
        </w:rPr>
      </w:pPr>
      <w:r>
        <w:rPr>
          <w:rFonts w:hint="eastAsia" w:ascii="仿宋" w:hAnsi="仿宋" w:eastAsia="仿宋" w:cs="仿宋"/>
          <w:kern w:val="0"/>
          <w:sz w:val="24"/>
        </w:rPr>
        <w:t xml:space="preserve">合同周期前三个月，质检专员须每半月对经办人员处理的案件进行抽查复盘，合同周期三个月之后可根据案件质量调整为每月对经办人员处理的案件进行抽查复盘，质检结果出来后一周内通晒相关问题。每月安排专项质检会议。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（八）专业人员要求：</w:t>
      </w:r>
    </w:p>
    <w:p>
      <w:pPr>
        <w:pStyle w:val="629"/>
        <w:spacing w:line="360" w:lineRule="auto"/>
        <w:ind w:right="240" w:firstLine="480" w:firstLineChars="200"/>
        <w:rPr>
          <w:rFonts w:ascii="仿宋" w:hAnsi="仿宋" w:eastAsia="仿宋" w:cs="仿宋"/>
          <w:kern w:val="0"/>
          <w:sz w:val="24"/>
        </w:rPr>
      </w:pPr>
      <w:r>
        <w:rPr>
          <w:rFonts w:hint="eastAsia" w:ascii="仿宋" w:hAnsi="仿宋" w:eastAsia="仿宋" w:cs="仿宋"/>
          <w:kern w:val="0"/>
          <w:sz w:val="24"/>
        </w:rPr>
        <w:t>具备法律专业背景及一定行政案件处理经验的人员不少于2人，对日常质检问题件、疑难件、舆情件进行把控审核，指导普通业务人员合法合规展开工作。</w:t>
      </w:r>
    </w:p>
    <w:p>
      <w:pPr>
        <w:pStyle w:val="629"/>
        <w:spacing w:line="360" w:lineRule="auto"/>
        <w:ind w:right="240" w:firstLine="482" w:firstLineChars="200"/>
        <w:rPr>
          <w:rFonts w:ascii="仿宋" w:hAnsi="仿宋" w:eastAsia="仿宋" w:cs="仿宋"/>
          <w:b/>
          <w:bCs/>
          <w:kern w:val="0"/>
          <w:sz w:val="24"/>
        </w:rPr>
      </w:pPr>
      <w:r>
        <w:rPr>
          <w:rFonts w:hint="eastAsia" w:ascii="仿宋" w:hAnsi="仿宋" w:eastAsia="仿宋" w:cs="仿宋"/>
          <w:b/>
          <w:bCs/>
          <w:kern w:val="0"/>
          <w:sz w:val="24"/>
        </w:rPr>
        <w:t>（九）宣传辅助工作：</w:t>
      </w:r>
    </w:p>
    <w:p>
      <w:pPr>
        <w:spacing w:line="360" w:lineRule="auto"/>
        <w:ind w:firstLine="480" w:firstLineChars="200"/>
        <w:rPr>
          <w:rFonts w:ascii="仿宋" w:hAnsi="仿宋" w:eastAsia="仿宋" w:cs="仿宋"/>
          <w:sz w:val="24"/>
        </w:rPr>
      </w:pPr>
      <w:r>
        <w:rPr>
          <w:rFonts w:hint="eastAsia" w:ascii="仿宋" w:hAnsi="仿宋" w:eastAsia="仿宋" w:cs="仿宋"/>
          <w:sz w:val="24"/>
        </w:rPr>
        <w:t>提供固定2名人员配合甲方结合实际工作，进行新闻信息撰写和报送，其中1名人员全流程跟踪配合甲方跟进日常及全年工作。</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1、根据甲方各项实际工作，高效完成相关工作信息材料撰写和报送，要求完成全年信息报道任务。</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2、人员全年跟进甲方日常会议、大型活动、调研接待等工作，完成文字资料、图片、视频素材收集与PPT制作；</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3、根据甲方工作实绩、典型内容整合价值题材形成新闻报道进行报送，并在市级或以上主要媒体上发表；</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4、根据甲方要求在主要媒体推出专题版面1个；</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5、全年跟进完成在主要媒体的客户端、app、相关微信发布宣传信息；</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6、完成中央级媒体稿件报送及稿件撰写，全年供稿2篇；</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7、结合甲方工作提供宣传活动创意、咨询、策划和执行等事宜。并提供3篇宣传报道（通栏）。</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四、考核要求</w:t>
      </w:r>
    </w:p>
    <w:p>
      <w:pPr>
        <w:pStyle w:val="629"/>
        <w:spacing w:line="360" w:lineRule="auto"/>
        <w:ind w:right="240" w:firstLine="482"/>
        <w:rPr>
          <w:rFonts w:ascii="仿宋" w:hAnsi="仿宋" w:eastAsia="仿宋" w:cs="仿宋"/>
          <w:b/>
          <w:bCs/>
          <w:kern w:val="0"/>
          <w:sz w:val="24"/>
        </w:rPr>
      </w:pPr>
      <w:r>
        <w:rPr>
          <w:rFonts w:hint="eastAsia" w:ascii="仿宋" w:hAnsi="仿宋" w:eastAsia="仿宋" w:cs="仿宋"/>
          <w:b/>
          <w:bCs/>
          <w:kern w:val="0"/>
          <w:sz w:val="24"/>
        </w:rPr>
        <w:t>（一）项目目标</w:t>
      </w:r>
    </w:p>
    <w:p>
      <w:pPr>
        <w:pStyle w:val="629"/>
        <w:spacing w:line="360" w:lineRule="auto"/>
        <w:ind w:right="240" w:firstLine="480"/>
        <w:rPr>
          <w:rFonts w:ascii="仿宋" w:hAnsi="仿宋" w:eastAsia="仿宋" w:cs="仿宋"/>
          <w:kern w:val="0"/>
          <w:sz w:val="24"/>
        </w:rPr>
      </w:pPr>
      <w:r>
        <w:rPr>
          <w:rFonts w:hint="eastAsia" w:ascii="仿宋" w:hAnsi="仿宋" w:eastAsia="仿宋" w:cs="仿宋"/>
          <w:kern w:val="0"/>
          <w:sz w:val="24"/>
        </w:rPr>
        <w:t>根据规范妥善完成项目期内收到的网络投诉举报等有关处理工作和历史件的后续辅助处理。</w:t>
      </w:r>
    </w:p>
    <w:p>
      <w:pPr>
        <w:pStyle w:val="629"/>
        <w:spacing w:line="360" w:lineRule="auto"/>
        <w:ind w:right="240" w:firstLine="482"/>
        <w:rPr>
          <w:rFonts w:ascii="仿宋" w:hAnsi="仿宋" w:eastAsia="仿宋" w:cs="仿宋"/>
          <w:b/>
          <w:bCs/>
          <w:kern w:val="0"/>
          <w:sz w:val="24"/>
        </w:rPr>
      </w:pPr>
      <w:r>
        <w:rPr>
          <w:rFonts w:hint="eastAsia" w:ascii="仿宋" w:hAnsi="仿宋" w:eastAsia="仿宋" w:cs="仿宋"/>
          <w:b/>
          <w:bCs/>
          <w:kern w:val="0"/>
          <w:sz w:val="24"/>
        </w:rPr>
        <w:t>（二）质量要求</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1、按照规范程序和时限要求，按时完成受理、分流、告知、移交/移送、反馈后处理等各环节处理工作，不得逾期；</w:t>
      </w:r>
    </w:p>
    <w:p>
      <w:pPr>
        <w:numPr>
          <w:ilvl w:val="0"/>
          <w:numId w:val="0"/>
        </w:numPr>
        <w:spacing w:line="360" w:lineRule="auto"/>
        <w:ind w:firstLine="480" w:firstLineChars="200"/>
        <w:rPr>
          <w:rFonts w:ascii="仿宋" w:hAnsi="仿宋" w:eastAsia="仿宋" w:cs="仿宋"/>
          <w:kern w:val="0"/>
          <w:sz w:val="24"/>
        </w:rPr>
      </w:pPr>
      <w:r>
        <w:rPr>
          <w:rFonts w:hint="eastAsia" w:ascii="仿宋" w:hAnsi="仿宋" w:eastAsia="仿宋" w:cs="仿宋"/>
          <w:sz w:val="24"/>
        </w:rPr>
        <w:t>2、向外</w:t>
      </w:r>
      <w:r>
        <w:rPr>
          <w:rFonts w:hint="eastAsia" w:ascii="仿宋" w:hAnsi="仿宋" w:eastAsia="仿宋" w:cs="仿宋"/>
          <w:kern w:val="0"/>
          <w:sz w:val="24"/>
        </w:rPr>
        <w:t>发送的文书差错率不得超过千分之一；</w:t>
      </w:r>
    </w:p>
    <w:p>
      <w:pPr>
        <w:numPr>
          <w:ilvl w:val="0"/>
          <w:numId w:val="0"/>
        </w:numPr>
        <w:spacing w:line="360" w:lineRule="auto"/>
        <w:ind w:firstLine="482" w:firstLineChars="200"/>
        <w:rPr>
          <w:rFonts w:ascii="仿宋" w:hAnsi="仿宋" w:eastAsia="仿宋" w:cs="仿宋"/>
          <w:kern w:val="0"/>
          <w:sz w:val="24"/>
        </w:rPr>
      </w:pPr>
      <w:r>
        <w:rPr>
          <w:rFonts w:hint="eastAsia" w:ascii="仿宋" w:hAnsi="仿宋" w:eastAsia="仿宋" w:cs="仿宋"/>
          <w:b/>
          <w:bCs/>
          <w:kern w:val="0"/>
          <w:sz w:val="24"/>
        </w:rPr>
        <w:t>3、投标方须在投标文件中提供保障工作时效和质量的具体方案</w:t>
      </w:r>
      <w:r>
        <w:rPr>
          <w:rFonts w:hint="eastAsia" w:ascii="仿宋" w:hAnsi="仿宋" w:eastAsia="仿宋" w:cs="仿宋"/>
          <w:kern w:val="0"/>
          <w:sz w:val="24"/>
        </w:rPr>
        <w:t>。</w:t>
      </w:r>
    </w:p>
    <w:p>
      <w:pPr>
        <w:pStyle w:val="629"/>
        <w:spacing w:line="360" w:lineRule="auto"/>
        <w:ind w:right="240" w:firstLine="482"/>
        <w:rPr>
          <w:rFonts w:ascii="仿宋" w:hAnsi="仿宋" w:eastAsia="仿宋" w:cs="仿宋"/>
          <w:b/>
          <w:bCs/>
          <w:kern w:val="0"/>
          <w:sz w:val="24"/>
        </w:rPr>
      </w:pPr>
      <w:r>
        <w:rPr>
          <w:rFonts w:hint="eastAsia" w:ascii="仿宋" w:hAnsi="仿宋" w:eastAsia="仿宋" w:cs="仿宋"/>
          <w:b/>
          <w:bCs/>
          <w:kern w:val="0"/>
          <w:sz w:val="24"/>
        </w:rPr>
        <w:t>（三）考核指标</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项目考核将按月考核，如中标单位在合同签订后第一个月考核即不通过相关指标，则采购人有权中止合同，采购人可以与顺延第二中标候选人签约，也可重新组织招标。</w:t>
      </w:r>
    </w:p>
    <w:p>
      <w:pPr>
        <w:spacing w:line="360" w:lineRule="auto"/>
        <w:ind w:firstLine="480" w:firstLineChars="200"/>
        <w:rPr>
          <w:rFonts w:ascii="仿宋" w:hAnsi="仿宋" w:eastAsia="仿宋" w:cs="仿宋"/>
          <w:sz w:val="24"/>
        </w:rPr>
      </w:pPr>
      <w:r>
        <w:rPr>
          <w:rFonts w:hint="eastAsia" w:ascii="仿宋" w:hAnsi="仿宋" w:eastAsia="仿宋" w:cs="仿宋"/>
          <w:sz w:val="24"/>
        </w:rPr>
        <w:t>1、团队驻场人员不少于90人；每月每少一人需提供1万元的消费保障资金；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2、行政复议中杭集复被纠错最多1件；因中标方责任导致杭集复被纠错的每增加1件需提供10万元的消费保障资金；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3、行政复议中其他复议件纠错率不高于5%；因中标方责任导致行政复议中其他复议件纠错率每高2个百分比需提供2万元的消费保障资金；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4、行政诉讼败诉最多1件；因中标方责任导致行政诉讼败诉的每增加1件需提供10万元的消费保障资金；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5、投诉按时初查率不低于99.99%；因中标方责任投诉按时初查率下降1个百分比需提供5万元的消费保障资金；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6、举报按时核查率不低于99%；因中标方责任举报按时核查率下降1个百分比需提供5万元的消费保障资金；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7、投诉按时办结率不低于99.99%；因中标方责任投诉按时办结率下降1个百分比需提供5万元的消费保障资金；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8、投诉件化解成功率不低于全省平均水平；每低全省平均水平1个百分比的需提供1万元的消费保障资金。</w:t>
      </w:r>
    </w:p>
    <w:p>
      <w:pPr>
        <w:spacing w:line="360" w:lineRule="auto"/>
        <w:ind w:firstLine="480" w:firstLineChars="200"/>
        <w:rPr>
          <w:rFonts w:ascii="仿宋" w:hAnsi="仿宋" w:eastAsia="仿宋" w:cs="仿宋"/>
          <w:sz w:val="24"/>
        </w:rPr>
      </w:pPr>
      <w:r>
        <w:rPr>
          <w:rFonts w:hint="eastAsia" w:ascii="仿宋" w:hAnsi="仿宋" w:eastAsia="仿宋" w:cs="仿宋"/>
          <w:sz w:val="24"/>
        </w:rPr>
        <w:t>以上消费保障资金需缴至采购方制定账户，使用用途由采购人确认。</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五、各项服务保障</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1、中标人应保证按照有关国家或行业技术标准规范，对项目外包等各个环节进行严格的质量把关。</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2、在外包服务期内乙方应严格遵守在甲方的各项工作纪律和规章制度，不得对外泄露甲方业务相关的数据信息。</w:t>
      </w:r>
    </w:p>
    <w:p>
      <w:pPr>
        <w:numPr>
          <w:ilvl w:val="0"/>
          <w:numId w:val="0"/>
        </w:numPr>
        <w:spacing w:line="360" w:lineRule="auto"/>
        <w:ind w:firstLine="480" w:firstLineChars="200"/>
        <w:rPr>
          <w:rFonts w:ascii="仿宋" w:hAnsi="仿宋" w:eastAsia="仿宋" w:cs="仿宋"/>
          <w:sz w:val="24"/>
        </w:rPr>
      </w:pPr>
      <w:r>
        <w:rPr>
          <w:rFonts w:hint="eastAsia" w:ascii="仿宋" w:hAnsi="仿宋" w:eastAsia="仿宋" w:cs="仿宋"/>
          <w:sz w:val="24"/>
        </w:rPr>
        <w:t>3、项目运行过程中应严格做好安全防范措施，加强安全教育和管理，如中标人人员在实施中违反操作规定或实施现场防范措施设置不明造成人员伤害和财产损失事故的，一切责任均由乙方负责。</w:t>
      </w:r>
    </w:p>
    <w:p>
      <w:pPr>
        <w:numPr>
          <w:ilvl w:val="0"/>
          <w:numId w:val="0"/>
        </w:numPr>
        <w:spacing w:line="360" w:lineRule="auto"/>
        <w:ind w:firstLine="480" w:firstLineChars="200"/>
        <w:rPr>
          <w:rFonts w:ascii="仿宋" w:hAnsi="仿宋" w:eastAsia="仿宋" w:cs="仿宋"/>
          <w:color w:val="000000"/>
          <w:sz w:val="24"/>
        </w:rPr>
      </w:pPr>
      <w:r>
        <w:rPr>
          <w:rFonts w:hint="eastAsia" w:ascii="仿宋" w:hAnsi="仿宋" w:eastAsia="仿宋" w:cs="仿宋"/>
          <w:sz w:val="24"/>
        </w:rPr>
        <w:t>4、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numPr>
          <w:ilvl w:val="0"/>
          <w:numId w:val="0"/>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5、合同期间，</w:t>
      </w:r>
      <w:r>
        <w:rPr>
          <w:rFonts w:hint="eastAsia" w:ascii="仿宋" w:hAnsi="仿宋" w:eastAsia="仿宋" w:cs="仿宋"/>
          <w:sz w:val="24"/>
        </w:rPr>
        <w:t>中标人</w:t>
      </w:r>
      <w:r>
        <w:rPr>
          <w:rFonts w:hint="eastAsia" w:ascii="仿宋" w:hAnsi="仿宋" w:eastAsia="仿宋" w:cs="仿宋"/>
          <w:color w:val="000000"/>
          <w:sz w:val="24"/>
        </w:rPr>
        <w:t>应达到甲方项目实施所需的人员数量要求，合计驻场人员不少于90名，包括管理人员3名，协助甲方做好业务管理，具体工作由甲方安排；1名专职质量抽查人员，负责定期的质量监督抽查，质量抽查情况列入对</w:t>
      </w:r>
      <w:r>
        <w:rPr>
          <w:rFonts w:hint="eastAsia" w:ascii="仿宋" w:hAnsi="仿宋" w:eastAsia="仿宋" w:cs="仿宋"/>
          <w:sz w:val="24"/>
        </w:rPr>
        <w:t>中标人</w:t>
      </w:r>
      <w:r>
        <w:rPr>
          <w:rFonts w:hint="eastAsia" w:ascii="仿宋" w:hAnsi="仿宋" w:eastAsia="仿宋" w:cs="仿宋"/>
          <w:color w:val="000000"/>
          <w:sz w:val="24"/>
        </w:rPr>
        <w:t>的考核，上述管理、抽查岗位人员不纳入</w:t>
      </w:r>
      <w:r>
        <w:rPr>
          <w:rFonts w:hint="eastAsia" w:ascii="仿宋" w:hAnsi="仿宋" w:eastAsia="仿宋" w:cs="仿宋"/>
          <w:sz w:val="24"/>
        </w:rPr>
        <w:t>中标人</w:t>
      </w:r>
      <w:r>
        <w:rPr>
          <w:rFonts w:hint="eastAsia" w:ascii="仿宋" w:hAnsi="仿宋" w:eastAsia="仿宋" w:cs="仿宋"/>
          <w:color w:val="000000"/>
          <w:sz w:val="24"/>
        </w:rPr>
        <w:t>的绩效考核；宣传辅助人员2名，负责收集日常工作素材、定期总结工作成效，制作、更新宣传PPT与视频；其他日常事务辅助人员若干。</w:t>
      </w:r>
    </w:p>
    <w:p>
      <w:pPr>
        <w:spacing w:line="360" w:lineRule="auto"/>
        <w:ind w:right="240" w:firstLine="480"/>
        <w:rPr>
          <w:rFonts w:ascii="仿宋" w:hAnsi="仿宋" w:eastAsia="仿宋" w:cs="仿宋"/>
          <w:sz w:val="24"/>
        </w:rPr>
      </w:pPr>
      <w:r>
        <w:rPr>
          <w:rFonts w:hint="eastAsia" w:ascii="仿宋" w:hAnsi="仿宋" w:eastAsia="仿宋" w:cs="仿宋"/>
          <w:sz w:val="24"/>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numPr>
          <w:ilvl w:val="0"/>
          <w:numId w:val="6"/>
        </w:numPr>
        <w:spacing w:line="360" w:lineRule="auto"/>
        <w:ind w:right="240" w:firstLine="480" w:firstLineChars="200"/>
        <w:rPr>
          <w:rFonts w:ascii="仿宋" w:hAnsi="仿宋" w:eastAsia="仿宋" w:cs="仿宋"/>
          <w:bCs/>
          <w:color w:val="000000"/>
          <w:sz w:val="24"/>
        </w:rPr>
      </w:pPr>
      <w:r>
        <w:rPr>
          <w:rFonts w:hint="eastAsia" w:ascii="仿宋" w:hAnsi="仿宋" w:eastAsia="仿宋" w:cs="仿宋"/>
          <w:bCs/>
          <w:color w:val="000000"/>
          <w:sz w:val="24"/>
        </w:rPr>
        <w:t>中标人须保障服务团队的专业能力，要求投入本项目的团队人数不少于90人，其中本科及以上学历人数不少于60人，本科或研究生学历为法律专业且具有法律职业资格证书的人数不少于20人。</w:t>
      </w:r>
    </w:p>
    <w:p>
      <w:pPr>
        <w:numPr>
          <w:ilvl w:val="0"/>
          <w:numId w:val="0"/>
        </w:numPr>
        <w:spacing w:line="360" w:lineRule="auto"/>
        <w:ind w:left="420" w:leftChars="200" w:right="240"/>
        <w:rPr>
          <w:rFonts w:ascii="仿宋" w:hAnsi="仿宋" w:eastAsia="仿宋" w:cs="仿宋"/>
          <w:sz w:val="24"/>
        </w:rPr>
      </w:pPr>
      <w:r>
        <w:rPr>
          <w:rFonts w:hint="eastAsia" w:ascii="仿宋" w:hAnsi="仿宋" w:eastAsia="仿宋" w:cs="仿宋"/>
          <w:color w:val="000000"/>
          <w:sz w:val="24"/>
        </w:rPr>
        <w:t>中标后提供拟投入本项目的团队人员名单以及学历、专业能力证明。</w:t>
      </w:r>
    </w:p>
    <w:p>
      <w:pPr>
        <w:numPr>
          <w:ilvl w:val="0"/>
          <w:numId w:val="0"/>
        </w:numPr>
        <w:spacing w:line="360" w:lineRule="auto"/>
        <w:ind w:right="240" w:firstLine="480" w:firstLineChars="200"/>
        <w:rPr>
          <w:rFonts w:ascii="仿宋" w:hAnsi="仿宋" w:eastAsia="仿宋" w:cs="仿宋"/>
          <w:color w:val="000000"/>
          <w:sz w:val="24"/>
        </w:rPr>
      </w:pPr>
      <w:r>
        <w:rPr>
          <w:rFonts w:hint="eastAsia" w:ascii="仿宋" w:hAnsi="仿宋" w:eastAsia="仿宋" w:cs="仿宋"/>
          <w:sz w:val="24"/>
        </w:rPr>
        <w:t>7、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numPr>
          <w:ilvl w:val="0"/>
          <w:numId w:val="0"/>
        </w:numPr>
        <w:spacing w:line="360" w:lineRule="auto"/>
        <w:ind w:right="240" w:firstLine="480" w:firstLineChars="200"/>
        <w:rPr>
          <w:rFonts w:ascii="仿宋" w:hAnsi="仿宋" w:eastAsia="仿宋" w:cs="仿宋"/>
          <w:color w:val="000000"/>
          <w:sz w:val="24"/>
        </w:rPr>
      </w:pPr>
      <w:r>
        <w:rPr>
          <w:rFonts w:hint="eastAsia" w:ascii="仿宋" w:hAnsi="仿宋" w:eastAsia="仿宋" w:cs="仿宋"/>
          <w:color w:val="000000"/>
          <w:sz w:val="24"/>
        </w:rPr>
        <w:t>8、为保障人员相对稳定，</w:t>
      </w:r>
      <w:r>
        <w:rPr>
          <w:rFonts w:hint="eastAsia" w:ascii="仿宋" w:hAnsi="仿宋" w:eastAsia="仿宋" w:cs="仿宋"/>
          <w:sz w:val="24"/>
        </w:rPr>
        <w:t>中标人</w:t>
      </w:r>
      <w:r>
        <w:rPr>
          <w:rFonts w:hint="eastAsia" w:ascii="仿宋" w:hAnsi="仿宋" w:eastAsia="仿宋" w:cs="仿宋"/>
          <w:color w:val="000000"/>
          <w:sz w:val="24"/>
        </w:rPr>
        <w:t>员工平均待遇建议不低于采购单位编外人员待遇，中标人对员工开展工作业务绩效考核的，由采购人和中标人共同制定考核标准。</w:t>
      </w:r>
    </w:p>
    <w:p>
      <w:pPr>
        <w:numPr>
          <w:ilvl w:val="0"/>
          <w:numId w:val="0"/>
        </w:numPr>
        <w:spacing w:line="360" w:lineRule="auto"/>
        <w:ind w:right="240" w:firstLine="482" w:firstLineChars="200"/>
        <w:rPr>
          <w:rFonts w:ascii="仿宋" w:hAnsi="仿宋" w:eastAsia="仿宋" w:cs="仿宋"/>
          <w:sz w:val="24"/>
        </w:rPr>
      </w:pPr>
      <w:r>
        <w:rPr>
          <w:rFonts w:hint="eastAsia" w:ascii="仿宋" w:hAnsi="仿宋" w:eastAsia="仿宋" w:cs="仿宋"/>
          <w:b/>
          <w:sz w:val="24"/>
        </w:rPr>
        <w:t>9、▲</w:t>
      </w:r>
      <w:r>
        <w:rPr>
          <w:rFonts w:hint="eastAsia" w:ascii="仿宋" w:hAnsi="仿宋" w:eastAsia="仿宋" w:cs="仿宋"/>
          <w:sz w:val="24"/>
        </w:rPr>
        <w:t>中标方须确保工作按时完成，维持一定的工作人员数量，中标后最少配备90名工作人员入场提供服务。合同签订后7天内完成招募培训工作，</w:t>
      </w:r>
      <w:r>
        <w:rPr>
          <w:rFonts w:hint="eastAsia" w:ascii="仿宋" w:hAnsi="仿宋" w:eastAsia="仿宋" w:cs="仿宋"/>
          <w:b/>
          <w:bCs/>
          <w:sz w:val="24"/>
        </w:rPr>
        <w:t>投标文件需提供各岗位人员到位承诺书。</w:t>
      </w:r>
    </w:p>
    <w:p>
      <w:pPr>
        <w:numPr>
          <w:ilvl w:val="0"/>
          <w:numId w:val="0"/>
        </w:numPr>
        <w:spacing w:line="360" w:lineRule="auto"/>
        <w:ind w:right="240" w:firstLine="480" w:firstLineChars="200"/>
        <w:rPr>
          <w:rFonts w:ascii="仿宋" w:hAnsi="仿宋" w:eastAsia="仿宋" w:cs="仿宋"/>
          <w:sz w:val="24"/>
        </w:rPr>
      </w:pPr>
      <w:r>
        <w:rPr>
          <w:rFonts w:hint="eastAsia" w:ascii="仿宋" w:hAnsi="仿宋" w:eastAsia="仿宋" w:cs="仿宋"/>
          <w:sz w:val="24"/>
        </w:rPr>
        <w:t>10、中标后项目组核心岗位（管理、技术、法律）须驻场。</w:t>
      </w:r>
    </w:p>
    <w:p>
      <w:pPr>
        <w:numPr>
          <w:ilvl w:val="0"/>
          <w:numId w:val="0"/>
        </w:numPr>
        <w:spacing w:line="360" w:lineRule="auto"/>
        <w:ind w:right="240" w:firstLine="480" w:firstLineChars="200"/>
        <w:rPr>
          <w:rFonts w:ascii="仿宋" w:hAnsi="仿宋" w:eastAsia="仿宋" w:cs="仿宋"/>
          <w:sz w:val="24"/>
        </w:rPr>
      </w:pPr>
      <w:r>
        <w:rPr>
          <w:rFonts w:hint="eastAsia" w:ascii="仿宋" w:hAnsi="仿宋" w:eastAsia="仿宋" w:cs="仿宋"/>
          <w:sz w:val="24"/>
        </w:rPr>
        <w:t>11、中标后需安排驻场人员中具有两年以上管理经验的管理人员不少于3人，其中1人为服务管理负责人，负责外包服务团队的人员管理；1人为技术服务人员，负责技术支撑平台的运维服务工作；1人为甲方需求对接人。</w:t>
      </w:r>
    </w:p>
    <w:p>
      <w:pPr>
        <w:numPr>
          <w:ilvl w:val="0"/>
          <w:numId w:val="0"/>
        </w:numPr>
        <w:spacing w:line="360" w:lineRule="auto"/>
        <w:ind w:right="240" w:firstLine="480" w:firstLineChars="200"/>
        <w:rPr>
          <w:rFonts w:ascii="仿宋" w:hAnsi="仿宋" w:eastAsia="仿宋" w:cs="仿宋"/>
          <w:sz w:val="24"/>
        </w:rPr>
      </w:pPr>
      <w:r>
        <w:rPr>
          <w:rFonts w:hint="eastAsia" w:ascii="仿宋" w:hAnsi="仿宋" w:eastAsia="仿宋" w:cs="仿宋"/>
          <w:sz w:val="24"/>
        </w:rPr>
        <w:t>12、须严格遵守《中华人民共和国劳动法》、《中华人民共和国社会保障法》等法律法规要求，做到合法用工，应当保持合理的薪酬待遇。</w:t>
      </w:r>
    </w:p>
    <w:p>
      <w:pPr>
        <w:numPr>
          <w:ilvl w:val="0"/>
          <w:numId w:val="0"/>
        </w:numPr>
        <w:spacing w:line="360" w:lineRule="auto"/>
        <w:ind w:right="240" w:firstLine="480" w:firstLineChars="200"/>
        <w:rPr>
          <w:rFonts w:ascii="仿宋" w:hAnsi="仿宋" w:eastAsia="仿宋" w:cs="仿宋"/>
          <w:sz w:val="24"/>
        </w:rPr>
      </w:pPr>
      <w:r>
        <w:rPr>
          <w:rFonts w:hint="eastAsia" w:ascii="仿宋" w:hAnsi="仿宋" w:eastAsia="仿宋" w:cs="仿宋"/>
          <w:sz w:val="24"/>
        </w:rPr>
        <w:t>13、项目组成员须签订保密协议。</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六、服务人员能力要求</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供应商须保证驻场服务人员对网络交易投诉举报辅助处理服务工作熟悉熟练，服务人员业务能力能够满足相关性辅助处理工作要求，供应商需提供对投诉调解处理、诉转案处置、责改办案、协查移送等各环节辅助工作具体服务方案。</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七、其他要求</w:t>
      </w:r>
    </w:p>
    <w:p>
      <w:pPr>
        <w:numPr>
          <w:ilvl w:val="0"/>
          <w:numId w:val="7"/>
        </w:numPr>
        <w:spacing w:line="360" w:lineRule="auto"/>
        <w:rPr>
          <w:rFonts w:ascii="仿宋" w:hAnsi="仿宋" w:eastAsia="仿宋" w:cs="仿宋"/>
          <w:sz w:val="24"/>
        </w:rPr>
      </w:pPr>
      <w:r>
        <w:rPr>
          <w:rFonts w:hint="eastAsia" w:ascii="仿宋" w:hAnsi="仿宋" w:eastAsia="仿宋" w:cs="仿宋"/>
          <w:sz w:val="24"/>
        </w:rPr>
        <w:t>招标方保留项目运行过程中涉及的所有数据所有权和使用权，未经招标方同意，中标方不得泄露、使用、复制有关数据；</w:t>
      </w:r>
    </w:p>
    <w:p>
      <w:pPr>
        <w:numPr>
          <w:ilvl w:val="0"/>
          <w:numId w:val="7"/>
        </w:numPr>
        <w:spacing w:line="360" w:lineRule="auto"/>
        <w:rPr>
          <w:rFonts w:ascii="仿宋" w:hAnsi="仿宋" w:eastAsia="仿宋" w:cs="仿宋"/>
          <w:sz w:val="24"/>
        </w:rPr>
      </w:pPr>
      <w:r>
        <w:rPr>
          <w:rFonts w:hint="eastAsia" w:ascii="仿宋" w:hAnsi="仿宋" w:eastAsia="仿宋" w:cs="仿宋"/>
          <w:sz w:val="24"/>
        </w:rPr>
        <w:t>A4纸张、硒粉由招标方提供。其他与工作相关的办公设备及耗材由中标方自行解决，包括但不限于开展工作必须的电脑、扫描仪、打印机等相关工作所需要的软硬件设施设备及其维护。</w:t>
      </w:r>
    </w:p>
    <w:p>
      <w:pPr>
        <w:numPr>
          <w:ilvl w:val="0"/>
          <w:numId w:val="7"/>
        </w:numPr>
        <w:spacing w:line="360" w:lineRule="auto"/>
        <w:rPr>
          <w:rFonts w:ascii="仿宋" w:hAnsi="仿宋" w:eastAsia="仿宋" w:cs="仿宋"/>
          <w:kern w:val="0"/>
          <w:sz w:val="24"/>
        </w:rPr>
      </w:pPr>
      <w:r>
        <w:rPr>
          <w:rFonts w:hint="eastAsia" w:ascii="仿宋" w:hAnsi="仿宋" w:eastAsia="仿宋" w:cs="仿宋"/>
          <w:sz w:val="24"/>
        </w:rPr>
        <w:t>办公场</w:t>
      </w:r>
      <w:r>
        <w:rPr>
          <w:rFonts w:hint="eastAsia" w:ascii="仿宋" w:hAnsi="仿宋" w:eastAsia="仿宋" w:cs="仿宋"/>
          <w:kern w:val="0"/>
          <w:sz w:val="24"/>
        </w:rPr>
        <w:t>地及桌椅由招标方提供。</w:t>
      </w:r>
    </w:p>
    <w:p>
      <w:pPr>
        <w:widowControl/>
        <w:tabs>
          <w:tab w:val="left" w:pos="540"/>
        </w:tabs>
        <w:autoSpaceDE w:val="0"/>
        <w:autoSpaceDN w:val="0"/>
        <w:spacing w:line="360" w:lineRule="auto"/>
        <w:ind w:right="240" w:firstLine="482"/>
        <w:textAlignment w:val="bottom"/>
        <w:rPr>
          <w:rFonts w:ascii="仿宋" w:hAnsi="仿宋" w:eastAsia="仿宋" w:cs="仿宋"/>
          <w:b/>
          <w:color w:val="000000"/>
          <w:sz w:val="24"/>
        </w:rPr>
      </w:pPr>
      <w:r>
        <w:rPr>
          <w:rFonts w:hint="eastAsia" w:ascii="仿宋" w:hAnsi="仿宋" w:eastAsia="仿宋" w:cs="仿宋"/>
          <w:b/>
          <w:color w:val="000000"/>
          <w:sz w:val="24"/>
        </w:rPr>
        <w:t>八、服务期限</w:t>
      </w:r>
    </w:p>
    <w:p>
      <w:pPr>
        <w:spacing w:line="360" w:lineRule="auto"/>
        <w:ind w:right="240" w:firstLine="480"/>
        <w:rPr>
          <w:rFonts w:ascii="仿宋" w:hAnsi="仿宋" w:eastAsia="仿宋" w:cs="仿宋"/>
          <w:color w:val="000000"/>
          <w:sz w:val="24"/>
        </w:rPr>
      </w:pPr>
      <w:r>
        <w:rPr>
          <w:rFonts w:hint="eastAsia" w:ascii="仿宋" w:hAnsi="仿宋" w:eastAsia="仿宋" w:cs="仿宋"/>
          <w:color w:val="000000"/>
          <w:sz w:val="24"/>
        </w:rPr>
        <w:t>工作期限为365天，计划时间2022年6月9日起至2023年6月8日止。</w:t>
      </w:r>
    </w:p>
    <w:p>
      <w:pPr>
        <w:widowControl/>
        <w:tabs>
          <w:tab w:val="left" w:pos="540"/>
        </w:tabs>
        <w:autoSpaceDE w:val="0"/>
        <w:autoSpaceDN w:val="0"/>
        <w:spacing w:line="360" w:lineRule="auto"/>
        <w:ind w:right="240" w:firstLine="475" w:firstLineChars="197"/>
        <w:textAlignment w:val="bottom"/>
        <w:rPr>
          <w:rFonts w:ascii="仿宋" w:hAnsi="仿宋" w:eastAsia="仿宋" w:cs="仿宋"/>
          <w:b/>
          <w:color w:val="000000"/>
          <w:sz w:val="24"/>
        </w:rPr>
      </w:pPr>
      <w:r>
        <w:rPr>
          <w:rFonts w:hint="eastAsia" w:ascii="仿宋" w:hAnsi="仿宋" w:eastAsia="仿宋" w:cs="仿宋"/>
          <w:b/>
          <w:color w:val="000000"/>
          <w:sz w:val="24"/>
        </w:rPr>
        <w:t>九、履约保证金</w:t>
      </w:r>
    </w:p>
    <w:p>
      <w:pPr>
        <w:spacing w:line="360" w:lineRule="auto"/>
        <w:ind w:firstLine="480" w:firstLineChars="200"/>
        <w:rPr>
          <w:rFonts w:ascii="仿宋" w:hAnsi="仿宋" w:eastAsia="仿宋" w:cs="仿宋"/>
          <w:sz w:val="24"/>
        </w:rPr>
      </w:pPr>
      <w:bookmarkStart w:id="32" w:name="OLE_LINK42"/>
      <w:bookmarkStart w:id="33" w:name="OLE_LINK41"/>
      <w:r>
        <w:rPr>
          <w:rFonts w:hint="eastAsia" w:ascii="仿宋" w:hAnsi="仿宋" w:eastAsia="仿宋" w:cs="仿宋"/>
          <w:sz w:val="24"/>
        </w:rPr>
        <w:t>1、合同签订后三日内由中标单位支付合同总金额的2.5%作为履约保证金。项目期满后，服务良好、考核合格、交接验收完毕、且无廉政问题，履约保证金于项目期满后30个工作日（如有处罚则扣除）归还。</w:t>
      </w:r>
    </w:p>
    <w:bookmarkEnd w:id="32"/>
    <w:bookmarkEnd w:id="33"/>
    <w:p>
      <w:pPr>
        <w:spacing w:line="360" w:lineRule="auto"/>
        <w:ind w:firstLine="480" w:firstLineChars="200"/>
        <w:rPr>
          <w:rFonts w:ascii="仿宋" w:hAnsi="仿宋" w:eastAsia="仿宋" w:cs="仿宋"/>
          <w:sz w:val="24"/>
        </w:rPr>
      </w:pPr>
      <w:r>
        <w:rPr>
          <w:rFonts w:hint="eastAsia" w:ascii="仿宋" w:hAnsi="仿宋" w:eastAsia="仿宋" w:cs="仿宋"/>
          <w:sz w:val="24"/>
        </w:rPr>
        <w:t>2、中标单位如未按时交纳履约保证金，采购人有权解除本合同。</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3、履约保证金</w:t>
      </w:r>
      <w:r>
        <w:rPr>
          <w:rFonts w:hint="eastAsia" w:ascii="仿宋" w:hAnsi="仿宋" w:eastAsia="仿宋" w:cs="仿宋"/>
          <w:color w:val="000000"/>
          <w:sz w:val="24"/>
        </w:rPr>
        <w:t>交纳至甲方指定账户。</w:t>
      </w:r>
    </w:p>
    <w:p>
      <w:pPr>
        <w:spacing w:line="360" w:lineRule="auto"/>
        <w:ind w:right="240" w:firstLine="482"/>
        <w:jc w:val="left"/>
        <w:rPr>
          <w:rFonts w:ascii="仿宋" w:hAnsi="仿宋" w:eastAsia="仿宋" w:cs="仿宋"/>
          <w:b/>
          <w:bCs/>
          <w:color w:val="000000"/>
          <w:sz w:val="24"/>
        </w:rPr>
      </w:pPr>
      <w:r>
        <w:rPr>
          <w:rFonts w:hint="eastAsia" w:ascii="仿宋" w:hAnsi="仿宋" w:eastAsia="仿宋" w:cs="仿宋"/>
          <w:b/>
          <w:bCs/>
          <w:color w:val="000000"/>
          <w:sz w:val="24"/>
        </w:rPr>
        <w:t>十、结算和支付方式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人分三次支付费用（凭正规发票）：首次支付为合同签订后15天内支付本合同总价的30%，第二次支付为2022年11月20日前，支付金额为本合同总价的30%；第三次支付为项目期满全部完成且经考核合格通过，甲方在三十个工作日内根据项目整体考核指标及已完成工作量进行全部清算。在合同期内发现考核不合格的或出现应当终止合同的情形的，合同终止，甲方在合同终止后不再支付合同余款，还有权要求乙方支付合同违约金，违约金的比例为合同结算金额的20%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spacing w:line="360" w:lineRule="auto"/>
        <w:ind w:firstLine="480" w:firstLineChars="200"/>
        <w:rPr>
          <w:rFonts w:ascii="仿宋" w:hAnsi="仿宋" w:eastAsia="仿宋" w:cs="仿宋"/>
          <w:sz w:val="24"/>
        </w:rPr>
      </w:pPr>
      <w:r>
        <w:rPr>
          <w:rFonts w:hint="eastAsia" w:ascii="仿宋" w:hAnsi="仿宋" w:eastAsia="仿宋" w:cs="仿宋"/>
          <w:sz w:val="24"/>
        </w:rPr>
        <w:t>3、付款按财政政策执行，因不符合财政资金支付时间要求等原因造成不能及时付款的，甲方不承担责任。</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4、202</w:t>
      </w:r>
      <w:r>
        <w:rPr>
          <w:rFonts w:hint="eastAsia" w:ascii="仿宋" w:hAnsi="仿宋" w:eastAsia="仿宋" w:cs="仿宋"/>
          <w:sz w:val="24"/>
          <w:highlight w:val="none"/>
          <w:lang w:eastAsia="zh-CN"/>
        </w:rPr>
        <w:t>2</w:t>
      </w:r>
      <w:r>
        <w:rPr>
          <w:rFonts w:ascii="仿宋" w:hAnsi="仿宋" w:eastAsia="仿宋" w:cs="仿宋"/>
          <w:sz w:val="24"/>
          <w:highlight w:val="none"/>
        </w:rPr>
        <w:t>年度</w:t>
      </w:r>
      <w:r>
        <w:rPr>
          <w:rFonts w:hint="eastAsia" w:ascii="仿宋" w:hAnsi="仿宋" w:eastAsia="仿宋" w:cs="仿宋"/>
          <w:sz w:val="24"/>
          <w:highlight w:val="none"/>
        </w:rPr>
        <w:t>项目周期结算清单明细由甲方核定。</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乙方不得以达到或超出结算金额擅自停止服务，也不得降低服务质量或减少人员，否则将直接视为考核不合格。</w:t>
      </w:r>
    </w:p>
    <w:p>
      <w:pPr>
        <w:spacing w:line="360" w:lineRule="auto"/>
        <w:ind w:right="240" w:firstLine="482"/>
        <w:jc w:val="left"/>
        <w:rPr>
          <w:rFonts w:ascii="仿宋" w:hAnsi="仿宋" w:eastAsia="仿宋" w:cs="仿宋"/>
          <w:b/>
          <w:bCs/>
          <w:sz w:val="24"/>
        </w:rPr>
      </w:pPr>
      <w:r>
        <w:rPr>
          <w:rFonts w:hint="eastAsia" w:ascii="仿宋" w:hAnsi="仿宋" w:eastAsia="仿宋" w:cs="仿宋"/>
          <w:b/>
          <w:bCs/>
          <w:sz w:val="24"/>
        </w:rPr>
        <w:t>十一、其他说明</w:t>
      </w:r>
    </w:p>
    <w:p>
      <w:pPr>
        <w:spacing w:line="360" w:lineRule="auto"/>
        <w:ind w:right="238" w:firstLine="482"/>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其他未明事项按采购人要求和合同条款内容执行。</w:t>
      </w:r>
    </w:p>
    <w:p>
      <w:pPr>
        <w:pStyle w:val="2"/>
        <w:spacing w:line="360" w:lineRule="auto"/>
        <w:ind w:right="238" w:firstLine="482"/>
        <w:rPr>
          <w:rFonts w:hint="eastAsia" w:ascii="仿宋" w:eastAsia="仿宋" w:cs="仿宋"/>
          <w:sz w:val="24"/>
          <w:lang w:val="en-US" w:eastAsia="zh-CN"/>
        </w:rPr>
      </w:pPr>
      <w:r>
        <w:rPr>
          <w:rFonts w:hint="eastAsia" w:ascii="仿宋" w:eastAsia="仿宋" w:cs="仿宋"/>
          <w:sz w:val="24"/>
          <w:lang w:val="en-US" w:eastAsia="zh-CN"/>
        </w:rPr>
        <w:t>2、本项目根据投标综合单价限价见下表，投标时结合最高限价进行单价报价</w:t>
      </w:r>
      <w:r>
        <w:rPr>
          <w:rFonts w:hint="eastAsia" w:ascii="仿宋" w:hAnsi="仿宋" w:eastAsia="仿宋" w:cs="仿宋"/>
          <w:sz w:val="24"/>
          <w:lang w:val="en-US" w:eastAsia="zh-CN"/>
        </w:rPr>
        <w:t>，结算时根据投标单价结合实际完成数量进行计算。投标综合单价限价分别为：</w:t>
      </w:r>
    </w:p>
    <w:tbl>
      <w:tblPr>
        <w:tblStyle w:val="66"/>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58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25"/>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5580" w:type="dxa"/>
            <w:vAlign w:val="center"/>
          </w:tcPr>
          <w:p>
            <w:pPr>
              <w:pStyle w:val="25"/>
              <w:spacing w:line="360" w:lineRule="auto"/>
              <w:ind w:firstLine="0" w:firstLineChars="0"/>
              <w:jc w:val="center"/>
              <w:rPr>
                <w:rFonts w:ascii="仿宋" w:hAnsi="仿宋" w:eastAsia="仿宋" w:cs="仿宋"/>
                <w:b/>
                <w:bCs/>
              </w:rPr>
            </w:pPr>
            <w:r>
              <w:rPr>
                <w:rFonts w:hint="eastAsia" w:ascii="仿宋" w:hAnsi="仿宋" w:eastAsia="仿宋" w:cs="仿宋"/>
                <w:b/>
                <w:bCs/>
              </w:rPr>
              <w:t>辅助工作类型</w:t>
            </w:r>
          </w:p>
        </w:tc>
        <w:tc>
          <w:tcPr>
            <w:tcW w:w="2385" w:type="dxa"/>
            <w:vAlign w:val="center"/>
          </w:tcPr>
          <w:p>
            <w:pPr>
              <w:pStyle w:val="25"/>
              <w:spacing w:line="360" w:lineRule="auto"/>
              <w:ind w:firstLine="0" w:firstLineChars="0"/>
              <w:jc w:val="center"/>
              <w:rPr>
                <w:rFonts w:hint="eastAsia" w:ascii="仿宋" w:hAnsi="仿宋" w:eastAsia="仿宋" w:cs="仿宋"/>
                <w:b/>
                <w:bCs/>
                <w:lang w:eastAsia="zh-CN"/>
              </w:rPr>
            </w:pPr>
            <w:r>
              <w:rPr>
                <w:rFonts w:hint="eastAsia" w:ascii="仿宋" w:hAnsi="仿宋" w:eastAsia="仿宋" w:cs="仿宋"/>
                <w:b/>
                <w:bCs/>
                <w:lang w:eastAsia="zh-CN"/>
              </w:rPr>
              <w:t>单件限价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投诉件调解</w:t>
            </w:r>
          </w:p>
        </w:tc>
        <w:tc>
          <w:tcPr>
            <w:tcW w:w="238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2</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举报件处置</w:t>
            </w:r>
          </w:p>
        </w:tc>
        <w:tc>
          <w:tcPr>
            <w:tcW w:w="238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5580"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rPr>
              <w:t>书信举报件处置</w:t>
            </w:r>
          </w:p>
        </w:tc>
        <w:tc>
          <w:tcPr>
            <w:tcW w:w="238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5580"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rPr>
              <w:t>其他重要件处置</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5</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监管宝立案调查</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6</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监管宝不予立案</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7</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商家地址责改</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lang w:val="en-US" w:eastAsia="zh-CN"/>
              </w:rPr>
              <w:t>8</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外地案件移送</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9</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外地协查调查</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商品处置</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p>
        </w:tc>
        <w:tc>
          <w:tcPr>
            <w:tcW w:w="5580" w:type="dxa"/>
            <w:vAlign w:val="center"/>
          </w:tcPr>
          <w:p>
            <w:pPr>
              <w:pStyle w:val="25"/>
              <w:spacing w:line="360" w:lineRule="auto"/>
              <w:ind w:firstLine="0" w:firstLineChars="0"/>
              <w:jc w:val="center"/>
              <w:rPr>
                <w:rFonts w:ascii="仿宋" w:hAnsi="仿宋" w:eastAsia="仿宋" w:cs="仿宋"/>
              </w:rPr>
            </w:pPr>
            <w:r>
              <w:rPr>
                <w:rFonts w:hint="eastAsia" w:ascii="仿宋" w:hAnsi="仿宋" w:eastAsia="仿宋" w:cs="仿宋"/>
              </w:rPr>
              <w:t>其他系统处置</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5580" w:type="dxa"/>
            <w:vAlign w:val="center"/>
          </w:tcPr>
          <w:p>
            <w:pPr>
              <w:pStyle w:val="25"/>
              <w:spacing w:line="360" w:lineRule="auto"/>
              <w:ind w:firstLine="0" w:firstLineChars="0"/>
              <w:jc w:val="center"/>
              <w:rPr>
                <w:rFonts w:hint="eastAsia" w:ascii="仿宋" w:hAnsi="仿宋" w:eastAsia="仿宋" w:cs="仿宋"/>
              </w:rPr>
            </w:pPr>
            <w:r>
              <w:rPr>
                <w:rFonts w:hint="eastAsia" w:ascii="仿宋" w:hAnsi="仿宋" w:eastAsia="仿宋" w:cs="仿宋"/>
              </w:rPr>
              <w:t>复议、诉讼答复</w:t>
            </w:r>
          </w:p>
        </w:tc>
        <w:tc>
          <w:tcPr>
            <w:tcW w:w="238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5580" w:type="dxa"/>
            <w:vAlign w:val="center"/>
          </w:tcPr>
          <w:p>
            <w:pPr>
              <w:pStyle w:val="25"/>
              <w:spacing w:line="360" w:lineRule="auto"/>
              <w:ind w:firstLine="0" w:firstLineChars="0"/>
              <w:jc w:val="center"/>
              <w:rPr>
                <w:rFonts w:hint="eastAsia" w:ascii="仿宋" w:hAnsi="仿宋" w:eastAsia="仿宋" w:cs="仿宋"/>
              </w:rPr>
            </w:pPr>
            <w:r>
              <w:rPr>
                <w:rFonts w:hint="eastAsia" w:ascii="仿宋" w:hAnsi="仿宋" w:eastAsia="仿宋" w:cs="仿宋"/>
              </w:rPr>
              <w:t>复议、诉讼调解</w:t>
            </w:r>
          </w:p>
        </w:tc>
        <w:tc>
          <w:tcPr>
            <w:tcW w:w="2385"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0" w:type="dxa"/>
            <w:vAlign w:val="center"/>
          </w:tcPr>
          <w:p>
            <w:pPr>
              <w:pStyle w:val="25"/>
              <w:spacing w:line="36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5580" w:type="dxa"/>
            <w:vAlign w:val="center"/>
          </w:tcPr>
          <w:p>
            <w:pPr>
              <w:pStyle w:val="25"/>
              <w:spacing w:line="360" w:lineRule="auto"/>
              <w:ind w:firstLine="0" w:firstLineChars="0"/>
              <w:jc w:val="center"/>
              <w:rPr>
                <w:rFonts w:hint="eastAsia" w:ascii="仿宋" w:hAnsi="仿宋" w:eastAsia="仿宋" w:cs="仿宋"/>
              </w:rPr>
            </w:pPr>
            <w:r>
              <w:rPr>
                <w:rFonts w:hint="eastAsia" w:ascii="仿宋" w:hAnsi="仿宋" w:eastAsia="仿宋" w:cs="仿宋"/>
                <w:lang w:eastAsia="zh-CN"/>
              </w:rPr>
              <w:t>信息公开辅助</w:t>
            </w:r>
          </w:p>
        </w:tc>
        <w:tc>
          <w:tcPr>
            <w:tcW w:w="2385" w:type="dxa"/>
            <w:vAlign w:val="center"/>
          </w:tcPr>
          <w:p>
            <w:pPr>
              <w:pStyle w:val="25"/>
              <w:spacing w:line="360" w:lineRule="auto"/>
              <w:ind w:firstLine="0" w:firstLineChars="0"/>
              <w:jc w:val="center"/>
              <w:rPr>
                <w:rFonts w:hint="eastAsia" w:ascii="仿宋" w:hAnsi="仿宋" w:eastAsia="仿宋" w:cs="仿宋"/>
                <w:lang w:eastAsia="zh-CN"/>
              </w:rPr>
            </w:pPr>
            <w:r>
              <w:rPr>
                <w:rFonts w:hint="eastAsia" w:ascii="仿宋" w:hAnsi="仿宋" w:eastAsia="仿宋" w:cs="仿宋"/>
                <w:lang w:val="en-US" w:eastAsia="zh-CN"/>
              </w:rPr>
              <w:t>120元</w:t>
            </w:r>
          </w:p>
        </w:tc>
      </w:tr>
    </w:tbl>
    <w:p>
      <w:pPr>
        <w:spacing w:line="480" w:lineRule="auto"/>
        <w:ind w:firstLine="0" w:firstLineChars="0"/>
        <w:rPr>
          <w:rFonts w:hint="eastAsia" w:ascii="仿宋" w:hAnsi="仿宋" w:eastAsia="仿宋" w:cs="仿宋"/>
          <w:b/>
          <w:bCs/>
          <w:sz w:val="24"/>
          <w:lang w:eastAsia="zh-CN"/>
        </w:rPr>
      </w:pPr>
      <w:r>
        <w:rPr>
          <w:rFonts w:hint="eastAsia" w:ascii="仿宋" w:hAnsi="仿宋" w:eastAsia="仿宋" w:cs="仿宋"/>
          <w:b/>
          <w:bCs/>
          <w:sz w:val="24"/>
          <w:lang w:eastAsia="zh-CN"/>
        </w:rPr>
        <w:t>注：上述服务包括不限于未明列上表已在采购需求中体现的内容，由投标单位综合考量计入上述综合单价中。</w:t>
      </w:r>
    </w:p>
    <w:p>
      <w:pPr>
        <w:snapToGrid w:val="0"/>
        <w:spacing w:line="480" w:lineRule="auto"/>
        <w:rPr>
          <w:rFonts w:ascii="仿宋" w:hAnsi="仿宋" w:eastAsia="仿宋" w:cs="仿宋"/>
          <w:b/>
          <w:sz w:val="36"/>
          <w:szCs w:val="36"/>
        </w:rPr>
      </w:pPr>
    </w:p>
    <w:p>
      <w:pPr>
        <w:pStyle w:val="2"/>
        <w:rPr>
          <w:rFonts w:ascii="仿宋" w:eastAsia="仿宋" w:cs="仿宋"/>
          <w:b/>
          <w:sz w:val="36"/>
          <w:szCs w:val="36"/>
        </w:rPr>
      </w:pPr>
    </w:p>
    <w:p>
      <w:pPr>
        <w:rPr>
          <w:rFonts w:ascii="仿宋" w:hAnsi="仿宋" w:eastAsia="仿宋" w:cs="仿宋"/>
          <w:b/>
          <w:sz w:val="36"/>
          <w:szCs w:val="36"/>
        </w:rPr>
      </w:pPr>
    </w:p>
    <w:p>
      <w:pPr>
        <w:pStyle w:val="2"/>
        <w:rPr>
          <w:rFonts w:ascii="仿宋" w:eastAsia="仿宋" w:cs="仿宋"/>
          <w:b/>
          <w:sz w:val="36"/>
          <w:szCs w:val="36"/>
        </w:rPr>
      </w:pPr>
    </w:p>
    <w:p>
      <w:pPr>
        <w:rPr>
          <w:rFonts w:ascii="仿宋" w:hAnsi="仿宋" w:eastAsia="仿宋" w:cs="仿宋"/>
          <w:b/>
          <w:sz w:val="36"/>
          <w:szCs w:val="36"/>
        </w:rPr>
      </w:pPr>
    </w:p>
    <w:p>
      <w:pPr>
        <w:pStyle w:val="2"/>
        <w:rPr>
          <w:rFonts w:ascii="仿宋" w:eastAsia="仿宋" w:cs="仿宋"/>
          <w:b/>
          <w:sz w:val="36"/>
          <w:szCs w:val="36"/>
        </w:rPr>
      </w:pPr>
    </w:p>
    <w:p>
      <w:pPr>
        <w:rPr>
          <w:rFonts w:ascii="仿宋" w:eastAsia="仿宋" w:cs="仿宋"/>
          <w:b/>
          <w:sz w:val="36"/>
          <w:szCs w:val="36"/>
        </w:rPr>
      </w:pPr>
    </w:p>
    <w:p>
      <w:pPr>
        <w:pStyle w:val="2"/>
        <w:rPr>
          <w:rFonts w:ascii="仿宋" w:eastAsia="仿宋" w:cs="仿宋"/>
          <w:b/>
          <w:sz w:val="36"/>
          <w:szCs w:val="36"/>
        </w:rPr>
      </w:pPr>
    </w:p>
    <w:p/>
    <w:p>
      <w:pPr>
        <w:rPr>
          <w:rFonts w:ascii="仿宋" w:hAnsi="仿宋" w:eastAsia="仿宋" w:cs="仿宋"/>
          <w:b/>
          <w:sz w:val="36"/>
          <w:szCs w:val="36"/>
        </w:rPr>
      </w:pPr>
    </w:p>
    <w:p>
      <w:pPr>
        <w:pStyle w:val="2"/>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34" w:name="_Toc184313295"/>
      <w:bookmarkEnd w:id="34"/>
      <w:bookmarkStart w:id="35" w:name="_Toc184313253"/>
      <w:bookmarkEnd w:id="35"/>
      <w:bookmarkStart w:id="36" w:name="_Toc184313298"/>
      <w:bookmarkEnd w:id="36"/>
      <w:bookmarkStart w:id="37" w:name="_Toc184308049"/>
      <w:bookmarkEnd w:id="37"/>
      <w:bookmarkStart w:id="38" w:name="_Toc184312097"/>
      <w:bookmarkEnd w:id="38"/>
      <w:bookmarkStart w:id="39" w:name="_Toc184310321"/>
      <w:bookmarkEnd w:id="39"/>
      <w:bookmarkStart w:id="40" w:name="_Toc184310340"/>
      <w:bookmarkEnd w:id="40"/>
      <w:bookmarkStart w:id="41" w:name="_Toc184312091"/>
      <w:bookmarkEnd w:id="41"/>
      <w:bookmarkStart w:id="42" w:name="_Toc184308087"/>
      <w:bookmarkEnd w:id="42"/>
      <w:bookmarkStart w:id="43" w:name="_Toc184313273"/>
      <w:bookmarkEnd w:id="43"/>
      <w:bookmarkStart w:id="44" w:name="_Toc184314462"/>
      <w:bookmarkEnd w:id="44"/>
      <w:bookmarkStart w:id="45" w:name="_Toc184310283"/>
      <w:bookmarkEnd w:id="45"/>
      <w:bookmarkStart w:id="46" w:name="_Toc184314433"/>
      <w:bookmarkEnd w:id="46"/>
      <w:bookmarkStart w:id="47" w:name="_Toc184312102"/>
      <w:bookmarkEnd w:id="47"/>
      <w:bookmarkStart w:id="48" w:name="_Toc184313283"/>
      <w:bookmarkEnd w:id="48"/>
      <w:bookmarkStart w:id="49" w:name="_Toc184314450"/>
      <w:bookmarkEnd w:id="49"/>
      <w:bookmarkStart w:id="50" w:name="_Toc184310329"/>
      <w:bookmarkEnd w:id="50"/>
      <w:bookmarkStart w:id="51" w:name="_Toc184313250"/>
      <w:bookmarkEnd w:id="51"/>
      <w:bookmarkStart w:id="52" w:name="_Toc184313304"/>
      <w:bookmarkEnd w:id="52"/>
      <w:bookmarkStart w:id="53" w:name="_Toc184313294"/>
      <w:bookmarkEnd w:id="53"/>
      <w:bookmarkStart w:id="54" w:name="_Toc184308099"/>
      <w:bookmarkEnd w:id="54"/>
      <w:bookmarkStart w:id="55" w:name="_Toc184308065"/>
      <w:bookmarkEnd w:id="55"/>
      <w:bookmarkStart w:id="56" w:name="_Toc184308071"/>
      <w:bookmarkEnd w:id="56"/>
      <w:bookmarkStart w:id="57" w:name="_Toc184314426"/>
      <w:bookmarkEnd w:id="57"/>
      <w:bookmarkStart w:id="58" w:name="_Toc184314459"/>
      <w:bookmarkEnd w:id="58"/>
      <w:bookmarkStart w:id="59" w:name="_Toc184308088"/>
      <w:bookmarkEnd w:id="59"/>
      <w:bookmarkStart w:id="60" w:name="_Toc184313248"/>
      <w:bookmarkEnd w:id="60"/>
      <w:bookmarkStart w:id="61" w:name="_Toc184312100"/>
      <w:bookmarkEnd w:id="61"/>
      <w:bookmarkStart w:id="62" w:name="_Toc184312135"/>
      <w:bookmarkEnd w:id="62"/>
      <w:bookmarkStart w:id="63" w:name="_Toc184308079"/>
      <w:bookmarkEnd w:id="63"/>
      <w:bookmarkStart w:id="64" w:name="_Toc184312119"/>
      <w:bookmarkEnd w:id="64"/>
      <w:bookmarkStart w:id="65" w:name="_Toc184310342"/>
      <w:bookmarkEnd w:id="65"/>
      <w:bookmarkStart w:id="66" w:name="_Toc184312096"/>
      <w:bookmarkEnd w:id="66"/>
      <w:bookmarkStart w:id="67" w:name="_Toc184310330"/>
      <w:bookmarkEnd w:id="67"/>
      <w:bookmarkStart w:id="68" w:name="_Toc184312126"/>
      <w:bookmarkEnd w:id="68"/>
      <w:bookmarkStart w:id="69" w:name="_Toc184312084"/>
      <w:bookmarkEnd w:id="69"/>
      <w:bookmarkStart w:id="70" w:name="_Toc184312105"/>
      <w:bookmarkEnd w:id="70"/>
      <w:bookmarkStart w:id="71" w:name="_Toc184314431"/>
      <w:bookmarkEnd w:id="71"/>
      <w:bookmarkStart w:id="72" w:name="_Toc184313277"/>
      <w:bookmarkEnd w:id="72"/>
      <w:bookmarkStart w:id="73" w:name="_Toc184310332"/>
      <w:bookmarkEnd w:id="73"/>
      <w:bookmarkStart w:id="74" w:name="_Toc184312077"/>
      <w:bookmarkEnd w:id="74"/>
      <w:bookmarkStart w:id="75" w:name="_Toc184310316"/>
      <w:bookmarkEnd w:id="75"/>
      <w:bookmarkStart w:id="76" w:name="_Toc184313242"/>
      <w:bookmarkEnd w:id="76"/>
      <w:bookmarkStart w:id="77" w:name="_Toc184313266"/>
      <w:bookmarkEnd w:id="77"/>
      <w:bookmarkStart w:id="78" w:name="_Toc184314418"/>
      <w:bookmarkEnd w:id="78"/>
      <w:bookmarkStart w:id="79" w:name="_Toc184312087"/>
      <w:bookmarkEnd w:id="79"/>
      <w:bookmarkStart w:id="80" w:name="_Toc184312111"/>
      <w:bookmarkEnd w:id="80"/>
      <w:bookmarkStart w:id="81" w:name="_Toc184308066"/>
      <w:bookmarkEnd w:id="81"/>
      <w:bookmarkStart w:id="82" w:name="_Toc184313303"/>
      <w:bookmarkEnd w:id="82"/>
      <w:bookmarkStart w:id="83" w:name="_Toc184310313"/>
      <w:bookmarkEnd w:id="83"/>
      <w:bookmarkStart w:id="84" w:name="_Toc184308069"/>
      <w:bookmarkEnd w:id="84"/>
      <w:bookmarkStart w:id="85" w:name="_Toc184310308"/>
      <w:bookmarkEnd w:id="85"/>
      <w:bookmarkStart w:id="86" w:name="_Toc184310304"/>
      <w:bookmarkEnd w:id="86"/>
      <w:bookmarkStart w:id="87" w:name="_Toc184312104"/>
      <w:bookmarkEnd w:id="87"/>
      <w:bookmarkStart w:id="88" w:name="_Toc184312137"/>
      <w:bookmarkEnd w:id="88"/>
      <w:bookmarkStart w:id="89" w:name="_Toc184310327"/>
      <w:bookmarkEnd w:id="89"/>
      <w:bookmarkStart w:id="90" w:name="_Toc184314415"/>
      <w:bookmarkEnd w:id="90"/>
      <w:bookmarkStart w:id="91" w:name="_Toc184314481"/>
      <w:bookmarkEnd w:id="91"/>
      <w:bookmarkStart w:id="92" w:name="_Toc184310301"/>
      <w:bookmarkEnd w:id="92"/>
      <w:bookmarkStart w:id="93" w:name="_Toc184312068"/>
      <w:bookmarkEnd w:id="93"/>
      <w:bookmarkStart w:id="94" w:name="_Toc184314411"/>
      <w:bookmarkEnd w:id="94"/>
      <w:bookmarkStart w:id="95" w:name="_Toc184310341"/>
      <w:bookmarkEnd w:id="95"/>
      <w:bookmarkStart w:id="96" w:name="_Toc184308042"/>
      <w:bookmarkEnd w:id="96"/>
      <w:bookmarkStart w:id="97" w:name="_Toc184314413"/>
      <w:bookmarkEnd w:id="97"/>
      <w:bookmarkStart w:id="98" w:name="_Toc184313246"/>
      <w:bookmarkEnd w:id="98"/>
      <w:bookmarkStart w:id="99" w:name="_Toc184312115"/>
      <w:bookmarkEnd w:id="99"/>
      <w:bookmarkStart w:id="100" w:name="_Toc184312113"/>
      <w:bookmarkEnd w:id="100"/>
      <w:bookmarkStart w:id="101" w:name="_Toc184310291"/>
      <w:bookmarkEnd w:id="101"/>
      <w:bookmarkStart w:id="102" w:name="_Toc184312086"/>
      <w:bookmarkEnd w:id="102"/>
      <w:bookmarkStart w:id="103" w:name="_Toc184313287"/>
      <w:bookmarkEnd w:id="103"/>
      <w:bookmarkStart w:id="104" w:name="_Toc184313260"/>
      <w:bookmarkEnd w:id="104"/>
      <w:bookmarkStart w:id="105" w:name="_Toc184312116"/>
      <w:bookmarkEnd w:id="105"/>
      <w:bookmarkStart w:id="106" w:name="_Toc184312123"/>
      <w:bookmarkEnd w:id="106"/>
      <w:bookmarkStart w:id="107" w:name="_Toc184310312"/>
      <w:bookmarkEnd w:id="107"/>
      <w:bookmarkStart w:id="108" w:name="_Toc184314438"/>
      <w:bookmarkEnd w:id="108"/>
      <w:bookmarkStart w:id="109" w:name="_Toc184314443"/>
      <w:bookmarkEnd w:id="109"/>
      <w:bookmarkStart w:id="110" w:name="_Toc184312133"/>
      <w:bookmarkEnd w:id="110"/>
      <w:bookmarkStart w:id="111" w:name="_Toc184308058"/>
      <w:bookmarkEnd w:id="111"/>
      <w:bookmarkStart w:id="112" w:name="_Toc184308082"/>
      <w:bookmarkEnd w:id="112"/>
      <w:bookmarkStart w:id="113" w:name="_Toc184313245"/>
      <w:bookmarkEnd w:id="113"/>
      <w:bookmarkStart w:id="114" w:name="_Toc184313265"/>
      <w:bookmarkEnd w:id="114"/>
      <w:bookmarkStart w:id="115" w:name="_Toc184313288"/>
      <w:bookmarkEnd w:id="115"/>
      <w:bookmarkStart w:id="116" w:name="_Toc184308057"/>
      <w:bookmarkEnd w:id="116"/>
      <w:bookmarkStart w:id="117" w:name="_Toc184314477"/>
      <w:bookmarkEnd w:id="117"/>
      <w:bookmarkStart w:id="118" w:name="_Toc184314442"/>
      <w:bookmarkEnd w:id="118"/>
      <w:bookmarkStart w:id="119" w:name="_Toc184310279"/>
      <w:bookmarkEnd w:id="119"/>
      <w:bookmarkStart w:id="120" w:name="_Toc184314427"/>
      <w:bookmarkEnd w:id="120"/>
      <w:bookmarkStart w:id="121" w:name="_Toc184312092"/>
      <w:bookmarkEnd w:id="121"/>
      <w:bookmarkStart w:id="122" w:name="_Toc184314474"/>
      <w:bookmarkEnd w:id="122"/>
      <w:bookmarkStart w:id="123" w:name="_Toc184312074"/>
      <w:bookmarkEnd w:id="123"/>
      <w:bookmarkStart w:id="124" w:name="_Toc184314434"/>
      <w:bookmarkEnd w:id="124"/>
      <w:bookmarkStart w:id="125" w:name="_Toc184314475"/>
      <w:bookmarkEnd w:id="125"/>
      <w:bookmarkStart w:id="126" w:name="_Toc184308040"/>
      <w:bookmarkEnd w:id="126"/>
      <w:bookmarkStart w:id="127" w:name="_Toc184313299"/>
      <w:bookmarkEnd w:id="127"/>
      <w:bookmarkStart w:id="128" w:name="_Toc184314432"/>
      <w:bookmarkEnd w:id="128"/>
      <w:bookmarkStart w:id="129" w:name="_Toc184308048"/>
      <w:bookmarkEnd w:id="129"/>
      <w:bookmarkStart w:id="130" w:name="_Toc184313255"/>
      <w:bookmarkEnd w:id="130"/>
      <w:bookmarkStart w:id="131" w:name="_Toc184313291"/>
      <w:bookmarkEnd w:id="131"/>
      <w:bookmarkStart w:id="132" w:name="_Toc184310325"/>
      <w:bookmarkEnd w:id="132"/>
      <w:bookmarkStart w:id="133" w:name="_Toc184310295"/>
      <w:bookmarkEnd w:id="133"/>
      <w:bookmarkStart w:id="134" w:name="_Toc184308095"/>
      <w:bookmarkEnd w:id="134"/>
      <w:bookmarkStart w:id="135" w:name="_Toc184313290"/>
      <w:bookmarkEnd w:id="135"/>
      <w:bookmarkStart w:id="136" w:name="_Toc184308089"/>
      <w:bookmarkEnd w:id="136"/>
      <w:bookmarkStart w:id="137" w:name="_Toc184312083"/>
      <w:bookmarkEnd w:id="137"/>
      <w:bookmarkStart w:id="138" w:name="_Toc184313308"/>
      <w:bookmarkEnd w:id="138"/>
      <w:bookmarkStart w:id="139" w:name="_Toc184313271"/>
      <w:bookmarkEnd w:id="139"/>
      <w:bookmarkStart w:id="140" w:name="_Toc184313240"/>
      <w:bookmarkEnd w:id="140"/>
      <w:bookmarkStart w:id="141" w:name="_Toc184312088"/>
      <w:bookmarkEnd w:id="141"/>
      <w:bookmarkStart w:id="142" w:name="_Toc184314455"/>
      <w:bookmarkEnd w:id="142"/>
      <w:bookmarkStart w:id="143" w:name="_Toc184308091"/>
      <w:bookmarkEnd w:id="143"/>
      <w:bookmarkStart w:id="144" w:name="_Toc184313238"/>
      <w:bookmarkEnd w:id="144"/>
      <w:bookmarkStart w:id="145" w:name="_Toc184310273"/>
      <w:bookmarkEnd w:id="145"/>
      <w:bookmarkStart w:id="146" w:name="_Toc184310328"/>
      <w:bookmarkEnd w:id="146"/>
      <w:bookmarkStart w:id="147" w:name="_Toc184310315"/>
      <w:bookmarkEnd w:id="147"/>
      <w:bookmarkStart w:id="148" w:name="_Toc184314451"/>
      <w:bookmarkEnd w:id="148"/>
      <w:bookmarkStart w:id="149" w:name="_Toc184308063"/>
      <w:bookmarkEnd w:id="149"/>
      <w:bookmarkStart w:id="150" w:name="_Toc184310289"/>
      <w:bookmarkEnd w:id="150"/>
      <w:bookmarkStart w:id="151" w:name="_Toc184310272"/>
      <w:bookmarkEnd w:id="151"/>
      <w:bookmarkStart w:id="152" w:name="_Toc184313267"/>
      <w:bookmarkEnd w:id="152"/>
      <w:bookmarkStart w:id="153" w:name="_Toc184310319"/>
      <w:bookmarkEnd w:id="153"/>
      <w:bookmarkStart w:id="154" w:name="_Toc184308108"/>
      <w:bookmarkEnd w:id="154"/>
      <w:bookmarkStart w:id="155" w:name="_Toc184312072"/>
      <w:bookmarkEnd w:id="155"/>
      <w:bookmarkStart w:id="156" w:name="_Toc184314441"/>
      <w:bookmarkEnd w:id="156"/>
      <w:bookmarkStart w:id="157" w:name="_Toc184312106"/>
      <w:bookmarkEnd w:id="157"/>
      <w:bookmarkStart w:id="158" w:name="_Toc184310339"/>
      <w:bookmarkEnd w:id="158"/>
      <w:bookmarkStart w:id="159" w:name="_Toc184310290"/>
      <w:bookmarkEnd w:id="159"/>
      <w:bookmarkStart w:id="160" w:name="_Toc184312067"/>
      <w:bookmarkEnd w:id="160"/>
      <w:bookmarkStart w:id="161" w:name="_Toc184313282"/>
      <w:bookmarkEnd w:id="161"/>
      <w:bookmarkStart w:id="162" w:name="_Toc184310309"/>
      <w:bookmarkEnd w:id="162"/>
      <w:bookmarkStart w:id="163" w:name="_Toc184313306"/>
      <w:bookmarkEnd w:id="163"/>
      <w:bookmarkStart w:id="164" w:name="_Toc184308053"/>
      <w:bookmarkEnd w:id="164"/>
      <w:bookmarkStart w:id="165" w:name="_Toc184314472"/>
      <w:bookmarkEnd w:id="165"/>
      <w:bookmarkStart w:id="166" w:name="_Toc184314456"/>
      <w:bookmarkEnd w:id="166"/>
      <w:bookmarkStart w:id="167" w:name="_Toc184310336"/>
      <w:bookmarkEnd w:id="167"/>
      <w:bookmarkStart w:id="168" w:name="_Toc184312122"/>
      <w:bookmarkEnd w:id="168"/>
      <w:bookmarkStart w:id="169" w:name="_Toc184308067"/>
      <w:bookmarkEnd w:id="169"/>
      <w:bookmarkStart w:id="170" w:name="_Toc184308044"/>
      <w:bookmarkEnd w:id="170"/>
      <w:bookmarkStart w:id="171" w:name="_Toc184313259"/>
      <w:bookmarkEnd w:id="171"/>
      <w:bookmarkStart w:id="172" w:name="_Toc184314469"/>
      <w:bookmarkEnd w:id="172"/>
      <w:bookmarkStart w:id="173" w:name="_Toc184314465"/>
      <w:bookmarkEnd w:id="173"/>
      <w:bookmarkStart w:id="174" w:name="_Toc184312110"/>
      <w:bookmarkEnd w:id="174"/>
      <w:bookmarkStart w:id="175" w:name="_Toc184314420"/>
      <w:bookmarkEnd w:id="175"/>
      <w:bookmarkStart w:id="176" w:name="_Toc184314471"/>
      <w:bookmarkEnd w:id="176"/>
      <w:bookmarkStart w:id="177" w:name="_Toc184314479"/>
      <w:bookmarkEnd w:id="177"/>
      <w:bookmarkStart w:id="178" w:name="_Toc184308105"/>
      <w:bookmarkEnd w:id="178"/>
      <w:bookmarkStart w:id="179" w:name="_Toc184314448"/>
      <w:bookmarkEnd w:id="179"/>
      <w:bookmarkStart w:id="180" w:name="_Toc184308047"/>
      <w:bookmarkEnd w:id="180"/>
      <w:bookmarkStart w:id="181" w:name="_Toc184314473"/>
      <w:bookmarkEnd w:id="181"/>
      <w:bookmarkStart w:id="182" w:name="_Toc184308052"/>
      <w:bookmarkEnd w:id="182"/>
      <w:bookmarkStart w:id="183" w:name="_Toc184314454"/>
      <w:bookmarkEnd w:id="183"/>
      <w:bookmarkStart w:id="184" w:name="_Toc184312139"/>
      <w:bookmarkEnd w:id="184"/>
      <w:bookmarkStart w:id="185" w:name="_Toc184310277"/>
      <w:bookmarkEnd w:id="185"/>
      <w:bookmarkStart w:id="186" w:name="_Toc184313281"/>
      <w:bookmarkEnd w:id="186"/>
      <w:bookmarkStart w:id="187" w:name="_Toc184308080"/>
      <w:bookmarkEnd w:id="187"/>
      <w:bookmarkStart w:id="188" w:name="_Toc184308070"/>
      <w:bookmarkEnd w:id="188"/>
      <w:bookmarkStart w:id="189" w:name="_Toc184312136"/>
      <w:bookmarkEnd w:id="189"/>
      <w:bookmarkStart w:id="190" w:name="_Toc184308107"/>
      <w:bookmarkEnd w:id="190"/>
      <w:bookmarkStart w:id="191" w:name="_Toc184313261"/>
      <w:bookmarkEnd w:id="191"/>
      <w:bookmarkStart w:id="192" w:name="_Toc184308037"/>
      <w:bookmarkEnd w:id="192"/>
      <w:bookmarkStart w:id="193" w:name="_Toc184308064"/>
      <w:bookmarkEnd w:id="193"/>
      <w:bookmarkStart w:id="194" w:name="_Toc184313296"/>
      <w:bookmarkEnd w:id="194"/>
      <w:bookmarkStart w:id="195" w:name="_Toc184308083"/>
      <w:bookmarkEnd w:id="195"/>
      <w:bookmarkStart w:id="196" w:name="_Toc184310299"/>
      <w:bookmarkEnd w:id="196"/>
      <w:bookmarkStart w:id="197" w:name="_Toc184312130"/>
      <w:bookmarkEnd w:id="197"/>
      <w:bookmarkStart w:id="198" w:name="_Toc184312125"/>
      <w:bookmarkEnd w:id="198"/>
      <w:bookmarkStart w:id="199" w:name="_Toc184310302"/>
      <w:bookmarkEnd w:id="199"/>
      <w:bookmarkStart w:id="200" w:name="_Toc184310293"/>
      <w:bookmarkEnd w:id="200"/>
      <w:bookmarkStart w:id="201" w:name="_Toc184310338"/>
      <w:bookmarkEnd w:id="201"/>
      <w:bookmarkStart w:id="202" w:name="_Toc184314423"/>
      <w:bookmarkEnd w:id="202"/>
      <w:bookmarkStart w:id="203" w:name="_Toc184312094"/>
      <w:bookmarkEnd w:id="203"/>
      <w:bookmarkStart w:id="204" w:name="_Toc184312080"/>
      <w:bookmarkEnd w:id="204"/>
      <w:bookmarkStart w:id="205" w:name="_Toc184310337"/>
      <w:bookmarkEnd w:id="205"/>
      <w:bookmarkStart w:id="206" w:name="_Toc184314447"/>
      <w:bookmarkEnd w:id="206"/>
      <w:bookmarkStart w:id="207" w:name="_Toc184308074"/>
      <w:bookmarkEnd w:id="207"/>
      <w:bookmarkStart w:id="208" w:name="_Toc184310324"/>
      <w:bookmarkEnd w:id="208"/>
      <w:bookmarkStart w:id="209" w:name="_Toc184308038"/>
      <w:bookmarkEnd w:id="209"/>
      <w:bookmarkStart w:id="210" w:name="_Toc184313257"/>
      <w:bookmarkEnd w:id="210"/>
      <w:bookmarkStart w:id="211" w:name="_Toc184314422"/>
      <w:bookmarkEnd w:id="211"/>
      <w:bookmarkStart w:id="212" w:name="_Toc184308068"/>
      <w:bookmarkEnd w:id="212"/>
      <w:bookmarkStart w:id="213" w:name="_Toc184314446"/>
      <w:bookmarkEnd w:id="213"/>
      <w:bookmarkStart w:id="214" w:name="_Toc184310300"/>
      <w:bookmarkEnd w:id="214"/>
      <w:bookmarkStart w:id="215" w:name="_Toc184312131"/>
      <w:bookmarkEnd w:id="215"/>
      <w:bookmarkStart w:id="216" w:name="_Toc184310307"/>
      <w:bookmarkEnd w:id="216"/>
      <w:bookmarkStart w:id="217" w:name="_Toc184312101"/>
      <w:bookmarkEnd w:id="217"/>
      <w:bookmarkStart w:id="218" w:name="_Toc184312093"/>
      <w:bookmarkEnd w:id="218"/>
      <w:bookmarkStart w:id="219" w:name="_Toc184312095"/>
      <w:bookmarkEnd w:id="219"/>
      <w:bookmarkStart w:id="220" w:name="_Toc184310317"/>
      <w:bookmarkEnd w:id="220"/>
      <w:bookmarkStart w:id="221" w:name="_Toc184312082"/>
      <w:bookmarkEnd w:id="221"/>
      <w:bookmarkStart w:id="222" w:name="_Toc184308078"/>
      <w:bookmarkEnd w:id="222"/>
      <w:bookmarkStart w:id="223" w:name="_Toc184308055"/>
      <w:bookmarkEnd w:id="223"/>
      <w:bookmarkStart w:id="224" w:name="_Toc184310335"/>
      <w:bookmarkEnd w:id="224"/>
      <w:bookmarkStart w:id="225" w:name="_Toc184312103"/>
      <w:bookmarkEnd w:id="225"/>
      <w:bookmarkStart w:id="226" w:name="_Toc184314482"/>
      <w:bookmarkEnd w:id="226"/>
      <w:bookmarkStart w:id="227" w:name="_Toc184308043"/>
      <w:bookmarkEnd w:id="227"/>
      <w:bookmarkStart w:id="228" w:name="_Toc184313268"/>
      <w:bookmarkEnd w:id="228"/>
      <w:bookmarkStart w:id="229" w:name="_Toc184310344"/>
      <w:bookmarkEnd w:id="229"/>
      <w:bookmarkStart w:id="230" w:name="_Toc184310276"/>
      <w:bookmarkEnd w:id="230"/>
      <w:bookmarkStart w:id="231" w:name="_Toc184312129"/>
      <w:bookmarkEnd w:id="231"/>
      <w:bookmarkStart w:id="232" w:name="_Toc184313272"/>
      <w:bookmarkEnd w:id="232"/>
      <w:bookmarkStart w:id="233" w:name="_Toc184313279"/>
      <w:bookmarkEnd w:id="233"/>
      <w:bookmarkStart w:id="234" w:name="_Toc184308061"/>
      <w:bookmarkEnd w:id="234"/>
      <w:bookmarkStart w:id="235" w:name="_Toc184310322"/>
      <w:bookmarkEnd w:id="235"/>
      <w:bookmarkStart w:id="236" w:name="_Toc184308085"/>
      <w:bookmarkEnd w:id="236"/>
      <w:bookmarkStart w:id="237" w:name="_Toc184313289"/>
      <w:bookmarkEnd w:id="237"/>
      <w:bookmarkStart w:id="238" w:name="_Toc184308104"/>
      <w:bookmarkEnd w:id="238"/>
      <w:bookmarkStart w:id="239" w:name="_Toc184312075"/>
      <w:bookmarkEnd w:id="239"/>
      <w:bookmarkStart w:id="240" w:name="_Toc184314460"/>
      <w:bookmarkEnd w:id="240"/>
      <w:bookmarkStart w:id="241" w:name="_Toc184312132"/>
      <w:bookmarkEnd w:id="241"/>
      <w:bookmarkStart w:id="242" w:name="_Toc184308059"/>
      <w:bookmarkEnd w:id="242"/>
      <w:bookmarkStart w:id="243" w:name="_Toc184313252"/>
      <w:bookmarkEnd w:id="243"/>
      <w:bookmarkStart w:id="244" w:name="_Toc184312117"/>
      <w:bookmarkEnd w:id="244"/>
      <w:bookmarkStart w:id="245" w:name="_Toc184314435"/>
      <w:bookmarkEnd w:id="245"/>
      <w:bookmarkStart w:id="246" w:name="_Toc184314414"/>
      <w:bookmarkEnd w:id="246"/>
      <w:bookmarkStart w:id="247" w:name="_Toc184308041"/>
      <w:bookmarkEnd w:id="247"/>
      <w:bookmarkStart w:id="248" w:name="_Toc184312069"/>
      <w:bookmarkEnd w:id="248"/>
      <w:bookmarkStart w:id="249" w:name="_Toc184310318"/>
      <w:bookmarkEnd w:id="249"/>
      <w:bookmarkStart w:id="250" w:name="_Toc184310314"/>
      <w:bookmarkEnd w:id="250"/>
      <w:bookmarkStart w:id="251" w:name="_Toc184312098"/>
      <w:bookmarkEnd w:id="251"/>
      <w:bookmarkStart w:id="252" w:name="_Toc184314458"/>
      <w:bookmarkEnd w:id="252"/>
      <w:bookmarkStart w:id="253" w:name="_Toc184314430"/>
      <w:bookmarkEnd w:id="253"/>
      <w:bookmarkStart w:id="254" w:name="_Toc184312134"/>
      <w:bookmarkEnd w:id="254"/>
      <w:bookmarkStart w:id="255" w:name="_Toc184314440"/>
      <w:bookmarkEnd w:id="255"/>
      <w:bookmarkStart w:id="256" w:name="_Toc184312085"/>
      <w:bookmarkEnd w:id="256"/>
      <w:bookmarkStart w:id="257" w:name="_Toc184310305"/>
      <w:bookmarkEnd w:id="257"/>
      <w:bookmarkStart w:id="258" w:name="_Toc184314470"/>
      <w:bookmarkEnd w:id="258"/>
      <w:bookmarkStart w:id="259" w:name="_Toc184314416"/>
      <w:bookmarkEnd w:id="259"/>
      <w:bookmarkStart w:id="260" w:name="_Toc184308072"/>
      <w:bookmarkEnd w:id="260"/>
      <w:bookmarkStart w:id="261" w:name="_Toc184313286"/>
      <w:bookmarkEnd w:id="261"/>
      <w:bookmarkStart w:id="262" w:name="_Toc184308086"/>
      <w:bookmarkEnd w:id="262"/>
      <w:bookmarkStart w:id="263" w:name="_Toc184312076"/>
      <w:bookmarkEnd w:id="263"/>
      <w:bookmarkStart w:id="264" w:name="_Toc184312071"/>
      <w:bookmarkEnd w:id="264"/>
      <w:bookmarkStart w:id="265" w:name="_Toc184313284"/>
      <w:bookmarkEnd w:id="265"/>
      <w:bookmarkStart w:id="266" w:name="_Toc184313262"/>
      <w:bookmarkEnd w:id="266"/>
      <w:bookmarkStart w:id="267" w:name="_Toc184310288"/>
      <w:bookmarkEnd w:id="267"/>
      <w:bookmarkStart w:id="268" w:name="_Toc184313285"/>
      <w:bookmarkEnd w:id="268"/>
      <w:bookmarkStart w:id="269" w:name="_Toc184314412"/>
      <w:bookmarkEnd w:id="269"/>
      <w:bookmarkStart w:id="270" w:name="_Toc184313274"/>
      <w:bookmarkEnd w:id="270"/>
      <w:bookmarkStart w:id="271" w:name="_Toc184308054"/>
      <w:bookmarkEnd w:id="271"/>
      <w:bookmarkStart w:id="272" w:name="_Toc184310298"/>
      <w:bookmarkEnd w:id="272"/>
      <w:bookmarkStart w:id="273" w:name="_Toc184310296"/>
      <w:bookmarkEnd w:id="273"/>
      <w:bookmarkStart w:id="274" w:name="_Toc184314428"/>
      <w:bookmarkEnd w:id="274"/>
      <w:bookmarkStart w:id="275" w:name="_Toc184310333"/>
      <w:bookmarkEnd w:id="275"/>
      <w:bookmarkStart w:id="276" w:name="_Toc184313302"/>
      <w:bookmarkEnd w:id="276"/>
      <w:bookmarkStart w:id="277" w:name="_Toc184310323"/>
      <w:bookmarkEnd w:id="277"/>
      <w:bookmarkStart w:id="278" w:name="_Toc184310287"/>
      <w:bookmarkEnd w:id="278"/>
      <w:bookmarkStart w:id="279" w:name="_Toc184310294"/>
      <w:bookmarkEnd w:id="279"/>
      <w:bookmarkStart w:id="280" w:name="_Toc184310281"/>
      <w:bookmarkEnd w:id="280"/>
      <w:bookmarkStart w:id="281" w:name="_Toc184314457"/>
      <w:bookmarkEnd w:id="281"/>
      <w:bookmarkStart w:id="282" w:name="_Toc184308046"/>
      <w:bookmarkEnd w:id="282"/>
      <w:bookmarkStart w:id="283" w:name="_Toc184313278"/>
      <w:bookmarkEnd w:id="283"/>
      <w:bookmarkStart w:id="284" w:name="_Toc184310285"/>
      <w:bookmarkEnd w:id="284"/>
      <w:bookmarkStart w:id="285" w:name="_Toc184314429"/>
      <w:bookmarkEnd w:id="285"/>
      <w:bookmarkStart w:id="286" w:name="_Toc184312107"/>
      <w:bookmarkEnd w:id="286"/>
      <w:bookmarkStart w:id="287" w:name="_Toc184313300"/>
      <w:bookmarkEnd w:id="287"/>
      <w:bookmarkStart w:id="288" w:name="_Toc184313264"/>
      <w:bookmarkEnd w:id="288"/>
      <w:bookmarkStart w:id="289" w:name="_Toc184313270"/>
      <w:bookmarkEnd w:id="289"/>
      <w:bookmarkStart w:id="290" w:name="_Toc184310320"/>
      <w:bookmarkEnd w:id="290"/>
      <w:bookmarkStart w:id="291" w:name="_Toc184308062"/>
      <w:bookmarkEnd w:id="291"/>
      <w:bookmarkStart w:id="292" w:name="_Toc184310280"/>
      <w:bookmarkEnd w:id="292"/>
      <w:bookmarkStart w:id="293" w:name="_Toc184314421"/>
      <w:bookmarkEnd w:id="293"/>
      <w:bookmarkStart w:id="294" w:name="_Toc184314467"/>
      <w:bookmarkEnd w:id="294"/>
      <w:bookmarkStart w:id="295" w:name="_Toc184308097"/>
      <w:bookmarkEnd w:id="295"/>
      <w:bookmarkStart w:id="296" w:name="_Toc184313309"/>
      <w:bookmarkEnd w:id="296"/>
      <w:bookmarkStart w:id="297" w:name="_Toc184312114"/>
      <w:bookmarkEnd w:id="297"/>
      <w:bookmarkStart w:id="298" w:name="_Toc184308103"/>
      <w:bookmarkEnd w:id="298"/>
      <w:bookmarkStart w:id="299" w:name="_Toc184308084"/>
      <w:bookmarkEnd w:id="299"/>
      <w:bookmarkStart w:id="300" w:name="_Toc184313301"/>
      <w:bookmarkEnd w:id="300"/>
      <w:bookmarkStart w:id="301" w:name="_Toc184308050"/>
      <w:bookmarkEnd w:id="301"/>
      <w:bookmarkStart w:id="302" w:name="_Toc184313251"/>
      <w:bookmarkEnd w:id="302"/>
      <w:bookmarkStart w:id="303" w:name="_Toc184313293"/>
      <w:bookmarkEnd w:id="303"/>
      <w:bookmarkStart w:id="304" w:name="_Toc184314444"/>
      <w:bookmarkEnd w:id="304"/>
      <w:bookmarkStart w:id="305" w:name="_Toc184308060"/>
      <w:bookmarkEnd w:id="305"/>
      <w:bookmarkStart w:id="306" w:name="_Toc184313254"/>
      <w:bookmarkEnd w:id="306"/>
      <w:bookmarkStart w:id="307" w:name="_Toc184314439"/>
      <w:bookmarkEnd w:id="307"/>
      <w:bookmarkStart w:id="308" w:name="_Toc184312079"/>
      <w:bookmarkEnd w:id="308"/>
      <w:bookmarkStart w:id="309" w:name="_Toc184312138"/>
      <w:bookmarkEnd w:id="309"/>
      <w:bookmarkStart w:id="310" w:name="_Toc184313258"/>
      <w:bookmarkEnd w:id="310"/>
      <w:bookmarkStart w:id="311" w:name="_Toc184310343"/>
      <w:bookmarkEnd w:id="311"/>
      <w:bookmarkStart w:id="312" w:name="_Toc184310282"/>
      <w:bookmarkEnd w:id="312"/>
      <w:bookmarkStart w:id="313" w:name="_Toc184314424"/>
      <w:bookmarkEnd w:id="313"/>
      <w:bookmarkStart w:id="314" w:name="_Toc184313243"/>
      <w:bookmarkEnd w:id="314"/>
      <w:bookmarkStart w:id="315" w:name="_Toc184308102"/>
      <w:bookmarkEnd w:id="315"/>
      <w:bookmarkStart w:id="316" w:name="_Toc184312120"/>
      <w:bookmarkEnd w:id="316"/>
      <w:bookmarkStart w:id="317" w:name="_Toc184308076"/>
      <w:bookmarkEnd w:id="317"/>
      <w:bookmarkStart w:id="318" w:name="_Toc184310297"/>
      <w:bookmarkEnd w:id="318"/>
      <w:bookmarkStart w:id="319" w:name="_Toc184312112"/>
      <w:bookmarkEnd w:id="319"/>
      <w:bookmarkStart w:id="320" w:name="_Toc184308045"/>
      <w:bookmarkEnd w:id="320"/>
      <w:bookmarkStart w:id="321" w:name="_Toc184313241"/>
      <w:bookmarkEnd w:id="321"/>
      <w:bookmarkStart w:id="322" w:name="_Toc184314468"/>
      <w:bookmarkEnd w:id="322"/>
      <w:bookmarkStart w:id="323" w:name="_Toc184314478"/>
      <w:bookmarkEnd w:id="323"/>
      <w:bookmarkStart w:id="324" w:name="_Toc184314452"/>
      <w:bookmarkEnd w:id="324"/>
      <w:bookmarkStart w:id="325" w:name="_Toc184313307"/>
      <w:bookmarkEnd w:id="325"/>
      <w:bookmarkStart w:id="326" w:name="_Toc184308051"/>
      <w:bookmarkEnd w:id="326"/>
      <w:bookmarkStart w:id="327" w:name="_Toc184312070"/>
      <w:bookmarkEnd w:id="327"/>
      <w:bookmarkStart w:id="328" w:name="_Toc184310284"/>
      <w:bookmarkEnd w:id="328"/>
      <w:bookmarkStart w:id="329" w:name="_Toc184313276"/>
      <w:bookmarkEnd w:id="329"/>
      <w:bookmarkStart w:id="330" w:name="_Toc184308094"/>
      <w:bookmarkEnd w:id="330"/>
      <w:bookmarkStart w:id="331" w:name="_Toc184310278"/>
      <w:bookmarkEnd w:id="331"/>
      <w:bookmarkStart w:id="332" w:name="_Toc184310331"/>
      <w:bookmarkEnd w:id="332"/>
      <w:bookmarkStart w:id="333" w:name="_Toc184314437"/>
      <w:bookmarkEnd w:id="333"/>
      <w:bookmarkStart w:id="334" w:name="_Toc184308100"/>
      <w:bookmarkEnd w:id="334"/>
      <w:bookmarkStart w:id="335" w:name="_Toc184308106"/>
      <w:bookmarkEnd w:id="335"/>
      <w:bookmarkStart w:id="336" w:name="_Toc184313297"/>
      <w:bookmarkEnd w:id="336"/>
      <w:bookmarkStart w:id="337" w:name="_Toc184310275"/>
      <w:bookmarkEnd w:id="337"/>
      <w:bookmarkStart w:id="338" w:name="_Toc184310303"/>
      <w:bookmarkEnd w:id="338"/>
      <w:bookmarkStart w:id="339" w:name="_Toc184314463"/>
      <w:bookmarkEnd w:id="339"/>
      <w:bookmarkStart w:id="340" w:name="_Toc184312109"/>
      <w:bookmarkEnd w:id="340"/>
      <w:bookmarkStart w:id="341" w:name="_Toc184312089"/>
      <w:bookmarkEnd w:id="341"/>
      <w:bookmarkStart w:id="342" w:name="_Toc184310292"/>
      <w:bookmarkEnd w:id="342"/>
      <w:bookmarkStart w:id="343" w:name="_Toc184308056"/>
      <w:bookmarkEnd w:id="343"/>
      <w:bookmarkStart w:id="344" w:name="_Toc184312081"/>
      <w:bookmarkEnd w:id="344"/>
      <w:bookmarkStart w:id="345" w:name="_Toc184314466"/>
      <w:bookmarkEnd w:id="345"/>
      <w:bookmarkStart w:id="346" w:name="_Toc184313249"/>
      <w:bookmarkEnd w:id="346"/>
      <w:bookmarkStart w:id="347" w:name="_Toc184310310"/>
      <w:bookmarkEnd w:id="347"/>
      <w:bookmarkStart w:id="348" w:name="_Toc184312127"/>
      <w:bookmarkEnd w:id="348"/>
      <w:bookmarkStart w:id="349" w:name="_Toc184314425"/>
      <w:bookmarkEnd w:id="349"/>
      <w:bookmarkStart w:id="350" w:name="_Toc184308081"/>
      <w:bookmarkEnd w:id="350"/>
      <w:bookmarkStart w:id="351" w:name="_Toc184314464"/>
      <w:bookmarkEnd w:id="351"/>
      <w:bookmarkStart w:id="352" w:name="_Toc184310334"/>
      <w:bookmarkEnd w:id="352"/>
      <w:bookmarkStart w:id="353" w:name="_Toc184310311"/>
      <w:bookmarkEnd w:id="353"/>
      <w:bookmarkStart w:id="354" w:name="_Toc184314436"/>
      <w:bookmarkEnd w:id="354"/>
      <w:bookmarkStart w:id="355" w:name="_Toc184314476"/>
      <w:bookmarkEnd w:id="355"/>
      <w:bookmarkStart w:id="356" w:name="_Toc184314410"/>
      <w:bookmarkEnd w:id="356"/>
      <w:bookmarkStart w:id="357" w:name="_Toc184314449"/>
      <w:bookmarkEnd w:id="357"/>
      <w:bookmarkStart w:id="358" w:name="_Toc184308075"/>
      <w:bookmarkEnd w:id="358"/>
      <w:bookmarkStart w:id="359" w:name="_Toc184314445"/>
      <w:bookmarkEnd w:id="359"/>
      <w:bookmarkStart w:id="360" w:name="_Toc184312073"/>
      <w:bookmarkEnd w:id="360"/>
      <w:bookmarkStart w:id="361" w:name="_Toc184308077"/>
      <w:bookmarkEnd w:id="361"/>
      <w:bookmarkStart w:id="362" w:name="_Toc184314417"/>
      <w:bookmarkEnd w:id="362"/>
      <w:bookmarkStart w:id="363" w:name="_Toc184313247"/>
      <w:bookmarkEnd w:id="363"/>
      <w:bookmarkStart w:id="364" w:name="_Toc184314453"/>
      <w:bookmarkEnd w:id="364"/>
      <w:bookmarkStart w:id="365" w:name="_Toc184308096"/>
      <w:bookmarkEnd w:id="365"/>
      <w:bookmarkStart w:id="366" w:name="_Toc184308093"/>
      <w:bookmarkEnd w:id="366"/>
      <w:bookmarkStart w:id="367" w:name="_Toc184312118"/>
      <w:bookmarkEnd w:id="367"/>
      <w:bookmarkStart w:id="368" w:name="_Toc184313275"/>
      <w:bookmarkEnd w:id="368"/>
      <w:bookmarkStart w:id="369" w:name="_Toc184312090"/>
      <w:bookmarkEnd w:id="369"/>
      <w:bookmarkStart w:id="370" w:name="_Toc184308036"/>
      <w:bookmarkEnd w:id="370"/>
      <w:bookmarkStart w:id="371" w:name="_Toc184312121"/>
      <w:bookmarkEnd w:id="371"/>
      <w:bookmarkStart w:id="372" w:name="_Toc184313256"/>
      <w:bookmarkEnd w:id="372"/>
      <w:bookmarkStart w:id="373" w:name="_Toc184312108"/>
      <w:bookmarkEnd w:id="373"/>
      <w:bookmarkStart w:id="374" w:name="_Toc184312078"/>
      <w:bookmarkEnd w:id="374"/>
      <w:bookmarkStart w:id="375" w:name="_Toc184308090"/>
      <w:bookmarkEnd w:id="375"/>
      <w:bookmarkStart w:id="376" w:name="_Toc184313305"/>
      <w:bookmarkEnd w:id="376"/>
      <w:bookmarkStart w:id="377" w:name="_Toc184312128"/>
      <w:bookmarkEnd w:id="377"/>
      <w:bookmarkStart w:id="378" w:name="_Toc184313292"/>
      <w:bookmarkEnd w:id="378"/>
      <w:bookmarkStart w:id="379" w:name="_Toc184308092"/>
      <w:bookmarkEnd w:id="379"/>
      <w:bookmarkStart w:id="380" w:name="_Toc184313263"/>
      <w:bookmarkEnd w:id="380"/>
      <w:bookmarkStart w:id="381" w:name="_Toc184312124"/>
      <w:bookmarkEnd w:id="381"/>
      <w:bookmarkStart w:id="382" w:name="_Toc184310326"/>
      <w:bookmarkEnd w:id="382"/>
      <w:bookmarkStart w:id="383" w:name="_Toc184308098"/>
      <w:bookmarkEnd w:id="383"/>
      <w:bookmarkStart w:id="384" w:name="_Toc184313239"/>
      <w:bookmarkEnd w:id="384"/>
      <w:bookmarkStart w:id="385" w:name="_Toc184310274"/>
      <w:bookmarkEnd w:id="385"/>
      <w:bookmarkStart w:id="386" w:name="_Toc184308101"/>
      <w:bookmarkEnd w:id="386"/>
      <w:bookmarkStart w:id="387" w:name="_Toc184310306"/>
      <w:bookmarkEnd w:id="387"/>
      <w:bookmarkStart w:id="388" w:name="_Toc184313280"/>
      <w:bookmarkEnd w:id="388"/>
      <w:bookmarkStart w:id="389" w:name="_Toc184313310"/>
      <w:bookmarkEnd w:id="389"/>
      <w:bookmarkStart w:id="390" w:name="_Toc184313269"/>
      <w:bookmarkEnd w:id="390"/>
      <w:bookmarkStart w:id="391" w:name="_Toc184308039"/>
      <w:bookmarkEnd w:id="391"/>
      <w:bookmarkStart w:id="392" w:name="_Toc184314419"/>
      <w:bookmarkEnd w:id="392"/>
      <w:bookmarkStart w:id="393" w:name="_Toc184314480"/>
      <w:bookmarkEnd w:id="393"/>
      <w:bookmarkStart w:id="394" w:name="_Toc184310286"/>
      <w:bookmarkEnd w:id="394"/>
      <w:bookmarkStart w:id="395" w:name="_Toc184312099"/>
      <w:bookmarkEnd w:id="395"/>
      <w:bookmarkStart w:id="396" w:name="_Toc184314461"/>
      <w:bookmarkEnd w:id="396"/>
      <w:bookmarkStart w:id="397" w:name="_Toc184313244"/>
      <w:bookmarkEnd w:id="397"/>
      <w:bookmarkStart w:id="398" w:name="_Toc184308073"/>
      <w:bookmarkEnd w:id="398"/>
      <w:r>
        <w:rPr>
          <w:rFonts w:hint="eastAsia" w:ascii="仿宋" w:hAnsi="仿宋" w:eastAsia="仿宋" w:cs="仿宋"/>
          <w:b/>
          <w:sz w:val="36"/>
          <w:szCs w:val="36"/>
        </w:rPr>
        <w:t>评标办法</w:t>
      </w:r>
    </w:p>
    <w:tbl>
      <w:tblPr>
        <w:tblStyle w:val="66"/>
        <w:tblW w:w="952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1232"/>
        <w:gridCol w:w="6417"/>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b/>
                <w:bCs/>
              </w:rPr>
            </w:pPr>
            <w:r>
              <w:rPr>
                <w:rFonts w:hint="eastAsia" w:ascii="仿宋" w:hAnsi="仿宋" w:eastAsia="仿宋" w:cs="仿宋"/>
                <w:b/>
                <w:bCs/>
              </w:rPr>
              <w:t>序号</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b/>
                <w:bCs/>
              </w:rPr>
            </w:pPr>
            <w:r>
              <w:rPr>
                <w:rFonts w:hint="eastAsia" w:ascii="仿宋" w:hAnsi="仿宋" w:eastAsia="仿宋" w:cs="仿宋"/>
                <w:b/>
                <w:bCs/>
              </w:rPr>
              <w:t>评分内容</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5"/>
              <w:ind w:firstLine="482"/>
              <w:jc w:val="center"/>
              <w:rPr>
                <w:rFonts w:ascii="仿宋" w:hAnsi="仿宋" w:eastAsia="仿宋" w:cs="仿宋"/>
                <w:b/>
                <w:bCs/>
              </w:rPr>
            </w:pPr>
            <w:r>
              <w:rPr>
                <w:rFonts w:hint="eastAsia" w:ascii="仿宋" w:hAnsi="仿宋" w:eastAsia="仿宋" w:cs="仿宋"/>
                <w:b/>
                <w:bCs/>
              </w:rPr>
              <w:t>评分标准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b/>
                <w:bCs/>
              </w:rPr>
            </w:pPr>
            <w:r>
              <w:rPr>
                <w:rFonts w:hint="eastAsia" w:ascii="仿宋" w:hAnsi="仿宋" w:eastAsia="仿宋" w:cs="仿宋"/>
                <w:b/>
                <w:bCs/>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基本要求</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投标人对项目总体服务要求的理解以及技术方案的完整性（0-2分）、合理性（0-1分）、先进性（0-1分），进行打分。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2</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服务方案</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投标人提供能够满足网络投诉件辅助处理服务外包内容各个环节的业务要求的详细服务方案，根据投标人所提供的投标服务方案进行打分。</w:t>
            </w:r>
            <w:r>
              <w:rPr>
                <w:rFonts w:hint="eastAsia" w:ascii="仿宋" w:hAnsi="仿宋" w:eastAsia="仿宋" w:cs="仿宋"/>
              </w:rPr>
              <w:br w:type="textWrapping"/>
            </w:r>
            <w:r>
              <w:rPr>
                <w:rFonts w:hint="eastAsia" w:ascii="仿宋" w:hAnsi="仿宋" w:eastAsia="仿宋" w:cs="仿宋"/>
              </w:rPr>
              <w:t>1）根据服务方案完全体现核心信息内容，投标方案与需求的吻合程度</w:t>
            </w:r>
            <w:r>
              <w:rPr>
                <w:rFonts w:hint="eastAsia" w:ascii="仿宋" w:hAnsi="仿宋" w:eastAsia="仿宋" w:cs="仿宋"/>
                <w:lang w:eastAsia="zh-CN"/>
              </w:rPr>
              <w:t>，完全</w:t>
            </w:r>
            <w:r>
              <w:rPr>
                <w:rFonts w:hint="eastAsia" w:ascii="仿宋" w:hAnsi="仿宋" w:eastAsia="仿宋" w:cs="仿宋"/>
              </w:rPr>
              <w:t>吻合</w:t>
            </w:r>
            <w:r>
              <w:rPr>
                <w:rFonts w:hint="eastAsia" w:ascii="仿宋" w:hAnsi="仿宋" w:eastAsia="仿宋" w:cs="仿宋"/>
                <w:lang w:eastAsia="zh-CN"/>
              </w:rPr>
              <w:t>得</w:t>
            </w:r>
            <w:r>
              <w:rPr>
                <w:rFonts w:hint="eastAsia" w:ascii="仿宋" w:hAnsi="仿宋" w:eastAsia="仿宋" w:cs="仿宋"/>
                <w:lang w:val="en-US" w:eastAsia="zh-CN"/>
              </w:rPr>
              <w:t>2分，一般</w:t>
            </w:r>
            <w:r>
              <w:rPr>
                <w:rFonts w:hint="eastAsia" w:ascii="仿宋" w:hAnsi="仿宋" w:eastAsia="仿宋" w:cs="仿宋"/>
              </w:rPr>
              <w:t>吻合</w:t>
            </w:r>
            <w:r>
              <w:rPr>
                <w:rFonts w:hint="eastAsia" w:ascii="仿宋" w:hAnsi="仿宋" w:eastAsia="仿宋" w:cs="仿宋"/>
                <w:lang w:eastAsia="zh-CN"/>
              </w:rPr>
              <w:t>得</w:t>
            </w:r>
            <w:r>
              <w:rPr>
                <w:rFonts w:hint="eastAsia" w:ascii="仿宋" w:hAnsi="仿宋" w:eastAsia="仿宋" w:cs="仿宋"/>
                <w:lang w:val="en-US" w:eastAsia="zh-CN"/>
              </w:rPr>
              <w:t>1分</w:t>
            </w:r>
            <w:r>
              <w:rPr>
                <w:rFonts w:hint="eastAsia" w:ascii="仿宋" w:hAnsi="仿宋" w:eastAsia="仿宋" w:cs="仿宋"/>
              </w:rPr>
              <w:t>，</w:t>
            </w:r>
            <w:r>
              <w:rPr>
                <w:rFonts w:hint="eastAsia" w:ascii="仿宋" w:hAnsi="仿宋" w:eastAsia="仿宋" w:cs="仿宋"/>
                <w:lang w:eastAsia="zh-CN"/>
              </w:rPr>
              <w:t>不</w:t>
            </w:r>
            <w:r>
              <w:rPr>
                <w:rFonts w:hint="eastAsia" w:ascii="仿宋" w:hAnsi="仿宋" w:eastAsia="仿宋" w:cs="仿宋"/>
              </w:rPr>
              <w:t>吻合</w:t>
            </w:r>
            <w:r>
              <w:rPr>
                <w:rFonts w:hint="eastAsia" w:ascii="仿宋" w:hAnsi="仿宋" w:eastAsia="仿宋" w:cs="仿宋"/>
                <w:lang w:eastAsia="zh-CN"/>
              </w:rPr>
              <w:t>不得分</w:t>
            </w:r>
            <w:r>
              <w:rPr>
                <w:rFonts w:hint="eastAsia" w:ascii="仿宋" w:hAnsi="仿宋" w:eastAsia="仿宋" w:cs="仿宋"/>
              </w:rPr>
              <w:t>；</w:t>
            </w:r>
            <w:r>
              <w:rPr>
                <w:rFonts w:hint="eastAsia" w:ascii="仿宋" w:hAnsi="仿宋" w:eastAsia="仿宋" w:cs="仿宋"/>
              </w:rPr>
              <w:br w:type="textWrapping"/>
            </w:r>
            <w:r>
              <w:rPr>
                <w:rFonts w:hint="eastAsia" w:ascii="仿宋" w:hAnsi="仿宋" w:eastAsia="仿宋" w:cs="仿宋"/>
              </w:rPr>
              <w:t>2）根据服务方案的科学合理</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、安全严密</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，并具有一定的前瞻性和独到优势的，进行打分；</w:t>
            </w:r>
            <w:r>
              <w:rPr>
                <w:rFonts w:hint="eastAsia" w:ascii="仿宋" w:hAnsi="仿宋" w:eastAsia="仿宋" w:cs="仿宋"/>
              </w:rPr>
              <w:br w:type="textWrapping"/>
            </w:r>
            <w:r>
              <w:rPr>
                <w:rFonts w:hint="eastAsia" w:ascii="仿宋" w:hAnsi="仿宋" w:eastAsia="仿宋" w:cs="仿宋"/>
              </w:rPr>
              <w:t>3）投标人提供对投诉辅助、投诉+举报、举报辅助、协查移送等各环节工作辅助处理具体服务方案的完整性（0-3分）和合理性（0-2分）进行打分。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3</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内部管理</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对本项目有完善的管理制度、内部考核制度，以及针对本项目由具体服务质量管理考核细则规范性（0-2分）、完整性（0-1分）进行打分。</w:t>
            </w:r>
            <w:r>
              <w:rPr>
                <w:rFonts w:hint="eastAsia" w:ascii="仿宋" w:hAnsi="仿宋" w:eastAsia="仿宋" w:cs="仿宋"/>
              </w:rPr>
              <w:br w:type="textWrapping"/>
            </w:r>
            <w:r>
              <w:rPr>
                <w:rFonts w:hint="eastAsia" w:ascii="仿宋" w:hAnsi="仿宋" w:eastAsia="仿宋" w:cs="仿宋"/>
              </w:rPr>
              <w:t xml:space="preserve"> </w:t>
            </w:r>
            <w:r>
              <w:rPr>
                <w:rFonts w:hint="eastAsia" w:ascii="仿宋" w:hAnsi="仿宋" w:eastAsia="仿宋" w:cs="仿宋"/>
                <w:lang w:val="en-US" w:eastAsia="zh-CN"/>
              </w:rPr>
              <w:t>2）</w:t>
            </w:r>
            <w:r>
              <w:rPr>
                <w:rFonts w:hint="eastAsia" w:ascii="仿宋" w:hAnsi="仿宋" w:eastAsia="仿宋" w:cs="仿宋"/>
              </w:rPr>
              <w:t>根据项目需求，投标单位提供全年、半年、季度等不同形式专业技能培训计划及培训内容，根据培训计划、方案的完善性（0-2分）、合理性（0-1分），进行打分。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4</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项目团队要求</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spacing w:after="157"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1）项目总负责人：</w:t>
            </w:r>
          </w:p>
          <w:p>
            <w:pPr>
              <w:spacing w:after="157" w:line="360" w:lineRule="auto"/>
              <w:rPr>
                <w:rFonts w:hint="eastAsia" w:ascii="仿宋" w:hAnsi="仿宋" w:eastAsia="仿宋" w:cs="仿宋"/>
                <w:sz w:val="24"/>
                <w:lang w:eastAsia="zh-CN"/>
              </w:rPr>
            </w:pPr>
            <w:r>
              <w:rPr>
                <w:rFonts w:hint="eastAsia" w:ascii="仿宋" w:hAnsi="仿宋" w:eastAsia="仿宋" w:cs="仿宋"/>
                <w:sz w:val="24"/>
              </w:rPr>
              <w:t>① 项目总负责人通过国家统一法律职业资格考试并已获取法律职业资格证书的，得2分，需提供证书复印件并加盖公章，否则不得分；</w:t>
            </w:r>
            <w:r>
              <w:rPr>
                <w:rFonts w:hint="eastAsia" w:ascii="仿宋" w:hAnsi="仿宋" w:eastAsia="仿宋" w:cs="仿宋"/>
                <w:sz w:val="24"/>
              </w:rPr>
              <w:br w:type="textWrapping"/>
            </w:r>
            <w:r>
              <w:rPr>
                <w:rFonts w:hint="eastAsia" w:ascii="仿宋" w:hAnsi="仿宋" w:eastAsia="仿宋" w:cs="仿宋"/>
                <w:sz w:val="24"/>
              </w:rPr>
              <w:t>② 项目总负责人需具备丰富的类似项目管理经验，投标文件中应提供项目总负责人履历、资格证书、以及与本项目类似的调解服务、法律服务工作经验的证明材料，其中工作经验须提供业务合同佐证（合同内未体现本项目总负责人姓名的，须提供合同采购业主方情况说明并加盖公章，予以证明。）每提供1个得0.5分，最高得2分，不提供不得分。</w:t>
            </w:r>
          </w:p>
          <w:p>
            <w:pPr>
              <w:spacing w:after="157" w:line="360" w:lineRule="auto"/>
              <w:rPr>
                <w:rFonts w:hint="eastAsia" w:ascii="仿宋" w:hAnsi="仿宋" w:eastAsia="仿宋" w:cs="仿宋"/>
                <w:sz w:val="24"/>
              </w:rPr>
            </w:pPr>
            <w:r>
              <w:rPr>
                <w:rFonts w:hint="eastAsia" w:ascii="仿宋" w:hAnsi="仿宋" w:eastAsia="仿宋" w:cs="仿宋"/>
                <w:sz w:val="24"/>
                <w:lang w:eastAsia="zh-CN"/>
              </w:rPr>
              <w:t>注：提供</w:t>
            </w:r>
            <w:r>
              <w:rPr>
                <w:rFonts w:hint="eastAsia" w:ascii="仿宋" w:hAnsi="仿宋" w:eastAsia="仿宋" w:cs="仿宋"/>
                <w:sz w:val="24"/>
              </w:rPr>
              <w:t>总负责人履历、资格证书</w:t>
            </w:r>
            <w:r>
              <w:rPr>
                <w:rFonts w:hint="eastAsia" w:ascii="仿宋" w:hAnsi="仿宋" w:eastAsia="仿宋" w:cs="仿宋"/>
                <w:sz w:val="24"/>
                <w:lang w:eastAsia="zh-CN"/>
              </w:rPr>
              <w:t>、</w:t>
            </w:r>
            <w:r>
              <w:rPr>
                <w:rFonts w:hint="eastAsia" w:ascii="仿宋" w:hAnsi="仿宋" w:eastAsia="仿宋" w:cs="仿宋"/>
                <w:sz w:val="24"/>
              </w:rPr>
              <w:t>调解服务、法律服务工作经验的证明材料</w:t>
            </w:r>
            <w:r>
              <w:rPr>
                <w:rFonts w:hint="eastAsia" w:ascii="仿宋" w:hAnsi="仿宋" w:eastAsia="仿宋" w:cs="仿宋"/>
                <w:sz w:val="24"/>
                <w:lang w:eastAsia="zh-CN"/>
              </w:rPr>
              <w:t>（证明材料按上述要求提供）。</w:t>
            </w:r>
          </w:p>
          <w:p>
            <w:pPr>
              <w:spacing w:after="157" w:line="360" w:lineRule="auto"/>
              <w:rPr>
                <w:rFonts w:ascii="仿宋" w:hAnsi="仿宋" w:eastAsia="仿宋" w:cs="仿宋"/>
                <w:sz w:val="24"/>
              </w:rPr>
            </w:pPr>
            <w:r>
              <w:rPr>
                <w:rFonts w:hint="eastAsia" w:ascii="仿宋" w:hAnsi="仿宋" w:eastAsia="仿宋" w:cs="仿宋"/>
                <w:sz w:val="24"/>
              </w:rPr>
              <w:t>2） 根据投标人拟投入本项目的服务团队专业能力进行打分（0-9分）：</w:t>
            </w:r>
            <w:r>
              <w:rPr>
                <w:rFonts w:hint="eastAsia" w:ascii="仿宋" w:hAnsi="仿宋" w:eastAsia="仿宋" w:cs="仿宋"/>
                <w:sz w:val="24"/>
              </w:rPr>
              <w:br w:type="textWrapping"/>
            </w:r>
            <w:r>
              <w:rPr>
                <w:rFonts w:hint="eastAsia" w:ascii="仿宋" w:hAnsi="仿宋" w:eastAsia="仿宋" w:cs="仿宋"/>
                <w:sz w:val="24"/>
              </w:rPr>
              <w:t>① 服务团队驻场服务人员不少于90人;</w:t>
            </w:r>
            <w:r>
              <w:rPr>
                <w:rFonts w:hint="eastAsia" w:ascii="仿宋" w:hAnsi="仿宋" w:eastAsia="仿宋" w:cs="仿宋"/>
                <w:sz w:val="24"/>
              </w:rPr>
              <w:br w:type="textWrapping"/>
            </w:r>
            <w:r>
              <w:rPr>
                <w:rFonts w:hint="eastAsia" w:ascii="仿宋" w:hAnsi="仿宋" w:eastAsia="仿宋" w:cs="仿宋"/>
                <w:sz w:val="24"/>
              </w:rPr>
              <w:t>② 其中本科学历人数不少于60人;</w:t>
            </w:r>
            <w:r>
              <w:rPr>
                <w:rFonts w:hint="eastAsia" w:ascii="仿宋" w:hAnsi="仿宋" w:eastAsia="仿宋" w:cs="仿宋"/>
                <w:sz w:val="24"/>
              </w:rPr>
              <w:br w:type="textWrapping"/>
            </w:r>
            <w:r>
              <w:rPr>
                <w:rFonts w:hint="eastAsia" w:ascii="仿宋" w:hAnsi="仿宋" w:eastAsia="仿宋" w:cs="仿宋"/>
                <w:sz w:val="24"/>
              </w:rPr>
              <w:t>③ 本科或研究生学历为法律专业且具有法律职业资格证书的人数不少于20人;</w:t>
            </w:r>
            <w:r>
              <w:rPr>
                <w:rFonts w:hint="eastAsia" w:ascii="仿宋" w:hAnsi="仿宋" w:eastAsia="仿宋" w:cs="仿宋"/>
                <w:sz w:val="24"/>
              </w:rPr>
              <w:br w:type="textWrapping"/>
            </w:r>
            <w:r>
              <w:rPr>
                <w:rFonts w:hint="eastAsia" w:ascii="仿宋" w:hAnsi="仿宋" w:eastAsia="仿宋" w:cs="仿宋"/>
                <w:sz w:val="24"/>
              </w:rPr>
              <w:t>上述三个条件，</w:t>
            </w:r>
            <w:r>
              <w:rPr>
                <w:rFonts w:hint="eastAsia" w:ascii="仿宋" w:hAnsi="仿宋" w:eastAsia="仿宋" w:cs="仿宋"/>
                <w:sz w:val="24"/>
                <w:lang w:eastAsia="zh-CN"/>
              </w:rPr>
              <w:t>提供承诺书，</w:t>
            </w:r>
            <w:r>
              <w:rPr>
                <w:rFonts w:hint="eastAsia" w:ascii="仿宋" w:hAnsi="仿宋" w:eastAsia="仿宋" w:cs="仿宋"/>
                <w:sz w:val="24"/>
              </w:rPr>
              <w:t>每满足一条得3分，不满足不得分。</w:t>
            </w:r>
            <w:r>
              <w:rPr>
                <w:rFonts w:hint="eastAsia" w:ascii="仿宋" w:hAnsi="仿宋" w:eastAsia="仿宋" w:cs="仿宋"/>
                <w:sz w:val="24"/>
                <w:lang w:eastAsia="zh-CN"/>
              </w:rPr>
              <w:t>承诺书内容须明确且符合上述内容，否则不得分。</w:t>
            </w:r>
            <w:r>
              <w:rPr>
                <w:rFonts w:hint="eastAsia" w:ascii="仿宋" w:hAnsi="仿宋" w:eastAsia="仿宋" w:cs="仿宋"/>
                <w:sz w:val="24"/>
              </w:rPr>
              <w:br w:type="textWrapping"/>
            </w:r>
            <w:r>
              <w:rPr>
                <w:rFonts w:hint="eastAsia" w:ascii="仿宋" w:hAnsi="仿宋" w:eastAsia="仿宋" w:cs="仿宋"/>
                <w:sz w:val="24"/>
              </w:rPr>
              <w:t>3）投入本项目的技术负责人具备国家权威部门颁发的信息系统高级项目经理证书或高级工程师证书的得2分，需提供证书复印件并加盖公章，否则不得分。（2分）</w:t>
            </w:r>
            <w:r>
              <w:rPr>
                <w:rFonts w:hint="eastAsia" w:ascii="仿宋" w:hAnsi="仿宋" w:eastAsia="仿宋" w:cs="仿宋"/>
                <w:sz w:val="24"/>
              </w:rPr>
              <w:br w:type="textWrapping"/>
            </w:r>
            <w:r>
              <w:rPr>
                <w:rFonts w:hint="eastAsia" w:ascii="仿宋" w:hAnsi="仿宋" w:eastAsia="仿宋" w:cs="仿宋"/>
                <w:sz w:val="24"/>
              </w:rPr>
              <w:t>4）投标人须提供项目启动后能够</w:t>
            </w:r>
            <w:r>
              <w:rPr>
                <w:rFonts w:hint="eastAsia" w:ascii="仿宋" w:hAnsi="仿宋" w:eastAsia="仿宋" w:cs="仿宋"/>
                <w:sz w:val="24"/>
                <w:lang w:val="en-US" w:eastAsia="zh-CN"/>
              </w:rPr>
              <w:t>7天内</w:t>
            </w:r>
            <w:r>
              <w:rPr>
                <w:rFonts w:hint="eastAsia" w:ascii="仿宋" w:hAnsi="仿宋" w:eastAsia="仿宋" w:cs="仿宋"/>
                <w:sz w:val="24"/>
              </w:rPr>
              <w:t>立即派驻市场监管局进行项目实施服务承诺书，不提供不得分。（1分）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5</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项目实施安排</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投标人对本项目的保证进度的工作实施时间计划安排进行全方位的描述，项目时间节点控制充分满足项目具体情况，并对项目进度计划有详细合理的描述，根据投标人提供的项目组织实施方案打分，内容包括：</w:t>
            </w:r>
            <w:r>
              <w:rPr>
                <w:rFonts w:hint="eastAsia" w:ascii="仿宋" w:hAnsi="仿宋" w:eastAsia="仿宋" w:cs="仿宋"/>
              </w:rPr>
              <w:br w:type="textWrapping"/>
            </w:r>
            <w:r>
              <w:rPr>
                <w:rFonts w:hint="eastAsia" w:ascii="仿宋" w:hAnsi="仿宋" w:eastAsia="仿宋" w:cs="仿宋"/>
              </w:rPr>
              <w:t>1）项目前期筹备（包括不限于人员、培训等筹备）</w:t>
            </w:r>
            <w:r>
              <w:rPr>
                <w:rFonts w:hint="eastAsia" w:ascii="仿宋" w:hAnsi="仿宋" w:eastAsia="仿宋" w:cs="仿宋"/>
                <w:lang w:eastAsia="zh-CN"/>
              </w:rPr>
              <w:t>的合理性和可行性</w:t>
            </w:r>
            <w:r>
              <w:rPr>
                <w:rFonts w:hint="eastAsia" w:ascii="仿宋" w:hAnsi="仿宋" w:eastAsia="仿宋" w:cs="仿宋"/>
              </w:rPr>
              <w:t>打分（0-2分）；</w:t>
            </w:r>
            <w:r>
              <w:rPr>
                <w:rFonts w:hint="eastAsia" w:ascii="仿宋" w:hAnsi="仿宋" w:eastAsia="仿宋" w:cs="仿宋"/>
              </w:rPr>
              <w:br w:type="textWrapping"/>
            </w:r>
            <w:r>
              <w:rPr>
                <w:rFonts w:hint="eastAsia" w:ascii="仿宋" w:hAnsi="仿宋" w:eastAsia="仿宋" w:cs="仿宋"/>
              </w:rPr>
              <w:t>2）保证进度的工作实施计划</w:t>
            </w:r>
            <w:r>
              <w:rPr>
                <w:rFonts w:hint="eastAsia" w:ascii="仿宋" w:hAnsi="仿宋" w:eastAsia="仿宋" w:cs="仿宋"/>
                <w:lang w:eastAsia="zh-CN"/>
              </w:rPr>
              <w:t>的合理性和可行性</w:t>
            </w:r>
            <w:r>
              <w:rPr>
                <w:rFonts w:hint="eastAsia" w:ascii="仿宋" w:hAnsi="仿宋" w:eastAsia="仿宋" w:cs="仿宋"/>
              </w:rPr>
              <w:t>打分（0-2分）；</w:t>
            </w:r>
            <w:r>
              <w:rPr>
                <w:rFonts w:hint="eastAsia" w:ascii="仿宋" w:hAnsi="仿宋" w:eastAsia="仿宋" w:cs="仿宋"/>
              </w:rPr>
              <w:br w:type="textWrapping"/>
            </w:r>
            <w:r>
              <w:rPr>
                <w:rFonts w:hint="eastAsia" w:ascii="仿宋" w:hAnsi="仿宋" w:eastAsia="仿宋" w:cs="仿宋"/>
              </w:rPr>
              <w:t>3）项目组织实施方案的</w:t>
            </w:r>
            <w:r>
              <w:rPr>
                <w:rFonts w:hint="eastAsia" w:ascii="仿宋" w:hAnsi="仿宋" w:eastAsia="仿宋" w:cs="仿宋"/>
                <w:lang w:eastAsia="zh-CN"/>
              </w:rPr>
              <w:t>合理性和</w:t>
            </w:r>
            <w:r>
              <w:rPr>
                <w:rFonts w:hint="eastAsia" w:ascii="仿宋" w:hAnsi="仿宋" w:eastAsia="仿宋" w:cs="仿宋"/>
              </w:rPr>
              <w:t>可行性打分（0-2分）。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6</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技术支撑能力</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1）投标人具有协助余杭市场监管部门与其辖域内大型网络交易平台的协查数据对接能力，根据投标人提供的证明材料进行打分，须提供辖域内大型网络交易平台出具的数据协查相关证明材料，得4分，不提供不得分。</w:t>
            </w:r>
            <w:r>
              <w:rPr>
                <w:rFonts w:hint="eastAsia" w:ascii="仿宋" w:hAnsi="仿宋" w:eastAsia="仿宋" w:cs="仿宋"/>
              </w:rPr>
              <w:br w:type="textWrapping"/>
            </w:r>
            <w:r>
              <w:rPr>
                <w:rFonts w:hint="eastAsia" w:ascii="仿宋" w:hAnsi="仿宋" w:eastAsia="仿宋" w:cs="仿宋"/>
              </w:rPr>
              <w:t>2）投标人具备与本项目技术能力要求相关的软件著作权证书（如案件管理、纠纷调解、执法办案、文书送达等），提供证书复印件并加盖投标人公章，每提供一个得1分，最高得4分。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7</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系统演示--（采用钉钉屏幕共享，实现远程在线系统演示），设备、网络、平台等与演示有关的内容均由供应商自行准备。演示顺序以供应商投标文件解密先后顺序为准。以下流程提供功能截图并进行现场软件演示，演示时间不超过15分钟。</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投标人演示成熟的案件律师质检流程，需演示对案件的处置过程和结果进行质量检查，协助管理者提升相关服务标准，减少效能投诉、降低行政复议和诉讼风险。主要演示质检初审、质检复审：</w:t>
            </w:r>
            <w:r>
              <w:rPr>
                <w:rFonts w:hint="eastAsia" w:ascii="仿宋" w:hAnsi="仿宋" w:eastAsia="仿宋" w:cs="仿宋"/>
              </w:rPr>
              <w:br w:type="textWrapping"/>
            </w:r>
            <w:r>
              <w:rPr>
                <w:rFonts w:hint="eastAsia" w:ascii="仿宋" w:hAnsi="仿宋" w:eastAsia="仿宋" w:cs="仿宋"/>
              </w:rPr>
              <w:t>1） 演示质检案件多维搜索查询功能，支持按照案件流入时间、初审质检人、复审质检人，质检状态包括待处理、初审有风险、初审无风险、复审有风险、复审无风险条件进行质检案件模糊查询；（3分）</w:t>
            </w:r>
            <w:r>
              <w:rPr>
                <w:rFonts w:hint="eastAsia" w:ascii="仿宋" w:hAnsi="仿宋" w:eastAsia="仿宋" w:cs="仿宋"/>
              </w:rPr>
              <w:br w:type="textWrapping"/>
            </w:r>
            <w:r>
              <w:rPr>
                <w:rFonts w:hint="eastAsia" w:ascii="仿宋" w:hAnsi="仿宋" w:eastAsia="仿宋" w:cs="仿宋"/>
              </w:rPr>
              <w:t>2） 演示对案件进行初审处理,初审人员能够查看案件基本信息，并进行案件初审处理和复审提交操作：</w:t>
            </w:r>
            <w:r>
              <w:rPr>
                <w:rFonts w:hint="eastAsia" w:ascii="仿宋" w:hAnsi="仿宋" w:eastAsia="仿宋" w:cs="仿宋"/>
              </w:rPr>
              <w:br w:type="textWrapping"/>
            </w:r>
            <w:r>
              <w:rPr>
                <w:rFonts w:hint="eastAsia" w:ascii="仿宋" w:hAnsi="仿宋" w:eastAsia="仿宋" w:cs="仿宋"/>
              </w:rPr>
              <w:t>① 支持案件详情信息关联查看，包括案件基本信息、违法类型、举报内容和处理决定信息。（2分）</w:t>
            </w:r>
            <w:r>
              <w:rPr>
                <w:rFonts w:hint="eastAsia" w:ascii="仿宋" w:hAnsi="仿宋" w:eastAsia="仿宋" w:cs="仿宋"/>
              </w:rPr>
              <w:br w:type="textWrapping"/>
            </w:r>
            <w:r>
              <w:rPr>
                <w:rFonts w:hint="eastAsia" w:ascii="仿宋" w:hAnsi="仿宋" w:eastAsia="仿宋" w:cs="仿宋"/>
              </w:rPr>
              <w:t>② 支持律师初审人员能够对案件程序是否合法、处理决定是否适当、事实是否清楚证据是否充分、回复是否全面、决定适用依据是否正确、答复法律术语是否准确、初审风险标记进行初审处理。（2分）</w:t>
            </w:r>
            <w:r>
              <w:rPr>
                <w:rFonts w:hint="eastAsia" w:ascii="仿宋" w:hAnsi="仿宋" w:eastAsia="仿宋" w:cs="仿宋"/>
              </w:rPr>
              <w:br w:type="textWrapping"/>
            </w:r>
            <w:r>
              <w:rPr>
                <w:rFonts w:hint="eastAsia" w:ascii="仿宋" w:hAnsi="仿宋" w:eastAsia="仿宋" w:cs="仿宋"/>
              </w:rPr>
              <w:t>③ 支持律师初审人员能够选择具体复审人员进行案件复审提交操作。（2分）</w:t>
            </w:r>
          </w:p>
          <w:p>
            <w:pPr>
              <w:pStyle w:val="25"/>
              <w:rPr>
                <w:rFonts w:ascii="仿宋" w:hAnsi="仿宋" w:eastAsia="仿宋" w:cs="仿宋"/>
              </w:rPr>
            </w:pPr>
            <w:r>
              <w:rPr>
                <w:rFonts w:hint="eastAsia" w:ascii="仿宋" w:hAnsi="仿宋" w:eastAsia="仿宋" w:cs="仿宋"/>
              </w:rPr>
              <w:t>上述三项内容，每演示一条</w:t>
            </w:r>
            <w:r>
              <w:rPr>
                <w:rFonts w:hint="eastAsia" w:ascii="仿宋" w:hAnsi="仿宋" w:eastAsia="仿宋" w:cs="仿宋"/>
                <w:lang w:eastAsia="zh-CN"/>
              </w:rPr>
              <w:t>满足上述内容的</w:t>
            </w:r>
            <w:r>
              <w:rPr>
                <w:rFonts w:hint="eastAsia" w:ascii="仿宋" w:hAnsi="仿宋" w:eastAsia="仿宋" w:cs="仿宋"/>
              </w:rPr>
              <w:t>得2分，不演示不得分。</w:t>
            </w:r>
            <w:r>
              <w:rPr>
                <w:rFonts w:hint="eastAsia" w:ascii="仿宋" w:hAnsi="仿宋" w:eastAsia="仿宋" w:cs="仿宋"/>
              </w:rPr>
              <w:br w:type="textWrapping"/>
            </w:r>
            <w:r>
              <w:rPr>
                <w:rFonts w:hint="eastAsia" w:ascii="仿宋" w:hAnsi="仿宋" w:eastAsia="仿宋" w:cs="仿宋"/>
              </w:rPr>
              <w:t>3） 演示律师复审人员可对案件进行复审处理，处理完成后能够生成举报案件复查评议表。</w:t>
            </w:r>
            <w:r>
              <w:rPr>
                <w:rFonts w:hint="eastAsia" w:ascii="仿宋" w:hAnsi="仿宋" w:eastAsia="仿宋" w:cs="仿宋"/>
              </w:rPr>
              <w:br w:type="textWrapping"/>
            </w:r>
            <w:r>
              <w:rPr>
                <w:rFonts w:hint="eastAsia" w:ascii="仿宋" w:hAnsi="仿宋" w:eastAsia="仿宋" w:cs="仿宋"/>
              </w:rPr>
              <w:t>① 支持在复审表单页中查看案件基本信息和初审信息。（2分）</w:t>
            </w:r>
            <w:r>
              <w:rPr>
                <w:rFonts w:hint="eastAsia" w:ascii="仿宋" w:hAnsi="仿宋" w:eastAsia="仿宋" w:cs="仿宋"/>
              </w:rPr>
              <w:br w:type="textWrapping"/>
            </w:r>
            <w:r>
              <w:rPr>
                <w:rFonts w:hint="eastAsia" w:ascii="仿宋" w:hAnsi="仿宋" w:eastAsia="仿宋" w:cs="仿宋"/>
              </w:rPr>
              <w:t>② 支持律师复审人员根据初审信息和案件信息对案件进行复审，在线填写复审意见信息、判断复审风险并进行标记确认操作。（2分）</w:t>
            </w:r>
            <w:r>
              <w:rPr>
                <w:rFonts w:hint="eastAsia" w:ascii="仿宋" w:hAnsi="仿宋" w:eastAsia="仿宋" w:cs="仿宋"/>
              </w:rPr>
              <w:br w:type="textWrapping"/>
            </w:r>
            <w:r>
              <w:rPr>
                <w:rFonts w:hint="eastAsia" w:ascii="仿宋" w:hAnsi="仿宋" w:eastAsia="仿宋" w:cs="仿宋"/>
              </w:rPr>
              <w:t>③ 支持质检复审后系统自动生成生成复查评议表，可在质检处理进度中查看。（2分）</w:t>
            </w:r>
          </w:p>
          <w:p>
            <w:pPr>
              <w:pStyle w:val="25"/>
              <w:rPr>
                <w:rFonts w:ascii="仿宋" w:hAnsi="仿宋" w:eastAsia="仿宋" w:cs="仿宋"/>
              </w:rPr>
            </w:pPr>
            <w:r>
              <w:rPr>
                <w:rFonts w:hint="eastAsia" w:ascii="仿宋" w:hAnsi="仿宋" w:eastAsia="仿宋" w:cs="仿宋"/>
              </w:rPr>
              <w:t>上述三项内容，每演示一条</w:t>
            </w:r>
            <w:r>
              <w:rPr>
                <w:rFonts w:hint="eastAsia" w:ascii="仿宋" w:hAnsi="仿宋" w:eastAsia="仿宋" w:cs="仿宋"/>
                <w:lang w:eastAsia="zh-CN"/>
              </w:rPr>
              <w:t>满足上述内容的</w:t>
            </w:r>
            <w:r>
              <w:rPr>
                <w:rFonts w:hint="eastAsia" w:ascii="仿宋" w:hAnsi="仿宋" w:eastAsia="仿宋" w:cs="仿宋"/>
              </w:rPr>
              <w:t>得2分，不演示不得分。</w:t>
            </w:r>
            <w:r>
              <w:rPr>
                <w:rFonts w:hint="eastAsia" w:ascii="仿宋" w:hAnsi="仿宋" w:eastAsia="仿宋" w:cs="仿宋"/>
              </w:rPr>
              <w:br w:type="textWrapping"/>
            </w:r>
            <w:r>
              <w:rPr>
                <w:rFonts w:hint="eastAsia" w:ascii="仿宋" w:hAnsi="仿宋" w:eastAsia="仿宋" w:cs="仿宋"/>
              </w:rPr>
              <w:t>评审专家从功能完整度、需求满足度、业务流程合理度等方面对演示效果进行综合评定，投标人须提供真实网络环境下的系统功能演示，PPT、Demo、视频演示不得分。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8</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质量保障措施</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bookmarkStart w:id="426" w:name="_GoBack"/>
            <w:bookmarkEnd w:id="426"/>
            <w:r>
              <w:rPr>
                <w:rFonts w:hint="eastAsia" w:ascii="仿宋" w:hAnsi="仿宋" w:eastAsia="仿宋" w:cs="仿宋"/>
              </w:rPr>
              <w:t>1）投标人是否对数据安全专门制定制度及安全管理方案，并对此作出实质性承诺，根据承诺内容的完整</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、全面</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、科学性</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，进行打分。</w:t>
            </w:r>
            <w:r>
              <w:rPr>
                <w:rFonts w:hint="eastAsia" w:ascii="仿宋" w:hAnsi="仿宋" w:eastAsia="仿宋" w:cs="仿宋"/>
              </w:rPr>
              <w:br w:type="textWrapping"/>
            </w:r>
            <w:r>
              <w:rPr>
                <w:rFonts w:hint="eastAsia" w:ascii="仿宋" w:hAnsi="仿宋" w:eastAsia="仿宋" w:cs="仿宋"/>
              </w:rPr>
              <w:t>2）投标人建立运行服务保障应急预案，应急预案对系统实施可能遇到的问题及其应对措施的具体考虑情况，保障工作时效和质量的具体方案，响应机制及应急过程的组织和联系机制的合理性</w:t>
            </w:r>
            <w:r>
              <w:rPr>
                <w:rFonts w:hint="eastAsia" w:ascii="仿宋" w:hAnsi="仿宋" w:eastAsia="仿宋" w:cs="仿宋"/>
                <w:lang w:eastAsia="zh-CN"/>
              </w:rPr>
              <w:t>（</w:t>
            </w:r>
            <w:r>
              <w:rPr>
                <w:rFonts w:hint="eastAsia" w:ascii="仿宋" w:hAnsi="仿宋" w:eastAsia="仿宋" w:cs="仿宋"/>
                <w:lang w:val="en-US" w:eastAsia="zh-CN"/>
              </w:rPr>
              <w:t>0-2分）</w:t>
            </w:r>
            <w:r>
              <w:rPr>
                <w:rFonts w:hint="eastAsia" w:ascii="仿宋" w:hAnsi="仿宋" w:eastAsia="仿宋" w:cs="仿宋"/>
              </w:rPr>
              <w:t>、有效性</w:t>
            </w:r>
            <w:r>
              <w:rPr>
                <w:rFonts w:hint="eastAsia" w:ascii="仿宋" w:hAnsi="仿宋" w:eastAsia="仿宋" w:cs="仿宋"/>
                <w:lang w:eastAsia="zh-CN"/>
              </w:rPr>
              <w:t>（</w:t>
            </w:r>
            <w:r>
              <w:rPr>
                <w:rFonts w:hint="eastAsia" w:ascii="仿宋" w:hAnsi="仿宋" w:eastAsia="仿宋" w:cs="仿宋"/>
                <w:lang w:val="en-US" w:eastAsia="zh-CN"/>
              </w:rPr>
              <w:t>0-1分）</w:t>
            </w:r>
            <w:r>
              <w:rPr>
                <w:rFonts w:hint="eastAsia" w:ascii="仿宋" w:hAnsi="仿宋" w:eastAsia="仿宋" w:cs="仿宋"/>
              </w:rPr>
              <w:t>，进行打分。</w:t>
            </w:r>
          </w:p>
        </w:tc>
        <w:tc>
          <w:tcPr>
            <w:tcW w:w="1042" w:type="dxa"/>
            <w:vMerge w:val="restart"/>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4" w:type="dxa"/>
            <w:vMerge w:val="continue"/>
            <w:tcBorders>
              <w:left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left w:val="single" w:color="000000" w:sz="4" w:space="0"/>
              <w:right w:val="single" w:color="000000" w:sz="4" w:space="0"/>
            </w:tcBorders>
            <w:vAlign w:val="center"/>
          </w:tcPr>
          <w:p>
            <w:pPr>
              <w:pStyle w:val="25"/>
              <w:ind w:firstLine="0" w:firstLineChars="0"/>
              <w:rPr>
                <w:rFonts w:ascii="仿宋" w:hAnsi="仿宋" w:eastAsia="仿宋" w:cs="仿宋"/>
              </w:rPr>
            </w:pPr>
          </w:p>
        </w:tc>
        <w:tc>
          <w:tcPr>
            <w:tcW w:w="6417" w:type="dxa"/>
            <w:vMerge w:val="continue"/>
            <w:tcBorders>
              <w:left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left w:val="nil"/>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9</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售后服务</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1）根据供应商拟定的售后服务方案，包括持续服务保障情况、服务内容、响应时间、技术支持保障措施等响应方式和现场服务人员保证,由评标委员会根据合理性（0-3分）和符合性（0-2分）进行打分。</w:t>
            </w:r>
            <w:r>
              <w:rPr>
                <w:rFonts w:hint="eastAsia" w:ascii="仿宋" w:hAnsi="仿宋" w:eastAsia="仿宋" w:cs="仿宋"/>
              </w:rPr>
              <w:br w:type="textWrapping"/>
            </w:r>
            <w:r>
              <w:rPr>
                <w:rFonts w:hint="eastAsia" w:ascii="仿宋" w:hAnsi="仿宋" w:eastAsia="仿宋" w:cs="仿宋"/>
              </w:rPr>
              <w:t>2）考察投标人本地化服务能力，投标人在本市有常驻售后服务机构，或在本市有分公司或办事处等作为常驻服务和技术支持机构的加2分，需提供本地工商注册资料以及距采购人最近的服务网点情况表、售后服务机构地址、人员名单、联系方式等</w:t>
            </w:r>
            <w:r>
              <w:rPr>
                <w:rFonts w:hint="eastAsia" w:ascii="仿宋" w:hAnsi="仿宋" w:eastAsia="仿宋" w:cs="仿宋"/>
                <w:lang w:eastAsia="zh-CN"/>
              </w:rPr>
              <w:t>或提供上述内容中标后提供的承诺书。</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continue"/>
            <w:tcBorders>
              <w:left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left w:val="single" w:color="000000" w:sz="4" w:space="0"/>
              <w:right w:val="single" w:color="000000" w:sz="4" w:space="0"/>
            </w:tcBorders>
            <w:vAlign w:val="center"/>
          </w:tcPr>
          <w:p>
            <w:pPr>
              <w:pStyle w:val="25"/>
              <w:ind w:firstLine="0" w:firstLineChars="0"/>
              <w:rPr>
                <w:rFonts w:ascii="仿宋" w:hAnsi="仿宋" w:eastAsia="仿宋" w:cs="仿宋"/>
              </w:rPr>
            </w:pPr>
          </w:p>
        </w:tc>
        <w:tc>
          <w:tcPr>
            <w:tcW w:w="6417" w:type="dxa"/>
            <w:vMerge w:val="continue"/>
            <w:tcBorders>
              <w:left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left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34" w:type="dxa"/>
            <w:vMerge w:val="continue"/>
            <w:tcBorders>
              <w:left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left w:val="single" w:color="000000" w:sz="4" w:space="0"/>
              <w:right w:val="single" w:color="000000" w:sz="4" w:space="0"/>
            </w:tcBorders>
            <w:vAlign w:val="center"/>
          </w:tcPr>
          <w:p>
            <w:pPr>
              <w:pStyle w:val="25"/>
              <w:ind w:firstLine="0" w:firstLineChars="0"/>
              <w:rPr>
                <w:rFonts w:ascii="仿宋" w:hAnsi="仿宋" w:eastAsia="仿宋" w:cs="仿宋"/>
              </w:rPr>
            </w:pPr>
          </w:p>
        </w:tc>
        <w:tc>
          <w:tcPr>
            <w:tcW w:w="6417" w:type="dxa"/>
            <w:vMerge w:val="continue"/>
            <w:tcBorders>
              <w:left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left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10</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bCs/>
              </w:rPr>
              <w:t>应急预案</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bCs/>
              </w:rPr>
              <w:t>根据对应急事件的响应时间、调配人数与处理方案的</w:t>
            </w:r>
            <w:r>
              <w:rPr>
                <w:rFonts w:hint="eastAsia" w:ascii="仿宋" w:hAnsi="仿宋" w:eastAsia="仿宋" w:cs="仿宋"/>
              </w:rPr>
              <w:t>合理性（0-2分）和符合性（0-2分）进行打分。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11</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投标人相关业绩</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具备与本项目类似的调解、举报处置相关的外包服务或技术服务的合同案例，每提供一项案例得0.5分，最高得3分。需提供2018年1月以来，以自身名义与业主直接签署的合同复印件（包括合同首页、合同主要内容、合同落章页）并加盖公章。证明材料不完整的不得分，同一案例不重复得分。</w:t>
            </w:r>
          </w:p>
        </w:tc>
        <w:tc>
          <w:tcPr>
            <w:tcW w:w="104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12</w:t>
            </w:r>
          </w:p>
        </w:tc>
        <w:tc>
          <w:tcPr>
            <w:tcW w:w="123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投标人能力评价</w:t>
            </w:r>
          </w:p>
        </w:tc>
        <w:tc>
          <w:tcPr>
            <w:tcW w:w="6417"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1)投标人具备在有效期内的CMMI（软件能力成熟度集成模型）认证证书，提供三级或以上证书复印件并加盖公章得2分，否则不得分。</w:t>
            </w:r>
            <w:r>
              <w:rPr>
                <w:rFonts w:hint="eastAsia" w:ascii="仿宋" w:hAnsi="仿宋" w:eastAsia="仿宋" w:cs="仿宋"/>
              </w:rPr>
              <w:br w:type="textWrapping"/>
            </w:r>
            <w:r>
              <w:rPr>
                <w:rFonts w:hint="eastAsia" w:ascii="仿宋" w:hAnsi="仿宋" w:eastAsia="仿宋" w:cs="仿宋"/>
              </w:rPr>
              <w:t>2)投标人具备在有效期内的ISO9001质量管理体系认证证书、ISO27001信息安全管理体系认证证书、ISO20000信息技术服务管理体系认证证书的得1分，需提供证书复印件并加盖投标人公章，否则不得分。</w:t>
            </w:r>
            <w:r>
              <w:rPr>
                <w:rFonts w:hint="eastAsia" w:ascii="仿宋" w:hAnsi="仿宋" w:eastAsia="仿宋" w:cs="仿宋"/>
              </w:rPr>
              <w:br w:type="textWrapping"/>
            </w:r>
            <w:r>
              <w:rPr>
                <w:rFonts w:hint="eastAsia" w:ascii="仿宋" w:hAnsi="仿宋" w:eastAsia="仿宋" w:cs="仿宋"/>
              </w:rPr>
              <w:t>3)投标人具备省级政府机关颁发的高新技术企业证书的，得2分，需提供证书复印件并加盖投标人公章，否则不得分。</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c>
          <w:tcPr>
            <w:tcW w:w="1232"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6417" w:type="dxa"/>
            <w:vMerge w:val="continue"/>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4"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13</w:t>
            </w:r>
          </w:p>
        </w:tc>
        <w:tc>
          <w:tcPr>
            <w:tcW w:w="1232" w:type="dxa"/>
            <w:tcBorders>
              <w:top w:val="single" w:color="000000" w:sz="4" w:space="0"/>
              <w:left w:val="single" w:color="000000" w:sz="4" w:space="0"/>
              <w:bottom w:val="single" w:color="000000" w:sz="4" w:space="0"/>
              <w:right w:val="single" w:color="000000" w:sz="4" w:space="0"/>
            </w:tcBorders>
            <w:vAlign w:val="center"/>
          </w:tcPr>
          <w:p>
            <w:pPr>
              <w:pStyle w:val="25"/>
              <w:ind w:firstLine="0" w:firstLineChars="0"/>
              <w:rPr>
                <w:rFonts w:ascii="仿宋" w:hAnsi="仿宋" w:eastAsia="仿宋" w:cs="仿宋"/>
              </w:rPr>
            </w:pPr>
            <w:r>
              <w:rPr>
                <w:rFonts w:hint="eastAsia" w:ascii="仿宋" w:hAnsi="仿宋" w:eastAsia="仿宋" w:cs="仿宋"/>
              </w:rPr>
              <w:t>优惠条件</w:t>
            </w:r>
          </w:p>
        </w:tc>
        <w:tc>
          <w:tcPr>
            <w:tcW w:w="6417" w:type="dxa"/>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投标人提出的优惠条件和承诺情况，及其可实现程度等，对提出问题的回答情况是否可行（0-2分）、合理（0-1分）进行打分。</w:t>
            </w:r>
          </w:p>
        </w:tc>
        <w:tc>
          <w:tcPr>
            <w:tcW w:w="1042" w:type="dxa"/>
            <w:tcBorders>
              <w:top w:val="single" w:color="000000" w:sz="4" w:space="0"/>
              <w:left w:val="nil"/>
              <w:bottom w:val="single" w:color="000000" w:sz="4" w:space="0"/>
              <w:right w:val="single" w:color="000000" w:sz="4" w:space="0"/>
            </w:tcBorders>
            <w:vAlign w:val="center"/>
          </w:tcPr>
          <w:p>
            <w:pPr>
              <w:pStyle w:val="25"/>
              <w:ind w:firstLine="0" w:firstLineChars="0"/>
              <w:jc w:val="center"/>
              <w:rPr>
                <w:rFonts w:ascii="仿宋" w:hAnsi="仿宋" w:eastAsia="仿宋" w:cs="仿宋"/>
              </w:rPr>
            </w:pPr>
            <w:r>
              <w:rPr>
                <w:rFonts w:hint="eastAsia" w:ascii="仿宋" w:hAnsi="仿宋" w:eastAsia="仿宋" w:cs="仿宋"/>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25" w:type="dxa"/>
            <w:gridSpan w:val="4"/>
            <w:tcBorders>
              <w:top w:val="single" w:color="000000" w:sz="4" w:space="0"/>
              <w:left w:val="single" w:color="000000" w:sz="4" w:space="0"/>
              <w:bottom w:val="single" w:color="000000" w:sz="4" w:space="0"/>
              <w:right w:val="single" w:color="000000" w:sz="4" w:space="0"/>
            </w:tcBorders>
            <w:vAlign w:val="center"/>
          </w:tcPr>
          <w:p>
            <w:pPr>
              <w:pStyle w:val="25"/>
              <w:rPr>
                <w:rFonts w:ascii="仿宋" w:hAnsi="仿宋" w:eastAsia="仿宋" w:cs="仿宋"/>
              </w:rPr>
            </w:pPr>
            <w:r>
              <w:rPr>
                <w:rFonts w:hint="eastAsia" w:ascii="仿宋" w:hAnsi="仿宋" w:eastAsia="仿宋" w:cs="仿宋"/>
              </w:rPr>
              <w:t>注：招标文件要求提供的资质证书，发证日期需在本项目发标日期之前。</w:t>
            </w:r>
          </w:p>
        </w:tc>
      </w:tr>
    </w:tbl>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1、评标办法前附表</w:t>
      </w: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2、商务分+技术分=评标委员会所有成员评分合计数/评标委员会组成人员数（精确到小数点后二位）；</w:t>
      </w:r>
    </w:p>
    <w:p>
      <w:pPr>
        <w:spacing w:line="360" w:lineRule="auto"/>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3、价格分（10分）</w:t>
      </w:r>
      <w:r>
        <w:rPr>
          <w:rFonts w:hint="eastAsia" w:ascii="仿宋_GB2312" w:hAnsi="仿宋_GB2312" w:eastAsia="仿宋_GB2312" w:cs="仿宋_GB2312"/>
          <w:color w:val="000000"/>
          <w:sz w:val="24"/>
        </w:rPr>
        <w:t>采用低价优先法计算，即满足招标文件要求且投标价格最低的投标报价为评标基准价，其他投标人的价格分按照下列公式计算：</w:t>
      </w:r>
    </w:p>
    <w:p>
      <w:pPr>
        <w:spacing w:line="360" w:lineRule="auto"/>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价格分=（评标基准价/投标报价）×10%×100（精确到小数点后二位）；</w:t>
      </w:r>
    </w:p>
    <w:p>
      <w:pPr>
        <w:pStyle w:val="65"/>
        <w:ind w:left="0" w:leftChars="0" w:firstLine="420"/>
      </w:pPr>
      <w:r>
        <w:rPr>
          <w:rFonts w:hint="eastAsia"/>
        </w:rPr>
        <w:t>报价是中标的一个重要因素，但最低报价不是中标的唯一依据。</w:t>
      </w:r>
    </w:p>
    <w:p>
      <w:pPr>
        <w:pStyle w:val="65"/>
        <w:spacing w:line="360" w:lineRule="auto"/>
        <w:ind w:left="0" w:leftChars="0" w:firstLine="482"/>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4、各投标人的综合得分为：技术商务得分+投标价格得分之和，总和为100分，其中：商务技术得分90分，投标价格得分10分。</w:t>
      </w:r>
    </w:p>
    <w:p>
      <w:pPr>
        <w:pStyle w:val="65"/>
        <w:ind w:firstLine="420"/>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1"/>
        <w:spacing w:before="0"/>
        <w:ind w:firstLine="480"/>
        <w:rPr>
          <w:rFonts w:hint="eastAsia"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FF0000"/>
          <w:kern w:val="0"/>
          <w:szCs w:val="24"/>
        </w:rPr>
        <w:t>10%的扣除，用扣除后的价格参与评审。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pStyle w:val="91"/>
        <w:spacing w:before="0"/>
        <w:ind w:firstLine="480"/>
        <w:rPr>
          <w:rFonts w:ascii="仿宋" w:hAnsi="仿宋" w:eastAsia="仿宋" w:cs="仿宋"/>
          <w:color w:val="FF0000"/>
          <w:kern w:val="0"/>
          <w:szCs w:val="24"/>
        </w:rPr>
      </w:pPr>
      <w:r>
        <w:rPr>
          <w:rFonts w:hint="eastAsia" w:ascii="仿宋_GB2312" w:hAnsi="仿宋" w:eastAsia="仿宋_GB2312"/>
          <w:color w:val="FF0000"/>
        </w:rPr>
        <w:t>本项目专门面向中小企业的政府采购货物或服务项目，对小型和微型企业的投标报价不予</w:t>
      </w:r>
      <w:r>
        <w:rPr>
          <w:rFonts w:ascii="仿宋_GB2312" w:hAnsi="仿宋" w:eastAsia="仿宋_GB2312"/>
          <w:color w:val="FF0000"/>
        </w:rPr>
        <w:t>扣除。</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430" w:leftChars="205"/>
        <w:rPr>
          <w:rFonts w:cs="Arial"/>
          <w:kern w:val="0"/>
          <w:sz w:val="24"/>
          <w:szCs w:val="24"/>
          <w:lang w:val="en-US"/>
        </w:rPr>
      </w:pPr>
      <w:r>
        <w:rPr>
          <w:rFonts w:cs="Arial"/>
          <w:kern w:val="0"/>
          <w:sz w:val="24"/>
          <w:szCs w:val="24"/>
          <w:lang w:val="en-US"/>
        </w:rPr>
        <w:t xml:space="preserve">4.2.13 </w:t>
      </w:r>
      <w:r>
        <w:rPr>
          <w:rFonts w:hint="eastAsia" w:cs="Arial"/>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31"/>
    <w:p>
      <w:bookmarkStart w:id="399" w:name="第五部分"/>
      <w:bookmarkStart w:id="400" w:name="_Toc86217003"/>
    </w:p>
    <w:p>
      <w:pPr>
        <w:pStyle w:val="65"/>
        <w:ind w:firstLine="420"/>
      </w:pPr>
    </w:p>
    <w:p>
      <w:pPr>
        <w:pStyle w:val="24"/>
      </w:pPr>
    </w:p>
    <w:p/>
    <w:p>
      <w:pPr>
        <w:pStyle w:val="84"/>
      </w:pPr>
    </w:p>
    <w:p/>
    <w:p>
      <w:pPr>
        <w:pStyle w:val="84"/>
      </w:pPr>
    </w:p>
    <w:p/>
    <w:p>
      <w:pPr>
        <w:pStyle w:val="84"/>
      </w:pPr>
    </w:p>
    <w:p/>
    <w:p>
      <w:pPr>
        <w:pStyle w:val="84"/>
      </w:pPr>
    </w:p>
    <w:p/>
    <w:p>
      <w:pPr>
        <w:pStyle w:val="84"/>
      </w:pPr>
    </w:p>
    <w:p/>
    <w:p>
      <w:pPr>
        <w:pStyle w:val="84"/>
      </w:pPr>
    </w:p>
    <w:p/>
    <w:p>
      <w:pPr>
        <w:pStyle w:val="2"/>
      </w:pPr>
    </w:p>
    <w:p/>
    <w:p>
      <w:pPr>
        <w:pStyle w:val="2"/>
      </w:pPr>
    </w:p>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360" w:lineRule="auto"/>
        <w:jc w:val="center"/>
        <w:outlineLvl w:val="0"/>
        <w:rPr>
          <w:rFonts w:ascii="宋体" w:hAnsi="宋体"/>
          <w:b/>
          <w:color w:val="000000"/>
          <w:sz w:val="32"/>
          <w:szCs w:val="32"/>
        </w:rPr>
      </w:pPr>
      <w:bookmarkStart w:id="401" w:name="_Toc331685784"/>
    </w:p>
    <w:p>
      <w:pPr>
        <w:snapToGrid w:val="0"/>
        <w:spacing w:line="360" w:lineRule="auto"/>
        <w:jc w:val="center"/>
        <w:outlineLvl w:val="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（以最终合同为准）</w:t>
      </w:r>
    </w:p>
    <w:p>
      <w:pPr>
        <w:autoSpaceDE w:val="0"/>
        <w:autoSpaceDN w:val="0"/>
        <w:snapToGrid w:val="0"/>
        <w:spacing w:line="360" w:lineRule="auto"/>
        <w:ind w:firstLine="436" w:firstLineChars="18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项目名称：2022年网络投诉件辅助处理劳务外包项目 </w:t>
      </w:r>
    </w:p>
    <w:p>
      <w:pPr>
        <w:pStyle w:val="37"/>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招标编号：</w:t>
      </w:r>
      <w:r>
        <w:rPr>
          <w:rFonts w:hint="eastAsia" w:ascii="仿宋_GB2312" w:hAnsi="仿宋_GB2312" w:eastAsia="仿宋_GB2312" w:cs="仿宋_GB2312"/>
          <w:sz w:val="24"/>
        </w:rPr>
        <w:t>YHZFCG2022-127</w:t>
      </w:r>
    </w:p>
    <w:p>
      <w:pPr>
        <w:pStyle w:val="37"/>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甲方：杭州市余杭区市场监督管理局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kern w:val="2"/>
          <w:sz w:val="24"/>
          <w:szCs w:val="24"/>
          <w:lang w:eastAsia="zh-CN"/>
        </w:rPr>
        <w:t>甲、乙双方根据2022年网络投诉件辅助处理劳务外包项目（招标编号：</w:t>
      </w:r>
      <w:r>
        <w:rPr>
          <w:rFonts w:hint="eastAsia" w:ascii="仿宋_GB2312" w:hAnsi="仿宋_GB2312" w:eastAsia="仿宋_GB2312" w:cs="仿宋_GB2312"/>
          <w:sz w:val="24"/>
          <w:u w:val="single"/>
          <w:lang w:eastAsia="zh-CN"/>
        </w:rPr>
        <w:t>YHZFCG2022-127</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eastAsia="zh-CN"/>
        </w:rPr>
        <w:t>政府采购</w:t>
      </w:r>
      <w:r>
        <w:rPr>
          <w:rFonts w:hint="eastAsia" w:ascii="仿宋_GB2312" w:hAnsi="仿宋_GB2312" w:eastAsia="仿宋_GB2312" w:cs="仿宋_GB2312"/>
          <w:color w:val="000000"/>
          <w:sz w:val="24"/>
          <w:szCs w:val="24"/>
          <w:lang w:eastAsia="zh-CN"/>
        </w:rPr>
        <w:t>公开招标的结果，签署本合同。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2" w:name="_Toc5663"/>
      <w:r>
        <w:rPr>
          <w:rFonts w:hint="eastAsia" w:ascii="仿宋_GB2312" w:hAnsi="仿宋_GB2312" w:eastAsia="仿宋_GB2312" w:cs="仿宋_GB2312"/>
          <w:b/>
          <w:color w:val="000000"/>
          <w:sz w:val="24"/>
          <w:szCs w:val="24"/>
          <w:lang w:eastAsia="zh-CN"/>
        </w:rPr>
        <w:t>一、服务内容</w:t>
      </w:r>
      <w:bookmarkEnd w:id="402"/>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具体内容和相关要求详见招标文件“</w:t>
      </w:r>
      <w:r>
        <w:rPr>
          <w:rFonts w:hint="eastAsia" w:ascii="仿宋_GB2312" w:hAnsi="仿宋_GB2312" w:eastAsia="仿宋_GB2312" w:cs="仿宋_GB2312"/>
          <w:kern w:val="0"/>
          <w:sz w:val="24"/>
        </w:rPr>
        <w:t>第三部分——项目技术规范和服务要求”</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3" w:name="_Toc13637"/>
      <w:r>
        <w:rPr>
          <w:rFonts w:hint="eastAsia" w:ascii="仿宋_GB2312" w:hAnsi="仿宋_GB2312" w:eastAsia="仿宋_GB2312" w:cs="仿宋_GB2312"/>
          <w:b/>
          <w:color w:val="000000"/>
          <w:sz w:val="24"/>
          <w:szCs w:val="24"/>
          <w:lang w:eastAsia="zh-CN"/>
        </w:rPr>
        <w:t>二、</w:t>
      </w:r>
      <w:r>
        <w:rPr>
          <w:rFonts w:hint="eastAsia" w:ascii="仿宋_GB2312" w:hAnsi="仿宋_GB2312" w:eastAsia="仿宋_GB2312" w:cs="仿宋_GB2312"/>
          <w:b/>
          <w:bCs/>
          <w:sz w:val="24"/>
          <w:lang w:eastAsia="zh-CN" w:bidi="en-US"/>
        </w:rPr>
        <w:t>服务时间要求</w:t>
      </w:r>
      <w:bookmarkEnd w:id="403"/>
    </w:p>
    <w:p>
      <w:pPr>
        <w:pStyle w:val="623"/>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4" w:name="_Toc22910"/>
      <w:r>
        <w:rPr>
          <w:rFonts w:hint="eastAsia" w:ascii="仿宋_GB2312" w:hAnsi="仿宋_GB2312" w:eastAsia="仿宋_GB2312" w:cs="仿宋_GB2312"/>
          <w:b/>
          <w:color w:val="000000"/>
          <w:sz w:val="24"/>
          <w:szCs w:val="24"/>
          <w:lang w:eastAsia="zh-CN"/>
        </w:rPr>
        <w:t>三、合同金额</w:t>
      </w:r>
      <w:bookmarkEnd w:id="404"/>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合同金额为（大写）</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元）人民币。</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5" w:name="_Toc3395"/>
      <w:r>
        <w:rPr>
          <w:rFonts w:hint="eastAsia" w:ascii="仿宋_GB2312" w:hAnsi="仿宋_GB2312" w:eastAsia="仿宋_GB2312" w:cs="仿宋_GB2312"/>
          <w:b/>
          <w:color w:val="000000"/>
          <w:sz w:val="24"/>
          <w:szCs w:val="24"/>
          <w:lang w:eastAsia="zh-CN"/>
        </w:rPr>
        <w:t>四、技术资料</w:t>
      </w:r>
      <w:bookmarkEnd w:id="405"/>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1、乙方应按招标文件规定的时间向甲方提供有关技术资料。</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6" w:name="_Toc24660"/>
      <w:r>
        <w:rPr>
          <w:rFonts w:hint="eastAsia" w:ascii="仿宋_GB2312" w:hAnsi="仿宋_GB2312" w:eastAsia="仿宋_GB2312" w:cs="仿宋_GB2312"/>
          <w:b/>
          <w:color w:val="000000"/>
          <w:sz w:val="24"/>
          <w:szCs w:val="24"/>
          <w:lang w:eastAsia="zh-CN"/>
        </w:rPr>
        <w:t>五、知识产权</w:t>
      </w:r>
      <w:bookmarkEnd w:id="406"/>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乙方应保证提供服务过程中不会侵犯任何第三方的知识产权。</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7" w:name="_Toc27890"/>
      <w:r>
        <w:rPr>
          <w:rFonts w:hint="eastAsia" w:ascii="仿宋_GB2312" w:hAnsi="仿宋_GB2312" w:eastAsia="仿宋_GB2312" w:cs="仿宋_GB2312"/>
          <w:b/>
          <w:color w:val="000000"/>
          <w:sz w:val="24"/>
          <w:szCs w:val="24"/>
          <w:lang w:eastAsia="zh-CN"/>
        </w:rPr>
        <w:t>六、履约保证金</w:t>
      </w:r>
      <w:bookmarkEnd w:id="407"/>
    </w:p>
    <w:p>
      <w:pPr>
        <w:pStyle w:val="623"/>
        <w:snapToGrid w:val="0"/>
        <w:spacing w:line="360" w:lineRule="auto"/>
        <w:ind w:firstLine="480" w:firstLineChars="200"/>
        <w:rPr>
          <w:rFonts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按招标文件约定。</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08" w:name="_Toc724"/>
      <w:r>
        <w:rPr>
          <w:rFonts w:hint="eastAsia" w:ascii="仿宋_GB2312" w:hAnsi="仿宋_GB2312" w:eastAsia="仿宋_GB2312" w:cs="仿宋_GB2312"/>
          <w:b/>
          <w:color w:val="000000"/>
          <w:sz w:val="24"/>
          <w:szCs w:val="24"/>
          <w:lang w:eastAsia="zh-CN"/>
        </w:rPr>
        <w:t>七、转包或分包</w:t>
      </w:r>
      <w:bookmarkEnd w:id="408"/>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1、本合同范围的服务，应由乙方直接供应，不得转让他人供应；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2、除非得到甲方的书面同意，乙方不得将本合同范围的服务全部或部分分包给他人供应；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3、如有转让和未经甲方同意的分包行为，甲方有权解除合同，没收履约保证金并追究乙方的违约责任。</w:t>
      </w:r>
    </w:p>
    <w:p>
      <w:pPr>
        <w:pStyle w:val="623"/>
        <w:snapToGrid w:val="0"/>
        <w:spacing w:line="360" w:lineRule="auto"/>
        <w:ind w:firstLine="482" w:firstLineChars="200"/>
        <w:outlineLvl w:val="1"/>
        <w:rPr>
          <w:rFonts w:ascii="仿宋_GB2312" w:hAnsi="仿宋_GB2312" w:eastAsia="仿宋_GB2312" w:cs="仿宋_GB2312"/>
          <w:color w:val="000000"/>
          <w:sz w:val="24"/>
          <w:szCs w:val="24"/>
          <w:lang w:eastAsia="zh-CN"/>
        </w:rPr>
      </w:pPr>
      <w:bookmarkStart w:id="409" w:name="_Toc26219"/>
      <w:r>
        <w:rPr>
          <w:rFonts w:hint="eastAsia" w:ascii="仿宋_GB2312" w:hAnsi="仿宋_GB2312" w:eastAsia="仿宋_GB2312" w:cs="仿宋_GB2312"/>
          <w:b/>
          <w:color w:val="000000"/>
          <w:sz w:val="24"/>
          <w:szCs w:val="24"/>
          <w:lang w:eastAsia="zh-CN"/>
        </w:rPr>
        <w:t>八、合同履行时间、履行方式及履行地点</w:t>
      </w:r>
      <w:bookmarkEnd w:id="409"/>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1、履行时间：   ；</w:t>
      </w:r>
    </w:p>
    <w:p>
      <w:pPr>
        <w:pStyle w:val="623"/>
        <w:snapToGrid w:val="0"/>
        <w:spacing w:line="360" w:lineRule="auto"/>
        <w:ind w:firstLine="480" w:firstLineChars="200"/>
        <w:rPr>
          <w:rFonts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lang w:eastAsia="zh-CN"/>
        </w:rPr>
        <w:t>履行地点：   。</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0" w:name="_Toc670"/>
      <w:r>
        <w:rPr>
          <w:rFonts w:hint="eastAsia" w:ascii="仿宋_GB2312" w:hAnsi="仿宋_GB2312" w:eastAsia="仿宋_GB2312" w:cs="仿宋_GB2312"/>
          <w:b/>
          <w:color w:val="000000"/>
          <w:sz w:val="24"/>
          <w:szCs w:val="24"/>
          <w:lang w:eastAsia="zh-CN"/>
        </w:rPr>
        <w:t>九、款项支付</w:t>
      </w:r>
      <w:bookmarkEnd w:id="410"/>
    </w:p>
    <w:p>
      <w:pPr>
        <w:pStyle w:val="623"/>
        <w:snapToGrid w:val="0"/>
        <w:spacing w:line="360" w:lineRule="auto"/>
        <w:ind w:firstLine="960" w:firstLineChars="400"/>
        <w:rPr>
          <w:rFonts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szCs w:val="24"/>
          <w:lang w:eastAsia="zh-CN"/>
        </w:rPr>
        <w:t>按招标文件约定执行</w:t>
      </w:r>
      <w:r>
        <w:rPr>
          <w:rFonts w:hint="eastAsia" w:ascii="仿宋_GB2312" w:hAnsi="仿宋_GB2312" w:eastAsia="仿宋_GB2312" w:cs="仿宋_GB2312"/>
          <w:bCs/>
          <w:color w:val="000000"/>
          <w:sz w:val="24"/>
          <w:lang w:eastAsia="zh-CN"/>
        </w:rPr>
        <w:t>。</w:t>
      </w:r>
    </w:p>
    <w:p>
      <w:pPr>
        <w:autoSpaceDE w:val="0"/>
        <w:autoSpaceDN w:val="0"/>
        <w:snapToGrid w:val="0"/>
        <w:spacing w:line="360" w:lineRule="auto"/>
        <w:ind w:firstLine="482" w:firstLineChars="200"/>
        <w:outlineLvl w:val="1"/>
        <w:rPr>
          <w:rFonts w:ascii="仿宋_GB2312" w:hAnsi="仿宋_GB2312" w:eastAsia="仿宋_GB2312" w:cs="仿宋_GB2312"/>
          <w:b/>
          <w:color w:val="000000"/>
          <w:sz w:val="24"/>
        </w:rPr>
      </w:pPr>
      <w:bookmarkStart w:id="411" w:name="_Toc29970"/>
      <w:r>
        <w:rPr>
          <w:rFonts w:hint="eastAsia" w:ascii="仿宋_GB2312" w:hAnsi="仿宋_GB2312" w:eastAsia="仿宋_GB2312" w:cs="仿宋_GB2312"/>
          <w:b/>
          <w:color w:val="000000"/>
          <w:sz w:val="24"/>
        </w:rPr>
        <w:t>十、税费</w:t>
      </w:r>
      <w:bookmarkEnd w:id="411"/>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本合同执行中相关的一切税费均由乙方负担。</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2" w:name="_Toc13501"/>
      <w:r>
        <w:rPr>
          <w:rFonts w:hint="eastAsia" w:ascii="仿宋_GB2312" w:hAnsi="仿宋_GB2312" w:eastAsia="仿宋_GB2312" w:cs="仿宋_GB2312"/>
          <w:b/>
          <w:color w:val="000000"/>
          <w:sz w:val="24"/>
          <w:szCs w:val="24"/>
          <w:lang w:eastAsia="zh-CN"/>
        </w:rPr>
        <w:t>十一、质量保证及后续服务</w:t>
      </w:r>
      <w:bookmarkEnd w:id="412"/>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1、乙方应按招标文件规定向甲方提供服务。</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（1）重做：由乙方承担所发生的全部费用。</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（2）解除合同。</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3、在服务质量保证期内，乙方应对出现的质量及安全问题负责处理解决并承担一切费用。</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3" w:name="_Toc11285"/>
      <w:r>
        <w:rPr>
          <w:rFonts w:hint="eastAsia" w:ascii="仿宋_GB2312" w:hAnsi="仿宋_GB2312" w:eastAsia="仿宋_GB2312" w:cs="仿宋_GB2312"/>
          <w:b/>
          <w:color w:val="000000"/>
          <w:sz w:val="24"/>
          <w:szCs w:val="24"/>
          <w:lang w:eastAsia="zh-CN"/>
        </w:rPr>
        <w:t>十二、违约责任</w:t>
      </w:r>
      <w:bookmarkEnd w:id="413"/>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1、甲方无正当理由拒收接受服务的，甲方向乙方偿付合同款项百分之五作为违约金。</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2、甲方无故逾期验收和办理款项支付手续的，甲方应按逾期付款总额每日万分之五向乙方支付违约金，赔付上线为合同总额的百分之五。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3、乙方未能如期提供服务的，每逾期一日向甲方支付合同款项的万分之五作为违约金，赔付上线为合同总额的百分之五。</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4、乙方因未能如期提供服务或因其他违约行为导致甲方解除合同的，乙方应向甲方支付合同总值的百分之五违约金。</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4" w:name="_Toc28853"/>
      <w:r>
        <w:rPr>
          <w:rFonts w:hint="eastAsia" w:ascii="仿宋_GB2312" w:hAnsi="仿宋_GB2312" w:eastAsia="仿宋_GB2312" w:cs="仿宋_GB2312"/>
          <w:b/>
          <w:color w:val="000000"/>
          <w:sz w:val="24"/>
          <w:szCs w:val="24"/>
          <w:lang w:eastAsia="zh-CN"/>
        </w:rPr>
        <w:t>十三、不可抗力事件处理</w:t>
      </w:r>
      <w:bookmarkEnd w:id="414"/>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1、在合同有效期内，任何一方因不可抗力事件导致不能履行合同，则合同履行期可延长，其延长期与不可抗力影响期相同。</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2、不可抗力事件发生后，应立即通知对方，并寄送有关权威机构出具的证明。</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3、不可抗力事件延续120天以上，双方应通过友好协商，确定是否继续履行合同。</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5" w:name="_Toc31178"/>
      <w:r>
        <w:rPr>
          <w:rFonts w:hint="eastAsia" w:ascii="仿宋_GB2312" w:hAnsi="仿宋_GB2312" w:eastAsia="仿宋_GB2312" w:cs="仿宋_GB2312"/>
          <w:b/>
          <w:color w:val="000000"/>
          <w:sz w:val="24"/>
          <w:szCs w:val="24"/>
          <w:lang w:eastAsia="zh-CN"/>
        </w:rPr>
        <w:t>十四、诉讼</w:t>
      </w:r>
      <w:bookmarkEnd w:id="415"/>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双方在执行合同中所发生的一切争议，应通过协商解决。如协商不成，可向甲方所在地法院起诉。</w:t>
      </w:r>
    </w:p>
    <w:p>
      <w:pPr>
        <w:pStyle w:val="623"/>
        <w:snapToGrid w:val="0"/>
        <w:spacing w:line="360" w:lineRule="auto"/>
        <w:ind w:firstLine="482" w:firstLineChars="200"/>
        <w:outlineLvl w:val="1"/>
        <w:rPr>
          <w:rFonts w:ascii="仿宋_GB2312" w:hAnsi="仿宋_GB2312" w:eastAsia="仿宋_GB2312" w:cs="仿宋_GB2312"/>
          <w:b/>
          <w:color w:val="000000"/>
          <w:sz w:val="24"/>
          <w:szCs w:val="24"/>
          <w:lang w:eastAsia="zh-CN"/>
        </w:rPr>
      </w:pPr>
      <w:bookmarkStart w:id="416" w:name="_Toc5342"/>
      <w:r>
        <w:rPr>
          <w:rFonts w:hint="eastAsia" w:ascii="仿宋_GB2312" w:hAnsi="仿宋_GB2312" w:eastAsia="仿宋_GB2312" w:cs="仿宋_GB2312"/>
          <w:b/>
          <w:color w:val="000000"/>
          <w:sz w:val="24"/>
          <w:szCs w:val="24"/>
          <w:lang w:eastAsia="zh-CN"/>
        </w:rPr>
        <w:t>十五、合同生效及其它</w:t>
      </w:r>
      <w:bookmarkEnd w:id="416"/>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1、合同经双方法定代表人或授权代表签字或盖章并加盖单位公章后生效。</w:t>
      </w:r>
    </w:p>
    <w:p>
      <w:pPr>
        <w:pStyle w:val="623"/>
        <w:snapToGrid w:val="0"/>
        <w:spacing w:line="360" w:lineRule="auto"/>
        <w:ind w:firstLine="480" w:firstLineChars="200"/>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7"/>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4、本合同一式陆份，具有同等法律效力，甲乙双方各执叁份。</w:t>
      </w: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甲方（盖章）：                            乙方（盖章）：        </w:t>
      </w:r>
    </w:p>
    <w:p>
      <w:pPr>
        <w:snapToGrid w:val="0"/>
        <w:spacing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                              法定代表人：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或受委托人（签字或盖章）：                或受委托人（签字或盖章）：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                                  联系人：</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地址：                                    地址：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                                    电话：</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传真：                                    传真：</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开户银行：                                开户银行：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帐号：                                    帐号：</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签订时间：                                签订时间：</w:t>
      </w:r>
    </w:p>
    <w:p>
      <w:pPr>
        <w:pStyle w:val="65"/>
        <w:spacing w:line="360" w:lineRule="auto"/>
        <w:ind w:left="0" w:leftChars="0" w:firstLine="5520" w:firstLineChars="2300"/>
        <w:rPr>
          <w:rFonts w:ascii="仿宋_GB2312" w:hAnsi="仿宋_GB2312" w:eastAsia="仿宋_GB2312" w:cs="仿宋_GB2312"/>
        </w:rPr>
      </w:pPr>
      <w:r>
        <w:rPr>
          <w:rFonts w:hint="eastAsia" w:ascii="仿宋_GB2312" w:hAnsi="仿宋_GB2312" w:eastAsia="仿宋_GB2312" w:cs="仿宋_GB2312"/>
          <w:color w:val="000000"/>
          <w:sz w:val="24"/>
        </w:rPr>
        <w:t>签订地点：</w:t>
      </w:r>
    </w:p>
    <w:p>
      <w:pPr>
        <w:pStyle w:val="27"/>
        <w:spacing w:line="560" w:lineRule="exact"/>
        <w:ind w:firstLine="482"/>
        <w:jc w:val="center"/>
        <w:rPr>
          <w:rFonts w:hAnsi="仿宋_GB2312" w:cs="仿宋_GB2312"/>
          <w:b/>
          <w:szCs w:val="24"/>
        </w:rPr>
      </w:pPr>
      <w:r>
        <w:rPr>
          <w:rFonts w:hint="eastAsia" w:hAnsi="仿宋_GB2312" w:cs="仿宋_GB2312"/>
          <w:b/>
          <w:szCs w:val="24"/>
        </w:rPr>
        <w:t xml:space="preserve"> </w:t>
      </w:r>
      <w:bookmarkEnd w:id="401"/>
    </w:p>
    <w:p>
      <w:pPr>
        <w:spacing w:line="360" w:lineRule="auto"/>
        <w:ind w:left="-420" w:leftChars="-200" w:right="-420" w:rightChars="-200" w:firstLine="480" w:firstLineChars="200"/>
        <w:jc w:val="center"/>
        <w:outlineLvl w:val="0"/>
        <w:rPr>
          <w:rFonts w:ascii="仿宋" w:hAnsi="仿宋" w:eastAsia="仿宋"/>
          <w:sz w:val="24"/>
        </w:rPr>
      </w:pPr>
    </w:p>
    <w:p>
      <w:pPr>
        <w:pStyle w:val="65"/>
        <w:ind w:firstLine="480"/>
        <w:rPr>
          <w:rFonts w:ascii="仿宋" w:hAnsi="仿宋" w:eastAsia="仿宋"/>
          <w:sz w:val="24"/>
        </w:rPr>
      </w:pPr>
    </w:p>
    <w:p>
      <w:pPr>
        <w:pStyle w:val="24"/>
        <w:rPr>
          <w:rFonts w:ascii="仿宋" w:hAnsi="仿宋" w:eastAsia="仿宋"/>
        </w:rPr>
      </w:pPr>
    </w:p>
    <w:p>
      <w:pPr>
        <w:rPr>
          <w:rFonts w:ascii="仿宋" w:hAnsi="仿宋" w:eastAsia="仿宋"/>
          <w:sz w:val="24"/>
        </w:rPr>
      </w:pPr>
    </w:p>
    <w:p>
      <w:pPr>
        <w:pStyle w:val="65"/>
        <w:ind w:firstLine="480"/>
        <w:rPr>
          <w:rFonts w:ascii="仿宋" w:hAnsi="仿宋" w:eastAsia="仿宋"/>
          <w:sz w:val="24"/>
        </w:rPr>
      </w:pPr>
    </w:p>
    <w:p>
      <w:pPr>
        <w:pStyle w:val="24"/>
        <w:rPr>
          <w:rFonts w:ascii="仿宋" w:hAnsi="仿宋" w:eastAsia="仿宋"/>
        </w:rPr>
      </w:pPr>
    </w:p>
    <w:p>
      <w:pPr>
        <w:rPr>
          <w:rFonts w:ascii="仿宋" w:hAnsi="仿宋" w:eastAsia="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9"/>
      <w:r>
        <w:rPr>
          <w:rFonts w:hint="eastAsia" w:ascii="仿宋" w:hAnsi="仿宋" w:eastAsia="仿宋" w:cs="仿宋"/>
          <w:b/>
          <w:sz w:val="36"/>
          <w:szCs w:val="20"/>
        </w:rPr>
        <w:t xml:space="preserve"> </w:t>
      </w:r>
      <w:bookmarkEnd w:id="400"/>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rPr>
          <w:rFonts w:ascii="仿宋" w:hAnsi="仿宋" w:eastAsia="仿宋" w:cs="仿宋"/>
          <w:b/>
          <w:kern w:val="0"/>
          <w:sz w:val="36"/>
          <w:szCs w:val="36"/>
        </w:rPr>
      </w:pPr>
    </w:p>
    <w:p>
      <w:pPr>
        <w:pStyle w:val="65"/>
        <w:ind w:firstLine="723"/>
        <w:rPr>
          <w:rFonts w:ascii="仿宋_GB2312" w:hAnsi="仿宋" w:eastAsia="仿宋_GB2312" w:cs="仿宋_GB2312"/>
          <w:b/>
          <w:kern w:val="0"/>
          <w:sz w:val="36"/>
          <w:szCs w:val="36"/>
        </w:rPr>
      </w:pPr>
    </w:p>
    <w:p>
      <w:pPr>
        <w:pStyle w:val="24"/>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Pr>
        <w:pStyle w:val="622"/>
        <w:rPr>
          <w:rFonts w:ascii="仿宋_GB2312" w:hAnsi="仿宋" w:eastAsia="仿宋_GB2312" w:cs="仿宋_GB2312"/>
          <w:b/>
          <w:sz w:val="36"/>
          <w:szCs w:val="36"/>
        </w:rPr>
      </w:pPr>
    </w:p>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622"/>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sz w:val="32"/>
          <w:szCs w:val="32"/>
        </w:rPr>
        <w:sectPr>
          <w:headerReference r:id="rId11" w:type="default"/>
          <w:footerReference r:id="rId12" w:type="default"/>
          <w:pgSz w:w="11906" w:h="16838"/>
          <w:pgMar w:top="993" w:right="1474" w:bottom="1134" w:left="1474" w:header="851" w:footer="641" w:gutter="0"/>
          <w:cols w:space="720" w:num="1"/>
          <w:docGrid w:type="lines" w:linePitch="315" w:charSpace="0"/>
        </w:sectPr>
      </w:pPr>
    </w:p>
    <w:p>
      <w:pPr>
        <w:pStyle w:val="65"/>
        <w:ind w:firstLine="420"/>
      </w:pPr>
    </w:p>
    <w:p>
      <w:pPr>
        <w:spacing w:line="360" w:lineRule="auto"/>
        <w:jc w:val="center"/>
        <w:outlineLvl w:val="0"/>
        <w:rPr>
          <w:rFonts w:ascii="华文仿宋" w:hAnsi="华文仿宋" w:eastAsia="华文仿宋" w:cs="华文仿宋"/>
          <w:b/>
          <w:kern w:val="0"/>
          <w:sz w:val="36"/>
          <w:szCs w:val="36"/>
        </w:rPr>
      </w:pPr>
      <w:r>
        <w:rPr>
          <w:rFonts w:hint="eastAsia" w:ascii="华文仿宋" w:hAnsi="华文仿宋" w:eastAsia="华文仿宋" w:cs="华文仿宋"/>
          <w:b/>
          <w:kern w:val="0"/>
          <w:sz w:val="36"/>
          <w:szCs w:val="36"/>
        </w:rPr>
        <w:t>目 录</w:t>
      </w:r>
    </w:p>
    <w:p>
      <w:pPr>
        <w:spacing w:line="360" w:lineRule="auto"/>
        <w:jc w:val="center"/>
        <w:outlineLvl w:val="0"/>
        <w:rPr>
          <w:rFonts w:ascii="华文仿宋" w:hAnsi="华文仿宋" w:eastAsia="华文仿宋" w:cs="华文仿宋"/>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pStyle w:val="25"/>
        <w:ind w:firstLine="0" w:firstLineChars="0"/>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widowControl/>
        <w:snapToGrid w:val="0"/>
        <w:spacing w:line="360" w:lineRule="auto"/>
        <w:jc w:val="left"/>
        <w:rPr>
          <w:rFonts w:ascii="宋体" w:hAnsi="宋体" w:cs="宋体"/>
          <w:color w:val="000000"/>
          <w:kern w:val="0"/>
          <w:sz w:val="24"/>
        </w:rPr>
      </w:pPr>
    </w:p>
    <w:p>
      <w:pPr>
        <w:pStyle w:val="25"/>
      </w:pPr>
    </w:p>
    <w:p>
      <w:pPr>
        <w:widowControl/>
        <w:snapToGrid w:val="0"/>
        <w:spacing w:line="360" w:lineRule="auto"/>
        <w:jc w:val="left"/>
        <w:rPr>
          <w:rFonts w:ascii="宋体" w:hAnsi="宋体" w:cs="宋体"/>
          <w:color w:val="000000"/>
          <w:kern w:val="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pStyle w:val="65"/>
        <w:ind w:firstLine="480"/>
        <w:rPr>
          <w:rFonts w:cs="宋体"/>
          <w:color w:val="000000"/>
          <w:sz w:val="24"/>
        </w:rPr>
      </w:pPr>
    </w:p>
    <w:p>
      <w:pPr>
        <w:pStyle w:val="24"/>
      </w:pPr>
    </w:p>
    <w:p/>
    <w:p>
      <w:pPr>
        <w:pStyle w:val="65"/>
        <w:ind w:firstLine="420"/>
      </w:pPr>
    </w:p>
    <w:p>
      <w:pPr>
        <w:pStyle w:val="24"/>
      </w:pPr>
    </w:p>
    <w:p/>
    <w:p>
      <w:pPr>
        <w:pStyle w:val="65"/>
        <w:ind w:firstLine="420"/>
      </w:pPr>
    </w:p>
    <w:p>
      <w:pPr>
        <w:pStyle w:val="24"/>
      </w:pPr>
    </w:p>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Pr>
        <w:pStyle w:val="622"/>
      </w:pPr>
    </w:p>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我方参与2022年网络投诉件辅助处理劳务外包项目【招标编号：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pStyle w:val="65"/>
        <w:ind w:firstLine="420"/>
      </w:pPr>
    </w:p>
    <w:p>
      <w:pPr>
        <w:snapToGrid w:val="0"/>
        <w:spacing w:line="360" w:lineRule="auto"/>
        <w:ind w:right="480"/>
        <w:jc w:val="center"/>
        <w:rPr>
          <w:rFonts w:ascii="仿宋_GB2312" w:hAnsi="仿宋" w:eastAsia="仿宋_GB2312" w:cs="仿宋_GB2312"/>
          <w:b/>
          <w:kern w:val="0"/>
          <w:sz w:val="32"/>
          <w:szCs w:val="32"/>
        </w:rPr>
      </w:pPr>
    </w:p>
    <w:p>
      <w:pPr>
        <w:pStyle w:val="622"/>
        <w:rPr>
          <w:rFonts w:ascii="仿宋_GB2312" w:hAnsi="仿宋" w:eastAsia="仿宋_GB2312" w:cs="仿宋_GB2312"/>
          <w:b/>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widowControl/>
        <w:spacing w:line="360" w:lineRule="auto"/>
        <w:ind w:left="150"/>
        <w:jc w:val="center"/>
        <w:rPr>
          <w:rFonts w:ascii="仿宋_GB2312" w:hAnsi="仿宋" w:eastAsia="仿宋_GB2312" w:cs="仿宋_GB2312"/>
          <w:b/>
          <w:kern w:val="0"/>
          <w:sz w:val="32"/>
          <w:szCs w:val="32"/>
        </w:rPr>
      </w:pPr>
    </w:p>
    <w:p>
      <w:pPr>
        <w:snapToGrid w:val="0"/>
        <w:spacing w:line="360" w:lineRule="auto"/>
        <w:ind w:firstLine="960" w:firstLineChars="400"/>
        <w:rPr>
          <w:rFonts w:ascii="仿宋_GB2312" w:hAnsi="仿宋" w:eastAsia="仿宋_GB2312" w:cs="仿宋_GB2312"/>
          <w:b/>
          <w:bCs/>
          <w:color w:val="000000"/>
          <w:sz w:val="24"/>
        </w:rPr>
      </w:pPr>
      <w:r>
        <w:rPr>
          <w:rFonts w:ascii="仿宋_GB2312" w:hAnsi="仿宋" w:eastAsia="仿宋_GB2312" w:cs="仿宋_GB2312"/>
          <w:color w:val="000000"/>
          <w:sz w:val="24"/>
        </w:rPr>
        <w:t xml:space="preserve">落实政府采购政策需满足的资格要求: </w:t>
      </w:r>
      <w:r>
        <w:rPr>
          <w:rFonts w:hint="eastAsia" w:ascii="仿宋_GB2312" w:hAnsi="仿宋" w:eastAsia="仿宋_GB2312" w:cs="仿宋_GB2312"/>
          <w:b/>
          <w:bCs/>
          <w:color w:val="000000"/>
          <w:sz w:val="24"/>
        </w:rPr>
        <w:t>本项目为专门面向中小企业采购的项目</w:t>
      </w:r>
      <w:r>
        <w:rPr>
          <w:rFonts w:ascii="仿宋_GB2312" w:hAnsi="仿宋" w:eastAsia="仿宋_GB2312" w:cs="仿宋_GB2312"/>
          <w:b/>
          <w:bCs/>
          <w:color w:val="000000"/>
          <w:sz w:val="24"/>
        </w:rPr>
        <w:t xml:space="preserve">,投标单位应为中小企业或监狱企业和残疾人福利性单位，出具《中小企业声明函》，否则作无效投标。                 </w:t>
      </w:r>
    </w:p>
    <w:p>
      <w:pPr>
        <w:pStyle w:val="65"/>
        <w:ind w:firstLine="643"/>
        <w:rPr>
          <w:rFonts w:ascii="仿宋_GB2312" w:hAnsi="仿宋" w:eastAsia="仿宋_GB2312" w:cs="仿宋_GB2312"/>
          <w:b/>
          <w:kern w:val="0"/>
          <w:sz w:val="32"/>
          <w:szCs w:val="32"/>
        </w:rPr>
      </w:pPr>
    </w:p>
    <w:p>
      <w:pPr>
        <w:snapToGrid w:val="0"/>
        <w:spacing w:before="50" w:after="50" w:line="360" w:lineRule="auto"/>
        <w:ind w:firstLine="472" w:firstLineChars="196"/>
        <w:jc w:val="left"/>
        <w:rPr>
          <w:rFonts w:ascii="仿宋_GB2312" w:hAnsi="仿宋" w:eastAsia="仿宋_GB2312" w:cs="仿宋_GB2312"/>
          <w:sz w:val="24"/>
        </w:rPr>
      </w:pPr>
      <w:r>
        <w:rPr>
          <w:rFonts w:hint="eastAsia" w:ascii="仿宋_GB2312" w:hAnsi="仿宋" w:eastAsia="仿宋_GB2312" w:cs="仿宋_GB2312"/>
          <w:b/>
          <w:bCs w:val="0"/>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b/>
          <w:bCs w:val="0"/>
          <w:sz w:val="24"/>
        </w:rPr>
        <w:t>5</w:t>
      </w:r>
      <w:r>
        <w:rPr>
          <w:rFonts w:hint="eastAsia" w:ascii="仿宋_GB2312" w:hAnsi="仿宋" w:eastAsia="仿宋_GB2312" w:cs="仿宋_GB2312"/>
          <w:b/>
          <w:bCs w:val="0"/>
          <w:sz w:val="24"/>
        </w:rPr>
        <w:t>）</w:t>
      </w:r>
      <w:r>
        <w:rPr>
          <w:rFonts w:hint="eastAsia" w:ascii="仿宋_GB2312" w:hAnsi="仿宋" w:eastAsia="仿宋_GB2312" w:cs="仿宋_GB2312"/>
          <w:sz w:val="24"/>
        </w:rPr>
        <w:t>。</w:t>
      </w:r>
      <w:r>
        <w:rPr>
          <w:rFonts w:ascii="仿宋_GB2312" w:hAnsi="仿宋" w:eastAsia="仿宋_GB2312" w:cs="仿宋_GB2312"/>
          <w:sz w:val="24"/>
        </w:rPr>
        <w:t xml:space="preserve"> </w:t>
      </w:r>
    </w:p>
    <w:p>
      <w:pPr>
        <w:pStyle w:val="2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65"/>
        <w:ind w:firstLine="420"/>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p>
    <w:p>
      <w:pPr>
        <w:spacing w:line="360" w:lineRule="auto"/>
        <w:ind w:right="420" w:firstLine="2530" w:firstLineChars="7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pStyle w:val="25"/>
        <w:spacing w:line="360" w:lineRule="auto"/>
        <w:rPr>
          <w:rFonts w:ascii="仿宋_GB2312" w:hAnsi="仿宋_GB2312" w:eastAsia="仿宋_GB2312" w:cs="仿宋_GB231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17" w:name="_Toc17190"/>
      <w:r>
        <w:rPr>
          <w:rFonts w:hint="eastAsia" w:ascii="仿宋_GB2312" w:hAnsi="仿宋_GB2312" w:eastAsia="仿宋_GB2312" w:cs="仿宋_GB2312"/>
          <w:b/>
          <w:bCs/>
          <w:color w:val="000000"/>
          <w:sz w:val="52"/>
          <w:szCs w:val="52"/>
        </w:rPr>
        <w:t>商 务 技 术 文 件</w:t>
      </w:r>
      <w:bookmarkEnd w:id="417"/>
    </w:p>
    <w:p>
      <w:pPr>
        <w:widowControl/>
        <w:spacing w:line="360" w:lineRule="auto"/>
        <w:ind w:right="-2"/>
        <w:jc w:val="center"/>
        <w:outlineLvl w:val="1"/>
        <w:rPr>
          <w:rFonts w:ascii="仿宋_GB2312" w:hAnsi="仿宋_GB2312" w:eastAsia="仿宋_GB2312" w:cs="仿宋_GB2312"/>
          <w:b/>
          <w:color w:val="000000"/>
          <w:sz w:val="36"/>
          <w:szCs w:val="36"/>
        </w:rPr>
      </w:pPr>
      <w:bookmarkStart w:id="418" w:name="_Toc27078"/>
      <w:r>
        <w:rPr>
          <w:rFonts w:hint="eastAsia" w:ascii="仿宋_GB2312" w:hAnsi="仿宋_GB2312" w:eastAsia="仿宋_GB2312" w:cs="仿宋_GB2312"/>
          <w:b/>
          <w:color w:val="000000"/>
          <w:sz w:val="36"/>
          <w:szCs w:val="36"/>
        </w:rPr>
        <w:t>（线上电子招投标）</w:t>
      </w:r>
      <w:bookmarkEnd w:id="418"/>
    </w:p>
    <w:p>
      <w:pPr>
        <w:pStyle w:val="622"/>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19" w:name="_Toc28851"/>
      <w:r>
        <w:rPr>
          <w:rFonts w:hint="eastAsia" w:ascii="仿宋_GB2312" w:hAnsi="仿宋_GB2312" w:eastAsia="仿宋_GB2312" w:cs="仿宋_GB2312"/>
          <w:b/>
          <w:bCs/>
          <w:color w:val="000000"/>
          <w:sz w:val="36"/>
          <w:szCs w:val="36"/>
        </w:rPr>
        <w:t xml:space="preserve">  招标编号：</w:t>
      </w:r>
      <w:bookmarkEnd w:id="419"/>
      <w:r>
        <w:rPr>
          <w:rFonts w:hint="eastAsia" w:ascii="仿宋_GB2312" w:hAnsi="仿宋_GB2312" w:eastAsia="仿宋_GB2312" w:cs="仿宋_GB2312"/>
          <w:b/>
          <w:bCs/>
          <w:color w:val="000000"/>
          <w:sz w:val="36"/>
          <w:szCs w:val="36"/>
        </w:rPr>
        <w:t xml:space="preserve">YHZFCG2022- </w:t>
      </w:r>
    </w:p>
    <w:p>
      <w:pPr>
        <w:pStyle w:val="622"/>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72"/>
          <w:szCs w:val="72"/>
        </w:rPr>
        <w:t>件</w:t>
      </w:r>
    </w:p>
    <w:p>
      <w:pPr>
        <w:pStyle w:val="25"/>
        <w:spacing w:line="360" w:lineRule="auto"/>
        <w:rPr>
          <w:rFonts w:ascii="仿宋_GB2312" w:hAnsi="仿宋_GB2312" w:eastAsia="仿宋_GB2312" w:cs="仿宋_GB2312"/>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3"/>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cols w:space="720" w:num="1"/>
          <w:docGrid w:type="lines" w:linePitch="315" w:charSpace="0"/>
        </w:sectPr>
      </w:pPr>
    </w:p>
    <w:p>
      <w:pPr>
        <w:pStyle w:val="65"/>
        <w:ind w:firstLine="420"/>
        <w:rPr>
          <w:rFonts w:ascii="仿宋_GB2312" w:hAnsi="仿宋_GB2312" w:eastAsia="仿宋_GB2312" w:cs="仿宋_GB2312"/>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）关于对招标文件中有关条款的拒绝声明（如果有的话）</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）投标人认为需要提供的与本项目有关的其他文件和说明</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65"/>
        <w:ind w:firstLine="643"/>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pPr>
    </w:p>
    <w:p>
      <w:pPr>
        <w:snapToGrid w:val="0"/>
        <w:spacing w:line="360" w:lineRule="auto"/>
        <w:jc w:val="center"/>
        <w:outlineLvl w:val="0"/>
        <w:rPr>
          <w:rFonts w:ascii="仿宋_GB2312" w:hAnsi="仿宋" w:eastAsia="仿宋_GB2312" w:cs="仿宋_GB2312"/>
          <w:b/>
          <w:kern w:val="0"/>
          <w:sz w:val="32"/>
          <w:szCs w:val="32"/>
        </w:rPr>
      </w:pPr>
    </w:p>
    <w:p>
      <w:pPr>
        <w:pStyle w:val="65"/>
        <w:ind w:firstLine="643"/>
        <w:rPr>
          <w:rFonts w:ascii="仿宋_GB2312" w:hAnsi="仿宋" w:eastAsia="仿宋_GB2312" w:cs="仿宋_GB2312"/>
          <w:b/>
          <w:kern w:val="0"/>
          <w:sz w:val="32"/>
          <w:szCs w:val="32"/>
        </w:rPr>
      </w:pPr>
    </w:p>
    <w:p>
      <w:pPr>
        <w:pStyle w:val="24"/>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12"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rPr>
        <w:t>2022年网络投诉件辅助处理劳务外包项目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12"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12"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12"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12"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12"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12" w:lineRule="auto"/>
        <w:ind w:firstLine="3600" w:firstLineChars="1500"/>
        <w:rPr>
          <w:rFonts w:ascii="仿宋_GB2312" w:hAnsi="仿宋" w:eastAsia="仿宋_GB2312" w:cs="仿宋_GB2312"/>
          <w:sz w:val="24"/>
        </w:rPr>
      </w:pPr>
    </w:p>
    <w:p>
      <w:pPr>
        <w:spacing w:line="312"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12"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4154" w:firstLineChars="1293"/>
      </w:pPr>
      <w:r>
        <w:rPr>
          <w:rFonts w:hint="eastAsia" w:ascii="仿宋_GB2312" w:hAnsi="仿宋" w:eastAsia="仿宋_GB2312" w:cs="仿宋_GB2312"/>
          <w:b/>
          <w:kern w:val="0"/>
          <w:sz w:val="32"/>
          <w:szCs w:val="32"/>
          <w:lang w:val="zh-CN"/>
        </w:rPr>
        <w:t>授</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权</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委</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托</w:t>
      </w:r>
      <w:r>
        <w:rPr>
          <w:rFonts w:hint="eastAsia"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书</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rPr>
        <w:t>2022年网络投诉件辅助处理劳务外包项目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投标人名称(公章或电子公章)：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rPr>
          <w:rFonts w:ascii="仿宋_GB2312" w:hAnsi="仿宋" w:eastAsia="仿宋_GB2312" w:cs="仿宋_GB2312"/>
          <w:sz w:val="24"/>
        </w:rPr>
      </w:pPr>
    </w:p>
    <w:p>
      <w:pPr>
        <w:pStyle w:val="65"/>
        <w:ind w:firstLine="420"/>
      </w:pPr>
    </w:p>
    <w:p>
      <w:pPr>
        <w:autoSpaceDE w:val="0"/>
        <w:autoSpaceDN w:val="0"/>
        <w:spacing w:line="360" w:lineRule="auto"/>
        <w:jc w:val="center"/>
        <w:rPr>
          <w:rFonts w:hint="eastAsia" w:ascii="仿宋_GB2312" w:hAnsi="仿宋" w:eastAsia="仿宋_GB2312" w:cs="仿宋_GB2312"/>
          <w:b/>
          <w:kern w:val="0"/>
          <w:sz w:val="32"/>
          <w:szCs w:val="32"/>
          <w:lang w:val="zh-CN"/>
        </w:rPr>
      </w:pPr>
    </w:p>
    <w:p>
      <w:pPr>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ascii="仿宋_GB2312" w:hAnsi="仿宋" w:eastAsia="仿宋_GB2312" w:cs="仿宋_GB2312"/>
          <w:b/>
          <w:kern w:val="0"/>
          <w:sz w:val="32"/>
          <w:szCs w:val="32"/>
          <w:lang w:val="zh-CN"/>
        </w:rPr>
      </w:pPr>
    </w:p>
    <w:p>
      <w:pPr>
        <w:pStyle w:val="2"/>
        <w:rPr>
          <w:rFonts w:hint="eastAsia" w:ascii="仿宋_GB2312" w:hAnsi="仿宋" w:eastAsia="仿宋_GB2312" w:cs="仿宋_GB2312"/>
          <w:b/>
          <w:kern w:val="0"/>
          <w:sz w:val="32"/>
          <w:szCs w:val="32"/>
          <w:lang w:val="zh-CN"/>
        </w:rPr>
      </w:pPr>
    </w:p>
    <w:p>
      <w:pPr>
        <w:rPr>
          <w:rFonts w:hint="eastAsia"/>
          <w:lang w:val="zh-CN"/>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9207" w:type="dxa"/>
            <w:vAlign w:val="top"/>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 w:hAnsi="仿宋" w:eastAsia="仿宋" w:cs="仿宋"/>
          <w:color w:val="000000"/>
          <w:kern w:val="0"/>
          <w:sz w:val="24"/>
          <w:lang w:val="zh-CN"/>
        </w:rPr>
        <w:t>(公章或电子公章)</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5"/>
        <w:ind w:left="0" w:leftChars="0" w:firstLine="0" w:firstLineChars="0"/>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1"/>
        <w:gridCol w:w="321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07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21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67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210"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679" w:type="dxa"/>
            <w:vAlign w:val="top"/>
          </w:tcPr>
          <w:p>
            <w:pPr>
              <w:rPr>
                <w:rFonts w:ascii="仿宋" w:hAnsi="仿宋" w:eastAsia="仿宋" w:cs="仿宋_GB2312"/>
                <w:sz w:val="24"/>
              </w:rPr>
            </w:pPr>
          </w:p>
          <w:p>
            <w:r>
              <w:rPr>
                <w:rFonts w:hint="eastAsia" w:ascii="仿宋" w:hAnsi="仿宋" w:eastAsia="仿宋" w:cs="仿宋_GB2312"/>
                <w:sz w:val="24"/>
              </w:rPr>
              <w:t>详见投标文件所有内容。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hint="eastAsia" w:ascii="仿宋" w:hAnsi="仿宋" w:eastAsia="仿宋"/>
                <w:sz w:val="24"/>
                <w:lang w:val="en-US" w:eastAsia="zh-CN"/>
              </w:rPr>
              <w:t>2</w:t>
            </w:r>
          </w:p>
        </w:tc>
        <w:tc>
          <w:tcPr>
            <w:tcW w:w="407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210" w:type="dxa"/>
            <w:vAlign w:val="center"/>
          </w:tcPr>
          <w:p>
            <w:pPr>
              <w:rPr>
                <w:rFonts w:ascii="仿宋" w:hAnsi="仿宋" w:eastAsia="仿宋"/>
                <w:sz w:val="24"/>
              </w:rPr>
            </w:pPr>
            <w:r>
              <w:rPr>
                <w:rFonts w:hint="eastAsia" w:ascii="仿宋" w:hAnsi="仿宋" w:eastAsia="仿宋"/>
                <w:sz w:val="24"/>
              </w:rPr>
              <w:t>投标函</w:t>
            </w:r>
          </w:p>
        </w:tc>
        <w:tc>
          <w:tcPr>
            <w:tcW w:w="1679"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4071" w:type="dxa"/>
            <w:vAlign w:val="center"/>
          </w:tcPr>
          <w:p>
            <w:pPr>
              <w:spacing w:line="360" w:lineRule="auto"/>
              <w:jc w:val="left"/>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210"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679" w:type="dxa"/>
            <w:vAlign w:val="top"/>
          </w:tcPr>
          <w:p>
            <w:pPr>
              <w:rPr>
                <w:rFonts w:hint="eastAsia" w:ascii="仿宋" w:hAnsi="仿宋" w:eastAsia="仿宋" w:cs="仿宋_GB2312"/>
                <w:sz w:val="24"/>
              </w:rPr>
            </w:pPr>
            <w:r>
              <w:rPr>
                <w:rFonts w:hint="eastAsia" w:ascii="仿宋" w:hAnsi="仿宋" w:eastAsia="仿宋" w:cs="仿宋_GB2312"/>
                <w:sz w:val="24"/>
              </w:rPr>
              <w:t>见投标文件第</w:t>
            </w:r>
          </w:p>
          <w:p>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numPr>
          <w:ilvl w:val="0"/>
          <w:numId w:val="0"/>
        </w:numPr>
        <w:spacing w:line="360" w:lineRule="auto"/>
        <w:ind w:right="240" w:firstLine="480" w:firstLineChars="200"/>
        <w:rPr>
          <w:rFonts w:ascii="仿宋" w:hAnsi="仿宋" w:eastAsia="仿宋" w:cs="仿宋"/>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6"/>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 </w:t>
            </w:r>
          </w:p>
        </w:tc>
        <w:tc>
          <w:tcPr>
            <w:tcW w:w="5399" w:type="dxa"/>
            <w:vAlign w:val="top"/>
          </w:tcPr>
          <w:p>
            <w:pPr>
              <w:widowControl/>
              <w:shd w:val="clear" w:color="auto" w:fill="FFFFFF"/>
              <w:adjustRightInd/>
              <w:spacing w:after="225" w:line="315" w:lineRule="atLeast"/>
              <w:ind w:firstLine="420"/>
              <w:jc w:val="left"/>
              <w:rPr>
                <w:rFonts w:ascii="仿宋" w:eastAsia="仿宋"/>
                <w:sz w:val="24"/>
              </w:rPr>
            </w:pPr>
          </w:p>
        </w:tc>
        <w:tc>
          <w:tcPr>
            <w:tcW w:w="1344" w:type="dxa"/>
            <w:vAlign w:val="center"/>
          </w:tcPr>
          <w:p>
            <w:pPr>
              <w:spacing w:line="360" w:lineRule="auto"/>
              <w:ind w:firstLine="120" w:firstLineChars="5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7"/>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1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95"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320"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195" w:type="dxa"/>
            <w:vAlign w:val="center"/>
          </w:tcPr>
          <w:p>
            <w:pPr>
              <w:jc w:val="center"/>
              <w:rPr>
                <w:rFonts w:ascii="仿宋_GB2312" w:hAnsi="仿宋" w:eastAsia="仿宋_GB2312" w:cs="仿宋_GB2312"/>
                <w:b/>
                <w:kern w:val="0"/>
                <w:sz w:val="32"/>
                <w:szCs w:val="32"/>
              </w:rPr>
            </w:pPr>
          </w:p>
        </w:tc>
        <w:tc>
          <w:tcPr>
            <w:tcW w:w="1320" w:type="dxa"/>
            <w:vAlign w:val="center"/>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投标人保证：除商务技术偏离表列出的偏离外，投标人响应招标文件的全部要求。全部响应的可统一填写“完全响应招标文件条款”即可。</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ascii="仿宋_GB2312" w:hAnsi="仿宋" w:eastAsia="仿宋_GB2312" w:cs="仿宋_GB2312"/>
          <w:kern w:val="0"/>
          <w:sz w:val="24"/>
          <w:lang w:val="zh-CN"/>
        </w:rPr>
        <w:t xml:space="preserve"> 投标人名称(公章或电子公章)：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65"/>
        <w:ind w:firstLine="643"/>
        <w:rPr>
          <w:rFonts w:ascii="仿宋_GB2312" w:hAnsi="仿宋" w:eastAsia="仿宋_GB2312"/>
          <w:b/>
          <w:bCs/>
          <w:sz w:val="32"/>
          <w:szCs w:val="32"/>
        </w:rPr>
      </w:pPr>
    </w:p>
    <w:p>
      <w:pPr>
        <w:pStyle w:val="24"/>
      </w:pPr>
    </w:p>
    <w:p>
      <w:pPr>
        <w:rPr>
          <w:rFonts w:ascii="仿宋_GB2312" w:hAnsi="仿宋" w:eastAsia="仿宋_GB2312" w:cs="仿宋_GB2312"/>
          <w:b/>
          <w:kern w:val="0"/>
          <w:sz w:val="32"/>
          <w:szCs w:val="32"/>
        </w:rPr>
      </w:pPr>
    </w:p>
    <w:p>
      <w:pPr>
        <w:pStyle w:val="25"/>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kern w:val="0"/>
          <w:sz w:val="24"/>
          <w:lang w:val="zh-CN"/>
        </w:rPr>
        <w:t>杭州市余杭区市场监督管理局</w:t>
      </w:r>
      <w:r>
        <w:rPr>
          <w:rFonts w:hint="eastAsia" w:ascii="仿宋_GB2312" w:hAnsi="仿宋" w:eastAsia="仿宋_GB2312" w:cs="仿宋_GB2312"/>
          <w:sz w:val="24"/>
        </w:rPr>
        <w:t>）、（耀华建设管理有限公司）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20" w:name="_Toc105"/>
      <w:r>
        <w:rPr>
          <w:rFonts w:hint="eastAsia" w:ascii="仿宋_GB2312" w:hAnsi="仿宋_GB2312" w:eastAsia="仿宋_GB2312" w:cs="仿宋_GB2312"/>
          <w:b/>
          <w:bCs/>
          <w:color w:val="000000"/>
          <w:sz w:val="52"/>
          <w:szCs w:val="52"/>
        </w:rPr>
        <w:t>报 价 文 件</w:t>
      </w:r>
      <w:bookmarkEnd w:id="420"/>
    </w:p>
    <w:p>
      <w:pPr>
        <w:widowControl/>
        <w:spacing w:line="360" w:lineRule="auto"/>
        <w:ind w:right="-2"/>
        <w:jc w:val="center"/>
        <w:outlineLvl w:val="1"/>
        <w:rPr>
          <w:rFonts w:ascii="仿宋_GB2312" w:hAnsi="仿宋_GB2312" w:eastAsia="仿宋_GB2312" w:cs="仿宋_GB2312"/>
          <w:b/>
          <w:color w:val="000000"/>
          <w:sz w:val="36"/>
          <w:szCs w:val="36"/>
        </w:rPr>
      </w:pPr>
      <w:bookmarkStart w:id="421" w:name="_Toc22501"/>
      <w:r>
        <w:rPr>
          <w:rFonts w:hint="eastAsia" w:ascii="仿宋_GB2312" w:hAnsi="仿宋_GB2312" w:eastAsia="仿宋_GB2312" w:cs="仿宋_GB2312"/>
          <w:b/>
          <w:color w:val="000000"/>
          <w:sz w:val="36"/>
          <w:szCs w:val="36"/>
        </w:rPr>
        <w:t>（线上电子招投标）</w:t>
      </w:r>
      <w:bookmarkEnd w:id="421"/>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22"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22"/>
      <w:r>
        <w:rPr>
          <w:rFonts w:hint="eastAsia" w:ascii="仿宋_GB2312" w:hAnsi="仿宋_GB2312" w:eastAsia="仿宋_GB2312" w:cs="仿宋_GB2312"/>
          <w:b/>
          <w:bCs/>
          <w:color w:val="000000"/>
          <w:sz w:val="36"/>
          <w:szCs w:val="36"/>
        </w:rPr>
        <w:t xml:space="preserve">YHZFCG2022- </w:t>
      </w:r>
    </w:p>
    <w:p>
      <w:pPr>
        <w:pStyle w:val="622"/>
        <w:spacing w:line="360" w:lineRule="auto"/>
        <w:rPr>
          <w:rFonts w:ascii="仿宋_GB2312" w:hAnsi="仿宋_GB2312" w:eastAsia="仿宋_GB2312" w:cs="仿宋_GB2312"/>
          <w:sz w:val="72"/>
          <w:szCs w:val="72"/>
        </w:rPr>
      </w:pP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投</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文</w:t>
      </w:r>
    </w:p>
    <w:p>
      <w:pPr>
        <w:snapToGrid w:val="0"/>
        <w:spacing w:line="360" w:lineRule="auto"/>
        <w:jc w:val="center"/>
        <w:rPr>
          <w:rFonts w:ascii="仿宋_GB2312" w:hAnsi="仿宋_GB2312" w:eastAsia="仿宋_GB2312" w:cs="仿宋_GB2312"/>
          <w:color w:val="000000"/>
          <w:sz w:val="72"/>
          <w:szCs w:val="72"/>
        </w:rPr>
      </w:pPr>
      <w:r>
        <w:rPr>
          <w:rFonts w:hint="eastAsia" w:ascii="仿宋_GB2312" w:hAnsi="仿宋_GB2312" w:eastAsia="仿宋_GB2312" w:cs="仿宋_GB2312"/>
          <w:color w:val="000000"/>
          <w:sz w:val="72"/>
          <w:szCs w:val="72"/>
        </w:rPr>
        <w:t>件</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sz w:val="32"/>
          <w:szCs w:val="32"/>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杭州市余杭区市场监督管理局：</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rPr>
        <w:t>2022年网络投诉件辅助处理劳务外包项目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6"/>
        <w:tblW w:w="9254"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568"/>
        <w:gridCol w:w="3270"/>
        <w:gridCol w:w="142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60" w:hRule="atLeast"/>
        </w:trPr>
        <w:tc>
          <w:tcPr>
            <w:tcW w:w="64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256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27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425"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eastAsia="zh-CN"/>
              </w:rPr>
              <w:t>综合</w:t>
            </w:r>
            <w:r>
              <w:rPr>
                <w:rFonts w:hint="eastAsia" w:ascii="仿宋_GB2312" w:hAnsi="仿宋" w:eastAsia="仿宋_GB2312"/>
                <w:b/>
                <w:sz w:val="24"/>
              </w:rPr>
              <w:t>单价</w:t>
            </w:r>
            <w:r>
              <w:rPr>
                <w:rFonts w:hint="eastAsia" w:ascii="仿宋_GB2312" w:hAnsi="仿宋" w:eastAsia="仿宋_GB2312"/>
                <w:b/>
                <w:sz w:val="24"/>
                <w:lang w:eastAsia="zh-CN"/>
              </w:rPr>
              <w:t>（元</w:t>
            </w:r>
            <w:r>
              <w:rPr>
                <w:rFonts w:hint="eastAsia" w:ascii="仿宋_GB2312" w:hAnsi="仿宋" w:eastAsia="仿宋_GB2312"/>
                <w:b/>
                <w:sz w:val="24"/>
                <w:lang w:val="en-US" w:eastAsia="zh-CN"/>
              </w:rPr>
              <w:t>/件）</w:t>
            </w:r>
          </w:p>
        </w:tc>
        <w:tc>
          <w:tcPr>
            <w:tcW w:w="1349"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1</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投诉件调解</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2</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举报件处置</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3</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书信举报件处置</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4</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其他重要件处置</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5</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监管宝立案调查</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6</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监管宝不予立案</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7</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商家地址责改</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8</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外地案件移送</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9</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外地协查调查</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1</w:t>
            </w:r>
            <w:r>
              <w:rPr>
                <w:rFonts w:hint="eastAsia" w:ascii="仿宋" w:hAnsi="仿宋" w:eastAsia="仿宋" w:cs="仿宋"/>
                <w:lang w:val="en-US" w:eastAsia="zh-CN"/>
              </w:rPr>
              <w:t>0</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商品处置</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1</w:t>
            </w:r>
            <w:r>
              <w:rPr>
                <w:rFonts w:hint="eastAsia" w:ascii="仿宋" w:hAnsi="仿宋" w:eastAsia="仿宋" w:cs="仿宋"/>
                <w:lang w:val="en-US" w:eastAsia="zh-CN"/>
              </w:rPr>
              <w:t>1</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其他系统处置</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lang w:val="en-US" w:eastAsia="zh-CN"/>
              </w:rPr>
              <w:t>12</w:t>
            </w:r>
          </w:p>
        </w:tc>
        <w:tc>
          <w:tcPr>
            <w:tcW w:w="2568" w:type="dxa"/>
            <w:vAlign w:val="center"/>
          </w:tcPr>
          <w:p>
            <w:pPr>
              <w:pStyle w:val="25"/>
              <w:spacing w:line="360" w:lineRule="auto"/>
              <w:ind w:firstLine="0" w:firstLineChars="0"/>
              <w:jc w:val="center"/>
              <w:rPr>
                <w:rFonts w:ascii="仿宋_GB2312" w:hAnsi="仿宋" w:eastAsia="仿宋_GB2312" w:cs="仿宋_GB2312"/>
                <w:sz w:val="24"/>
              </w:rPr>
            </w:pPr>
            <w:r>
              <w:rPr>
                <w:rFonts w:hint="eastAsia" w:ascii="仿宋" w:hAnsi="仿宋" w:eastAsia="仿宋" w:cs="仿宋"/>
              </w:rPr>
              <w:t>复议、诉讼答复</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13</w:t>
            </w:r>
          </w:p>
        </w:tc>
        <w:tc>
          <w:tcPr>
            <w:tcW w:w="2568" w:type="dxa"/>
            <w:vAlign w:val="center"/>
          </w:tcPr>
          <w:p>
            <w:pPr>
              <w:pStyle w:val="25"/>
              <w:spacing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rPr>
              <w:t>复议、诉讼调解</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2" w:type="dxa"/>
            <w:vAlign w:val="center"/>
          </w:tcPr>
          <w:p>
            <w:pPr>
              <w:pStyle w:val="25"/>
              <w:spacing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14</w:t>
            </w:r>
          </w:p>
        </w:tc>
        <w:tc>
          <w:tcPr>
            <w:tcW w:w="2568" w:type="dxa"/>
            <w:vAlign w:val="center"/>
          </w:tcPr>
          <w:p>
            <w:pPr>
              <w:pStyle w:val="25"/>
              <w:spacing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lang w:eastAsia="zh-CN"/>
              </w:rPr>
              <w:t>信息公开辅助</w:t>
            </w:r>
          </w:p>
        </w:tc>
        <w:tc>
          <w:tcPr>
            <w:tcW w:w="3270" w:type="dxa"/>
            <w:vAlign w:val="center"/>
          </w:tcPr>
          <w:p>
            <w:pPr>
              <w:snapToGrid w:val="0"/>
              <w:spacing w:line="360" w:lineRule="auto"/>
              <w:jc w:val="center"/>
              <w:rPr>
                <w:rFonts w:ascii="仿宋_GB2312" w:hAnsi="仿宋" w:eastAsia="仿宋_GB2312" w:cs="仿宋_GB2312"/>
                <w:sz w:val="24"/>
              </w:rPr>
            </w:pPr>
          </w:p>
        </w:tc>
        <w:tc>
          <w:tcPr>
            <w:tcW w:w="1425" w:type="dxa"/>
            <w:vAlign w:val="center"/>
          </w:tcPr>
          <w:p>
            <w:pPr>
              <w:snapToGrid w:val="0"/>
              <w:spacing w:line="360" w:lineRule="auto"/>
              <w:jc w:val="center"/>
              <w:rPr>
                <w:rFonts w:ascii="仿宋_GB2312" w:hAnsi="仿宋" w:eastAsia="仿宋_GB2312" w:cs="仿宋_GB2312"/>
                <w:sz w:val="24"/>
              </w:rPr>
            </w:pPr>
          </w:p>
        </w:tc>
        <w:tc>
          <w:tcPr>
            <w:tcW w:w="134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eastAsia="zh-CN"/>
              </w:rPr>
              <w:t>综合单价</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合计</w:t>
            </w:r>
            <w:r>
              <w:rPr>
                <w:rFonts w:hint="eastAsia" w:ascii="仿宋_GB2312" w:hAnsi="仿宋" w:eastAsia="仿宋_GB2312" w:cs="仿宋_GB2312"/>
                <w:b/>
                <w:sz w:val="24"/>
              </w:rPr>
              <w:t>（小写）</w:t>
            </w:r>
          </w:p>
        </w:tc>
        <w:tc>
          <w:tcPr>
            <w:tcW w:w="2774" w:type="dxa"/>
            <w:gridSpan w:val="2"/>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eastAsia="zh-CN"/>
              </w:rPr>
              <w:t>综合单价</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合计</w:t>
            </w:r>
            <w:r>
              <w:rPr>
                <w:rFonts w:hint="eastAsia" w:ascii="仿宋_GB2312" w:hAnsi="仿宋" w:eastAsia="仿宋_GB2312" w:cs="仿宋_GB2312"/>
                <w:b/>
                <w:sz w:val="24"/>
              </w:rPr>
              <w:t>（大写）</w:t>
            </w:r>
          </w:p>
        </w:tc>
        <w:tc>
          <w:tcPr>
            <w:tcW w:w="2774" w:type="dxa"/>
            <w:gridSpan w:val="2"/>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b/>
          <w:kern w:val="0"/>
          <w:sz w:val="24"/>
          <w:lang w:val="zh-CN"/>
        </w:rPr>
        <w:t>注：</w:t>
      </w: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pPr>
        <w:spacing w:line="48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w:t>
      </w:r>
    </w:p>
    <w:p>
      <w:pPr>
        <w:spacing w:line="480" w:lineRule="auto"/>
        <w:ind w:firstLine="480" w:firstLineChars="200"/>
        <w:rPr>
          <w:rFonts w:hint="eastAsia" w:ascii="仿宋" w:hAnsi="仿宋" w:eastAsia="仿宋" w:cs="仿宋"/>
          <w:b/>
          <w:bCs/>
          <w:sz w:val="24"/>
          <w:lang w:eastAsia="zh-CN"/>
        </w:rPr>
      </w:pPr>
      <w:r>
        <w:rPr>
          <w:rFonts w:hint="eastAsia" w:ascii="仿宋_GB2312" w:hAnsi="仿宋" w:eastAsia="仿宋_GB2312" w:cs="仿宋_GB2312"/>
          <w:kern w:val="0"/>
          <w:sz w:val="24"/>
          <w:lang w:val="en-US" w:eastAsia="zh-CN"/>
        </w:rPr>
        <w:t>4.1</w:t>
      </w:r>
      <w:r>
        <w:rPr>
          <w:rFonts w:hint="eastAsia" w:ascii="仿宋" w:hAnsi="仿宋" w:eastAsia="仿宋" w:cs="仿宋"/>
          <w:b/>
          <w:bCs/>
          <w:sz w:val="24"/>
          <w:lang w:eastAsia="zh-CN"/>
        </w:rPr>
        <w:t>上述服务包括不限于未明列上表已在采购需求中体现的内容，由投标单位综合考量计入上述综合单价中。</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4.2</w:t>
      </w:r>
      <w:r>
        <w:rPr>
          <w:rFonts w:ascii="仿宋_GB2312" w:hAnsi="仿宋" w:eastAsia="仿宋_GB2312" w:cs="仿宋_GB2312"/>
          <w:kern w:val="0"/>
          <w:sz w:val="24"/>
          <w:lang w:val="zh-CN"/>
        </w:rPr>
        <w:t>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autoSpaceDE w:val="0"/>
        <w:autoSpaceDN w:val="0"/>
        <w:spacing w:line="360" w:lineRule="auto"/>
        <w:ind w:right="112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4.3最高单价限价详见采购需求。超过最高限价作无效投标处理。</w:t>
      </w:r>
    </w:p>
    <w:p>
      <w:pPr>
        <w:autoSpaceDE w:val="0"/>
        <w:autoSpaceDN w:val="0"/>
        <w:spacing w:line="360" w:lineRule="auto"/>
        <w:ind w:right="1120"/>
        <w:jc w:val="left"/>
        <w:rPr>
          <w:rFonts w:hint="eastAsia" w:ascii="仿宋_GB2312" w:hAnsi="仿宋_GB2312" w:eastAsia="仿宋_GB2312" w:cs="仿宋_GB2312"/>
          <w:kern w:val="0"/>
          <w:sz w:val="24"/>
          <w:lang w:val="zh-CN"/>
        </w:rPr>
      </w:pPr>
    </w:p>
    <w:p>
      <w:pPr>
        <w:autoSpaceDE w:val="0"/>
        <w:autoSpaceDN w:val="0"/>
        <w:spacing w:line="360" w:lineRule="auto"/>
        <w:ind w:right="1120"/>
        <w:jc w:val="left"/>
        <w:rPr>
          <w:rFonts w:hint="eastAsia" w:ascii="仿宋_GB2312" w:hAnsi="仿宋_GB2312" w:eastAsia="仿宋_GB2312" w:cs="仿宋_GB2312"/>
          <w:kern w:val="0"/>
          <w:sz w:val="24"/>
          <w:lang w:val="zh-CN"/>
        </w:rPr>
      </w:pPr>
    </w:p>
    <w:p>
      <w:pPr>
        <w:autoSpaceDE w:val="0"/>
        <w:autoSpaceDN w:val="0"/>
        <w:spacing w:line="360" w:lineRule="auto"/>
        <w:ind w:right="1120" w:firstLine="4320" w:firstLineChars="18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投标人名称(公章或电子公章)：</w:t>
      </w:r>
      <w:r>
        <w:rPr>
          <w:rFonts w:ascii="仿宋_GB2312" w:hAnsi="仿宋_GB2312" w:eastAsia="仿宋_GB2312" w:cs="仿宋_GB2312"/>
          <w:kern w:val="0"/>
          <w:sz w:val="24"/>
          <w:lang w:val="zh-CN"/>
        </w:rPr>
        <w:t xml:space="preserve">                                                                                                                                                                                                               </w:t>
      </w:r>
    </w:p>
    <w:p>
      <w:pPr>
        <w:spacing w:line="360" w:lineRule="auto"/>
        <w:ind w:firstLine="4800" w:firstLineChars="2000"/>
        <w:rPr>
          <w:sz w:val="24"/>
        </w:rPr>
      </w:pPr>
      <w:r>
        <w:rPr>
          <w:rFonts w:hint="eastAsia" w:ascii="仿宋_GB2312" w:hAnsi="仿宋_GB2312" w:eastAsia="仿宋_GB2312" w:cs="仿宋_GB2312"/>
          <w:kern w:val="0"/>
          <w:sz w:val="24"/>
          <w:lang w:val="zh-CN"/>
        </w:rPr>
        <w:t>签发日期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ascii="仿宋_GB2312" w:hAnsi="仿宋" w:eastAsia="仿宋_GB2312" w:cs="仿宋_GB2312"/>
          <w:b/>
          <w:sz w:val="32"/>
          <w:szCs w:val="32"/>
        </w:rPr>
      </w:pPr>
    </w:p>
    <w:p>
      <w:pPr>
        <w:pStyle w:val="2"/>
        <w:rPr>
          <w:rFonts w:hint="eastAsia" w:ascii="仿宋_GB2312" w:hAnsi="仿宋" w:eastAsia="仿宋_GB2312" w:cs="仿宋_GB2312"/>
          <w:b/>
          <w:sz w:val="32"/>
          <w:szCs w:val="32"/>
        </w:rPr>
      </w:pPr>
    </w:p>
    <w:p>
      <w:pPr>
        <w:rPr>
          <w:rFonts w:hint="eastAsia"/>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firstLine="960" w:firstLineChars="400"/>
        <w:rPr>
          <w:rFonts w:ascii="仿宋" w:eastAsia="仿宋"/>
          <w:sz w:val="24"/>
          <w:szCs w:val="24"/>
          <w:lang w:val="en-US"/>
        </w:rPr>
      </w:pPr>
      <w:r>
        <w:rPr>
          <w:rFonts w:hint="eastAsia" w:ascii="仿宋" w:eastAsia="仿宋"/>
          <w:sz w:val="24"/>
          <w:szCs w:val="24"/>
          <w:lang w:val="en-US"/>
        </w:rPr>
        <w:t>（三）杭州e融平台申请融资</w:t>
      </w:r>
    </w:p>
    <w:p>
      <w:pPr>
        <w:pStyle w:val="2"/>
        <w:ind w:firstLine="960" w:firstLineChars="400"/>
        <w:rPr>
          <w:rFonts w:ascii="仿宋" w:eastAsia="仿宋"/>
          <w:sz w:val="24"/>
          <w:szCs w:val="24"/>
          <w:lang w:val="en-US"/>
        </w:rPr>
      </w:pPr>
      <w:r>
        <w:rPr>
          <w:rFonts w:hint="eastAsia" w:ascii="仿宋" w:eastAsia="仿宋"/>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23" w:name="_Toc465665161"/>
      <w:r>
        <w:rPr>
          <w:rFonts w:hint="eastAsia" w:ascii="仿宋_GB2312" w:hAnsi="仿宋" w:eastAsia="仿宋_GB2312"/>
        </w:rPr>
        <w:t>附件</w:t>
      </w:r>
      <w:bookmarkEnd w:id="42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24" w:name="OLE_LINK13"/>
      <w:bookmarkStart w:id="425" w:name="OLE_LINK14"/>
      <w:r>
        <w:rPr>
          <w:rFonts w:hint="eastAsia" w:ascii="仿宋_GB2312" w:hAnsi="仿宋" w:eastAsia="仿宋_GB2312"/>
          <w:b/>
          <w:spacing w:val="6"/>
          <w:sz w:val="32"/>
          <w:szCs w:val="32"/>
        </w:rPr>
        <w:t>残疾人福利性单位声明函</w:t>
      </w:r>
    </w:p>
    <w:bookmarkEnd w:id="424"/>
    <w:bookmarkEnd w:id="42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采购2022年餐饮服务外包项目：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2022年网络投诉件辅助处理劳务外包项目</w:t>
      </w:r>
      <w:r>
        <w:rPr>
          <w:rFonts w:hint="eastAsia" w:ascii="仿宋" w:hAnsi="仿宋" w:eastAsia="仿宋" w:cs="仿宋_GB2312"/>
          <w:sz w:val="24"/>
        </w:rPr>
        <w:t>【招标编号：（YHZFCG2022-127）</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59"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60"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（2022年网络投诉件辅助处理劳务外包项目）</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p>
    <w:p>
      <w:pPr>
        <w:spacing w:line="360" w:lineRule="auto"/>
        <w:jc w:val="left"/>
        <w:rPr>
          <w:rFonts w:ascii="仿宋_GB2312" w:hAnsi="宋体" w:eastAsia="仿宋_GB2312"/>
          <w:b/>
          <w:bCs/>
          <w:szCs w:val="21"/>
        </w:rPr>
      </w:pPr>
      <w:r>
        <w:rPr>
          <w:rFonts w:hint="eastAsia" w:ascii="仿宋_GB2312" w:hAnsi="宋体" w:eastAsia="仿宋_GB2312"/>
          <w:b/>
          <w:bCs/>
          <w:szCs w:val="21"/>
        </w:rPr>
        <w:t>注：从业人员、营业收入、资产总额填报上一年度数据，无上一年度数据的新成立企业可不填报。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（2022年餐饮服务外包项目）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cs="仿宋_GB2312"/>
          <w:sz w:val="24"/>
        </w:rPr>
      </w:pPr>
    </w:p>
    <w:p>
      <w:pPr>
        <w:rPr>
          <w:rFonts w:ascii="仿宋_GB2312" w:hAnsi="仿宋" w:eastAsia="仿宋_GB2312" w:cs="仿宋_GB2312"/>
          <w:sz w:val="24"/>
        </w:rPr>
      </w:pPr>
    </w:p>
    <w:p>
      <w:pPr>
        <w:pStyle w:val="2"/>
        <w:rPr>
          <w:rFonts w:cs="仿宋_GB2312"/>
          <w:sz w:val="24"/>
        </w:rPr>
      </w:pPr>
    </w:p>
    <w:p>
      <w:p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sz w:val="24"/>
              </w:rPr>
            </w:pPr>
            <w:r>
              <w:rPr>
                <w:rFonts w:hint="eastAsia" w:ascii="仿宋" w:hAnsi="仿宋" w:eastAsia="仿宋" w:cs="仿宋"/>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rPr>
          <w:rFonts w:ascii="仿宋" w:eastAsia="仿宋" w:cs="仿宋"/>
        </w:rPr>
        <w:sectPr>
          <w:pgSz w:w="16838" w:h="11906" w:orient="landscape"/>
          <w:pgMar w:top="1418" w:right="1276" w:bottom="1418" w:left="1247" w:header="851" w:footer="992" w:gutter="0"/>
          <w:cols w:space="720" w:num="1"/>
          <w:titlePg/>
          <w:docGrid w:linePitch="312" w:charSpace="0"/>
        </w:sectPr>
      </w:pPr>
    </w:p>
    <w:p>
      <w:pPr>
        <w:rPr>
          <w:rFonts w:ascii="仿宋" w:hAnsi="仿宋" w:eastAsia="仿宋" w:cs="仿宋"/>
        </w:rPr>
      </w:pPr>
    </w:p>
    <w:p>
      <w:pPr>
        <w:rPr>
          <w:rFonts w:ascii="仿宋" w:hAnsi="仿宋" w:eastAsia="仿宋" w:cs="仿宋"/>
          <w:b/>
          <w:sz w:val="48"/>
          <w:szCs w:val="48"/>
        </w:rPr>
      </w:pPr>
      <w:r>
        <w:rPr>
          <w:rFonts w:hint="eastAsia" w:ascii="仿宋" w:hAnsi="仿宋" w:eastAsia="仿宋" w:cs="仿宋"/>
          <w:sz w:val="30"/>
          <w:szCs w:val="30"/>
        </w:rPr>
        <w:t>附件（中标后提供）：</w:t>
      </w:r>
    </w:p>
    <w:p>
      <w:pPr>
        <w:jc w:val="center"/>
        <w:rPr>
          <w:rFonts w:ascii="仿宋" w:hAnsi="仿宋" w:eastAsia="仿宋" w:cs="仿宋"/>
          <w:b/>
          <w:sz w:val="48"/>
          <w:szCs w:val="48"/>
        </w:rPr>
      </w:pPr>
    </w:p>
    <w:p>
      <w:pPr>
        <w:jc w:val="center"/>
        <w:rPr>
          <w:rFonts w:ascii="仿宋" w:hAnsi="仿宋" w:eastAsia="仿宋" w:cs="仿宋"/>
          <w:b/>
          <w:sz w:val="48"/>
          <w:szCs w:val="48"/>
        </w:rPr>
      </w:pPr>
      <w:r>
        <w:rPr>
          <w:rFonts w:hint="eastAsia" w:ascii="仿宋" w:hAnsi="仿宋" w:eastAsia="仿宋" w:cs="仿宋"/>
          <w:b/>
          <w:sz w:val="48"/>
          <w:szCs w:val="48"/>
        </w:rPr>
        <w:t>承 诺 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u w:val="single"/>
        </w:rPr>
        <w:t xml:space="preserve">耀华建设管理有限公司 </w:t>
      </w:r>
      <w:r>
        <w:rPr>
          <w:rFonts w:hint="eastAsia" w:ascii="仿宋" w:hAnsi="仿宋" w:eastAsia="仿宋" w:cs="仿宋"/>
          <w:sz w:val="30"/>
          <w:szCs w:val="30"/>
        </w:rPr>
        <w:t>：</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内容均一致，如不一致导致的任何法律责任自付。特此承诺！</w:t>
      </w:r>
    </w:p>
    <w:p>
      <w:pPr>
        <w:spacing w:line="780" w:lineRule="exact"/>
        <w:ind w:firstLine="450" w:firstLineChars="150"/>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2022年   月   日</w:t>
      </w:r>
    </w:p>
    <w:p>
      <w:pPr>
        <w:spacing w:line="360" w:lineRule="auto"/>
        <w:ind w:firstLine="480" w:firstLineChars="200"/>
        <w:rPr>
          <w:rFonts w:ascii="仿宋" w:hAnsi="仿宋" w:eastAsia="仿宋" w:cs="仿宋"/>
          <w:color w:val="000000"/>
          <w:sz w:val="24"/>
        </w:rPr>
      </w:pPr>
    </w:p>
    <w:p>
      <w:pPr>
        <w:rPr>
          <w:rFonts w:ascii="仿宋" w:hAnsi="仿宋" w:eastAsia="仿宋" w:cs="仿宋"/>
        </w:rPr>
      </w:pPr>
    </w:p>
    <w:p>
      <w:pPr>
        <w:pStyle w:val="24"/>
        <w:ind w:firstLine="0"/>
        <w:rPr>
          <w:rFonts w:ascii="仿宋" w:hAnsi="仿宋" w:eastAsia="仿宋" w:cs="仿宋"/>
        </w:rPr>
      </w:pPr>
    </w:p>
    <w:p>
      <w:pPr>
        <w:pStyle w:val="2"/>
        <w:rPr>
          <w:rFonts w:ascii="仿宋" w:eastAsia="仿宋" w:cs="仿宋"/>
          <w:lang w:val="en-US"/>
        </w:rPr>
      </w:pPr>
    </w:p>
    <w:p>
      <w:pPr>
        <w:rPr>
          <w:rFonts w:ascii="仿宋" w:hAnsi="仿宋" w:eastAsia="仿宋" w:cs="仿宋"/>
        </w:rPr>
      </w:pPr>
    </w:p>
    <w:p>
      <w:pPr>
        <w:pStyle w:val="627"/>
        <w:numPr>
          <w:ilvl w:val="0"/>
          <w:numId w:val="0"/>
        </w:numPr>
        <w:snapToGrid w:val="0"/>
        <w:spacing w:before="120" w:after="120"/>
        <w:rPr>
          <w:rFonts w:ascii="仿宋" w:hAnsi="仿宋" w:eastAsia="仿宋" w:cs="仿宋"/>
          <w:b/>
          <w:sz w:val="28"/>
          <w:szCs w:val="28"/>
          <w:highlight w:val="yellow"/>
        </w:rPr>
      </w:pPr>
    </w:p>
    <w:p>
      <w:pPr>
        <w:pStyle w:val="627"/>
        <w:numPr>
          <w:ilvl w:val="0"/>
          <w:numId w:val="0"/>
        </w:numPr>
        <w:snapToGrid w:val="0"/>
        <w:spacing w:before="120" w:after="120"/>
        <w:rPr>
          <w:rFonts w:ascii="仿宋" w:hAnsi="仿宋" w:eastAsia="仿宋" w:cs="仿宋"/>
          <w:b/>
          <w:sz w:val="28"/>
          <w:szCs w:val="28"/>
          <w:highlight w:val="yellow"/>
        </w:rPr>
      </w:pPr>
    </w:p>
    <w:p>
      <w:pPr>
        <w:pStyle w:val="627"/>
        <w:numPr>
          <w:ilvl w:val="0"/>
          <w:numId w:val="0"/>
        </w:numPr>
        <w:snapToGrid w:val="0"/>
        <w:spacing w:before="120" w:after="120"/>
        <w:rPr>
          <w:rFonts w:ascii="仿宋" w:hAnsi="仿宋" w:eastAsia="仿宋" w:cs="仿宋"/>
          <w:b/>
          <w:sz w:val="28"/>
          <w:szCs w:val="28"/>
          <w:highlight w:val="yellow"/>
        </w:rPr>
      </w:pPr>
      <w:r>
        <w:rPr>
          <w:rFonts w:hint="eastAsia" w:ascii="仿宋" w:hAnsi="仿宋" w:eastAsia="仿宋" w:cs="仿宋"/>
          <w:b/>
          <w:sz w:val="28"/>
          <w:szCs w:val="28"/>
          <w:highlight w:val="yellow"/>
        </w:rPr>
        <w:t>确认声明书（将以下表格填写完成后，与投标文件同步制作递交）</w:t>
      </w:r>
    </w:p>
    <w:p>
      <w:pPr>
        <w:pStyle w:val="627"/>
        <w:snapToGrid w:val="0"/>
        <w:spacing w:before="120" w:after="120"/>
        <w:jc w:val="center"/>
        <w:rPr>
          <w:rFonts w:ascii="仿宋" w:hAnsi="仿宋" w:eastAsia="仿宋" w:cs="仿宋"/>
          <w:kern w:val="0"/>
          <w:sz w:val="21"/>
          <w:szCs w:val="21"/>
        </w:rPr>
      </w:pPr>
      <w:r>
        <w:rPr>
          <w:rFonts w:hint="eastAsia" w:ascii="仿宋" w:hAnsi="仿宋" w:eastAsia="仿宋" w:cs="仿宋"/>
          <w:b/>
        </w:rPr>
        <w:t>（要求在电子投标文件解密后，自行核实下述承诺内容，如有不符，重新联系代理公司重新按新的内容邮箱递交）</w:t>
      </w:r>
    </w:p>
    <w:p>
      <w:pPr>
        <w:pStyle w:val="627"/>
        <w:snapToGrid w:val="0"/>
        <w:spacing w:before="120" w:after="120"/>
        <w:jc w:val="center"/>
        <w:rPr>
          <w:rFonts w:ascii="仿宋" w:hAnsi="仿宋" w:eastAsia="仿宋" w:cs="仿宋"/>
          <w:b/>
        </w:rPr>
      </w:pPr>
    </w:p>
    <w:p>
      <w:pPr>
        <w:pStyle w:val="627"/>
        <w:snapToGrid w:val="0"/>
        <w:spacing w:before="120" w:after="120"/>
        <w:jc w:val="center"/>
        <w:rPr>
          <w:rFonts w:ascii="仿宋" w:hAnsi="仿宋" w:eastAsia="仿宋" w:cs="仿宋"/>
          <w:b/>
        </w:rPr>
      </w:pPr>
      <w:r>
        <w:rPr>
          <w:rFonts w:hint="eastAsia" w:ascii="仿宋" w:hAnsi="仿宋" w:eastAsia="仿宋" w:cs="仿宋"/>
          <w:b/>
        </w:rPr>
        <w:t>政府采购活动现场确认声明书</w:t>
      </w:r>
    </w:p>
    <w:p>
      <w:pPr>
        <w:pStyle w:val="627"/>
        <w:snapToGrid w:val="0"/>
        <w:spacing w:before="120" w:after="120" w:line="380" w:lineRule="exact"/>
        <w:rPr>
          <w:rFonts w:ascii="仿宋" w:hAnsi="仿宋" w:eastAsia="仿宋" w:cs="仿宋"/>
          <w:b/>
        </w:rPr>
      </w:pPr>
      <w:r>
        <w:rPr>
          <w:rFonts w:hint="eastAsia" w:ascii="仿宋" w:hAnsi="仿宋" w:eastAsia="仿宋" w:cs="仿宋"/>
          <w:kern w:val="0"/>
          <w:u w:val="single"/>
        </w:rPr>
        <w:t xml:space="preserve">                        </w:t>
      </w:r>
      <w:r>
        <w:rPr>
          <w:rFonts w:hint="eastAsia" w:ascii="仿宋" w:hAnsi="仿宋" w:eastAsia="仿宋" w:cs="仿宋"/>
          <w:kern w:val="0"/>
        </w:rPr>
        <w:t>：</w:t>
      </w:r>
    </w:p>
    <w:p>
      <w:pPr>
        <w:pStyle w:val="627"/>
        <w:snapToGrid w:val="0"/>
        <w:spacing w:before="120" w:after="120" w:line="380" w:lineRule="exact"/>
        <w:ind w:firstLine="504" w:firstLineChars="200"/>
        <w:rPr>
          <w:rFonts w:ascii="仿宋" w:hAnsi="仿宋" w:eastAsia="仿宋" w:cs="仿宋"/>
          <w:spacing w:val="6"/>
        </w:rPr>
      </w:pPr>
      <w:r>
        <w:rPr>
          <w:rFonts w:hint="eastAsia" w:ascii="仿宋" w:hAnsi="仿宋" w:eastAsia="仿宋" w:cs="仿宋"/>
          <w:spacing w:val="6"/>
        </w:rPr>
        <w:t>本人经由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合法授权参加</w:t>
      </w:r>
      <w:r>
        <w:rPr>
          <w:rFonts w:hint="eastAsia" w:ascii="仿宋" w:hAnsi="仿宋" w:eastAsia="仿宋" w:cs="仿宋"/>
          <w:spacing w:val="6"/>
          <w:u w:val="single"/>
        </w:rPr>
        <w:t xml:space="preserve">                </w:t>
      </w:r>
      <w:r>
        <w:rPr>
          <w:rFonts w:hint="eastAsia" w:ascii="仿宋" w:hAnsi="仿宋" w:eastAsia="仿宋" w:cs="仿宋"/>
          <w:spacing w:val="6"/>
        </w:rPr>
        <w:t>项目（编号：</w:t>
      </w:r>
      <w:r>
        <w:rPr>
          <w:rFonts w:hint="eastAsia" w:ascii="仿宋" w:hAnsi="仿宋" w:eastAsia="仿宋" w:cs="仿宋"/>
          <w:spacing w:val="6"/>
          <w:u w:val="single"/>
        </w:rPr>
        <w:t xml:space="preserve">        </w:t>
      </w:r>
      <w:r>
        <w:rPr>
          <w:rFonts w:hint="eastAsia" w:ascii="仿宋" w:hAnsi="仿宋" w:eastAsia="仿宋" w:cs="仿宋"/>
          <w:spacing w:val="6"/>
        </w:rPr>
        <w:t xml:space="preserve">）政府采购活动，经与本单位法人代表（负责人）联系确认，现就有关公平竞争事项郑重声明如下： </w:t>
      </w:r>
    </w:p>
    <w:p>
      <w:pPr>
        <w:pStyle w:val="628"/>
        <w:widowControl/>
        <w:numPr>
          <w:ilvl w:val="0"/>
          <w:numId w:val="8"/>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628"/>
        <w:widowControl/>
        <w:snapToGrid w:val="0"/>
        <w:spacing w:line="380" w:lineRule="exact"/>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r>
        <w:rPr>
          <w:rFonts w:ascii="仿宋" w:hAnsi="仿宋" w:eastAsia="仿宋" w:cs="仿宋"/>
          <w:kern w:val="0"/>
          <w:sz w:val="24"/>
          <w:szCs w:val="24"/>
          <w:u w:val="single"/>
        </w:rPr>
        <w:t xml:space="preserve">          </w:t>
      </w:r>
      <w:r>
        <w:rPr>
          <w:rFonts w:ascii="仿宋" w:hAnsi="仿宋" w:eastAsia="仿宋" w:cs="仿宋"/>
          <w:kern w:val="0"/>
          <w:sz w:val="24"/>
          <w:szCs w:val="24"/>
        </w:rPr>
        <w:t>：</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A.法定代表人或负责人或实际控制人是同一人</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B.法定代表人或负责人或实际控制人是夫妻关系</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C.法定代表人或负责人或实际控制人是直系血亲关系</w:t>
      </w:r>
    </w:p>
    <w:p>
      <w:pPr>
        <w:pStyle w:val="627"/>
        <w:adjustRightInd/>
        <w:snapToGrid w:val="0"/>
        <w:spacing w:before="120" w:after="120" w:line="300" w:lineRule="exact"/>
        <w:rPr>
          <w:rFonts w:ascii="仿宋" w:hAnsi="仿宋" w:eastAsia="仿宋" w:cs="仿宋"/>
          <w:spacing w:val="6"/>
        </w:rPr>
      </w:pPr>
      <w:r>
        <w:rPr>
          <w:rFonts w:hint="eastAsia" w:ascii="仿宋" w:hAnsi="仿宋" w:eastAsia="仿宋" w:cs="仿宋"/>
          <w:kern w:val="0"/>
        </w:rPr>
        <w:t xml:space="preserve">  D.法定代表人或负责人或实际控制人存在三代以内旁系血亲关系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E.法定代表人或负责人或实际控制人存在近姻亲关系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F.法定代表人或负责人或实际控制人存在股份控制或实际控制关系</w:t>
      </w:r>
    </w:p>
    <w:p>
      <w:pPr>
        <w:pStyle w:val="627"/>
        <w:adjustRightInd/>
        <w:snapToGrid w:val="0"/>
        <w:spacing w:before="120" w:after="120" w:line="300" w:lineRule="exact"/>
        <w:rPr>
          <w:rFonts w:ascii="仿宋" w:hAnsi="仿宋" w:eastAsia="仿宋" w:cs="仿宋"/>
          <w:kern w:val="0"/>
        </w:rPr>
      </w:pPr>
      <w:r>
        <w:rPr>
          <w:rFonts w:hint="eastAsia" w:ascii="仿宋" w:hAnsi="仿宋" w:eastAsia="仿宋" w:cs="仿宋"/>
          <w:kern w:val="0"/>
        </w:rPr>
        <w:t xml:space="preserve">  G.存在共同直接或间接投资设立子公司、联营企业和合营企业情况</w:t>
      </w:r>
    </w:p>
    <w:p>
      <w:pPr>
        <w:pStyle w:val="627"/>
        <w:adjustRightInd/>
        <w:snapToGrid w:val="0"/>
        <w:spacing w:before="120" w:after="120" w:line="300" w:lineRule="exact"/>
        <w:rPr>
          <w:rFonts w:ascii="仿宋" w:hAnsi="仿宋" w:eastAsia="仿宋" w:cs="仿宋"/>
        </w:rPr>
      </w:pPr>
      <w:r>
        <w:rPr>
          <w:rFonts w:hint="eastAsia" w:ascii="仿宋" w:hAnsi="仿宋" w:eastAsia="仿宋" w:cs="仿宋"/>
          <w:kern w:val="0"/>
        </w:rPr>
        <w:t xml:space="preserve">  H.存在分级代理或代销关系、同一生产制造商关系、</w:t>
      </w:r>
      <w:r>
        <w:rPr>
          <w:rFonts w:hint="eastAsia" w:ascii="仿宋" w:hAnsi="仿宋" w:eastAsia="仿宋" w:cs="仿宋"/>
        </w:rPr>
        <w:t>管理关系、重要业务（占主营业务收入50%以上）或重要财务往来关系（如融资）等其他实质性控制关系</w:t>
      </w:r>
    </w:p>
    <w:p>
      <w:pPr>
        <w:pStyle w:val="627"/>
        <w:snapToGrid w:val="0"/>
        <w:spacing w:before="120" w:after="120" w:line="380" w:lineRule="exact"/>
        <w:rPr>
          <w:rFonts w:ascii="仿宋" w:hAnsi="仿宋" w:eastAsia="仿宋" w:cs="仿宋"/>
          <w:spacing w:val="6"/>
        </w:rPr>
      </w:pPr>
      <w:r>
        <w:rPr>
          <w:rFonts w:hint="eastAsia" w:ascii="仿宋" w:hAnsi="仿宋" w:eastAsia="仿宋" w:cs="仿宋"/>
        </w:rPr>
        <w:t xml:space="preserve">    I</w:t>
      </w:r>
      <w:r>
        <w:rPr>
          <w:rFonts w:hint="eastAsia" w:ascii="仿宋" w:hAnsi="仿宋" w:eastAsia="仿宋" w:cs="仿宋"/>
          <w:kern w:val="0"/>
        </w:rPr>
        <w:t>.</w:t>
      </w:r>
      <w:r>
        <w:rPr>
          <w:rFonts w:hint="eastAsia" w:ascii="仿宋" w:hAnsi="仿宋" w:eastAsia="仿宋" w:cs="仿宋"/>
        </w:rPr>
        <w:t>其他利害关系情况</w:t>
      </w:r>
      <w:r>
        <w:rPr>
          <w:rFonts w:hint="eastAsia" w:ascii="仿宋" w:hAnsi="仿宋" w:eastAsia="仿宋" w:cs="仿宋"/>
          <w:u w:val="single"/>
        </w:rPr>
        <w:t xml:space="preserve">                              </w:t>
      </w:r>
      <w:r>
        <w:rPr>
          <w:rFonts w:hint="eastAsia" w:ascii="仿宋" w:hAnsi="仿宋" w:eastAsia="仿宋" w:cs="仿宋"/>
          <w:kern w:val="0"/>
        </w:rPr>
        <w:t>。</w:t>
      </w:r>
    </w:p>
    <w:p>
      <w:pPr>
        <w:pStyle w:val="628"/>
        <w:widowControl/>
        <w:numPr>
          <w:ilvl w:val="0"/>
          <w:numId w:val="9"/>
        </w:numPr>
        <w:snapToGrid w:val="0"/>
        <w:spacing w:line="380" w:lineRule="exact"/>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628"/>
        <w:widowControl/>
        <w:numPr>
          <w:ilvl w:val="0"/>
          <w:numId w:val="9"/>
        </w:numPr>
        <w:snapToGrid w:val="0"/>
        <w:spacing w:line="380" w:lineRule="exact"/>
        <w:ind w:firstLine="453" w:firstLineChars="189"/>
        <w:rPr>
          <w:rFonts w:hint="default" w:ascii="仿宋" w:hAnsi="仿宋" w:eastAsia="仿宋" w:cs="仿宋"/>
          <w:sz w:val="24"/>
          <w:szCs w:val="24"/>
        </w:rPr>
      </w:pPr>
      <w:r>
        <w:rPr>
          <w:rFonts w:ascii="仿宋" w:hAnsi="仿宋" w:eastAsia="仿宋" w:cs="仿宋"/>
          <w:kern w:val="0"/>
          <w:sz w:val="24"/>
          <w:szCs w:val="24"/>
        </w:rPr>
        <w:t>我发现</w:t>
      </w:r>
      <w:r>
        <w:rPr>
          <w:rFonts w:ascii="仿宋" w:hAnsi="仿宋" w:eastAsia="仿宋" w:cs="仿宋"/>
          <w:kern w:val="0"/>
          <w:sz w:val="24"/>
          <w:szCs w:val="24"/>
          <w:u w:val="single"/>
        </w:rPr>
        <w:t xml:space="preserve">                    </w:t>
      </w:r>
      <w:r>
        <w:rPr>
          <w:rFonts w:ascii="仿宋" w:hAnsi="仿宋" w:eastAsia="仿宋" w:cs="仿宋"/>
          <w:kern w:val="0"/>
          <w:sz w:val="24"/>
          <w:szCs w:val="24"/>
        </w:rPr>
        <w:t>供应商之间存在或可能存在上述第二条第</w:t>
      </w:r>
      <w:r>
        <w:rPr>
          <w:rFonts w:ascii="仿宋" w:hAnsi="仿宋" w:eastAsia="仿宋" w:cs="仿宋"/>
          <w:kern w:val="0"/>
          <w:sz w:val="24"/>
          <w:szCs w:val="24"/>
          <w:u w:val="single"/>
        </w:rPr>
        <w:t xml:space="preserve">        </w:t>
      </w:r>
      <w:r>
        <w:rPr>
          <w:rFonts w:ascii="仿宋" w:hAnsi="仿宋" w:eastAsia="仿宋" w:cs="仿宋"/>
          <w:kern w:val="0"/>
          <w:sz w:val="24"/>
          <w:szCs w:val="24"/>
        </w:rPr>
        <w:t>项利害关系。</w:t>
      </w:r>
    </w:p>
    <w:p>
      <w:pPr>
        <w:pStyle w:val="627"/>
        <w:snapToGrid w:val="0"/>
        <w:spacing w:before="120" w:after="120"/>
        <w:ind w:firstLine="480" w:firstLineChars="200"/>
        <w:rPr>
          <w:rFonts w:ascii="仿宋" w:hAnsi="仿宋" w:eastAsia="仿宋" w:cs="仿宋"/>
        </w:rPr>
      </w:pPr>
      <w:r>
        <w:rPr>
          <w:rFonts w:hint="eastAsia" w:ascii="仿宋" w:hAnsi="仿宋" w:eastAsia="仿宋" w:cs="仿宋"/>
        </w:rPr>
        <w:t xml:space="preserve">                                          供应商盖章：</w:t>
      </w:r>
    </w:p>
    <w:p>
      <w:pPr>
        <w:pStyle w:val="627"/>
        <w:snapToGrid w:val="0"/>
        <w:spacing w:before="120" w:after="120"/>
        <w:ind w:firstLine="5520" w:firstLineChars="2300"/>
        <w:rPr>
          <w:rFonts w:ascii="仿宋" w:hAnsi="仿宋" w:eastAsia="仿宋" w:cs="仿宋"/>
        </w:rPr>
      </w:pPr>
      <w:r>
        <w:rPr>
          <w:rFonts w:hint="eastAsia" w:ascii="仿宋" w:hAnsi="仿宋" w:eastAsia="仿宋" w:cs="仿宋"/>
        </w:rPr>
        <w:t>授权委托代表签名：</w:t>
      </w:r>
    </w:p>
    <w:p>
      <w:pPr>
        <w:snapToGrid w:val="0"/>
        <w:spacing w:line="360" w:lineRule="auto"/>
        <w:jc w:val="left"/>
        <w:rPr>
          <w:sz w:val="24"/>
        </w:rPr>
      </w:pPr>
      <w:r>
        <w:rPr>
          <w:rFonts w:hint="eastAsia" w:ascii="仿宋" w:hAnsi="仿宋" w:eastAsia="仿宋" w:cs="仿宋"/>
          <w:sz w:val="24"/>
        </w:rPr>
        <w:t xml:space="preserve">                                               年    月    日</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25" o:spid="_x0000_s2052" o:spt="202" type="#_x0000_t202"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2</w:t>
                </w:r>
                <w:r>
                  <w:fldChar w:fldCharType="end"/>
                </w:r>
              </w:p>
            </w:txbxContent>
          </v:textbox>
        </v:shape>
      </w:pict>
    </w:r>
    <w:r>
      <w:rPr>
        <w:rFonts w:ascii="Times New Roman" w:hAnsi="Times New Roman" w:eastAsia="宋体" w:cs="Times New Roman"/>
        <w:kern w:val="2"/>
        <w:sz w:val="18"/>
        <w:szCs w:val="18"/>
        <w:lang w:val="en-US" w:eastAsia="zh-CN" w:bidi="ar-SA"/>
      </w:rPr>
      <w:pict>
        <v:shape id="Quad Arrow 24"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18"/>
        <w:szCs w:val="24"/>
        <w:lang w:val="en-US" w:eastAsia="zh-CN" w:bidi="ar-SA"/>
      </w:rPr>
      <w:pict>
        <v:shape id="Quad Arrow 10" o:spid="_x0000_s2069" o:spt="202" type="#_x0000_t202" style="position:absolute;left:0pt;margin-top:0pt;height:144pt;width:144pt;mso-position-horizontal:center;mso-position-horizontal-relative:margin;mso-wrap-style:none;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57</w:t>
                </w:r>
                <w:r>
                  <w:fldChar w:fldCharType="end"/>
                </w:r>
              </w:p>
            </w:txbxContent>
          </v:textbox>
        </v:shape>
      </w:pict>
    </w:r>
    <w:r>
      <w:rPr>
        <w:rFonts w:ascii="Times New Roman" w:hAnsi="Times New Roman" w:eastAsia="宋体" w:cs="Times New Roman"/>
        <w:kern w:val="2"/>
        <w:sz w:val="18"/>
        <w:szCs w:val="24"/>
        <w:lang w:val="en-US" w:eastAsia="zh-CN" w:bidi="ar-SA"/>
      </w:rPr>
      <w:pict>
        <v:shape id="Quad Arrow 9" o:spid="_x0000_s2070" o:spt="202" type="#_x0000_t202"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center"/>
                </w:pPr>
              </w:p>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5" o:spid="_x0000_s2074"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68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73" o:spt="202" type="#_x0000_t202"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69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2" o:spid="_x0000_s2077" o:spt="202" type="#_x0000_t202" style="position:absolute;left:0pt;margin-top:0pt;height:144pt;width:144pt;mso-position-horizontal:center;mso-position-horizontal-relative:margin;mso-wrap-style:none;z-index:2516797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71</w:t>
                </w:r>
                <w:r>
                  <w:fldChar w:fldCharType="end"/>
                </w:r>
              </w:p>
            </w:txbxContent>
          </v:textbox>
        </v:shape>
      </w:pict>
    </w:r>
    <w:r>
      <w:rPr>
        <w:rFonts w:ascii="Times New Roman" w:hAnsi="Times New Roman" w:eastAsia="宋体" w:cs="Times New Roman"/>
        <w:kern w:val="2"/>
        <w:sz w:val="18"/>
        <w:szCs w:val="18"/>
        <w:lang w:val="en-US" w:eastAsia="zh-CN" w:bidi="ar-SA"/>
      </w:rPr>
      <w:pict>
        <v:shape id="Quad Arrow 1" o:spid="_x0000_s2078" o:spt="202" type="#_x0000_t202"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75" o:spt="202" type="#_x0000_t202" style="position:absolute;left:0pt;margin-top:0pt;height:144pt;width:144pt;mso-position-horizontal:center;mso-position-horizontal-relative:margin;mso-wrap-style:none;z-index:2516807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70</w:t>
                </w:r>
                <w:r>
                  <w:fldChar w:fldCharType="end"/>
                </w:r>
              </w:p>
            </w:txbxContent>
          </v:textbox>
        </v:shape>
      </w:pict>
    </w:r>
    <w:r>
      <w:rPr>
        <w:rFonts w:ascii="Times New Roman" w:hAnsi="Times New Roman" w:eastAsia="宋体" w:cs="Times New Roman"/>
        <w:kern w:val="2"/>
        <w:sz w:val="18"/>
        <w:szCs w:val="18"/>
        <w:lang w:val="en-US" w:eastAsia="zh-CN" w:bidi="ar-SA"/>
      </w:rPr>
      <w:pict>
        <v:shape id="Quad Arrow 3" o:spid="_x0000_s2076" o:spt="202" type="#_x0000_t202"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27" o:spid="_x0000_s2049" o:spt="202" type="#_x0000_t202"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w:r>
    <w:r>
      <w:rPr>
        <w:rFonts w:ascii="Times New Roman" w:hAnsi="Times New Roman" w:eastAsia="宋体" w:cs="Times New Roman"/>
        <w:kern w:val="2"/>
        <w:sz w:val="18"/>
        <w:szCs w:val="18"/>
        <w:lang w:val="en-US" w:eastAsia="zh-CN" w:bidi="ar-SA"/>
      </w:rPr>
      <w:pict>
        <v:shape id="Quad Arrow 26" o:spid="_x0000_s2050"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r>
      <w:rPr>
        <w:rFonts w:ascii="楷体_GB2312" w:hAnsi="Times New Roman" w:eastAsia="楷体_GB2312" w:cs="Times New Roman"/>
        <w:color w:val="0000FF"/>
        <w:kern w:val="2"/>
        <w:sz w:val="18"/>
        <w:szCs w:val="18"/>
        <w:u w:val="thick"/>
        <w:lang w:val="en-US" w:eastAsia="zh-CN" w:bidi="ar-SA"/>
      </w:rPr>
      <w:pict>
        <v:shape id="图片 9" o:spid="_x0000_s2051" o:spt="75" type="#_x0000_t75" style="position:absolute;left:0pt;margin-left:-14.3pt;margin-top:-7.2pt;height:27.65pt;width:80.6pt;z-index:251659264;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21" o:spid="_x0000_s2057" o:spt="202" type="#_x0000_t202" style="position:absolute;left:0pt;margin-top:0pt;height:144pt;width:144pt;mso-position-horizontal:center;mso-position-horizontal-relative:margin;mso-wrap-style:none;z-index:2516828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21</w:t>
                </w:r>
                <w:r>
                  <w:fldChar w:fldCharType="end"/>
                </w:r>
              </w:p>
            </w:txbxContent>
          </v:textbox>
        </v:shape>
      </w:pict>
    </w:r>
    <w:r>
      <w:rPr>
        <w:rFonts w:ascii="Times New Roman" w:hAnsi="Times New Roman" w:eastAsia="宋体" w:cs="Times New Roman"/>
        <w:kern w:val="2"/>
        <w:sz w:val="18"/>
        <w:szCs w:val="18"/>
        <w:lang w:val="en-US" w:eastAsia="zh-CN" w:bidi="ar-SA"/>
      </w:rPr>
      <w:pict>
        <v:shape id="Quad Arrow 20" o:spid="_x0000_s2058" o:spt="202" type="#_x0000_t202" style="position:absolute;left:0pt;margin-top:0pt;height:144pt;width:144pt;mso-position-horizontal:center;mso-position-horizontal-relative:margin;mso-wrap-style:none;z-index:2516817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w:rPr>
        <w:rFonts w:ascii="Times New Roman" w:hAnsi="Times New Roman" w:eastAsia="宋体" w:cs="Times New Roman"/>
        <w:kern w:val="2"/>
        <w:sz w:val="18"/>
        <w:szCs w:val="18"/>
        <w:lang w:val="en-US" w:eastAsia="zh-CN" w:bidi="ar-SA"/>
      </w:rPr>
      <w:pict>
        <v:shape id="Quad Arrow 23" o:spid="_x0000_s2054" o:spt="202" type="#_x0000_t202" style="position:absolute;left:0pt;margin-top:0pt;height:144pt;width:144pt;mso-position-horizontal:center;mso-position-horizontal-relative:margin;mso-wrap-style:none;z-index:2516848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2</w:t>
                </w:r>
                <w:r>
                  <w:fldChar w:fldCharType="end"/>
                </w:r>
              </w:p>
            </w:txbxContent>
          </v:textbox>
        </v:shape>
      </w:pict>
    </w:r>
    <w:r>
      <w:rPr>
        <w:rFonts w:ascii="Times New Roman" w:hAnsi="Times New Roman" w:eastAsia="宋体" w:cs="Times New Roman"/>
        <w:kern w:val="2"/>
        <w:sz w:val="18"/>
        <w:szCs w:val="18"/>
        <w:lang w:val="en-US" w:eastAsia="zh-CN" w:bidi="ar-SA"/>
      </w:rPr>
      <w:pict>
        <v:shape id="Quad Arrow 22" o:spid="_x0000_s2055" o:spt="202" type="#_x0000_t202" style="position:absolute;left:0pt;margin-top:0pt;height:144pt;width:144pt;mso-position-horizontal:center;mso-position-horizontal-relative:margin;mso-wrap-style:none;z-index:2516838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p>
              <w:p/>
            </w:txbxContent>
          </v:textbox>
        </v:shape>
      </w:pict>
    </w:r>
    <w:r>
      <w:rPr>
        <w:rFonts w:ascii="楷体_GB2312" w:hAnsi="Times New Roman" w:eastAsia="楷体_GB2312" w:cs="Times New Roman"/>
        <w:color w:val="0000FF"/>
        <w:kern w:val="2"/>
        <w:sz w:val="18"/>
        <w:szCs w:val="18"/>
        <w:u w:val="thick"/>
        <w:lang w:val="en-US" w:eastAsia="zh-CN" w:bidi="ar-SA"/>
      </w:rPr>
      <w:pict>
        <v:shape id="_x0000_s2056" o:spid="_x0000_s2056" o:spt="75" type="#_x0000_t75" style="position:absolute;left:0pt;margin-left:-14.3pt;margin-top:-7.2pt;height:27.65pt;width:80.6pt;z-index:251661312;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color w:val="0000FF"/>
        <w:u w:val="thick"/>
      </w:rPr>
    </w:pPr>
    <w:r>
      <w:rPr>
        <w:rFonts w:ascii="Times New Roman" w:hAnsi="Times New Roman" w:eastAsia="??" w:cs="Times New Roman"/>
        <w:kern w:val="2"/>
        <w:sz w:val="18"/>
        <w:szCs w:val="28"/>
        <w:lang w:val="en-US" w:eastAsia="zh-CN" w:bidi="ar-SA"/>
      </w:rPr>
      <w:pict>
        <v:rect id="Rectangle 19" o:spid="_x0000_s205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22</w:t>
                </w:r>
                <w:r>
                  <w:fldChar w:fldCharType="end"/>
                </w:r>
              </w:p>
            </w:txbxContent>
          </v:textbox>
        </v:rect>
      </w:pict>
    </w:r>
    <w:r>
      <w:rPr>
        <w:rFonts w:hint="eastAsia" w:ascii="楷体_GB2312" w:hAnsi="Times New Roman" w:eastAsia="楷体_GB2312" w:cs="Times New Roman"/>
        <w:color w:val="0000FF"/>
        <w:kern w:val="2"/>
        <w:sz w:val="18"/>
        <w:szCs w:val="28"/>
        <w:u w:val="thick"/>
        <w:lang w:val="en-US" w:eastAsia="zh-CN" w:bidi="ar-SA"/>
      </w:rPr>
      <w:pict>
        <v:shape id="_x0000_s2060" o:spid="_x0000_s2060" o:spt="75" type="#_x0000_t75" style="position:absolute;left:0pt;margin-left:6.75pt;margin-top:-10.7pt;height:27.65pt;width:80.6pt;z-index:251660288;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ascii="Times New Roman" w:hAnsi="Times New Roman" w:eastAsia="??" w:cs="Times New Roman"/>
        <w:color w:val="0000FF"/>
        <w:kern w:val="2"/>
        <w:sz w:val="18"/>
        <w:szCs w:val="28"/>
        <w:u w:val="thick"/>
        <w:lang w:val="en-US" w:eastAsia="zh-CN" w:bidi="ar-SA"/>
      </w:rPr>
      <w:pict>
        <v:rect id="Rectangle 18" o:spid="_x0000_s2061" o:spt="1" style="position:absolute;left:0pt;margin-top:0pt;height:144pt;width:144pt;mso-position-horizontal:right;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shape id="Quad Arrow 11" o:spid="_x0000_s2068"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3" o:spid="_x0000_s2066" o:spt="202" type="#_x0000_t202"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51</w:t>
                </w:r>
                <w:r>
                  <w:fldChar w:fldCharType="end"/>
                </w:r>
              </w:p>
            </w:txbxContent>
          </v:textbox>
        </v:shape>
      </w:pict>
    </w:r>
    <w:r>
      <w:rPr>
        <w:rFonts w:ascii="Times New Roman" w:hAnsi="Times New Roman" w:eastAsia="宋体" w:cs="Times New Roman"/>
        <w:kern w:val="2"/>
        <w:sz w:val="18"/>
        <w:szCs w:val="18"/>
        <w:lang w:val="en-US" w:eastAsia="zh-CN" w:bidi="ar-SA"/>
      </w:rPr>
      <w:pict>
        <v:shape id="Quad Arrow 12" o:spid="_x0000_s2067"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center"/>
                </w:pPr>
              </w:p>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71" o:spt="202" type="#_x0000_t202" style="position:absolute;left:0pt;margin-top:0pt;height:144pt;width:144pt;mso-position-horizontal:center;mso-position-horizontal-relative:margin;mso-wrap-style:none;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w:r>
    <w:r>
      <w:rPr>
        <w:rFonts w:ascii="Times New Roman" w:hAnsi="Times New Roman" w:eastAsia="宋体" w:cs="Times New Roman"/>
        <w:kern w:val="2"/>
        <w:sz w:val="18"/>
        <w:szCs w:val="18"/>
        <w:lang w:val="en-US" w:eastAsia="zh-CN" w:bidi="ar-SA"/>
      </w:rPr>
      <w:pict>
        <v:shape id="Quad Arrow 7" o:spid="_x0000_s2072" o:spt="202" type="#_x0000_t202"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4"/>
                  <w:jc w:val="center"/>
                </w:pPr>
              </w:p>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2A107D1F"/>
    <w:multiLevelType w:val="singleLevel"/>
    <w:tmpl w:val="2A107D1F"/>
    <w:lvl w:ilvl="0" w:tentative="0">
      <w:start w:val="13"/>
      <w:numFmt w:val="decimal"/>
      <w:suff w:val="space"/>
      <w:lvlText w:val="%1."/>
      <w:lvlJc w:val="left"/>
    </w:lvl>
  </w:abstractNum>
  <w:abstractNum w:abstractNumId="2">
    <w:nsid w:val="4936EC05"/>
    <w:multiLevelType w:val="singleLevel"/>
    <w:tmpl w:val="4936EC05"/>
    <w:lvl w:ilvl="0" w:tentative="0">
      <w:start w:val="1"/>
      <w:numFmt w:val="decimal"/>
      <w:suff w:val="nothing"/>
      <w:lvlText w:val="%1．"/>
      <w:lvlJc w:val="left"/>
      <w:pPr>
        <w:ind w:left="0" w:firstLine="400"/>
      </w:pPr>
      <w:rPr>
        <w:rFonts w:hint="default"/>
      </w:rPr>
    </w:lvl>
  </w:abstractNum>
  <w:abstractNum w:abstractNumId="3">
    <w:nsid w:val="509689BA"/>
    <w:multiLevelType w:val="singleLevel"/>
    <w:tmpl w:val="509689BA"/>
    <w:lvl w:ilvl="0" w:tentative="0">
      <w:start w:val="3"/>
      <w:numFmt w:val="decimal"/>
      <w:suff w:val="nothing"/>
      <w:lvlText w:val="%1、"/>
      <w:lvlJc w:val="left"/>
    </w:lvl>
  </w:abstractNum>
  <w:abstractNum w:abstractNumId="4">
    <w:nsid w:val="517C102A"/>
    <w:multiLevelType w:val="singleLevel"/>
    <w:tmpl w:val="517C102A"/>
    <w:lvl w:ilvl="0" w:tentative="0">
      <w:start w:val="28"/>
      <w:numFmt w:val="decimal"/>
      <w:suff w:val="space"/>
      <w:lvlText w:val="%1."/>
      <w:lvlJc w:val="left"/>
      <w:pPr>
        <w:ind w:left="120" w:firstLine="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3414110"/>
    <w:multiLevelType w:val="singleLevel"/>
    <w:tmpl w:val="73414110"/>
    <w:lvl w:ilvl="0" w:tentative="0">
      <w:start w:val="8"/>
      <w:numFmt w:val="decimal"/>
      <w:suff w:val="space"/>
      <w:lvlText w:val="%1."/>
      <w:lvlJc w:val="left"/>
    </w:lvl>
  </w:abstractNum>
  <w:abstractNum w:abstractNumId="8">
    <w:nsid w:val="7B9911AF"/>
    <w:multiLevelType w:val="singleLevel"/>
    <w:tmpl w:val="7B9911AF"/>
    <w:lvl w:ilvl="0" w:tentative="0">
      <w:start w:val="6"/>
      <w:numFmt w:val="decimal"/>
      <w:suff w:val="nothing"/>
      <w:lvlText w:val="%1、"/>
      <w:lvlJc w:val="left"/>
    </w:lvl>
  </w:abstractNum>
  <w:num w:numId="1">
    <w:abstractNumId w:val="7"/>
  </w:num>
  <w:num w:numId="2">
    <w:abstractNumId w:val="1"/>
  </w:num>
  <w:num w:numId="3">
    <w:abstractNumId w:val="0"/>
  </w:num>
  <w:num w:numId="4">
    <w:abstractNumId w:val="4"/>
  </w:num>
  <w:num w:numId="5">
    <w:abstractNumId w:val="3"/>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cxMzZhZGI4Mjg0N2VjOWYxYmE0YTI4YmYyYTM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D5555"/>
    <w:rsid w:val="036634D2"/>
    <w:rsid w:val="038C7DA2"/>
    <w:rsid w:val="03DD35E4"/>
    <w:rsid w:val="04076900"/>
    <w:rsid w:val="041A5A3B"/>
    <w:rsid w:val="0421059C"/>
    <w:rsid w:val="042311BA"/>
    <w:rsid w:val="042B157A"/>
    <w:rsid w:val="048F763B"/>
    <w:rsid w:val="049F330E"/>
    <w:rsid w:val="04AA775C"/>
    <w:rsid w:val="04AF1889"/>
    <w:rsid w:val="04F66F48"/>
    <w:rsid w:val="05251E14"/>
    <w:rsid w:val="05A16594"/>
    <w:rsid w:val="05A7762D"/>
    <w:rsid w:val="060E5941"/>
    <w:rsid w:val="06110FAF"/>
    <w:rsid w:val="06493CA7"/>
    <w:rsid w:val="064D67D9"/>
    <w:rsid w:val="065A6178"/>
    <w:rsid w:val="066F1CF3"/>
    <w:rsid w:val="06930BB8"/>
    <w:rsid w:val="07245D42"/>
    <w:rsid w:val="07264C62"/>
    <w:rsid w:val="0779354C"/>
    <w:rsid w:val="08061376"/>
    <w:rsid w:val="08452D77"/>
    <w:rsid w:val="086401F8"/>
    <w:rsid w:val="08751CAA"/>
    <w:rsid w:val="087E4C40"/>
    <w:rsid w:val="08D66AD6"/>
    <w:rsid w:val="08DA33A3"/>
    <w:rsid w:val="08E80F13"/>
    <w:rsid w:val="08FD1DEA"/>
    <w:rsid w:val="09335624"/>
    <w:rsid w:val="0944690F"/>
    <w:rsid w:val="09535675"/>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C6C14"/>
    <w:rsid w:val="0B631A88"/>
    <w:rsid w:val="0B683D45"/>
    <w:rsid w:val="0B7F3F11"/>
    <w:rsid w:val="0B884417"/>
    <w:rsid w:val="0B8F4947"/>
    <w:rsid w:val="0B953FC7"/>
    <w:rsid w:val="0BC042E6"/>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C6339E"/>
    <w:rsid w:val="16F36C8C"/>
    <w:rsid w:val="172F2D79"/>
    <w:rsid w:val="17557BEF"/>
    <w:rsid w:val="177E0790"/>
    <w:rsid w:val="178E5663"/>
    <w:rsid w:val="17BF5F86"/>
    <w:rsid w:val="17D349C1"/>
    <w:rsid w:val="1830729E"/>
    <w:rsid w:val="1870062C"/>
    <w:rsid w:val="18817102"/>
    <w:rsid w:val="18830A15"/>
    <w:rsid w:val="18852B28"/>
    <w:rsid w:val="188B5321"/>
    <w:rsid w:val="19401D80"/>
    <w:rsid w:val="19932372"/>
    <w:rsid w:val="19A20DD5"/>
    <w:rsid w:val="19AE03F1"/>
    <w:rsid w:val="1A071A03"/>
    <w:rsid w:val="1A1F16AE"/>
    <w:rsid w:val="1A336431"/>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D266CE1"/>
    <w:rsid w:val="1D3963AF"/>
    <w:rsid w:val="1D461625"/>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BE6801"/>
    <w:rsid w:val="233500BF"/>
    <w:rsid w:val="23377FF7"/>
    <w:rsid w:val="23651C9F"/>
    <w:rsid w:val="236B425F"/>
    <w:rsid w:val="23836192"/>
    <w:rsid w:val="23901F29"/>
    <w:rsid w:val="239816A9"/>
    <w:rsid w:val="239C0061"/>
    <w:rsid w:val="23B908A4"/>
    <w:rsid w:val="23D47425"/>
    <w:rsid w:val="23E95BEF"/>
    <w:rsid w:val="23FD0064"/>
    <w:rsid w:val="240A0748"/>
    <w:rsid w:val="24525BA6"/>
    <w:rsid w:val="245375B0"/>
    <w:rsid w:val="24642C0A"/>
    <w:rsid w:val="24B22173"/>
    <w:rsid w:val="24B95AD9"/>
    <w:rsid w:val="24BE24DA"/>
    <w:rsid w:val="24CF5825"/>
    <w:rsid w:val="24D663E6"/>
    <w:rsid w:val="24D77F2B"/>
    <w:rsid w:val="256C0A82"/>
    <w:rsid w:val="258B00E2"/>
    <w:rsid w:val="25A917A6"/>
    <w:rsid w:val="25BE27CC"/>
    <w:rsid w:val="25F74A5C"/>
    <w:rsid w:val="2628662C"/>
    <w:rsid w:val="262D45DE"/>
    <w:rsid w:val="26A53EF9"/>
    <w:rsid w:val="26A94201"/>
    <w:rsid w:val="26AC274F"/>
    <w:rsid w:val="27044A29"/>
    <w:rsid w:val="271D34C8"/>
    <w:rsid w:val="276142BF"/>
    <w:rsid w:val="27783712"/>
    <w:rsid w:val="27907362"/>
    <w:rsid w:val="27D65640"/>
    <w:rsid w:val="28333E1D"/>
    <w:rsid w:val="28454BD6"/>
    <w:rsid w:val="28455253"/>
    <w:rsid w:val="28551971"/>
    <w:rsid w:val="285B1C53"/>
    <w:rsid w:val="289F7086"/>
    <w:rsid w:val="28C32028"/>
    <w:rsid w:val="28CC490F"/>
    <w:rsid w:val="28CE678A"/>
    <w:rsid w:val="28DE40AA"/>
    <w:rsid w:val="29345E77"/>
    <w:rsid w:val="294C65AD"/>
    <w:rsid w:val="29806583"/>
    <w:rsid w:val="298B3C4C"/>
    <w:rsid w:val="29AA44E3"/>
    <w:rsid w:val="29F26D24"/>
    <w:rsid w:val="2A15033F"/>
    <w:rsid w:val="2A1662C1"/>
    <w:rsid w:val="2A1C7367"/>
    <w:rsid w:val="2A2815FA"/>
    <w:rsid w:val="2A6D6092"/>
    <w:rsid w:val="2A7D76B4"/>
    <w:rsid w:val="2B437463"/>
    <w:rsid w:val="2B717030"/>
    <w:rsid w:val="2B7807EE"/>
    <w:rsid w:val="2BBF00EC"/>
    <w:rsid w:val="2BC37CFD"/>
    <w:rsid w:val="2BD5237F"/>
    <w:rsid w:val="2BE536CE"/>
    <w:rsid w:val="2BE758D9"/>
    <w:rsid w:val="2C07444B"/>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4352DD"/>
    <w:rsid w:val="2F9341F7"/>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23951"/>
    <w:rsid w:val="34950E68"/>
    <w:rsid w:val="34986E94"/>
    <w:rsid w:val="34AF62C9"/>
    <w:rsid w:val="34CB4388"/>
    <w:rsid w:val="34FA6E12"/>
    <w:rsid w:val="358D5588"/>
    <w:rsid w:val="35981D80"/>
    <w:rsid w:val="363A3B40"/>
    <w:rsid w:val="365302AE"/>
    <w:rsid w:val="36607A0A"/>
    <w:rsid w:val="366E227C"/>
    <w:rsid w:val="366F2E0D"/>
    <w:rsid w:val="367B6A5C"/>
    <w:rsid w:val="36A74ADA"/>
    <w:rsid w:val="36AD60D5"/>
    <w:rsid w:val="36B224F9"/>
    <w:rsid w:val="36EC0CC9"/>
    <w:rsid w:val="36FC5E87"/>
    <w:rsid w:val="37224F7B"/>
    <w:rsid w:val="373F410B"/>
    <w:rsid w:val="378660C8"/>
    <w:rsid w:val="37EE7094"/>
    <w:rsid w:val="38296C89"/>
    <w:rsid w:val="383002EB"/>
    <w:rsid w:val="38586797"/>
    <w:rsid w:val="38BC0149"/>
    <w:rsid w:val="38D87D1C"/>
    <w:rsid w:val="39636459"/>
    <w:rsid w:val="396B7F6C"/>
    <w:rsid w:val="39B417A9"/>
    <w:rsid w:val="39F06197"/>
    <w:rsid w:val="39FC5695"/>
    <w:rsid w:val="3A006D8E"/>
    <w:rsid w:val="3A3651E5"/>
    <w:rsid w:val="3A616A18"/>
    <w:rsid w:val="3A744481"/>
    <w:rsid w:val="3A8C7BEF"/>
    <w:rsid w:val="3A906246"/>
    <w:rsid w:val="3ADE3FB6"/>
    <w:rsid w:val="3B0741BF"/>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46A69"/>
    <w:rsid w:val="4019356B"/>
    <w:rsid w:val="40592157"/>
    <w:rsid w:val="406E1CAE"/>
    <w:rsid w:val="40A0133A"/>
    <w:rsid w:val="40A74181"/>
    <w:rsid w:val="40C31A53"/>
    <w:rsid w:val="40FF545D"/>
    <w:rsid w:val="410067C8"/>
    <w:rsid w:val="418F0D2A"/>
    <w:rsid w:val="41D01505"/>
    <w:rsid w:val="41D63FD8"/>
    <w:rsid w:val="41E2613A"/>
    <w:rsid w:val="41F76AC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168D5"/>
    <w:rsid w:val="43C77C27"/>
    <w:rsid w:val="43DE09EE"/>
    <w:rsid w:val="44002FAD"/>
    <w:rsid w:val="44467546"/>
    <w:rsid w:val="449101D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071261"/>
    <w:rsid w:val="4B236AAE"/>
    <w:rsid w:val="4B3527A5"/>
    <w:rsid w:val="4B707271"/>
    <w:rsid w:val="4B9739F7"/>
    <w:rsid w:val="4BD45567"/>
    <w:rsid w:val="4BEE2503"/>
    <w:rsid w:val="4C245A30"/>
    <w:rsid w:val="4CB6685F"/>
    <w:rsid w:val="4CC367FE"/>
    <w:rsid w:val="4D077F3C"/>
    <w:rsid w:val="4D123355"/>
    <w:rsid w:val="4D2A3B31"/>
    <w:rsid w:val="4D312C52"/>
    <w:rsid w:val="4D905305"/>
    <w:rsid w:val="4D964A72"/>
    <w:rsid w:val="4D9C1254"/>
    <w:rsid w:val="4DAE7818"/>
    <w:rsid w:val="4E793892"/>
    <w:rsid w:val="4E800872"/>
    <w:rsid w:val="4EC569ED"/>
    <w:rsid w:val="4ED50EA1"/>
    <w:rsid w:val="4EEC050C"/>
    <w:rsid w:val="4F104EC3"/>
    <w:rsid w:val="4F47354A"/>
    <w:rsid w:val="4F911C54"/>
    <w:rsid w:val="4FD90BCF"/>
    <w:rsid w:val="4FE625E0"/>
    <w:rsid w:val="4FFE6C3E"/>
    <w:rsid w:val="5021480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4013861"/>
    <w:rsid w:val="542A104D"/>
    <w:rsid w:val="54487265"/>
    <w:rsid w:val="544D6070"/>
    <w:rsid w:val="545E28FC"/>
    <w:rsid w:val="54605E1E"/>
    <w:rsid w:val="54B3506A"/>
    <w:rsid w:val="54B40BE7"/>
    <w:rsid w:val="54C61495"/>
    <w:rsid w:val="54CA0D16"/>
    <w:rsid w:val="54DD4057"/>
    <w:rsid w:val="54E7490F"/>
    <w:rsid w:val="54ED3438"/>
    <w:rsid w:val="550764A4"/>
    <w:rsid w:val="550B2BF6"/>
    <w:rsid w:val="55214EB5"/>
    <w:rsid w:val="55364EFD"/>
    <w:rsid w:val="555D4828"/>
    <w:rsid w:val="557A4C8B"/>
    <w:rsid w:val="557B0F98"/>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92B1F"/>
    <w:rsid w:val="5A824FB6"/>
    <w:rsid w:val="5A874767"/>
    <w:rsid w:val="5AAD6F28"/>
    <w:rsid w:val="5AC635BB"/>
    <w:rsid w:val="5AD50114"/>
    <w:rsid w:val="5AD63A24"/>
    <w:rsid w:val="5B2E1A1D"/>
    <w:rsid w:val="5B843A1C"/>
    <w:rsid w:val="5B873E3F"/>
    <w:rsid w:val="5C02690E"/>
    <w:rsid w:val="5C196DA7"/>
    <w:rsid w:val="5C2A048C"/>
    <w:rsid w:val="5C80234E"/>
    <w:rsid w:val="5C8A680C"/>
    <w:rsid w:val="5CFA37F2"/>
    <w:rsid w:val="5D0C4701"/>
    <w:rsid w:val="5D0F0395"/>
    <w:rsid w:val="5D221076"/>
    <w:rsid w:val="5D397964"/>
    <w:rsid w:val="5D5A391C"/>
    <w:rsid w:val="5D5F10C0"/>
    <w:rsid w:val="5D891B7B"/>
    <w:rsid w:val="5DAD38EE"/>
    <w:rsid w:val="5DEB56F0"/>
    <w:rsid w:val="5E006862"/>
    <w:rsid w:val="5E0207B9"/>
    <w:rsid w:val="5E1834A1"/>
    <w:rsid w:val="5E261785"/>
    <w:rsid w:val="5E4A7017"/>
    <w:rsid w:val="5E552BBA"/>
    <w:rsid w:val="5E611C10"/>
    <w:rsid w:val="5EE11F1E"/>
    <w:rsid w:val="5EFC7377"/>
    <w:rsid w:val="5F06174D"/>
    <w:rsid w:val="5F3A3602"/>
    <w:rsid w:val="5F6277C6"/>
    <w:rsid w:val="5F6D0B1D"/>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3DF054D"/>
    <w:rsid w:val="64055776"/>
    <w:rsid w:val="64184872"/>
    <w:rsid w:val="64240056"/>
    <w:rsid w:val="643E143A"/>
    <w:rsid w:val="648B6EEF"/>
    <w:rsid w:val="64C158BF"/>
    <w:rsid w:val="64CE2EAA"/>
    <w:rsid w:val="653C3090"/>
    <w:rsid w:val="65854376"/>
    <w:rsid w:val="658767BE"/>
    <w:rsid w:val="65892531"/>
    <w:rsid w:val="65EA4748"/>
    <w:rsid w:val="66195831"/>
    <w:rsid w:val="662E75B1"/>
    <w:rsid w:val="66342C2E"/>
    <w:rsid w:val="663E784C"/>
    <w:rsid w:val="668B6A45"/>
    <w:rsid w:val="669C4947"/>
    <w:rsid w:val="672F3F24"/>
    <w:rsid w:val="673E055F"/>
    <w:rsid w:val="67551CE3"/>
    <w:rsid w:val="675E5CB8"/>
    <w:rsid w:val="67625388"/>
    <w:rsid w:val="67A22552"/>
    <w:rsid w:val="67B22DCC"/>
    <w:rsid w:val="67BE71AA"/>
    <w:rsid w:val="67D90273"/>
    <w:rsid w:val="67DE5875"/>
    <w:rsid w:val="67E55852"/>
    <w:rsid w:val="67EB1AB4"/>
    <w:rsid w:val="67FA1285"/>
    <w:rsid w:val="68551F4F"/>
    <w:rsid w:val="687C10C9"/>
    <w:rsid w:val="68840C16"/>
    <w:rsid w:val="68876EFB"/>
    <w:rsid w:val="68884654"/>
    <w:rsid w:val="689B3ABC"/>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61E9B"/>
    <w:rsid w:val="6C196F71"/>
    <w:rsid w:val="6C1D0DCA"/>
    <w:rsid w:val="6C226FCB"/>
    <w:rsid w:val="6C31226F"/>
    <w:rsid w:val="6C552F0B"/>
    <w:rsid w:val="6C6116E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43CD3"/>
    <w:rsid w:val="6F8331F1"/>
    <w:rsid w:val="6FAE1A09"/>
    <w:rsid w:val="6FD75BF8"/>
    <w:rsid w:val="707723D0"/>
    <w:rsid w:val="70D93627"/>
    <w:rsid w:val="70F5661B"/>
    <w:rsid w:val="71360107"/>
    <w:rsid w:val="713B688E"/>
    <w:rsid w:val="7143471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E2BEF"/>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C10F6"/>
    <w:rsid w:val="7C853BEA"/>
    <w:rsid w:val="7C881368"/>
    <w:rsid w:val="7CE27788"/>
    <w:rsid w:val="7CF7112C"/>
    <w:rsid w:val="7D0C32F1"/>
    <w:rsid w:val="7D0F408D"/>
    <w:rsid w:val="7D3E59E9"/>
    <w:rsid w:val="7D491C6C"/>
    <w:rsid w:val="7D5429C0"/>
    <w:rsid w:val="7D553C43"/>
    <w:rsid w:val="7D6E6D43"/>
    <w:rsid w:val="7DB57A34"/>
    <w:rsid w:val="7DE60973"/>
    <w:rsid w:val="7DEF0916"/>
    <w:rsid w:val="7E1E5218"/>
    <w:rsid w:val="7E1E5516"/>
    <w:rsid w:val="7E9A4E1F"/>
    <w:rsid w:val="7EA7723A"/>
    <w:rsid w:val="7ED152B8"/>
    <w:rsid w:val="7EF56FBB"/>
    <w:rsid w:val="7F0768EB"/>
    <w:rsid w:val="7F143BEC"/>
    <w:rsid w:val="7F715AF2"/>
    <w:rsid w:val="7F886E69"/>
    <w:rsid w:val="7FC0595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4"/>
    <w:qFormat/>
    <w:uiPriority w:val="99"/>
    <w:pPr>
      <w:jc w:val="left"/>
    </w:pPr>
  </w:style>
  <w:style w:type="paragraph" w:styleId="20">
    <w:name w:val="Salutation"/>
    <w:basedOn w:val="1"/>
    <w:next w:val="1"/>
    <w:link w:val="824"/>
    <w:qFormat/>
    <w:uiPriority w:val="0"/>
    <w:rPr>
      <w:rFonts w:ascii="仿宋_GB2312" w:eastAsia="仿宋_GB2312"/>
      <w:sz w:val="28"/>
      <w:szCs w:val="20"/>
    </w:rPr>
  </w:style>
  <w:style w:type="paragraph" w:styleId="21">
    <w:name w:val="Body Text 3"/>
    <w:basedOn w:val="1"/>
    <w:link w:val="85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3"/>
    <w:qFormat/>
    <w:uiPriority w:val="0"/>
    <w:pPr>
      <w:ind w:firstLine="420"/>
    </w:pPr>
    <w:rPr>
      <w:rFonts w:hAnsi="Calibri" w:cs="Times New Roman"/>
      <w:szCs w:val="20"/>
    </w:rPr>
  </w:style>
  <w:style w:type="paragraph" w:styleId="25">
    <w:name w:val="Body Text Indent"/>
    <w:basedOn w:val="1"/>
    <w:next w:val="26"/>
    <w:link w:val="792"/>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6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8"/>
    <w:qFormat/>
    <w:uiPriority w:val="0"/>
    <w:pPr>
      <w:ind w:left="100" w:leftChars="2500"/>
    </w:pPr>
    <w:rPr>
      <w:rFonts w:ascii="宋体"/>
      <w:sz w:val="24"/>
      <w:szCs w:val="21"/>
      <w:lang w:val="zh-CN"/>
    </w:rPr>
  </w:style>
  <w:style w:type="paragraph" w:styleId="41">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2">
    <w:name w:val="endnote text"/>
    <w:basedOn w:val="1"/>
    <w:link w:val="949"/>
    <w:qFormat/>
    <w:uiPriority w:val="0"/>
    <w:rPr>
      <w:lang w:val="zh-CN"/>
    </w:rPr>
  </w:style>
  <w:style w:type="paragraph" w:styleId="43">
    <w:name w:val="Balloon Text"/>
    <w:basedOn w:val="1"/>
    <w:link w:val="725"/>
    <w:qFormat/>
    <w:uiPriority w:val="0"/>
    <w:rPr>
      <w:sz w:val="18"/>
      <w:szCs w:val="18"/>
    </w:rPr>
  </w:style>
  <w:style w:type="paragraph" w:styleId="44">
    <w:name w:val="footer"/>
    <w:basedOn w:val="1"/>
    <w:link w:val="900"/>
    <w:qFormat/>
    <w:uiPriority w:val="99"/>
    <w:pPr>
      <w:tabs>
        <w:tab w:val="center" w:pos="4153"/>
        <w:tab w:val="right" w:pos="8306"/>
      </w:tabs>
      <w:snapToGrid w:val="0"/>
      <w:jc w:val="left"/>
    </w:pPr>
    <w:rPr>
      <w:sz w:val="18"/>
      <w:szCs w:val="18"/>
    </w:rPr>
  </w:style>
  <w:style w:type="paragraph" w:styleId="45">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5"/>
    <w:link w:val="834"/>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93"/>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8"/>
    <w:qFormat/>
    <w:uiPriority w:val="0"/>
    <w:pPr>
      <w:spacing w:after="120" w:line="480" w:lineRule="auto"/>
    </w:pPr>
  </w:style>
  <w:style w:type="paragraph" w:styleId="61">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12"/>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1"/>
    <w:qFormat/>
    <w:uiPriority w:val="0"/>
    <w:rPr>
      <w:b/>
      <w:bCs/>
    </w:rPr>
  </w:style>
  <w:style w:type="paragraph" w:styleId="65">
    <w:name w:val="Body Text First Indent 2"/>
    <w:basedOn w:val="25"/>
    <w:next w:val="24"/>
    <w:link w:val="66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paragraph" w:customStyle="1" w:styleId="84">
    <w:name w:val="正文首行缩进 21"/>
    <w:basedOn w:val="85"/>
    <w:next w:val="1"/>
    <w:qFormat/>
    <w:uiPriority w:val="0"/>
    <w:pPr>
      <w:ind w:firstLine="210"/>
    </w:pPr>
  </w:style>
  <w:style w:type="paragraph" w:customStyle="1" w:styleId="85">
    <w:name w:val="正文文本缩进1"/>
    <w:basedOn w:val="1"/>
    <w:next w:val="1"/>
    <w:qFormat/>
    <w:uiPriority w:val="0"/>
    <w:pPr>
      <w:widowControl/>
      <w:ind w:left="420"/>
    </w:pPr>
    <w:rPr>
      <w:color w:val="000000"/>
    </w:rPr>
  </w:style>
  <w:style w:type="paragraph" w:customStyle="1" w:styleId="86">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3"/>
    <w:qFormat/>
    <w:uiPriority w:val="0"/>
    <w:pPr>
      <w:spacing w:before="156" w:line="360" w:lineRule="auto"/>
      <w:ind w:firstLine="510" w:firstLineChars="200"/>
    </w:pPr>
    <w:rPr>
      <w:sz w:val="24"/>
      <w:szCs w:val="20"/>
    </w:rPr>
  </w:style>
  <w:style w:type="paragraph" w:customStyle="1" w:styleId="92">
    <w:name w:val="无间隔1"/>
    <w:link w:val="681"/>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9"/>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2"/>
    <w:link w:val="708"/>
    <w:qFormat/>
    <w:uiPriority w:val="0"/>
    <w:pPr>
      <w:snapToGrid w:val="0"/>
      <w:spacing w:before="240" w:after="240" w:line="240" w:lineRule="auto"/>
      <w:jc w:val="center"/>
    </w:pPr>
    <w:rPr>
      <w:rFonts w:ascii="Calibri" w:hAnsi="Calibri" w:eastAsia="宋体"/>
      <w:kern w:val="0"/>
      <w:szCs w:val="20"/>
    </w:rPr>
  </w:style>
  <w:style w:type="paragraph" w:customStyle="1" w:styleId="97">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4"/>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6"/>
    <w:qFormat/>
    <w:uiPriority w:val="0"/>
    <w:pPr>
      <w:adjustRightInd/>
      <w:spacing w:line="360" w:lineRule="auto"/>
      <w:ind w:firstLine="480" w:firstLineChars="200"/>
    </w:pPr>
    <w:rPr>
      <w:kern w:val="0"/>
      <w:sz w:val="24"/>
    </w:rPr>
  </w:style>
  <w:style w:type="paragraph" w:customStyle="1" w:styleId="104">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表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7"/>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9"/>
    <w:qFormat/>
    <w:uiPriority w:val="0"/>
    <w:pPr>
      <w:tabs>
        <w:tab w:val="left" w:pos="2356"/>
      </w:tabs>
    </w:pPr>
  </w:style>
  <w:style w:type="paragraph" w:customStyle="1" w:styleId="109">
    <w:name w:val="样式 标题 4h4H4Fab-4T5Ref Heading 1rh1Heading sqlsect 1.2.3...."/>
    <w:basedOn w:val="5"/>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2"/>
    <w:qFormat/>
    <w:uiPriority w:val="0"/>
    <w:pPr>
      <w:adjustRightInd/>
    </w:pPr>
    <w:rPr>
      <w:rFonts w:ascii="宋体" w:hAnsi="Courier New"/>
      <w:kern w:val="0"/>
      <w:sz w:val="20"/>
      <w:szCs w:val="20"/>
    </w:rPr>
  </w:style>
  <w:style w:type="paragraph" w:customStyle="1" w:styleId="112">
    <w:name w:val="正文说明"/>
    <w:basedOn w:val="1"/>
    <w:link w:val="854"/>
    <w:qFormat/>
    <w:uiPriority w:val="0"/>
    <w:pPr>
      <w:adjustRightInd/>
      <w:spacing w:line="360" w:lineRule="auto"/>
    </w:pPr>
    <w:rPr>
      <w:kern w:val="0"/>
      <w:sz w:val="24"/>
    </w:rPr>
  </w:style>
  <w:style w:type="paragraph" w:customStyle="1" w:styleId="113">
    <w:name w:val="Table Text"/>
    <w:basedOn w:val="1"/>
    <w:link w:val="860"/>
    <w:qFormat/>
    <w:uiPriority w:val="0"/>
    <w:pPr>
      <w:widowControl/>
      <w:spacing w:before="60" w:after="60"/>
      <w:jc w:val="left"/>
    </w:pPr>
    <w:rPr>
      <w:kern w:val="0"/>
      <w:sz w:val="24"/>
    </w:rPr>
  </w:style>
  <w:style w:type="paragraph" w:customStyle="1" w:styleId="114">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2"/>
    <w:qFormat/>
    <w:uiPriority w:val="0"/>
    <w:pPr>
      <w:widowControl/>
      <w:snapToGrid w:val="0"/>
      <w:spacing w:afterLines="50"/>
      <w:ind w:firstLine="200" w:firstLineChars="200"/>
    </w:pPr>
    <w:rPr>
      <w:kern w:val="0"/>
      <w:sz w:val="24"/>
      <w:szCs w:val="20"/>
    </w:rPr>
  </w:style>
  <w:style w:type="paragraph" w:customStyle="1" w:styleId="119">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outlineLvl w:val="5"/>
    </w:pPr>
  </w:style>
  <w:style w:type="paragraph" w:customStyle="1" w:styleId="163">
    <w:name w:val="5级标题"/>
    <w:basedOn w:val="164"/>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50"/>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Lines="50"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60"/>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Lines="0" w:afterLines="0"/>
      <w:ind w:left="1680"/>
      <w:outlineLvl w:val="2"/>
    </w:pPr>
  </w:style>
  <w:style w:type="paragraph" w:customStyle="1" w:styleId="347">
    <w:name w:val="章标题"/>
    <w:next w:val="32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Lines="50"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41"/>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Normal Indent1"/>
    <w:basedOn w:val="1"/>
    <w:qFormat/>
    <w:uiPriority w:val="0"/>
    <w:pPr>
      <w:ind w:firstLine="420"/>
    </w:pPr>
    <w:rPr>
      <w:szCs w:val="20"/>
    </w:rPr>
  </w:style>
  <w:style w:type="paragraph" w:customStyle="1" w:styleId="626">
    <w:name w:val="列出段落6"/>
    <w:basedOn w:val="1"/>
    <w:qFormat/>
    <w:uiPriority w:val="34"/>
    <w:pPr>
      <w:ind w:firstLine="420" w:firstLineChars="200"/>
    </w:p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公文标2级"/>
    <w:basedOn w:val="1"/>
    <w:qFormat/>
    <w:uiPriority w:val="0"/>
    <w:rPr>
      <w:rFonts w:ascii="楷体_GB2312" w:hAnsi="楷体_GB2312" w:eastAsia="楷体" w:cs="楷体"/>
      <w:color w:val="000000"/>
      <w:kern w:val="1"/>
      <w:sz w:val="32"/>
    </w:rPr>
  </w:style>
  <w:style w:type="character" w:customStyle="1" w:styleId="630">
    <w:name w:val="表格非标题文字 Char"/>
    <w:link w:val="86"/>
    <w:qFormat/>
    <w:uiPriority w:val="0"/>
    <w:rPr>
      <w:rFonts w:ascii="Futura Bk" w:hAnsi="Futura Bk"/>
      <w:kern w:val="2"/>
      <w:sz w:val="18"/>
      <w:szCs w:val="21"/>
      <w:lang w:val="en-US" w:eastAsia="zh-CN" w:bidi="ar-SA"/>
    </w:rPr>
  </w:style>
  <w:style w:type="character" w:customStyle="1" w:styleId="631">
    <w:name w:val="*正文 Char"/>
    <w:link w:val="87"/>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88"/>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4"/>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89"/>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0"/>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5"/>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3"/>
    <w:qFormat/>
    <w:uiPriority w:val="0"/>
    <w:rPr>
      <w:rFonts w:ascii="Arial" w:hAnsi="Arial" w:eastAsia="黑体" w:cs="Arial"/>
      <w:snapToGrid w:val="0"/>
      <w:kern w:val="0"/>
      <w:szCs w:val="21"/>
    </w:rPr>
  </w:style>
  <w:style w:type="character" w:customStyle="1" w:styleId="66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1"/>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51"/>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2"/>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7"/>
    <w:qFormat/>
    <w:uiPriority w:val="0"/>
    <w:rPr>
      <w:rFonts w:ascii="Arial" w:hAnsi="Arial" w:eastAsia="黑体"/>
      <w:b/>
      <w:bCs/>
      <w:kern w:val="2"/>
      <w:sz w:val="24"/>
      <w:szCs w:val="24"/>
    </w:rPr>
  </w:style>
  <w:style w:type="character" w:customStyle="1" w:styleId="689">
    <w:name w:val="纯文本 Char_0"/>
    <w:link w:val="93"/>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5"/>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6"/>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40"/>
    <w:qFormat/>
    <w:uiPriority w:val="0"/>
    <w:rPr>
      <w:rFonts w:ascii="宋体"/>
      <w:kern w:val="2"/>
      <w:sz w:val="24"/>
      <w:szCs w:val="21"/>
      <w:lang w:val="zh-CN"/>
    </w:rPr>
  </w:style>
  <w:style w:type="character" w:customStyle="1" w:styleId="719">
    <w:name w:val="标题 9 Char"/>
    <w:link w:val="10"/>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3"/>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7"/>
    <w:qFormat/>
    <w:locked/>
    <w:uiPriority w:val="0"/>
    <w:rPr>
      <w:rFonts w:ascii="Tahoma" w:hAnsi="Tahoma"/>
      <w:sz w:val="24"/>
      <w:szCs w:val="24"/>
    </w:rPr>
  </w:style>
  <w:style w:type="character" w:customStyle="1" w:styleId="729">
    <w:name w:val="正文缩进 Char2"/>
    <w:link w:val="15"/>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98"/>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3"/>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5"/>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0"/>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1"/>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102"/>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3"/>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4"/>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5"/>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5"/>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7"/>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3"/>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63"/>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6"/>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0"/>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61"/>
    <w:qFormat/>
    <w:uiPriority w:val="0"/>
    <w:rPr>
      <w:rFonts w:ascii="黑体" w:hAnsi="Courier New" w:eastAsia="黑体"/>
    </w:rPr>
  </w:style>
  <w:style w:type="character" w:customStyle="1" w:styleId="828">
    <w:name w:val="正文文本 2 Char1"/>
    <w:link w:val="60"/>
    <w:qFormat/>
    <w:uiPriority w:val="0"/>
    <w:rPr>
      <w:kern w:val="2"/>
      <w:sz w:val="21"/>
      <w:szCs w:val="24"/>
    </w:rPr>
  </w:style>
  <w:style w:type="character" w:customStyle="1" w:styleId="829">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8"/>
    <w:qFormat/>
    <w:uiPriority w:val="0"/>
    <w:rPr>
      <w:b/>
      <w:bCs/>
      <w:kern w:val="2"/>
      <w:sz w:val="24"/>
      <w:szCs w:val="24"/>
    </w:rPr>
  </w:style>
  <w:style w:type="character" w:customStyle="1" w:styleId="832">
    <w:name w:val="正文文本缩进 2 Char"/>
    <w:link w:val="41"/>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4"/>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0"/>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1"/>
    <w:qFormat/>
    <w:uiPriority w:val="0"/>
    <w:rPr>
      <w:rFonts w:ascii="宋体" w:hAnsi="Courier New"/>
    </w:rPr>
  </w:style>
  <w:style w:type="character" w:customStyle="1" w:styleId="843">
    <w:name w:val="正文首行缩进 Char"/>
    <w:link w:val="24"/>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5"/>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1"/>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2"/>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3"/>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19"/>
    <w:qFormat/>
    <w:uiPriority w:val="0"/>
    <w:rPr>
      <w:kern w:val="2"/>
      <w:sz w:val="21"/>
      <w:szCs w:val="24"/>
    </w:rPr>
  </w:style>
  <w:style w:type="character" w:customStyle="1" w:styleId="865">
    <w:name w:val="签名 Char"/>
    <w:link w:val="46"/>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4"/>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5"/>
    <w:qFormat/>
    <w:uiPriority w:val="0"/>
    <w:rPr>
      <w:rFonts w:ascii="宋体"/>
    </w:rPr>
  </w:style>
  <w:style w:type="character" w:customStyle="1" w:styleId="876">
    <w:name w:val="标题 8 Char"/>
    <w:link w:val="9"/>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7"/>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6"/>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4"/>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7"/>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5"/>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18"/>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19"/>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0"/>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1"/>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3"/>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2"/>
    <w:qFormat/>
    <w:uiPriority w:val="0"/>
    <w:rPr>
      <w:rFonts w:cs="宋体"/>
      <w:kern w:val="2"/>
      <w:sz w:val="24"/>
    </w:rPr>
  </w:style>
  <w:style w:type="character" w:customStyle="1" w:styleId="94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2">
    <w:name w:val="gray6"/>
    <w:basedOn w:val="73"/>
    <w:qFormat/>
    <w:uiPriority w:val="0"/>
    <w:rPr>
      <w:rFonts w:ascii="Arial" w:hAnsi="Arial" w:eastAsia="黑体" w:cs="Arial"/>
      <w:snapToGrid w:val="0"/>
      <w:kern w:val="0"/>
      <w:szCs w:val="21"/>
    </w:rPr>
  </w:style>
  <w:style w:type="character" w:customStyle="1" w:styleId="943">
    <w:name w:val="hui"/>
    <w:basedOn w:val="73"/>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42"/>
    <w:qFormat/>
    <w:uiPriority w:val="0"/>
    <w:rPr>
      <w:kern w:val="2"/>
      <w:sz w:val="21"/>
      <w:szCs w:val="24"/>
      <w:lang w:val="zh-CN"/>
    </w:rPr>
  </w:style>
  <w:style w:type="character" w:customStyle="1" w:styleId="950">
    <w:name w:val="无间隔 Char"/>
    <w:link w:val="172"/>
    <w:qFormat/>
    <w:uiPriority w:val="99"/>
    <w:rPr>
      <w:kern w:val="2"/>
      <w:sz w:val="21"/>
      <w:szCs w:val="22"/>
    </w:rPr>
  </w:style>
  <w:style w:type="character" w:customStyle="1" w:styleId="951">
    <w:name w:val="标准文本 Char Char"/>
    <w:link w:val="609"/>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png"/><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3"/>
    <customShpInfo spid="_x0000_s2049"/>
    <customShpInfo spid="_x0000_s2050"/>
    <customShpInfo spid="_x0000_s2051"/>
    <customShpInfo spid="_x0000_s2057"/>
    <customShpInfo spid="_x0000_s2058"/>
    <customShpInfo spid="_x0000_s2054"/>
    <customShpInfo spid="_x0000_s2055"/>
    <customShpInfo spid="_x0000_s2056"/>
    <customShpInfo spid="_x0000_s2059"/>
    <customShpInfo spid="_x0000_s2060"/>
    <customShpInfo spid="_x0000_s2061"/>
    <customShpInfo spid="_x0000_s2068"/>
    <customShpInfo spid="_x0000_s2066"/>
    <customShpInfo spid="_x0000_s2067"/>
    <customShpInfo spid="_x0000_s2071"/>
    <customShpInfo spid="_x0000_s2072"/>
    <customShpInfo spid="_x0000_s2069"/>
    <customShpInfo spid="_x0000_s2070"/>
    <customShpInfo spid="_x0000_s2074"/>
    <customShpInfo spid="_x0000_s2073"/>
    <customShpInfo spid="_x0000_s2077"/>
    <customShpInfo spid="_x0000_s2078"/>
    <customShpInfo spid="_x0000_s2075"/>
    <customShpInfo spid="_x0000_s2076"/>
    <customShpInfo spid="_x0000_s1057"/>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36196</Words>
  <Characters>38321</Characters>
  <Lines>325</Lines>
  <Paragraphs>91</Paragraphs>
  <TotalTime>13</TotalTime>
  <ScaleCrop>false</ScaleCrop>
  <LinksUpToDate>false</LinksUpToDate>
  <CharactersWithSpaces>42980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玥</dc:creator>
  <cp:lastModifiedBy>成燕</cp:lastModifiedBy>
  <cp:lastPrinted>2022-01-27T12:24:00Z</cp:lastPrinted>
  <dcterms:modified xsi:type="dcterms:W3CDTF">2022-05-17T12:50:37Z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7587A4D52A724A39A9BD438846C9FBC6</vt:lpwstr>
  </property>
</Properties>
</file>