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both"/>
        <w:rPr>
          <w:rFonts w:ascii="仿宋" w:hAnsi="仿宋" w:eastAsia="仿宋" w:cs="仿宋_GB2312"/>
          <w:b/>
          <w:sz w:val="44"/>
          <w:szCs w:val="44"/>
        </w:rPr>
      </w:pPr>
    </w:p>
    <w:p>
      <w:pPr>
        <w:pStyle w:val="23"/>
        <w:jc w:val="center"/>
      </w:pPr>
      <w:r>
        <w:rPr>
          <w:rFonts w:hint="eastAsia" w:ascii="仿宋" w:hAnsi="仿宋" w:eastAsia="仿宋" w:cs="仿宋_GB2312"/>
          <w:b/>
          <w:bCs/>
          <w:sz w:val="52"/>
          <w:szCs w:val="52"/>
          <w:lang w:eastAsia="zh-CN"/>
        </w:rPr>
        <w:t>不动产登记档案整理扫描</w:t>
      </w:r>
    </w:p>
    <w:p/>
    <w:p>
      <w:pPr>
        <w:pStyle w:val="23"/>
      </w:pPr>
    </w:p>
    <w:p>
      <w:pPr>
        <w:pStyle w:val="24"/>
      </w:pPr>
    </w:p>
    <w:p/>
    <w:p>
      <w:pPr>
        <w:pStyle w:val="204"/>
        <w:ind w:firstLine="460"/>
      </w:pPr>
    </w:p>
    <w:p>
      <w:pPr>
        <w:adjustRightInd/>
        <w:spacing w:line="360" w:lineRule="auto"/>
        <w:jc w:val="center"/>
        <w:rPr>
          <w:rFonts w:ascii="黑体" w:hAnsi="黑体" w:eastAsia="黑体" w:cs="黑体"/>
          <w:sz w:val="84"/>
          <w:szCs w:val="84"/>
        </w:rPr>
      </w:pPr>
      <w:r>
        <w:rPr>
          <w:rFonts w:hint="eastAsia" w:ascii="黑体" w:hAnsi="黑体" w:eastAsia="黑体" w:cs="黑体"/>
          <w:sz w:val="84"/>
          <w:szCs w:val="84"/>
        </w:rPr>
        <w:t>招  标 文 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pStyle w:val="23"/>
      </w:pPr>
    </w:p>
    <w:p>
      <w:pPr>
        <w:snapToGrid w:val="0"/>
        <w:spacing w:line="360" w:lineRule="auto"/>
        <w:jc w:val="center"/>
        <w:rPr>
          <w:rFonts w:hint="eastAsia" w:ascii="仿宋" w:hAnsi="仿宋" w:eastAsia="仿宋" w:cs="仿宋_GB2312"/>
          <w:sz w:val="36"/>
          <w:szCs w:val="36"/>
          <w:lang w:eastAsia="zh-CN"/>
        </w:rPr>
      </w:pPr>
      <w:r>
        <w:rPr>
          <w:rFonts w:hint="eastAsia" w:ascii="仿宋" w:hAnsi="仿宋" w:eastAsia="仿宋" w:cs="仿宋_GB2312"/>
          <w:sz w:val="36"/>
          <w:szCs w:val="36"/>
        </w:rPr>
        <w:t>编号</w:t>
      </w:r>
      <w:r>
        <w:rPr>
          <w:rFonts w:ascii="仿宋" w:hAnsi="仿宋" w:eastAsia="仿宋" w:cs="仿宋_GB2312"/>
          <w:sz w:val="36"/>
          <w:szCs w:val="36"/>
        </w:rPr>
        <w:t>:</w:t>
      </w:r>
      <w:r>
        <w:rPr>
          <w:rFonts w:hint="eastAsia" w:ascii="仿宋" w:hAnsi="仿宋" w:eastAsia="仿宋" w:cs="仿宋_GB2312"/>
          <w:sz w:val="36"/>
          <w:szCs w:val="36"/>
          <w:lang w:eastAsia="zh-CN"/>
        </w:rPr>
        <w:t>YHZFCG2022-083</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pStyle w:val="23"/>
      </w:pPr>
    </w:p>
    <w:p>
      <w:pPr>
        <w:spacing w:line="360" w:lineRule="auto"/>
        <w:jc w:val="both"/>
        <w:rPr>
          <w:rFonts w:ascii="仿宋" w:hAnsi="仿宋" w:eastAsia="仿宋" w:cs="仿宋_GB2312"/>
          <w:sz w:val="24"/>
        </w:rPr>
      </w:pP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 xml:space="preserve"> 招标人：</w:t>
      </w:r>
      <w:r>
        <w:rPr>
          <w:rFonts w:hint="eastAsia" w:ascii="仿宋_GB2312" w:hAnsi="仿宋_GB2312" w:eastAsia="仿宋_GB2312" w:cs="仿宋_GB2312"/>
          <w:bCs/>
          <w:sz w:val="36"/>
          <w:szCs w:val="36"/>
          <w:lang w:eastAsia="zh-CN"/>
        </w:rPr>
        <w:t>杭州市规划和自然资源局余杭分局</w:t>
      </w:r>
      <w:r>
        <w:rPr>
          <w:rFonts w:hint="eastAsia" w:ascii="仿宋_GB2312" w:hAnsi="仿宋_GB2312" w:eastAsia="仿宋_GB2312" w:cs="仿宋_GB2312"/>
          <w:bCs/>
          <w:sz w:val="36"/>
          <w:szCs w:val="36"/>
        </w:rPr>
        <w:t xml:space="preserve"> </w:t>
      </w: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招标代理机构：耀华建设管理有限公司</w:t>
      </w: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二</w:t>
      </w:r>
      <w:r>
        <w:rPr>
          <w:rFonts w:hint="eastAsia" w:ascii="宋体" w:hAnsi="宋体" w:cs="宋体"/>
          <w:bCs/>
          <w:sz w:val="36"/>
          <w:szCs w:val="36"/>
        </w:rPr>
        <w:t>〇</w:t>
      </w:r>
      <w:r>
        <w:rPr>
          <w:rFonts w:hint="eastAsia" w:ascii="仿宋_GB2312" w:hAnsi="仿宋_GB2312" w:eastAsia="仿宋_GB2312" w:cs="仿宋_GB2312"/>
          <w:bCs/>
          <w:sz w:val="36"/>
          <w:szCs w:val="36"/>
        </w:rPr>
        <w:t>二二</w:t>
      </w:r>
      <w:r>
        <w:rPr>
          <w:rFonts w:hint="eastAsia" w:ascii="宋体" w:hAnsi="宋体" w:cs="宋体"/>
          <w:bCs/>
          <w:sz w:val="36"/>
          <w:szCs w:val="36"/>
        </w:rPr>
        <w:t xml:space="preserve"> </w:t>
      </w:r>
      <w:r>
        <w:rPr>
          <w:rFonts w:hint="eastAsia" w:ascii="仿宋_GB2312" w:hAnsi="仿宋_GB2312" w:eastAsia="仿宋_GB2312" w:cs="仿宋_GB2312"/>
          <w:bCs/>
          <w:sz w:val="36"/>
          <w:szCs w:val="36"/>
        </w:rPr>
        <w:t>年</w:t>
      </w:r>
      <w:r>
        <w:rPr>
          <w:rFonts w:hint="eastAsia" w:ascii="仿宋_GB2312" w:hAnsi="仿宋_GB2312" w:eastAsia="仿宋_GB2312" w:cs="仿宋_GB2312"/>
          <w:bCs/>
          <w:sz w:val="36"/>
          <w:szCs w:val="36"/>
          <w:lang w:val="en-US" w:eastAsia="zh-CN"/>
        </w:rPr>
        <w:t xml:space="preserve"> 三 </w:t>
      </w:r>
      <w:r>
        <w:rPr>
          <w:rFonts w:hint="eastAsia" w:ascii="仿宋_GB2312" w:hAnsi="仿宋_GB2312" w:eastAsia="仿宋_GB2312" w:cs="仿宋_GB2312"/>
          <w:bCs/>
          <w:sz w:val="36"/>
          <w:szCs w:val="36"/>
        </w:rPr>
        <w:t xml:space="preserve">月 </w:t>
      </w:r>
      <w:r>
        <w:rPr>
          <w:rFonts w:hint="eastAsia" w:ascii="仿宋_GB2312" w:hAnsi="仿宋_GB2312" w:eastAsia="仿宋_GB2312" w:cs="仿宋_GB2312"/>
          <w:bCs/>
          <w:sz w:val="36"/>
          <w:szCs w:val="36"/>
          <w:lang w:val="en-US" w:eastAsia="zh-CN"/>
        </w:rPr>
        <w:t>二十三</w:t>
      </w:r>
      <w:r>
        <w:rPr>
          <w:rFonts w:hint="eastAsia" w:ascii="仿宋_GB2312" w:hAnsi="仿宋_GB2312" w:eastAsia="仿宋_GB2312" w:cs="仿宋_GB2312"/>
          <w:bCs/>
          <w:sz w:val="36"/>
          <w:szCs w:val="36"/>
        </w:rPr>
        <w:t xml:space="preserve"> 日</w:t>
      </w:r>
    </w:p>
    <w:p>
      <w:pPr>
        <w:spacing w:line="360" w:lineRule="auto"/>
        <w:jc w:val="center"/>
        <w:rPr>
          <w:rFonts w:ascii="仿宋" w:hAnsi="仿宋" w:eastAsia="仿宋" w:cs="仿宋_GB2312"/>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pStyle w:val="62"/>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0" w:name="_Hlt91233176"/>
      <w:bookmarkEnd w:id="0"/>
      <w:bookmarkStart w:id="1"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tabs>
          <w:tab w:val="left" w:pos="3713"/>
        </w:tabs>
        <w:spacing w:line="360" w:lineRule="auto"/>
        <w:ind w:firstLine="549" w:firstLineChars="229"/>
        <w:rPr>
          <w:rFonts w:ascii="仿宋" w:hAnsi="仿宋" w:eastAsia="仿宋" w:cs="仿宋_GB2312"/>
          <w:sz w:val="24"/>
        </w:rPr>
      </w:pPr>
      <w:r>
        <w:rPr>
          <w:rFonts w:hint="eastAsia" w:ascii="仿宋" w:hAnsi="仿宋" w:eastAsia="仿宋" w:cs="仿宋_GB2312"/>
          <w:sz w:val="24"/>
        </w:rPr>
        <w:tab/>
      </w: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2" w:name="第一部分"/>
      <w:r>
        <w:rPr>
          <w:rFonts w:ascii="仿宋" w:hAnsi="仿宋" w:eastAsia="仿宋" w:cs="仿宋_GB2312"/>
          <w:b/>
          <w:sz w:val="36"/>
          <w:szCs w:val="36"/>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w:t>
      </w:r>
      <w:r>
        <w:rPr>
          <w:rFonts w:hint="eastAsia" w:ascii="仿宋_GB2312" w:hAnsi="仿宋" w:eastAsia="仿宋_GB2312" w:cs="仿宋_GB2312"/>
          <w:sz w:val="24"/>
          <w:u w:val="single"/>
          <w:lang w:eastAsia="zh-CN"/>
        </w:rPr>
        <w:t>不动产登记档案整理扫描</w:t>
      </w:r>
      <w:r>
        <w:rPr>
          <w:rFonts w:hint="eastAsia" w:ascii="仿宋_GB2312" w:hAnsi="仿宋" w:eastAsia="仿宋_GB2312" w:cs="仿宋_GB2312"/>
          <w:sz w:val="24"/>
          <w:u w:val="single"/>
        </w:rPr>
        <w:t>）</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04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13</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b/>
          <w:sz w:val="24"/>
          <w:lang w:eastAsia="zh-CN"/>
        </w:rPr>
        <w:t>YHZFCG2022-083</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lang w:eastAsia="zh-CN"/>
        </w:rPr>
        <w:t>不动产登记档案整理扫描</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lang w:val="en-US" w:eastAsia="zh-CN"/>
        </w:rPr>
        <w:t>5969000.00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lang w:val="en-US" w:eastAsia="zh-CN"/>
        </w:rPr>
        <w:t>5969000.00</w:t>
      </w:r>
      <w:r>
        <w:rPr>
          <w:rFonts w:ascii="仿宋_GB2312" w:hAnsi="仿宋" w:eastAsia="仿宋_GB2312"/>
          <w:sz w:val="24"/>
        </w:rPr>
        <w:t xml:space="preserve"> </w:t>
      </w:r>
      <w:r>
        <w:rPr>
          <w:rFonts w:hint="eastAsia" w:ascii="仿宋_GB2312" w:hAnsi="仿宋" w:eastAsia="仿宋_GB2312"/>
          <w:sz w:val="24"/>
        </w:rPr>
        <w:t xml:space="preserve"> </w:t>
      </w:r>
    </w:p>
    <w:p>
      <w:pPr>
        <w:pStyle w:val="15"/>
        <w:spacing w:line="360" w:lineRule="auto"/>
        <w:ind w:firstLine="480"/>
        <w:rPr>
          <w:rFonts w:hint="eastAsia"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lang w:eastAsia="zh-CN"/>
        </w:rPr>
        <w:t>不动产登记档案整理扫描</w:t>
      </w:r>
      <w:r>
        <w:rPr>
          <w:rFonts w:hint="eastAsia" w:ascii="仿宋_GB2312" w:hAnsi="仿宋" w:eastAsia="仿宋_GB2312"/>
          <w:bCs/>
          <w:color w:val="auto"/>
          <w:kern w:val="2"/>
          <w:sz w:val="24"/>
          <w:szCs w:val="24"/>
        </w:rPr>
        <w:t>，详见招标文件第三部分采购需求。</w:t>
      </w:r>
    </w:p>
    <w:p>
      <w:pPr>
        <w:pStyle w:val="15"/>
        <w:spacing w:line="360" w:lineRule="auto"/>
        <w:ind w:firstLine="480"/>
        <w:outlineLvl w:val="2"/>
        <w:rPr>
          <w:rFonts w:hint="eastAsia" w:ascii="仿宋_GB2312" w:hAnsi="仿宋" w:eastAsia="仿宋_GB2312"/>
          <w:b/>
          <w:bCs w:val="0"/>
          <w:color w:val="auto"/>
          <w:kern w:val="28"/>
          <w:sz w:val="24"/>
          <w:szCs w:val="20"/>
        </w:rPr>
      </w:pPr>
      <w:r>
        <w:rPr>
          <w:rFonts w:hint="eastAsia" w:ascii="仿宋_GB2312" w:hAnsi="仿宋" w:eastAsia="仿宋_GB2312"/>
          <w:b/>
          <w:color w:val="auto"/>
          <w:sz w:val="24"/>
        </w:rPr>
        <w:t>合同履约期限：</w:t>
      </w:r>
      <w:r>
        <w:rPr>
          <w:rFonts w:hint="eastAsia" w:ascii="仿宋_GB2312" w:hAnsi="仿宋" w:eastAsia="仿宋_GB2312"/>
          <w:b/>
          <w:bCs w:val="0"/>
          <w:color w:val="auto"/>
          <w:kern w:val="28"/>
          <w:sz w:val="24"/>
          <w:szCs w:val="20"/>
        </w:rPr>
        <w:t>详见招标文件第三部分采购需求。</w:t>
      </w:r>
    </w:p>
    <w:p>
      <w:pPr>
        <w:pStyle w:val="15"/>
        <w:spacing w:line="360" w:lineRule="auto"/>
        <w:ind w:firstLine="480"/>
        <w:rPr>
          <w:rFonts w:hint="eastAsia" w:ascii="仿宋_GB2312" w:hAnsi="仿宋" w:eastAsia="仿宋_GB2312"/>
          <w:b/>
          <w:color w:val="auto"/>
          <w:sz w:val="24"/>
        </w:rPr>
      </w:pPr>
      <w:r>
        <w:rPr>
          <w:rFonts w:hint="eastAsia" w:ascii="仿宋_GB2312" w:hAnsi="仿宋" w:eastAsia="仿宋_GB2312"/>
          <w:b/>
          <w:color w:val="auto"/>
          <w:sz w:val="24"/>
        </w:rPr>
        <w:t>本项目接受联合体投标：</w:t>
      </w:r>
      <w:r>
        <w:rPr>
          <w:rFonts w:hint="eastAsia" w:ascii="仿宋_GB2312" w:hAnsi="仿宋" w:eastAsia="仿宋_GB2312" w:cs="Times New Roman"/>
          <w:b/>
          <w:color w:val="auto"/>
          <w:kern w:val="28"/>
          <w:sz w:val="24"/>
        </w:rPr>
        <w:sym w:font="Wingdings" w:char="00A8"/>
      </w:r>
      <w:r>
        <w:rPr>
          <w:rFonts w:hint="eastAsia" w:ascii="仿宋_GB2312" w:hAnsi="仿宋" w:eastAsia="仿宋_GB2312"/>
          <w:b/>
          <w:color w:val="auto"/>
          <w:sz w:val="24"/>
        </w:rPr>
        <w:t>是，</w:t>
      </w:r>
      <w:r>
        <w:rPr>
          <w:rFonts w:hint="eastAsia" w:ascii="仿宋_GB2312" w:hAnsi="仿宋" w:eastAsia="仿宋_GB2312" w:cs="Times New Roman"/>
          <w:b/>
          <w:color w:val="auto"/>
          <w:kern w:val="28"/>
          <w:sz w:val="24"/>
        </w:rPr>
        <w:sym w:font="Wingdings" w:char="00FE"/>
      </w:r>
      <w:r>
        <w:rPr>
          <w:rFonts w:hint="eastAsia" w:ascii="仿宋_GB2312" w:hAnsi="仿宋" w:eastAsia="仿宋_GB2312"/>
          <w:b/>
          <w:color w:val="auto"/>
          <w:sz w:val="24"/>
        </w:rPr>
        <w:t>否</w:t>
      </w:r>
      <w:r>
        <w:rPr>
          <w:rFonts w:hint="eastAsia" w:ascii="仿宋_GB2312" w:hAnsi="仿宋" w:eastAsia="仿宋_GB2312" w:cs="Times New Roman"/>
          <w:b/>
          <w:color w:val="auto"/>
          <w:kern w:val="28"/>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hint="eastAsia"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b/>
          <w:color w:val="auto"/>
          <w:sz w:val="24"/>
        </w:rPr>
        <w:t>本项目</w:t>
      </w:r>
      <w:r>
        <w:rPr>
          <w:rFonts w:hint="eastAsia" w:ascii="仿宋_GB2312" w:hAnsi="仿宋" w:eastAsia="仿宋_GB2312"/>
          <w:b/>
          <w:color w:val="auto"/>
          <w:sz w:val="24"/>
          <w:lang w:val="en-US" w:eastAsia="zh-CN"/>
        </w:rPr>
        <w:t>不</w:t>
      </w:r>
      <w:r>
        <w:rPr>
          <w:rFonts w:hint="eastAsia" w:ascii="仿宋_GB2312" w:hAnsi="仿宋" w:eastAsia="仿宋_GB2312"/>
          <w:b/>
          <w:color w:val="auto"/>
          <w:sz w:val="24"/>
        </w:rPr>
        <w:t>接受联合体投标</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04</w:t>
      </w:r>
      <w:r>
        <w:rPr>
          <w:rFonts w:ascii="仿宋_GB2312" w:hAnsi="仿宋" w:eastAsia="仿宋_GB2312"/>
          <w:sz w:val="24"/>
          <w:u w:val="single"/>
        </w:rPr>
        <w:t>月</w:t>
      </w:r>
      <w:r>
        <w:rPr>
          <w:rFonts w:hint="eastAsia" w:ascii="仿宋_GB2312" w:hAnsi="仿宋" w:eastAsia="仿宋_GB2312"/>
          <w:sz w:val="24"/>
          <w:u w:val="single"/>
          <w:lang w:val="en-US" w:eastAsia="zh-CN"/>
        </w:rPr>
        <w:t>13</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 xml:space="preserve">2022 </w:t>
      </w:r>
      <w:r>
        <w:rPr>
          <w:rFonts w:ascii="仿宋_GB2312" w:hAnsi="仿宋" w:eastAsia="仿宋_GB2312"/>
          <w:sz w:val="24"/>
          <w:u w:val="single"/>
        </w:rPr>
        <w:t>年</w:t>
      </w:r>
      <w:r>
        <w:rPr>
          <w:rFonts w:hint="eastAsia" w:ascii="仿宋_GB2312" w:hAnsi="仿宋" w:eastAsia="仿宋_GB2312"/>
          <w:sz w:val="24"/>
          <w:u w:val="single"/>
          <w:lang w:val="en-US" w:eastAsia="zh-CN"/>
        </w:rPr>
        <w:t>04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13</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r>
        <w:rPr>
          <w:rFonts w:hint="eastAsia" w:ascii="仿宋_GB2312" w:hAnsi="仿宋" w:eastAsia="仿宋_GB2312"/>
          <w:sz w:val="24"/>
          <w:highlight w:val="none"/>
          <w:lang w:val="en-US" w:eastAsia="zh-CN"/>
        </w:rPr>
        <w:t>线上投标响应</w:t>
      </w:r>
      <w:r>
        <w:rPr>
          <w:rFonts w:hint="eastAsia" w:ascii="仿宋_GB2312" w:hAnsi="仿宋" w:eastAsia="仿宋_GB2312"/>
          <w:sz w:val="24"/>
        </w:rPr>
        <w:t>；</w:t>
      </w:r>
    </w:p>
    <w:p>
      <w:pPr>
        <w:spacing w:line="360" w:lineRule="auto"/>
        <w:ind w:firstLine="482" w:firstLineChars="200"/>
        <w:rPr>
          <w:rFonts w:ascii="仿宋_GB2312" w:hAnsi="仿宋" w:eastAsia="仿宋_GB2312"/>
          <w:bCs/>
          <w:sz w:val="24"/>
          <w:u w:val="none"/>
        </w:rPr>
      </w:pPr>
      <w:r>
        <w:rPr>
          <w:rFonts w:hint="eastAsia" w:ascii="仿宋_GB2312" w:hAnsi="仿宋" w:eastAsia="仿宋_GB2312"/>
          <w:b/>
          <w:sz w:val="24"/>
        </w:rPr>
        <w:t>开标时间：</w:t>
      </w:r>
      <w:r>
        <w:rPr>
          <w:rFonts w:hint="eastAsia" w:ascii="仿宋_GB2312" w:hAnsi="仿宋" w:eastAsia="仿宋_GB2312"/>
          <w:sz w:val="24"/>
          <w:u w:val="single"/>
        </w:rPr>
        <w:t xml:space="preserve">2022 </w:t>
      </w:r>
      <w:r>
        <w:rPr>
          <w:rFonts w:ascii="仿宋_GB2312" w:hAnsi="仿宋" w:eastAsia="仿宋_GB2312"/>
          <w:sz w:val="24"/>
          <w:u w:val="single"/>
        </w:rPr>
        <w:t>年</w:t>
      </w:r>
      <w:r>
        <w:rPr>
          <w:rFonts w:hint="eastAsia" w:ascii="仿宋_GB2312" w:hAnsi="仿宋" w:eastAsia="仿宋_GB2312"/>
          <w:sz w:val="24"/>
          <w:u w:val="single"/>
          <w:lang w:val="en-US" w:eastAsia="zh-CN"/>
        </w:rPr>
        <w:t>04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13</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sz w:val="24"/>
        </w:rPr>
        <w:t>（北京时间）</w:t>
      </w:r>
      <w:r>
        <w:rPr>
          <w:rFonts w:hint="eastAsia" w:ascii="仿宋_GB2312" w:hAnsi="仿宋" w:eastAsia="仿宋_GB2312"/>
          <w:bCs/>
          <w:sz w:val="24"/>
          <w:u w:val="none"/>
        </w:rPr>
        <w:t xml:space="preserve"> ；</w:t>
      </w:r>
    </w:p>
    <w:p>
      <w:pPr>
        <w:spacing w:line="360" w:lineRule="auto"/>
        <w:ind w:firstLine="482" w:firstLineChars="200"/>
        <w:rPr>
          <w:rFonts w:hint="eastAsia"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r>
        <w:rPr>
          <w:rFonts w:ascii="仿宋_GB2312" w:hAnsi="仿宋" w:eastAsia="仿宋_GB2312"/>
          <w:sz w:val="24"/>
          <w:highlight w:val="none"/>
        </w:rPr>
        <w:t>开标大厅等候</w:t>
      </w:r>
      <w:r>
        <w:rPr>
          <w:rFonts w:hint="eastAsia" w:ascii="仿宋_GB2312" w:hAnsi="仿宋" w:eastAsia="仿宋_GB2312"/>
          <w:sz w:val="24"/>
          <w:highlight w:val="none"/>
          <w:lang w:val="en-US" w:eastAsia="zh-CN"/>
        </w:rPr>
        <w:t>开标</w:t>
      </w:r>
      <w:r>
        <w:rPr>
          <w:rFonts w:ascii="仿宋_GB2312" w:hAnsi="仿宋" w:eastAsia="仿宋_GB2312"/>
          <w:sz w:val="24"/>
          <w:highlight w:val="none"/>
        </w:rPr>
        <w:t>解密</w:t>
      </w:r>
      <w:r>
        <w:rPr>
          <w:rFonts w:hint="eastAsia" w:ascii="仿宋_GB2312" w:hAnsi="仿宋" w:eastAsia="仿宋_GB2312"/>
          <w:sz w:val="24"/>
        </w:rPr>
        <w:t>。</w:t>
      </w:r>
    </w:p>
    <w:p>
      <w:pPr>
        <w:pStyle w:val="23"/>
        <w:rPr>
          <w:rFonts w:hint="default" w:eastAsia="仿宋_GB2312"/>
          <w:lang w:val="en-US" w:eastAsia="zh-CN"/>
        </w:rPr>
      </w:pPr>
      <w:r>
        <w:rPr>
          <w:rFonts w:hint="eastAsia" w:ascii="仿宋_GB2312" w:hAnsi="仿宋" w:eastAsia="仿宋_GB2312"/>
          <w:sz w:val="24"/>
          <w:lang w:val="en-US" w:eastAsia="zh-CN"/>
        </w:rPr>
        <w:t xml:space="preserve">    </w:t>
      </w:r>
      <w:r>
        <w:rPr>
          <w:rFonts w:hint="eastAsia" w:eastAsia="仿宋_GB2312"/>
          <w:lang w:val="en-US" w:eastAsia="zh-CN"/>
        </w:rPr>
        <w:t>组织机构线下开标地点：</w:t>
      </w:r>
      <w:r>
        <w:rPr>
          <w:rFonts w:hint="eastAsia" w:ascii="仿宋_GB2312" w:hAnsi="仿宋_GB2312" w:eastAsia="仿宋_GB2312" w:cs="仿宋_GB2312"/>
          <w:sz w:val="24"/>
        </w:rPr>
        <w:t>杭州市临平区南苑街道华元欢乐城-华元大厦20层20</w:t>
      </w:r>
      <w:r>
        <w:rPr>
          <w:rFonts w:hint="eastAsia" w:ascii="仿宋_GB2312" w:hAnsi="仿宋_GB2312" w:eastAsia="仿宋_GB2312" w:cs="仿宋_GB2312"/>
          <w:sz w:val="24"/>
          <w:lang w:val="en-US" w:eastAsia="zh-CN"/>
        </w:rPr>
        <w:t>27会议室。</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pStyle w:val="966"/>
        <w:spacing w:line="360" w:lineRule="auto"/>
        <w:ind w:firstLine="480" w:firstLineChars="200"/>
        <w:rPr>
          <w:rFonts w:hint="eastAsia" w:ascii="仿宋_GB2312" w:hAnsi="仿宋" w:eastAsia="仿宋_GB2312" w:cs="仿宋_GB2312"/>
          <w:kern w:val="2"/>
          <w:szCs w:val="24"/>
          <w:lang w:val="en-US" w:eastAsia="zh-CN"/>
        </w:rPr>
      </w:pPr>
      <w:r>
        <w:rPr>
          <w:rFonts w:hint="eastAsia" w:ascii="仿宋_GB2312" w:hAnsi="仿宋" w:eastAsia="仿宋_GB2312" w:cs="仿宋_GB2312"/>
          <w:kern w:val="2"/>
          <w:sz w:val="24"/>
          <w:szCs w:val="24"/>
          <w:lang w:val="en-US" w:eastAsia="zh-CN"/>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textAlignment w:val="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keepNext w:val="0"/>
        <w:keepLines w:val="0"/>
        <w:pageBreakBefore w:val="0"/>
        <w:kinsoku/>
        <w:wordWrap/>
        <w:overflowPunct/>
        <w:topLinePunct w:val="0"/>
        <w:autoSpaceDE/>
        <w:autoSpaceDN/>
        <w:bidi w:val="0"/>
        <w:spacing w:line="336" w:lineRule="auto"/>
        <w:textAlignment w:val="auto"/>
        <w:rPr>
          <w:rFonts w:ascii="仿宋_GB2312" w:hAnsi="仿宋" w:eastAsia="仿宋_GB2312"/>
          <w:b/>
          <w:bCs/>
          <w:sz w:val="24"/>
        </w:rPr>
      </w:pPr>
      <w:r>
        <w:rPr>
          <w:rFonts w:ascii="仿宋_GB2312" w:hAnsi="仿宋" w:eastAsia="仿宋_GB2312"/>
          <w:b/>
          <w:bCs/>
          <w:sz w:val="24"/>
        </w:rPr>
        <w:t xml:space="preserve">    1.采购人信息</w:t>
      </w:r>
    </w:p>
    <w:p>
      <w:pPr>
        <w:keepNext w:val="0"/>
        <w:keepLines w:val="0"/>
        <w:pageBreakBefore w:val="0"/>
        <w:kinsoku/>
        <w:wordWrap/>
        <w:overflowPunct/>
        <w:topLinePunct w:val="0"/>
        <w:autoSpaceDE/>
        <w:autoSpaceDN/>
        <w:bidi w:val="0"/>
        <w:spacing w:line="336" w:lineRule="auto"/>
        <w:ind w:firstLine="480" w:firstLineChars="200"/>
        <w:textAlignment w:val="auto"/>
        <w:rPr>
          <w:rFonts w:hint="default" w:ascii="仿宋_GB2312" w:hAnsi="仿宋" w:eastAsia="仿宋_GB2312"/>
          <w:sz w:val="24"/>
          <w:lang w:val="en-US" w:eastAsia="zh-CN"/>
        </w:rPr>
      </w:pPr>
      <w:bookmarkStart w:id="10" w:name="_Toc31571"/>
      <w:bookmarkStart w:id="11" w:name="_Toc28359009"/>
      <w:bookmarkStart w:id="12" w:name="_Toc28359086"/>
      <w:r>
        <w:rPr>
          <w:rFonts w:ascii="仿宋_GB2312" w:hAnsi="仿宋" w:eastAsia="仿宋_GB2312"/>
          <w:sz w:val="24"/>
        </w:rPr>
        <w:t>名称：</w:t>
      </w:r>
      <w:r>
        <w:rPr>
          <w:rFonts w:hint="eastAsia" w:ascii="仿宋_GB2312" w:hAnsi="仿宋" w:eastAsia="仿宋_GB2312"/>
          <w:sz w:val="24"/>
          <w:lang w:val="en-US" w:eastAsia="zh-CN"/>
        </w:rPr>
        <w:t>杭州市规划和自然资源局余杭分局</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 w:eastAsia="仿宋_GB2312"/>
          <w:sz w:val="24"/>
          <w:highlight w:val="none"/>
        </w:rPr>
      </w:pPr>
      <w:r>
        <w:rPr>
          <w:rFonts w:hint="eastAsia" w:ascii="仿宋_GB2312" w:hAnsi="仿宋" w:eastAsia="仿宋_GB2312"/>
          <w:sz w:val="24"/>
          <w:highlight w:val="none"/>
          <w:lang w:eastAsia="zh-CN"/>
        </w:rPr>
        <w:t>地址：杭州市余杭区溪沁路8号中国电信浙江创新产业园1号楼5楼。</w:t>
      </w:r>
    </w:p>
    <w:p>
      <w:pPr>
        <w:keepNext w:val="0"/>
        <w:keepLines w:val="0"/>
        <w:pageBreakBefore w:val="0"/>
        <w:kinsoku/>
        <w:wordWrap/>
        <w:overflowPunct/>
        <w:topLinePunct w:val="0"/>
        <w:autoSpaceDE/>
        <w:autoSpaceDN/>
        <w:bidi w:val="0"/>
        <w:spacing w:line="336" w:lineRule="auto"/>
        <w:ind w:firstLine="48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项目联系人（询问）：</w:t>
      </w:r>
      <w:r>
        <w:rPr>
          <w:rFonts w:hint="eastAsia" w:ascii="仿宋_GB2312" w:hAnsi="仿宋_GB2312" w:eastAsia="仿宋_GB2312" w:cs="仿宋_GB2312"/>
          <w:color w:val="000000"/>
          <w:sz w:val="24"/>
          <w:highlight w:val="none"/>
          <w:lang w:val="en-US" w:eastAsia="zh-CN"/>
        </w:rPr>
        <w:t>王俊</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 xml:space="preserve"> 项目联系方式（询问）：</w:t>
      </w:r>
      <w:r>
        <w:rPr>
          <w:rFonts w:hint="eastAsia" w:ascii="仿宋_GB2312" w:hAnsi="仿宋_GB2312" w:eastAsia="仿宋_GB2312" w:cs="仿宋_GB2312"/>
          <w:sz w:val="24"/>
          <w:highlight w:val="none"/>
          <w:lang w:val="en-US" w:eastAsia="zh-CN"/>
        </w:rPr>
        <w:t>0571-85258525</w:t>
      </w:r>
    </w:p>
    <w:p>
      <w:pPr>
        <w:keepNext w:val="0"/>
        <w:keepLines w:val="0"/>
        <w:pageBreakBefore w:val="0"/>
        <w:kinsoku/>
        <w:wordWrap/>
        <w:overflowPunct/>
        <w:topLinePunct w:val="0"/>
        <w:autoSpaceDE/>
        <w:autoSpaceDN/>
        <w:bidi w:val="0"/>
        <w:spacing w:line="336" w:lineRule="auto"/>
        <w:textAlignment w:val="auto"/>
        <w:rPr>
          <w:rFonts w:hint="eastAsia" w:ascii="仿宋_GB2312" w:hAnsi="仿宋_GB2312" w:eastAsia="仿宋_GB2312" w:cs="仿宋_GB2312"/>
          <w:highlight w:val="none"/>
        </w:rPr>
      </w:pPr>
      <w:r>
        <w:rPr>
          <w:rFonts w:hint="eastAsia" w:ascii="仿宋_GB2312" w:hAnsi="仿宋_GB2312" w:eastAsia="仿宋_GB2312" w:cs="仿宋_GB2312"/>
          <w:sz w:val="24"/>
          <w:highlight w:val="none"/>
        </w:rPr>
        <w:t xml:space="preserve">    质疑联系人：</w:t>
      </w:r>
      <w:r>
        <w:rPr>
          <w:rFonts w:hint="eastAsia" w:ascii="仿宋_GB2312" w:hAnsi="仿宋_GB2312" w:eastAsia="仿宋_GB2312" w:cs="仿宋_GB2312"/>
          <w:sz w:val="24"/>
          <w:highlight w:val="none"/>
          <w:lang w:val="en-US" w:eastAsia="zh-CN"/>
        </w:rPr>
        <w:t xml:space="preserve">郭超              </w:t>
      </w:r>
      <w:r>
        <w:rPr>
          <w:rFonts w:hint="eastAsia" w:ascii="仿宋_GB2312" w:hAnsi="仿宋_GB2312" w:eastAsia="仿宋_GB2312" w:cs="仿宋_GB2312"/>
          <w:sz w:val="24"/>
          <w:highlight w:val="none"/>
        </w:rPr>
        <w:t>质疑联系方式：</w:t>
      </w:r>
      <w:r>
        <w:rPr>
          <w:rFonts w:hint="eastAsia" w:ascii="仿宋_GB2312" w:hAnsi="仿宋_GB2312" w:eastAsia="仿宋_GB2312" w:cs="仿宋_GB2312"/>
          <w:color w:val="000000"/>
          <w:sz w:val="24"/>
          <w:highlight w:val="none"/>
          <w:lang w:val="en-US" w:eastAsia="zh-CN"/>
        </w:rPr>
        <w:t>0571-89392767</w:t>
      </w:r>
    </w:p>
    <w:p>
      <w:pPr>
        <w:keepNext w:val="0"/>
        <w:keepLines w:val="0"/>
        <w:pageBreakBefore w:val="0"/>
        <w:widowControl/>
        <w:kinsoku/>
        <w:wordWrap/>
        <w:overflowPunct/>
        <w:topLinePunct w:val="0"/>
        <w:autoSpaceDE/>
        <w:autoSpaceDN/>
        <w:bidi w:val="0"/>
        <w:spacing w:line="336" w:lineRule="auto"/>
        <w:ind w:firstLine="482" w:firstLineChars="200"/>
        <w:jc w:val="left"/>
        <w:textAlignment w:val="auto"/>
        <w:outlineLvl w:val="1"/>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2.采购代理机构信息</w:t>
      </w:r>
      <w:bookmarkEnd w:id="10"/>
      <w:bookmarkEnd w:id="11"/>
      <w:bookmarkEnd w:id="12"/>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名称：耀华建设管理有限公司</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临平地址：杭州市临平区南苑街道华元欢乐城-华元大厦20层2022办公室。</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余杭地址：杭州市余杭区联创街77号汇银中心3幢2单元（整幢）。</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sz w:val="24"/>
        </w:rPr>
        <w:t>项目联系人（</w:t>
      </w:r>
      <w:r>
        <w:rPr>
          <w:rFonts w:hint="eastAsia" w:ascii="仿宋_GB2312" w:hAnsi="仿宋_GB2312" w:eastAsia="仿宋_GB2312" w:cs="仿宋_GB2312"/>
          <w:color w:val="000000"/>
          <w:sz w:val="24"/>
        </w:rPr>
        <w:t>询问）：</w:t>
      </w:r>
      <w:r>
        <w:rPr>
          <w:rFonts w:hint="eastAsia" w:ascii="仿宋_GB2312" w:hAnsi="仿宋_GB2312" w:eastAsia="仿宋_GB2312" w:cs="仿宋_GB2312"/>
          <w:color w:val="000000"/>
          <w:sz w:val="24"/>
          <w:lang w:val="en-US" w:eastAsia="zh-CN"/>
        </w:rPr>
        <w:t>周聪聪</w:t>
      </w:r>
      <w:r>
        <w:rPr>
          <w:rFonts w:hint="eastAsia" w:ascii="仿宋_GB2312" w:hAnsi="仿宋_GB2312" w:eastAsia="仿宋_GB2312" w:cs="仿宋_GB2312"/>
          <w:color w:val="000000"/>
          <w:sz w:val="24"/>
        </w:rPr>
        <w:t xml:space="preserve">          联系电话：0571-86320706</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color w:val="000000"/>
          <w:sz w:val="24"/>
        </w:rPr>
        <w:t xml:space="preserve">质疑联系人：单成燕                   </w:t>
      </w:r>
      <w:r>
        <w:rPr>
          <w:rFonts w:hint="eastAsia" w:ascii="仿宋_GB2312" w:hAnsi="仿宋_GB2312" w:eastAsia="仿宋_GB2312" w:cs="仿宋_GB2312"/>
          <w:sz w:val="24"/>
        </w:rPr>
        <w:t xml:space="preserve">联系电话：0571-86320727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18072887619</w:t>
      </w:r>
    </w:p>
    <w:p>
      <w:pPr>
        <w:keepNext w:val="0"/>
        <w:keepLines w:val="0"/>
        <w:pageBreakBefore w:val="0"/>
        <w:kinsoku/>
        <w:wordWrap/>
        <w:overflowPunct/>
        <w:topLinePunct w:val="0"/>
        <w:autoSpaceDE/>
        <w:autoSpaceDN/>
        <w:bidi w:val="0"/>
        <w:snapToGrid w:val="0"/>
        <w:spacing w:line="336" w:lineRule="auto"/>
        <w:ind w:firstLine="482" w:firstLineChars="200"/>
        <w:textAlignment w:val="auto"/>
        <w:outlineLvl w:val="1"/>
        <w:rPr>
          <w:rFonts w:ascii="仿宋_GB2312" w:hAnsi="仿宋_GB2312" w:eastAsia="仿宋_GB2312" w:cs="仿宋_GB2312"/>
          <w:b/>
          <w:sz w:val="24"/>
        </w:rPr>
      </w:pPr>
      <w:bookmarkStart w:id="13" w:name="_Toc28359010"/>
      <w:bookmarkStart w:id="14" w:name="_Toc28359087"/>
      <w:bookmarkStart w:id="15" w:name="_Toc19946"/>
      <w:r>
        <w:rPr>
          <w:rFonts w:hint="eastAsia" w:ascii="仿宋_GB2312" w:hAnsi="仿宋_GB2312" w:eastAsia="仿宋_GB2312" w:cs="仿宋_GB2312"/>
          <w:b/>
          <w:sz w:val="24"/>
        </w:rPr>
        <w:t>3.</w:t>
      </w:r>
      <w:bookmarkEnd w:id="13"/>
      <w:bookmarkEnd w:id="14"/>
      <w:r>
        <w:rPr>
          <w:rFonts w:hint="eastAsia" w:ascii="仿宋_GB2312" w:hAnsi="仿宋_GB2312" w:eastAsia="仿宋_GB2312" w:cs="仿宋_GB2312"/>
          <w:b/>
          <w:sz w:val="24"/>
        </w:rPr>
        <w:t>同级政府采购监督管理部门</w:t>
      </w:r>
      <w:bookmarkEnd w:id="15"/>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名称：杭州市余杭区财政局</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地址：杭州市余杭区五常街道溪沁路8号中国电信浙江创新园1号楼。</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联系人：杜国强        联系电话：0571-88728858</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监督投诉电话：0571-88728858</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jc w:val="center"/>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ind w:firstLine="240" w:firstLineChars="100"/>
              <w:jc w:val="left"/>
              <w:textAlignment w:val="auto"/>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snapToGrid w:val="0"/>
              <w:spacing w:line="240" w:lineRule="auto"/>
              <w:ind w:firstLine="280" w:firstLineChars="100"/>
              <w:jc w:val="left"/>
              <w:textAlignment w:val="auto"/>
              <w:rPr>
                <w:rFonts w:ascii="仿宋_GB2312" w:hAnsi="仿宋" w:eastAsia="仿宋_GB2312" w:cs="仿宋_GB2312"/>
                <w:b/>
                <w:kern w:val="0"/>
                <w:sz w:val="24"/>
                <w:lang w:val="zh-CN"/>
              </w:rPr>
            </w:pPr>
            <w:r>
              <w:rPr>
                <w:rFonts w:hint="eastAsia" w:ascii="仿宋_GB2312" w:hAnsi="仿宋" w:eastAsia="仿宋_GB2312"/>
                <w:sz w:val="28"/>
                <w:szCs w:val="28"/>
              </w:rPr>
              <w:t>▲</w:t>
            </w:r>
            <w:r>
              <w:rPr>
                <w:rFonts w:hint="eastAsia" w:ascii="仿宋_GB2312" w:hAnsi="仿宋" w:eastAsia="仿宋_GB2312" w:cs="仿宋_GB2312"/>
                <w:b/>
                <w:kern w:val="0"/>
                <w:sz w:val="24"/>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line="240" w:lineRule="auto"/>
              <w:ind w:firstLine="241" w:firstLineChars="100"/>
              <w:jc w:val="left"/>
              <w:textAlignment w:val="auto"/>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en-US" w:eastAsia="zh-CN"/>
              </w:rPr>
              <w:t>1.1</w:t>
            </w:r>
            <w:r>
              <w:rPr>
                <w:rFonts w:hint="eastAsia" w:ascii="仿宋_GB2312" w:hAnsi="仿宋" w:eastAsia="仿宋_GB2312" w:cs="仿宋_GB2312"/>
                <w:b/>
                <w:kern w:val="0"/>
                <w:sz w:val="24"/>
                <w:lang w:val="zh-CN"/>
              </w:rPr>
              <w:t>采购预算</w:t>
            </w:r>
            <w:r>
              <w:rPr>
                <w:rFonts w:hint="eastAsia" w:ascii="仿宋_GB2312" w:hAnsi="仿宋" w:eastAsia="仿宋_GB2312" w:cs="仿宋_GB2312"/>
                <w:b/>
                <w:kern w:val="0"/>
                <w:sz w:val="24"/>
                <w:lang w:val="zh-CN" w:eastAsia="zh-CN"/>
              </w:rPr>
              <w:t>/</w:t>
            </w:r>
            <w:r>
              <w:rPr>
                <w:rFonts w:hint="eastAsia" w:ascii="仿宋_GB2312" w:hAnsi="仿宋" w:eastAsia="仿宋_GB2312" w:cs="仿宋_GB2312"/>
                <w:b/>
                <w:kern w:val="0"/>
                <w:sz w:val="24"/>
                <w:lang w:val="zh-CN"/>
              </w:rPr>
              <w:t>最高限价：</w:t>
            </w:r>
            <w:r>
              <w:rPr>
                <w:rFonts w:hint="eastAsia" w:ascii="仿宋_GB2312" w:hAnsi="仿宋" w:eastAsia="仿宋_GB2312" w:cs="仿宋_GB2312"/>
                <w:b/>
                <w:kern w:val="0"/>
                <w:sz w:val="24"/>
                <w:lang w:val="en-US" w:eastAsia="zh-CN"/>
              </w:rPr>
              <w:t>596.9万元，综合单价最高限价0.47元/页，</w:t>
            </w:r>
            <w:r>
              <w:rPr>
                <w:rFonts w:hint="eastAsia" w:ascii="仿宋_GB2312" w:hAnsi="仿宋" w:eastAsia="仿宋_GB2312" w:cs="仿宋_GB2312"/>
                <w:b/>
                <w:kern w:val="0"/>
                <w:sz w:val="24"/>
                <w:lang w:val="zh-CN"/>
              </w:rPr>
              <w:t>投标人针对本项目的投标报价不得超过采购预算金额和单价最高限价，否则其投标无效。</w:t>
            </w:r>
          </w:p>
          <w:p>
            <w:pPr>
              <w:keepNext w:val="0"/>
              <w:keepLines w:val="0"/>
              <w:pageBreakBefore w:val="0"/>
              <w:widowControl w:val="0"/>
              <w:kinsoku/>
              <w:wordWrap/>
              <w:overflowPunct/>
              <w:topLinePunct w:val="0"/>
              <w:autoSpaceDE/>
              <w:autoSpaceDN/>
              <w:bidi w:val="0"/>
              <w:snapToGrid w:val="0"/>
              <w:spacing w:line="240" w:lineRule="auto"/>
              <w:ind w:firstLine="240" w:firstLineChars="100"/>
              <w:jc w:val="left"/>
              <w:textAlignment w:val="auto"/>
              <w:rPr>
                <w:rFonts w:ascii="仿宋_GB2312" w:hAnsi="仿宋" w:eastAsia="仿宋_GB2312" w:cs="仿宋_GB2312"/>
                <w:b w:val="0"/>
                <w:bCs/>
                <w:sz w:val="24"/>
              </w:rPr>
            </w:pPr>
            <w:r>
              <w:rPr>
                <w:rFonts w:hint="eastAsia" w:ascii="仿宋_GB2312" w:hAnsi="仿宋" w:eastAsia="仿宋_GB2312" w:cs="Arial"/>
                <w:b w:val="0"/>
                <w:bCs/>
                <w:kern w:val="0"/>
                <w:sz w:val="24"/>
                <w:lang w:val="en-US" w:eastAsia="zh-CN"/>
              </w:rPr>
              <w:t>1.2</w:t>
            </w:r>
            <w:r>
              <w:rPr>
                <w:rFonts w:hint="eastAsia" w:ascii="仿宋_GB2312" w:hAnsi="仿宋" w:eastAsia="仿宋_GB2312" w:cs="Arial"/>
                <w:b w:val="0"/>
                <w:bCs/>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val="0"/>
                <w:bCs/>
                <w:sz w:val="24"/>
                <w:szCs w:val="21"/>
              </w:rPr>
              <w:t>;</w:t>
            </w:r>
          </w:p>
          <w:p>
            <w:pPr>
              <w:keepNext w:val="0"/>
              <w:keepLines w:val="0"/>
              <w:pageBreakBefore w:val="0"/>
              <w:widowControl w:val="0"/>
              <w:kinsoku/>
              <w:wordWrap/>
              <w:overflowPunct/>
              <w:topLinePunct w:val="0"/>
              <w:autoSpaceDE/>
              <w:autoSpaceDN/>
              <w:bidi w:val="0"/>
              <w:snapToGrid w:val="0"/>
              <w:spacing w:line="240" w:lineRule="auto"/>
              <w:ind w:firstLine="240" w:firstLineChars="100"/>
              <w:jc w:val="left"/>
              <w:textAlignment w:val="auto"/>
              <w:rPr>
                <w:rFonts w:hint="eastAsia" w:ascii="仿宋_GB2312" w:hAnsi="仿宋" w:eastAsia="仿宋_GB2312"/>
                <w:b w:val="0"/>
                <w:bCs/>
                <w:sz w:val="24"/>
              </w:rPr>
            </w:pPr>
            <w:r>
              <w:rPr>
                <w:rFonts w:hint="eastAsia" w:ascii="仿宋_GB2312" w:hAnsi="仿宋" w:eastAsia="仿宋_GB2312" w:cs="Arial"/>
                <w:b w:val="0"/>
                <w:bCs/>
                <w:kern w:val="0"/>
                <w:sz w:val="24"/>
                <w:lang w:val="en-US" w:eastAsia="zh-CN"/>
              </w:rPr>
              <w:t>1.3</w:t>
            </w:r>
            <w:r>
              <w:rPr>
                <w:rFonts w:hint="eastAsia" w:ascii="仿宋_GB2312" w:hAnsi="仿宋" w:eastAsia="仿宋_GB2312" w:cs="Arial"/>
                <w:b w:val="0"/>
                <w:bCs/>
                <w:kern w:val="0"/>
                <w:sz w:val="24"/>
              </w:rPr>
              <w:t>投标人对根据修正原则修正后的报价不确认的</w:t>
            </w:r>
            <w:r>
              <w:rPr>
                <w:rFonts w:hint="eastAsia" w:ascii="仿宋_GB2312" w:hAnsi="仿宋" w:eastAsia="仿宋_GB2312"/>
                <w:b w:val="0"/>
                <w:bCs/>
                <w:sz w:val="24"/>
              </w:rPr>
              <w:t>。</w:t>
            </w:r>
          </w:p>
          <w:p>
            <w:pPr>
              <w:keepNext w:val="0"/>
              <w:keepLines w:val="0"/>
              <w:pageBreakBefore w:val="0"/>
              <w:widowControl w:val="0"/>
              <w:kinsoku/>
              <w:wordWrap/>
              <w:overflowPunct/>
              <w:topLinePunct w:val="0"/>
              <w:autoSpaceDE/>
              <w:autoSpaceDN/>
              <w:bidi w:val="0"/>
              <w:adjustRightInd w:val="0"/>
              <w:spacing w:line="240" w:lineRule="auto"/>
              <w:ind w:firstLine="240" w:firstLineChars="100"/>
              <w:textAlignment w:val="auto"/>
              <w:rPr>
                <w:rFonts w:ascii="仿宋_GB2312" w:hAnsi="仿宋" w:eastAsia="仿宋_GB2312"/>
                <w:sz w:val="24"/>
              </w:rPr>
            </w:pPr>
            <w:r>
              <w:rPr>
                <w:rFonts w:hint="eastAsia" w:ascii="仿宋_GB2312" w:hAnsi="仿宋" w:eastAsia="仿宋_GB2312" w:cs="仿宋_GB2312"/>
                <w:b w:val="0"/>
                <w:bCs/>
                <w:kern w:val="0"/>
                <w:sz w:val="24"/>
                <w:lang w:val="en-US" w:eastAsia="zh-CN"/>
              </w:rPr>
              <w:t>1.4</w:t>
            </w:r>
            <w:r>
              <w:rPr>
                <w:rFonts w:hint="eastAsia" w:ascii="仿宋_GB2312" w:hAnsi="仿宋" w:eastAsia="仿宋_GB2312" w:cs="仿宋_GB2312"/>
                <w:b w:val="0"/>
                <w:bCs/>
                <w:kern w:val="0"/>
                <w:sz w:val="24"/>
                <w:lang w:val="zh-CN"/>
              </w:rPr>
              <w:t>投标文件出现不是唯一的、有选择性投标报价的</w:t>
            </w:r>
            <w:r>
              <w:rPr>
                <w:rFonts w:hint="eastAsia" w:ascii="仿宋_GB2312" w:hAnsi="仿宋" w:eastAsia="仿宋_GB2312" w:cs="仿宋_GB2312"/>
                <w:b w:val="0"/>
                <w:bCs/>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3" w:hRule="atLeast"/>
          <w:tblHead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blHeader/>
        </w:trPr>
        <w:tc>
          <w:tcPr>
            <w:tcW w:w="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r>
              <w:rPr>
                <w:rFonts w:hint="eastAsia" w:ascii="仿宋_GB2312" w:hAnsi="仿宋" w:eastAsia="仿宋_GB2312"/>
                <w:sz w:val="24"/>
                <w:lang w:eastAsia="zh-CN"/>
              </w:rPr>
              <w:t>（</w:t>
            </w:r>
            <w:r>
              <w:rPr>
                <w:rFonts w:hint="eastAsia" w:ascii="仿宋_GB2312" w:hAnsi="仿宋" w:eastAsia="仿宋_GB2312"/>
                <w:sz w:val="24"/>
                <w:lang w:val="en-US" w:eastAsia="zh-CN"/>
              </w:rPr>
              <w:t>如有）</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不要求提供。</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b/>
                <w:sz w:val="24"/>
              </w:rPr>
            </w:pPr>
            <w:r>
              <w:rPr>
                <w:rFonts w:ascii="MS Gothic" w:hAnsi="MS Gothic" w:eastAsia="MS Gothic" w:cs="Arial"/>
                <w:kern w:val="0"/>
                <w:sz w:val="24"/>
              </w:rPr>
              <w:sym w:font="Wingdings" w:char="00A8"/>
            </w:r>
            <w:r>
              <w:rPr>
                <w:rFonts w:ascii="仿宋_GB2312" w:hAnsi="仿宋" w:eastAsia="仿宋_GB2312"/>
                <w:kern w:val="0"/>
                <w:sz w:val="24"/>
              </w:rPr>
              <w:t>B</w:t>
            </w:r>
            <w:r>
              <w:rPr>
                <w:rFonts w:hint="eastAsia" w:ascii="仿宋_GB2312" w:hAnsi="仿宋" w:eastAsia="仿宋_GB2312"/>
                <w:kern w:val="0"/>
                <w:sz w:val="24"/>
              </w:rPr>
              <w:t>要求提供</w:t>
            </w:r>
            <w:r>
              <w:rPr>
                <w:rFonts w:hint="eastAsia" w:ascii="仿宋_GB2312" w:hAnsi="仿宋" w:eastAsia="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ascii="Wingdings" w:hAnsi="Wingdings" w:eastAsia="仿宋_GB2312"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不组织。</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 w:eastAsia="仿宋_GB2312" w:cs="仿宋_GB2312"/>
                <w:b/>
                <w:kern w:val="0"/>
                <w:sz w:val="24"/>
                <w:lang w:val="zh-CN" w:eastAsia="zh-CN"/>
              </w:rPr>
            </w:pPr>
            <w:r>
              <w:rPr>
                <w:rFonts w:ascii="Wingdings" w:hAnsi="Wingdings" w:eastAsia="仿宋_GB2312" w:cs="Arial"/>
                <w:kern w:val="0"/>
                <w:sz w:val="24"/>
              </w:rPr>
              <w:sym w:font="Wingdings" w:char="00A8"/>
            </w:r>
            <w:r>
              <w:rPr>
                <w:rFonts w:ascii="仿宋_GB2312" w:hAnsi="仿宋" w:eastAsia="仿宋_GB2312"/>
                <w:kern w:val="0"/>
                <w:sz w:val="24"/>
              </w:rPr>
              <w:t>B</w:t>
            </w:r>
            <w:r>
              <w:rPr>
                <w:rFonts w:hint="eastAsia" w:ascii="仿宋_GB2312" w:hAnsi="仿宋" w:eastAsia="仿宋_GB2312" w:cs="Times New Roman"/>
                <w:sz w:val="24"/>
              </w:rPr>
              <w:t>组织</w:t>
            </w:r>
            <w:r>
              <w:rPr>
                <w:rFonts w:hint="eastAsia" w:ascii="仿宋_GB2312" w:hAnsi="仿宋" w:eastAsia="仿宋_GB2312" w:cs="Times New Roman"/>
                <w:sz w:val="24"/>
                <w:lang w:eastAsia="zh-CN"/>
              </w:rPr>
              <w:t>，</w:t>
            </w:r>
            <w:r>
              <w:rPr>
                <w:rFonts w:hint="eastAsia" w:ascii="仿宋_GB2312" w:hAnsi="仿宋" w:eastAsia="仿宋_GB2312" w:cs="Times New Roman"/>
                <w:sz w:val="24"/>
              </w:rPr>
              <w:t>具体详见评标办法</w:t>
            </w:r>
            <w:r>
              <w:rPr>
                <w:rFonts w:hint="eastAsia" w:ascii="仿宋_GB2312" w:hAnsi="仿宋"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 w:eastAsia="仿宋_GB2312" w:cs="仿宋_GB2312"/>
                <w:b/>
                <w:sz w:val="24"/>
                <w:lang w:val="en-US" w:eastAsia="zh-CN"/>
              </w:rPr>
            </w:pPr>
            <w:r>
              <w:rPr>
                <w:rFonts w:hint="eastAsia" w:ascii="仿宋_GB2312" w:hAnsi="仿宋" w:eastAsia="仿宋_GB2312" w:cs="仿宋_GB2312"/>
                <w:b/>
                <w:sz w:val="24"/>
              </w:rPr>
              <w:t>是否允许采购进口产品</w:t>
            </w:r>
            <w:r>
              <w:rPr>
                <w:rFonts w:hint="eastAsia" w:ascii="仿宋_GB2312" w:hAnsi="仿宋" w:eastAsia="仿宋_GB2312" w:cs="仿宋_GB2312"/>
                <w:b/>
                <w:sz w:val="24"/>
                <w:lang w:eastAsia="zh-CN"/>
              </w:rPr>
              <w:t>（</w:t>
            </w:r>
            <w:r>
              <w:rPr>
                <w:rFonts w:hint="eastAsia" w:ascii="仿宋_GB2312" w:hAnsi="仿宋" w:eastAsia="仿宋_GB2312" w:cs="仿宋_GB2312"/>
                <w:b/>
                <w:sz w:val="24"/>
                <w:lang w:val="en-US" w:eastAsia="zh-CN"/>
              </w:rPr>
              <w:t>服务项目不采用）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keepNext w:val="0"/>
              <w:keepLines w:val="0"/>
              <w:pageBreakBefore w:val="0"/>
              <w:widowControl w:val="0"/>
              <w:kinsoku/>
              <w:wordWrap/>
              <w:overflowPunct/>
              <w:topLinePunct w:val="0"/>
              <w:autoSpaceDE/>
              <w:autoSpaceDN/>
              <w:bidi w:val="0"/>
              <w:adjustRightInd w:val="0"/>
              <w:spacing w:line="240" w:lineRule="auto"/>
              <w:textAlignment w:val="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8"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_GB2312" w:eastAsia="仿宋_GB2312" w:cs="仿宋_GB2312"/>
                <w:b/>
                <w:szCs w:val="21"/>
              </w:rPr>
            </w:pPr>
            <w:r>
              <w:rPr>
                <w:rFonts w:hint="eastAsia" w:ascii="仿宋_GB2312" w:hAnsi="仿宋_GB2312" w:eastAsia="仿宋_GB2312" w:cs="仿宋_GB2312"/>
                <w:b/>
                <w:szCs w:val="21"/>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lang w:eastAsia="zh-CN"/>
              </w:rPr>
              <w:t>本次采购为</w:t>
            </w:r>
            <w:r>
              <w:rPr>
                <w:rFonts w:hint="eastAsia" w:ascii="仿宋_GB2312" w:hAnsi="仿宋_GB2312" w:eastAsia="仿宋_GB2312" w:cs="仿宋_GB2312"/>
                <w:b/>
                <w:bCs/>
                <w:color w:val="000000"/>
                <w:sz w:val="21"/>
                <w:szCs w:val="21"/>
                <w:u w:val="single"/>
                <w:lang w:eastAsia="zh-CN"/>
              </w:rPr>
              <w:t>专门面向中小企业预留采购份额的采购项目</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lang w:eastAsia="zh-CN"/>
              </w:rPr>
              <w:t>投标单位应为中小微企业</w:t>
            </w:r>
            <w:r>
              <w:rPr>
                <w:rFonts w:hint="eastAsia" w:ascii="仿宋_GB2312" w:hAnsi="仿宋_GB2312" w:eastAsia="仿宋_GB2312" w:cs="仿宋_GB2312"/>
                <w:color w:val="000000"/>
                <w:sz w:val="21"/>
                <w:szCs w:val="21"/>
                <w:lang w:val="en-US" w:eastAsia="zh-CN"/>
              </w:rPr>
              <w:t>或</w:t>
            </w:r>
            <w:r>
              <w:rPr>
                <w:rFonts w:hint="eastAsia" w:ascii="仿宋_GB2312" w:hAnsi="仿宋_GB2312" w:eastAsia="仿宋_GB2312" w:cs="仿宋_GB2312"/>
                <w:color w:val="000000"/>
                <w:sz w:val="21"/>
                <w:szCs w:val="21"/>
                <w:lang w:eastAsia="zh-CN"/>
              </w:rPr>
              <w:t>监狱企业和残疾人福利性单位。</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其中供应商为小微（含监狱企业和残疾人福利性单位）企业的，其报价评审时不予扣除</w:t>
            </w:r>
            <w:r>
              <w:rPr>
                <w:rFonts w:hint="eastAsia" w:ascii="仿宋_GB2312" w:hAnsi="仿宋_GB2312" w:eastAsia="仿宋_GB2312" w:cs="仿宋_GB2312"/>
                <w:color w:val="000000"/>
                <w:sz w:val="21"/>
                <w:szCs w:val="21"/>
                <w:lang w:val="en-US" w:eastAsia="zh-CN"/>
              </w:rPr>
              <w:t>评审</w:t>
            </w:r>
            <w:r>
              <w:rPr>
                <w:rFonts w:hint="eastAsia" w:ascii="仿宋_GB2312" w:hAnsi="仿宋_GB2312" w:eastAsia="仿宋_GB2312" w:cs="仿宋_GB2312"/>
                <w:color w:val="000000"/>
                <w:sz w:val="21"/>
                <w:szCs w:val="21"/>
                <w:lang w:eastAsia="zh-CN"/>
              </w:rPr>
              <w:t>。</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）本采购文件所称中小企业，是指在中华人民共和国境</w:t>
            </w:r>
            <w:r>
              <w:rPr>
                <w:rFonts w:hint="eastAsia" w:ascii="仿宋_GB2312" w:hAnsi="仿宋_GB2312" w:eastAsia="仿宋_GB2312" w:cs="仿宋_GB2312"/>
                <w:spacing w:val="-7"/>
                <w:sz w:val="21"/>
                <w:szCs w:val="21"/>
                <w:lang w:eastAsia="zh-CN"/>
              </w:rPr>
              <w:t>内依法设立，依据国务院批准的中小企业划分标准确定的中型</w:t>
            </w:r>
            <w:r>
              <w:rPr>
                <w:rFonts w:hint="eastAsia" w:ascii="仿宋_GB2312" w:hAnsi="仿宋_GB2312" w:eastAsia="仿宋_GB2312" w:cs="仿宋_GB2312"/>
                <w:spacing w:val="-8"/>
                <w:sz w:val="21"/>
                <w:szCs w:val="21"/>
                <w:lang w:eastAsia="zh-CN"/>
              </w:rPr>
              <w:t xml:space="preserve">企业、小型企业和微型企业，但与大企业的负责人为同一人， </w:t>
            </w:r>
            <w:r>
              <w:rPr>
                <w:rFonts w:hint="eastAsia" w:ascii="仿宋_GB2312" w:hAnsi="仿宋_GB2312" w:eastAsia="仿宋_GB2312" w:cs="仿宋_GB2312"/>
                <w:sz w:val="21"/>
                <w:szCs w:val="21"/>
                <w:lang w:eastAsia="zh-CN"/>
              </w:rPr>
              <w:t>或者与大企业存在直接控股、管理关系的除外。</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ascii="仿宋_GB2312" w:hAnsi="仿宋_GB2312" w:eastAsia="仿宋_GB2312" w:cs="仿宋_GB2312"/>
                <w:spacing w:val="-7"/>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）本次</w:t>
            </w:r>
            <w:r>
              <w:rPr>
                <w:rFonts w:hint="eastAsia" w:ascii="仿宋_GB2312" w:hAnsi="仿宋_GB2312" w:eastAsia="仿宋_GB2312" w:cs="仿宋_GB2312"/>
                <w:spacing w:val="-7"/>
                <w:sz w:val="21"/>
                <w:szCs w:val="21"/>
                <w:lang w:eastAsia="zh-CN"/>
              </w:rPr>
              <w:t>采购标的为</w:t>
            </w:r>
            <w:r>
              <w:rPr>
                <w:rFonts w:hint="eastAsia" w:ascii="仿宋_GB2312" w:hAnsi="仿宋_GB2312" w:eastAsia="仿宋_GB2312" w:cs="仿宋_GB2312"/>
                <w:spacing w:val="-7"/>
                <w:sz w:val="21"/>
                <w:szCs w:val="21"/>
                <w:u w:val="single"/>
                <w:lang w:eastAsia="zh-CN"/>
              </w:rPr>
              <w:t xml:space="preserve"> </w:t>
            </w:r>
            <w:r>
              <w:rPr>
                <w:rFonts w:hint="eastAsia" w:ascii="仿宋_GB2312" w:hAnsi="仿宋_GB2312" w:eastAsia="仿宋_GB2312" w:cs="仿宋_GB2312"/>
                <w:b/>
                <w:bCs/>
                <w:spacing w:val="-7"/>
                <w:sz w:val="21"/>
                <w:szCs w:val="21"/>
                <w:u w:val="single"/>
                <w:lang w:eastAsia="zh-CN"/>
              </w:rPr>
              <w:t>不动产登记档案整理扫描</w:t>
            </w:r>
            <w:r>
              <w:rPr>
                <w:rFonts w:hint="eastAsia" w:ascii="仿宋_GB2312" w:hAnsi="仿宋_GB2312" w:eastAsia="仿宋_GB2312" w:cs="仿宋_GB2312"/>
                <w:spacing w:val="-10"/>
                <w:sz w:val="21"/>
                <w:szCs w:val="21"/>
                <w:lang w:eastAsia="zh-CN"/>
              </w:rPr>
              <w:t>，对应的中小企业划分</w:t>
            </w:r>
            <w:r>
              <w:rPr>
                <w:rFonts w:hint="eastAsia" w:ascii="仿宋_GB2312" w:hAnsi="仿宋_GB2312" w:eastAsia="仿宋_GB2312" w:cs="仿宋_GB2312"/>
                <w:sz w:val="21"/>
                <w:szCs w:val="21"/>
                <w:lang w:eastAsia="zh-CN"/>
              </w:rPr>
              <w:t>标准所属行业是：</w:t>
            </w:r>
            <w:r>
              <w:rPr>
                <w:rFonts w:hint="eastAsia" w:ascii="仿宋_GB2312" w:hAnsi="仿宋_GB2312" w:eastAsia="仿宋_GB2312" w:cs="仿宋_GB2312"/>
                <w:b/>
                <w:bCs/>
                <w:sz w:val="21"/>
                <w:szCs w:val="21"/>
                <w:u w:val="single"/>
                <w:lang w:eastAsia="zh-CN"/>
              </w:rPr>
              <w:t>其他未列明行业</w:t>
            </w:r>
            <w:r>
              <w:rPr>
                <w:rFonts w:hint="eastAsia" w:ascii="仿宋_GB2312" w:hAnsi="仿宋_GB2312" w:eastAsia="仿宋_GB2312" w:cs="仿宋_GB2312"/>
                <w:spacing w:val="-7"/>
                <w:sz w:val="21"/>
                <w:szCs w:val="21"/>
                <w:lang w:eastAsia="zh-CN"/>
              </w:rPr>
              <w:t>；</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196" w:firstLineChars="100"/>
              <w:textAlignment w:val="auto"/>
              <w:rPr>
                <w:rFonts w:ascii="仿宋_GB2312" w:hAnsi="仿宋_GB2312" w:eastAsia="仿宋_GB2312" w:cs="仿宋_GB2312"/>
                <w:spacing w:val="-7"/>
                <w:sz w:val="21"/>
                <w:szCs w:val="21"/>
                <w:u w:val="single"/>
              </w:rPr>
            </w:pPr>
            <w:r>
              <w:rPr>
                <w:rFonts w:hint="eastAsia" w:ascii="仿宋_GB2312" w:hAnsi="仿宋_GB2312" w:eastAsia="仿宋_GB2312" w:cs="仿宋_GB2312"/>
                <w:spacing w:val="-7"/>
                <w:sz w:val="21"/>
                <w:szCs w:val="21"/>
                <w:u w:val="single"/>
              </w:rPr>
              <w:drawing>
                <wp:inline distT="0" distB="0" distL="114300" distR="114300">
                  <wp:extent cx="3606800" cy="488315"/>
                  <wp:effectExtent l="0" t="0" r="12700" b="6985"/>
                  <wp:docPr id="10" name="图片 1" descr="1610946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1610946438(1)"/>
                          <pic:cNvPicPr>
                            <a:picLocks noChangeAspect="1"/>
                          </pic:cNvPicPr>
                        </pic:nvPicPr>
                        <pic:blipFill>
                          <a:blip r:embed="rId31"/>
                          <a:stretch>
                            <a:fillRect/>
                          </a:stretch>
                        </pic:blipFill>
                        <pic:spPr>
                          <a:xfrm>
                            <a:off x="0" y="0"/>
                            <a:ext cx="3606800" cy="488315"/>
                          </a:xfrm>
                          <a:prstGeom prst="rect">
                            <a:avLst/>
                          </a:prstGeom>
                          <a:noFill/>
                          <a:ln>
                            <a:noFill/>
                          </a:ln>
                        </pic:spPr>
                      </pic:pic>
                    </a:graphicData>
                  </a:graphic>
                </wp:inline>
              </w:drawing>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int="eastAsia" w:ascii="仿宋_GB2312" w:hAnsi="仿宋_GB2312" w:eastAsia="仿宋_GB2312" w:cs="仿宋_GB2312"/>
                <w:b/>
                <w:bCs/>
                <w:sz w:val="21"/>
                <w:szCs w:val="21"/>
              </w:rPr>
            </w:pPr>
            <w:r>
              <w:rPr>
                <w:rFonts w:ascii="Calibri" w:hAnsi="Calibri" w:eastAsia="宋体" w:cs="Times New Roman"/>
                <w:kern w:val="2"/>
                <w:sz w:val="21"/>
                <w:szCs w:val="22"/>
                <w:lang w:val="en-US" w:eastAsia="zh-CN" w:bidi="ar-SA"/>
              </w:rPr>
              <w:drawing>
                <wp:anchor distT="0" distB="0" distL="114300" distR="114300" simplePos="0" relativeHeight="251674624" behindDoc="0" locked="0" layoutInCell="1" allowOverlap="1">
                  <wp:simplePos x="0" y="0"/>
                  <wp:positionH relativeFrom="column">
                    <wp:posOffset>152400</wp:posOffset>
                  </wp:positionH>
                  <wp:positionV relativeFrom="paragraph">
                    <wp:posOffset>5715</wp:posOffset>
                  </wp:positionV>
                  <wp:extent cx="3599180" cy="284480"/>
                  <wp:effectExtent l="0" t="0" r="7620" b="762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2">
                            <a:lum/>
                          </a:blip>
                          <a:stretch>
                            <a:fillRect/>
                          </a:stretch>
                        </pic:blipFill>
                        <pic:spPr>
                          <a:xfrm>
                            <a:off x="0" y="0"/>
                            <a:ext cx="3599180" cy="284480"/>
                          </a:xfrm>
                          <a:prstGeom prst="rect">
                            <a:avLst/>
                          </a:prstGeom>
                          <a:noFill/>
                          <a:ln>
                            <a:noFill/>
                          </a:ln>
                        </pic:spPr>
                      </pic:pic>
                    </a:graphicData>
                  </a:graphic>
                </wp:anchor>
              </w:drawing>
            </w:r>
            <w:r>
              <w:rPr>
                <w:rFonts w:hint="eastAsia" w:ascii="仿宋_GB2312" w:hAnsi="仿宋_GB2312" w:eastAsia="仿宋_GB2312" w:cs="仿宋_GB2312"/>
                <w:b/>
                <w:bCs/>
                <w:sz w:val="21"/>
                <w:szCs w:val="21"/>
              </w:rPr>
              <w:t>说明： 　　</w:t>
            </w:r>
            <w:r>
              <w:rPr>
                <w:rFonts w:hint="eastAsia" w:ascii="仿宋_GB2312" w:hAnsi="仿宋_GB2312" w:eastAsia="仿宋_GB2312" w:cs="仿宋_GB2312"/>
                <w:b/>
                <w:bCs/>
                <w:sz w:val="21"/>
                <w:szCs w:val="21"/>
              </w:rPr>
              <w:br w:type="textWrapping"/>
            </w:r>
            <w:r>
              <w:rPr>
                <w:rFonts w:hint="eastAsia" w:ascii="仿宋_GB2312" w:hAnsi="仿宋_GB2312" w:eastAsia="仿宋_GB2312" w:cs="仿宋_GB2312"/>
                <w:b/>
                <w:bCs/>
                <w:sz w:val="21"/>
                <w:szCs w:val="21"/>
              </w:rPr>
              <w:t> 1.大型、中型和小型企业须同时满足所列指标的下限，否则下划一档；微型企业只须满足所列指标中的一项即可。 　　</w:t>
            </w:r>
            <w:r>
              <w:rPr>
                <w:rFonts w:hint="eastAsia" w:ascii="仿宋_GB2312" w:hAnsi="仿宋_GB2312" w:eastAsia="仿宋_GB2312" w:cs="仿宋_GB2312"/>
                <w:b/>
                <w:bCs/>
                <w:sz w:val="21"/>
                <w:szCs w:val="21"/>
              </w:rPr>
              <w:br w:type="textWrapping"/>
            </w:r>
            <w:r>
              <w:rPr>
                <w:rFonts w:hint="eastAsia" w:ascii="仿宋_GB2312" w:hAnsi="仿宋_GB2312" w:eastAsia="仿宋_GB2312" w:cs="仿宋_GB2312"/>
                <w:b/>
                <w:bCs/>
                <w:sz w:val="21"/>
                <w:szCs w:val="21"/>
              </w:rPr>
              <w:t> 2.附表中各行业的范围以《国民经济行业分类》（GB/T4754-2017）为准。    </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3.企业划分指标以现行统计制度为准。</w:t>
            </w:r>
            <w:r>
              <w:rPr>
                <w:rFonts w:hint="eastAsia" w:ascii="仿宋_GB2312" w:hAnsi="仿宋_GB2312" w:eastAsia="仿宋_GB2312" w:cs="仿宋_GB2312"/>
                <w:b/>
                <w:bCs/>
                <w:sz w:val="21"/>
                <w:szCs w:val="21"/>
              </w:rPr>
              <w:br w:type="textWrapping"/>
            </w:r>
            <w:r>
              <w:rPr>
                <w:rFonts w:hint="eastAsia" w:ascii="仿宋_GB2312" w:hAnsi="仿宋_GB2312" w:eastAsia="仿宋_GB2312" w:cs="仿宋_GB2312"/>
                <w:b/>
                <w:bCs/>
                <w:sz w:val="21"/>
                <w:szCs w:val="21"/>
              </w:rPr>
              <w:t> 1）从业人员，是指期末从业人员数，没有期末从业人员数的，采用全年平均人员数代替。</w:t>
            </w:r>
            <w:r>
              <w:rPr>
                <w:rFonts w:hint="eastAsia" w:ascii="仿宋_GB2312" w:hAnsi="仿宋_GB2312" w:eastAsia="仿宋_GB2312" w:cs="仿宋_GB2312"/>
                <w:b/>
                <w:bCs/>
                <w:sz w:val="21"/>
                <w:szCs w:val="21"/>
              </w:rPr>
              <w:br w:type="textWrapping"/>
            </w:r>
            <w:r>
              <w:rPr>
                <w:rFonts w:hint="eastAsia" w:ascii="仿宋_GB2312" w:hAnsi="仿宋_GB2312" w:eastAsia="仿宋_GB2312" w:cs="仿宋_GB2312"/>
                <w:b/>
                <w:bCs/>
                <w:sz w:val="21"/>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仿宋_GB2312" w:eastAsia="仿宋_GB2312" w:cs="仿宋_GB2312"/>
                <w:b/>
                <w:bCs/>
                <w:sz w:val="21"/>
                <w:szCs w:val="21"/>
              </w:rPr>
              <w:br w:type="textWrapping"/>
            </w:r>
            <w:r>
              <w:rPr>
                <w:rFonts w:hint="eastAsia" w:ascii="仿宋_GB2312" w:hAnsi="仿宋_GB2312" w:eastAsia="仿宋_GB2312" w:cs="仿宋_GB2312"/>
                <w:b/>
                <w:bCs/>
                <w:sz w:val="21"/>
                <w:szCs w:val="21"/>
              </w:rPr>
              <w:t> 3）资产总额，采用资产总计代替。</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lang w:eastAsia="zh-CN"/>
              </w:rPr>
              <w:t>符合小微企业划分标准的个体工商户，视同小微企业。</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(5)中</w:t>
            </w:r>
            <w:r>
              <w:rPr>
                <w:rFonts w:hint="eastAsia" w:ascii="仿宋_GB2312" w:hAnsi="仿宋_GB2312" w:eastAsia="仿宋_GB2312" w:cs="仿宋_GB2312"/>
                <w:color w:val="000000"/>
                <w:sz w:val="21"/>
                <w:szCs w:val="21"/>
                <w:lang w:eastAsia="zh-CN"/>
              </w:rPr>
              <w:t>小微企业参加政府采购活动，应当出具《中小企业声明函》。</w:t>
            </w:r>
          </w:p>
          <w:p>
            <w:pPr>
              <w:pStyle w:val="618"/>
              <w:keepNext w:val="0"/>
              <w:keepLines w:val="0"/>
              <w:pageBreakBefore w:val="0"/>
              <w:widowControl w:val="0"/>
              <w:tabs>
                <w:tab w:val="left" w:pos="1070"/>
              </w:tabs>
              <w:kinsoku/>
              <w:wordWrap/>
              <w:overflowPunct/>
              <w:topLinePunct w:val="0"/>
              <w:autoSpaceDE/>
              <w:autoSpaceDN/>
              <w:bidi w:val="0"/>
              <w:spacing w:line="240" w:lineRule="auto"/>
              <w:ind w:right="52" w:firstLine="210" w:firstLineChars="100"/>
              <w:textAlignment w:val="auto"/>
              <w:rPr>
                <w:rFonts w:hAnsi="仿宋_GB2312" w:cs="仿宋_GB2312"/>
                <w:sz w:val="21"/>
                <w:szCs w:val="21"/>
                <w:lang w:val="en-US"/>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lang w:eastAsia="zh-CN"/>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仿宋_GB2312" w:hAnsi="仿宋" w:eastAsia="仿宋_GB2312" w:cs="仿宋_GB2312"/>
                <w:b/>
                <w:sz w:val="24"/>
                <w:lang w:val="en-US" w:eastAsia="zh-CN"/>
              </w:rPr>
            </w:pPr>
            <w:r>
              <w:rPr>
                <w:rFonts w:hint="eastAsia" w:ascii="仿宋_GB2312" w:hAnsi="仿宋" w:eastAsia="仿宋_GB2312" w:cs="仿宋_GB2312"/>
                <w:b/>
                <w:sz w:val="24"/>
              </w:rPr>
              <w:t>节能产品、环境标志产品</w:t>
            </w:r>
            <w:r>
              <w:rPr>
                <w:rFonts w:hint="eastAsia" w:ascii="仿宋_GB2312" w:hAnsi="仿宋" w:eastAsia="仿宋_GB2312" w:cs="仿宋_GB2312"/>
                <w:b/>
                <w:sz w:val="24"/>
                <w:lang w:eastAsia="zh-CN"/>
              </w:rPr>
              <w:t>（</w:t>
            </w:r>
            <w:r>
              <w:rPr>
                <w:rFonts w:hint="eastAsia" w:ascii="仿宋_GB2312" w:hAnsi="仿宋" w:eastAsia="仿宋_GB2312" w:cs="仿宋_GB2312"/>
                <w:b/>
                <w:sz w:val="24"/>
                <w:lang w:val="en-US" w:eastAsia="zh-CN"/>
              </w:rPr>
              <w:t>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240" w:lineRule="auto"/>
              <w:ind w:firstLine="420" w:firstLineChars="200"/>
              <w:textAlignment w:val="auto"/>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240" w:lineRule="auto"/>
              <w:ind w:firstLine="420" w:firstLineChars="200"/>
              <w:textAlignment w:val="auto"/>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ascii="仿宋_GB2312" w:hAnsi="仿宋" w:eastAsia="仿宋_GB2312"/>
                <w:snapToGrid w:val="0"/>
                <w:color w:val="000000" w:themeColor="text1"/>
                <w:kern w:val="28"/>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pacing w:line="240" w:lineRule="auto"/>
              <w:ind w:firstLine="480" w:firstLineChars="200"/>
              <w:textAlignment w:val="auto"/>
              <w:rPr>
                <w:rFonts w:ascii="仿宋_GB2312" w:hAnsi="仿宋" w:eastAsia="仿宋_GB2312" w:cs="仿宋_GB2312"/>
                <w:sz w:val="24"/>
                <w:szCs w:val="24"/>
              </w:rPr>
            </w:pPr>
            <w:r>
              <w:rPr>
                <w:rFonts w:hint="eastAsia" w:ascii="仿宋_GB2312" w:hAnsi="仿宋" w:eastAsia="仿宋_GB2312" w:cs="Times New Roman"/>
                <w:kern w:val="28"/>
                <w:sz w:val="24"/>
                <w:szCs w:val="24"/>
              </w:rPr>
              <w:t>备份投标文件送达地点： 密封包装后（建议顺丰邮寄形式）投标截止时间前递交、一份（邮寄地址：</w:t>
            </w:r>
            <w:r>
              <w:rPr>
                <w:rFonts w:hint="eastAsia" w:ascii="仿宋_GB2312" w:hAnsi="仿宋" w:eastAsia="仿宋_GB2312" w:cs="Times New Roman"/>
                <w:kern w:val="28"/>
                <w:sz w:val="24"/>
                <w:szCs w:val="24"/>
                <w:u w:val="single"/>
              </w:rPr>
              <w:t>杭州市临平区南苑街道华元欢乐城-华元大厦20层2022办公室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cs="Times New Roman"/>
                <w:kern w:val="28"/>
                <w:sz w:val="24"/>
                <w:szCs w:val="24"/>
                <w:u w:val="single"/>
              </w:rPr>
              <w:t>周聪聪13067902529</w:t>
            </w:r>
            <w:r>
              <w:rPr>
                <w:rFonts w:hint="eastAsia" w:ascii="仿宋_GB2312" w:hAnsi="仿宋" w:eastAsia="仿宋_GB2312" w:cs="Times New Roman"/>
                <w:kern w:val="28"/>
                <w:sz w:val="24"/>
                <w:szCs w:val="24"/>
              </w:rPr>
              <w:t xml:space="preserve"> 。</w:t>
            </w:r>
          </w:p>
          <w:p>
            <w:pPr>
              <w:pStyle w:val="34"/>
              <w:keepNext w:val="0"/>
              <w:keepLines w:val="0"/>
              <w:pageBreakBefore w:val="0"/>
              <w:widowControl w:val="0"/>
              <w:kinsoku/>
              <w:wordWrap/>
              <w:overflowPunct/>
              <w:topLinePunct w:val="0"/>
              <w:autoSpaceDE/>
              <w:autoSpaceDN/>
              <w:bidi w:val="0"/>
              <w:spacing w:line="240" w:lineRule="auto"/>
              <w:textAlignment w:val="auto"/>
              <w:rPr>
                <w:rFonts w:ascii="仿宋_GB2312" w:hAnsi="仿宋" w:eastAsia="仿宋_GB2312"/>
                <w:kern w:val="28"/>
                <w:sz w:val="24"/>
              </w:rPr>
            </w:pP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5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360" w:lineRule="auto"/>
              <w:ind w:firstLine="420" w:firstLineChars="200"/>
              <w:textAlignment w:val="auto"/>
            </w:pPr>
            <w:r>
              <w:rPr>
                <w:rFonts w:hint="eastAsia"/>
              </w:rPr>
              <w:t>本项目的招标代理费用由中标单位支付，代理费用付款按《招标代理服务收费管理暂行办法》的通知（计价格[2002]1980号）文件直接支付给分散采购招标代理单位，投标人在报价时应综合考虑该笔费用，但不单列进投标总价。</w:t>
            </w:r>
          </w:p>
          <w:p>
            <w:pPr>
              <w:pStyle w:val="204"/>
              <w:keepNext w:val="0"/>
              <w:keepLines w:val="0"/>
              <w:pageBreakBefore w:val="0"/>
              <w:widowControl w:val="0"/>
              <w:kinsoku/>
              <w:wordWrap/>
              <w:overflowPunct/>
              <w:topLinePunct w:val="0"/>
              <w:autoSpaceDE/>
              <w:autoSpaceDN/>
              <w:bidi w:val="0"/>
              <w:spacing w:line="360" w:lineRule="auto"/>
              <w:ind w:firstLine="0" w:firstLineChars="0"/>
              <w:textAlignment w:val="auto"/>
            </w:pPr>
            <w:r>
              <w:rPr>
                <w:rFonts w:hint="eastAsia"/>
              </w:rPr>
              <w:drawing>
                <wp:inline distT="0" distB="0" distL="114300" distR="114300">
                  <wp:extent cx="3689985" cy="1826895"/>
                  <wp:effectExtent l="0" t="0" r="5715" b="1905"/>
                  <wp:docPr id="3" name="图片 3" descr="1643279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3279091(1)"/>
                          <pic:cNvPicPr>
                            <a:picLocks noChangeAspect="1"/>
                          </pic:cNvPicPr>
                        </pic:nvPicPr>
                        <pic:blipFill>
                          <a:blip r:embed="rId33"/>
                          <a:stretch>
                            <a:fillRect/>
                          </a:stretch>
                        </pic:blipFill>
                        <pic:spPr>
                          <a:xfrm>
                            <a:off x="0" y="0"/>
                            <a:ext cx="3689985" cy="1826895"/>
                          </a:xfrm>
                          <a:prstGeom prst="rect">
                            <a:avLst/>
                          </a:prstGeom>
                        </pic:spPr>
                      </pic:pic>
                    </a:graphicData>
                  </a:graphic>
                </wp:inline>
              </w:drawing>
            </w:r>
          </w:p>
        </w:tc>
      </w:tr>
    </w:tbl>
    <w:p>
      <w:pPr>
        <w:pStyle w:val="80"/>
        <w:rPr>
          <w:rFonts w:ascii="仿宋" w:hAnsi="仿宋" w:eastAsia="仿宋" w:cs="仿宋_GB2312"/>
          <w:b/>
          <w:sz w:val="32"/>
        </w:rPr>
      </w:pPr>
    </w:p>
    <w:bookmarkEnd w:id="9"/>
    <w:p>
      <w:pPr>
        <w:adjustRightInd/>
        <w:spacing w:line="360" w:lineRule="auto"/>
        <w:ind w:firstLine="3845" w:firstLineChars="1197"/>
        <w:outlineLvl w:val="0"/>
        <w:rPr>
          <w:rFonts w:hint="eastAsia" w:ascii="仿宋_GB2312" w:hAnsi="仿宋" w:eastAsia="仿宋_GB2312" w:cs="仿宋_GB2312"/>
          <w:b/>
          <w:sz w:val="32"/>
          <w:szCs w:val="20"/>
        </w:rPr>
      </w:pPr>
      <w:bookmarkStart w:id="16" w:name="_Toc164416483"/>
      <w:bookmarkStart w:id="17" w:name="第三部分"/>
    </w:p>
    <w:p>
      <w:pPr>
        <w:pStyle w:val="2"/>
        <w:rPr>
          <w:rFonts w:hint="eastAsia" w:ascii="仿宋_GB2312" w:hAnsi="仿宋" w:eastAsia="仿宋_GB2312" w:cs="仿宋_GB2312"/>
          <w:b/>
          <w:sz w:val="32"/>
          <w:szCs w:val="20"/>
        </w:rPr>
      </w:pPr>
    </w:p>
    <w:p>
      <w:pPr>
        <w:rPr>
          <w:rFonts w:hint="eastAsia" w:ascii="仿宋_GB2312" w:hAnsi="仿宋" w:eastAsia="仿宋_GB2312" w:cs="仿宋_GB2312"/>
          <w:b/>
          <w:sz w:val="32"/>
          <w:szCs w:val="20"/>
        </w:rPr>
      </w:pPr>
    </w:p>
    <w:p>
      <w:pPr>
        <w:pStyle w:val="2"/>
        <w:rPr>
          <w:rFonts w:hint="eastAsia" w:ascii="仿宋_GB2312" w:hAnsi="仿宋" w:eastAsia="仿宋_GB2312" w:cs="仿宋_GB2312"/>
          <w:b/>
          <w:sz w:val="32"/>
          <w:szCs w:val="20"/>
        </w:rPr>
      </w:pPr>
    </w:p>
    <w:p>
      <w:pPr>
        <w:rPr>
          <w:rFonts w:hint="eastAsia" w:ascii="仿宋_GB2312" w:hAnsi="仿宋" w:eastAsia="仿宋_GB2312" w:cs="仿宋_GB2312"/>
          <w:b/>
          <w:sz w:val="32"/>
          <w:szCs w:val="20"/>
        </w:rPr>
      </w:pPr>
    </w:p>
    <w:p>
      <w:pPr>
        <w:pStyle w:val="2"/>
        <w:rPr>
          <w:rFonts w:hint="eastAsia" w:ascii="仿宋_GB2312" w:hAnsi="仿宋" w:eastAsia="仿宋_GB2312" w:cs="仿宋_GB2312"/>
          <w:b/>
          <w:sz w:val="32"/>
          <w:szCs w:val="20"/>
        </w:rPr>
      </w:pPr>
    </w:p>
    <w:p>
      <w:pPr>
        <w:rPr>
          <w:rFonts w:hint="eastAsia" w:ascii="仿宋_GB2312" w:hAnsi="仿宋" w:eastAsia="仿宋_GB2312" w:cs="仿宋_GB2312"/>
          <w:b/>
          <w:sz w:val="32"/>
          <w:szCs w:val="20"/>
        </w:rPr>
      </w:pPr>
    </w:p>
    <w:p>
      <w:pPr>
        <w:pStyle w:val="2"/>
        <w:rPr>
          <w:rFonts w:hint="eastAsia" w:ascii="仿宋_GB2312" w:hAnsi="仿宋" w:eastAsia="仿宋_GB2312" w:cs="仿宋_GB2312"/>
          <w:b/>
          <w:sz w:val="32"/>
          <w:szCs w:val="20"/>
        </w:rPr>
      </w:pPr>
    </w:p>
    <w:p>
      <w:pPr>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_GB2312" w:hAnsi="仿宋" w:eastAsia="仿宋_GB2312"/>
          <w:b/>
          <w:sz w:val="24"/>
          <w:lang w:val="en-US" w:eastAsia="zh-CN"/>
        </w:rPr>
        <w:t>(不采用）</w:t>
      </w:r>
      <w:r>
        <w:rPr>
          <w:rFonts w:hint="eastAsia" w:ascii="仿宋_GB2312" w:hAnsi="仿宋" w:eastAsia="仿宋_GB2312"/>
          <w:b/>
          <w:sz w:val="24"/>
        </w:rPr>
        <w:t>。</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r>
        <w:rPr>
          <w:rFonts w:hint="eastAsia" w:ascii="仿宋_GB2312" w:hAnsi="宋体" w:eastAsia="仿宋_GB2312" w:cs="宋体"/>
          <w:kern w:val="0"/>
          <w:sz w:val="24"/>
          <w:lang w:eastAsia="zh-CN"/>
        </w:rPr>
        <w:t>（本项目不采用）</w:t>
      </w:r>
      <w:r>
        <w:rPr>
          <w:rFonts w:hint="eastAsia" w:ascii="仿宋_GB2312" w:hAnsi="宋体" w:eastAsia="仿宋_GB2312" w:cs="宋体"/>
          <w:kern w:val="0"/>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_GB2312" w:hAnsi="仿宋" w:eastAsia="仿宋_GB2312"/>
          <w:sz w:val="24"/>
          <w:lang w:val="en-US" w:eastAsia="zh-CN"/>
        </w:rPr>
      </w:pPr>
      <w:r>
        <w:rPr>
          <w:rFonts w:hint="eastAsia" w:ascii="仿宋_GB2312" w:hAnsi="仿宋" w:eastAsia="仿宋_GB2312"/>
          <w:sz w:val="24"/>
          <w:lang w:val="en-US" w:eastAsia="zh-CN"/>
        </w:rPr>
        <w:t>本项目</w:t>
      </w:r>
      <w:r>
        <w:rPr>
          <w:rFonts w:hint="eastAsia" w:ascii="仿宋_GB2312" w:hAnsi="仿宋" w:eastAsia="仿宋_GB2312"/>
          <w:sz w:val="24"/>
        </w:rPr>
        <w:t>专门面向中小企业的政府采购货物或服务项目</w:t>
      </w:r>
      <w:r>
        <w:rPr>
          <w:rFonts w:hint="eastAsia" w:ascii="仿宋_GB2312" w:hAnsi="仿宋" w:eastAsia="仿宋_GB2312"/>
          <w:sz w:val="24"/>
          <w:lang w:eastAsia="zh-CN"/>
        </w:rPr>
        <w:t>，</w:t>
      </w:r>
      <w:r>
        <w:rPr>
          <w:rFonts w:hint="eastAsia" w:ascii="仿宋_GB2312" w:hAnsi="仿宋" w:eastAsia="仿宋_GB2312"/>
          <w:sz w:val="24"/>
        </w:rPr>
        <w:t>对小型和微型企业的投标报价</w:t>
      </w:r>
      <w:r>
        <w:rPr>
          <w:rFonts w:hint="eastAsia" w:ascii="仿宋_GB2312" w:hAnsi="仿宋" w:eastAsia="仿宋_GB2312"/>
          <w:sz w:val="24"/>
          <w:lang w:val="en-US" w:eastAsia="zh-CN"/>
        </w:rPr>
        <w:t>不</w:t>
      </w:r>
      <w:r>
        <w:rPr>
          <w:rFonts w:hint="eastAsia" w:ascii="仿宋_GB2312" w:hAnsi="仿宋" w:eastAsia="仿宋_GB2312"/>
          <w:sz w:val="24"/>
        </w:rPr>
        <w:t>予</w:t>
      </w:r>
      <w:r>
        <w:rPr>
          <w:rFonts w:ascii="仿宋_GB2312" w:hAnsi="仿宋" w:eastAsia="仿宋_GB2312"/>
          <w:sz w:val="24"/>
        </w:rPr>
        <w:t>扣除</w:t>
      </w:r>
      <w:r>
        <w:rPr>
          <w:rFonts w:hint="eastAsia" w:ascii="仿宋_GB2312" w:hAnsi="仿宋" w:eastAsia="仿宋_GB2312"/>
          <w:sz w:val="24"/>
          <w:lang w:val="en-US" w:eastAsia="zh-CN"/>
        </w:rPr>
        <w:t>评审</w:t>
      </w:r>
      <w:r>
        <w:rPr>
          <w:rFonts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3.4.1 采购人优先采购被认定</w:t>
      </w:r>
      <w:r>
        <w:rPr>
          <w:rFonts w:hint="eastAsia" w:ascii="仿宋_GB2312" w:hAnsi="仿宋" w:eastAsia="仿宋_GB2312"/>
          <w:color w:val="000000" w:themeColor="text1"/>
          <w:sz w:val="24"/>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3.4.2首台套产品</w:t>
      </w:r>
      <w:r>
        <w:rPr>
          <w:rFonts w:hint="eastAsia" w:ascii="仿宋_GB2312" w:hAnsi="仿宋" w:eastAsia="仿宋_GB2312"/>
          <w:color w:val="000000" w:themeColor="text1"/>
          <w:sz w:val="24"/>
          <w14:textFill>
            <w14:solidFill>
              <w14:schemeClr w14:val="tx1"/>
            </w14:solidFill>
          </w14:textFill>
        </w:rPr>
        <w:t>被纳入《首台套产品推广应用指导目录》之日起</w:t>
      </w:r>
      <w:r>
        <w:rPr>
          <w:rFonts w:ascii="仿宋_GB2312" w:hAnsi="仿宋" w:eastAsia="仿宋_GB2312"/>
          <w:color w:val="000000" w:themeColor="text1"/>
          <w:sz w:val="24"/>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14:textFill>
            <w14:solidFill>
              <w14:schemeClr w14:val="tx1"/>
            </w14:solidFill>
          </w14:textFill>
        </w:rPr>
        <w:t>自认定之日起</w:t>
      </w:r>
      <w:r>
        <w:rPr>
          <w:rFonts w:ascii="仿宋_GB2312" w:hAnsi="仿宋" w:eastAsia="仿宋_GB2312"/>
          <w:color w:val="000000" w:themeColor="text1"/>
          <w:sz w:val="24"/>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14:textFill>
            <w14:solidFill>
              <w14:schemeClr w14:val="tx1"/>
            </w14:solidFill>
          </w14:textFill>
        </w:rPr>
        <w:t>时业绩分值为满分。</w:t>
      </w:r>
    </w:p>
    <w:p>
      <w:pPr>
        <w:spacing w:line="360" w:lineRule="auto"/>
        <w:rPr>
          <w:rFonts w:ascii="仿宋_GB2312" w:hAnsi="仿宋" w:eastAsia="仿宋_GB2312"/>
          <w:b/>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themeColor="text1"/>
          <w:sz w:val="24"/>
          <w14:textFill>
            <w14:solidFill>
              <w14:schemeClr w14:val="tx1"/>
            </w14:solidFill>
          </w14:textFill>
        </w:rPr>
        <w:t>登录</w:t>
      </w:r>
      <w:r>
        <w:rPr>
          <w:rFonts w:ascii="仿宋_GB2312" w:hAnsi="仿宋" w:eastAsia="仿宋_GB2312"/>
          <w:color w:val="000000" w:themeColor="text1"/>
          <w:sz w:val="24"/>
          <w14:textFill>
            <w14:solidFill>
              <w14:schemeClr w14:val="tx1"/>
            </w14:solidFill>
          </w14:textFill>
        </w:rPr>
        <w:t>杭州市政府采购网“中小企业信用融资”模块，查看信用融资政策文件及各相关银行服务方案。</w:t>
      </w:r>
      <w:r>
        <w:rPr>
          <w:rFonts w:ascii="仿宋_GB2312" w:hAnsi="仿宋" w:eastAsia="仿宋_GB2312"/>
          <w:color w:val="000000" w:themeColor="text1"/>
          <w:sz w:val="24"/>
          <w14:textFill>
            <w14:solidFill>
              <w14:schemeClr w14:val="tx1"/>
            </w14:solidFill>
          </w14:textFill>
        </w:rPr>
        <w:cr/>
      </w:r>
      <w:r>
        <w:rPr>
          <w:rFonts w:ascii="仿宋_GB2312" w:hAnsi="仿宋" w:eastAsia="仿宋_GB2312"/>
          <w:b/>
          <w:color w:val="000000" w:themeColor="text1"/>
          <w:sz w:val="24"/>
          <w14:textFill>
            <w14:solidFill>
              <w14:schemeClr w14:val="tx1"/>
            </w14:solidFill>
          </w14:textFill>
        </w:rPr>
        <w:t xml:space="preserve">4. </w:t>
      </w:r>
      <w:r>
        <w:rPr>
          <w:rFonts w:hint="eastAsia" w:ascii="仿宋_GB2312" w:hAnsi="仿宋" w:eastAsia="仿宋_GB2312"/>
          <w:b/>
          <w:color w:val="000000" w:themeColor="text1"/>
          <w:sz w:val="24"/>
          <w14:textFill>
            <w14:solidFill>
              <w14:schemeClr w14:val="tx1"/>
            </w14:solidFill>
          </w14:textFill>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s="微软雅黑"/>
          <w:color w:val="000000" w:themeColor="text1"/>
          <w:lang w:val="zh-CN"/>
          <w14:textFill>
            <w14:solidFill>
              <w14:schemeClr w14:val="tx1"/>
            </w14:solidFill>
          </w14:textFill>
        </w:rPr>
        <w:t>4.2</w:t>
      </w:r>
      <w:r>
        <w:rPr>
          <w:rFonts w:ascii="仿宋_GB2312" w:hAnsi="仿宋" w:eastAsia="仿宋_GB2312"/>
          <w:color w:val="000000" w:themeColor="text1"/>
          <w14:textFill>
            <w14:solidFill>
              <w14:schemeClr w14:val="tx1"/>
            </w14:solidFill>
          </w14:textFill>
        </w:rPr>
        <w:t>.4</w:t>
      </w:r>
      <w:r>
        <w:rPr>
          <w:rFonts w:hint="eastAsia" w:ascii="仿宋_GB2312" w:hAnsi="仿宋" w:eastAsia="仿宋_GB2312"/>
          <w:color w:val="000000" w:themeColor="text1"/>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themeColor="text1"/>
          <w14:textFill>
            <w14:solidFill>
              <w14:schemeClr w14:val="tx1"/>
            </w14:solidFill>
          </w14:textFill>
        </w:rPr>
        <w:t>2021〕17号）,</w:t>
      </w:r>
      <w:r>
        <w:rPr>
          <w:rFonts w:hint="eastAsia" w:ascii="仿宋_GB2312" w:hAnsi="仿宋" w:eastAsia="仿宋_GB2312"/>
          <w:color w:val="000000" w:themeColor="text1"/>
          <w14:textFill>
            <w14:solidFill>
              <w14:schemeClr w14:val="tx1"/>
            </w14:solidFill>
          </w14:textFill>
        </w:rPr>
        <w:t>采购人或者采购机构在质疑回复后</w:t>
      </w:r>
      <w:r>
        <w:rPr>
          <w:rFonts w:ascii="仿宋_GB2312" w:hAnsi="仿宋" w:eastAsia="仿宋_GB2312"/>
          <w:color w:val="000000" w:themeColor="text1"/>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14:textFill>
            <w14:solidFill>
              <w14:schemeClr w14:val="tx1"/>
            </w14:solidFill>
          </w14:textFill>
        </w:rPr>
        <w:t>函作为附件上传。</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color w:val="000000" w:themeColor="text1"/>
          <w:lang w:val="zh-CN"/>
          <w14:textFill>
            <w14:solidFill>
              <w14:schemeClr w14:val="tx1"/>
            </w14:solidFill>
          </w14:textFill>
        </w:rPr>
        <w:t>4.2</w:t>
      </w:r>
      <w:r>
        <w:rPr>
          <w:rFonts w:ascii="仿宋_GB2312" w:hAnsi="仿宋" w:eastAsia="仿宋_GB2312"/>
          <w:color w:val="000000" w:themeColor="text1"/>
          <w14:textFill>
            <w14:solidFill>
              <w14:schemeClr w14:val="tx1"/>
            </w14:solidFill>
          </w14:textFill>
        </w:rPr>
        <w:t>.5询问或者质疑事项可能影响采购结果的</w:t>
      </w:r>
      <w:r>
        <w:rPr>
          <w:rFonts w:ascii="仿宋_GB2312" w:hAnsi="仿宋" w:eastAsia="仿宋_GB2312"/>
        </w:rPr>
        <w:t>，采购人应当暂停签订合同，已经签订合同的，应当中止履行合同。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9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9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9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numPr>
          <w:ilvl w:val="0"/>
          <w:numId w:val="1"/>
        </w:numPr>
        <w:spacing w:line="360" w:lineRule="auto"/>
        <w:rPr>
          <w:rFonts w:ascii="仿宋_GB2312" w:hAnsi="仿宋" w:eastAsia="仿宋_GB2312" w:cs="仿宋_GB2312"/>
          <w:b/>
          <w:sz w:val="24"/>
          <w:szCs w:val="24"/>
        </w:rPr>
      </w:pPr>
      <w:r>
        <w:rPr>
          <w:rFonts w:ascii="仿宋_GB2312" w:hAnsi="仿宋" w:eastAsia="仿宋_GB2312" w:cs="仿宋_GB2312"/>
          <w:b/>
          <w:sz w:val="24"/>
          <w:szCs w:val="24"/>
        </w:rPr>
        <w:t>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numPr>
          <w:ilvl w:val="0"/>
          <w:numId w:val="1"/>
        </w:numPr>
        <w:spacing w:line="360" w:lineRule="auto"/>
        <w:rPr>
          <w:rFonts w:ascii="仿宋_GB2312" w:hAnsi="仿宋" w:eastAsia="仿宋_GB2312" w:cs="仿宋_GB2312"/>
          <w:b/>
          <w:szCs w:val="24"/>
        </w:rPr>
      </w:pPr>
      <w:r>
        <w:rPr>
          <w:rFonts w:ascii="仿宋_GB2312" w:hAnsi="仿宋" w:eastAsia="仿宋_GB2312"/>
          <w:b/>
          <w:kern w:val="28"/>
          <w:sz w:val="24"/>
          <w:szCs w:val="24"/>
        </w:rPr>
        <w:t>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0" w:firstLineChars="0"/>
        <w:rPr>
          <w:rFonts w:ascii="仿宋_GB2312" w:hAnsi="仿宋" w:eastAsia="仿宋_GB2312" w:cs="仿宋_GB2312"/>
          <w:color w:val="FF0000"/>
          <w:sz w:val="24"/>
        </w:rPr>
      </w:pPr>
      <w:r>
        <w:rPr>
          <w:rFonts w:ascii="仿宋_GB2312" w:hAnsi="仿宋" w:eastAsia="仿宋_GB2312" w:cs="仿宋_GB2312"/>
          <w:color w:val="FF0000"/>
          <w:sz w:val="24"/>
        </w:rPr>
        <w:t>11.1</w:t>
      </w:r>
      <w:r>
        <w:rPr>
          <w:rFonts w:hint="eastAsia" w:ascii="仿宋_GB2312" w:hAnsi="仿宋" w:eastAsia="仿宋_GB2312" w:cs="仿宋_GB2312"/>
          <w:b/>
          <w:color w:val="FF0000"/>
          <w:sz w:val="24"/>
        </w:rPr>
        <w:t>资格文件</w:t>
      </w:r>
      <w:r>
        <w:rPr>
          <w:rFonts w:hint="eastAsia" w:ascii="仿宋_GB2312" w:hAnsi="仿宋" w:eastAsia="仿宋_GB2312" w:cs="仿宋_GB2312"/>
          <w:color w:val="FF0000"/>
          <w:sz w:val="24"/>
        </w:rPr>
        <w:t>：</w:t>
      </w:r>
    </w:p>
    <w:p>
      <w:pPr>
        <w:snapToGrid w:val="0"/>
        <w:spacing w:line="360" w:lineRule="auto"/>
        <w:ind w:firstLine="843" w:firstLineChars="400"/>
        <w:rPr>
          <w:rFonts w:ascii="仿宋_GB2312" w:hAnsi="仿宋" w:eastAsia="仿宋_GB2312" w:cs="仿宋_GB2312"/>
          <w:color w:val="FF0000"/>
          <w:sz w:val="24"/>
        </w:rPr>
      </w:pPr>
      <w:r>
        <w:rPr>
          <w:rFonts w:hint="eastAsia" w:ascii="仿宋_GB2312" w:hAnsi="仿宋" w:eastAsia="仿宋_GB2312"/>
          <w:b/>
          <w:color w:val="FF0000"/>
        </w:rPr>
        <w:t>▲</w:t>
      </w:r>
      <w:r>
        <w:rPr>
          <w:rFonts w:ascii="仿宋_GB2312" w:hAnsi="仿宋" w:eastAsia="仿宋_GB2312" w:cs="仿宋_GB2312"/>
          <w:color w:val="FF0000"/>
          <w:sz w:val="24"/>
        </w:rPr>
        <w:t>11.1.1符合参加政府采购活动应当具备的一般条件的承诺函；</w:t>
      </w:r>
    </w:p>
    <w:p>
      <w:pPr>
        <w:snapToGrid w:val="0"/>
        <w:spacing w:line="360" w:lineRule="auto"/>
        <w:ind w:firstLine="843" w:firstLineChars="400"/>
        <w:rPr>
          <w:rFonts w:hint="default" w:ascii="仿宋_GB2312" w:hAnsi="仿宋" w:eastAsia="仿宋_GB2312" w:cs="仿宋_GB2312"/>
          <w:b/>
          <w:bCs/>
          <w:color w:val="FF0000"/>
          <w:sz w:val="24"/>
          <w:lang w:val="en-US" w:eastAsia="zh-CN"/>
        </w:rPr>
      </w:pPr>
      <w:r>
        <w:rPr>
          <w:rFonts w:hint="eastAsia" w:ascii="仿宋_GB2312" w:hAnsi="仿宋" w:eastAsia="仿宋_GB2312"/>
          <w:b/>
          <w:color w:val="FF0000"/>
        </w:rPr>
        <w:t>▲</w:t>
      </w:r>
      <w:r>
        <w:rPr>
          <w:rFonts w:ascii="仿宋_GB2312" w:hAnsi="仿宋" w:eastAsia="仿宋_GB2312" w:cs="仿宋_GB2312"/>
          <w:color w:val="FF0000"/>
          <w:sz w:val="24"/>
        </w:rPr>
        <w:t>11.1.2落实政府采购政策需满足的资格要求</w:t>
      </w:r>
      <w:r>
        <w:rPr>
          <w:rFonts w:hint="eastAsia" w:ascii="仿宋_GB2312" w:hAnsi="仿宋" w:eastAsia="仿宋_GB2312" w:cs="仿宋_GB2312"/>
          <w:color w:val="FF0000"/>
          <w:sz w:val="24"/>
          <w:lang w:val="en-US" w:eastAsia="zh-CN"/>
        </w:rPr>
        <w:t>:</w:t>
      </w:r>
      <w:r>
        <w:rPr>
          <w:rFonts w:hint="eastAsia" w:ascii="仿宋_GB2312" w:hAnsi="仿宋" w:eastAsia="仿宋_GB2312" w:cs="仿宋_GB2312"/>
          <w:b/>
          <w:bCs/>
          <w:color w:val="FF0000"/>
          <w:sz w:val="24"/>
          <w:lang w:val="en-US" w:eastAsia="zh-CN"/>
        </w:rPr>
        <w:t xml:space="preserve"> 本项目为专门面向中小企业采购的项目,投标单位应为中小企业或监狱企业和残疾人福利性单位，出具《中小企业声明函》，否则作无效投标。                 </w:t>
      </w:r>
    </w:p>
    <w:p>
      <w:pPr>
        <w:snapToGrid w:val="0"/>
        <w:spacing w:line="360" w:lineRule="auto"/>
        <w:ind w:firstLine="960" w:firstLineChars="400"/>
        <w:rPr>
          <w:rFonts w:hint="default" w:ascii="仿宋_GB2312" w:hAnsi="仿宋" w:eastAsia="仿宋_GB2312" w:cs="仿宋_GB2312"/>
          <w:b w:val="0"/>
          <w:bCs w:val="0"/>
          <w:color w:val="auto"/>
          <w:kern w:val="2"/>
          <w:sz w:val="24"/>
          <w:lang w:val="en-US" w:eastAsia="zh-CN"/>
        </w:rPr>
      </w:pPr>
      <w:r>
        <w:rPr>
          <w:rFonts w:ascii="仿宋_GB2312" w:hAnsi="仿宋" w:eastAsia="仿宋_GB2312" w:cs="仿宋_GB2312"/>
          <w:color w:val="FF0000"/>
          <w:sz w:val="24"/>
        </w:rPr>
        <w:t>11.1.3本项目的特定资格要求</w:t>
      </w:r>
      <w:r>
        <w:rPr>
          <w:rFonts w:hint="eastAsia" w:ascii="仿宋_GB2312" w:hAnsi="仿宋" w:eastAsia="仿宋_GB2312" w:cs="仿宋_GB2312"/>
          <w:color w:val="FF0000"/>
          <w:sz w:val="24"/>
          <w:lang w:val="en-US" w:eastAsia="zh-CN"/>
        </w:rPr>
        <w:t>:本项目不接受联合体投标</w:t>
      </w:r>
      <w:r>
        <w:rPr>
          <w:rFonts w:ascii="仿宋_GB2312" w:hAnsi="仿宋" w:eastAsia="仿宋_GB2312" w:cs="仿宋_GB2312"/>
          <w:color w:val="FF0000"/>
          <w:sz w:val="24"/>
        </w:rPr>
        <w:t>。</w:t>
      </w:r>
    </w:p>
    <w:p>
      <w:pPr>
        <w:snapToGrid w:val="0"/>
        <w:spacing w:line="360" w:lineRule="auto"/>
        <w:ind w:left="105" w:leftChars="50" w:firstLine="482" w:firstLineChars="200"/>
        <w:rPr>
          <w:rFonts w:hint="eastAsia" w:ascii="仿宋_GB2312" w:hAnsi="仿宋_GB2312" w:eastAsia="仿宋_GB2312" w:cs="仿宋_GB2312"/>
          <w:sz w:val="24"/>
          <w:lang w:eastAsia="zh-CN"/>
        </w:rPr>
      </w:pPr>
      <w:r>
        <w:rPr>
          <w:rFonts w:hint="eastAsia" w:ascii="仿宋_GB2312" w:hAnsi="仿宋_GB2312" w:eastAsia="仿宋_GB2312" w:cs="仿宋_GB2312"/>
          <w:b/>
          <w:bCs/>
          <w:color w:val="000000"/>
          <w:sz w:val="24"/>
          <w:szCs w:val="24"/>
          <w:lang w:eastAsia="zh-CN"/>
        </w:rPr>
        <w:t>注：</w:t>
      </w:r>
      <w:r>
        <w:rPr>
          <w:rFonts w:hint="eastAsia" w:ascii="仿宋_GB2312" w:hAnsi="仿宋_GB2312" w:eastAsia="仿宋_GB2312" w:cs="仿宋_GB2312"/>
          <w:b/>
          <w:bCs/>
          <w:color w:val="000000"/>
          <w:sz w:val="24"/>
          <w:szCs w:val="24"/>
        </w:rPr>
        <w:t>上述资格条件审查材料有一项不提供的，视为资格审查不通过。</w:t>
      </w:r>
      <w:r>
        <w:rPr>
          <w:rFonts w:hint="eastAsia" w:ascii="仿宋_GB2312" w:hAnsi="仿宋_GB2312" w:eastAsia="仿宋_GB2312" w:cs="仿宋_GB2312"/>
          <w:b/>
          <w:bCs/>
          <w:color w:val="000000"/>
          <w:sz w:val="24"/>
          <w:szCs w:val="24"/>
          <w:lang w:eastAsia="zh-CN"/>
        </w:rPr>
        <w:t>上述内容部分格式及内容详见“</w:t>
      </w:r>
      <w:r>
        <w:rPr>
          <w:rFonts w:hint="eastAsia" w:ascii="仿宋_GB2312" w:hAnsi="仿宋_GB2312" w:eastAsia="仿宋_GB2312" w:cs="仿宋_GB2312"/>
          <w:sz w:val="24"/>
          <w:lang w:eastAsia="zh-CN"/>
        </w:rPr>
        <w:t>第六部分  应提交的有关格式范例”。</w:t>
      </w:r>
    </w:p>
    <w:p>
      <w:pPr>
        <w:snapToGrid w:val="0"/>
        <w:spacing w:line="360" w:lineRule="auto"/>
        <w:ind w:firstLine="482" w:firstLineChars="200"/>
        <w:rPr>
          <w:rFonts w:hint="eastAsia"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632" w:firstLineChars="300"/>
        <w:rPr>
          <w:rFonts w:ascii="仿宋_GB2312" w:hAnsi="仿宋" w:eastAsia="仿宋_GB2312" w:cs="仿宋_GB2312"/>
          <w:b/>
          <w:bCs w:val="0"/>
          <w:color w:val="auto"/>
          <w:sz w:val="24"/>
        </w:rPr>
      </w:pPr>
      <w:r>
        <w:rPr>
          <w:rFonts w:hint="eastAsia" w:ascii="仿宋_GB2312" w:hAnsi="仿宋" w:eastAsia="仿宋_GB2312"/>
          <w:b/>
          <w:bCs w:val="0"/>
          <w:color w:val="auto"/>
        </w:rPr>
        <w:t>▲</w:t>
      </w:r>
      <w:r>
        <w:rPr>
          <w:rFonts w:ascii="仿宋_GB2312" w:hAnsi="仿宋" w:eastAsia="仿宋_GB2312" w:cs="仿宋_GB2312"/>
          <w:b/>
          <w:bCs w:val="0"/>
          <w:color w:val="auto"/>
          <w:sz w:val="24"/>
        </w:rPr>
        <w:t>11.2.1投标函</w:t>
      </w:r>
      <w:r>
        <w:rPr>
          <w:rFonts w:hint="eastAsia" w:ascii="仿宋_GB2312" w:hAnsi="仿宋" w:eastAsia="仿宋_GB2312" w:cs="仿宋_GB2312"/>
          <w:b/>
          <w:bCs w:val="0"/>
          <w:color w:val="auto"/>
          <w:sz w:val="24"/>
          <w:lang w:eastAsia="zh-CN"/>
        </w:rPr>
        <w:t>（格式内容见“</w:t>
      </w:r>
      <w:r>
        <w:rPr>
          <w:rFonts w:hint="eastAsia" w:ascii="仿宋_GB2312" w:hAnsi="仿宋_GB2312" w:eastAsia="仿宋_GB2312" w:cs="仿宋_GB2312"/>
          <w:b/>
          <w:bCs w:val="0"/>
          <w:color w:val="auto"/>
          <w:sz w:val="24"/>
          <w:lang w:eastAsia="zh-CN"/>
        </w:rPr>
        <w:t>第六部分  应提交的有关格式范例”</w:t>
      </w:r>
      <w:r>
        <w:rPr>
          <w:rFonts w:hint="eastAsia" w:ascii="仿宋_GB2312" w:hAnsi="仿宋" w:eastAsia="仿宋_GB2312" w:cs="仿宋_GB2312"/>
          <w:b/>
          <w:bCs w:val="0"/>
          <w:color w:val="auto"/>
          <w:sz w:val="24"/>
          <w:lang w:eastAsia="zh-CN"/>
        </w:rPr>
        <w:t>）</w:t>
      </w:r>
      <w:r>
        <w:rPr>
          <w:rFonts w:ascii="仿宋_GB2312" w:hAnsi="仿宋" w:eastAsia="仿宋_GB2312" w:cs="仿宋_GB2312"/>
          <w:b/>
          <w:bCs w:val="0"/>
          <w:color w:val="auto"/>
          <w:sz w:val="24"/>
        </w:rPr>
        <w:t>；</w:t>
      </w:r>
      <w:r>
        <w:rPr>
          <w:rFonts w:ascii="仿宋_GB2312" w:hAnsi="仿宋" w:eastAsia="仿宋_GB2312" w:cs="仿宋_GB2312"/>
          <w:b/>
          <w:bCs w:val="0"/>
          <w:color w:val="auto"/>
          <w:sz w:val="24"/>
          <w:lang w:val="zh-CN"/>
        </w:rPr>
        <w:t xml:space="preserve"> </w:t>
      </w:r>
    </w:p>
    <w:p>
      <w:pPr>
        <w:snapToGrid w:val="0"/>
        <w:spacing w:line="360" w:lineRule="auto"/>
        <w:ind w:firstLine="632" w:firstLineChars="300"/>
        <w:rPr>
          <w:rFonts w:ascii="仿宋_GB2312" w:hAnsi="仿宋" w:eastAsia="仿宋_GB2312" w:cs="仿宋_GB2312"/>
          <w:b/>
          <w:bCs w:val="0"/>
          <w:color w:val="auto"/>
          <w:sz w:val="24"/>
        </w:rPr>
      </w:pPr>
      <w:r>
        <w:rPr>
          <w:rFonts w:hint="eastAsia" w:ascii="仿宋_GB2312" w:hAnsi="仿宋" w:eastAsia="仿宋_GB2312"/>
          <w:b/>
          <w:bCs w:val="0"/>
          <w:color w:val="auto"/>
        </w:rPr>
        <w:t>▲</w:t>
      </w:r>
      <w:r>
        <w:rPr>
          <w:rFonts w:ascii="仿宋_GB2312" w:hAnsi="仿宋" w:eastAsia="仿宋_GB2312" w:cs="仿宋_GB2312"/>
          <w:b/>
          <w:bCs w:val="0"/>
          <w:color w:val="auto"/>
          <w:sz w:val="24"/>
        </w:rPr>
        <w:t>11.2.2授权委托书或法定代表人（单位负责人、自然人本人）身份证明；</w:t>
      </w:r>
      <w:r>
        <w:rPr>
          <w:rFonts w:hint="eastAsia" w:ascii="仿宋_GB2312" w:hAnsi="仿宋" w:eastAsia="仿宋_GB2312" w:cs="仿宋_GB2312"/>
          <w:b/>
          <w:bCs w:val="0"/>
          <w:color w:val="auto"/>
          <w:sz w:val="24"/>
          <w:lang w:eastAsia="zh-CN"/>
        </w:rPr>
        <w:t>（格式内容见“</w:t>
      </w:r>
      <w:r>
        <w:rPr>
          <w:rFonts w:hint="eastAsia" w:ascii="仿宋_GB2312" w:hAnsi="仿宋_GB2312" w:eastAsia="仿宋_GB2312" w:cs="仿宋_GB2312"/>
          <w:b/>
          <w:bCs w:val="0"/>
          <w:color w:val="auto"/>
          <w:sz w:val="24"/>
          <w:lang w:eastAsia="zh-CN"/>
        </w:rPr>
        <w:t>第六部分  应提交的有关格式范例”</w:t>
      </w:r>
      <w:r>
        <w:rPr>
          <w:rFonts w:hint="eastAsia" w:ascii="仿宋_GB2312" w:hAnsi="仿宋" w:eastAsia="仿宋_GB2312" w:cs="仿宋_GB2312"/>
          <w:b/>
          <w:bCs w:val="0"/>
          <w:color w:val="auto"/>
          <w:sz w:val="24"/>
          <w:lang w:eastAsia="zh-CN"/>
        </w:rPr>
        <w:t>）</w:t>
      </w:r>
    </w:p>
    <w:p>
      <w:pPr>
        <w:snapToGrid w:val="0"/>
        <w:spacing w:line="360" w:lineRule="auto"/>
        <w:ind w:firstLine="632" w:firstLineChars="300"/>
        <w:rPr>
          <w:rFonts w:ascii="仿宋_GB2312" w:hAnsi="仿宋" w:eastAsia="仿宋_GB2312" w:cs="仿宋_GB2312"/>
          <w:color w:val="auto"/>
          <w:sz w:val="24"/>
        </w:rPr>
      </w:pPr>
      <w:r>
        <w:rPr>
          <w:rFonts w:hint="eastAsia" w:ascii="仿宋_GB2312" w:hAnsi="仿宋" w:eastAsia="仿宋_GB2312"/>
          <w:b/>
          <w:bCs w:val="0"/>
          <w:color w:val="auto"/>
        </w:rPr>
        <w:t>▲</w:t>
      </w: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符合性审查资料；</w:t>
      </w:r>
      <w:r>
        <w:rPr>
          <w:rFonts w:hint="eastAsia" w:ascii="仿宋_GB2312" w:hAnsi="仿宋" w:eastAsia="仿宋_GB2312" w:cs="仿宋_GB2312"/>
          <w:color w:val="auto"/>
          <w:sz w:val="24"/>
          <w:lang w:eastAsia="zh-CN"/>
        </w:rPr>
        <w:t>（格式内容见“</w:t>
      </w:r>
      <w:r>
        <w:rPr>
          <w:rFonts w:hint="eastAsia" w:ascii="仿宋_GB2312" w:hAnsi="仿宋_GB2312" w:eastAsia="仿宋_GB2312" w:cs="仿宋_GB2312"/>
          <w:color w:val="auto"/>
          <w:sz w:val="24"/>
          <w:lang w:eastAsia="zh-CN"/>
        </w:rPr>
        <w:t>第六部分  应提交的有关格式范例”</w:t>
      </w:r>
      <w:r>
        <w:rPr>
          <w:rFonts w:hint="eastAsia" w:ascii="仿宋_GB2312" w:hAnsi="仿宋" w:eastAsia="仿宋_GB2312" w:cs="仿宋_GB2312"/>
          <w:color w:val="auto"/>
          <w:sz w:val="24"/>
          <w:lang w:eastAsia="zh-CN"/>
        </w:rPr>
        <w:t>）</w:t>
      </w:r>
    </w:p>
    <w:p>
      <w:pPr>
        <w:snapToGrid w:val="0"/>
        <w:spacing w:line="360" w:lineRule="auto"/>
        <w:ind w:firstLine="723" w:firstLineChars="300"/>
        <w:rPr>
          <w:rFonts w:ascii="仿宋_GB2312" w:hAnsi="仿宋" w:eastAsia="仿宋_GB2312" w:cs="仿宋_GB2312"/>
          <w:b/>
          <w:bCs/>
          <w:color w:val="auto"/>
          <w:sz w:val="24"/>
        </w:rPr>
      </w:pPr>
      <w:r>
        <w:rPr>
          <w:rFonts w:ascii="仿宋_GB2312" w:hAnsi="仿宋" w:eastAsia="仿宋_GB2312" w:cs="仿宋_GB2312"/>
          <w:b/>
          <w:bCs/>
          <w:color w:val="auto"/>
          <w:sz w:val="24"/>
        </w:rPr>
        <w:t>11.2.</w:t>
      </w:r>
      <w:r>
        <w:rPr>
          <w:rFonts w:hint="eastAsia" w:ascii="仿宋_GB2312" w:hAnsi="仿宋" w:eastAsia="仿宋_GB2312" w:cs="仿宋_GB2312"/>
          <w:b/>
          <w:bCs/>
          <w:color w:val="auto"/>
          <w:sz w:val="24"/>
          <w:lang w:val="en-US" w:eastAsia="zh-CN"/>
        </w:rPr>
        <w:t>4</w:t>
      </w:r>
      <w:r>
        <w:rPr>
          <w:rFonts w:ascii="仿宋_GB2312" w:hAnsi="仿宋" w:eastAsia="仿宋_GB2312" w:cs="仿宋_GB2312"/>
          <w:b/>
          <w:bCs/>
          <w:color w:val="auto"/>
          <w:sz w:val="24"/>
        </w:rPr>
        <w:t>评标标准相应的商务技术资料；</w:t>
      </w:r>
    </w:p>
    <w:p>
      <w:pPr>
        <w:snapToGrid w:val="0"/>
        <w:spacing w:line="360" w:lineRule="auto"/>
        <w:ind w:firstLine="482" w:firstLineChars="200"/>
        <w:rPr>
          <w:rFonts w:ascii="仿宋_GB2312" w:hAnsi="仿宋" w:eastAsia="仿宋_GB2312" w:cs="仿宋_GB2312"/>
          <w:b/>
          <w:bCs/>
          <w:color w:val="auto"/>
          <w:sz w:val="24"/>
        </w:rPr>
      </w:pPr>
      <w:r>
        <w:rPr>
          <w:rFonts w:hint="eastAsia" w:ascii="仿宋_GB2312" w:hAnsi="仿宋" w:eastAsia="仿宋_GB2312" w:cs="仿宋_GB2312"/>
          <w:b/>
          <w:bCs/>
          <w:color w:val="auto"/>
          <w:sz w:val="24"/>
        </w:rPr>
        <w:t>（按招标文件第四部分评标办法前附表中“投标文件中评标标准相应的商务技术资料目录”提供资料）</w:t>
      </w:r>
    </w:p>
    <w:p>
      <w:pPr>
        <w:snapToGrid w:val="0"/>
        <w:spacing w:line="360" w:lineRule="auto"/>
        <w:ind w:firstLine="723" w:firstLineChars="300"/>
        <w:rPr>
          <w:rFonts w:ascii="仿宋_GB2312" w:hAnsi="仿宋" w:eastAsia="仿宋_GB2312" w:cs="仿宋_GB2312"/>
          <w:b/>
          <w:bCs w:val="0"/>
          <w:color w:val="auto"/>
          <w:sz w:val="24"/>
        </w:rPr>
      </w:pPr>
      <w:r>
        <w:rPr>
          <w:rFonts w:ascii="仿宋_GB2312" w:hAnsi="仿宋" w:eastAsia="仿宋_GB2312" w:cs="仿宋_GB2312"/>
          <w:b/>
          <w:bCs w:val="0"/>
          <w:color w:val="auto"/>
          <w:sz w:val="24"/>
        </w:rPr>
        <w:t>11.2.</w:t>
      </w:r>
      <w:r>
        <w:rPr>
          <w:rFonts w:hint="eastAsia" w:ascii="仿宋_GB2312" w:hAnsi="仿宋" w:eastAsia="仿宋_GB2312" w:cs="仿宋_GB2312"/>
          <w:b/>
          <w:bCs w:val="0"/>
          <w:color w:val="auto"/>
          <w:sz w:val="24"/>
          <w:lang w:val="en-US" w:eastAsia="zh-CN"/>
        </w:rPr>
        <w:t>5</w:t>
      </w:r>
      <w:r>
        <w:rPr>
          <w:rFonts w:ascii="仿宋_GB2312" w:hAnsi="仿宋" w:eastAsia="仿宋_GB2312" w:cs="仿宋_GB2312"/>
          <w:b/>
          <w:bCs w:val="0"/>
          <w:color w:val="auto"/>
          <w:sz w:val="24"/>
        </w:rPr>
        <w:t>商务技术偏离表</w:t>
      </w:r>
      <w:r>
        <w:rPr>
          <w:rFonts w:hint="eastAsia" w:ascii="仿宋_GB2312" w:hAnsi="仿宋" w:eastAsia="仿宋_GB2312" w:cs="仿宋_GB2312"/>
          <w:b/>
          <w:bCs w:val="0"/>
          <w:color w:val="auto"/>
          <w:sz w:val="24"/>
          <w:lang w:eastAsia="zh-CN"/>
        </w:rPr>
        <w:t>（格式内容见“</w:t>
      </w:r>
      <w:r>
        <w:rPr>
          <w:rFonts w:hint="eastAsia" w:ascii="仿宋_GB2312" w:hAnsi="仿宋_GB2312" w:eastAsia="仿宋_GB2312" w:cs="仿宋_GB2312"/>
          <w:b/>
          <w:bCs w:val="0"/>
          <w:color w:val="auto"/>
          <w:sz w:val="24"/>
          <w:lang w:eastAsia="zh-CN"/>
        </w:rPr>
        <w:t>第六部分  应提交的有关格式范例”</w:t>
      </w:r>
      <w:r>
        <w:rPr>
          <w:rFonts w:hint="eastAsia" w:ascii="仿宋_GB2312" w:hAnsi="仿宋" w:eastAsia="仿宋_GB2312" w:cs="仿宋_GB2312"/>
          <w:b/>
          <w:bCs w:val="0"/>
          <w:color w:val="auto"/>
          <w:sz w:val="24"/>
          <w:lang w:eastAsia="zh-CN"/>
        </w:rPr>
        <w:t>）</w:t>
      </w:r>
      <w:r>
        <w:rPr>
          <w:rFonts w:ascii="仿宋_GB2312" w:hAnsi="仿宋" w:eastAsia="仿宋_GB2312" w:cs="仿宋_GB2312"/>
          <w:b/>
          <w:bCs w:val="0"/>
          <w:color w:val="auto"/>
          <w:sz w:val="24"/>
        </w:rPr>
        <w:t>；</w:t>
      </w:r>
    </w:p>
    <w:p>
      <w:pPr>
        <w:snapToGrid w:val="0"/>
        <w:spacing w:line="360" w:lineRule="auto"/>
        <w:ind w:firstLine="723" w:firstLineChars="300"/>
        <w:rPr>
          <w:rFonts w:hint="eastAsia" w:ascii="仿宋_GB2312" w:hAnsi="仿宋" w:eastAsia="仿宋_GB2312" w:cs="仿宋_GB2312"/>
          <w:sz w:val="24"/>
          <w:lang w:val="zh-CN"/>
        </w:rPr>
      </w:pPr>
      <w:r>
        <w:rPr>
          <w:rFonts w:ascii="仿宋_GB2312" w:hAnsi="仿宋" w:eastAsia="仿宋_GB2312" w:cs="仿宋_GB2312"/>
          <w:b/>
          <w:bCs w:val="0"/>
          <w:color w:val="auto"/>
          <w:sz w:val="24"/>
          <w:lang w:val="zh-CN"/>
        </w:rPr>
        <w:t>11</w:t>
      </w:r>
      <w:r>
        <w:rPr>
          <w:rFonts w:ascii="仿宋_GB2312" w:hAnsi="仿宋" w:eastAsia="仿宋_GB2312" w:cs="仿宋_GB2312"/>
          <w:b/>
          <w:bCs w:val="0"/>
          <w:sz w:val="24"/>
          <w:lang w:val="zh-CN"/>
        </w:rPr>
        <w:t>.</w:t>
      </w:r>
      <w:r>
        <w:rPr>
          <w:rFonts w:ascii="仿宋_GB2312" w:hAnsi="仿宋" w:eastAsia="仿宋_GB2312" w:cs="仿宋_GB2312"/>
          <w:b/>
          <w:bCs w:val="0"/>
          <w:sz w:val="24"/>
        </w:rPr>
        <w:t>2</w:t>
      </w:r>
      <w:r>
        <w:rPr>
          <w:rFonts w:ascii="仿宋_GB2312" w:hAnsi="仿宋" w:eastAsia="仿宋_GB2312" w:cs="仿宋_GB2312"/>
          <w:b/>
          <w:bCs w:val="0"/>
          <w:sz w:val="24"/>
          <w:lang w:val="zh-CN"/>
        </w:rPr>
        <w:t>.</w:t>
      </w:r>
      <w:r>
        <w:rPr>
          <w:rFonts w:hint="eastAsia" w:ascii="仿宋_GB2312" w:hAnsi="仿宋" w:eastAsia="仿宋_GB2312" w:cs="仿宋_GB2312"/>
          <w:b/>
          <w:bCs w:val="0"/>
          <w:sz w:val="24"/>
          <w:lang w:val="en-US" w:eastAsia="zh-CN"/>
        </w:rPr>
        <w:t>6</w:t>
      </w:r>
      <w:r>
        <w:rPr>
          <w:rFonts w:hint="eastAsia" w:ascii="仿宋_GB2312" w:hAnsi="仿宋" w:eastAsia="仿宋_GB2312" w:cs="仿宋_GB2312"/>
          <w:b/>
          <w:bCs w:val="0"/>
          <w:sz w:val="24"/>
          <w:lang w:val="zh-CN"/>
        </w:rPr>
        <w:t>政府采购供应商廉洁自律承诺书</w:t>
      </w:r>
      <w:r>
        <w:rPr>
          <w:rFonts w:hint="eastAsia" w:ascii="仿宋_GB2312" w:hAnsi="仿宋" w:eastAsia="仿宋_GB2312" w:cs="仿宋_GB2312"/>
          <w:b/>
          <w:bCs w:val="0"/>
          <w:color w:val="auto"/>
          <w:sz w:val="24"/>
          <w:lang w:eastAsia="zh-CN"/>
        </w:rPr>
        <w:t>（格式内容见“</w:t>
      </w:r>
      <w:r>
        <w:rPr>
          <w:rFonts w:hint="eastAsia" w:ascii="仿宋_GB2312" w:hAnsi="仿宋_GB2312" w:eastAsia="仿宋_GB2312" w:cs="仿宋_GB2312"/>
          <w:b/>
          <w:bCs w:val="0"/>
          <w:color w:val="auto"/>
          <w:sz w:val="24"/>
          <w:lang w:eastAsia="zh-CN"/>
        </w:rPr>
        <w:t>第六部分  应提交的有关格式范例”</w:t>
      </w:r>
      <w:r>
        <w:rPr>
          <w:rFonts w:hint="eastAsia" w:ascii="仿宋_GB2312" w:hAnsi="仿宋" w:eastAsia="仿宋_GB2312" w:cs="仿宋_GB2312"/>
          <w:b/>
          <w:bCs w:val="0"/>
          <w:color w:val="auto"/>
          <w:sz w:val="24"/>
          <w:lang w:eastAsia="zh-CN"/>
        </w:rPr>
        <w:t>）</w:t>
      </w:r>
      <w:r>
        <w:rPr>
          <w:rFonts w:hint="eastAsia" w:ascii="仿宋_GB2312" w:hAnsi="仿宋" w:eastAsia="仿宋_GB2312" w:cs="仿宋_GB2312"/>
          <w:b/>
          <w:bCs w:val="0"/>
          <w:sz w:val="24"/>
          <w:lang w:val="zh-CN"/>
        </w:rPr>
        <w:t>；</w:t>
      </w:r>
    </w:p>
    <w:p>
      <w:pPr>
        <w:snapToGrid w:val="0"/>
        <w:spacing w:line="360" w:lineRule="auto"/>
        <w:ind w:firstLine="720" w:firstLineChars="300"/>
        <w:rPr>
          <w:rFonts w:hint="eastAsia"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关于对招标文件中有关条款的拒绝声明（如果有的话）；</w:t>
      </w:r>
    </w:p>
    <w:p>
      <w:pPr>
        <w:snapToGrid w:val="0"/>
        <w:spacing w:line="360" w:lineRule="auto"/>
        <w:ind w:firstLine="720" w:firstLineChars="300"/>
        <w:rPr>
          <w:rFonts w:hint="eastAsia"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8投标人认为需要提供的与本项目有关的其他文件和说明</w:t>
      </w:r>
      <w:r>
        <w:rPr>
          <w:rFonts w:hint="eastAsia" w:ascii="仿宋_GB2312" w:hAnsi="仿宋" w:eastAsia="仿宋_GB2312" w:cs="仿宋_GB2312"/>
          <w:sz w:val="24"/>
          <w:lang w:val="zh-CN"/>
        </w:rPr>
        <w:t>。</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kern w:val="0"/>
          <w:sz w:val="24"/>
          <w:lang w:val="en-US" w:eastAsia="zh-CN"/>
        </w:rPr>
        <w:t xml:space="preserve">  </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22" w:firstLineChars="200"/>
        <w:rPr>
          <w:rFonts w:ascii="仿宋_GB2312" w:hAnsi="仿宋" w:eastAsia="仿宋_GB2312" w:cs="仿宋_GB2312"/>
          <w:sz w:val="24"/>
        </w:rPr>
      </w:pPr>
      <w:r>
        <w:rPr>
          <w:rFonts w:hint="eastAsia" w:ascii="仿宋_GB2312" w:hAnsi="仿宋" w:eastAsia="仿宋_GB2312"/>
          <w:b/>
          <w:bCs w:val="0"/>
          <w:color w:val="auto"/>
        </w:rPr>
        <w:t>▲</w:t>
      </w:r>
      <w:r>
        <w:rPr>
          <w:rFonts w:ascii="仿宋_GB2312" w:hAnsi="仿宋" w:eastAsia="仿宋_GB2312" w:cs="仿宋_GB2312"/>
          <w:sz w:val="24"/>
        </w:rPr>
        <w:t>11.3.1</w:t>
      </w:r>
      <w:r>
        <w:rPr>
          <w:rFonts w:ascii="仿宋_GB2312" w:hAnsi="仿宋" w:eastAsia="仿宋_GB2312" w:cs="仿宋_GB2312"/>
          <w:b/>
          <w:bCs/>
          <w:sz w:val="24"/>
        </w:rPr>
        <w:t>开标一览表（报价表）；</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lang w:eastAsia="zh-CN"/>
        </w:rPr>
        <w:t>注：</w:t>
      </w: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9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numPr>
          <w:ilvl w:val="0"/>
          <w:numId w:val="2"/>
        </w:numPr>
        <w:snapToGrid w:val="0"/>
        <w:spacing w:line="360" w:lineRule="auto"/>
        <w:rPr>
          <w:rFonts w:ascii="仿宋_GB2312" w:hAnsi="仿宋" w:eastAsia="仿宋_GB2312"/>
          <w:b/>
          <w:sz w:val="24"/>
        </w:rPr>
      </w:pPr>
      <w:r>
        <w:rPr>
          <w:rFonts w:ascii="仿宋_GB2312" w:hAnsi="仿宋" w:eastAsia="仿宋_GB2312"/>
          <w:b/>
          <w:sz w:val="24"/>
        </w:rPr>
        <w:t>投标文件的签署、盖章</w:t>
      </w:r>
    </w:p>
    <w:p>
      <w:pPr>
        <w:pStyle w:val="9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9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9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w:t>
      </w:r>
      <w:r>
        <w:rPr>
          <w:rFonts w:ascii="仿宋_GB2312" w:hAnsi="仿宋" w:eastAsia="仿宋_GB2312" w:cs="仿宋_GB2312"/>
          <w:b/>
          <w:szCs w:val="24"/>
        </w:rPr>
        <w:t xml:space="preserve">. </w:t>
      </w:r>
      <w:r>
        <w:rPr>
          <w:rFonts w:ascii="仿宋_GB2312" w:hAnsi="仿宋" w:eastAsia="仿宋_GB2312" w:cs="仿宋_GB2312"/>
          <w:b/>
          <w:sz w:val="24"/>
          <w:szCs w:val="24"/>
        </w:rPr>
        <w:t>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91"/>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91"/>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9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9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91"/>
        <w:spacing w:before="0"/>
        <w:ind w:firstLine="643"/>
        <w:rPr>
          <w:rFonts w:ascii="仿宋_GB2312" w:hAnsi="仿宋" w:eastAsia="仿宋_GB2312" w:cs="仿宋_GB2312"/>
          <w:b/>
          <w:sz w:val="32"/>
        </w:rPr>
      </w:pPr>
    </w:p>
    <w:p>
      <w:pPr>
        <w:pStyle w:val="9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6"/>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w:t>
      </w:r>
      <w:r>
        <w:rPr>
          <w:rFonts w:hint="eastAsia" w:ascii="仿宋_GB2312" w:hAnsi="仿宋" w:eastAsia="仿宋_GB2312" w:cs="仿宋_GB2312"/>
          <w:b/>
          <w:sz w:val="24"/>
          <w:szCs w:val="24"/>
          <w:lang w:val="en-US" w:eastAsia="zh-CN"/>
        </w:rPr>
        <w:t xml:space="preserve"> </w:t>
      </w:r>
      <w:r>
        <w:rPr>
          <w:rFonts w:ascii="仿宋_GB2312" w:hAnsi="仿宋" w:eastAsia="仿宋_GB2312" w:cs="仿宋_GB2312"/>
          <w:b/>
          <w:sz w:val="24"/>
          <w:szCs w:val="24"/>
        </w:rPr>
        <w:t>开标</w:t>
      </w:r>
      <w:r>
        <w:rPr>
          <w:rFonts w:ascii="仿宋_GB2312" w:eastAsia="仿宋_GB2312"/>
          <w:sz w:val="24"/>
        </w:rPr>
        <w:t xml:space="preserve"> </w:t>
      </w:r>
    </w:p>
    <w:p>
      <w:pPr>
        <w:pStyle w:val="246"/>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w:t>
      </w:r>
      <w:r>
        <w:rPr>
          <w:rFonts w:hint="eastAsia" w:ascii="仿宋_GB2312" w:hAnsi="仿宋" w:eastAsia="仿宋_GB2312" w:cs="仿宋_GB2312"/>
          <w:b/>
          <w:sz w:val="24"/>
          <w:szCs w:val="20"/>
          <w:lang w:val="en-US" w:eastAsia="zh-CN"/>
        </w:rPr>
        <w:t xml:space="preserve">. </w:t>
      </w:r>
      <w:r>
        <w:rPr>
          <w:rFonts w:ascii="仿宋_GB2312" w:hAnsi="仿宋" w:eastAsia="仿宋_GB2312" w:cs="仿宋_GB2312"/>
          <w:b/>
          <w:sz w:val="24"/>
          <w:szCs w:val="20"/>
        </w:rPr>
        <w:t>资格审查</w:t>
      </w:r>
    </w:p>
    <w:p>
      <w:pPr>
        <w:pStyle w:val="9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lang w:val="en-US" w:eastAsia="zh-CN"/>
        </w:rPr>
        <w:t xml:space="preserve">. </w:t>
      </w:r>
      <w:r>
        <w:rPr>
          <w:rFonts w:ascii="仿宋_GB2312" w:hAnsi="仿宋" w:eastAsia="仿宋_GB2312" w:cs="仿宋_GB2312"/>
          <w:b/>
          <w:szCs w:val="24"/>
        </w:rPr>
        <w:t>信用信息查询</w:t>
      </w:r>
    </w:p>
    <w:p>
      <w:pPr>
        <w:pStyle w:val="91"/>
        <w:spacing w:before="0"/>
        <w:ind w:firstLine="495" w:firstLineChars="0"/>
        <w:rPr>
          <w:rFonts w:ascii="仿宋_GB2312" w:hAnsi="仿宋" w:eastAsia="仿宋_GB2312" w:cs="Arial"/>
          <w:color w:val="FF0000"/>
          <w:kern w:val="0"/>
          <w:szCs w:val="24"/>
        </w:rPr>
      </w:pPr>
      <w:r>
        <w:rPr>
          <w:rFonts w:ascii="仿宋_GB2312" w:hAnsi="仿宋" w:eastAsia="仿宋_GB2312" w:cs="Arial"/>
          <w:color w:val="FF0000"/>
          <w:kern w:val="0"/>
          <w:szCs w:val="24"/>
        </w:rPr>
        <w:t>20.1信用信息查询渠道及截止时间：采购机构将通过“信用中国”网站(www.creditchina.gov.cn)、中国政府采购网(www.ccgp.gov.cn)渠道查询投标人投标截止时间当天的信用记录。</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9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8"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9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9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9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color w:val="FF0000"/>
          <w:sz w:val="24"/>
          <w:szCs w:val="20"/>
        </w:rPr>
      </w:pPr>
      <w:r>
        <w:rPr>
          <w:rFonts w:hint="eastAsia" w:ascii="仿宋_GB2312" w:hAnsi="仿宋" w:eastAsia="仿宋_GB2312" w:cs="仿宋_GB2312"/>
          <w:color w:val="FF0000"/>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FF0000"/>
          <w:sz w:val="24"/>
          <w:szCs w:val="20"/>
          <w:lang w:val="en-US" w:eastAsia="zh-CN"/>
        </w:rPr>
        <w:t>2.</w:t>
      </w:r>
      <w:r>
        <w:rPr>
          <w:rFonts w:hint="eastAsia" w:ascii="仿宋_GB2312" w:hAnsi="仿宋" w:eastAsia="仿宋_GB2312" w:cs="仿宋_GB2312"/>
          <w:color w:val="FF0000"/>
          <w:sz w:val="24"/>
          <w:szCs w:val="20"/>
        </w:rPr>
        <w:t>5%。</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91"/>
        <w:snapToGrid w:val="0"/>
        <w:spacing w:before="0"/>
        <w:ind w:firstLine="0" w:firstLineChars="0"/>
        <w:rPr>
          <w:rFonts w:ascii="仿宋_GB2312" w:hAnsi="仿宋" w:eastAsia="仿宋_GB2312" w:cs="仿宋_GB2312"/>
        </w:rPr>
      </w:pPr>
      <w:r>
        <w:rPr>
          <w:rFonts w:ascii="仿宋_GB2312" w:hAnsi="仿宋" w:eastAsia="仿宋_GB2312" w:cs="仿宋_GB2312"/>
          <w:b/>
          <w:bCs/>
        </w:rPr>
        <w:t>2</w:t>
      </w:r>
      <w:r>
        <w:rPr>
          <w:rFonts w:ascii="仿宋_GB2312" w:hAnsi="仿宋" w:eastAsia="仿宋_GB2312" w:cs="仿宋_GB2312"/>
          <w:b/>
          <w:bCs/>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91"/>
        <w:numPr>
          <w:ilvl w:val="0"/>
          <w:numId w:val="4"/>
        </w:numPr>
        <w:snapToGrid w:val="0"/>
        <w:spacing w:before="0"/>
        <w:ind w:left="120" w:firstLine="0" w:firstLineChars="0"/>
        <w:rPr>
          <w:rFonts w:ascii="仿宋_GB2312" w:hAnsi="仿宋" w:eastAsia="仿宋_GB2312" w:cs="仿宋_GB2312"/>
        </w:rPr>
      </w:pP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w:t>
      </w:r>
      <w:r>
        <w:rPr>
          <w:rFonts w:hint="eastAsia" w:ascii="仿宋_GB2312" w:hAnsi="仿宋" w:eastAsia="仿宋_GB2312" w:cs="仿宋_GB2312"/>
          <w:b/>
          <w:lang w:val="en-US" w:eastAsia="zh-CN"/>
        </w:rPr>
        <w:t xml:space="preserve"> </w:t>
      </w:r>
      <w:r>
        <w:rPr>
          <w:rFonts w:ascii="仿宋_GB2312" w:hAnsi="仿宋" w:eastAsia="仿宋_GB2312" w:cs="仿宋_GB2312"/>
          <w:b/>
        </w:rPr>
        <w:t>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w:t>
      </w:r>
      <w:r>
        <w:rPr>
          <w:rFonts w:ascii="仿宋_GB2312" w:hAnsi="仿宋" w:eastAsia="仿宋_GB2312" w:cs="Helvetica"/>
          <w:color w:val="000000" w:themeColor="text1"/>
          <w:kern w:val="0"/>
          <w:sz w:val="24"/>
          <w14:textFill>
            <w14:solidFill>
              <w14:schemeClr w14:val="tx1"/>
            </w14:solidFill>
          </w14:textFill>
        </w:rPr>
        <w:t>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w:t>
      </w:r>
      <w:r>
        <w:rPr>
          <w:rFonts w:ascii="仿宋_GB2312" w:hAnsi="仿宋" w:eastAsia="仿宋_GB2312" w:cs="Helvetica"/>
          <w:kern w:val="0"/>
          <w:sz w:val="24"/>
        </w:rPr>
        <w:t>门。</w:t>
      </w:r>
    </w:p>
    <w:bookmarkEnd w:id="18"/>
    <w:p>
      <w:pPr>
        <w:tabs>
          <w:tab w:val="left" w:pos="0"/>
        </w:tabs>
        <w:spacing w:line="360" w:lineRule="auto"/>
        <w:ind w:firstLine="480"/>
        <w:rPr>
          <w:rFonts w:ascii="仿宋_GB2312" w:hAnsi="仿宋" w:eastAsia="仿宋_GB2312" w:cs="Helvetica"/>
          <w:kern w:val="0"/>
          <w:sz w:val="24"/>
        </w:rPr>
        <w:sectPr>
          <w:footerReference r:id="rId9" w:type="first"/>
          <w:footerReference r:id="rId8" w:type="default"/>
          <w:pgSz w:w="11906" w:h="16838"/>
          <w:pgMar w:top="680" w:right="1418" w:bottom="468" w:left="1418" w:header="851" w:footer="992" w:gutter="0"/>
          <w:cols w:space="720" w:num="1"/>
          <w:titlePg/>
          <w:docGrid w:linePitch="312" w:charSpace="0"/>
        </w:sectPr>
      </w:pPr>
      <w:bookmarkStart w:id="19" w:name="_Hlt68057669"/>
      <w:bookmarkEnd w:id="19"/>
      <w:bookmarkStart w:id="20" w:name="_Hlt74729768"/>
      <w:bookmarkEnd w:id="20"/>
      <w:bookmarkStart w:id="21" w:name="_Hlt75236290"/>
      <w:bookmarkEnd w:id="21"/>
      <w:bookmarkStart w:id="22" w:name="_Hlt74714665"/>
      <w:bookmarkEnd w:id="22"/>
      <w:bookmarkStart w:id="23" w:name="_Hlt75236011"/>
      <w:bookmarkEnd w:id="23"/>
      <w:bookmarkStart w:id="24" w:name="_Hlt68072990"/>
      <w:bookmarkEnd w:id="24"/>
      <w:bookmarkStart w:id="25" w:name="_Hlt68403820"/>
      <w:bookmarkEnd w:id="25"/>
      <w:bookmarkStart w:id="26" w:name="_Hlt68072998"/>
      <w:bookmarkEnd w:id="26"/>
      <w:bookmarkStart w:id="27" w:name="_Hlt74707468"/>
      <w:bookmarkEnd w:id="27"/>
      <w:bookmarkStart w:id="28" w:name="_Hlt74730295"/>
      <w:bookmarkEnd w:id="28"/>
      <w:bookmarkStart w:id="29" w:name="_Hlt68073093"/>
      <w:bookmarkEnd w:id="29"/>
      <w:bookmarkStart w:id="30" w:name="_Hlt75236101"/>
      <w:bookmarkEnd w:id="30"/>
    </w:p>
    <w:bookmarkEnd w:id="16"/>
    <w:bookmarkEnd w:id="17"/>
    <w:p>
      <w:pPr>
        <w:spacing w:line="360" w:lineRule="auto"/>
        <w:jc w:val="center"/>
        <w:outlineLvl w:val="0"/>
        <w:rPr>
          <w:rFonts w:hint="eastAsia" w:ascii="仿宋" w:hAnsi="仿宋" w:eastAsia="仿宋" w:cs="仿宋"/>
          <w:b/>
          <w:sz w:val="36"/>
          <w:szCs w:val="36"/>
        </w:rPr>
      </w:pPr>
      <w:bookmarkStart w:id="31" w:name="第四部分"/>
      <w:r>
        <w:rPr>
          <w:rFonts w:hint="eastAsia" w:ascii="仿宋" w:hAnsi="仿宋" w:eastAsia="仿宋" w:cs="仿宋"/>
          <w:b/>
          <w:sz w:val="36"/>
          <w:szCs w:val="36"/>
        </w:rPr>
        <w:t>第三部分   采购需求</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一、项目背景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不动产登记工作的实施，对于更好地保护不动产权利人合法财产权，保障不动产交易安全，维护正常的市场交易秩序起到了非常积极的作用。为满足全局信息化建设的需要，同时也为保证不动产登记档案材料的齐全完整，更好地提高余杭区不动产登记档案管理和利用效率，现对杭州市规划和自然资源局余杭分局</w:t>
      </w:r>
      <w:r>
        <w:rPr>
          <w:rFonts w:hint="eastAsia" w:ascii="宋体" w:hAnsi="宋体" w:cs="宋体"/>
          <w:sz w:val="21"/>
          <w:szCs w:val="21"/>
          <w:highlight w:val="none"/>
          <w:lang w:eastAsia="zh-CN"/>
        </w:rPr>
        <w:t>的</w:t>
      </w:r>
      <w:r>
        <w:rPr>
          <w:rFonts w:hint="eastAsia" w:ascii="宋体" w:hAnsi="宋体" w:eastAsia="宋体" w:cs="宋体"/>
          <w:sz w:val="21"/>
          <w:szCs w:val="21"/>
          <w:highlight w:val="none"/>
        </w:rPr>
        <w:t>不动产登记档案整理扫描进行招标。</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二、项目概述</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（一）服务范围</w:t>
      </w:r>
    </w:p>
    <w:p>
      <w:pPr>
        <w:autoSpaceDE w:val="0"/>
        <w:spacing w:line="360" w:lineRule="auto"/>
        <w:ind w:firstLine="420" w:firstLineChars="200"/>
        <w:rPr>
          <w:rFonts w:hint="eastAsia" w:ascii="宋体" w:hAnsi="宋体" w:cs="宋体"/>
          <w:sz w:val="21"/>
          <w:szCs w:val="21"/>
          <w:highlight w:val="none"/>
          <w:lang w:eastAsia="zh-CN"/>
        </w:rPr>
      </w:pPr>
      <w:r>
        <w:rPr>
          <w:rFonts w:hint="eastAsia" w:ascii="宋体" w:hAnsi="宋体" w:eastAsia="宋体" w:cs="宋体"/>
          <w:sz w:val="21"/>
          <w:szCs w:val="21"/>
          <w:highlight w:val="none"/>
        </w:rPr>
        <w:t>杭州市规划和自然资源局余杭分局不动产登记档案整理扫描，计划对现存未整理不动产登记业务纸质档案进行数字化整理扫描。2021年4月9日之前的库存档案</w:t>
      </w:r>
      <w:r>
        <w:rPr>
          <w:rFonts w:hint="eastAsia" w:ascii="宋体" w:hAnsi="宋体" w:cs="宋体"/>
          <w:sz w:val="21"/>
          <w:szCs w:val="21"/>
          <w:highlight w:val="none"/>
          <w:lang w:eastAsia="zh-CN"/>
        </w:rPr>
        <w:t>约</w:t>
      </w:r>
      <w:r>
        <w:rPr>
          <w:rFonts w:hint="eastAsia" w:ascii="宋体" w:hAnsi="宋体" w:eastAsia="宋体" w:cs="宋体"/>
          <w:sz w:val="21"/>
          <w:szCs w:val="21"/>
          <w:highlight w:val="none"/>
        </w:rPr>
        <w:t>560万页、2021年4月9日至2021年12月31日新产生档案</w:t>
      </w:r>
      <w:r>
        <w:rPr>
          <w:rFonts w:hint="eastAsia" w:ascii="宋体" w:hAnsi="宋体" w:cs="宋体"/>
          <w:sz w:val="21"/>
          <w:szCs w:val="21"/>
          <w:highlight w:val="none"/>
          <w:lang w:val="en-US" w:eastAsia="zh-CN"/>
        </w:rPr>
        <w:t>约</w:t>
      </w:r>
      <w:r>
        <w:rPr>
          <w:rFonts w:hint="eastAsia" w:ascii="宋体" w:hAnsi="宋体" w:eastAsia="宋体" w:cs="宋体"/>
          <w:sz w:val="21"/>
          <w:szCs w:val="21"/>
          <w:highlight w:val="none"/>
        </w:rPr>
        <w:t>710万页（具体以实际数字化加工数量为准）</w:t>
      </w:r>
      <w:r>
        <w:rPr>
          <w:rFonts w:hint="eastAsia" w:ascii="宋体" w:hAnsi="宋体" w:cs="宋体"/>
          <w:sz w:val="21"/>
          <w:szCs w:val="21"/>
          <w:highlight w:val="none"/>
          <w:lang w:eastAsia="zh-CN"/>
        </w:rPr>
        <w:t>。</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cs="宋体"/>
          <w:sz w:val="21"/>
          <w:szCs w:val="21"/>
          <w:highlight w:val="none"/>
          <w:lang w:eastAsia="zh-CN"/>
        </w:rPr>
        <w:t>本项目服务</w:t>
      </w:r>
      <w:r>
        <w:rPr>
          <w:rFonts w:hint="eastAsia" w:ascii="宋体" w:hAnsi="宋体" w:eastAsia="宋体" w:cs="宋体"/>
          <w:sz w:val="21"/>
          <w:szCs w:val="21"/>
          <w:highlight w:val="none"/>
        </w:rPr>
        <w:t>包含不动产登记档案的规范化整理、数字化扫描建库、装订、二维码打印、系统挂接、入库上架等工序，并在数据自检合格后，交由招标人及项目第三方质检单位审核确认并完成上架工作。</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cs="宋体"/>
          <w:b/>
          <w:bCs/>
          <w:sz w:val="21"/>
          <w:szCs w:val="21"/>
          <w:highlight w:val="none"/>
          <w:lang w:eastAsia="zh-CN"/>
        </w:rPr>
        <w:t>二</w:t>
      </w:r>
      <w:r>
        <w:rPr>
          <w:rFonts w:hint="eastAsia" w:ascii="宋体" w:hAnsi="宋体" w:eastAsia="宋体" w:cs="宋体"/>
          <w:b/>
          <w:bCs/>
          <w:sz w:val="21"/>
          <w:szCs w:val="21"/>
          <w:highlight w:val="none"/>
        </w:rPr>
        <w:t>）结算方式及数量</w:t>
      </w:r>
    </w:p>
    <w:p>
      <w:pPr>
        <w:autoSpaceDE w:val="0"/>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cs="宋体"/>
          <w:sz w:val="21"/>
          <w:szCs w:val="21"/>
          <w:highlight w:val="none"/>
          <w:lang w:eastAsia="zh-CN"/>
        </w:rPr>
        <w:t>投标报价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该不动产登记存量档案整理及数字化项目涉及的所有耗材如办公纸、硒鼓、卷皮、卷内目录、装订线、档案盒、档案整理用品等均纳入此项经费预算内，投标人在考虑涉及本次项目的所有费用后，报投标综合单价</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其中：</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1.1档案盒、卷内目录、封面纸样式按招标人指定样式制作；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1.2卷皮采用150g及以上无酸牛皮纸制作，封皮和封底尺寸297mm*210mm以上，封底翻口处留55mm以上折叠纸舌；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2、结算方式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招标人将以实际整理加工完成不动产登记档案数量进行合同结算，投标方在投标文件中所报综合单价作为本次服务采购最终结算依据，按照实际整理数字化加工完成的不动产登记档案数量乘以综合单价</w:t>
      </w:r>
      <w:r>
        <w:rPr>
          <w:rFonts w:hint="eastAsia" w:ascii="宋体" w:hAnsi="宋体" w:cs="宋体"/>
          <w:sz w:val="21"/>
          <w:szCs w:val="21"/>
          <w:highlight w:val="none"/>
          <w:lang w:eastAsia="zh-CN"/>
        </w:rPr>
        <w:t>计算</w:t>
      </w:r>
      <w:r>
        <w:rPr>
          <w:rFonts w:hint="eastAsia" w:ascii="宋体" w:hAnsi="宋体" w:eastAsia="宋体" w:cs="宋体"/>
          <w:sz w:val="21"/>
          <w:szCs w:val="21"/>
          <w:highlight w:val="none"/>
        </w:rPr>
        <w:t>。</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3、建设数量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中标人应在合同期内完成核定页数的不动产登记档案整理加工。整理加工完成的总量如超出核定页数，超出部分需由中标人自行承担相关费用。</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cs="宋体"/>
          <w:b/>
          <w:bCs/>
          <w:sz w:val="21"/>
          <w:szCs w:val="21"/>
          <w:highlight w:val="none"/>
          <w:lang w:eastAsia="zh-CN"/>
        </w:rPr>
        <w:t>三</w:t>
      </w:r>
      <w:r>
        <w:rPr>
          <w:rFonts w:hint="eastAsia" w:ascii="宋体" w:hAnsi="宋体" w:eastAsia="宋体" w:cs="宋体"/>
          <w:b/>
          <w:bCs/>
          <w:sz w:val="21"/>
          <w:szCs w:val="21"/>
          <w:highlight w:val="none"/>
        </w:rPr>
        <w:t>）项目主要技术依据及质量标准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严格遵守以下国家省市相关规定及招标人有关规定，档案整理及扫描工作必须在招标人指定的场所内进行，确保场所正常秩序和档案安全，确保各环节能顺利实施，最终以通过项目验收为准。</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档案管理主要法律法规：</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1、《中华人民共和国档案法》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2、《中华人民共和国档案法实施办法》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3、《浙江省实施〈中华人民共和国档案法〉办法》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4、《浙江省档案管理办法》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5、《浙江省国家档案馆管理办法》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6、《土地登记办法》（国土资源部令第40号，2007）</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7、《浙江省土地登记办法》（浙江省人民政府令第141号，2002）</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业务标准与规范：</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1、《浙江省地籍调查数据库规范》（浙江省国土资源厅，2008）</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2、《浙江省数字地籍调查技术规范》（浙江省国土资源厅，2008）</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3、《国土资源信息核心元数据标准》（国土资源部，2001）</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4、《城镇地籍数据库标准》（TD/T1015-2007）</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5、《电子文件归档与管理规范》（GB/T18894-2016）</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6、《档案分类标引规则》（GB/T 15418-94）</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7、《档案著录规则》（DA/T 18-1999）</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8、《归档文件整理规则》（DA/T 22-2015）</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9、《纸质档案数字化技术规范》（DA/T31-2017）</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10、《不动产登记暂行条例》 (国务院令第656号)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11、《不动产登记暂行条例实施细则》 (国土资源部令第63号)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12、《浙江省不动产登记工作规则(试行)》（浙土资发〔2015〕49 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13、《电子档案移交与接收办法》（国家档案局档发[2012]7号）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14、《档案数据硬磁盘离线存储管理规范》(DA/T75—2019)</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15、《电子档案存储用可录类蓝光光盘（BD-R）技术要求和应用规范》(DA/T74—2019)</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16、《档案服务外包工作规范》</w:t>
      </w:r>
      <w:r>
        <w:rPr>
          <w:highlight w:val="none"/>
        </w:rPr>
        <w:fldChar w:fldCharType="begin"/>
      </w:r>
      <w:r>
        <w:rPr>
          <w:highlight w:val="none"/>
        </w:rPr>
        <w:instrText xml:space="preserve"> HYPERLINK "http://www.baidu.com/link?url=LFhNBwvf4j75maWSejpu56InwdpFYItI7DXHqOlPDK9M8R5nZ08MaNYeIjiqKog1STVHk_PrbSdSZNylU-pNkYzqPNdPVhaTUW84-h-OLbu" \t "_blank" </w:instrText>
      </w:r>
      <w:r>
        <w:rPr>
          <w:highlight w:val="none"/>
        </w:rPr>
        <w:fldChar w:fldCharType="separate"/>
      </w:r>
      <w:r>
        <w:rPr>
          <w:rFonts w:hint="eastAsia" w:ascii="宋体" w:hAnsi="宋体" w:eastAsia="宋体" w:cs="宋体"/>
          <w:sz w:val="21"/>
          <w:szCs w:val="21"/>
          <w:highlight w:val="none"/>
        </w:rPr>
        <w:t>(DA/T68—2017)</w:t>
      </w:r>
      <w:r>
        <w:rPr>
          <w:rFonts w:hint="eastAsia" w:ascii="宋体" w:hAnsi="宋体" w:eastAsia="宋体" w:cs="宋体"/>
          <w:sz w:val="21"/>
          <w:szCs w:val="21"/>
          <w:highlight w:val="none"/>
        </w:rPr>
        <w:fldChar w:fldCharType="end"/>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17、《 纸质归档文件装订规范》（DA/T 69-2018）</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、《档案修裱技术规范》（DA T25-2000）</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cs="宋体"/>
          <w:b/>
          <w:bCs/>
          <w:sz w:val="21"/>
          <w:szCs w:val="21"/>
          <w:highlight w:val="none"/>
          <w:lang w:eastAsia="zh-CN"/>
        </w:rPr>
        <w:t>四</w:t>
      </w:r>
      <w:r>
        <w:rPr>
          <w:rFonts w:hint="eastAsia" w:ascii="宋体" w:hAnsi="宋体" w:eastAsia="宋体" w:cs="宋体"/>
          <w:b/>
          <w:bCs/>
          <w:sz w:val="21"/>
          <w:szCs w:val="21"/>
          <w:highlight w:val="none"/>
        </w:rPr>
        <w:t>）工作要求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1.档案整理及数字化加工要求：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按照档案数字化加工的质量管理体系、招标人要求开展档案整理及数字化加工工作。严格管理，明确责任，落实安全保密管理机制和质量管理机制，确保档案原件和数字化档案信息的安全保密，确保各环节工作符合档案行业标准的要求，并建立完整、规范的工作记录，保证整理和数字化加工过程可追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2.保密要求</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场地要求：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2.1建立有效风险管理体系，有效避免或降低风险带来的损失；根据项目档案服务环境和内容，制定有效的风险管理方针和风险管理预案，按照GB/T 24353《风险管理原则与实施指南》实施风险管理；参考档函〔2008〕207号《档案工作突发事件应急处置管理办法》相关要求，制定有效的应急处置预案；提供有效的灾难应急服务方案。档案、档案信息和其他信息不被非授权人接触或获知，应始终确保档案及其档案信息的安全保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2.2制定相关保密制度，采取严格的保密措施（如：与项目工作人员签订保密协议，加强对工作人员的保密教育。建立严格的保密制度，杜绝工作人员对档案及档案信息的私自复制、传播等行为；档案扫描工作必须在招标人指定的场所内进行，确保场所正常秩序和安全。不得遗失、损坏档案，如有违法者，将追究法律责任。工作过程均需有台账记录如：工作日志、产品质量检验、验收记录等资料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2.2严格遵守《中华人民共和国档案法》和国家、省、市相关规定及招标人的有关安全管理规定。</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2.3扫描加工场地的安全及保密措施。中标人采取具体保密设施，保证档案原件的安全和信息安全。进入加工现场的计算机设备应做相应处理，封闭所有计算机存储设备外围接口，确保信息安全。计算机硬盘不得带离加工现场。项目验收后，所有加工过程中的服务器、存储设备、与数据直接关系的所有设备（例如U盘、移动硬盘、电脑的硬盘等）统一由招标人对硬盘进行格式化处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2.4不得在工作场所使用与工作无关的任何电器设备，如手提电脑、手机、mp3、mp4及移动存储介质等。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2.5 按照GB/T 22080《信息技术 安全技术 信息安全管理体系 要求》、GB/T 22081《信息技术安全技术 信息安全控制实践指南》实施信息安全管理，加强计算机系统的保密管理，保证档案信息安全。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3、设备要求：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3.1提供扫描加工设备和耗材（为了保证扫描件细节不丢失，扫描设备须采用CCD技术），同时根据《纸质档案数字化技术规范》（DA/T 31-2017）及相关不动产登记平台、档案系统相关要求和兼容性，结合我局档案的实际情况进行扫描加工，禁用拍摄方式采集，A3以上页面或高价值的文件材料必须使用宽幅平板式（CCD技术）扫描仪，一般材料可采用工程扫描仪（CCD技术）进行扫描加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3.2配置的设备应获得相关质量保证，或通过相关质量检测。同时应对设备进行有效管理、定期维护，以保障档案服务的正常开展。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4、绩效要求：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4.1为了确保项目质量应建立档案服务绩效管理体系，持续改进组织绩效，保证项目顺利实施，通过项目验收。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5、人员要求：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5.1遵守国家劳动法法律法规，本项目所有实施人员必须是中标人已签订书面劳动用工合同，履行用人单位义务，保障劳动者权益（如：依法缴纳社保的全职员工）。</w:t>
      </w:r>
      <w:r>
        <w:rPr>
          <w:rFonts w:ascii="宋体" w:hAnsi="宋体" w:eastAsia="宋体" w:cs="宋体"/>
          <w:sz w:val="21"/>
          <w:szCs w:val="21"/>
          <w:highlight w:val="none"/>
        </w:rPr>
        <w:t>并对拟聘用的员工进行背景调查</w:t>
      </w:r>
      <w:r>
        <w:rPr>
          <w:rFonts w:hint="eastAsia" w:ascii="宋体" w:hAnsi="宋体" w:eastAsia="宋体" w:cs="宋体"/>
          <w:sz w:val="21"/>
          <w:szCs w:val="21"/>
          <w:highlight w:val="none"/>
        </w:rPr>
        <w:t>，（</w:t>
      </w:r>
      <w:r>
        <w:rPr>
          <w:rFonts w:ascii="宋体" w:hAnsi="宋体" w:eastAsia="宋体" w:cs="宋体"/>
          <w:sz w:val="21"/>
          <w:szCs w:val="21"/>
          <w:highlight w:val="none"/>
        </w:rPr>
        <w:t>背景调查需在法律专业人员的指导下依法进行</w:t>
      </w:r>
      <w:r>
        <w:rPr>
          <w:rFonts w:hint="eastAsia" w:ascii="宋体" w:hAnsi="宋体" w:eastAsia="宋体" w:cs="宋体"/>
          <w:sz w:val="21"/>
          <w:szCs w:val="21"/>
          <w:highlight w:val="none"/>
        </w:rPr>
        <w:t>），相关人员入职材料向招标人备案。</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5.2为了确保项目安全与质量，应组织建立专业及稳定的员工队伍。需要配备档案或相关专业大学本科</w:t>
      </w:r>
      <w:r>
        <w:rPr>
          <w:rFonts w:hint="eastAsia" w:ascii="宋体" w:hAnsi="宋体" w:cs="宋体"/>
          <w:sz w:val="21"/>
          <w:szCs w:val="21"/>
          <w:highlight w:val="none"/>
          <w:lang w:val="en-US" w:eastAsia="zh-CN"/>
        </w:rPr>
        <w:t>及</w:t>
      </w:r>
      <w:r>
        <w:rPr>
          <w:rFonts w:hint="eastAsia" w:ascii="宋体" w:hAnsi="宋体" w:eastAsia="宋体" w:cs="宋体"/>
          <w:sz w:val="21"/>
          <w:szCs w:val="21"/>
          <w:highlight w:val="none"/>
        </w:rPr>
        <w:t>以上学历，或具有档案中级以上专业技术职称的员工进行档案数字化加工工作。在项目服务周期内，不得随意更换或者频繁使用新人。</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5.3为保证项目高效完成，不动产登记档案整理、数字化项目，包括项目组经理和项目组实施人员，需承诺常驻总人数不低于</w:t>
      </w:r>
      <w:r>
        <w:rPr>
          <w:rFonts w:ascii="宋体" w:hAnsi="宋体" w:eastAsia="宋体" w:cs="宋体"/>
          <w:b/>
          <w:bCs/>
          <w:sz w:val="21"/>
          <w:szCs w:val="21"/>
          <w:highlight w:val="none"/>
        </w:rPr>
        <w:t>30</w:t>
      </w:r>
      <w:r>
        <w:rPr>
          <w:rFonts w:hint="eastAsia" w:ascii="宋体" w:hAnsi="宋体" w:eastAsia="宋体" w:cs="宋体"/>
          <w:b/>
          <w:bCs/>
          <w:sz w:val="21"/>
          <w:szCs w:val="21"/>
          <w:highlight w:val="none"/>
        </w:rPr>
        <w:t>人。</w:t>
      </w:r>
      <w:r>
        <w:rPr>
          <w:rFonts w:ascii="宋体" w:hAnsi="宋体" w:eastAsia="宋体" w:cs="宋体"/>
          <w:b/>
          <w:bCs/>
          <w:sz w:val="21"/>
          <w:szCs w:val="21"/>
          <w:highlight w:val="none"/>
        </w:rPr>
        <w:t xml:space="preserve"> </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5.4应在上岗前对员工进行不少于10天的岗前培训，在岗人员每周开展1次不少于2小时的在岗人员培训，培训内容涵盖档案法律法规、档案管理、质量管理、保密管理、风险管理、知识产权管理、环境管理和职业健康管理等方面的</w:t>
      </w:r>
      <w:r>
        <w:rPr>
          <w:rFonts w:hint="eastAsia"/>
          <w:highlight w:val="none"/>
          <w:lang w:eastAsia="zh-CN"/>
        </w:rPr>
        <w:t>知识</w:t>
      </w:r>
      <w:r>
        <w:rPr>
          <w:rFonts w:hint="eastAsia" w:ascii="宋体" w:hAnsi="宋体" w:eastAsia="宋体" w:cs="宋体"/>
          <w:sz w:val="21"/>
          <w:szCs w:val="21"/>
          <w:highlight w:val="none"/>
        </w:rPr>
        <w:t>和要求，并提供如：考试等手段的培训效果验收记录。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6、业务管理：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6.1制定符合上级规范要求、档案规范标准和招标人实际的业务标准和档案管理制度。</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6.2为保证档案整理和数字化工作有序、高效开展，应建立标准作业程序（符合国家法律法规的要求，符合相关标准的要求），标准作业程序应涵盖本项目每一个操作环节或步骤，且各个标准作业程序质检相互协调。</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三、本期建设任务要求</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1、档案交接及复核</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w:t>
      </w:r>
      <w:r>
        <w:rPr>
          <w:rFonts w:ascii="宋体" w:hAnsi="宋体" w:eastAsia="宋体" w:cs="宋体"/>
          <w:sz w:val="21"/>
          <w:szCs w:val="21"/>
          <w:highlight w:val="none"/>
        </w:rPr>
        <w:t>.1</w:t>
      </w:r>
      <w:r>
        <w:rPr>
          <w:rFonts w:hint="eastAsia" w:ascii="宋体" w:hAnsi="宋体" w:eastAsia="宋体" w:cs="宋体"/>
          <w:sz w:val="21"/>
          <w:szCs w:val="21"/>
          <w:highlight w:val="none"/>
        </w:rPr>
        <w:t>档案交接：招标人应指定专人按计划分批次将拟整理和数字化加工的档案移交中标人，中标人须指定专人负责档案接收工作，双方共同做好档案的清点交接工作，并形成书面交接文据，经双方签字确认后生效。</w:t>
      </w:r>
    </w:p>
    <w:p>
      <w:pPr>
        <w:pStyle w:val="23"/>
        <w:ind w:firstLine="420" w:firstLineChars="200"/>
        <w:rPr>
          <w:rFonts w:hAnsi="宋体" w:eastAsia="宋体" w:cs="宋体"/>
          <w:sz w:val="21"/>
          <w:szCs w:val="21"/>
          <w:highlight w:val="none"/>
          <w:lang w:val="en-US"/>
        </w:rPr>
      </w:pPr>
      <w:r>
        <w:rPr>
          <w:rFonts w:hint="eastAsia" w:hAnsi="宋体" w:eastAsia="宋体" w:cs="宋体"/>
          <w:sz w:val="21"/>
          <w:szCs w:val="21"/>
          <w:highlight w:val="none"/>
          <w:lang w:val="en-US"/>
        </w:rPr>
        <w:t>1.2 复核：中标人须逐卷逐页复核每宗不动产业务的收件资料。根据收件清单逐卷逐页检查收件资料和领证签收单、审批表等必备材料是否齐全，是否存在缺件、缺签名、未盖公章、原件校对章是否齐全且位置是否盖准确、票据是否有缺失等问题，将发现的问题以工作联系单的形式分批次向市规划和自然资源局余杭分局做好反馈并等待处理。复核无误和处理完毕的资料才可以继续进行下一步规范化整理。</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2、规范化整理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根据招标人不动产登记档案分类方案将档案分类进行规范化整理，包括分类、卷内材料的排列与编码、档案页面的修整、打印档案封面、编制卷内目录和备考表，装订成册，装盒上架等。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2.1 排序编码</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根据每类不动产档案业务整理规范进行排序编码。卷内材料要求排序无误，按照结论性审核材料、过程性审核材料、当事人提供的登记申请材料、图纸、其他、备考表的顺序进行排序，尽量与参考卷内目录保持一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编码：页码要求编制在正面右上角，背面左上角空白处，以3位阿拉伯数字从小到大编制，如“001”。页码严禁覆盖文字、图像、表格，确保连续、不重号、不漏号、不漏页。所有有文字、图形、表格的纸张均须编制页码，卷内目录、备考表不编页号。</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2.2页面修整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破损严重、无法直接进行扫描的档案，应先进行技术修复；小于A4幅面的纸张须先进行托裱。托裱、修复时要遵循“修旧如旧，尊重原貌”的原则，符合《档案修裱技术规范》要求，根据档案的实际情况综合应用各种技术方式修复破损档案。如去污、去酸、加固、字迹显示与恢复、档案装裱；折皱不平影响扫描质量的原件应先进行相应处理(压平或烫平等)后再进行扫描。（3）打印卷皮封面</w:t>
      </w:r>
    </w:p>
    <w:p>
      <w:pPr>
        <w:pStyle w:val="23"/>
        <w:rPr>
          <w:rFonts w:hAnsi="宋体" w:eastAsia="宋体"/>
          <w:highlight w:val="none"/>
          <w:lang w:val="en-US"/>
        </w:rPr>
      </w:pPr>
      <w:r>
        <w:rPr>
          <w:rFonts w:hAnsi="宋体" w:eastAsia="宋体"/>
          <w:highlight w:val="none"/>
          <w:lang w:val="en-US"/>
        </w:rPr>
        <w:drawing>
          <wp:inline distT="0" distB="0" distL="114300" distR="114300">
            <wp:extent cx="4114800" cy="5796280"/>
            <wp:effectExtent l="0" t="0" r="0" b="1397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34"/>
                    <a:stretch>
                      <a:fillRect/>
                    </a:stretch>
                  </pic:blipFill>
                  <pic:spPr>
                    <a:xfrm>
                      <a:off x="0" y="0"/>
                      <a:ext cx="4114800" cy="5796280"/>
                    </a:xfrm>
                    <a:prstGeom prst="rect">
                      <a:avLst/>
                    </a:prstGeom>
                    <a:noFill/>
                    <a:ln>
                      <a:noFill/>
                    </a:ln>
                  </pic:spPr>
                </pic:pic>
              </a:graphicData>
            </a:graphic>
          </wp:inline>
        </w:drawing>
      </w:r>
    </w:p>
    <w:p>
      <w:pPr>
        <w:pStyle w:val="23"/>
        <w:rPr>
          <w:rFonts w:hAnsi="宋体" w:eastAsia="宋体"/>
          <w:highlight w:val="none"/>
          <w:lang w:val="en-US"/>
        </w:rPr>
      </w:pP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封面格式如上，要求打印位置齐整不偏斜，打印出来的文字不断针。</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2.3打印和应用二维码技术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在档案进行数字化扫描加工前，将档号（全宗号-分类号-年度-案卷号）信息生成二维码，并在卷皮上打印出来，二维码打印位置在实施过程中明确；需与</w:t>
      </w:r>
      <w:r>
        <w:rPr>
          <w:rFonts w:hint="eastAsia"/>
          <w:highlight w:val="none"/>
          <w:lang w:val="en-US" w:eastAsia="zh-CN"/>
        </w:rPr>
        <w:t>杭州市余杭区不动产统一登记信息管理系统</w:t>
      </w:r>
      <w:r>
        <w:rPr>
          <w:rFonts w:hint="eastAsia" w:ascii="宋体" w:hAnsi="宋体" w:eastAsia="宋体" w:cs="宋体"/>
          <w:sz w:val="21"/>
          <w:szCs w:val="21"/>
          <w:highlight w:val="none"/>
        </w:rPr>
        <w:t>、杭州市规划和自然资源局余杭分局档案管理系统无缝挂接，并能通过二维码直接调取档案数据信息。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2.4撰写卷内目录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2.4.1顺序号：要求按卷内文件排列顺序给每份文件编一个顺序号，不重复，不遗漏。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2.4.2文件名：填写文件类目名称或文件题名，不得随意更改和省略，简称须使用规范化简称。如文件没有标题，应根据文件内容准确、简练地拟写一个标题。</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2.4.3页号：填写文件实际所在的页号，要求对应页码无误。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2.4.4备注：需要注明的内容</w:t>
      </w:r>
    </w:p>
    <w:p>
      <w:pPr>
        <w:autoSpaceDE w:val="0"/>
        <w:spacing w:line="360" w:lineRule="auto"/>
        <w:ind w:firstLine="420" w:firstLineChars="200"/>
        <w:rPr>
          <w:rFonts w:ascii="宋体" w:hAnsi="宋体" w:eastAsia="宋体" w:cs="宋体"/>
          <w:sz w:val="21"/>
          <w:szCs w:val="21"/>
          <w:highlight w:val="none"/>
        </w:rPr>
      </w:pPr>
      <w:bookmarkStart w:id="32" w:name="_Toc311467415"/>
      <w:bookmarkStart w:id="33" w:name="_Toc311469709"/>
      <w:r>
        <w:rPr>
          <w:rFonts w:hint="eastAsia" w:ascii="宋体" w:hAnsi="宋体" w:eastAsia="宋体" w:cs="宋体"/>
          <w:sz w:val="21"/>
          <w:szCs w:val="21"/>
          <w:highlight w:val="none"/>
        </w:rPr>
        <w:t>2.5档案整理登记</w:t>
      </w:r>
      <w:bookmarkEnd w:id="32"/>
      <w:bookmarkEnd w:id="33"/>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制作并填写纸质档案数字化加工过程交接登记表单，详细记录档案整理后每份文件的起始页号、页数及整理情况。</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2.6扫描前复检</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在档案扫描加工之前，必须逐卷、逐份对档案进行检查核实，察看有无缺页、倒页、漏号、重号、错号等整理不规范现象。对不规范的内容进行相应修正，并视需要做出标识，以确保后续档案数字化质量。</w:t>
      </w:r>
    </w:p>
    <w:p>
      <w:pPr>
        <w:autoSpaceDE w:val="0"/>
        <w:spacing w:line="360" w:lineRule="auto"/>
        <w:ind w:firstLine="420" w:firstLineChars="200"/>
        <w:rPr>
          <w:rFonts w:ascii="宋体" w:hAnsi="宋体" w:eastAsia="宋体" w:cs="宋体"/>
          <w:sz w:val="21"/>
          <w:szCs w:val="21"/>
          <w:highlight w:val="none"/>
        </w:rPr>
      </w:pPr>
      <w:bookmarkStart w:id="34" w:name="_Toc311469710"/>
      <w:bookmarkStart w:id="35" w:name="_Toc311467416"/>
      <w:r>
        <w:rPr>
          <w:rFonts w:hint="eastAsia" w:ascii="宋体" w:hAnsi="宋体" w:eastAsia="宋体" w:cs="宋体"/>
          <w:sz w:val="21"/>
          <w:szCs w:val="21"/>
          <w:highlight w:val="none"/>
        </w:rPr>
        <w:t>2.7编制备考表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2.7.1备考表须包含本卷文件情况说明、立卷人、检查人、日期项。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2.7.2本卷文件情况说明：卷内文件缺损、修改、补充、移出、销毁等需要说明的情况。</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2.8扫描后的装订</w:t>
      </w:r>
      <w:bookmarkEnd w:id="34"/>
      <w:bookmarkEnd w:id="35"/>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扫描工作完成后，将每卷档案按顺序装订起来，采用三孔一线左侧线绳装订，具体要求如下：</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2.8.1装订以卷为单位；案卷依案卷封面、卷内目录、卷内文件、备考表、封底顺序排列。</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2.8.2装订前应剔除文件材料上的金属物、塑料物；破损文件应修复；字迹扩散的文件材料应制作复制件，与原件一起存档，原件在前，复制件在后。</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2.8.3幅面小于A5的文件材料要用A4白衬纸进行托裱；幅面大于A4（210mmx297mm）的，应按A4幅面折叠整齐，预留出装订边际，保证装订后能够方便地展开阅读；</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2.8.4图纸等折叠应符合档案图纸折叠要求，不得裁切；大型图纸等折叠后造成案卷不平整，应在装订线位置加入垫片保持案卷整洁、美观；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2.8.5用“三孔一线”方式在文件材料左侧用线绳装订，卷内材料靠左靠下对齐，装订孔中心线距材料左边际12.5mm，中孔居中，各孔间距8-10mm。</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2.8.6装订时不得破坏文件内容，装订线内不得有文字或图表等内容，装订整齐、牢固、美观，无脱页、掉页、倒页；</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2.8.7装订不得损坏文件材料，不得对材料进行裁剪；装订后应确保所有纸张均能方便地展开阅读，文字、图形方向符合阅读习惯。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2.9装盒上架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移交入库的档案原件，必须经整理装订后装盒，不符合要求的均退回整改。装盒时要求在确保档案盒不变形的前提下，尽可能地装满。每一盒档案盒盒脊上需标明全宗号、分类号、年度、盒号、盒内案卷起止号等信息，需按标准填写完整，保证美观、整洁。</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2.9.1编制各类别文件库房排架方案，确保档案分类、有序、分区上架，完成不动产档案文件实体上架。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2.9.2移交清单一式两份，双方确认无误后签字，各持一份，用于移交清点复核。</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 、数字化建库</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对整理后的档案进行数字化扫描加工</w:t>
      </w:r>
      <w:bookmarkStart w:id="36" w:name="OLE_LINK4"/>
      <w:r>
        <w:rPr>
          <w:rFonts w:hint="eastAsia" w:ascii="宋体" w:hAnsi="宋体" w:eastAsia="宋体" w:cs="宋体"/>
          <w:sz w:val="21"/>
          <w:szCs w:val="21"/>
          <w:highlight w:val="none"/>
        </w:rPr>
        <w:t>（部分为A4和16K幅面，部分为A3、大幅面图纸、房屋和土地证书）</w:t>
      </w:r>
      <w:bookmarkEnd w:id="36"/>
      <w:r>
        <w:rPr>
          <w:rFonts w:hint="eastAsia" w:ascii="宋体" w:hAnsi="宋体" w:eastAsia="宋体" w:cs="宋体"/>
          <w:sz w:val="21"/>
          <w:szCs w:val="21"/>
          <w:highlight w:val="none"/>
        </w:rPr>
        <w:t>，数据成果质量符合杭州市规划和自然资源局余杭分局业务数据要求。具体内容是以流水化作业的方式完成档案扫描、分件质检、图像处理、图像存储、目录著录、质检、数据挂接、数据关联、数据验收、数据备份等工序，并在数据自检合格后，交由招标人审核。</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多个业务编号共用一份或多份卷内材料的，无需每卷复印缺少的共享纸质材料，但每卷需复制涉及的共享电子数据，该部分共享电子数据计费方式按照5页图片折算1页扫描量进行计费。</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3.1档案原件出入库要求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 xml:space="preserve">数字化过程中，保证档案原件出入库有严格的制度，完善的档案原件管理记录。双方各指定专人做好档案的清点交接工作，做好移交记录，归还档案时还要提供扫描加工工作流情况说明，案卷信息等并随同档案一起交接。 </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3.2数字化技术要求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本项目涉及的档案数字化成果应用于杭州市不动产统一登记信息管理系统、杭州市规划和自然资源局余杭分局档案管理系统，影像数据必须顺利入库到上述系统中并关联准确，投标供应商必须实现档案数据库建设与杭州市不动产统一登记信息管理系统、杭州市规划和自然资源局余杭分局档案管理系统的无缝衔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考虑到档案除了要扫描加工，方便数据直接入库到档案系统，还要能实现不动产登记信息系统直接调阅即时扫描入库的影像档案，因此本次招标的供应商需要有相应技术和服务能力提供后续服务，并且能保证本次招标的档案扫描数字化加工数据在档案管理系统、不动产登记系统里运行的稳定性，便于统一管理、系统对接、数据共享。</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3.3档案扫描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3.3.1 扫描方式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根据纸质档案幅面的大小及材质选择相应规格的扫描仪或专业扫描仪进行扫描，保证档案不受损。</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幅面：小于A4幅面的按A4规格进行扫描，对于A</w:t>
      </w:r>
      <w:r>
        <w:rPr>
          <w:rFonts w:ascii="宋体" w:hAnsi="宋体" w:eastAsia="宋体" w:cs="宋体"/>
          <w:sz w:val="21"/>
          <w:szCs w:val="21"/>
          <w:highlight w:val="none"/>
        </w:rPr>
        <w:t>3</w:t>
      </w:r>
      <w:r>
        <w:rPr>
          <w:rFonts w:hint="eastAsia" w:ascii="宋体" w:hAnsi="宋体" w:eastAsia="宋体" w:cs="宋体"/>
          <w:sz w:val="21"/>
          <w:szCs w:val="21"/>
          <w:highlight w:val="none"/>
        </w:rPr>
        <w:t>幅面内容可单独区分为2页A</w:t>
      </w:r>
      <w:r>
        <w:rPr>
          <w:rFonts w:ascii="宋体" w:hAnsi="宋体" w:eastAsia="宋体" w:cs="宋体"/>
          <w:sz w:val="21"/>
          <w:szCs w:val="21"/>
          <w:highlight w:val="none"/>
        </w:rPr>
        <w:t>4</w:t>
      </w:r>
      <w:r>
        <w:rPr>
          <w:rFonts w:hint="eastAsia" w:ascii="宋体" w:hAnsi="宋体" w:eastAsia="宋体" w:cs="宋体"/>
          <w:sz w:val="21"/>
          <w:szCs w:val="21"/>
          <w:highlight w:val="none"/>
        </w:rPr>
        <w:t>的，用A</w:t>
      </w:r>
      <w:r>
        <w:rPr>
          <w:rFonts w:ascii="宋体" w:hAnsi="宋体" w:eastAsia="宋体" w:cs="宋体"/>
          <w:sz w:val="21"/>
          <w:szCs w:val="21"/>
          <w:highlight w:val="none"/>
        </w:rPr>
        <w:t>4</w:t>
      </w:r>
      <w:r>
        <w:rPr>
          <w:rFonts w:hint="eastAsia" w:ascii="宋体" w:hAnsi="宋体" w:eastAsia="宋体" w:cs="宋体"/>
          <w:sz w:val="21"/>
          <w:szCs w:val="21"/>
          <w:highlight w:val="none"/>
        </w:rPr>
        <w:t>规格进行扫描，内容不可分割的按照A</w:t>
      </w:r>
      <w:r>
        <w:rPr>
          <w:rFonts w:ascii="宋体" w:hAnsi="宋体" w:eastAsia="宋体" w:cs="宋体"/>
          <w:sz w:val="21"/>
          <w:szCs w:val="21"/>
          <w:highlight w:val="none"/>
        </w:rPr>
        <w:t>3</w:t>
      </w:r>
      <w:r>
        <w:rPr>
          <w:rFonts w:hint="eastAsia" w:ascii="宋体" w:hAnsi="宋体" w:eastAsia="宋体" w:cs="宋体"/>
          <w:sz w:val="21"/>
          <w:szCs w:val="21"/>
          <w:highlight w:val="none"/>
        </w:rPr>
        <w:t>规格进行扫描，大于A3幅面的按实际情况进行扫描。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材质：纸张状况较差以及过薄、过软或超厚的档案资料，要采用平板扫描方式；纸张状况好的档案资料可采用高速扫描方式以提高工作效率。</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3.3.2扫描要求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扫描好的影像资料和原档案页码顺序需要一致，页数一致。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对淡铅笔印痕的图件，至少要保留铅笔痕迹扫描效果。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在复印件上加盖有资料责任单位的红色公章的，视为原件。如果资料单位的原件复印件的章亦是黑白复印效果的，确定为“复印件”。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扫描时保证放纸端正、不漏扫、错扫。图像不能存在压边、倾斜、扭曲、比例变形、图像无法显示等现象，严格确保图像质量。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扫描中漏扫、压边的要即时补全、补正。</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大图应全幅整页扫描或由先进（软硬件）技术实现无缝拼接。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扫描后的图像清晰、完整，档案内容信息与档案原件一致为准。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扫描后，不超过A4幅面的文件单页原则上不得超过500-600KB。</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3.3.3 扫描色彩模式：采用彩色模式扫描。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3.3.4 扫描参数</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要求扫描分辨率≥</w:t>
      </w:r>
      <w:r>
        <w:rPr>
          <w:rFonts w:ascii="宋体" w:hAnsi="宋体" w:eastAsia="宋体" w:cs="宋体"/>
          <w:sz w:val="21"/>
          <w:szCs w:val="21"/>
          <w:highlight w:val="none"/>
        </w:rPr>
        <w:t>3</w:t>
      </w:r>
      <w:r>
        <w:rPr>
          <w:rFonts w:hint="eastAsia" w:ascii="宋体" w:hAnsi="宋体" w:eastAsia="宋体" w:cs="宋体"/>
          <w:sz w:val="21"/>
          <w:szCs w:val="21"/>
          <w:highlight w:val="none"/>
        </w:rPr>
        <w:t>00dpi。特殊情况下，如文字偏小、密集、清晰度较差等，可适当提高分辨率。</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3.3.5扫描登记</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认真填写纸质档案数字化转换过程交接登记表单，登记扫描的页码和页数，并核对每份文件的实际扫描页码、页数与档案整理时填写的页码、页数是否一致，不一致时应注明具体原因和处理方法。提交招标人审核同意后，进行处理。</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3.4分件质检</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要求根据卷内目录对扫描件进行逐页质检，确保扫描件与原件一致，无内容扫描不完整、漏扫、排列顺序不一致等问题。</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认真填写相关表单，记录质检结果和处理意见。</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3.5图像处理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保证文字及线条清晰、背景干净、图面上有效信息无损。图像处理后保证图像信息与原档案内容完全一致，不删除页面任何有用信息，包括正文内容、页眉、页脚、手写注释和印鉴等。扫描的页面内容基本居中显示，不出现明显偏左或偏右现象。不准出现页面内容残缺或将其它页面信息扫入本页的现象。</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3.5.1纠偏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对出现偏斜的图像应进行纠偏处理，倾斜度在</w:t>
      </w:r>
      <w:r>
        <w:rPr>
          <w:rFonts w:ascii="宋体" w:hAnsi="宋体" w:eastAsia="宋体" w:cs="宋体"/>
          <w:sz w:val="21"/>
          <w:szCs w:val="21"/>
          <w:highlight w:val="none"/>
        </w:rPr>
        <w:t>1</w:t>
      </w:r>
      <w:r>
        <w:rPr>
          <w:rFonts w:hint="eastAsia" w:ascii="宋体" w:hAnsi="宋体" w:eastAsia="宋体" w:cs="宋体"/>
          <w:sz w:val="21"/>
          <w:szCs w:val="21"/>
          <w:highlight w:val="none"/>
        </w:rPr>
        <w:t>度之内，以达到视觉上基本不感觉偏斜为准；对方向不正确的图像进行旋转还原，以符合阅读习惯；对内容过于靠边的扫描件，要进行内容居中处理，确保档案电子件不出现内容过于靠边的现象。不出现图像的一部分出现倾斜或扭曲而影响阅读的现象。厚的案卷装订线较近边角的档案内容会产生扭曲现象，需保证正文能看清楚。</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3.5.2去污</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在保证文件内容完整的前提下，影像页无扫描过程中带来的污斑，无黑边，外观达到清晰、平直、干净。对图像页面中出现的影响图像质量的杂质如装订孔、破洞、黑点、黑线、黑框、</w:t>
      </w:r>
      <w:r>
        <w:rPr>
          <w:rFonts w:ascii="宋体" w:hAnsi="宋体" w:eastAsia="宋体" w:cs="宋体"/>
          <w:sz w:val="21"/>
          <w:szCs w:val="21"/>
          <w:highlight w:val="none"/>
        </w:rPr>
        <w:t>黑边</w:t>
      </w:r>
      <w:r>
        <w:rPr>
          <w:rFonts w:hint="eastAsia" w:ascii="宋体" w:hAnsi="宋体" w:eastAsia="宋体" w:cs="宋体"/>
          <w:sz w:val="21"/>
          <w:szCs w:val="21"/>
          <w:highlight w:val="none"/>
        </w:rPr>
        <w:t>、</w:t>
      </w:r>
      <w:r>
        <w:rPr>
          <w:rFonts w:ascii="宋体" w:hAnsi="宋体" w:eastAsia="宋体" w:cs="宋体"/>
          <w:sz w:val="21"/>
          <w:szCs w:val="21"/>
          <w:highlight w:val="none"/>
        </w:rPr>
        <w:t>背面渗透出来的页码、印章、签名等无效信息</w:t>
      </w:r>
      <w:r>
        <w:rPr>
          <w:rFonts w:hint="eastAsia" w:ascii="宋体" w:hAnsi="宋体" w:eastAsia="宋体" w:cs="宋体"/>
          <w:sz w:val="21"/>
          <w:szCs w:val="21"/>
          <w:highlight w:val="none"/>
        </w:rPr>
        <w:t>均要进行去污处理。处理过程中应遵循在不影响可读性和可理解性的前提下展现档案原貌的原则。由于档案本身因陈旧、破损或不洁等造成页面上有污点的，如果在页面视图下无法看清，或该污点嵌在文本行中无法清除，可不予清除。</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要求四边处理干净，打印时无黑边、黑线。</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对有底色的扫描件图像处理时，必须保留原底色，不得抽色变白。在对该类图像的装订孔、黑点等进行处理时，应遵循保持档案原貌的原则。</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3.5.3 页面</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保证扫描图像字迹清晰、颜色恰当，不宜过浅或过深，不出现字迹笔画残缺或字迹笔画叠合而影响阅读的情况；档案原件存在斑迹变质、颜色过浅、过深或深浅不一致，保证档案原件能辨认的，扫描图像也必须可以辨认。纸张太薄或字体颜色过浓，扫描时倒映反面文字，文字上的污点无法去污时，保证正文文字可以看清楚。</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版心调整：在扫描页面页边分布不均匀的情况下，经过版心调整，使页边分布均匀。</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页面标准化处理：在扫描页面非标准尺寸（A3/A4/B5等）页面大小情况下，经过页面标准化处理，使其页面变成标准的横向或纵向的标准尺寸的页面的功能；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3.5.4 去边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若有彩色模式扫描的图像应进行裁边处理，应在距页边最外延至少2至3毫米处裁剪图像。</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3.6图像存储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 xml:space="preserve">3.6.1存储格式 </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采用单页TIF或PDF或JPEG格式存储（具体需根据实际情况与招标人沟通后确定）。存储时的压缩率的选择，应以保证扫描图像清晰可读的前提下，尽量减小存储容量为准则。</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移交后的成品数据支持Windows 自带软件查看。</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3.6.2图像材料的命名</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图像材料的命名应确保其唯一性，并应与电子资料目录形成对应。</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3.7图像数据质量检验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对图像偏斜度、清晰度、失真度等进行检查。发现不符合图像质量要求时，应重新进行图像的处理。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由于操作不当，造成扫描的图像文件不完整、分辨率不对或无法清晰识别时，应重新扫描。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发现文件漏扫时，应及时补扫并正确插入图像。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发现扫描图像的排列顺序与档案原件不一致时，应及时进行调整。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认真填写相关表单，记录质检结果和处理意见。并提交招标人审核同意后，进行处理。</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3.8目录著录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3.8.1数据格式选择</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目录建库应选择通用的数据格式。所选定的数据格式应能直接或间接通过XML文档进行数据交换，并且能与杭州市不动产统一登记信息管理系统、杭州市规划和自然资源局余杭分局档案管理系统实现顺利交换。</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3.8.2档案著录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按照《档案著录规则》(DA/T 18-1999)的要求进行著录，建立档案级目录数据库。同时对数据库相应的目录进行修正，确保目录的准确率。</w:t>
      </w:r>
      <w:r>
        <w:rPr>
          <w:rFonts w:ascii="宋体" w:hAnsi="宋体" w:eastAsia="宋体" w:cs="宋体"/>
          <w:sz w:val="21"/>
          <w:szCs w:val="21"/>
          <w:highlight w:val="none"/>
        </w:rPr>
        <w:t>档案著录项原则上需符合杭州市档案局电子档案接收标准</w:t>
      </w:r>
      <w:r>
        <w:rPr>
          <w:rFonts w:hint="eastAsia" w:ascii="宋体" w:hAnsi="宋体" w:eastAsia="宋体" w:cs="宋体"/>
          <w:sz w:val="21"/>
          <w:szCs w:val="21"/>
          <w:highlight w:val="none"/>
        </w:rPr>
        <w:t>。</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3.8.3目录数据质量检查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采用双机对录自动校对的方式，对目录数据库的建库质量进行校对，以确保数字化档案与目录数据实现准确挂接。核对著录项目是否完整、著录内容是否规范、准确，发现不合格的数据立即进行修改或重录。</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3.9数据关联与挂接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3.9.1汇总挂接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扫描的各类影像及数据必须与杭州市不动产统一登记信息管理系统、杭州市规划和自然资源局余杭分局档案管理系统兼容。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档案数字化转换过程中形成的目录数据库与图像数据库，通过质检环节确认为"合格"后，通过网络及时加载到采购人信息管理系统、档案管理系统数据服务器端汇总，并能实现目录数据对相关联的数字图像的自动搜索、加入对应的电子地址信息等，实现批量、快速挂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要求记录导入进度情况，成功和失败的目录数，并显示具体的失败目录和失败原因，如缺少电子目录，电子文件命名与电子目录不匹配等常见错误提示以便修改或重新合并。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在挂接电子文件前，进行电子文件挂接包的整理，清除不符合挂接条件的电子文件。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对重复导入情况的实时监控，选择导入类型，如全覆盖导入、增量导入还是终止导入等。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如有挂接错误或遗漏的，应及时整改。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3.9.2数据关联</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以档案目录数据库为依据，将每一卷纸质档案文件扫描所得的一个或多个图像存储为一份图像文件。将图像文件存储到相应文件夹时，要认真核查每一份图像文件的名称与档案目录数据库中该份文件的档号是否相同，图像文件的页数与档案目录数据库中该份文件的页数是否一致，图像文件的总数与目录数据库中文件的总数是否相同等。通过每一份图像文件的文件名与档案目录数据库中该份文件的档号的一致性和唯一性，建立起一一对应的关联关系，实现档案目录数据库与图像文件的批量挂接，确保关联正确、准确。</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3.9.3 表单记录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认真填写纸质档案数字化转换过程交接登记表单，记录数据关联后的页数，核对每一份文件关联后的页数与档案整理、扫描时填写的页数是否一致，不一致时应注明具体原因和处理办法。并提交招标人审核同意后，进行处理。</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3.10数据自检</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3.10.1数字化加工单位必须建立严格的质量检测体系，对已完成数字化转换的所有数据，包括目录数据库、图像文件及数据挂接的总体质量进行检查，检查率100%，合格率100%。</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3.10.2要求对实体档案逐卷逐件清点，按档案数量、文件状况、卷内文件页数与顺序、装订要求等进行检查，如发现档案丢失、损坏、圈划或涂改等将追究法律责任；顺序错误、装订不符要求、卷间文件颠倒等情况，要重新进行档案整理直至符合招标人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3.10.3数字化加工单位形成档案数据后，并且自检合格后，才能递交招标人审核、验收。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3.10.4招标人审核确认后，目录和全文数据向招标人档案数据库迁移。</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3.11数据备份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3.11.1备份范围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经验收合格的完整数据应及时进行备份。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3.11.2 备份方式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 xml:space="preserve">为保证数据安全，扫描加工后的电子文件需要提交硬盘存储备份之用，要求如下： </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3.11.2.1备份并提供2套移动硬盘数据文件：要求正规品牌移动硬盘（确保保存质量），单个硬盘容量不得小于2TB。</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3.11.2.2确保盘内有相应档案数据目录，视情况需要配相应的软件和内容说明。</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3.11.2.3同一卷档案，目录和影像应保存在同一个移动硬盘内。</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3.11.2.4移动硬盘表面需备注项目年份和具体项目名称，注明目录索引信息（含年度、分类号、档案号、档案名称、制作日期、内容等）。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在移动硬盘备份数据保存后，需与影像系统档案进行比对一次，以确保档案资料无遗漏及正确性。</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中标人移动硬盘备份人员做好所有移动硬盘序号的管理与记录。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3.11.3 数据检验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备份数据也应进行检验。备份数据的检验的内容主要包括备份数据能否打开、数据信息是否完整、文件数量是否准确等。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3.11.4备份标签</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数据备份后应在相应的备份介质上做好标签，以便查找和管理。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3.11.5 备份登记</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填写纸质档案数字化备份管理登记表单。</w:t>
      </w:r>
    </w:p>
    <w:p>
      <w:pPr>
        <w:autoSpaceDE w:val="0"/>
        <w:spacing w:line="360" w:lineRule="auto"/>
        <w:ind w:firstLine="422" w:firstLineChars="200"/>
        <w:rPr>
          <w:rFonts w:ascii="宋体" w:hAnsi="宋体" w:eastAsia="宋体" w:cs="宋体"/>
          <w:sz w:val="21"/>
          <w:szCs w:val="21"/>
          <w:highlight w:val="none"/>
        </w:rPr>
      </w:pPr>
      <w:r>
        <w:rPr>
          <w:rFonts w:hint="eastAsia" w:ascii="宋体" w:hAnsi="宋体" w:eastAsia="宋体" w:cs="宋体"/>
          <w:b/>
          <w:bCs/>
          <w:sz w:val="21"/>
          <w:szCs w:val="21"/>
          <w:highlight w:val="none"/>
        </w:rPr>
        <w:t>3.12数字化成果管理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3.12.1 加强对纸质档案数字化成果的管理，确保其安全、完整和长期可用。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3.12.2数据验收合格后，完成档案电子数据挂接入库工作。对于验收中不合格的电子数据、纸质档案退回整改。相关费用由中标承担。</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3.12.3移交入库的电子数据必须符合杭州市不动产统一登记信息管理系统及杭州市规划和自然资源局余杭分局档案管理系统的数据入库格式。如因格式不符合，由此引起数据错误或者无法导入的情况，必须及时整改，损失由中标人承担。</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四、验收要求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（一）中标人应制定严格的项目质量控制及质量保证措施，保证不动产登记档案的整理和数字化工作符合质量要求，并高质量地完成工作任务。</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（二）中标人必须建立严格的质量检测体系，对加工完成的不动产登记档案必须逐卷（册）全面自检，自检达到质量标准要求的，才能递交验收。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（三）验收指标</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按照上述“建设任务”的各环节要求，进行质量检查验收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1、实物验收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档案实物验收必须逐卷（册）清点，对档案数量、文件状况等进行检查。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若出现包含不仅限于以下问题，则该批次档案的整理质量视为“不合格”。中标人须及时采取补救措施（如：问题批次的案卷中，标方将全面自检；对已经发现的问题进行整改等），并承担相应法律责任。招标人有权解除合同并追究乙方违约责任。</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1.1丢失、损坏、损毁不动产登记档案或档案材料内容；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1.2私自圈划、涂改、抽取或伪造档案材料；</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1.3擅自处理或销毁档案材料等严重违规行为的；</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1.4泄露档案信息内容。</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2、整理质量验收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实物整理质量验收以抽检的方式检查，抽检比例</w:t>
      </w:r>
      <w:r>
        <w:rPr>
          <w:rFonts w:ascii="宋体" w:hAnsi="宋体" w:eastAsia="宋体" w:cs="宋体"/>
          <w:sz w:val="21"/>
          <w:szCs w:val="21"/>
          <w:highlight w:val="none"/>
        </w:rPr>
        <w:t>2</w:t>
      </w:r>
      <w:r>
        <w:rPr>
          <w:rFonts w:hint="eastAsia" w:ascii="宋体" w:hAnsi="宋体" w:eastAsia="宋体" w:cs="宋体"/>
          <w:sz w:val="21"/>
          <w:szCs w:val="21"/>
          <w:highlight w:val="none"/>
        </w:rPr>
        <w:t>0%。</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若检查时出现包含不仅限于以下问题，则该卷（册）档案的整理质量视为“不合格”：</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2.1档案材料分类错误、排序错误、编目编号错误。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2.2装订间距，A3折叠方法等不符要求、卷间文件颠倒。</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2.3档案标识打印与粘贴错误、缺页缺件。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2.4备考表信息不全，材料不全或不完整未发工作联系单等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2.5资料粘贴，去污等不符合要求，导致掉落等问题。</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3、数字化加工质量验收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数字化加工质量验收以抽检的方式检查，对采集的信息数据、目录与图像等导入完毕的数据进行验收，抽检对象和比例同整理质量验收的抽检对象和比例相同。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若检查时出现包含但不仅限于以下问题，则该卷（册）档案的数字化加工质量视为“不合格”：</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3.1采集的数据信息、目录数据、图像文件有错误、不完整。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3.2目录数据与图像文件挂接有错误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3.3影像文件质量不达标。如（A4幅面以下常规单页图像大小超过500-600KB的，达到2%以上；影像文件不清晰、影像阅读的，达到1%以上；扫描分辨率低于</w:t>
      </w:r>
      <w:r>
        <w:rPr>
          <w:rFonts w:ascii="宋体" w:hAnsi="宋体" w:eastAsia="宋体" w:cs="宋体"/>
          <w:sz w:val="21"/>
          <w:szCs w:val="21"/>
          <w:highlight w:val="none"/>
        </w:rPr>
        <w:t>3</w:t>
      </w:r>
      <w:r>
        <w:rPr>
          <w:rFonts w:hint="eastAsia" w:ascii="宋体" w:hAnsi="宋体" w:eastAsia="宋体" w:cs="宋体"/>
          <w:sz w:val="21"/>
          <w:szCs w:val="21"/>
          <w:highlight w:val="none"/>
        </w:rPr>
        <w:t>00dpi等）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4、验收通过合格率</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档案规范化整理与数字化加工验收，抽检的合格率均达到99%以上（含99%）时，给予以验收“通过”。抽检将按照招标方的要求按批次进行，要求每批次合格率均达到99%以上。</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合格率=抽检合格的文件数/抽检文件总数×100%</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5、在质量抽检中被确定为“不合格”的服务产品或在验收中发现存在的问题，中标人应自查全部案卷,若有同类问题应及时、无偿地予以纠正并再次提交采购人验收，直至更正全部错误。</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（四）验收审核</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验收"通过"的结论，必须经第三方质检单位、数字化加工单位项目负责人审查、签字，并提交招标人审核确认后方有效。</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（五） 验收登记</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认真填写纸质档案数字化验收登记表单。</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五、配合要求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在整个项目执行过程中，采购人将引入第三方质检公司，对不动产登记档案的整理及数字化建库项目全过程进行监督管理，控制质量，确保进度，并配合采购人完成不动产档案数字化成品质量和纸质档案装订情况的质检工作，投标方需保证对第三方质检公司各项工作的配合。</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六、安全保密要求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严格管理，明确责任，落实安全保密管理机制和质量管理机制，确保档案原件和数字化档案信息的安全保密，确保各环节工作符合档案行业标准的要求，并建立完整、规范的工作记录。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（一）中标人应制定严密的安全保密措施，严格遵守保密相关规定，严格遵守安全保密制度，确保不动产登记档案实物和信息数据的安全和保密。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（二）采购人与中标人签订保密协议，采购人提供的全部文件资料，均属保密内容，凡以直接、间接、口头或书面等形式提供涉及保密内容的行为均属泄密。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（三）不动产登记档案整理和数字化加工工作必须在指定的场所内进行，并确保场所的正常秩序和安全。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（四）项目工作人员必须具备一定的档案业务知识和档案整理操作能力及档案数字化加工的实际操作经验。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五）中标人不得出现丢失、损坏、损毁不动产登记档案或档案材料内容；泄露档案信息（包括档案实物内容信息和数字化数据信息，下同），私自圈划、涂改、复制、留存、使用档案信息，抽取或伪造档案材料；擅自处理或销毁档案材料等严重违反安全保密要求的行为。如发生以上情况，中标人须承担补救责任和损害赔偿责任，直至追究法律责任，采购人有权解除合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（六）根据档案局、保密局最新文件条款规定执行。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（七）中标人应做到：</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与项目工作人员签订保密协议，加强对工作人员的保密教育。建立严格的保密制度，所有加工的计算机设备不能接入互联网、政务网等其他公共网络，封断所有加工设备的无线网络功能，并负责档案数据的保密工作。加强管理，杜绝工作人员对档案及档案信息的私自复制、留存、使用等泄密行为。</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2、中标人应指定专职档案交接员与采购人的专职档案交接员配合，负责原始档案的交接工作。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3、中标人应在工作现场设安全保密员，负责档案原件在整个整理和扫描流程中的安全管理和已扫描档案数据的安全保密工作。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4、不同的工序之间要采取措施，杜绝泄密事故的发生。</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5、扫描加工场地具备安全保密设施和措施，保证档案原件的安全和保密。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6、在工作平台上建立监管系统，实时监控工作人员的操作过程，统一记录保存。</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7、数字化工作人员存放随身物品要有专用储物箱柜。非工作需要的私人物品，包括照相机、摄像机、手机、录音机(笔)、笔记本电脑、平板电脑等各类电子设备和各类移动存储介质，一律不得带入数字化加工现场</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 xml:space="preserve"> </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8、不得在工作场所使用与工作无关的任何电器设备，包括拍摄设备。工作人员离开时，应切断场内电器电源，确保工作场地的安全。如发生意外由中标人负责。</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9、未经合同采购人许可，任何档案材料不得带离工作区域。</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10、对服务器的操作有安全监管措施。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11、工作区域采用内部局域网传输交换数据，不得存在对外出口。</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12、USB端口、光驱接口等所有不必要的信息输出装置或端口，封闭使用。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13、各操作均有日志记录：用户登录操作日志；用户文件传输操作日志；系统管理员操作日志；刻录光盘日志；文件上传日志；网络访问日志等。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14、支持服务器双机备份机制。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15、按照既定规则、路径，自动备份目录数据、图像文件，并可进行数据库恢复。包括数据库增量备份、全库备份、制定时间自动备份、手动备份。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 xml:space="preserve">16、已扫描和录入的数据除按规定刻制提交的光盘以外，只能存放在工作区的电脑上，乙方工作人员不得携带任何移动数据存储介质进入工作现场，或将存储数据带离现场。 </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17、分批验收进行数据移交时，工作站上的数据必须在工作人员的现场监督下销毁，同时移交该批次数字化加工的监管系统监控记录。</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18、不合格退回的返工介质，在乙方确认后交采购人销毁。</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19、严禁擅自将数字化加工场所内的物品带离现场。</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20、每天工作人员离开时，应切断场内电器的电源，确保工作场地的安全。如发生意外由中标人负责。</w:t>
      </w:r>
    </w:p>
    <w:p>
      <w:pPr>
        <w:autoSpaceDE w:val="0"/>
        <w:spacing w:line="360" w:lineRule="auto"/>
        <w:ind w:firstLine="420" w:firstLineChars="200"/>
        <w:rPr>
          <w:rFonts w:ascii="宋体" w:hAnsi="宋体" w:eastAsia="宋体" w:cs="宋体"/>
          <w:sz w:val="21"/>
          <w:szCs w:val="21"/>
          <w:highlight w:val="none"/>
        </w:rPr>
      </w:pPr>
      <w:bookmarkStart w:id="37" w:name="_Toc404896277"/>
      <w:r>
        <w:rPr>
          <w:rFonts w:hint="eastAsia" w:ascii="宋体" w:hAnsi="宋体" w:eastAsia="宋体" w:cs="宋体"/>
          <w:sz w:val="21"/>
          <w:szCs w:val="21"/>
          <w:highlight w:val="none"/>
        </w:rPr>
        <w:t>（八）存储介质管理</w:t>
      </w:r>
      <w:bookmarkEnd w:id="37"/>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全部扫描工作完成并已通过验收后，用于数字化建设的一切存储介质，工作结束时，全部交由招标人管理。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 所有加工过程中的服务器、存储设备、与数据直接关系的所有设备（例如U盘等）统一由招标人进行格式化。</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 加工操作终端上的全部数据必须在采购人技术人员的监督下彻底销毁。</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 用于数字化建设的所有电脑（包括中途撤换或维修的），工作结束均应交由招标人作技术处理后方可撤出，同时移交该数字化加工的监管系统监控记录。</w:t>
      </w:r>
    </w:p>
    <w:p>
      <w:pPr>
        <w:autoSpaceDE w:val="0"/>
        <w:spacing w:line="360" w:lineRule="auto"/>
        <w:ind w:firstLine="422" w:firstLineChars="200"/>
        <w:rPr>
          <w:rFonts w:ascii="宋体" w:hAnsi="宋体" w:eastAsia="宋体" w:cs="宋体"/>
          <w:b/>
          <w:bCs/>
          <w:sz w:val="21"/>
          <w:szCs w:val="21"/>
          <w:highlight w:val="none"/>
        </w:rPr>
      </w:pPr>
      <w:bookmarkStart w:id="38" w:name="_Toc404896278"/>
      <w:r>
        <w:rPr>
          <w:rFonts w:hint="eastAsia" w:ascii="宋体" w:hAnsi="宋体" w:eastAsia="宋体" w:cs="宋体"/>
          <w:b/>
          <w:bCs/>
          <w:sz w:val="21"/>
          <w:szCs w:val="21"/>
          <w:highlight w:val="none"/>
        </w:rPr>
        <w:t>七、工期及工作相关要求</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1、项目</w:t>
      </w:r>
      <w:r>
        <w:rPr>
          <w:rFonts w:hint="eastAsia" w:ascii="宋体" w:hAnsi="宋体" w:eastAsia="宋体" w:cs="宋体"/>
          <w:sz w:val="21"/>
          <w:szCs w:val="21"/>
          <w:highlight w:val="none"/>
          <w:lang w:eastAsia="zh-CN"/>
        </w:rPr>
        <w:t>工期</w:t>
      </w:r>
      <w:r>
        <w:rPr>
          <w:rFonts w:hint="eastAsia" w:ascii="宋体" w:hAnsi="宋体" w:eastAsia="宋体" w:cs="宋体"/>
          <w:sz w:val="21"/>
          <w:szCs w:val="21"/>
          <w:highlight w:val="none"/>
        </w:rPr>
        <w:t>：12个月,自202</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年合同签订之日起计算。</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2、合同签订后10个工作日内将有关项目所需软硬件设备、工作人员等进驻工作场地，并开始工作；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合同签订后有效期内按照招标人及第三方质检单位提出的进度和质量要求完成项目的实施及项目自检工作，分阶段提供数据成果，由第三方质检单位进行审核；合同签订后的12个月内完成全部数字化建设服务，交由第三方质检单位审核，招标人组织验收。</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4、数据成果提供：要求按招标人分阶段提供数据成果，在每月月底前提交自检合格、质量过关的数据成果。</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八、项目的工作内容及成果</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文档的提交应覆盖以下内容，电子文档是成果不可分割的部分。要求如下文档：</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1、项目实施前：项目实施方案；</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2、项目实施期间：项目实施工作联系单、项目实施过程中衍生的其它相关资料；</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3、项目实施后：项目验收报告、项目过程文档；</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4、培训期间：培训计划；</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5、其他需要提交的材料。</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九、投标人要求</w:t>
      </w:r>
      <w:bookmarkEnd w:id="38"/>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招标人不提供档案扫描、存储所需的任何相应设备，仅提供数字化加工场地。中标人须提供档案数字化加工所必要的专业技术和相应的软硬件设备，确保有稳定的专业档案扫描数字化加工服务队伍（所提供产品应详细列明所有技术指标，包括品牌、规格型号、详细配置、主要技术参数、随机软件等，同时还须包括产品说明书或产品主要技术资料和性能的详细描述，任何含糊不清的表述对评标结果的影响将是投标人的责任）。</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招标人提供档案管理系统及杭州市不动产统一登记信息管理系统，中标人所提供的软硬件设备必须是符合国家技术规范和质量标准的合格产品，满足采购单位的使用需求，且必须保证与该软件的正常兼容及可操作，非采购单位人为因素而造成软件任何损失由中标人承担全部责任。</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投标人须配备相应的档案数字化流程管理软件、图像加工处理软件和质检软件。投标人须在技术文件中明确提出纸质档案数字化加工作业流程，图像处理方法，设备及人员配置，质量控制及差错防范措施。</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投标人须在投标方案中明确采购人需提供的加工场地及计算机网络环境条件。</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投标人须在投标文件中明确数字化加工现场的安全、保密、人员管理制度，保证施工现场档案和设施的安全。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各投标人在投标时要特别强调指出所承诺的服务内容，其中包括：</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1、免费服务期后的服务方式和费用；</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2、业务规划（如：技术服务内容规划，实施计划、服务响应时间、绩效计划等）；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3、资源管理（如公司的人力资源办法及实施情况、财务情况、公司的技术力量及管理能力、整理及数字化扫描的业务流程及日常质量管理体系、质量水平、保密制度及措施、员工培训项目等）。</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投标人必须与工作人员签订终身安全保密协议。</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必须在投标文件中明确本项目的驻场经理，要求有丰富的档案整理、数字化经验，且一经招标方确定，在整个项目实施周期内不得无故变动；如有特殊情况需调整，需书面向招标人申请，经招标人同意后方可调整。</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双方各指定专人做好档案的清点交接工作，做好移交记录，归还档案时还要提供扫描加工工作流情况说明，并随同档案一起交接。</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质保期内所有因更换或修复系统而导致设备停止运行的时间应从其质保期内扣除。</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投标人在完成项目工作中，如造成顺序错误、装订不符要求、卷间文件颠倒又拒绝重新整理的，或因中标人原因造成档案丢失、损毁、破坏等不可逆伤害的，采购单位有权向杭州市余杭区财政局采购办反映，要求酌情给予相应惩戒。</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采购合同签订前，中标人需向采购单位提交响应文件的电子文档一套。</w:t>
      </w:r>
    </w:p>
    <w:p>
      <w:pPr>
        <w:autoSpaceDE w:val="0"/>
        <w:spacing w:line="360" w:lineRule="auto"/>
        <w:ind w:firstLine="422" w:firstLineChars="200"/>
        <w:rPr>
          <w:rFonts w:ascii="宋体" w:hAnsi="宋体" w:eastAsia="宋体" w:cs="宋体"/>
          <w:b/>
          <w:bCs/>
          <w:sz w:val="21"/>
          <w:szCs w:val="21"/>
          <w:highlight w:val="none"/>
        </w:rPr>
      </w:pPr>
      <w:bookmarkStart w:id="39" w:name="_Toc404896279"/>
      <w:r>
        <w:rPr>
          <w:rFonts w:hint="eastAsia" w:ascii="宋体" w:hAnsi="宋体" w:eastAsia="宋体" w:cs="宋体"/>
          <w:b/>
          <w:bCs/>
          <w:sz w:val="21"/>
          <w:szCs w:val="21"/>
          <w:highlight w:val="none"/>
        </w:rPr>
        <w:t>十、驻场人员管理</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中标人在签定合同时，应提供现场驻场工作人员的名单。工作人员进场后必须将身份证、个人简历、用工合同及相关证件的复印件交招标人审核保存。项目实施过程中，中标人不得随意更换驻场人员。如确实需要更换的，需提前7天书面通知招标人，取得招标人签字同意后，方可按相应的程序进行交接后更换。</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驻场人员除了必须接受招标人组织的档案保密安全教育，并自觉学习保密知识，中标人须加强对驻场人员的保密教育。严格遵守《档案法》、《保密法》及其他有关法规，严防泄密现象发生。中标人要与我局签订安全保密协议；中标人要与每个驻场人员签订保密协议。该保密协议一式三份，招标人留底一份。驻场人员不得遗失、涂改、损坏档案，如有发生，15个工作日内中标人向招标人缴纳500元/件的罚款，拒绝或逾期缴纳罚款招标人有权拒绝支付合同款项或解除合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3、驻场人员须严格遵守作息时间和请假制度，期间不得从事与项目无关的工作;不得到非工作场所闲串，不可大声喧哗，或其他违反招标人规定的行为；不得在数字化加工场所使用与工作无关的任何电器设备,如有违反，15个工作日内中标人向招标人缴纳200元/次的罚款，拒绝或逾期缴纳罚款招标人有权拒绝支付合同款项或解除合同。</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4、驻场人员必须保持工作场所的整洁有序，每天要做好卫生清洁工作，工作场所内不能饮食，场所外饮食后产生的垃圾要立即清走。水杯、工作服、背包、钱包、手机等个人物品应放在指定位置，不得带入工作场所。如有违反，15个工作日内中标人向招标人缴纳200元/次的罚款，拒绝或逾期缴纳罚款招标人有权拒绝支付合同款项或解除合同。</w:t>
      </w:r>
    </w:p>
    <w:p>
      <w:pPr>
        <w:autoSpaceDE w:val="0"/>
        <w:spacing w:line="360" w:lineRule="auto"/>
        <w:ind w:firstLine="420" w:firstLineChars="200"/>
        <w:rPr>
          <w:rFonts w:ascii="宋体" w:hAnsi="宋体" w:eastAsia="宋体" w:cs="宋体"/>
          <w:b/>
          <w:bCs/>
          <w:sz w:val="21"/>
          <w:szCs w:val="21"/>
          <w:highlight w:val="none"/>
        </w:rPr>
      </w:pPr>
      <w:r>
        <w:rPr>
          <w:rFonts w:hint="eastAsia" w:ascii="宋体" w:hAnsi="宋体" w:eastAsia="宋体" w:cs="宋体"/>
          <w:sz w:val="21"/>
          <w:szCs w:val="21"/>
          <w:highlight w:val="none"/>
        </w:rPr>
        <w:t>5、未经我局管理人员同意，不得将工作场所内的任何物品带出工作场所外,如有违反，15个工作日内中标人向招标人缴纳200元/次的罚款，拒绝或逾期缴纳罚款招标人有权拒绝支付合同款项或解除合同。</w:t>
      </w:r>
    </w:p>
    <w:p>
      <w:pPr>
        <w:autoSpaceDE w:val="0"/>
        <w:spacing w:line="360" w:lineRule="auto"/>
        <w:ind w:firstLine="422" w:firstLineChars="200"/>
        <w:rPr>
          <w:rFonts w:ascii="宋体" w:hAnsi="宋体" w:eastAsia="宋体" w:cs="宋体"/>
          <w:b/>
          <w:bCs/>
          <w:sz w:val="21"/>
          <w:szCs w:val="21"/>
          <w:highlight w:val="none"/>
        </w:rPr>
      </w:pPr>
      <w:r>
        <w:rPr>
          <w:rFonts w:hint="eastAsia" w:ascii="宋体" w:hAnsi="宋体" w:eastAsia="宋体" w:cs="宋体"/>
          <w:b/>
          <w:bCs/>
          <w:sz w:val="21"/>
          <w:szCs w:val="21"/>
          <w:highlight w:val="none"/>
        </w:rPr>
        <w:t>十一、交付的成果</w:t>
      </w:r>
      <w:bookmarkEnd w:id="39"/>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档案数字化成果必需符合国家和省市国土资源档案管理的相关标准、规范，同时应符合杭州市规划和自然资源局余杭分局档案管理系统对数据库的相关要求，同时以移动硬盘数据二套交付。</w:t>
      </w:r>
    </w:p>
    <w:p>
      <w:pPr>
        <w:autoSpaceDE w:val="0"/>
        <w:spacing w:line="360" w:lineRule="auto"/>
        <w:ind w:firstLine="422" w:firstLineChars="200"/>
        <w:rPr>
          <w:rFonts w:ascii="宋体" w:hAnsi="宋体" w:eastAsia="宋体" w:cs="宋体"/>
          <w:sz w:val="21"/>
          <w:szCs w:val="21"/>
          <w:highlight w:val="none"/>
        </w:rPr>
      </w:pPr>
      <w:r>
        <w:rPr>
          <w:rFonts w:hint="eastAsia" w:ascii="宋体" w:hAnsi="宋体" w:eastAsia="宋体" w:cs="宋体"/>
          <w:b/>
          <w:bCs/>
          <w:sz w:val="21"/>
          <w:szCs w:val="21"/>
          <w:highlight w:val="none"/>
        </w:rPr>
        <w:t>十二、售后服务</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1、中标人负责对项目成果错误进行及时更正</w:t>
      </w:r>
      <w:r>
        <w:rPr>
          <w:rFonts w:hint="eastAsia" w:ascii="宋体" w:hAnsi="宋体" w:cs="宋体"/>
          <w:sz w:val="21"/>
          <w:szCs w:val="21"/>
          <w:highlight w:val="none"/>
          <w:lang w:val="en-US" w:eastAsia="zh-CN"/>
        </w:rPr>
        <w:t>和完善，并保证质量提供无偿的售后服务</w:t>
      </w:r>
      <w:r>
        <w:rPr>
          <w:rFonts w:hint="eastAsia" w:ascii="宋体" w:hAnsi="宋体" w:eastAsia="宋体" w:cs="宋体"/>
          <w:sz w:val="21"/>
          <w:szCs w:val="21"/>
          <w:highlight w:val="none"/>
        </w:rPr>
        <w:t>；</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2、自项目总体验收合格之日起</w:t>
      </w:r>
      <w:r>
        <w:rPr>
          <w:rFonts w:hint="eastAsia" w:ascii="宋体" w:hAnsi="宋体" w:eastAsia="宋体" w:cs="宋体"/>
          <w:sz w:val="21"/>
          <w:szCs w:val="21"/>
          <w:highlight w:val="none"/>
          <w:lang w:eastAsia="zh-CN"/>
        </w:rPr>
        <w:t>三</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36</w:t>
      </w:r>
      <w:r>
        <w:rPr>
          <w:rFonts w:hint="eastAsia" w:ascii="宋体" w:hAnsi="宋体" w:eastAsia="宋体" w:cs="宋体"/>
          <w:sz w:val="21"/>
          <w:szCs w:val="21"/>
          <w:highlight w:val="none"/>
        </w:rPr>
        <w:t>个月）为质量保证期。质量保证期内发现缺失、遗漏、错误等现象的，由中标人无偿修改完善或补正。</w:t>
      </w:r>
    </w:p>
    <w:p>
      <w:pPr>
        <w:autoSpaceDE w:val="0"/>
        <w:spacing w:line="360" w:lineRule="auto"/>
        <w:ind w:firstLine="422" w:firstLineChars="200"/>
        <w:rPr>
          <w:rFonts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十三、付款方式</w:t>
      </w:r>
    </w:p>
    <w:p>
      <w:pPr>
        <w:autoSpaceDE w:val="0"/>
        <w:spacing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本项目标的物数量均为估算量，最终总费用以合同单价为准，按验收后确定的实际工</w:t>
      </w:r>
      <w:r>
        <w:rPr>
          <w:rFonts w:hint="eastAsia" w:ascii="宋体" w:hAnsi="宋体" w:cs="宋体"/>
          <w:sz w:val="21"/>
          <w:szCs w:val="21"/>
          <w:highlight w:val="none"/>
          <w:lang w:val="en-US" w:eastAsia="zh-CN"/>
        </w:rPr>
        <w:t>作</w:t>
      </w:r>
      <w:r>
        <w:rPr>
          <w:rFonts w:hint="eastAsia" w:ascii="宋体" w:hAnsi="宋体" w:eastAsia="宋体" w:cs="宋体"/>
          <w:sz w:val="21"/>
          <w:szCs w:val="21"/>
          <w:highlight w:val="none"/>
        </w:rPr>
        <w:t>量结算。</w:t>
      </w:r>
    </w:p>
    <w:p>
      <w:pPr>
        <w:autoSpaceDE w:val="0"/>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中标</w:t>
      </w:r>
      <w:r>
        <w:rPr>
          <w:rFonts w:hint="eastAsia" w:ascii="宋体" w:hAnsi="宋体" w:eastAsia="宋体" w:cs="宋体"/>
          <w:sz w:val="21"/>
          <w:szCs w:val="21"/>
          <w:highlight w:val="none"/>
        </w:rPr>
        <w:t>方在签订合同后</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rPr>
        <w:t>个工作日内支付</w:t>
      </w:r>
      <w:r>
        <w:rPr>
          <w:rFonts w:hint="eastAsia" w:ascii="宋体" w:hAnsi="宋体" w:cs="宋体"/>
          <w:sz w:val="21"/>
          <w:szCs w:val="21"/>
          <w:highlight w:val="none"/>
          <w:lang w:eastAsia="zh-CN"/>
        </w:rPr>
        <w:t>预算总价</w:t>
      </w:r>
      <w:r>
        <w:rPr>
          <w:rFonts w:hint="eastAsia" w:ascii="宋体" w:hAnsi="宋体" w:eastAsia="宋体" w:cs="宋体"/>
          <w:sz w:val="21"/>
          <w:szCs w:val="21"/>
          <w:highlight w:val="none"/>
        </w:rPr>
        <w:t>的</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5%作为履约保证金。质保期满后无息退还</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如有扣款相应扣除）</w:t>
      </w:r>
      <w:r>
        <w:rPr>
          <w:rFonts w:hint="eastAsia" w:ascii="宋体" w:hAnsi="宋体" w:cs="宋体"/>
          <w:sz w:val="21"/>
          <w:szCs w:val="21"/>
          <w:highlight w:val="none"/>
          <w:lang w:eastAsia="zh-CN"/>
        </w:rPr>
        <w:t>。</w:t>
      </w:r>
    </w:p>
    <w:p>
      <w:pPr>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采购方对中标方每季度工</w:t>
      </w:r>
      <w:r>
        <w:rPr>
          <w:rFonts w:hint="eastAsia" w:ascii="宋体" w:hAnsi="宋体" w:cs="宋体"/>
          <w:szCs w:val="21"/>
          <w:highlight w:val="none"/>
          <w:lang w:val="en-US" w:eastAsia="zh-CN"/>
        </w:rPr>
        <w:t>作</w:t>
      </w:r>
      <w:r>
        <w:rPr>
          <w:rFonts w:hint="eastAsia" w:ascii="宋体" w:hAnsi="宋体" w:cs="宋体"/>
          <w:szCs w:val="21"/>
          <w:highlight w:val="none"/>
        </w:rPr>
        <w:t>量进行核算，季度末采购方按实际完成量支付进度款，最后一季度的结算价作为尾款，待项目完成并全部通过验收后，采购方支付剩余尾款。</w:t>
      </w:r>
    </w:p>
    <w:p>
      <w:pPr>
        <w:snapToGrid w:val="0"/>
        <w:spacing w:line="360" w:lineRule="auto"/>
        <w:jc w:val="both"/>
        <w:rPr>
          <w:rFonts w:hint="eastAsia" w:ascii="仿宋" w:hAnsi="仿宋" w:eastAsia="仿宋" w:cs="仿宋"/>
          <w:b/>
          <w:sz w:val="36"/>
          <w:szCs w:val="36"/>
        </w:rPr>
      </w:pPr>
    </w:p>
    <w:p>
      <w:pPr>
        <w:pStyle w:val="23"/>
        <w:rPr>
          <w:rFonts w:hint="eastAsia" w:ascii="仿宋" w:hAnsi="仿宋" w:eastAsia="仿宋" w:cs="仿宋"/>
          <w:b/>
          <w:sz w:val="36"/>
          <w:szCs w:val="36"/>
        </w:rPr>
      </w:pPr>
    </w:p>
    <w:p>
      <w:pPr>
        <w:pStyle w:val="24"/>
        <w:rPr>
          <w:rFonts w:hint="eastAsia" w:ascii="仿宋" w:hAnsi="仿宋" w:eastAsia="仿宋" w:cs="仿宋"/>
          <w:b/>
          <w:sz w:val="36"/>
          <w:szCs w:val="36"/>
        </w:rPr>
      </w:pPr>
    </w:p>
    <w:p>
      <w:pPr>
        <w:rPr>
          <w:rFonts w:hint="eastAsia" w:ascii="仿宋" w:hAnsi="仿宋" w:eastAsia="仿宋" w:cs="仿宋"/>
          <w:b/>
          <w:sz w:val="36"/>
          <w:szCs w:val="36"/>
        </w:rPr>
      </w:pPr>
    </w:p>
    <w:p>
      <w:pPr>
        <w:pStyle w:val="23"/>
        <w:rPr>
          <w:rFonts w:hint="eastAsia" w:ascii="仿宋" w:hAnsi="仿宋" w:eastAsia="仿宋" w:cs="仿宋"/>
          <w:b/>
          <w:sz w:val="36"/>
          <w:szCs w:val="36"/>
        </w:rPr>
      </w:pPr>
    </w:p>
    <w:p>
      <w:pPr>
        <w:pStyle w:val="24"/>
        <w:rPr>
          <w:rFonts w:hint="eastAsia" w:ascii="仿宋" w:hAnsi="仿宋" w:eastAsia="仿宋" w:cs="仿宋"/>
          <w:b/>
          <w:sz w:val="36"/>
          <w:szCs w:val="36"/>
        </w:rPr>
      </w:pPr>
    </w:p>
    <w:p>
      <w:pPr>
        <w:rPr>
          <w:rFonts w:hint="eastAsia" w:ascii="仿宋" w:hAnsi="仿宋" w:eastAsia="仿宋" w:cs="仿宋"/>
          <w:b/>
          <w:sz w:val="36"/>
          <w:szCs w:val="36"/>
        </w:rPr>
      </w:pPr>
    </w:p>
    <w:p>
      <w:pPr>
        <w:pStyle w:val="23"/>
        <w:rPr>
          <w:rFonts w:hint="eastAsia" w:ascii="仿宋" w:hAnsi="仿宋" w:eastAsia="仿宋" w:cs="仿宋"/>
          <w:b/>
          <w:sz w:val="36"/>
          <w:szCs w:val="36"/>
        </w:rPr>
      </w:pPr>
    </w:p>
    <w:p>
      <w:pPr>
        <w:pStyle w:val="24"/>
        <w:rPr>
          <w:rFonts w:hint="eastAsia" w:ascii="仿宋" w:hAnsi="仿宋" w:eastAsia="仿宋" w:cs="仿宋"/>
          <w:b/>
          <w:sz w:val="36"/>
          <w:szCs w:val="36"/>
        </w:rPr>
      </w:pPr>
    </w:p>
    <w:p>
      <w:pPr>
        <w:rPr>
          <w:rFonts w:hint="eastAsia" w:ascii="仿宋" w:hAnsi="仿宋" w:eastAsia="仿宋" w:cs="仿宋"/>
          <w:b/>
          <w:sz w:val="36"/>
          <w:szCs w:val="36"/>
        </w:rPr>
      </w:pPr>
    </w:p>
    <w:p>
      <w:pPr>
        <w:pStyle w:val="23"/>
        <w:rPr>
          <w:rFonts w:hint="eastAsia" w:ascii="仿宋" w:hAnsi="仿宋" w:eastAsia="仿宋" w:cs="仿宋"/>
          <w:b/>
          <w:sz w:val="36"/>
          <w:szCs w:val="36"/>
        </w:rPr>
      </w:pPr>
    </w:p>
    <w:p>
      <w:pPr>
        <w:pStyle w:val="24"/>
        <w:rPr>
          <w:rFonts w:hint="eastAsia" w:ascii="仿宋" w:hAnsi="仿宋" w:eastAsia="仿宋" w:cs="仿宋"/>
          <w:b/>
          <w:sz w:val="36"/>
          <w:szCs w:val="36"/>
        </w:rPr>
      </w:pPr>
    </w:p>
    <w:p>
      <w:pPr>
        <w:rPr>
          <w:rFonts w:hint="eastAsia" w:ascii="仿宋" w:hAnsi="仿宋" w:eastAsia="仿宋" w:cs="仿宋"/>
          <w:b/>
          <w:sz w:val="36"/>
          <w:szCs w:val="36"/>
        </w:rPr>
      </w:pPr>
    </w:p>
    <w:p>
      <w:pPr>
        <w:pStyle w:val="23"/>
        <w:rPr>
          <w:rFonts w:hint="eastAsia"/>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40" w:name="_Toc184312096"/>
      <w:bookmarkEnd w:id="40"/>
      <w:bookmarkStart w:id="41" w:name="_Toc184313303"/>
      <w:bookmarkEnd w:id="41"/>
      <w:bookmarkStart w:id="42" w:name="_Toc184313295"/>
      <w:bookmarkEnd w:id="42"/>
      <w:bookmarkStart w:id="43" w:name="_Toc184314447"/>
      <w:bookmarkEnd w:id="43"/>
      <w:bookmarkStart w:id="44" w:name="_Toc184314433"/>
      <w:bookmarkEnd w:id="44"/>
      <w:bookmarkStart w:id="45" w:name="_Toc184312084"/>
      <w:bookmarkEnd w:id="45"/>
      <w:bookmarkStart w:id="46" w:name="_Toc184310317"/>
      <w:bookmarkEnd w:id="46"/>
      <w:bookmarkStart w:id="47" w:name="_Toc184314473"/>
      <w:bookmarkEnd w:id="47"/>
      <w:bookmarkStart w:id="48" w:name="_Toc184314414"/>
      <w:bookmarkEnd w:id="48"/>
      <w:bookmarkStart w:id="49" w:name="_Toc184310339"/>
      <w:bookmarkEnd w:id="49"/>
      <w:bookmarkStart w:id="50" w:name="_Toc184310290"/>
      <w:bookmarkEnd w:id="50"/>
      <w:bookmarkStart w:id="51" w:name="_Toc184314460"/>
      <w:bookmarkEnd w:id="51"/>
      <w:bookmarkStart w:id="52" w:name="_Toc184312083"/>
      <w:bookmarkEnd w:id="52"/>
      <w:bookmarkStart w:id="53" w:name="_Toc184312106"/>
      <w:bookmarkEnd w:id="53"/>
      <w:bookmarkStart w:id="54" w:name="_Toc184313292"/>
      <w:bookmarkEnd w:id="54"/>
      <w:bookmarkStart w:id="55" w:name="_Toc184313305"/>
      <w:bookmarkEnd w:id="55"/>
      <w:bookmarkStart w:id="56" w:name="_Toc184310278"/>
      <w:bookmarkEnd w:id="56"/>
      <w:bookmarkStart w:id="57" w:name="_Toc184308081"/>
      <w:bookmarkEnd w:id="57"/>
      <w:bookmarkStart w:id="58" w:name="_Toc184308100"/>
      <w:bookmarkEnd w:id="58"/>
      <w:bookmarkStart w:id="59" w:name="_Toc184308045"/>
      <w:bookmarkEnd w:id="59"/>
      <w:bookmarkStart w:id="60" w:name="_Toc184308095"/>
      <w:bookmarkEnd w:id="60"/>
      <w:bookmarkStart w:id="61" w:name="_Toc184308063"/>
      <w:bookmarkEnd w:id="61"/>
      <w:bookmarkStart w:id="62" w:name="_Toc184312127"/>
      <w:bookmarkEnd w:id="62"/>
      <w:bookmarkStart w:id="63" w:name="_Toc184313241"/>
      <w:bookmarkEnd w:id="63"/>
      <w:bookmarkStart w:id="64" w:name="_Toc184308094"/>
      <w:bookmarkEnd w:id="64"/>
      <w:bookmarkStart w:id="65" w:name="_Toc184308092"/>
      <w:bookmarkEnd w:id="65"/>
      <w:bookmarkStart w:id="66" w:name="_Toc184313308"/>
      <w:bookmarkEnd w:id="66"/>
      <w:bookmarkStart w:id="67" w:name="_Toc184313299"/>
      <w:bookmarkEnd w:id="67"/>
      <w:bookmarkStart w:id="68" w:name="_Toc184313290"/>
      <w:bookmarkEnd w:id="68"/>
      <w:bookmarkStart w:id="69" w:name="_Toc184308080"/>
      <w:bookmarkEnd w:id="69"/>
      <w:bookmarkStart w:id="70" w:name="_Toc184310334"/>
      <w:bookmarkEnd w:id="70"/>
      <w:bookmarkStart w:id="71" w:name="_Toc184314452"/>
      <w:bookmarkEnd w:id="71"/>
      <w:bookmarkStart w:id="72" w:name="_Toc184312067"/>
      <w:bookmarkEnd w:id="72"/>
      <w:bookmarkStart w:id="73" w:name="_Toc184310303"/>
      <w:bookmarkEnd w:id="73"/>
      <w:bookmarkStart w:id="74" w:name="_Toc184308076"/>
      <w:bookmarkEnd w:id="74"/>
      <w:bookmarkStart w:id="75" w:name="_Toc184313294"/>
      <w:bookmarkEnd w:id="75"/>
      <w:bookmarkStart w:id="76" w:name="_Toc184313275"/>
      <w:bookmarkEnd w:id="76"/>
      <w:bookmarkStart w:id="77" w:name="_Toc184312121"/>
      <w:bookmarkEnd w:id="77"/>
      <w:bookmarkStart w:id="78" w:name="_Toc184312089"/>
      <w:bookmarkEnd w:id="78"/>
      <w:bookmarkStart w:id="79" w:name="_Toc184310284"/>
      <w:bookmarkEnd w:id="79"/>
      <w:bookmarkStart w:id="80" w:name="_Toc184312128"/>
      <w:bookmarkEnd w:id="80"/>
      <w:bookmarkStart w:id="81" w:name="_Toc184308106"/>
      <w:bookmarkEnd w:id="81"/>
      <w:bookmarkStart w:id="82" w:name="_Toc184312118"/>
      <w:bookmarkEnd w:id="82"/>
      <w:bookmarkStart w:id="83" w:name="_Toc184314476"/>
      <w:bookmarkEnd w:id="83"/>
      <w:bookmarkStart w:id="84" w:name="_Toc184313247"/>
      <w:bookmarkEnd w:id="84"/>
      <w:bookmarkStart w:id="85" w:name="_Toc184308096"/>
      <w:bookmarkEnd w:id="85"/>
      <w:bookmarkStart w:id="86" w:name="_Toc184310321"/>
      <w:bookmarkEnd w:id="86"/>
      <w:bookmarkStart w:id="87" w:name="_Toc184314475"/>
      <w:bookmarkEnd w:id="87"/>
      <w:bookmarkStart w:id="88" w:name="_Toc184312109"/>
      <w:bookmarkEnd w:id="88"/>
      <w:bookmarkStart w:id="89" w:name="_Toc184313265"/>
      <w:bookmarkEnd w:id="89"/>
      <w:bookmarkStart w:id="90" w:name="_Toc184314429"/>
      <w:bookmarkEnd w:id="90"/>
      <w:bookmarkStart w:id="91" w:name="_Toc184308054"/>
      <w:bookmarkEnd w:id="91"/>
      <w:bookmarkStart w:id="92" w:name="_Toc184310325"/>
      <w:bookmarkEnd w:id="92"/>
      <w:bookmarkStart w:id="93" w:name="_Toc184310297"/>
      <w:bookmarkEnd w:id="93"/>
      <w:bookmarkStart w:id="94" w:name="_Toc184310277"/>
      <w:bookmarkEnd w:id="94"/>
      <w:bookmarkStart w:id="95" w:name="_Toc184312110"/>
      <w:bookmarkEnd w:id="95"/>
      <w:bookmarkStart w:id="96" w:name="_Toc184308090"/>
      <w:bookmarkEnd w:id="96"/>
      <w:bookmarkStart w:id="97" w:name="_Toc184310311"/>
      <w:bookmarkEnd w:id="97"/>
      <w:bookmarkStart w:id="98" w:name="_Toc184314477"/>
      <w:bookmarkEnd w:id="98"/>
      <w:bookmarkStart w:id="99" w:name="_Toc184313260"/>
      <w:bookmarkEnd w:id="99"/>
      <w:bookmarkStart w:id="100" w:name="_Toc184314449"/>
      <w:bookmarkEnd w:id="100"/>
      <w:bookmarkStart w:id="101" w:name="_Toc184314468"/>
      <w:bookmarkEnd w:id="101"/>
      <w:bookmarkStart w:id="102" w:name="_Toc184314478"/>
      <w:bookmarkEnd w:id="102"/>
      <w:bookmarkStart w:id="103" w:name="_Toc184314437"/>
      <w:bookmarkEnd w:id="103"/>
      <w:bookmarkStart w:id="104" w:name="_Toc184312078"/>
      <w:bookmarkEnd w:id="104"/>
      <w:bookmarkStart w:id="105" w:name="_Toc184310275"/>
      <w:bookmarkEnd w:id="105"/>
      <w:bookmarkStart w:id="106" w:name="_Toc184310283"/>
      <w:bookmarkEnd w:id="106"/>
      <w:bookmarkStart w:id="107" w:name="_Toc184313297"/>
      <w:bookmarkEnd w:id="107"/>
      <w:bookmarkStart w:id="108" w:name="_Toc184308070"/>
      <w:bookmarkEnd w:id="108"/>
      <w:bookmarkStart w:id="109" w:name="_Toc184313249"/>
      <w:bookmarkEnd w:id="109"/>
      <w:bookmarkStart w:id="110" w:name="_Toc184312112"/>
      <w:bookmarkEnd w:id="110"/>
      <w:bookmarkStart w:id="111" w:name="_Toc184314413"/>
      <w:bookmarkEnd w:id="111"/>
      <w:bookmarkStart w:id="112" w:name="_Toc184310331"/>
      <w:bookmarkEnd w:id="112"/>
      <w:bookmarkStart w:id="113" w:name="_Toc184308051"/>
      <w:bookmarkEnd w:id="113"/>
      <w:bookmarkStart w:id="114" w:name="_Toc184310326"/>
      <w:bookmarkEnd w:id="114"/>
      <w:bookmarkStart w:id="115" w:name="_Toc184310292"/>
      <w:bookmarkEnd w:id="115"/>
      <w:bookmarkStart w:id="116" w:name="_Toc184314463"/>
      <w:bookmarkEnd w:id="116"/>
      <w:bookmarkStart w:id="117" w:name="_Toc184314453"/>
      <w:bookmarkEnd w:id="117"/>
      <w:bookmarkStart w:id="118" w:name="_Toc184312102"/>
      <w:bookmarkEnd w:id="118"/>
      <w:bookmarkStart w:id="119" w:name="_Toc184308046"/>
      <w:bookmarkEnd w:id="119"/>
      <w:bookmarkStart w:id="120" w:name="_Toc184310329"/>
      <w:bookmarkEnd w:id="120"/>
      <w:bookmarkStart w:id="121" w:name="_Toc184308056"/>
      <w:bookmarkEnd w:id="121"/>
      <w:bookmarkStart w:id="122" w:name="_Toc184314427"/>
      <w:bookmarkEnd w:id="122"/>
      <w:bookmarkStart w:id="123" w:name="_Toc184312108"/>
      <w:bookmarkEnd w:id="123"/>
      <w:bookmarkStart w:id="124" w:name="_Toc184313284"/>
      <w:bookmarkEnd w:id="124"/>
      <w:bookmarkStart w:id="125" w:name="_Toc184313262"/>
      <w:bookmarkEnd w:id="125"/>
      <w:bookmarkStart w:id="126" w:name="_Toc184312134"/>
      <w:bookmarkEnd w:id="126"/>
      <w:bookmarkStart w:id="127" w:name="_Toc184313307"/>
      <w:bookmarkEnd w:id="127"/>
      <w:bookmarkStart w:id="128" w:name="_Toc184308036"/>
      <w:bookmarkEnd w:id="128"/>
      <w:bookmarkStart w:id="129" w:name="_Toc184312070"/>
      <w:bookmarkEnd w:id="129"/>
      <w:bookmarkStart w:id="130" w:name="_Toc184310305"/>
      <w:bookmarkEnd w:id="130"/>
      <w:bookmarkStart w:id="131" w:name="_Toc184314419"/>
      <w:bookmarkEnd w:id="131"/>
      <w:bookmarkStart w:id="132" w:name="_Toc184312090"/>
      <w:bookmarkEnd w:id="132"/>
      <w:bookmarkStart w:id="133" w:name="_Toc184314464"/>
      <w:bookmarkEnd w:id="133"/>
      <w:bookmarkStart w:id="134" w:name="_Toc184314461"/>
      <w:bookmarkEnd w:id="134"/>
      <w:bookmarkStart w:id="135" w:name="_Toc184310281"/>
      <w:bookmarkEnd w:id="135"/>
      <w:bookmarkStart w:id="136" w:name="_Toc184308049"/>
      <w:bookmarkEnd w:id="136"/>
      <w:bookmarkStart w:id="137" w:name="_Toc184313285"/>
      <w:bookmarkEnd w:id="137"/>
      <w:bookmarkStart w:id="138" w:name="_Toc184312099"/>
      <w:bookmarkEnd w:id="138"/>
      <w:bookmarkStart w:id="139" w:name="_Toc184313244"/>
      <w:bookmarkEnd w:id="139"/>
      <w:bookmarkStart w:id="140" w:name="_Toc184308093"/>
      <w:bookmarkEnd w:id="140"/>
      <w:bookmarkStart w:id="141" w:name="_Toc184312113"/>
      <w:bookmarkEnd w:id="141"/>
      <w:bookmarkStart w:id="142" w:name="_Toc184310274"/>
      <w:bookmarkEnd w:id="142"/>
      <w:bookmarkStart w:id="143" w:name="_Toc184312123"/>
      <w:bookmarkEnd w:id="143"/>
      <w:bookmarkStart w:id="144" w:name="_Toc184310285"/>
      <w:bookmarkEnd w:id="144"/>
      <w:bookmarkStart w:id="145" w:name="_Toc184312124"/>
      <w:bookmarkEnd w:id="145"/>
      <w:bookmarkStart w:id="146" w:name="_Toc184308039"/>
      <w:bookmarkEnd w:id="146"/>
      <w:bookmarkStart w:id="147" w:name="_Toc184314412"/>
      <w:bookmarkEnd w:id="147"/>
      <w:bookmarkStart w:id="148" w:name="_Toc184308075"/>
      <w:bookmarkEnd w:id="148"/>
      <w:bookmarkStart w:id="149" w:name="_Toc184313239"/>
      <w:bookmarkEnd w:id="149"/>
      <w:bookmarkStart w:id="150" w:name="_Toc184308057"/>
      <w:bookmarkEnd w:id="150"/>
      <w:bookmarkStart w:id="151" w:name="_Toc184313273"/>
      <w:bookmarkEnd w:id="151"/>
      <w:bookmarkStart w:id="152" w:name="_Toc184312129"/>
      <w:bookmarkEnd w:id="152"/>
      <w:bookmarkStart w:id="153" w:name="_Toc184308098"/>
      <w:bookmarkEnd w:id="153"/>
      <w:bookmarkStart w:id="154" w:name="_Toc184308101"/>
      <w:bookmarkEnd w:id="154"/>
      <w:bookmarkStart w:id="155" w:name="_Toc184314470"/>
      <w:bookmarkEnd w:id="155"/>
      <w:bookmarkStart w:id="156" w:name="_Toc184313283"/>
      <w:bookmarkEnd w:id="156"/>
      <w:bookmarkStart w:id="157" w:name="_Toc184313253"/>
      <w:bookmarkEnd w:id="157"/>
      <w:bookmarkStart w:id="158" w:name="_Toc184314480"/>
      <w:bookmarkEnd w:id="158"/>
      <w:bookmarkStart w:id="159" w:name="_Toc184314462"/>
      <w:bookmarkEnd w:id="159"/>
      <w:bookmarkStart w:id="160" w:name="_Toc184314459"/>
      <w:bookmarkEnd w:id="160"/>
      <w:bookmarkStart w:id="161" w:name="_Toc184308086"/>
      <w:bookmarkEnd w:id="161"/>
      <w:bookmarkStart w:id="162" w:name="_Toc184314417"/>
      <w:bookmarkEnd w:id="162"/>
      <w:bookmarkStart w:id="163" w:name="_Toc184312107"/>
      <w:bookmarkEnd w:id="163"/>
      <w:bookmarkStart w:id="164" w:name="_Toc184308077"/>
      <w:bookmarkEnd w:id="164"/>
      <w:bookmarkStart w:id="165" w:name="_Toc184313280"/>
      <w:bookmarkEnd w:id="165"/>
      <w:bookmarkStart w:id="166" w:name="_Toc184314425"/>
      <w:bookmarkEnd w:id="166"/>
      <w:bookmarkStart w:id="167" w:name="_Toc184314436"/>
      <w:bookmarkEnd w:id="167"/>
      <w:bookmarkStart w:id="168" w:name="_Toc184308073"/>
      <w:bookmarkEnd w:id="168"/>
      <w:bookmarkStart w:id="169" w:name="_Toc184314466"/>
      <w:bookmarkEnd w:id="169"/>
      <w:bookmarkStart w:id="170" w:name="_Toc184314410"/>
      <w:bookmarkEnd w:id="170"/>
      <w:bookmarkStart w:id="171" w:name="_Toc184312068"/>
      <w:bookmarkEnd w:id="171"/>
      <w:bookmarkStart w:id="172" w:name="_Toc184310306"/>
      <w:bookmarkEnd w:id="172"/>
      <w:bookmarkStart w:id="173" w:name="_Toc184313246"/>
      <w:bookmarkEnd w:id="173"/>
      <w:bookmarkStart w:id="174" w:name="_Toc184314474"/>
      <w:bookmarkEnd w:id="174"/>
      <w:bookmarkStart w:id="175" w:name="_Toc184312116"/>
      <w:bookmarkEnd w:id="175"/>
      <w:bookmarkStart w:id="176" w:name="_Toc184314445"/>
      <w:bookmarkEnd w:id="176"/>
      <w:bookmarkStart w:id="177" w:name="_Toc184310341"/>
      <w:bookmarkEnd w:id="177"/>
      <w:bookmarkStart w:id="178" w:name="_Toc184310301"/>
      <w:bookmarkEnd w:id="178"/>
      <w:bookmarkStart w:id="179" w:name="_Toc184313245"/>
      <w:bookmarkEnd w:id="179"/>
      <w:bookmarkStart w:id="180" w:name="_Toc184314434"/>
      <w:bookmarkEnd w:id="180"/>
      <w:bookmarkStart w:id="181" w:name="_Toc184312100"/>
      <w:bookmarkEnd w:id="181"/>
      <w:bookmarkStart w:id="182" w:name="_Toc184314411"/>
      <w:bookmarkEnd w:id="182"/>
      <w:bookmarkStart w:id="183" w:name="_Toc184310291"/>
      <w:bookmarkEnd w:id="183"/>
      <w:bookmarkStart w:id="184" w:name="_Toc184310312"/>
      <w:bookmarkEnd w:id="184"/>
      <w:bookmarkStart w:id="185" w:name="_Toc184312077"/>
      <w:bookmarkEnd w:id="185"/>
      <w:bookmarkStart w:id="186" w:name="_Toc184312073"/>
      <w:bookmarkEnd w:id="186"/>
      <w:bookmarkStart w:id="187" w:name="_Toc184313310"/>
      <w:bookmarkEnd w:id="187"/>
      <w:bookmarkStart w:id="188" w:name="_Toc184310310"/>
      <w:bookmarkEnd w:id="188"/>
      <w:bookmarkStart w:id="189" w:name="_Toc184312111"/>
      <w:bookmarkEnd w:id="189"/>
      <w:bookmarkStart w:id="190" w:name="_Toc184312115"/>
      <w:bookmarkEnd w:id="190"/>
      <w:bookmarkStart w:id="191" w:name="_Toc184314442"/>
      <w:bookmarkEnd w:id="191"/>
      <w:bookmarkStart w:id="192" w:name="_Toc184314454"/>
      <w:bookmarkEnd w:id="192"/>
      <w:bookmarkStart w:id="193" w:name="_Toc184314431"/>
      <w:bookmarkEnd w:id="193"/>
      <w:bookmarkStart w:id="194" w:name="_Toc184310316"/>
      <w:bookmarkEnd w:id="194"/>
      <w:bookmarkStart w:id="195" w:name="_Toc184310279"/>
      <w:bookmarkEnd w:id="195"/>
      <w:bookmarkStart w:id="196" w:name="_Toc184314443"/>
      <w:bookmarkEnd w:id="196"/>
      <w:bookmarkStart w:id="197" w:name="_Toc184310286"/>
      <w:bookmarkEnd w:id="197"/>
      <w:bookmarkStart w:id="198" w:name="_Toc184312097"/>
      <w:bookmarkEnd w:id="198"/>
      <w:bookmarkStart w:id="199" w:name="_Toc184314426"/>
      <w:bookmarkEnd w:id="199"/>
      <w:bookmarkStart w:id="200" w:name="_Toc184313269"/>
      <w:bookmarkEnd w:id="200"/>
      <w:bookmarkStart w:id="201" w:name="_Toc184312119"/>
      <w:bookmarkEnd w:id="201"/>
      <w:bookmarkStart w:id="202" w:name="_Toc184313250"/>
      <w:bookmarkEnd w:id="202"/>
      <w:bookmarkStart w:id="203" w:name="_Toc184308107"/>
      <w:bookmarkEnd w:id="203"/>
      <w:bookmarkStart w:id="204" w:name="_Toc184310302"/>
      <w:bookmarkEnd w:id="204"/>
      <w:bookmarkStart w:id="205" w:name="_Toc184310322"/>
      <w:bookmarkEnd w:id="205"/>
      <w:bookmarkStart w:id="206" w:name="_Toc184314482"/>
      <w:bookmarkEnd w:id="206"/>
      <w:bookmarkStart w:id="207" w:name="_Toc184312074"/>
      <w:bookmarkEnd w:id="207"/>
      <w:bookmarkStart w:id="208" w:name="_Toc184313266"/>
      <w:bookmarkEnd w:id="208"/>
      <w:bookmarkStart w:id="209" w:name="_Toc184308058"/>
      <w:bookmarkEnd w:id="209"/>
      <w:bookmarkStart w:id="210" w:name="_Toc184310314"/>
      <w:bookmarkEnd w:id="210"/>
      <w:bookmarkStart w:id="211" w:name="_Toc184312104"/>
      <w:bookmarkEnd w:id="211"/>
      <w:bookmarkStart w:id="212" w:name="_Toc184313287"/>
      <w:bookmarkEnd w:id="212"/>
      <w:bookmarkStart w:id="213" w:name="_Toc184314418"/>
      <w:bookmarkEnd w:id="213"/>
      <w:bookmarkStart w:id="214" w:name="_Toc184312086"/>
      <w:bookmarkEnd w:id="214"/>
      <w:bookmarkStart w:id="215" w:name="_Toc184312137"/>
      <w:bookmarkEnd w:id="215"/>
      <w:bookmarkStart w:id="216" w:name="_Toc184308066"/>
      <w:bookmarkEnd w:id="216"/>
      <w:bookmarkStart w:id="217" w:name="_Toc184310335"/>
      <w:bookmarkEnd w:id="217"/>
      <w:bookmarkStart w:id="218" w:name="_Toc184314458"/>
      <w:bookmarkEnd w:id="218"/>
      <w:bookmarkStart w:id="219" w:name="_Toc184312101"/>
      <w:bookmarkEnd w:id="219"/>
      <w:bookmarkStart w:id="220" w:name="_Toc184314415"/>
      <w:bookmarkEnd w:id="220"/>
      <w:bookmarkStart w:id="221" w:name="_Toc184314438"/>
      <w:bookmarkEnd w:id="221"/>
      <w:bookmarkStart w:id="222" w:name="_Toc184310308"/>
      <w:bookmarkEnd w:id="222"/>
      <w:bookmarkStart w:id="223" w:name="_Toc184312092"/>
      <w:bookmarkEnd w:id="223"/>
      <w:bookmarkStart w:id="224" w:name="_Toc184312094"/>
      <w:bookmarkEnd w:id="224"/>
      <w:bookmarkStart w:id="225" w:name="_Toc184310342"/>
      <w:bookmarkEnd w:id="225"/>
      <w:bookmarkStart w:id="226" w:name="_Toc184312117"/>
      <w:bookmarkEnd w:id="226"/>
      <w:bookmarkStart w:id="227" w:name="_Toc184308038"/>
      <w:bookmarkEnd w:id="227"/>
      <w:bookmarkStart w:id="228" w:name="_Toc184308079"/>
      <w:bookmarkEnd w:id="228"/>
      <w:bookmarkStart w:id="229" w:name="_Toc184308042"/>
      <w:bookmarkEnd w:id="229"/>
      <w:bookmarkStart w:id="230" w:name="_Toc184308074"/>
      <w:bookmarkEnd w:id="230"/>
      <w:bookmarkStart w:id="231" w:name="_Toc184313277"/>
      <w:bookmarkEnd w:id="231"/>
      <w:bookmarkStart w:id="232" w:name="_Toc184312135"/>
      <w:bookmarkEnd w:id="232"/>
      <w:bookmarkStart w:id="233" w:name="_Toc184308069"/>
      <w:bookmarkEnd w:id="233"/>
      <w:bookmarkStart w:id="234" w:name="_Toc184312126"/>
      <w:bookmarkEnd w:id="234"/>
      <w:bookmarkStart w:id="235" w:name="_Toc184312087"/>
      <w:bookmarkEnd w:id="235"/>
      <w:bookmarkStart w:id="236" w:name="_Toc184308082"/>
      <w:bookmarkEnd w:id="236"/>
      <w:bookmarkStart w:id="237" w:name="_Toc184313279"/>
      <w:bookmarkEnd w:id="237"/>
      <w:bookmarkStart w:id="238" w:name="_Toc184308055"/>
      <w:bookmarkEnd w:id="238"/>
      <w:bookmarkStart w:id="239" w:name="_Toc184312072"/>
      <w:bookmarkEnd w:id="239"/>
      <w:bookmarkStart w:id="240" w:name="_Toc184314432"/>
      <w:bookmarkEnd w:id="240"/>
      <w:bookmarkStart w:id="241" w:name="_Toc184313272"/>
      <w:bookmarkEnd w:id="241"/>
      <w:bookmarkStart w:id="242" w:name="_Toc184313306"/>
      <w:bookmarkEnd w:id="242"/>
      <w:bookmarkStart w:id="243" w:name="_Toc184312131"/>
      <w:bookmarkEnd w:id="243"/>
      <w:bookmarkStart w:id="244" w:name="_Toc184312138"/>
      <w:bookmarkEnd w:id="244"/>
      <w:bookmarkStart w:id="245" w:name="_Toc184308060"/>
      <w:bookmarkEnd w:id="245"/>
      <w:bookmarkStart w:id="246" w:name="_Toc184313268"/>
      <w:bookmarkEnd w:id="246"/>
      <w:bookmarkStart w:id="247" w:name="_Toc184310296"/>
      <w:bookmarkEnd w:id="247"/>
      <w:bookmarkStart w:id="248" w:name="_Toc184310282"/>
      <w:bookmarkEnd w:id="248"/>
      <w:bookmarkStart w:id="249" w:name="_Toc184313302"/>
      <w:bookmarkEnd w:id="249"/>
      <w:bookmarkStart w:id="250" w:name="_Toc184314467"/>
      <w:bookmarkEnd w:id="250"/>
      <w:bookmarkStart w:id="251" w:name="_Toc184313255"/>
      <w:bookmarkEnd w:id="251"/>
      <w:bookmarkStart w:id="252" w:name="_Toc184314444"/>
      <w:bookmarkEnd w:id="252"/>
      <w:bookmarkStart w:id="253" w:name="_Toc184313254"/>
      <w:bookmarkEnd w:id="253"/>
      <w:bookmarkStart w:id="254" w:name="_Toc184314424"/>
      <w:bookmarkEnd w:id="254"/>
      <w:bookmarkStart w:id="255" w:name="_Toc184308103"/>
      <w:bookmarkEnd w:id="255"/>
      <w:bookmarkStart w:id="256" w:name="_Toc184308102"/>
      <w:bookmarkEnd w:id="256"/>
      <w:bookmarkStart w:id="257" w:name="_Toc184314439"/>
      <w:bookmarkEnd w:id="257"/>
      <w:bookmarkStart w:id="258" w:name="_Toc184310320"/>
      <w:bookmarkEnd w:id="258"/>
      <w:bookmarkStart w:id="259" w:name="_Toc184313251"/>
      <w:bookmarkEnd w:id="259"/>
      <w:bookmarkStart w:id="260" w:name="_Toc184310288"/>
      <w:bookmarkEnd w:id="260"/>
      <w:bookmarkStart w:id="261" w:name="_Toc184313264"/>
      <w:bookmarkEnd w:id="261"/>
      <w:bookmarkStart w:id="262" w:name="_Toc184310343"/>
      <w:bookmarkEnd w:id="262"/>
      <w:bookmarkStart w:id="263" w:name="_Toc184314430"/>
      <w:bookmarkEnd w:id="263"/>
      <w:bookmarkStart w:id="264" w:name="_Toc184310280"/>
      <w:bookmarkEnd w:id="264"/>
      <w:bookmarkStart w:id="265" w:name="_Toc184310333"/>
      <w:bookmarkEnd w:id="265"/>
      <w:bookmarkStart w:id="266" w:name="_Toc184313258"/>
      <w:bookmarkEnd w:id="266"/>
      <w:bookmarkStart w:id="267" w:name="_Toc184312079"/>
      <w:bookmarkEnd w:id="267"/>
      <w:bookmarkStart w:id="268" w:name="_Toc184308097"/>
      <w:bookmarkEnd w:id="268"/>
      <w:bookmarkStart w:id="269" w:name="_Toc184308091"/>
      <w:bookmarkEnd w:id="269"/>
      <w:bookmarkStart w:id="270" w:name="_Toc184313263"/>
      <w:bookmarkEnd w:id="270"/>
      <w:bookmarkStart w:id="271" w:name="_Toc184314469"/>
      <w:bookmarkEnd w:id="271"/>
      <w:bookmarkStart w:id="272" w:name="_Toc184312122"/>
      <w:bookmarkEnd w:id="272"/>
      <w:bookmarkStart w:id="273" w:name="_Toc184312130"/>
      <w:bookmarkEnd w:id="273"/>
      <w:bookmarkStart w:id="274" w:name="_Toc184312125"/>
      <w:bookmarkEnd w:id="274"/>
      <w:bookmarkStart w:id="275" w:name="_Toc184314456"/>
      <w:bookmarkEnd w:id="275"/>
      <w:bookmarkStart w:id="276" w:name="_Toc184313288"/>
      <w:bookmarkEnd w:id="276"/>
      <w:bookmarkStart w:id="277" w:name="_Toc184312114"/>
      <w:bookmarkEnd w:id="277"/>
      <w:bookmarkStart w:id="278" w:name="_Toc184312133"/>
      <w:bookmarkEnd w:id="278"/>
      <w:bookmarkStart w:id="279" w:name="_Toc184310337"/>
      <w:bookmarkEnd w:id="279"/>
      <w:bookmarkStart w:id="280" w:name="_Toc184313276"/>
      <w:bookmarkEnd w:id="280"/>
      <w:bookmarkStart w:id="281" w:name="_Toc184310336"/>
      <w:bookmarkEnd w:id="281"/>
      <w:bookmarkStart w:id="282" w:name="_Toc184314446"/>
      <w:bookmarkEnd w:id="282"/>
      <w:bookmarkStart w:id="283" w:name="_Toc184312120"/>
      <w:bookmarkEnd w:id="283"/>
      <w:bookmarkStart w:id="284" w:name="_Toc184314422"/>
      <w:bookmarkEnd w:id="284"/>
      <w:bookmarkStart w:id="285" w:name="_Toc184312071"/>
      <w:bookmarkEnd w:id="285"/>
      <w:bookmarkStart w:id="286" w:name="_Toc184313293"/>
      <w:bookmarkEnd w:id="286"/>
      <w:bookmarkStart w:id="287" w:name="_Toc184308089"/>
      <w:bookmarkEnd w:id="287"/>
      <w:bookmarkStart w:id="288" w:name="_Toc184310299"/>
      <w:bookmarkEnd w:id="288"/>
      <w:bookmarkStart w:id="289" w:name="_Toc184313261"/>
      <w:bookmarkEnd w:id="289"/>
      <w:bookmarkStart w:id="290" w:name="_Toc184314472"/>
      <w:bookmarkEnd w:id="290"/>
      <w:bookmarkStart w:id="291" w:name="_Toc184310324"/>
      <w:bookmarkEnd w:id="291"/>
      <w:bookmarkStart w:id="292" w:name="_Toc184313257"/>
      <w:bookmarkEnd w:id="292"/>
      <w:bookmarkStart w:id="293" w:name="_Toc184308048"/>
      <w:bookmarkEnd w:id="293"/>
      <w:bookmarkStart w:id="294" w:name="_Toc184312081"/>
      <w:bookmarkEnd w:id="294"/>
      <w:bookmarkStart w:id="295" w:name="_Toc184314423"/>
      <w:bookmarkEnd w:id="295"/>
      <w:bookmarkStart w:id="296" w:name="_Toc184314421"/>
      <w:bookmarkEnd w:id="296"/>
      <w:bookmarkStart w:id="297" w:name="_Toc184313243"/>
      <w:bookmarkEnd w:id="297"/>
      <w:bookmarkStart w:id="298" w:name="_Toc184310338"/>
      <w:bookmarkEnd w:id="298"/>
      <w:bookmarkStart w:id="299" w:name="_Toc184312093"/>
      <w:bookmarkEnd w:id="299"/>
      <w:bookmarkStart w:id="300" w:name="_Toc184314479"/>
      <w:bookmarkEnd w:id="300"/>
      <w:bookmarkStart w:id="301" w:name="_Toc184313309"/>
      <w:bookmarkEnd w:id="301"/>
      <w:bookmarkStart w:id="302" w:name="_Toc184308050"/>
      <w:bookmarkEnd w:id="302"/>
      <w:bookmarkStart w:id="303" w:name="_Toc184314471"/>
      <w:bookmarkEnd w:id="303"/>
      <w:bookmarkStart w:id="304" w:name="_Toc184308053"/>
      <w:bookmarkEnd w:id="304"/>
      <w:bookmarkStart w:id="305" w:name="_Toc184308037"/>
      <w:bookmarkEnd w:id="305"/>
      <w:bookmarkStart w:id="306" w:name="_Toc184310330"/>
      <w:bookmarkEnd w:id="306"/>
      <w:bookmarkStart w:id="307" w:name="_Toc184312080"/>
      <w:bookmarkEnd w:id="307"/>
      <w:bookmarkStart w:id="308" w:name="_Toc184310327"/>
      <w:bookmarkEnd w:id="308"/>
      <w:bookmarkStart w:id="309" w:name="_Toc184313296"/>
      <w:bookmarkEnd w:id="309"/>
      <w:bookmarkStart w:id="310" w:name="_Toc184310294"/>
      <w:bookmarkEnd w:id="310"/>
      <w:bookmarkStart w:id="311" w:name="_Toc184308087"/>
      <w:bookmarkEnd w:id="311"/>
      <w:bookmarkStart w:id="312" w:name="_Toc184313304"/>
      <w:bookmarkEnd w:id="312"/>
      <w:bookmarkStart w:id="313" w:name="_Toc184308071"/>
      <w:bookmarkEnd w:id="313"/>
      <w:bookmarkStart w:id="314" w:name="_Toc184313238"/>
      <w:bookmarkEnd w:id="314"/>
      <w:bookmarkStart w:id="315" w:name="_Toc184314481"/>
      <w:bookmarkEnd w:id="315"/>
      <w:bookmarkStart w:id="316" w:name="_Toc184312105"/>
      <w:bookmarkEnd w:id="316"/>
      <w:bookmarkStart w:id="317" w:name="_Toc184308065"/>
      <w:bookmarkEnd w:id="317"/>
      <w:bookmarkStart w:id="318" w:name="_Toc184310287"/>
      <w:bookmarkEnd w:id="318"/>
      <w:bookmarkStart w:id="319" w:name="_Toc184313278"/>
      <w:bookmarkEnd w:id="319"/>
      <w:bookmarkStart w:id="320" w:name="_Toc184314450"/>
      <w:bookmarkEnd w:id="320"/>
      <w:bookmarkStart w:id="321" w:name="_Toc184308088"/>
      <w:bookmarkEnd w:id="321"/>
      <w:bookmarkStart w:id="322" w:name="_Toc184310313"/>
      <w:bookmarkEnd w:id="322"/>
      <w:bookmarkStart w:id="323" w:name="_Toc184312091"/>
      <w:bookmarkEnd w:id="323"/>
      <w:bookmarkStart w:id="324" w:name="_Toc184308099"/>
      <w:bookmarkEnd w:id="324"/>
      <w:bookmarkStart w:id="325" w:name="_Toc184313242"/>
      <w:bookmarkEnd w:id="325"/>
      <w:bookmarkStart w:id="326" w:name="_Toc184308062"/>
      <w:bookmarkEnd w:id="326"/>
      <w:bookmarkStart w:id="327" w:name="_Toc184312095"/>
      <w:bookmarkEnd w:id="327"/>
      <w:bookmarkStart w:id="328" w:name="_Toc184308104"/>
      <w:bookmarkEnd w:id="328"/>
      <w:bookmarkStart w:id="329" w:name="_Toc184310318"/>
      <w:bookmarkEnd w:id="329"/>
      <w:bookmarkStart w:id="330" w:name="_Toc184310315"/>
      <w:bookmarkEnd w:id="330"/>
      <w:bookmarkStart w:id="331" w:name="_Toc184308078"/>
      <w:bookmarkEnd w:id="331"/>
      <w:bookmarkStart w:id="332" w:name="_Toc184313240"/>
      <w:bookmarkEnd w:id="332"/>
      <w:bookmarkStart w:id="333" w:name="_Toc184308040"/>
      <w:bookmarkEnd w:id="333"/>
      <w:bookmarkStart w:id="334" w:name="_Toc184308064"/>
      <w:bookmarkEnd w:id="334"/>
      <w:bookmarkStart w:id="335" w:name="_Toc184308083"/>
      <w:bookmarkEnd w:id="335"/>
      <w:bookmarkStart w:id="336" w:name="_Toc184310344"/>
      <w:bookmarkEnd w:id="336"/>
      <w:bookmarkStart w:id="337" w:name="_Toc184313289"/>
      <w:bookmarkEnd w:id="337"/>
      <w:bookmarkStart w:id="338" w:name="_Toc184308067"/>
      <w:bookmarkEnd w:id="338"/>
      <w:bookmarkStart w:id="339" w:name="_Toc184308047"/>
      <w:bookmarkEnd w:id="339"/>
      <w:bookmarkStart w:id="340" w:name="_Toc184314420"/>
      <w:bookmarkEnd w:id="340"/>
      <w:bookmarkStart w:id="341" w:name="_Toc184310319"/>
      <w:bookmarkEnd w:id="341"/>
      <w:bookmarkStart w:id="342" w:name="_Toc184310272"/>
      <w:bookmarkEnd w:id="342"/>
      <w:bookmarkStart w:id="343" w:name="_Toc184313267"/>
      <w:bookmarkEnd w:id="343"/>
      <w:bookmarkStart w:id="344" w:name="_Toc184310295"/>
      <w:bookmarkEnd w:id="344"/>
      <w:bookmarkStart w:id="345" w:name="_Toc184313259"/>
      <w:bookmarkEnd w:id="345"/>
      <w:bookmarkStart w:id="346" w:name="_Toc184313256"/>
      <w:bookmarkEnd w:id="346"/>
      <w:bookmarkStart w:id="347" w:name="_Toc184310273"/>
      <w:bookmarkEnd w:id="347"/>
      <w:bookmarkStart w:id="348" w:name="_Toc184312069"/>
      <w:bookmarkEnd w:id="348"/>
      <w:bookmarkStart w:id="349" w:name="_Toc184313291"/>
      <w:bookmarkEnd w:id="349"/>
      <w:bookmarkStart w:id="350" w:name="_Toc184314441"/>
      <w:bookmarkEnd w:id="350"/>
      <w:bookmarkStart w:id="351" w:name="_Toc184308052"/>
      <w:bookmarkEnd w:id="351"/>
      <w:bookmarkStart w:id="352" w:name="_Toc184314455"/>
      <w:bookmarkEnd w:id="352"/>
      <w:bookmarkStart w:id="353" w:name="_Toc184310289"/>
      <w:bookmarkEnd w:id="353"/>
      <w:bookmarkStart w:id="354" w:name="_Toc184308108"/>
      <w:bookmarkEnd w:id="354"/>
      <w:bookmarkStart w:id="355" w:name="_Toc184310307"/>
      <w:bookmarkEnd w:id="355"/>
      <w:bookmarkStart w:id="356" w:name="_Toc184314465"/>
      <w:bookmarkEnd w:id="356"/>
      <w:bookmarkStart w:id="357" w:name="_Toc184310293"/>
      <w:bookmarkEnd w:id="357"/>
      <w:bookmarkStart w:id="358" w:name="_Toc184312139"/>
      <w:bookmarkEnd w:id="358"/>
      <w:bookmarkStart w:id="359" w:name="_Toc184310328"/>
      <w:bookmarkEnd w:id="359"/>
      <w:bookmarkStart w:id="360" w:name="_Toc184310309"/>
      <w:bookmarkEnd w:id="360"/>
      <w:bookmarkStart w:id="361" w:name="_Toc184313282"/>
      <w:bookmarkEnd w:id="361"/>
      <w:bookmarkStart w:id="362" w:name="_Toc184313271"/>
      <w:bookmarkEnd w:id="362"/>
      <w:bookmarkStart w:id="363" w:name="_Toc184310300"/>
      <w:bookmarkEnd w:id="363"/>
      <w:bookmarkStart w:id="364" w:name="_Toc184312103"/>
      <w:bookmarkEnd w:id="364"/>
      <w:bookmarkStart w:id="365" w:name="_Toc184310276"/>
      <w:bookmarkEnd w:id="365"/>
      <w:bookmarkStart w:id="366" w:name="_Toc184312098"/>
      <w:bookmarkEnd w:id="366"/>
      <w:bookmarkStart w:id="367" w:name="_Toc184308061"/>
      <w:bookmarkEnd w:id="367"/>
      <w:bookmarkStart w:id="368" w:name="_Toc184314448"/>
      <w:bookmarkEnd w:id="368"/>
      <w:bookmarkStart w:id="369" w:name="_Toc184312082"/>
      <w:bookmarkEnd w:id="369"/>
      <w:bookmarkStart w:id="370" w:name="_Toc184308044"/>
      <w:bookmarkEnd w:id="370"/>
      <w:bookmarkStart w:id="371" w:name="_Toc184308043"/>
      <w:bookmarkEnd w:id="371"/>
      <w:bookmarkStart w:id="372" w:name="_Toc184312136"/>
      <w:bookmarkEnd w:id="372"/>
      <w:bookmarkStart w:id="373" w:name="_Toc184314451"/>
      <w:bookmarkEnd w:id="373"/>
      <w:bookmarkStart w:id="374" w:name="_Toc184308041"/>
      <w:bookmarkEnd w:id="374"/>
      <w:bookmarkStart w:id="375" w:name="_Toc184313281"/>
      <w:bookmarkEnd w:id="375"/>
      <w:bookmarkStart w:id="376" w:name="_Toc184312088"/>
      <w:bookmarkEnd w:id="376"/>
      <w:bookmarkStart w:id="377" w:name="_Toc184310332"/>
      <w:bookmarkEnd w:id="377"/>
      <w:bookmarkStart w:id="378" w:name="_Toc184313270"/>
      <w:bookmarkEnd w:id="378"/>
      <w:bookmarkStart w:id="379" w:name="_Toc184310340"/>
      <w:bookmarkEnd w:id="379"/>
      <w:bookmarkStart w:id="380" w:name="_Toc184314435"/>
      <w:bookmarkEnd w:id="380"/>
      <w:bookmarkStart w:id="381" w:name="_Toc184310298"/>
      <w:bookmarkEnd w:id="381"/>
      <w:bookmarkStart w:id="382" w:name="_Toc184312132"/>
      <w:bookmarkEnd w:id="382"/>
      <w:bookmarkStart w:id="383" w:name="_Toc184310304"/>
      <w:bookmarkEnd w:id="383"/>
      <w:bookmarkStart w:id="384" w:name="_Toc184312085"/>
      <w:bookmarkEnd w:id="384"/>
      <w:bookmarkStart w:id="385" w:name="_Toc184310323"/>
      <w:bookmarkEnd w:id="385"/>
      <w:bookmarkStart w:id="386" w:name="_Toc184313286"/>
      <w:bookmarkEnd w:id="386"/>
      <w:bookmarkStart w:id="387" w:name="_Toc184314457"/>
      <w:bookmarkEnd w:id="387"/>
      <w:bookmarkStart w:id="388" w:name="_Toc184308085"/>
      <w:bookmarkEnd w:id="388"/>
      <w:bookmarkStart w:id="389" w:name="_Toc184314440"/>
      <w:bookmarkEnd w:id="389"/>
      <w:bookmarkStart w:id="390" w:name="_Toc184313301"/>
      <w:bookmarkEnd w:id="390"/>
      <w:bookmarkStart w:id="391" w:name="_Toc184308068"/>
      <w:bookmarkEnd w:id="391"/>
      <w:bookmarkStart w:id="392" w:name="_Toc184313300"/>
      <w:bookmarkEnd w:id="392"/>
      <w:bookmarkStart w:id="393" w:name="_Toc184312076"/>
      <w:bookmarkEnd w:id="393"/>
      <w:bookmarkStart w:id="394" w:name="_Toc184312075"/>
      <w:bookmarkEnd w:id="394"/>
      <w:bookmarkStart w:id="395" w:name="_Toc184314428"/>
      <w:bookmarkEnd w:id="395"/>
      <w:bookmarkStart w:id="396" w:name="_Toc184308084"/>
      <w:bookmarkEnd w:id="396"/>
      <w:bookmarkStart w:id="397" w:name="_Toc184314416"/>
      <w:bookmarkEnd w:id="397"/>
      <w:bookmarkStart w:id="398" w:name="_Toc184308059"/>
      <w:bookmarkEnd w:id="398"/>
      <w:bookmarkStart w:id="399" w:name="_Toc184308072"/>
      <w:bookmarkEnd w:id="399"/>
      <w:bookmarkStart w:id="400" w:name="_Toc184308105"/>
      <w:bookmarkEnd w:id="400"/>
      <w:bookmarkStart w:id="401" w:name="_Toc184313274"/>
      <w:bookmarkEnd w:id="401"/>
      <w:bookmarkStart w:id="402" w:name="_Toc184313252"/>
      <w:bookmarkEnd w:id="402"/>
      <w:bookmarkStart w:id="403" w:name="_Toc184313248"/>
      <w:bookmarkEnd w:id="403"/>
      <w:bookmarkStart w:id="404" w:name="_Toc184313298"/>
      <w:bookmarkEnd w:id="404"/>
      <w:r>
        <w:rPr>
          <w:rFonts w:hint="eastAsia" w:ascii="仿宋" w:hAnsi="仿宋" w:eastAsia="仿宋" w:cs="仿宋"/>
          <w:b/>
          <w:sz w:val="36"/>
          <w:szCs w:val="36"/>
        </w:rPr>
        <w:t>评标办法</w:t>
      </w:r>
    </w:p>
    <w:p>
      <w:pPr>
        <w:snapToGrid w:val="0"/>
        <w:spacing w:line="360" w:lineRule="auto"/>
        <w:ind w:firstLine="482" w:firstLineChars="200"/>
        <w:jc w:val="both"/>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评标办法前附表</w:t>
      </w:r>
    </w:p>
    <w:p>
      <w:pPr>
        <w:pStyle w:val="91"/>
        <w:spacing w:before="0" w:line="440" w:lineRule="exact"/>
        <w:ind w:firstLine="838" w:firstLineChars="348"/>
        <w:rPr>
          <w:rFonts w:hint="eastAsia" w:ascii="宋体" w:hAnsi="宋体" w:cs="宋体"/>
          <w:b/>
          <w:bCs/>
          <w:color w:val="000000"/>
        </w:rPr>
      </w:pPr>
      <w:r>
        <w:rPr>
          <w:rFonts w:hint="eastAsia" w:ascii="宋体" w:hAnsi="宋体"/>
          <w:b/>
          <w:color w:val="000000"/>
        </w:rPr>
        <w:t>技术分（7</w:t>
      </w:r>
      <w:r>
        <w:rPr>
          <w:rFonts w:hint="eastAsia" w:ascii="宋体" w:hAnsi="宋体"/>
          <w:b/>
          <w:color w:val="000000"/>
          <w:lang w:val="en-US" w:eastAsia="zh-CN"/>
        </w:rPr>
        <w:t>7</w:t>
      </w:r>
      <w:r>
        <w:rPr>
          <w:rFonts w:ascii="宋体" w:hAnsi="宋体"/>
          <w:b/>
          <w:color w:val="000000"/>
        </w:rPr>
        <w:t>.0</w:t>
      </w:r>
      <w:r>
        <w:rPr>
          <w:rFonts w:hint="eastAsia" w:ascii="宋体" w:hAnsi="宋体"/>
          <w:b/>
          <w:color w:val="000000"/>
        </w:rPr>
        <w:t>分）：</w:t>
      </w:r>
    </w:p>
    <w:tbl>
      <w:tblPr>
        <w:tblStyle w:val="63"/>
        <w:tblW w:w="9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9"/>
        <w:gridCol w:w="7575"/>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 w:val="24"/>
              </w:rPr>
            </w:pPr>
            <w:bookmarkStart w:id="405" w:name="scoringRules2_1" w:colFirst="0" w:colLast="2"/>
            <w:r>
              <w:rPr>
                <w:rFonts w:hint="eastAsia" w:ascii="宋体" w:hAnsi="宋体" w:cs="宋体"/>
                <w:b/>
                <w:color w:val="000000"/>
                <w:sz w:val="24"/>
              </w:rPr>
              <w:t>评分细则</w:t>
            </w:r>
          </w:p>
        </w:tc>
        <w:tc>
          <w:tcPr>
            <w:tcW w:w="757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 w:val="24"/>
              </w:rPr>
            </w:pPr>
            <w:r>
              <w:rPr>
                <w:rFonts w:hint="eastAsia" w:ascii="宋体" w:hAnsi="宋体" w:cs="宋体"/>
                <w:b/>
                <w:color w:val="000000"/>
                <w:sz w:val="24"/>
              </w:rPr>
              <w:t>评分细则内容</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 w:val="24"/>
              </w:rPr>
            </w:pPr>
            <w:r>
              <w:rPr>
                <w:rFonts w:hint="eastAsia" w:ascii="宋体" w:hAnsi="宋体" w:cs="宋体"/>
                <w:b/>
                <w:color w:val="000000"/>
                <w:sz w:val="24"/>
              </w:rPr>
              <w:t>分值</w:t>
            </w:r>
          </w:p>
        </w:tc>
      </w:tr>
      <w:bookmarkEnd w:id="40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7" w:hRule="atLeast"/>
          <w:jc w:val="center"/>
        </w:trPr>
        <w:tc>
          <w:tcPr>
            <w:tcW w:w="1549"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宋体" w:hAnsi="宋体" w:cs="宋体"/>
                <w:b/>
                <w:color w:val="000000"/>
                <w:sz w:val="24"/>
              </w:rPr>
            </w:pPr>
            <w:r>
              <w:rPr>
                <w:rFonts w:hint="eastAsia" w:ascii="宋体" w:hAnsi="宋体" w:cs="宋体"/>
                <w:b/>
                <w:color w:val="000000"/>
                <w:sz w:val="24"/>
              </w:rPr>
              <w:t>1、项目技术方案</w:t>
            </w:r>
          </w:p>
        </w:tc>
        <w:tc>
          <w:tcPr>
            <w:tcW w:w="7575" w:type="dxa"/>
            <w:tcBorders>
              <w:top w:val="single" w:color="000000" w:sz="4" w:space="0"/>
              <w:left w:val="single" w:color="000000" w:sz="4" w:space="0"/>
              <w:bottom w:val="single" w:color="auto" w:sz="4" w:space="0"/>
              <w:right w:val="single" w:color="000000" w:sz="4" w:space="0"/>
            </w:tcBorders>
            <w:noWrap w:val="0"/>
            <w:vAlign w:val="top"/>
          </w:tcPr>
          <w:p>
            <w:pPr>
              <w:snapToGrid w:val="0"/>
              <w:spacing w:line="360" w:lineRule="auto"/>
              <w:textAlignment w:val="baseline"/>
              <w:rPr>
                <w:rFonts w:hint="eastAsia" w:ascii="宋体" w:hAnsi="宋体" w:eastAsia="仿宋" w:cs="宋体"/>
                <w:color w:val="000000"/>
                <w:sz w:val="24"/>
              </w:rPr>
            </w:pPr>
            <w:r>
              <w:rPr>
                <w:rFonts w:hint="eastAsia" w:ascii="宋体" w:hAnsi="宋体" w:cs="宋体"/>
                <w:color w:val="000000"/>
                <w:sz w:val="24"/>
              </w:rPr>
              <w:t>有详细的加工流程整体设计方案，主要包括档案交接、扫描前处理、档案扫描、影像处理（0-5分）、目录建库、质检流程、数据挂接、装订还原等（0-5分）；本项目实施技术方案是否符合采购人实际及方案的科学性、规范性和可操作性进行打分。</w:t>
            </w:r>
          </w:p>
        </w:tc>
        <w:tc>
          <w:tcPr>
            <w:tcW w:w="795"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宋体" w:hAnsi="宋体" w:cs="宋体"/>
                <w:color w:val="000000"/>
                <w:sz w:val="24"/>
              </w:rPr>
            </w:pPr>
            <w:r>
              <w:rPr>
                <w:rFonts w:hint="eastAsia" w:ascii="宋体" w:hAnsi="宋体" w:cs="宋体"/>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5" w:hRule="atLeast"/>
          <w:jc w:val="center"/>
        </w:trPr>
        <w:tc>
          <w:tcPr>
            <w:tcW w:w="1549" w:type="dxa"/>
            <w:vMerge w:val="restart"/>
            <w:tcBorders>
              <w:top w:val="single" w:color="auto" w:sz="4" w:space="0"/>
              <w:left w:val="single" w:color="000000" w:sz="4" w:space="0"/>
              <w:right w:val="single" w:color="000000" w:sz="4" w:space="0"/>
            </w:tcBorders>
            <w:noWrap w:val="0"/>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2、项目实施方案</w:t>
            </w:r>
          </w:p>
        </w:tc>
        <w:tc>
          <w:tcPr>
            <w:tcW w:w="7575" w:type="dxa"/>
            <w:tcBorders>
              <w:top w:val="single" w:color="auto" w:sz="4" w:space="0"/>
              <w:left w:val="single" w:color="000000" w:sz="4" w:space="0"/>
              <w:bottom w:val="single" w:color="000000" w:sz="4" w:space="0"/>
              <w:right w:val="single" w:color="000000" w:sz="4" w:space="0"/>
            </w:tcBorders>
            <w:noWrap w:val="0"/>
            <w:vAlign w:val="top"/>
          </w:tcPr>
          <w:p>
            <w:pPr>
              <w:snapToGrid w:val="0"/>
              <w:spacing w:line="360" w:lineRule="auto"/>
              <w:textAlignment w:val="baseline"/>
              <w:rPr>
                <w:rFonts w:hint="eastAsia" w:ascii="宋体" w:hAnsi="宋体" w:cs="宋体"/>
                <w:color w:val="000000"/>
                <w:sz w:val="24"/>
              </w:rPr>
            </w:pPr>
            <w:r>
              <w:rPr>
                <w:rFonts w:hint="eastAsia" w:ascii="宋体" w:hAnsi="宋体" w:cs="宋体"/>
                <w:color w:val="000000"/>
                <w:sz w:val="24"/>
              </w:rPr>
              <w:t>项目具体实施计划描述，主要包括投标人针对本项目具体实施计划及工期安排，档案数字化产量及人员具体分工安排，施工现场组织机构图</w:t>
            </w:r>
            <w:r>
              <w:rPr>
                <w:rFonts w:hint="eastAsia" w:ascii="宋体" w:hAnsi="宋体" w:cs="宋体"/>
                <w:color w:val="000000"/>
                <w:sz w:val="24"/>
                <w:lang w:eastAsia="zh-CN"/>
              </w:rPr>
              <w:t>，</w:t>
            </w:r>
            <w:r>
              <w:rPr>
                <w:rFonts w:hint="eastAsia" w:ascii="宋体" w:hAnsi="宋体" w:cs="宋体"/>
                <w:color w:val="000000"/>
                <w:sz w:val="24"/>
                <w:lang w:val="en-US" w:eastAsia="zh-CN"/>
              </w:rPr>
              <w:t>规范性和</w:t>
            </w:r>
            <w:r>
              <w:rPr>
                <w:rFonts w:hint="eastAsia" w:ascii="宋体" w:hAnsi="宋体" w:cs="宋体"/>
                <w:color w:val="000000"/>
                <w:sz w:val="24"/>
              </w:rPr>
              <w:t>合理</w:t>
            </w:r>
            <w:r>
              <w:rPr>
                <w:rFonts w:hint="eastAsia" w:ascii="宋体" w:hAnsi="宋体" w:cs="宋体"/>
                <w:color w:val="000000"/>
                <w:sz w:val="24"/>
                <w:lang w:val="en-US" w:eastAsia="zh-CN"/>
              </w:rPr>
              <w:t>性</w:t>
            </w:r>
            <w:r>
              <w:rPr>
                <w:rFonts w:hint="eastAsia" w:ascii="宋体" w:hAnsi="宋体" w:cs="宋体"/>
                <w:color w:val="000000"/>
                <w:sz w:val="24"/>
              </w:rPr>
              <w:t>进行打分0-5分。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top"/>
          </w:tcPr>
          <w:p>
            <w:pPr>
              <w:snapToGrid w:val="0"/>
              <w:spacing w:line="360" w:lineRule="auto"/>
              <w:textAlignment w:val="baseline"/>
              <w:rPr>
                <w:rFonts w:hint="eastAsia" w:ascii="宋体" w:hAnsi="宋体" w:cs="宋体"/>
                <w:color w:val="000000"/>
                <w:sz w:val="24"/>
                <w:highlight w:val="none"/>
              </w:rPr>
            </w:pPr>
            <w:r>
              <w:rPr>
                <w:rFonts w:hint="eastAsia" w:ascii="宋体" w:hAnsi="宋体" w:cs="宋体"/>
                <w:color w:val="000000"/>
                <w:sz w:val="24"/>
                <w:highlight w:val="none"/>
              </w:rPr>
              <w:t>投标人配备的软件中，具有自主知识产权的数字化加工软件、数字化项目流程可视化管理系统、数字化档案自动归档核查检索综合系统、数字化档案自动归档检查核查检索综合系统、数字化数据质量实时质检与利用系统、档案异地采集与实时同步挂接系统的，每具有一个得1分，最高得5分。</w:t>
            </w:r>
          </w:p>
          <w:p>
            <w:pPr>
              <w:snapToGrid w:val="0"/>
              <w:spacing w:line="360" w:lineRule="auto"/>
              <w:textAlignment w:val="baseline"/>
              <w:rPr>
                <w:rFonts w:hint="eastAsia" w:ascii="宋体" w:hAnsi="宋体" w:cs="宋体"/>
                <w:b/>
                <w:bCs/>
                <w:color w:val="000000"/>
                <w:sz w:val="24"/>
              </w:rPr>
            </w:pPr>
            <w:r>
              <w:rPr>
                <w:rFonts w:hint="eastAsia" w:ascii="宋体" w:hAnsi="宋体" w:cs="宋体"/>
                <w:b/>
                <w:bCs/>
                <w:color w:val="000000"/>
                <w:sz w:val="24"/>
              </w:rPr>
              <w:t>（提供软件著作权证书材料加盖公章）</w:t>
            </w:r>
          </w:p>
          <w:p>
            <w:pPr>
              <w:snapToGrid w:val="0"/>
              <w:spacing w:line="360" w:lineRule="auto"/>
              <w:textAlignment w:val="baseline"/>
              <w:rPr>
                <w:rFonts w:hint="eastAsia" w:ascii="宋体" w:hAnsi="宋体" w:cs="宋体"/>
                <w:color w:val="000000"/>
                <w:sz w:val="24"/>
              </w:rPr>
            </w:pPr>
            <w:r>
              <w:rPr>
                <w:rFonts w:hint="eastAsia" w:ascii="宋体" w:hAnsi="宋体" w:cs="宋体"/>
                <w:color w:val="000000"/>
                <w:sz w:val="24"/>
              </w:rPr>
              <w:t>（证书登记注册的软件名称无需与评分要求完全一致，但内容（功能）需相同，所提供著作权名称与评分要求不同时，应提供证明材料及包含的关键信息，相应系统功能应符合上述要求。）</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vMerge w:val="continue"/>
            <w:tcBorders>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top"/>
          </w:tcPr>
          <w:p>
            <w:pPr>
              <w:snapToGrid w:val="0"/>
              <w:spacing w:line="360" w:lineRule="auto"/>
              <w:textAlignment w:val="baseline"/>
              <w:rPr>
                <w:rFonts w:hint="eastAsia" w:ascii="宋体" w:hAnsi="宋体" w:cs="宋体"/>
                <w:color w:val="000000"/>
                <w:sz w:val="24"/>
              </w:rPr>
            </w:pPr>
            <w:r>
              <w:rPr>
                <w:rFonts w:hint="eastAsia" w:ascii="宋体" w:hAnsi="宋体" w:cs="宋体"/>
                <w:color w:val="000000"/>
                <w:sz w:val="24"/>
              </w:rPr>
              <w:t>项目管理情况、工作流程、质量控制及差错防范的科学性、合理性、规范性和可操作性</w:t>
            </w:r>
            <w:r>
              <w:rPr>
                <w:rFonts w:hint="eastAsia" w:ascii="宋体" w:hAnsi="宋体" w:cs="宋体"/>
                <w:color w:val="000000"/>
                <w:sz w:val="24"/>
                <w:lang w:eastAsia="zh-CN"/>
              </w:rPr>
              <w:t>，</w:t>
            </w:r>
            <w:r>
              <w:rPr>
                <w:rFonts w:hint="eastAsia" w:ascii="宋体" w:hAnsi="宋体" w:cs="宋体"/>
                <w:color w:val="000000"/>
                <w:sz w:val="24"/>
              </w:rPr>
              <w:t>进行打分0-5分。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vMerge w:val="restart"/>
            <w:tcBorders>
              <w:left w:val="single" w:color="000000" w:sz="4" w:space="0"/>
              <w:right w:val="single" w:color="000000" w:sz="4" w:space="0"/>
            </w:tcBorders>
            <w:noWrap w:val="0"/>
            <w:vAlign w:val="center"/>
          </w:tcPr>
          <w:p>
            <w:pPr>
              <w:widowControl/>
              <w:spacing w:line="360" w:lineRule="auto"/>
              <w:rPr>
                <w:rFonts w:hint="eastAsia" w:ascii="宋体" w:hAnsi="宋体" w:cs="宋体"/>
                <w:b/>
                <w:bCs/>
                <w:sz w:val="24"/>
              </w:rPr>
            </w:pPr>
            <w:r>
              <w:rPr>
                <w:rFonts w:hint="eastAsia" w:ascii="宋体" w:hAnsi="宋体" w:cs="宋体"/>
                <w:b/>
                <w:bCs/>
                <w:sz w:val="24"/>
              </w:rPr>
              <w:t>3、保障措施</w:t>
            </w: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具有完善的质量</w:t>
            </w:r>
            <w:r>
              <w:rPr>
                <w:rFonts w:hint="eastAsia" w:ascii="宋体" w:hAnsi="宋体" w:cs="宋体"/>
                <w:sz w:val="24"/>
                <w:lang w:val="en-US" w:eastAsia="zh-CN"/>
              </w:rPr>
              <w:t>保障措施</w:t>
            </w:r>
            <w:r>
              <w:rPr>
                <w:rFonts w:hint="eastAsia" w:ascii="宋体" w:hAnsi="宋体" w:cs="宋体"/>
                <w:sz w:val="24"/>
              </w:rPr>
              <w:t>方案，内容包括：质量控制目标、质量保障计划、质量保障体系、质量控制流程、质量规范记录</w:t>
            </w:r>
            <w:r>
              <w:rPr>
                <w:rFonts w:hint="eastAsia" w:ascii="宋体" w:hAnsi="宋体" w:cs="宋体"/>
                <w:sz w:val="24"/>
                <w:lang w:eastAsia="zh-CN"/>
              </w:rPr>
              <w:t>，</w:t>
            </w:r>
            <w:r>
              <w:rPr>
                <w:rFonts w:hint="eastAsia" w:ascii="宋体" w:hAnsi="宋体" w:cs="宋体"/>
                <w:sz w:val="24"/>
                <w:lang w:val="en-US" w:eastAsia="zh-CN"/>
              </w:rPr>
              <w:t>缺一项扣1分，满分为5分。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54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针对本项目的验收方案，符合实际，可操作性</w:t>
            </w:r>
            <w:r>
              <w:rPr>
                <w:rFonts w:hint="eastAsia" w:ascii="宋体" w:hAnsi="宋体" w:cs="宋体"/>
                <w:sz w:val="24"/>
                <w:lang w:val="en-US" w:eastAsia="zh-CN"/>
              </w:rPr>
              <w:t>和合理性</w:t>
            </w:r>
            <w:r>
              <w:rPr>
                <w:rFonts w:hint="eastAsia" w:ascii="宋体" w:hAnsi="宋体" w:cs="宋体"/>
                <w:sz w:val="24"/>
                <w:lang w:eastAsia="zh-CN"/>
              </w:rPr>
              <w:t>，</w:t>
            </w:r>
            <w:r>
              <w:rPr>
                <w:rFonts w:hint="eastAsia" w:ascii="宋体" w:hAnsi="宋体" w:cs="宋体"/>
                <w:sz w:val="24"/>
              </w:rPr>
              <w:t>进行打分0-5分。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1549" w:type="dxa"/>
            <w:vMerge w:val="continue"/>
            <w:tcBorders>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color w:val="auto"/>
                <w:sz w:val="24"/>
              </w:rPr>
            </w:pPr>
            <w:r>
              <w:rPr>
                <w:rFonts w:hint="eastAsia" w:ascii="宋体" w:hAnsi="宋体" w:cs="宋体"/>
                <w:color w:val="auto"/>
                <w:sz w:val="24"/>
              </w:rPr>
              <w:t>针对本项目的应急预案，根据预案的完整性、与采购方的实际的匹配性</w:t>
            </w:r>
            <w:r>
              <w:rPr>
                <w:rFonts w:hint="eastAsia" w:ascii="宋体" w:hAnsi="宋体" w:cs="宋体"/>
                <w:color w:val="auto"/>
                <w:sz w:val="24"/>
                <w:lang w:eastAsia="zh-CN"/>
              </w:rPr>
              <w:t>，</w:t>
            </w:r>
            <w:r>
              <w:rPr>
                <w:rFonts w:hint="eastAsia" w:ascii="宋体" w:hAnsi="宋体" w:cs="宋体"/>
                <w:color w:val="auto"/>
                <w:sz w:val="24"/>
              </w:rPr>
              <w:t>进行打分0-</w:t>
            </w:r>
            <w:r>
              <w:rPr>
                <w:rFonts w:hint="eastAsia" w:ascii="宋体" w:hAnsi="宋体" w:cs="宋体"/>
                <w:color w:val="auto"/>
                <w:sz w:val="24"/>
                <w:lang w:val="en-US" w:eastAsia="zh-CN"/>
              </w:rPr>
              <w:t>5</w:t>
            </w:r>
            <w:r>
              <w:rPr>
                <w:rFonts w:hint="eastAsia" w:ascii="宋体" w:hAnsi="宋体" w:cs="宋体"/>
                <w:color w:val="auto"/>
                <w:sz w:val="24"/>
              </w:rPr>
              <w:t>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jc w:val="center"/>
        </w:trPr>
        <w:tc>
          <w:tcPr>
            <w:tcW w:w="1549" w:type="dxa"/>
            <w:vMerge w:val="restart"/>
            <w:tcBorders>
              <w:left w:val="single" w:color="000000" w:sz="4" w:space="0"/>
              <w:right w:val="single" w:color="000000" w:sz="4" w:space="0"/>
            </w:tcBorders>
            <w:noWrap w:val="0"/>
            <w:vAlign w:val="center"/>
          </w:tcPr>
          <w:p>
            <w:pPr>
              <w:widowControl/>
              <w:rPr>
                <w:rFonts w:hint="eastAsia" w:ascii="宋体" w:hAnsi="宋体" w:cs="宋体"/>
                <w:b/>
                <w:color w:val="000000"/>
                <w:sz w:val="24"/>
              </w:rPr>
            </w:pPr>
            <w:r>
              <w:rPr>
                <w:rFonts w:hint="eastAsia" w:ascii="宋体" w:hAnsi="宋体" w:cs="宋体"/>
                <w:b/>
                <w:bCs/>
                <w:sz w:val="24"/>
              </w:rPr>
              <w:t>4、项目负责人及技术力量</w:t>
            </w:r>
          </w:p>
        </w:tc>
        <w:tc>
          <w:tcPr>
            <w:tcW w:w="7575"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auto"/>
              <w:rPr>
                <w:rFonts w:ascii="宋体" w:hAnsi="宋体" w:cs="宋体"/>
                <w:color w:val="auto"/>
                <w:sz w:val="24"/>
              </w:rPr>
            </w:pPr>
            <w:r>
              <w:rPr>
                <w:rFonts w:hint="eastAsia" w:ascii="宋体" w:hAnsi="宋体" w:cs="宋体"/>
                <w:color w:val="auto"/>
                <w:sz w:val="24"/>
              </w:rPr>
              <w:t>拟派遣项目负责人具有五年以上档案数字化项目服务经验为前提，同时具有①高级档案管理师证书、②省级及以上人社部门颁发的档案中级职称证书、③省级及以上保密局颁发的保密培训证书、④省级及以上档案相关部门颁发的档案人员信息安全风险防范培训证书、⑤省级及以上档案相关部门颁发的档案人员继续教育培训证书。全部满足得</w:t>
            </w:r>
            <w:r>
              <w:rPr>
                <w:rFonts w:ascii="宋体" w:hAnsi="宋体" w:cs="宋体"/>
                <w:color w:val="auto"/>
                <w:sz w:val="24"/>
              </w:rPr>
              <w:t>5分，少一项扣2分，扣完为止。</w:t>
            </w:r>
          </w:p>
          <w:p>
            <w:pPr>
              <w:widowControl/>
              <w:spacing w:line="360" w:lineRule="auto"/>
              <w:rPr>
                <w:rFonts w:hint="eastAsia" w:ascii="宋体" w:hAnsi="宋体" w:cs="宋体"/>
                <w:color w:val="auto"/>
                <w:sz w:val="24"/>
              </w:rPr>
            </w:pPr>
            <w:r>
              <w:rPr>
                <w:rFonts w:hint="eastAsia" w:ascii="宋体" w:hAnsi="宋体"/>
                <w:bCs/>
                <w:color w:val="auto"/>
                <w:sz w:val="24"/>
              </w:rPr>
              <w:t>（提供人员近</w:t>
            </w:r>
            <w:r>
              <w:rPr>
                <w:rFonts w:ascii="宋体" w:hAnsi="宋体"/>
                <w:bCs/>
                <w:color w:val="auto"/>
                <w:sz w:val="24"/>
              </w:rPr>
              <w:t>5</w:t>
            </w:r>
            <w:r>
              <w:rPr>
                <w:rFonts w:hint="eastAsia" w:ascii="宋体" w:hAnsi="宋体"/>
                <w:bCs/>
                <w:color w:val="auto"/>
                <w:sz w:val="24"/>
                <w:lang w:eastAsia="zh-CN"/>
              </w:rPr>
              <w:t>年以上档案数字化项目服务经验包括合同或履历证明材料</w:t>
            </w:r>
            <w:r>
              <w:rPr>
                <w:rFonts w:hint="eastAsia" w:ascii="宋体" w:hAnsi="宋体"/>
                <w:bCs/>
                <w:color w:val="auto"/>
                <w:sz w:val="24"/>
              </w:rPr>
              <w:t>，</w:t>
            </w:r>
            <w:r>
              <w:rPr>
                <w:rFonts w:hint="eastAsia" w:ascii="宋体" w:hAnsi="宋体"/>
                <w:bCs/>
                <w:color w:val="auto"/>
                <w:sz w:val="24"/>
                <w:lang w:val="en-US" w:eastAsia="zh-CN"/>
              </w:rPr>
              <w:t>相关</w:t>
            </w:r>
            <w:r>
              <w:rPr>
                <w:rFonts w:hint="eastAsia" w:ascii="宋体" w:hAnsi="宋体"/>
                <w:bCs/>
                <w:color w:val="auto"/>
                <w:sz w:val="24"/>
              </w:rPr>
              <w:t>证书复印件</w:t>
            </w:r>
            <w:r>
              <w:rPr>
                <w:rFonts w:hint="eastAsia" w:ascii="宋体" w:hAnsi="宋体"/>
                <w:bCs/>
                <w:color w:val="auto"/>
                <w:sz w:val="24"/>
                <w:lang w:val="en-US" w:eastAsia="zh-CN"/>
              </w:rPr>
              <w:t>或扫描件</w:t>
            </w:r>
            <w:r>
              <w:rPr>
                <w:rFonts w:hint="eastAsia" w:ascii="宋体" w:hAnsi="宋体"/>
                <w:bCs/>
                <w:color w:val="auto"/>
                <w:sz w:val="24"/>
              </w:rPr>
              <w:t>加盖公章，不体现证书内容或不符合不得分。）</w:t>
            </w:r>
          </w:p>
        </w:tc>
        <w:tc>
          <w:tcPr>
            <w:tcW w:w="795"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jc w:val="center"/>
        </w:trPr>
        <w:tc>
          <w:tcPr>
            <w:tcW w:w="1549" w:type="dxa"/>
            <w:vMerge w:val="continue"/>
            <w:tcBorders>
              <w:left w:val="single" w:color="000000" w:sz="4" w:space="0"/>
              <w:right w:val="single" w:color="000000" w:sz="4" w:space="0"/>
            </w:tcBorders>
            <w:noWrap w:val="0"/>
            <w:vAlign w:val="center"/>
          </w:tcPr>
          <w:p>
            <w:pPr>
              <w:widowControl/>
              <w:rPr>
                <w:rFonts w:hint="eastAsia" w:ascii="宋体" w:hAnsi="宋体" w:cs="宋体"/>
                <w:b/>
                <w:bCs/>
                <w:sz w:val="24"/>
              </w:rPr>
            </w:pPr>
          </w:p>
        </w:tc>
        <w:tc>
          <w:tcPr>
            <w:tcW w:w="7575"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auto"/>
              <w:rPr>
                <w:rFonts w:hint="eastAsia" w:ascii="宋体" w:hAnsi="宋体" w:cs="宋体"/>
                <w:color w:val="auto"/>
                <w:sz w:val="24"/>
              </w:rPr>
            </w:pPr>
            <w:r>
              <w:rPr>
                <w:rFonts w:hint="eastAsia" w:ascii="宋体" w:hAnsi="宋体" w:cs="宋体"/>
                <w:color w:val="auto"/>
                <w:sz w:val="24"/>
              </w:rPr>
              <w:t>除项目负责人外：</w:t>
            </w:r>
          </w:p>
          <w:p>
            <w:pPr>
              <w:widowControl/>
              <w:spacing w:line="360" w:lineRule="auto"/>
              <w:rPr>
                <w:rFonts w:hint="eastAsia" w:ascii="宋体" w:hAnsi="宋体" w:cs="宋体"/>
                <w:color w:val="auto"/>
                <w:sz w:val="24"/>
              </w:rPr>
            </w:pPr>
            <w:r>
              <w:rPr>
                <w:rFonts w:hint="eastAsia" w:ascii="宋体" w:hAnsi="宋体" w:cs="宋体"/>
                <w:color w:val="auto"/>
                <w:sz w:val="24"/>
              </w:rPr>
              <w:t>（1）拟派遣的项目技术人员同时具有省级及以上人社部门颁发的档案中级职称证书、省级及以上保密局颁发的保密培训证书、省级及以上档案相关部门颁发的档案继续教育培训证书的得</w:t>
            </w:r>
            <w:r>
              <w:rPr>
                <w:rFonts w:ascii="宋体" w:hAnsi="宋体" w:cs="宋体"/>
                <w:color w:val="auto"/>
                <w:sz w:val="24"/>
              </w:rPr>
              <w:t>2分，缺一不得分</w:t>
            </w:r>
            <w:r>
              <w:rPr>
                <w:rFonts w:hint="eastAsia" w:ascii="宋体" w:hAnsi="宋体" w:cs="宋体"/>
                <w:color w:val="auto"/>
                <w:sz w:val="24"/>
              </w:rPr>
              <w:t>。</w:t>
            </w:r>
          </w:p>
          <w:p>
            <w:pPr>
              <w:widowControl/>
              <w:spacing w:line="360" w:lineRule="auto"/>
              <w:rPr>
                <w:rFonts w:ascii="宋体" w:hAnsi="宋体" w:cs="宋体"/>
                <w:color w:val="auto"/>
                <w:sz w:val="24"/>
              </w:rPr>
            </w:pPr>
            <w:r>
              <w:rPr>
                <w:rFonts w:hint="eastAsia" w:ascii="宋体" w:hAnsi="宋体" w:cs="宋体"/>
                <w:color w:val="auto"/>
                <w:sz w:val="24"/>
              </w:rPr>
              <w:t>（2）拟派遣的安全技术人员具备</w:t>
            </w:r>
            <w:r>
              <w:rPr>
                <w:rFonts w:ascii="宋体" w:hAnsi="宋体" w:cs="宋体"/>
                <w:color w:val="auto"/>
                <w:sz w:val="24"/>
              </w:rPr>
              <w:t>cisp注册信息安全工程师证书的得2分。</w:t>
            </w:r>
          </w:p>
          <w:p>
            <w:pPr>
              <w:widowControl/>
              <w:spacing w:line="360" w:lineRule="auto"/>
              <w:rPr>
                <w:rFonts w:hint="eastAsia" w:ascii="宋体" w:hAnsi="宋体" w:cs="宋体"/>
                <w:color w:val="auto"/>
                <w:sz w:val="24"/>
              </w:rPr>
            </w:pPr>
            <w:r>
              <w:rPr>
                <w:rFonts w:hint="eastAsia" w:ascii="宋体" w:hAnsi="宋体" w:cs="宋体"/>
                <w:color w:val="auto"/>
                <w:sz w:val="24"/>
              </w:rPr>
              <w:t>（3）参与项目实施人员同时具有人社部门颁发的档案中级职称证书，档案相关部门颁发的档案安全保密培训证书的，每提供1个得1分，最多得3分。</w:t>
            </w:r>
          </w:p>
          <w:p>
            <w:pPr>
              <w:pStyle w:val="3"/>
              <w:keepNext/>
              <w:keepLines/>
              <w:pageBreakBefore w:val="0"/>
              <w:widowControl w:val="0"/>
              <w:kinsoku/>
              <w:wordWrap/>
              <w:overflowPunct/>
              <w:topLinePunct w:val="0"/>
              <w:autoSpaceDE/>
              <w:autoSpaceDN/>
              <w:bidi w:val="0"/>
              <w:adjustRightInd w:val="0"/>
              <w:snapToGrid/>
              <w:spacing w:before="0" w:after="0" w:line="360" w:lineRule="auto"/>
              <w:ind w:left="0" w:leftChars="0" w:firstLine="0" w:firstLineChars="0"/>
              <w:jc w:val="left"/>
              <w:textAlignment w:val="auto"/>
              <w:rPr>
                <w:rFonts w:hint="eastAsia"/>
                <w:bCs/>
                <w:color w:val="auto"/>
              </w:rPr>
            </w:pPr>
            <w:r>
              <w:rPr>
                <w:rFonts w:hint="eastAsia" w:ascii="宋体" w:hAnsi="宋体" w:eastAsia="宋体" w:cs="宋体"/>
                <w:b w:val="0"/>
                <w:bCs w:val="0"/>
                <w:color w:val="auto"/>
                <w:kern w:val="2"/>
                <w:sz w:val="24"/>
                <w:szCs w:val="24"/>
                <w:lang w:val="en-US" w:eastAsia="zh-CN" w:bidi="ar-SA"/>
              </w:rPr>
              <w:t>需提供近6个月的社保缴纳证明及证书复印件或扫描件加盖公章，不体现证书内容或不符合不得分。）</w:t>
            </w:r>
          </w:p>
        </w:tc>
        <w:tc>
          <w:tcPr>
            <w:tcW w:w="795"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vMerge w:val="restart"/>
            <w:tcBorders>
              <w:left w:val="single" w:color="000000" w:sz="4" w:space="0"/>
              <w:right w:val="single" w:color="000000" w:sz="4" w:space="0"/>
            </w:tcBorders>
            <w:noWrap w:val="0"/>
            <w:vAlign w:val="center"/>
          </w:tcPr>
          <w:p>
            <w:pPr>
              <w:widowControl/>
              <w:rPr>
                <w:rFonts w:hint="eastAsia" w:ascii="仿宋" w:hAnsi="仿宋" w:eastAsia="仿宋" w:cs="仿宋"/>
                <w:sz w:val="24"/>
              </w:rPr>
            </w:pPr>
            <w:r>
              <w:rPr>
                <w:rFonts w:hint="eastAsia" w:ascii="宋体" w:hAnsi="宋体" w:cs="宋体"/>
                <w:b/>
                <w:bCs/>
                <w:sz w:val="24"/>
              </w:rPr>
              <w:t>5、服务质量保证</w:t>
            </w: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仿宋" w:hAnsi="仿宋" w:eastAsia="仿宋" w:cs="仿宋"/>
                <w:color w:val="auto"/>
                <w:sz w:val="24"/>
              </w:rPr>
            </w:pPr>
            <w:r>
              <w:rPr>
                <w:rFonts w:hint="eastAsia" w:ascii="宋体" w:hAnsi="宋体" w:cs="宋体"/>
                <w:color w:val="auto"/>
                <w:sz w:val="24"/>
              </w:rPr>
              <w:t>质保期限</w:t>
            </w:r>
            <w:r>
              <w:rPr>
                <w:rFonts w:hint="eastAsia" w:ascii="宋体" w:hAnsi="宋体" w:cs="宋体"/>
                <w:color w:val="auto"/>
                <w:sz w:val="24"/>
                <w:lang w:val="en-US" w:eastAsia="zh-CN"/>
              </w:rPr>
              <w:t>内服务巡查方案合理性打分（0-1分）</w:t>
            </w:r>
            <w:r>
              <w:rPr>
                <w:rFonts w:hint="eastAsia" w:ascii="宋体" w:hAnsi="宋体" w:cs="宋体"/>
                <w:color w:val="auto"/>
                <w:sz w:val="24"/>
              </w:rPr>
              <w:t>；服务人员的稳定性、人员数量、学历水平、工作经验</w:t>
            </w:r>
            <w:r>
              <w:rPr>
                <w:rFonts w:hint="eastAsia" w:ascii="宋体" w:hAnsi="宋体" w:cs="宋体"/>
                <w:color w:val="auto"/>
                <w:sz w:val="24"/>
                <w:lang w:val="en-US" w:eastAsia="zh-CN"/>
              </w:rPr>
              <w:t>的服务保证的完善性和可行性打分（0-2分）</w:t>
            </w:r>
            <w:r>
              <w:rPr>
                <w:rFonts w:hint="eastAsia" w:ascii="宋体" w:hAnsi="宋体" w:cs="宋体"/>
                <w:color w:val="auto"/>
                <w:sz w:val="24"/>
              </w:rPr>
              <w:t>；服务方案及承诺（包括但不仅限于维护期、服务质量）的完整性、可行性</w:t>
            </w:r>
            <w:r>
              <w:rPr>
                <w:rFonts w:hint="eastAsia" w:ascii="宋体" w:hAnsi="宋体" w:cs="宋体"/>
                <w:color w:val="auto"/>
                <w:sz w:val="24"/>
                <w:lang w:val="en-US" w:eastAsia="zh-CN"/>
              </w:rPr>
              <w:t>打分</w:t>
            </w:r>
            <w:r>
              <w:rPr>
                <w:rFonts w:hint="eastAsia" w:ascii="宋体" w:hAnsi="宋体" w:cs="宋体"/>
                <w:color w:val="auto"/>
                <w:sz w:val="24"/>
                <w:lang w:eastAsia="zh-CN"/>
              </w:rPr>
              <w:t>（</w:t>
            </w:r>
            <w:r>
              <w:rPr>
                <w:rFonts w:hint="eastAsia" w:ascii="宋体" w:hAnsi="宋体" w:cs="宋体"/>
                <w:color w:val="auto"/>
                <w:sz w:val="24"/>
                <w:lang w:val="en-US" w:eastAsia="zh-CN"/>
              </w:rPr>
              <w:t>0-2分）；</w:t>
            </w:r>
            <w:r>
              <w:rPr>
                <w:rFonts w:hint="eastAsia" w:ascii="宋体" w:hAnsi="宋体" w:cs="宋体"/>
                <w:color w:val="auto"/>
                <w:sz w:val="24"/>
              </w:rPr>
              <w:t>对用户的档案管理水平提升实际有操作意义的相关承诺</w:t>
            </w:r>
            <w:r>
              <w:rPr>
                <w:rFonts w:hint="eastAsia" w:ascii="宋体" w:hAnsi="宋体" w:cs="宋体"/>
                <w:color w:val="auto"/>
                <w:sz w:val="24"/>
                <w:lang w:val="en-US" w:eastAsia="zh-CN"/>
              </w:rPr>
              <w:t>的合理性打分</w:t>
            </w:r>
            <w:r>
              <w:rPr>
                <w:rFonts w:hint="eastAsia" w:ascii="宋体" w:hAnsi="宋体" w:cs="宋体"/>
                <w:color w:val="auto"/>
                <w:sz w:val="24"/>
                <w:lang w:eastAsia="zh-CN"/>
              </w:rPr>
              <w:t>（</w:t>
            </w:r>
            <w:r>
              <w:rPr>
                <w:rFonts w:hint="eastAsia" w:ascii="宋体" w:hAnsi="宋体" w:cs="宋体"/>
                <w:color w:val="auto"/>
                <w:sz w:val="24"/>
                <w:lang w:val="en-US" w:eastAsia="zh-CN"/>
              </w:rPr>
              <w:t>0-1分）；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vMerge w:val="continue"/>
            <w:tcBorders>
              <w:left w:val="single" w:color="000000"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投标供应商通过《商品售后服务评价体系》（国家标准GB/T27922-2011）认证，具有《售后服务认证证书》的，五星得3分，四星得2分，三星得1分，二星及以下不得分。</w:t>
            </w:r>
          </w:p>
          <w:p>
            <w:pPr>
              <w:widowControl/>
              <w:spacing w:line="360" w:lineRule="auto"/>
              <w:rPr>
                <w:rFonts w:hint="eastAsia" w:ascii="宋体" w:hAnsi="宋体" w:cs="宋体"/>
                <w:sz w:val="24"/>
              </w:rPr>
            </w:pPr>
            <w:r>
              <w:rPr>
                <w:rFonts w:hint="eastAsia" w:ascii="宋体" w:hAnsi="宋体" w:cs="宋体"/>
                <w:sz w:val="24"/>
              </w:rPr>
              <w:t>（认证范围须包含：档案整理和档案数字化，须提供证书复印件或扫描件加盖投标人公章）</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1549" w:type="dxa"/>
            <w:vMerge w:val="continue"/>
            <w:tcBorders>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cs="宋体"/>
                <w:b/>
                <w:color w:val="000000"/>
                <w:sz w:val="24"/>
              </w:rPr>
            </w:pP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投标供应商具有信息技术服务运行维护标准（ITSS）认证证书的得3分。</w:t>
            </w:r>
          </w:p>
          <w:p>
            <w:pPr>
              <w:widowControl/>
              <w:spacing w:line="360" w:lineRule="auto"/>
              <w:rPr>
                <w:rFonts w:hint="eastAsia" w:ascii="宋体" w:hAnsi="宋体" w:cs="宋体"/>
                <w:sz w:val="24"/>
              </w:rPr>
            </w:pPr>
            <w:r>
              <w:rPr>
                <w:rFonts w:hint="eastAsia" w:ascii="宋体" w:hAnsi="宋体" w:cs="宋体"/>
                <w:b/>
                <w:bCs/>
                <w:sz w:val="24"/>
              </w:rPr>
              <w:t>（提供证书复印件或扫描件加盖</w:t>
            </w:r>
            <w:r>
              <w:rPr>
                <w:rFonts w:hint="eastAsia" w:ascii="宋体" w:hAnsi="宋体" w:cs="宋体"/>
                <w:b/>
                <w:bCs/>
                <w:sz w:val="24"/>
                <w:lang w:val="en-US" w:eastAsia="zh-CN"/>
              </w:rPr>
              <w:t>投标人</w:t>
            </w:r>
            <w:r>
              <w:rPr>
                <w:rFonts w:hint="eastAsia" w:ascii="宋体" w:hAnsi="宋体" w:cs="宋体"/>
                <w:b/>
                <w:bCs/>
                <w:sz w:val="24"/>
              </w:rPr>
              <w:t>公章）</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jc w:val="center"/>
        </w:trPr>
        <w:tc>
          <w:tcPr>
            <w:tcW w:w="1549" w:type="dxa"/>
            <w:tcBorders>
              <w:left w:val="single" w:color="000000" w:sz="4" w:space="0"/>
              <w:bottom w:val="single" w:color="auto" w:sz="4" w:space="0"/>
              <w:right w:val="single" w:color="000000" w:sz="4" w:space="0"/>
            </w:tcBorders>
            <w:noWrap w:val="0"/>
            <w:vAlign w:val="center"/>
          </w:tcPr>
          <w:p>
            <w:pPr>
              <w:widowControl/>
              <w:rPr>
                <w:rFonts w:hint="eastAsia" w:ascii="宋体" w:hAnsi="宋体" w:cs="宋体"/>
                <w:b/>
                <w:bCs/>
                <w:sz w:val="24"/>
              </w:rPr>
            </w:pPr>
            <w:r>
              <w:rPr>
                <w:rFonts w:hint="eastAsia" w:ascii="宋体" w:hAnsi="宋体" w:cs="宋体"/>
                <w:b/>
                <w:bCs/>
                <w:sz w:val="24"/>
              </w:rPr>
              <w:t>6、安全和保密管理</w:t>
            </w:r>
          </w:p>
        </w:tc>
        <w:tc>
          <w:tcPr>
            <w:tcW w:w="757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针对本项目的保密协议及严格的保密制度、现场管理制度(包括档案领取退换、现场借阅、纪律、卫生、操作、档案保护)、安全管理制度</w:t>
            </w:r>
            <w:r>
              <w:rPr>
                <w:rFonts w:hint="eastAsia" w:ascii="宋体" w:hAnsi="宋体" w:cs="宋体"/>
                <w:sz w:val="24"/>
                <w:lang w:eastAsia="zh-CN"/>
              </w:rPr>
              <w:t>，</w:t>
            </w:r>
            <w:r>
              <w:rPr>
                <w:rFonts w:hint="eastAsia" w:ascii="宋体" w:hAnsi="宋体" w:cs="宋体"/>
                <w:sz w:val="24"/>
                <w:lang w:val="en-US" w:eastAsia="zh-CN"/>
              </w:rPr>
              <w:t>合理性和规范性</w:t>
            </w:r>
            <w:r>
              <w:rPr>
                <w:rFonts w:hint="eastAsia" w:ascii="宋体" w:hAnsi="宋体" w:cs="宋体"/>
                <w:sz w:val="24"/>
              </w:rPr>
              <w:t>进行打分0-5分。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tcBorders>
              <w:left w:val="single" w:color="000000" w:sz="4" w:space="0"/>
              <w:right w:val="single" w:color="000000" w:sz="4" w:space="0"/>
            </w:tcBorders>
            <w:noWrap w:val="0"/>
            <w:vAlign w:val="center"/>
          </w:tcPr>
          <w:p>
            <w:pPr>
              <w:widowControl/>
              <w:rPr>
                <w:rFonts w:hint="eastAsia" w:ascii="宋体" w:hAnsi="宋体" w:cs="宋体"/>
                <w:b/>
                <w:bCs/>
                <w:sz w:val="24"/>
              </w:rPr>
            </w:pPr>
            <w:r>
              <w:rPr>
                <w:rFonts w:hint="eastAsia" w:ascii="宋体" w:hAnsi="宋体" w:cs="宋体"/>
                <w:b/>
                <w:bCs/>
                <w:sz w:val="24"/>
              </w:rPr>
              <w:t>7、合理化建议</w:t>
            </w:r>
          </w:p>
        </w:tc>
        <w:tc>
          <w:tcPr>
            <w:tcW w:w="7575" w:type="dxa"/>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auto"/>
              <w:rPr>
                <w:rFonts w:hint="eastAsia" w:ascii="宋体" w:hAnsi="宋体" w:cs="宋体"/>
                <w:sz w:val="24"/>
              </w:rPr>
            </w:pPr>
            <w:r>
              <w:rPr>
                <w:rFonts w:hint="eastAsia" w:ascii="宋体" w:hAnsi="宋体" w:cs="宋体"/>
                <w:sz w:val="24"/>
              </w:rPr>
              <w:t>投标人提供的服务合理化建议合理性与可行性进行打分0-2分。</w:t>
            </w:r>
          </w:p>
        </w:tc>
        <w:tc>
          <w:tcPr>
            <w:tcW w:w="795"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ascii="宋体" w:hAnsi="宋体" w:cs="宋体"/>
                <w:sz w:val="24"/>
              </w:rPr>
            </w:pPr>
            <w:r>
              <w:rPr>
                <w:rFonts w:hint="eastAsia" w:ascii="宋体" w:hAnsi="宋体" w:cs="宋体"/>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tcBorders>
              <w:left w:val="single" w:color="000000" w:sz="4" w:space="0"/>
              <w:right w:val="single" w:color="000000" w:sz="4" w:space="0"/>
            </w:tcBorders>
            <w:noWrap w:val="0"/>
            <w:vAlign w:val="top"/>
          </w:tcPr>
          <w:p>
            <w:pPr>
              <w:widowControl/>
              <w:rPr>
                <w:rFonts w:hint="eastAsia" w:ascii="宋体" w:hAnsi="宋体" w:cs="宋体"/>
                <w:b/>
                <w:bCs/>
                <w:color w:val="auto"/>
                <w:sz w:val="24"/>
              </w:rPr>
            </w:pPr>
          </w:p>
          <w:p>
            <w:pPr>
              <w:widowControl/>
              <w:rPr>
                <w:rFonts w:hint="eastAsia" w:ascii="宋体" w:hAnsi="宋体" w:cs="宋体"/>
                <w:b/>
                <w:bCs/>
                <w:color w:val="auto"/>
                <w:sz w:val="24"/>
              </w:rPr>
            </w:pPr>
            <w:r>
              <w:rPr>
                <w:rFonts w:hint="eastAsia" w:ascii="宋体" w:hAnsi="宋体" w:cs="宋体"/>
                <w:b/>
                <w:bCs/>
                <w:color w:val="auto"/>
                <w:sz w:val="24"/>
              </w:rPr>
              <w:t>8、服务响应</w:t>
            </w:r>
          </w:p>
        </w:tc>
        <w:tc>
          <w:tcPr>
            <w:tcW w:w="7575" w:type="dxa"/>
            <w:tcBorders>
              <w:top w:val="single" w:color="auto" w:sz="4" w:space="0"/>
              <w:left w:val="single" w:color="000000" w:sz="4" w:space="0"/>
              <w:bottom w:val="single" w:color="auto" w:sz="4" w:space="0"/>
              <w:right w:val="single" w:color="000000" w:sz="4" w:space="0"/>
            </w:tcBorders>
            <w:noWrap w:val="0"/>
            <w:vAlign w:val="top"/>
          </w:tcPr>
          <w:p>
            <w:pPr>
              <w:autoSpaceDE w:val="0"/>
              <w:autoSpaceDN w:val="0"/>
              <w:adjustRightInd w:val="0"/>
              <w:spacing w:line="336" w:lineRule="auto"/>
              <w:rPr>
                <w:rFonts w:hint="eastAsia" w:ascii="宋体" w:hAnsi="宋体" w:cs="宋体"/>
                <w:color w:val="auto"/>
                <w:kern w:val="0"/>
                <w:sz w:val="24"/>
                <w:szCs w:val="28"/>
              </w:rPr>
            </w:pPr>
            <w:r>
              <w:rPr>
                <w:rFonts w:hint="eastAsia" w:ascii="宋体" w:hAnsi="宋体" w:cs="宋体"/>
                <w:color w:val="auto"/>
                <w:kern w:val="0"/>
                <w:sz w:val="24"/>
                <w:szCs w:val="28"/>
              </w:rPr>
              <w:t>根据</w:t>
            </w:r>
            <w:r>
              <w:rPr>
                <w:rFonts w:hint="eastAsia" w:ascii="宋体" w:hAnsi="宋体" w:cs="宋体"/>
                <w:color w:val="auto"/>
                <w:kern w:val="0"/>
                <w:sz w:val="24"/>
                <w:szCs w:val="28"/>
                <w:lang w:val="en-US" w:eastAsia="zh-CN"/>
              </w:rPr>
              <w:t>投标人</w:t>
            </w:r>
            <w:r>
              <w:rPr>
                <w:rFonts w:hint="eastAsia" w:ascii="宋体" w:hAnsi="宋体" w:cs="宋体"/>
                <w:color w:val="auto"/>
                <w:kern w:val="0"/>
                <w:sz w:val="24"/>
                <w:szCs w:val="28"/>
              </w:rPr>
              <w:t>服务响应时间的承诺，服务响应优于招标文件需求，并有合理安排措施方案的最高得3分。</w:t>
            </w:r>
          </w:p>
        </w:tc>
        <w:tc>
          <w:tcPr>
            <w:tcW w:w="795" w:type="dxa"/>
            <w:tcBorders>
              <w:top w:val="single" w:color="auto" w:sz="4" w:space="0"/>
              <w:left w:val="single" w:color="000000" w:sz="4" w:space="0"/>
              <w:bottom w:val="single" w:color="auto" w:sz="4" w:space="0"/>
              <w:right w:val="single" w:color="000000" w:sz="4" w:space="0"/>
            </w:tcBorders>
            <w:noWrap w:val="0"/>
            <w:vAlign w:val="center"/>
          </w:tcPr>
          <w:p>
            <w:pPr>
              <w:pStyle w:val="91"/>
              <w:adjustRightInd w:val="0"/>
              <w:snapToGrid w:val="0"/>
              <w:spacing w:before="0" w:line="336" w:lineRule="auto"/>
              <w:ind w:firstLine="0" w:firstLineChars="0"/>
              <w:jc w:val="center"/>
              <w:rPr>
                <w:rFonts w:hint="eastAsia" w:ascii="宋体" w:hAnsi="宋体" w:cs="宋体"/>
                <w:color w:val="auto"/>
                <w:szCs w:val="24"/>
              </w:rPr>
            </w:pPr>
            <w:r>
              <w:rPr>
                <w:rFonts w:hint="eastAsia" w:ascii="宋体" w:hAnsi="宋体" w:eastAsia="宋体" w:cs="宋体"/>
                <w:color w:val="auto"/>
                <w:szCs w:val="24"/>
                <w:lang w:val="en-US" w:eastAsia="zh-CN"/>
              </w:rPr>
              <w:t>3</w:t>
            </w:r>
            <w:r>
              <w:rPr>
                <w:rFonts w:hint="eastAsia" w:ascii="宋体" w:hAnsi="宋体" w:eastAsia="宋体" w:cs="宋体"/>
                <w:color w:val="auto"/>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549" w:type="dxa"/>
            <w:tcBorders>
              <w:left w:val="single" w:color="000000" w:sz="4" w:space="0"/>
              <w:bottom w:val="single" w:color="auto" w:sz="4" w:space="0"/>
              <w:right w:val="single" w:color="000000" w:sz="4" w:space="0"/>
            </w:tcBorders>
            <w:noWrap w:val="0"/>
            <w:vAlign w:val="top"/>
          </w:tcPr>
          <w:p>
            <w:pPr>
              <w:widowControl/>
              <w:rPr>
                <w:rFonts w:ascii="宋体" w:hAnsi="宋体" w:cs="宋体"/>
                <w:b/>
                <w:bCs/>
                <w:color w:val="auto"/>
                <w:sz w:val="24"/>
                <w:highlight w:val="none"/>
              </w:rPr>
            </w:pPr>
            <w:r>
              <w:rPr>
                <w:rFonts w:hint="eastAsia" w:ascii="宋体" w:hAnsi="宋体" w:cs="宋体"/>
                <w:b/>
                <w:bCs/>
                <w:color w:val="auto"/>
                <w:sz w:val="24"/>
                <w:highlight w:val="none"/>
              </w:rPr>
              <w:t>9、</w:t>
            </w:r>
            <w:r>
              <w:rPr>
                <w:rFonts w:hint="eastAsia" w:ascii="宋体" w:hAnsi="宋体" w:eastAsia="??" w:cs="宋体"/>
                <w:b/>
                <w:bCs/>
                <w:color w:val="auto"/>
                <w:kern w:val="0"/>
                <w:sz w:val="24"/>
                <w:highlight w:val="none"/>
              </w:rPr>
              <w:t>数字化挂接运维服务方案</w:t>
            </w:r>
          </w:p>
        </w:tc>
        <w:tc>
          <w:tcPr>
            <w:tcW w:w="7575" w:type="dxa"/>
            <w:tcBorders>
              <w:top w:val="single" w:color="auto" w:sz="4" w:space="0"/>
              <w:left w:val="single" w:color="000000" w:sz="4" w:space="0"/>
              <w:bottom w:val="single" w:color="000000" w:sz="4" w:space="0"/>
              <w:right w:val="single" w:color="000000" w:sz="4" w:space="0"/>
            </w:tcBorders>
            <w:noWrap w:val="0"/>
            <w:vAlign w:val="top"/>
          </w:tcPr>
          <w:p>
            <w:pPr>
              <w:autoSpaceDE w:val="0"/>
              <w:autoSpaceDN w:val="0"/>
              <w:adjustRightInd w:val="0"/>
              <w:spacing w:line="336" w:lineRule="auto"/>
              <w:rPr>
                <w:rFonts w:ascii="宋体" w:hAnsi="宋体" w:cs="宋体"/>
                <w:color w:val="auto"/>
                <w:kern w:val="0"/>
                <w:sz w:val="24"/>
                <w:szCs w:val="28"/>
                <w:highlight w:val="none"/>
              </w:rPr>
            </w:pPr>
            <w:r>
              <w:rPr>
                <w:rFonts w:hint="eastAsia" w:ascii="宋体" w:hAnsi="宋体" w:eastAsia="??" w:cs="宋体"/>
                <w:color w:val="auto"/>
                <w:kern w:val="0"/>
                <w:sz w:val="24"/>
                <w:highlight w:val="none"/>
              </w:rPr>
              <w:t>投标人提供的档案数字化挂接及运维服务，服务</w:t>
            </w:r>
            <w:r>
              <w:rPr>
                <w:rFonts w:hint="eastAsia" w:ascii="宋体" w:hAnsi="宋体" w:eastAsia="宋体" w:cs="宋体"/>
                <w:color w:val="auto"/>
                <w:kern w:val="0"/>
                <w:sz w:val="24"/>
                <w:highlight w:val="none"/>
                <w:lang w:val="en-US" w:eastAsia="zh-CN"/>
              </w:rPr>
              <w:t>内容</w:t>
            </w:r>
            <w:r>
              <w:rPr>
                <w:rFonts w:hint="eastAsia" w:ascii="宋体" w:hAnsi="宋体" w:eastAsia="??" w:cs="宋体"/>
                <w:color w:val="auto"/>
                <w:kern w:val="0"/>
                <w:sz w:val="24"/>
                <w:highlight w:val="none"/>
              </w:rPr>
              <w:t>完整、有</w:t>
            </w:r>
            <w:r>
              <w:rPr>
                <w:rFonts w:hint="eastAsia" w:ascii="宋体" w:hAnsi="宋体" w:eastAsia="宋体" w:cs="宋体"/>
                <w:color w:val="auto"/>
                <w:kern w:val="0"/>
                <w:sz w:val="24"/>
                <w:highlight w:val="none"/>
                <w:lang w:val="en-US" w:eastAsia="zh-CN"/>
              </w:rPr>
              <w:t>安全保障运维措施</w:t>
            </w:r>
            <w:r>
              <w:rPr>
                <w:rFonts w:hint="eastAsia" w:ascii="宋体" w:hAnsi="宋体" w:eastAsia="??" w:cs="宋体"/>
                <w:color w:val="auto"/>
                <w:kern w:val="0"/>
                <w:sz w:val="24"/>
                <w:highlight w:val="none"/>
              </w:rPr>
              <w:t>内容</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内容规范、完整</w:t>
            </w:r>
            <w:r>
              <w:rPr>
                <w:rFonts w:hint="eastAsia" w:ascii="宋体" w:hAnsi="宋体" w:eastAsia="??" w:cs="宋体"/>
                <w:color w:val="auto"/>
                <w:kern w:val="0"/>
                <w:sz w:val="24"/>
                <w:highlight w:val="none"/>
              </w:rPr>
              <w:t>的最高得3分。</w:t>
            </w:r>
          </w:p>
        </w:tc>
        <w:tc>
          <w:tcPr>
            <w:tcW w:w="795" w:type="dxa"/>
            <w:tcBorders>
              <w:top w:val="single" w:color="auto" w:sz="4" w:space="0"/>
              <w:left w:val="single" w:color="000000" w:sz="4" w:space="0"/>
              <w:bottom w:val="single" w:color="000000" w:sz="4" w:space="0"/>
              <w:right w:val="single" w:color="000000" w:sz="4" w:space="0"/>
            </w:tcBorders>
            <w:noWrap w:val="0"/>
            <w:vAlign w:val="center"/>
          </w:tcPr>
          <w:p>
            <w:pPr>
              <w:pStyle w:val="91"/>
              <w:adjustRightInd w:val="0"/>
              <w:snapToGrid w:val="0"/>
              <w:spacing w:before="0" w:line="336" w:lineRule="auto"/>
              <w:ind w:firstLine="0" w:firstLineChars="0"/>
              <w:jc w:val="center"/>
              <w:rPr>
                <w:rFonts w:ascii="宋体" w:hAnsi="宋体" w:eastAsia="宋体" w:cs="宋体"/>
                <w:color w:val="auto"/>
                <w:szCs w:val="24"/>
              </w:rPr>
            </w:pPr>
            <w:r>
              <w:rPr>
                <w:rFonts w:ascii="宋体" w:hAnsi="宋体" w:eastAsia="宋体" w:cs="宋体"/>
                <w:color w:val="auto"/>
                <w:szCs w:val="24"/>
              </w:rPr>
              <w:t>3</w:t>
            </w:r>
            <w:r>
              <w:rPr>
                <w:rFonts w:hint="eastAsia" w:ascii="宋体" w:hAnsi="宋体" w:eastAsia="宋体" w:cs="宋体"/>
                <w:color w:val="auto"/>
                <w:szCs w:val="24"/>
              </w:rPr>
              <w:t>分</w:t>
            </w:r>
          </w:p>
        </w:tc>
      </w:tr>
    </w:tbl>
    <w:p>
      <w:pPr>
        <w:pStyle w:val="91"/>
        <w:spacing w:before="0" w:line="240" w:lineRule="auto"/>
        <w:ind w:firstLine="894" w:firstLineChars="371"/>
        <w:rPr>
          <w:rFonts w:hint="eastAsia" w:ascii="宋体" w:hAnsi="宋体"/>
          <w:b/>
          <w:color w:val="auto"/>
          <w:szCs w:val="24"/>
        </w:rPr>
      </w:pPr>
    </w:p>
    <w:p>
      <w:pPr>
        <w:pStyle w:val="91"/>
        <w:spacing w:before="0" w:line="240" w:lineRule="auto"/>
        <w:ind w:firstLine="894" w:firstLineChars="371"/>
        <w:rPr>
          <w:rFonts w:ascii="宋体" w:hAnsi="宋体"/>
          <w:b/>
          <w:color w:val="auto"/>
          <w:szCs w:val="24"/>
        </w:rPr>
      </w:pPr>
      <w:r>
        <w:rPr>
          <w:rFonts w:hint="eastAsia" w:ascii="宋体" w:hAnsi="宋体"/>
          <w:b/>
          <w:color w:val="auto"/>
          <w:szCs w:val="24"/>
        </w:rPr>
        <w:t>商务分（1</w:t>
      </w:r>
      <w:r>
        <w:rPr>
          <w:rFonts w:hint="eastAsia" w:ascii="宋体" w:hAnsi="宋体"/>
          <w:b/>
          <w:color w:val="auto"/>
          <w:szCs w:val="24"/>
          <w:lang w:val="en-US" w:eastAsia="zh-CN"/>
        </w:rPr>
        <w:t>3</w:t>
      </w:r>
      <w:r>
        <w:rPr>
          <w:rFonts w:ascii="宋体" w:hAnsi="宋体"/>
          <w:b/>
          <w:color w:val="auto"/>
          <w:szCs w:val="24"/>
        </w:rPr>
        <w:t>.0</w:t>
      </w:r>
      <w:r>
        <w:rPr>
          <w:rFonts w:hint="eastAsia" w:ascii="宋体" w:hAnsi="宋体"/>
          <w:b/>
          <w:color w:val="auto"/>
          <w:szCs w:val="24"/>
        </w:rPr>
        <w:t>分）：</w:t>
      </w:r>
    </w:p>
    <w:tbl>
      <w:tblPr>
        <w:tblStyle w:val="63"/>
        <w:tblW w:w="99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7552"/>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6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b/>
                <w:color w:val="auto"/>
                <w:szCs w:val="24"/>
              </w:rPr>
            </w:pPr>
            <w:bookmarkStart w:id="406" w:name="scoringRules1_1" w:colFirst="0" w:colLast="2"/>
            <w:r>
              <w:rPr>
                <w:rFonts w:hint="eastAsia" w:ascii="宋体" w:hAnsi="宋体" w:cs="宋体"/>
                <w:b/>
                <w:color w:val="auto"/>
                <w:szCs w:val="24"/>
              </w:rPr>
              <w:t>评分细则</w:t>
            </w:r>
          </w:p>
        </w:tc>
        <w:tc>
          <w:tcPr>
            <w:tcW w:w="7552"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b/>
                <w:color w:val="auto"/>
                <w:szCs w:val="24"/>
              </w:rPr>
            </w:pPr>
            <w:r>
              <w:rPr>
                <w:rFonts w:hint="eastAsia" w:ascii="宋体" w:hAnsi="宋体" w:cs="宋体"/>
                <w:b/>
                <w:color w:val="auto"/>
                <w:szCs w:val="24"/>
              </w:rPr>
              <w:t>评分细则内容</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b/>
                <w:color w:val="auto"/>
                <w:szCs w:val="24"/>
              </w:rPr>
            </w:pPr>
            <w:r>
              <w:rPr>
                <w:rFonts w:hint="eastAsia" w:ascii="宋体" w:hAnsi="宋体" w:cs="宋体"/>
                <w:b/>
                <w:color w:val="auto"/>
                <w:szCs w:val="24"/>
              </w:rPr>
              <w:t>分值</w:t>
            </w:r>
          </w:p>
        </w:tc>
      </w:tr>
      <w:bookmarkEnd w:id="40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1565" w:type="dxa"/>
            <w:vMerge w:val="restart"/>
            <w:tcBorders>
              <w:left w:val="single" w:color="000000" w:sz="4" w:space="0"/>
              <w:right w:val="single" w:color="000000" w:sz="4" w:space="0"/>
            </w:tcBorders>
            <w:noWrap w:val="0"/>
            <w:vAlign w:val="center"/>
          </w:tcPr>
          <w:p>
            <w:pPr>
              <w:pStyle w:val="91"/>
              <w:spacing w:before="0"/>
              <w:ind w:firstLine="0" w:firstLineChars="0"/>
              <w:jc w:val="center"/>
              <w:rPr>
                <w:rFonts w:ascii="宋体" w:hAnsi="宋体" w:cs="宋体"/>
                <w:color w:val="auto"/>
                <w:szCs w:val="24"/>
              </w:rPr>
            </w:pPr>
            <w:r>
              <w:rPr>
                <w:rFonts w:hint="eastAsia" w:ascii="宋体" w:hAnsi="宋体" w:cs="宋体"/>
                <w:b/>
                <w:color w:val="auto"/>
                <w:szCs w:val="24"/>
              </w:rPr>
              <w:t>1、企业资质及荣誉</w:t>
            </w:r>
          </w:p>
        </w:tc>
        <w:tc>
          <w:tcPr>
            <w:tcW w:w="7552" w:type="dxa"/>
            <w:tcBorders>
              <w:top w:val="single" w:color="000000" w:sz="4" w:space="0"/>
              <w:left w:val="single" w:color="000000" w:sz="4" w:space="0"/>
              <w:right w:val="single" w:color="000000" w:sz="4" w:space="0"/>
            </w:tcBorders>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投标人具有国家秘密载体印制资质证书（资质类别：涉密档案数字化加工）</w:t>
            </w:r>
            <w:r>
              <w:rPr>
                <w:rFonts w:hint="eastAsia" w:ascii="宋体" w:hAnsi="宋体" w:cs="宋体"/>
                <w:color w:val="auto"/>
                <w:sz w:val="24"/>
                <w:lang w:eastAsia="zh-CN"/>
              </w:rPr>
              <w:t>的</w:t>
            </w:r>
            <w:r>
              <w:rPr>
                <w:rFonts w:hint="eastAsia" w:ascii="宋体" w:hAnsi="宋体" w:cs="宋体"/>
                <w:color w:val="auto"/>
                <w:sz w:val="24"/>
              </w:rPr>
              <w:t>得2分。</w:t>
            </w:r>
          </w:p>
          <w:p>
            <w:pPr>
              <w:spacing w:line="360" w:lineRule="auto"/>
              <w:rPr>
                <w:rFonts w:hint="eastAsia" w:ascii="宋体" w:hAnsi="宋体" w:cs="宋体"/>
                <w:color w:val="auto"/>
                <w:sz w:val="24"/>
              </w:rPr>
            </w:pPr>
            <w:r>
              <w:rPr>
                <w:rFonts w:hint="eastAsia" w:ascii="宋体" w:hAnsi="宋体"/>
                <w:b/>
                <w:bCs/>
                <w:color w:val="auto"/>
                <w:sz w:val="24"/>
              </w:rPr>
              <w:t>（提供证书复印件</w:t>
            </w:r>
            <w:r>
              <w:rPr>
                <w:rFonts w:hint="eastAsia" w:ascii="宋体" w:hAnsi="宋体"/>
                <w:b/>
                <w:bCs/>
                <w:color w:val="auto"/>
                <w:sz w:val="24"/>
                <w:lang w:val="en-US" w:eastAsia="zh-CN"/>
              </w:rPr>
              <w:t>或扫描件</w:t>
            </w:r>
            <w:r>
              <w:rPr>
                <w:rFonts w:hint="eastAsia" w:ascii="宋体" w:hAnsi="宋体"/>
                <w:b/>
                <w:bCs/>
                <w:color w:val="auto"/>
                <w:sz w:val="24"/>
              </w:rPr>
              <w:t>加盖</w:t>
            </w:r>
            <w:r>
              <w:rPr>
                <w:rFonts w:hint="eastAsia" w:ascii="宋体" w:hAnsi="宋体"/>
                <w:b/>
                <w:bCs/>
                <w:color w:val="auto"/>
                <w:sz w:val="24"/>
                <w:lang w:val="en-US" w:eastAsia="zh-CN"/>
              </w:rPr>
              <w:t>投标人</w:t>
            </w:r>
            <w:r>
              <w:rPr>
                <w:rFonts w:hint="eastAsia" w:ascii="宋体" w:hAnsi="宋体"/>
                <w:b/>
                <w:bCs/>
                <w:color w:val="auto"/>
                <w:sz w:val="24"/>
              </w:rPr>
              <w:t>公章）</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color w:val="auto"/>
                <w:szCs w:val="24"/>
              </w:rPr>
            </w:pPr>
            <w:r>
              <w:rPr>
                <w:rFonts w:hint="eastAsia" w:ascii="宋体" w:hAnsi="宋体" w:cs="宋体"/>
                <w:color w:val="auto"/>
                <w:szCs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1565" w:type="dxa"/>
            <w:vMerge w:val="continue"/>
            <w:tcBorders>
              <w:left w:val="single" w:color="000000" w:sz="4" w:space="0"/>
              <w:right w:val="single" w:color="000000" w:sz="4" w:space="0"/>
            </w:tcBorders>
            <w:noWrap w:val="0"/>
            <w:vAlign w:val="center"/>
          </w:tcPr>
          <w:p>
            <w:pPr>
              <w:pStyle w:val="91"/>
              <w:spacing w:before="0"/>
              <w:ind w:firstLine="0" w:firstLineChars="0"/>
              <w:jc w:val="center"/>
              <w:rPr>
                <w:rFonts w:hint="eastAsia" w:ascii="宋体" w:hAnsi="宋体" w:cs="宋体"/>
                <w:b/>
                <w:color w:val="auto"/>
                <w:szCs w:val="24"/>
              </w:rPr>
            </w:pPr>
          </w:p>
        </w:tc>
        <w:tc>
          <w:tcPr>
            <w:tcW w:w="7552" w:type="dxa"/>
            <w:tcBorders>
              <w:top w:val="single" w:color="000000" w:sz="4" w:space="0"/>
              <w:left w:val="single" w:color="000000" w:sz="4" w:space="0"/>
              <w:right w:val="single" w:color="000000" w:sz="4" w:space="0"/>
            </w:tcBorders>
            <w:noWrap w:val="0"/>
            <w:vAlign w:val="center"/>
          </w:tcPr>
          <w:p>
            <w:pPr>
              <w:spacing w:line="360" w:lineRule="auto"/>
              <w:rPr>
                <w:rFonts w:ascii="宋体" w:hAnsi="宋体" w:cs="宋体"/>
                <w:color w:val="auto"/>
                <w:sz w:val="24"/>
              </w:rPr>
            </w:pPr>
            <w:r>
              <w:rPr>
                <w:rFonts w:hint="eastAsia" w:ascii="宋体" w:hAnsi="宋体" w:cs="宋体"/>
                <w:color w:val="auto"/>
                <w:sz w:val="24"/>
              </w:rPr>
              <w:t>投标人具有中国信息安全测评中心颁发的信息安全服务资质证书的得</w:t>
            </w:r>
            <w:r>
              <w:rPr>
                <w:rFonts w:ascii="宋体" w:hAnsi="宋体" w:cs="宋体"/>
                <w:color w:val="auto"/>
                <w:sz w:val="24"/>
              </w:rPr>
              <w:t>2</w:t>
            </w:r>
            <w:r>
              <w:rPr>
                <w:rFonts w:hint="eastAsia" w:ascii="宋体" w:hAnsi="宋体" w:cs="宋体"/>
                <w:color w:val="auto"/>
                <w:sz w:val="24"/>
              </w:rPr>
              <w:t>分。</w:t>
            </w:r>
          </w:p>
          <w:p>
            <w:pPr>
              <w:spacing w:line="360" w:lineRule="auto"/>
              <w:rPr>
                <w:rFonts w:hint="eastAsia" w:ascii="宋体" w:hAnsi="宋体" w:cs="宋体"/>
                <w:color w:val="auto"/>
                <w:sz w:val="24"/>
              </w:rPr>
            </w:pPr>
            <w:r>
              <w:rPr>
                <w:rFonts w:hint="eastAsia" w:ascii="宋体" w:hAnsi="宋体"/>
                <w:b/>
                <w:bCs/>
                <w:color w:val="auto"/>
                <w:sz w:val="24"/>
              </w:rPr>
              <w:t>（提供证书复印件加盖公章）</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hint="eastAsia" w:ascii="宋体" w:hAnsi="宋体" w:cs="宋体"/>
                <w:color w:val="auto"/>
                <w:szCs w:val="24"/>
              </w:rPr>
            </w:pPr>
            <w:r>
              <w:rPr>
                <w:rFonts w:hint="eastAsia" w:ascii="宋体" w:hAnsi="宋体" w:cs="宋体"/>
                <w:color w:val="auto"/>
                <w:szCs w:val="24"/>
              </w:rPr>
              <w:t>2</w:t>
            </w:r>
            <w:r>
              <w:rPr>
                <w:rFonts w:hint="eastAsia" w:ascii="宋体" w:hAnsi="宋体" w:eastAsia="宋体" w:cs="宋体"/>
                <w:color w:val="auto"/>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vMerge w:val="continue"/>
            <w:tcBorders>
              <w:left w:val="single" w:color="000000" w:sz="4" w:space="0"/>
              <w:right w:val="single" w:color="000000" w:sz="4" w:space="0"/>
            </w:tcBorders>
            <w:noWrap w:val="0"/>
            <w:vAlign w:val="center"/>
          </w:tcPr>
          <w:p>
            <w:pPr>
              <w:pStyle w:val="91"/>
              <w:spacing w:before="0"/>
              <w:ind w:firstLine="0" w:firstLineChars="0"/>
              <w:jc w:val="center"/>
              <w:rPr>
                <w:rFonts w:ascii="宋体" w:hAnsi="宋体" w:cs="宋体"/>
                <w:color w:val="000000"/>
                <w:szCs w:val="24"/>
              </w:rPr>
            </w:pPr>
          </w:p>
        </w:tc>
        <w:tc>
          <w:tcPr>
            <w:tcW w:w="75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具有区县级及以上政府部门颁发的政府质量奖的得2分。</w:t>
            </w:r>
          </w:p>
          <w:p>
            <w:pPr>
              <w:spacing w:line="360" w:lineRule="auto"/>
              <w:rPr>
                <w:rFonts w:hint="eastAsia" w:ascii="宋体" w:hAnsi="宋体" w:cs="宋体"/>
                <w:color w:val="000000"/>
                <w:sz w:val="24"/>
              </w:rPr>
            </w:pPr>
            <w:r>
              <w:rPr>
                <w:rFonts w:hint="eastAsia" w:ascii="宋体" w:hAnsi="宋体"/>
                <w:b/>
                <w:bCs/>
                <w:sz w:val="24"/>
              </w:rPr>
              <w:t>（提供证书复印件加盖公章）</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szCs w:val="24"/>
              </w:rPr>
            </w:pPr>
            <w:r>
              <w:rPr>
                <w:rFonts w:hint="eastAsia" w:ascii="宋体" w:hAnsi="宋体" w:cs="宋体"/>
                <w:szCs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vMerge w:val="continue"/>
            <w:tcBorders>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color w:val="000000"/>
                <w:szCs w:val="24"/>
              </w:rPr>
            </w:pPr>
          </w:p>
        </w:tc>
        <w:tc>
          <w:tcPr>
            <w:tcW w:w="7552"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2"/>
                <w:numId w:val="0"/>
              </w:numPr>
              <w:tabs>
                <w:tab w:val="clear" w:pos="900"/>
              </w:tabs>
              <w:spacing w:before="0" w:after="0"/>
              <w:jc w:val="both"/>
              <w:rPr>
                <w:rFonts w:hint="eastAsia" w:ascii="宋体" w:hAnsi="宋体" w:eastAsia="宋体" w:cs="宋体"/>
                <w:b w:val="0"/>
                <w:color w:val="000000"/>
                <w:kern w:val="2"/>
                <w:sz w:val="24"/>
                <w:szCs w:val="24"/>
              </w:rPr>
            </w:pPr>
            <w:r>
              <w:rPr>
                <w:rFonts w:hint="eastAsia" w:ascii="宋体" w:hAnsi="宋体" w:eastAsia="宋体" w:cs="宋体"/>
                <w:b w:val="0"/>
                <w:color w:val="000000"/>
                <w:kern w:val="2"/>
                <w:sz w:val="24"/>
                <w:szCs w:val="24"/>
              </w:rPr>
              <w:t>投标人具有有效期内的ISO27001信息安全管理体系认证证书、ISO9001质量管理体系认证证书、ISO20000信息技术服务管理体系认证证书、ISO14001环境管理体系认证证书、职业健康安全管理体系认证证书的每个得1分，最高得5分。</w:t>
            </w:r>
          </w:p>
          <w:p>
            <w:pPr>
              <w:pStyle w:val="4"/>
              <w:numPr>
                <w:ilvl w:val="2"/>
                <w:numId w:val="0"/>
              </w:numPr>
              <w:tabs>
                <w:tab w:val="clear" w:pos="900"/>
              </w:tabs>
              <w:spacing w:before="0" w:after="0"/>
              <w:jc w:val="both"/>
              <w:rPr>
                <w:rFonts w:hint="eastAsia" w:ascii="宋体" w:hAnsi="宋体" w:eastAsia="宋体" w:cs="宋体"/>
                <w:b w:val="0"/>
                <w:color w:val="000000"/>
                <w:kern w:val="2"/>
                <w:sz w:val="24"/>
                <w:szCs w:val="24"/>
              </w:rPr>
            </w:pPr>
            <w:r>
              <w:rPr>
                <w:rFonts w:hint="eastAsia" w:ascii="宋体" w:hAnsi="宋体" w:eastAsia="宋体" w:cs="宋体"/>
                <w:bCs/>
                <w:color w:val="000000"/>
                <w:kern w:val="2"/>
                <w:sz w:val="24"/>
                <w:szCs w:val="24"/>
              </w:rPr>
              <w:t>（提供全国认证认可信息公共服务平台从业机构查询证明网页截图，并提供证书复印件或扫描件加盖公章，认证范围需包含档案整理及数字化服务，不体现证书内容或不符合不得分。）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szCs w:val="24"/>
              </w:rPr>
            </w:pPr>
            <w:r>
              <w:rPr>
                <w:rFonts w:hint="eastAsia" w:ascii="宋体" w:hAnsi="宋体"/>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b/>
                <w:color w:val="000000"/>
                <w:szCs w:val="24"/>
              </w:rPr>
            </w:pPr>
            <w:r>
              <w:rPr>
                <w:rFonts w:hint="eastAsia" w:ascii="宋体" w:hAnsi="宋体" w:cs="宋体"/>
                <w:b/>
                <w:color w:val="000000"/>
                <w:szCs w:val="24"/>
              </w:rPr>
              <w:t>2、案例经验</w:t>
            </w:r>
          </w:p>
          <w:p>
            <w:pPr>
              <w:pStyle w:val="91"/>
              <w:spacing w:before="0"/>
              <w:ind w:firstLine="0" w:firstLineChars="0"/>
              <w:rPr>
                <w:rFonts w:ascii="宋体" w:hAnsi="宋体" w:cs="宋体"/>
                <w:b/>
                <w:color w:val="000000"/>
                <w:szCs w:val="24"/>
              </w:rPr>
            </w:pPr>
          </w:p>
        </w:tc>
        <w:tc>
          <w:tcPr>
            <w:tcW w:w="75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2018年1月1日以来投标人独立承担类似档案整理及数字化项目的成功案例（同一用户主体不同年度的合同均视为同一业绩，不重复计分；以合同签订时间为准），每个案例得0.5分，最高得2分。</w:t>
            </w:r>
          </w:p>
          <w:p>
            <w:pPr>
              <w:spacing w:line="360" w:lineRule="auto"/>
              <w:rPr>
                <w:rFonts w:hint="eastAsia" w:ascii="宋体" w:hAnsi="宋体" w:cs="宋体"/>
                <w:color w:val="000000"/>
                <w:sz w:val="24"/>
              </w:rPr>
            </w:pPr>
            <w:r>
              <w:rPr>
                <w:rFonts w:hint="eastAsia" w:ascii="宋体" w:hAnsi="宋体" w:cs="宋体"/>
                <w:color w:val="000000"/>
                <w:sz w:val="24"/>
              </w:rPr>
              <w:t>（提供中标通知书、合同、验收报告、满意度评价证明材料复印件或扫描件加盖公章，缺一不得分）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pStyle w:val="91"/>
              <w:spacing w:before="0"/>
              <w:ind w:firstLine="0" w:firstLineChars="0"/>
              <w:jc w:val="center"/>
              <w:rPr>
                <w:rFonts w:ascii="宋体" w:hAnsi="宋体" w:cs="宋体"/>
                <w:color w:val="000000"/>
                <w:szCs w:val="24"/>
              </w:rPr>
            </w:pPr>
            <w:r>
              <w:rPr>
                <w:rFonts w:hint="eastAsia" w:ascii="宋体" w:hAnsi="宋体" w:cs="宋体"/>
                <w:color w:val="auto"/>
                <w:szCs w:val="24"/>
                <w:lang w:val="en-US" w:eastAsia="zh-CN"/>
              </w:rPr>
              <w:t>2</w:t>
            </w:r>
            <w:r>
              <w:rPr>
                <w:rFonts w:hint="eastAsia" w:ascii="宋体" w:hAnsi="宋体" w:cs="宋体"/>
                <w:color w:val="auto"/>
                <w:szCs w:val="24"/>
              </w:rPr>
              <w:t>分</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pacing w:line="360" w:lineRule="auto"/>
        <w:ind w:firstLine="482" w:firstLineChars="200"/>
        <w:rPr>
          <w:rFonts w:hint="eastAsia" w:ascii="仿宋_GB2312" w:hAnsi="仿宋_GB2312" w:eastAsia="仿宋_GB2312" w:cs="仿宋_GB2312"/>
          <w:b/>
          <w:bCs/>
          <w:color w:val="000000"/>
          <w:sz w:val="24"/>
          <w:highlight w:val="none"/>
        </w:rPr>
      </w:pPr>
      <w:r>
        <w:rPr>
          <w:rFonts w:hint="eastAsia" w:ascii="仿宋_GB2312" w:hAnsi="仿宋_GB2312" w:eastAsia="仿宋_GB2312" w:cs="仿宋_GB2312"/>
          <w:b/>
          <w:bCs/>
          <w:color w:val="000000"/>
          <w:sz w:val="24"/>
          <w:highlight w:val="none"/>
          <w:lang w:val="en-US" w:eastAsia="zh-CN"/>
        </w:rPr>
        <w:t>2</w:t>
      </w:r>
      <w:r>
        <w:rPr>
          <w:rFonts w:hint="eastAsia" w:ascii="仿宋_GB2312" w:hAnsi="仿宋_GB2312" w:eastAsia="仿宋_GB2312" w:cs="仿宋_GB2312"/>
          <w:b/>
          <w:bCs/>
          <w:color w:val="000000"/>
          <w:sz w:val="24"/>
          <w:highlight w:val="none"/>
        </w:rPr>
        <w:t>、技术分+商务分=评标委员会所有成员评分合计数/评标委员会组成人员数（精确到小数点后二位）；</w:t>
      </w:r>
    </w:p>
    <w:p>
      <w:pPr>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highlight w:val="none"/>
          <w:lang w:val="en-US" w:eastAsia="zh-CN"/>
        </w:rPr>
        <w:t>3</w:t>
      </w:r>
      <w:r>
        <w:rPr>
          <w:rFonts w:hint="eastAsia" w:ascii="仿宋_GB2312" w:hAnsi="仿宋_GB2312" w:eastAsia="仿宋_GB2312" w:cs="仿宋_GB2312"/>
          <w:b/>
          <w:bCs/>
          <w:color w:val="000000"/>
          <w:sz w:val="24"/>
          <w:highlight w:val="none"/>
        </w:rPr>
        <w:t>、价格分（</w:t>
      </w:r>
      <w:r>
        <w:rPr>
          <w:rFonts w:hint="eastAsia" w:ascii="仿宋_GB2312" w:hAnsi="仿宋_GB2312" w:eastAsia="仿宋_GB2312" w:cs="仿宋_GB2312"/>
          <w:b/>
          <w:bCs/>
          <w:color w:val="000000"/>
          <w:sz w:val="24"/>
          <w:highlight w:val="none"/>
          <w:lang w:val="en-US" w:eastAsia="zh-CN"/>
        </w:rPr>
        <w:t>10</w:t>
      </w:r>
      <w:r>
        <w:rPr>
          <w:rFonts w:hint="eastAsia" w:ascii="仿宋_GB2312" w:hAnsi="仿宋_GB2312" w:eastAsia="仿宋_GB2312" w:cs="仿宋_GB2312"/>
          <w:b/>
          <w:bCs/>
          <w:color w:val="000000"/>
          <w:sz w:val="24"/>
          <w:highlight w:val="none"/>
        </w:rPr>
        <w:t>分）</w:t>
      </w:r>
      <w:r>
        <w:rPr>
          <w:rFonts w:hint="eastAsia" w:ascii="仿宋_GB2312" w:hAnsi="仿宋_GB2312" w:eastAsia="仿宋_GB2312" w:cs="仿宋_GB2312"/>
          <w:color w:val="000000"/>
          <w:sz w:val="24"/>
          <w:highlight w:val="none"/>
        </w:rPr>
        <w:t>采用低价优先法计算，即满足招标文件要求且投标</w:t>
      </w:r>
      <w:r>
        <w:rPr>
          <w:rFonts w:hint="eastAsia" w:ascii="仿宋_GB2312" w:hAnsi="仿宋_GB2312" w:eastAsia="仿宋_GB2312" w:cs="仿宋_GB2312"/>
          <w:color w:val="000000"/>
          <w:sz w:val="24"/>
          <w:highlight w:val="none"/>
          <w:lang w:val="en-US" w:eastAsia="zh-CN"/>
        </w:rPr>
        <w:t>综合单价</w:t>
      </w:r>
      <w:r>
        <w:rPr>
          <w:rFonts w:hint="eastAsia" w:ascii="仿宋_GB2312" w:hAnsi="仿宋_GB2312" w:eastAsia="仿宋_GB2312" w:cs="仿宋_GB2312"/>
          <w:color w:val="000000"/>
          <w:sz w:val="24"/>
          <w:highlight w:val="none"/>
        </w:rPr>
        <w:t>价格最低的</w:t>
      </w:r>
      <w:r>
        <w:rPr>
          <w:rFonts w:hint="eastAsia" w:ascii="仿宋_GB2312" w:hAnsi="仿宋_GB2312" w:eastAsia="仿宋_GB2312" w:cs="仿宋_GB2312"/>
          <w:color w:val="000000"/>
          <w:sz w:val="24"/>
        </w:rPr>
        <w:t>投标报价为评标基准价，其他投标人的价格分按照下列公式计算：</w:t>
      </w:r>
    </w:p>
    <w:p>
      <w:pPr>
        <w:spacing w:line="360" w:lineRule="auto"/>
        <w:ind w:firstLine="482"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价格分=（评标基准价/投标报价）×</w:t>
      </w:r>
      <w:r>
        <w:rPr>
          <w:rFonts w:hint="eastAsia" w:ascii="仿宋_GB2312" w:hAnsi="仿宋_GB2312" w:eastAsia="仿宋_GB2312" w:cs="仿宋_GB2312"/>
          <w:b/>
          <w:bCs/>
          <w:color w:val="000000"/>
          <w:sz w:val="24"/>
          <w:lang w:val="en-US" w:eastAsia="zh-CN"/>
        </w:rPr>
        <w:t>10</w:t>
      </w:r>
      <w:r>
        <w:rPr>
          <w:rFonts w:hint="eastAsia" w:ascii="仿宋_GB2312" w:hAnsi="仿宋_GB2312" w:eastAsia="仿宋_GB2312" w:cs="仿宋_GB2312"/>
          <w:b/>
          <w:bCs/>
          <w:color w:val="000000"/>
          <w:sz w:val="24"/>
        </w:rPr>
        <w:t>%×100（精确到小数点后二位）；</w:t>
      </w:r>
    </w:p>
    <w:p>
      <w:pPr>
        <w:pStyle w:val="62"/>
        <w:ind w:left="0" w:leftChars="0" w:firstLine="420"/>
        <w:rPr>
          <w:rFonts w:hint="eastAsia" w:ascii="仿宋" w:hAnsi="仿宋" w:eastAsia="仿宋" w:cs="仿宋"/>
        </w:rPr>
      </w:pPr>
      <w:r>
        <w:rPr>
          <w:rFonts w:hint="eastAsia" w:ascii="仿宋" w:hAnsi="仿宋" w:eastAsia="仿宋" w:cs="仿宋"/>
        </w:rPr>
        <w:t>报价是中标的一个重要因素，但最低报价不是中标的唯一依据。</w:t>
      </w:r>
    </w:p>
    <w:p>
      <w:pPr>
        <w:pStyle w:val="62"/>
        <w:spacing w:line="360" w:lineRule="auto"/>
        <w:ind w:left="0" w:leftChars="0" w:firstLine="482" w:firstLineChars="200"/>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b/>
          <w:bCs/>
          <w:color w:val="000000"/>
          <w:sz w:val="24"/>
          <w:lang w:val="en-US" w:eastAsia="zh-CN"/>
        </w:rPr>
        <w:t>4、各投标人的综合得分为：技术商务得分+投标价格得分之和，总和为100分，其中：商务技术得分90分，投标价格得分10分。</w:t>
      </w:r>
    </w:p>
    <w:p>
      <w:pPr>
        <w:pStyle w:val="62"/>
      </w:pPr>
    </w:p>
    <w:p>
      <w:pPr>
        <w:pStyle w:val="24"/>
      </w:pPr>
    </w:p>
    <w:p/>
    <w:p>
      <w:pPr>
        <w:pStyle w:val="2"/>
      </w:pPr>
    </w:p>
    <w:p/>
    <w:p>
      <w:pPr>
        <w:pStyle w:val="2"/>
      </w:pPr>
    </w:p>
    <w:p/>
    <w:p>
      <w:pPr>
        <w:pStyle w:val="2"/>
      </w:pPr>
    </w:p>
    <w:p/>
    <w:p>
      <w:pPr>
        <w:pStyle w:val="2"/>
      </w:pPr>
    </w:p>
    <w:p/>
    <w:p>
      <w:pPr>
        <w:pStyle w:val="2"/>
      </w:pPr>
    </w:p>
    <w:p/>
    <w:p>
      <w:pPr>
        <w:pStyle w:val="2"/>
      </w:pPr>
    </w:p>
    <w:p/>
    <w:p>
      <w:pPr>
        <w:pStyle w:val="2"/>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adjustRightInd/>
        <w:spacing w:line="360" w:lineRule="auto"/>
        <w:rPr>
          <w:rFonts w:hint="eastAsia"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9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9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9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9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9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9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9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91"/>
        <w:spacing w:before="0"/>
        <w:ind w:firstLine="480"/>
        <w:rPr>
          <w:rFonts w:hint="eastAsia" w:ascii="仿宋" w:hAnsi="仿宋" w:eastAsia="仿宋" w:cs="仿宋"/>
          <w:kern w:val="0"/>
          <w:szCs w:val="24"/>
        </w:rPr>
      </w:pPr>
      <w:r>
        <w:rPr>
          <w:rFonts w:ascii="仿宋" w:hAnsi="仿宋" w:eastAsia="仿宋" w:cs="仿宋"/>
          <w:color w:val="000000" w:themeColor="text1"/>
          <w:kern w:val="0"/>
          <w:szCs w:val="24"/>
          <w14:textFill>
            <w14:solidFill>
              <w14:schemeClr w14:val="tx1"/>
            </w14:solidFill>
          </w14:textFill>
        </w:rPr>
        <w:t>3.4.5</w:t>
      </w:r>
      <w:r>
        <w:rPr>
          <w:rFonts w:hint="eastAsia" w:ascii="仿宋" w:hAnsi="仿宋" w:eastAsia="仿宋" w:cs="仿宋"/>
          <w:color w:val="000000" w:themeColor="text1"/>
          <w:kern w:val="0"/>
          <w:szCs w:val="24"/>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14:textFill>
            <w14:solidFill>
              <w14:schemeClr w14:val="tx1"/>
            </w14:solidFill>
          </w14:textFill>
        </w:rPr>
        <w:t>微企业组成联合体或者允许大中型企业向一家或者多家小微企业分包的政府</w:t>
      </w:r>
      <w:r>
        <w:rPr>
          <w:rFonts w:hint="eastAsia" w:ascii="仿宋" w:hAnsi="仿宋" w:eastAsia="仿宋" w:cs="仿宋"/>
          <w:kern w:val="0"/>
          <w:szCs w:val="24"/>
        </w:rPr>
        <w:t>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pStyle w:val="91"/>
        <w:spacing w:before="0"/>
        <w:ind w:firstLine="480"/>
        <w:rPr>
          <w:rFonts w:ascii="仿宋" w:hAnsi="仿宋" w:eastAsia="仿宋" w:cs="仿宋"/>
          <w:color w:val="FF0000"/>
          <w:kern w:val="0"/>
          <w:szCs w:val="24"/>
        </w:rPr>
      </w:pPr>
      <w:r>
        <w:rPr>
          <w:rFonts w:hint="eastAsia" w:ascii="仿宋_GB2312" w:hAnsi="仿宋" w:eastAsia="仿宋_GB2312"/>
          <w:color w:val="FF0000"/>
          <w:sz w:val="24"/>
          <w:lang w:val="en-US" w:eastAsia="zh-CN"/>
        </w:rPr>
        <w:t>本项目</w:t>
      </w:r>
      <w:r>
        <w:rPr>
          <w:rFonts w:hint="eastAsia" w:ascii="仿宋_GB2312" w:hAnsi="仿宋" w:eastAsia="仿宋_GB2312"/>
          <w:color w:val="FF0000"/>
          <w:sz w:val="24"/>
        </w:rPr>
        <w:t>专门面向中小企业的政府采购货物或服务项目</w:t>
      </w:r>
      <w:r>
        <w:rPr>
          <w:rFonts w:hint="eastAsia" w:ascii="仿宋_GB2312" w:hAnsi="仿宋" w:eastAsia="仿宋_GB2312"/>
          <w:color w:val="FF0000"/>
          <w:sz w:val="24"/>
          <w:lang w:eastAsia="zh-CN"/>
        </w:rPr>
        <w:t>，</w:t>
      </w:r>
      <w:r>
        <w:rPr>
          <w:rFonts w:hint="eastAsia" w:ascii="仿宋_GB2312" w:hAnsi="仿宋" w:eastAsia="仿宋_GB2312"/>
          <w:color w:val="FF0000"/>
          <w:sz w:val="24"/>
        </w:rPr>
        <w:t>对小型和微型企业的投标报价</w:t>
      </w:r>
      <w:r>
        <w:rPr>
          <w:rFonts w:hint="eastAsia" w:ascii="仿宋_GB2312" w:hAnsi="仿宋" w:eastAsia="仿宋_GB2312"/>
          <w:color w:val="FF0000"/>
          <w:sz w:val="24"/>
          <w:lang w:val="en-US" w:eastAsia="zh-CN"/>
        </w:rPr>
        <w:t>不</w:t>
      </w:r>
      <w:r>
        <w:rPr>
          <w:rFonts w:hint="eastAsia" w:ascii="仿宋_GB2312" w:hAnsi="仿宋" w:eastAsia="仿宋_GB2312"/>
          <w:color w:val="FF0000"/>
          <w:sz w:val="24"/>
        </w:rPr>
        <w:t>予</w:t>
      </w:r>
      <w:r>
        <w:rPr>
          <w:rFonts w:ascii="仿宋_GB2312" w:hAnsi="仿宋" w:eastAsia="仿宋_GB2312"/>
          <w:color w:val="FF0000"/>
          <w:sz w:val="24"/>
        </w:rPr>
        <w:t>扣除</w:t>
      </w:r>
      <w:r>
        <w:rPr>
          <w:rFonts w:hint="eastAsia" w:ascii="仿宋_GB2312" w:hAnsi="仿宋" w:eastAsia="仿宋_GB2312"/>
          <w:color w:val="FF0000"/>
          <w:sz w:val="24"/>
          <w:lang w:val="en-US" w:eastAsia="zh-CN"/>
        </w:rPr>
        <w:t>评审</w:t>
      </w:r>
      <w:r>
        <w:rPr>
          <w:rFonts w:ascii="仿宋_GB2312" w:hAnsi="仿宋" w:eastAsia="仿宋_GB2312"/>
          <w:color w:val="FF0000"/>
          <w:sz w:val="24"/>
        </w:rPr>
        <w:t>。</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91"/>
        <w:keepNext w:val="0"/>
        <w:keepLines w:val="0"/>
        <w:pageBreakBefore w:val="0"/>
        <w:widowControl w:val="0"/>
        <w:kinsoku/>
        <w:wordWrap/>
        <w:overflowPunct/>
        <w:topLinePunct w:val="0"/>
        <w:autoSpaceDE/>
        <w:autoSpaceDN/>
        <w:bidi w:val="0"/>
        <w:adjustRightInd w:val="0"/>
        <w:spacing w:before="0" w:line="336" w:lineRule="auto"/>
        <w:ind w:firstLine="472" w:firstLineChars="196"/>
        <w:textAlignment w:val="auto"/>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keepNext w:val="0"/>
        <w:keepLines w:val="0"/>
        <w:pageBreakBefore w:val="0"/>
        <w:widowControl w:val="0"/>
        <w:kinsoku/>
        <w:wordWrap/>
        <w:overflowPunct/>
        <w:topLinePunct w:val="0"/>
        <w:autoSpaceDE/>
        <w:autoSpaceDN/>
        <w:bidi w:val="0"/>
        <w:adjustRightInd w:val="0"/>
        <w:spacing w:line="336" w:lineRule="auto"/>
        <w:ind w:left="954" w:leftChars="226" w:hanging="479" w:firstLineChars="0"/>
        <w:textAlignment w:val="auto"/>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keepNext w:val="0"/>
        <w:keepLines w:val="0"/>
        <w:pageBreakBefore w:val="0"/>
        <w:widowControl w:val="0"/>
        <w:kinsoku/>
        <w:wordWrap/>
        <w:overflowPunct/>
        <w:topLinePunct w:val="0"/>
        <w:autoSpaceDE/>
        <w:autoSpaceDN/>
        <w:bidi w:val="0"/>
        <w:adjustRightInd w:val="0"/>
        <w:snapToGrid w:val="0"/>
        <w:spacing w:line="336" w:lineRule="auto"/>
        <w:ind w:firstLine="120" w:firstLineChars="50"/>
        <w:jc w:val="left"/>
        <w:textAlignment w:val="auto"/>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430"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keepNext w:val="0"/>
        <w:keepLines w:val="0"/>
        <w:pageBreakBefore w:val="0"/>
        <w:widowControl w:val="0"/>
        <w:kinsoku/>
        <w:wordWrap/>
        <w:overflowPunct/>
        <w:topLinePunct w:val="0"/>
        <w:autoSpaceDE/>
        <w:autoSpaceDN/>
        <w:bidi w:val="0"/>
        <w:adjustRightInd w:val="0"/>
        <w:snapToGrid w:val="0"/>
        <w:spacing w:line="336" w:lineRule="auto"/>
        <w:ind w:firstLine="590" w:firstLineChars="245"/>
        <w:textAlignment w:val="auto"/>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keepNext w:val="0"/>
        <w:keepLines w:val="0"/>
        <w:pageBreakBefore w:val="0"/>
        <w:widowControl w:val="0"/>
        <w:kinsoku/>
        <w:wordWrap/>
        <w:overflowPunct/>
        <w:topLinePunct w:val="0"/>
        <w:autoSpaceDE/>
        <w:autoSpaceDN/>
        <w:bidi w:val="0"/>
        <w:adjustRightInd w:val="0"/>
        <w:snapToGrid w:val="0"/>
        <w:spacing w:line="336" w:lineRule="auto"/>
        <w:ind w:firstLine="590" w:firstLineChars="245"/>
        <w:textAlignment w:val="auto"/>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keepNext w:val="0"/>
        <w:keepLines w:val="0"/>
        <w:pageBreakBefore w:val="0"/>
        <w:widowControl w:val="0"/>
        <w:kinsoku/>
        <w:wordWrap/>
        <w:overflowPunct/>
        <w:topLinePunct w:val="0"/>
        <w:autoSpaceDE/>
        <w:autoSpaceDN/>
        <w:bidi w:val="0"/>
        <w:adjustRightInd w:val="0"/>
        <w:snapToGrid w:val="0"/>
        <w:spacing w:line="336" w:lineRule="auto"/>
        <w:ind w:firstLine="600" w:firstLineChars="250"/>
        <w:textAlignment w:val="auto"/>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keepNext w:val="0"/>
        <w:keepLines w:val="0"/>
        <w:pageBreakBefore w:val="0"/>
        <w:widowControl w:val="0"/>
        <w:kinsoku/>
        <w:wordWrap/>
        <w:overflowPunct/>
        <w:topLinePunct w:val="0"/>
        <w:autoSpaceDE/>
        <w:autoSpaceDN/>
        <w:bidi w:val="0"/>
        <w:adjustRightInd w:val="0"/>
        <w:snapToGrid w:val="0"/>
        <w:spacing w:line="336" w:lineRule="auto"/>
        <w:ind w:firstLine="600" w:firstLineChars="250"/>
        <w:textAlignment w:val="auto"/>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keepNext w:val="0"/>
        <w:keepLines w:val="0"/>
        <w:pageBreakBefore w:val="0"/>
        <w:widowControl w:val="0"/>
        <w:kinsoku/>
        <w:wordWrap/>
        <w:overflowPunct/>
        <w:topLinePunct w:val="0"/>
        <w:autoSpaceDE/>
        <w:autoSpaceDN/>
        <w:bidi w:val="0"/>
        <w:adjustRightInd w:val="0"/>
        <w:snapToGrid w:val="0"/>
        <w:spacing w:line="336" w:lineRule="auto"/>
        <w:ind w:firstLine="600" w:firstLineChars="250"/>
        <w:textAlignment w:val="auto"/>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keepNext w:val="0"/>
        <w:keepLines w:val="0"/>
        <w:pageBreakBefore w:val="0"/>
        <w:widowControl w:val="0"/>
        <w:kinsoku/>
        <w:wordWrap/>
        <w:overflowPunct/>
        <w:topLinePunct w:val="0"/>
        <w:autoSpaceDE/>
        <w:autoSpaceDN/>
        <w:bidi w:val="0"/>
        <w:adjustRightInd w:val="0"/>
        <w:snapToGrid w:val="0"/>
        <w:spacing w:line="336" w:lineRule="auto"/>
        <w:textAlignment w:val="auto"/>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bookmarkEnd w:id="31"/>
      <w:bookmarkStart w:id="407" w:name="第五部分"/>
      <w:bookmarkStart w:id="408" w:name="_Toc86217003"/>
    </w:p>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napToGrid w:val="0"/>
        <w:spacing w:line="360" w:lineRule="auto"/>
        <w:jc w:val="center"/>
        <w:outlineLvl w:val="0"/>
        <w:rPr>
          <w:rFonts w:ascii="宋体" w:hAnsi="宋体"/>
          <w:b/>
          <w:color w:val="000000"/>
          <w:sz w:val="32"/>
          <w:szCs w:val="32"/>
        </w:rPr>
      </w:pPr>
      <w:bookmarkStart w:id="409" w:name="_Toc331685784"/>
    </w:p>
    <w:p>
      <w:pPr>
        <w:snapToGrid w:val="0"/>
        <w:spacing w:line="360" w:lineRule="auto"/>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（以最终合同为准）</w:t>
      </w:r>
    </w:p>
    <w:p>
      <w:pPr>
        <w:autoSpaceDE w:val="0"/>
        <w:autoSpaceDN w:val="0"/>
        <w:snapToGrid w:val="0"/>
        <w:spacing w:line="360" w:lineRule="auto"/>
        <w:ind w:firstLine="436" w:firstLineChars="182"/>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项目名称：</w:t>
      </w:r>
      <w:r>
        <w:rPr>
          <w:rFonts w:hint="eastAsia" w:ascii="仿宋_GB2312" w:hAnsi="仿宋_GB2312" w:eastAsia="仿宋_GB2312" w:cs="仿宋_GB2312"/>
          <w:color w:val="000000"/>
          <w:sz w:val="24"/>
          <w:lang w:eastAsia="zh-CN"/>
        </w:rPr>
        <w:t>不动产登记档案整理扫描</w:t>
      </w:r>
      <w:r>
        <w:rPr>
          <w:rFonts w:hint="eastAsia" w:ascii="仿宋_GB2312" w:hAnsi="仿宋_GB2312" w:eastAsia="仿宋_GB2312" w:cs="仿宋_GB2312"/>
          <w:color w:val="000000"/>
          <w:sz w:val="24"/>
        </w:rPr>
        <w:t xml:space="preserve"> </w:t>
      </w:r>
    </w:p>
    <w:p>
      <w:pPr>
        <w:pStyle w:val="34"/>
        <w:snapToGrid w:val="0"/>
        <w:spacing w:line="36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招标编号：</w:t>
      </w:r>
      <w:r>
        <w:rPr>
          <w:rFonts w:hint="eastAsia" w:ascii="仿宋_GB2312" w:hAnsi="仿宋_GB2312" w:eastAsia="仿宋_GB2312" w:cs="仿宋_GB2312"/>
          <w:sz w:val="24"/>
          <w:lang w:eastAsia="zh-CN"/>
        </w:rPr>
        <w:t>YHZFCG2022-083</w:t>
      </w:r>
    </w:p>
    <w:p>
      <w:pPr>
        <w:pStyle w:val="34"/>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eastAsia="zh-CN"/>
        </w:rPr>
        <w:t>杭州市规划和自然资源局余杭分局</w:t>
      </w:r>
      <w:r>
        <w:rPr>
          <w:rFonts w:hint="eastAsia" w:ascii="仿宋_GB2312" w:hAnsi="仿宋_GB2312" w:eastAsia="仿宋_GB2312" w:cs="仿宋_GB2312"/>
          <w:sz w:val="24"/>
          <w:szCs w:val="24"/>
        </w:rPr>
        <w:t xml:space="preserve">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乙方：</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kern w:val="2"/>
          <w:sz w:val="24"/>
          <w:szCs w:val="24"/>
          <w:lang w:eastAsia="zh-CN"/>
        </w:rPr>
        <w:t>甲、乙双方根据不动产登记档案整理扫描（招标编号：</w:t>
      </w:r>
      <w:r>
        <w:rPr>
          <w:rFonts w:hint="eastAsia" w:ascii="仿宋_GB2312" w:hAnsi="仿宋_GB2312" w:eastAsia="仿宋_GB2312" w:cs="仿宋_GB2312"/>
          <w:sz w:val="24"/>
          <w:u w:val="single"/>
          <w:lang w:eastAsia="zh-CN"/>
        </w:rPr>
        <w:t>YHZFCG2022-083</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lang w:eastAsia="zh-CN"/>
        </w:rPr>
        <w:t>政府采购</w:t>
      </w:r>
      <w:r>
        <w:rPr>
          <w:rFonts w:hint="eastAsia" w:ascii="仿宋_GB2312" w:hAnsi="仿宋_GB2312" w:eastAsia="仿宋_GB2312" w:cs="仿宋_GB2312"/>
          <w:color w:val="000000"/>
          <w:sz w:val="24"/>
          <w:szCs w:val="24"/>
          <w:lang w:eastAsia="zh-CN"/>
        </w:rPr>
        <w:t>公开招标的结果，签署本合同。</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0" w:name="_Toc5663"/>
      <w:r>
        <w:rPr>
          <w:rFonts w:hint="eastAsia" w:ascii="仿宋_GB2312" w:hAnsi="仿宋_GB2312" w:eastAsia="仿宋_GB2312" w:cs="仿宋_GB2312"/>
          <w:b/>
          <w:color w:val="000000"/>
          <w:sz w:val="24"/>
          <w:szCs w:val="24"/>
          <w:lang w:eastAsia="zh-CN"/>
        </w:rPr>
        <w:t>一、服务内容</w:t>
      </w:r>
      <w:bookmarkEnd w:id="410"/>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具体内容和相关要求详见招标文件“</w:t>
      </w:r>
      <w:r>
        <w:rPr>
          <w:rFonts w:hint="eastAsia" w:ascii="仿宋_GB2312" w:hAnsi="仿宋_GB2312" w:eastAsia="仿宋_GB2312" w:cs="仿宋_GB2312"/>
          <w:kern w:val="0"/>
          <w:sz w:val="24"/>
        </w:rPr>
        <w:t>第三部分——项目技术规范和服务要求”</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1" w:name="_Toc13637"/>
      <w:r>
        <w:rPr>
          <w:rFonts w:hint="eastAsia" w:ascii="仿宋_GB2312" w:hAnsi="仿宋_GB2312" w:eastAsia="仿宋_GB2312" w:cs="仿宋_GB2312"/>
          <w:b/>
          <w:color w:val="000000"/>
          <w:sz w:val="24"/>
          <w:szCs w:val="24"/>
          <w:lang w:eastAsia="zh-CN"/>
        </w:rPr>
        <w:t>二、</w:t>
      </w:r>
      <w:r>
        <w:rPr>
          <w:rFonts w:hint="eastAsia" w:ascii="仿宋_GB2312" w:hAnsi="仿宋_GB2312" w:eastAsia="仿宋_GB2312" w:cs="仿宋_GB2312"/>
          <w:b/>
          <w:bCs/>
          <w:sz w:val="24"/>
          <w:lang w:eastAsia="zh-CN" w:bidi="en-US"/>
        </w:rPr>
        <w:t>服务时间要求</w:t>
      </w:r>
      <w:bookmarkEnd w:id="411"/>
    </w:p>
    <w:p>
      <w:pPr>
        <w:pStyle w:val="967"/>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2" w:name="_Toc22910"/>
      <w:r>
        <w:rPr>
          <w:rFonts w:hint="eastAsia" w:ascii="仿宋_GB2312" w:hAnsi="仿宋_GB2312" w:eastAsia="仿宋_GB2312" w:cs="仿宋_GB2312"/>
          <w:b/>
          <w:color w:val="000000"/>
          <w:sz w:val="24"/>
          <w:szCs w:val="24"/>
          <w:lang w:eastAsia="zh-CN"/>
        </w:rPr>
        <w:t>三、合同金额</w:t>
      </w:r>
      <w:bookmarkEnd w:id="412"/>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合同金额为（大写）</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元）人民币。</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3" w:name="_Toc3395"/>
      <w:r>
        <w:rPr>
          <w:rFonts w:hint="eastAsia" w:ascii="仿宋_GB2312" w:hAnsi="仿宋_GB2312" w:eastAsia="仿宋_GB2312" w:cs="仿宋_GB2312"/>
          <w:b/>
          <w:color w:val="000000"/>
          <w:sz w:val="24"/>
          <w:szCs w:val="24"/>
          <w:lang w:eastAsia="zh-CN"/>
        </w:rPr>
        <w:t>四、技术资料</w:t>
      </w:r>
      <w:bookmarkEnd w:id="413"/>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1、乙方应按招标文件规定的时间向甲方提供有关技术资料。</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4" w:name="_Toc24660"/>
      <w:r>
        <w:rPr>
          <w:rFonts w:hint="eastAsia" w:ascii="仿宋_GB2312" w:hAnsi="仿宋_GB2312" w:eastAsia="仿宋_GB2312" w:cs="仿宋_GB2312"/>
          <w:b/>
          <w:color w:val="000000"/>
          <w:sz w:val="24"/>
          <w:szCs w:val="24"/>
          <w:lang w:eastAsia="zh-CN"/>
        </w:rPr>
        <w:t>五、知识产权</w:t>
      </w:r>
      <w:bookmarkEnd w:id="414"/>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乙方应保证提供服务过程中不会侵犯任何第三方的知识产权。</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5" w:name="_Toc27890"/>
      <w:r>
        <w:rPr>
          <w:rFonts w:hint="eastAsia" w:ascii="仿宋_GB2312" w:hAnsi="仿宋_GB2312" w:eastAsia="仿宋_GB2312" w:cs="仿宋_GB2312"/>
          <w:b/>
          <w:color w:val="000000"/>
          <w:sz w:val="24"/>
          <w:szCs w:val="24"/>
          <w:lang w:eastAsia="zh-CN"/>
        </w:rPr>
        <w:t>六、履约保证金</w:t>
      </w:r>
      <w:bookmarkEnd w:id="415"/>
    </w:p>
    <w:p>
      <w:pPr>
        <w:pStyle w:val="967"/>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6" w:name="_Toc724"/>
      <w:r>
        <w:rPr>
          <w:rFonts w:hint="eastAsia" w:ascii="仿宋_GB2312" w:hAnsi="仿宋_GB2312" w:eastAsia="仿宋_GB2312" w:cs="仿宋_GB2312"/>
          <w:b/>
          <w:color w:val="000000"/>
          <w:sz w:val="24"/>
          <w:szCs w:val="24"/>
          <w:lang w:eastAsia="zh-CN"/>
        </w:rPr>
        <w:t>七、转包或分包</w:t>
      </w:r>
      <w:bookmarkEnd w:id="416"/>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1、本合同范围的服务，应由乙方直接供应，不得转让他人供应；</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2、除非得到甲方的书面同意，乙方不得将本合同范围的服务全部或部分分包给他人供应；</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3、如有转让和未经甲方同意的分包行为，甲方有权解除合同，没收履约保证金并追究乙方的违约责任。</w:t>
      </w:r>
    </w:p>
    <w:p>
      <w:pPr>
        <w:pStyle w:val="967"/>
        <w:snapToGrid w:val="0"/>
        <w:spacing w:line="360" w:lineRule="auto"/>
        <w:ind w:firstLine="482" w:firstLineChars="200"/>
        <w:outlineLvl w:val="1"/>
        <w:rPr>
          <w:rFonts w:ascii="仿宋_GB2312" w:hAnsi="仿宋_GB2312" w:eastAsia="仿宋_GB2312" w:cs="仿宋_GB2312"/>
          <w:color w:val="000000"/>
          <w:sz w:val="24"/>
          <w:szCs w:val="24"/>
          <w:lang w:eastAsia="zh-CN"/>
        </w:rPr>
      </w:pPr>
      <w:bookmarkStart w:id="417" w:name="_Toc26219"/>
      <w:r>
        <w:rPr>
          <w:rFonts w:hint="eastAsia" w:ascii="仿宋_GB2312" w:hAnsi="仿宋_GB2312" w:eastAsia="仿宋_GB2312" w:cs="仿宋_GB2312"/>
          <w:b/>
          <w:color w:val="000000"/>
          <w:sz w:val="24"/>
          <w:szCs w:val="24"/>
          <w:lang w:eastAsia="zh-CN"/>
        </w:rPr>
        <w:t>八、合同履行时间、履行方式及履行地点</w:t>
      </w:r>
      <w:bookmarkEnd w:id="417"/>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1、履行时间：   ；</w:t>
      </w:r>
    </w:p>
    <w:p>
      <w:pPr>
        <w:pStyle w:val="967"/>
        <w:snapToGrid w:val="0"/>
        <w:spacing w:line="360" w:lineRule="auto"/>
        <w:ind w:firstLine="480" w:firstLineChars="200"/>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szCs w:val="24"/>
          <w:lang w:eastAsia="zh-CN"/>
        </w:rPr>
        <w:t>2、</w:t>
      </w:r>
      <w:r>
        <w:rPr>
          <w:rFonts w:hint="eastAsia" w:ascii="仿宋_GB2312" w:hAnsi="仿宋_GB2312" w:eastAsia="仿宋_GB2312" w:cs="仿宋_GB2312"/>
          <w:color w:val="000000"/>
          <w:sz w:val="24"/>
          <w:lang w:eastAsia="zh-CN"/>
        </w:rPr>
        <w:t>履行地点：   。</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8" w:name="_Toc670"/>
      <w:r>
        <w:rPr>
          <w:rFonts w:hint="eastAsia" w:ascii="仿宋_GB2312" w:hAnsi="仿宋_GB2312" w:eastAsia="仿宋_GB2312" w:cs="仿宋_GB2312"/>
          <w:b/>
          <w:color w:val="000000"/>
          <w:sz w:val="24"/>
          <w:szCs w:val="24"/>
          <w:lang w:eastAsia="zh-CN"/>
        </w:rPr>
        <w:t>九、款项支付</w:t>
      </w:r>
      <w:bookmarkEnd w:id="418"/>
    </w:p>
    <w:p>
      <w:pPr>
        <w:pStyle w:val="967"/>
        <w:snapToGrid w:val="0"/>
        <w:spacing w:line="360" w:lineRule="auto"/>
        <w:ind w:firstLine="960" w:firstLineChars="400"/>
        <w:rPr>
          <w:rFonts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szCs w:val="24"/>
          <w:lang w:eastAsia="zh-CN"/>
        </w:rPr>
        <w:t>按招标文件约定执行</w:t>
      </w:r>
      <w:r>
        <w:rPr>
          <w:rFonts w:hint="eastAsia" w:ascii="仿宋_GB2312" w:hAnsi="仿宋_GB2312" w:eastAsia="仿宋_GB2312" w:cs="仿宋_GB2312"/>
          <w:bCs/>
          <w:color w:val="000000"/>
          <w:sz w:val="24"/>
          <w:lang w:eastAsia="zh-CN"/>
        </w:rPr>
        <w:t>。</w:t>
      </w:r>
    </w:p>
    <w:p>
      <w:pPr>
        <w:autoSpaceDE w:val="0"/>
        <w:autoSpaceDN w:val="0"/>
        <w:snapToGrid w:val="0"/>
        <w:spacing w:line="360" w:lineRule="auto"/>
        <w:ind w:firstLine="482" w:firstLineChars="200"/>
        <w:outlineLvl w:val="1"/>
        <w:rPr>
          <w:rFonts w:ascii="仿宋_GB2312" w:hAnsi="仿宋_GB2312" w:eastAsia="仿宋_GB2312" w:cs="仿宋_GB2312"/>
          <w:b/>
          <w:color w:val="000000"/>
          <w:sz w:val="24"/>
        </w:rPr>
      </w:pPr>
      <w:bookmarkStart w:id="419" w:name="_Toc29970"/>
      <w:r>
        <w:rPr>
          <w:rFonts w:hint="eastAsia" w:ascii="仿宋_GB2312" w:hAnsi="仿宋_GB2312" w:eastAsia="仿宋_GB2312" w:cs="仿宋_GB2312"/>
          <w:b/>
          <w:color w:val="000000"/>
          <w:sz w:val="24"/>
        </w:rPr>
        <w:t>十、税费</w:t>
      </w:r>
      <w:bookmarkEnd w:id="419"/>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本合同执行中相关的一切税费均由乙方负担。</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0" w:name="_Toc13501"/>
      <w:r>
        <w:rPr>
          <w:rFonts w:hint="eastAsia" w:ascii="仿宋_GB2312" w:hAnsi="仿宋_GB2312" w:eastAsia="仿宋_GB2312" w:cs="仿宋_GB2312"/>
          <w:b/>
          <w:color w:val="000000"/>
          <w:sz w:val="24"/>
          <w:szCs w:val="24"/>
          <w:lang w:eastAsia="zh-CN"/>
        </w:rPr>
        <w:t>十一、质量保证及后续服务</w:t>
      </w:r>
      <w:bookmarkEnd w:id="420"/>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1、乙方应按招标文件规定向甲方提供服务。</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（1）重做：由乙方承担所发生的全部费用。</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（2）解除合同。</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3、在服务质量保证期内，乙方应对出现的质量及安全问题负责处理解决并承担一切费用。</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1" w:name="_Toc11285"/>
      <w:r>
        <w:rPr>
          <w:rFonts w:hint="eastAsia" w:ascii="仿宋_GB2312" w:hAnsi="仿宋_GB2312" w:eastAsia="仿宋_GB2312" w:cs="仿宋_GB2312"/>
          <w:b/>
          <w:color w:val="000000"/>
          <w:sz w:val="24"/>
          <w:szCs w:val="24"/>
          <w:lang w:eastAsia="zh-CN"/>
        </w:rPr>
        <w:t>十二、违约责任</w:t>
      </w:r>
      <w:bookmarkEnd w:id="421"/>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1、甲方无正当理由拒收接受服务的，甲方向乙方偿付合同款项百分之五作为违约金。</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2、甲方无故逾期验收和办理款项支付手续的，甲方应按逾期付款总额每日万分之五向乙方支付违约金，赔付上线为合同总额的百分之五。</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3、乙方未能如期提供服务的，每逾期一日向甲方支付合同款项的万分之五作为违约金，赔付上线为合同总额的百分之五。</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4、乙方因未能如期提供服务或因其他违约行为导致甲方解除合同的，乙方应向甲方支付合同总值的百分之五违约金。</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2" w:name="_Toc28853"/>
      <w:r>
        <w:rPr>
          <w:rFonts w:hint="eastAsia" w:ascii="仿宋_GB2312" w:hAnsi="仿宋_GB2312" w:eastAsia="仿宋_GB2312" w:cs="仿宋_GB2312"/>
          <w:b/>
          <w:color w:val="000000"/>
          <w:sz w:val="24"/>
          <w:szCs w:val="24"/>
          <w:lang w:eastAsia="zh-CN"/>
        </w:rPr>
        <w:t>十三、不可抗力事件处理</w:t>
      </w:r>
      <w:bookmarkEnd w:id="422"/>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1、在合同有效期内，任何一方因不可抗力事件导致不能履行合同，则合同履行期可延长，其延长期与不可抗力影响期相同。</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2、不可抗力事件发生后，应立即通知对方，并寄送有关权威机构出具的证明。</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3、不可抗力事件延续120天以上，双方应通过友好协商，确定是否继续履行合同。</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3" w:name="_Toc31178"/>
      <w:r>
        <w:rPr>
          <w:rFonts w:hint="eastAsia" w:ascii="仿宋_GB2312" w:hAnsi="仿宋_GB2312" w:eastAsia="仿宋_GB2312" w:cs="仿宋_GB2312"/>
          <w:b/>
          <w:color w:val="000000"/>
          <w:sz w:val="24"/>
          <w:szCs w:val="24"/>
          <w:lang w:eastAsia="zh-CN"/>
        </w:rPr>
        <w:t>十四、诉讼</w:t>
      </w:r>
      <w:bookmarkEnd w:id="423"/>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双方在执行合同中所发生的一切争议，应通过协商解决。如协商不成，可向甲方所在地法院起诉。</w:t>
      </w:r>
    </w:p>
    <w:p>
      <w:pPr>
        <w:pStyle w:val="967"/>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24" w:name="_Toc5342"/>
      <w:r>
        <w:rPr>
          <w:rFonts w:hint="eastAsia" w:ascii="仿宋_GB2312" w:hAnsi="仿宋_GB2312" w:eastAsia="仿宋_GB2312" w:cs="仿宋_GB2312"/>
          <w:b/>
          <w:color w:val="000000"/>
          <w:sz w:val="24"/>
          <w:szCs w:val="24"/>
          <w:lang w:eastAsia="zh-CN"/>
        </w:rPr>
        <w:t>十五、合同生效及其它</w:t>
      </w:r>
      <w:bookmarkEnd w:id="424"/>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1、合同经双方法定代表人或授权代表签字或盖章并加盖单位公章后生效。</w:t>
      </w:r>
    </w:p>
    <w:p>
      <w:pPr>
        <w:pStyle w:val="967"/>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4"/>
        <w:snapToGrid w:val="0"/>
        <w:spacing w:line="360" w:lineRule="auto"/>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4、本合同一式陆份，具有同等法律效力，甲乙双方各执叁份。</w:t>
      </w: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甲方（盖章）：                            乙方（盖章）：        </w:t>
      </w:r>
    </w:p>
    <w:p>
      <w:pPr>
        <w:snapToGrid w:val="0"/>
        <w:spacing w:line="36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                              法定代表人：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或受委托人（签字或盖章）：                或受委托人（签字或盖章）：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                                  联系人：</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地址：                                    地址：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                                    电话：</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传真：                                    传真：</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开户银行：                                开户银行：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帐号：                                    帐号：</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签订时间：                                签订时间：</w:t>
      </w:r>
    </w:p>
    <w:p>
      <w:pPr>
        <w:pStyle w:val="62"/>
        <w:spacing w:line="360" w:lineRule="auto"/>
        <w:ind w:left="0" w:leftChars="0" w:firstLine="5520" w:firstLineChars="2300"/>
        <w:rPr>
          <w:rFonts w:ascii="仿宋_GB2312" w:hAnsi="仿宋_GB2312" w:eastAsia="仿宋_GB2312" w:cs="仿宋_GB2312"/>
        </w:rPr>
      </w:pPr>
      <w:r>
        <w:rPr>
          <w:rFonts w:hint="eastAsia" w:ascii="仿宋_GB2312" w:hAnsi="仿宋_GB2312" w:eastAsia="仿宋_GB2312" w:cs="仿宋_GB2312"/>
          <w:color w:val="000000"/>
          <w:sz w:val="24"/>
        </w:rPr>
        <w:t>签订地点：</w:t>
      </w:r>
    </w:p>
    <w:p>
      <w:pPr>
        <w:pStyle w:val="81"/>
        <w:spacing w:line="560" w:lineRule="exact"/>
        <w:ind w:firstLine="482"/>
        <w:jc w:val="center"/>
        <w:rPr>
          <w:rFonts w:ascii="仿宋_GB2312" w:hAnsi="仿宋_GB2312" w:eastAsia="仿宋_GB2312" w:cs="仿宋_GB2312"/>
          <w:b/>
          <w:szCs w:val="24"/>
        </w:rPr>
      </w:pPr>
      <w:r>
        <w:rPr>
          <w:rFonts w:hint="eastAsia" w:ascii="仿宋_GB2312" w:hAnsi="仿宋_GB2312" w:eastAsia="仿宋_GB2312" w:cs="仿宋_GB2312"/>
          <w:b/>
          <w:szCs w:val="24"/>
        </w:rPr>
        <w:t xml:space="preserve"> </w:t>
      </w:r>
      <w:bookmarkEnd w:id="409"/>
    </w:p>
    <w:p>
      <w:pPr>
        <w:spacing w:line="360" w:lineRule="auto"/>
        <w:ind w:left="-420" w:leftChars="-200" w:right="-420" w:rightChars="-200" w:firstLine="480" w:firstLineChars="200"/>
        <w:jc w:val="center"/>
        <w:outlineLvl w:val="0"/>
        <w:rPr>
          <w:rFonts w:ascii="仿宋" w:hAnsi="仿宋" w:eastAsia="仿宋"/>
          <w:sz w:val="24"/>
        </w:rPr>
      </w:pPr>
    </w:p>
    <w:p>
      <w:pPr>
        <w:pStyle w:val="62"/>
        <w:rPr>
          <w:rFonts w:ascii="仿宋" w:hAnsi="仿宋" w:eastAsia="仿宋"/>
          <w:sz w:val="24"/>
        </w:rPr>
      </w:pPr>
    </w:p>
    <w:p>
      <w:pPr>
        <w:pStyle w:val="24"/>
        <w:rPr>
          <w:rFonts w:ascii="仿宋" w:hAnsi="仿宋" w:eastAsia="仿宋"/>
          <w:sz w:val="24"/>
        </w:rPr>
      </w:pPr>
    </w:p>
    <w:p>
      <w:pPr>
        <w:rPr>
          <w:rFonts w:ascii="仿宋" w:hAnsi="仿宋" w:eastAsia="仿宋"/>
          <w:sz w:val="24"/>
        </w:rPr>
      </w:pPr>
    </w:p>
    <w:p>
      <w:pPr>
        <w:pStyle w:val="62"/>
        <w:rPr>
          <w:rFonts w:ascii="仿宋" w:hAnsi="仿宋" w:eastAsia="仿宋"/>
          <w:sz w:val="24"/>
        </w:rPr>
      </w:pPr>
    </w:p>
    <w:p>
      <w:pPr>
        <w:pStyle w:val="24"/>
        <w:rPr>
          <w:rFonts w:ascii="仿宋" w:hAnsi="仿宋" w:eastAsia="仿宋"/>
          <w:sz w:val="24"/>
        </w:rPr>
      </w:pPr>
    </w:p>
    <w:p>
      <w:pPr>
        <w:rPr>
          <w:rFonts w:ascii="仿宋" w:hAnsi="仿宋" w:eastAsia="仿宋"/>
          <w:sz w:val="24"/>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07"/>
      <w:r>
        <w:rPr>
          <w:rFonts w:hint="eastAsia" w:ascii="仿宋" w:hAnsi="仿宋" w:eastAsia="仿宋" w:cs="仿宋"/>
          <w:b/>
          <w:sz w:val="36"/>
          <w:szCs w:val="20"/>
        </w:rPr>
        <w:t xml:space="preserve"> </w:t>
      </w:r>
      <w:bookmarkEnd w:id="408"/>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b/>
          <w:color w:val="000000"/>
          <w:sz w:val="24"/>
        </w:rPr>
      </w:pPr>
      <w:r>
        <w:rPr>
          <w:rFonts w:hint="eastAsia" w:ascii="仿宋" w:hAnsi="仿宋" w:eastAsia="仿宋" w:cs="仿宋"/>
          <w:b/>
          <w:color w:val="000000"/>
          <w:sz w:val="24"/>
        </w:rPr>
        <w:t>一、投标人提交投标文件须知：</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4、评标委员会将应用投标人提交的资料作出自己的判断。</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5、投标人提交的材料将在一定期限内被保密保存，但不退还。</w:t>
      </w:r>
    </w:p>
    <w:p>
      <w:pPr>
        <w:snapToGrid w:val="0"/>
        <w:spacing w:line="360" w:lineRule="auto"/>
        <w:ind w:firstLine="480" w:firstLineChars="200"/>
        <w:rPr>
          <w:rFonts w:hint="eastAsia" w:ascii="仿宋" w:hAnsi="仿宋" w:eastAsia="仿宋" w:cs="仿宋"/>
          <w:color w:val="000000"/>
          <w:sz w:val="24"/>
          <w:lang w:val="zh-CN"/>
        </w:rPr>
      </w:pPr>
      <w:r>
        <w:rPr>
          <w:rFonts w:hint="eastAsia" w:ascii="仿宋" w:hAnsi="仿宋" w:eastAsia="仿宋" w:cs="仿宋"/>
          <w:color w:val="000000"/>
          <w:sz w:val="24"/>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rPr>
        <w:t>将有可能被评标委员会认定为投标无效。</w:t>
      </w:r>
    </w:p>
    <w:p>
      <w:pPr>
        <w:rPr>
          <w:rFonts w:hint="eastAsia" w:ascii="仿宋" w:hAnsi="仿宋" w:eastAsia="仿宋" w:cs="仿宋"/>
          <w:b/>
          <w:kern w:val="0"/>
          <w:sz w:val="36"/>
          <w:szCs w:val="36"/>
        </w:rPr>
      </w:pPr>
    </w:p>
    <w:p>
      <w:pPr>
        <w:pStyle w:val="62"/>
        <w:rPr>
          <w:rFonts w:hint="eastAsia" w:ascii="仿宋_GB2312" w:hAnsi="仿宋" w:eastAsia="仿宋_GB2312" w:cs="仿宋_GB2312"/>
          <w:b/>
          <w:kern w:val="0"/>
          <w:sz w:val="36"/>
          <w:szCs w:val="36"/>
        </w:rPr>
      </w:pPr>
    </w:p>
    <w:p>
      <w:pPr>
        <w:pStyle w:val="24"/>
        <w:rPr>
          <w:rFonts w:hint="eastAsia" w:ascii="仿宋_GB2312" w:hAnsi="仿宋" w:eastAsia="仿宋_GB2312" w:cs="仿宋_GB2312"/>
          <w:b/>
          <w:kern w:val="0"/>
          <w:sz w:val="36"/>
          <w:szCs w:val="36"/>
        </w:rPr>
      </w:pPr>
    </w:p>
    <w:p>
      <w:pPr>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pStyle w:val="966"/>
        <w:rPr>
          <w:rFonts w:hint="eastAsia" w:ascii="仿宋_GB2312" w:hAnsi="仿宋" w:eastAsia="仿宋_GB2312" w:cs="仿宋_GB2312"/>
          <w:b/>
          <w:kern w:val="0"/>
          <w:sz w:val="36"/>
          <w:szCs w:val="36"/>
        </w:rPr>
      </w:pPr>
    </w:p>
    <w:p>
      <w:pPr>
        <w:rPr>
          <w:rFonts w:hint="eastAsia"/>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r>
        <w:rPr>
          <w:rFonts w:hint="eastAsia" w:ascii="仿宋_GB2312" w:hAnsi="仿宋_GB2312" w:eastAsia="仿宋_GB2312" w:cs="仿宋_GB2312"/>
          <w:b/>
          <w:bCs w:val="0"/>
          <w:kern w:val="0"/>
          <w:sz w:val="36"/>
          <w:szCs w:val="36"/>
        </w:rPr>
        <w:t>(封面）</w:t>
      </w:r>
    </w:p>
    <w:p>
      <w:pPr>
        <w:spacing w:line="360" w:lineRule="auto"/>
        <w:jc w:val="center"/>
        <w:outlineLvl w:val="0"/>
        <w:rPr>
          <w:rFonts w:hint="eastAsia" w:ascii="仿宋_GB2312" w:hAnsi="仿宋_GB2312" w:eastAsia="仿宋_GB2312" w:cs="仿宋_GB2312"/>
          <w:b/>
          <w:kern w:val="0"/>
          <w:sz w:val="36"/>
          <w:szCs w:val="36"/>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 xml:space="preserve">资  格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 xml:space="preserve">文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p>
    <w:p>
      <w:pPr>
        <w:widowControl/>
        <w:spacing w:line="360" w:lineRule="auto"/>
        <w:ind w:right="-2"/>
        <w:jc w:val="center"/>
        <w:outlineLvl w:val="1"/>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966"/>
        <w:spacing w:line="360" w:lineRule="auto"/>
        <w:rPr>
          <w:rFonts w:hint="eastAsia" w:ascii="仿宋_GB2312" w:hAnsi="仿宋_GB2312" w:eastAsia="仿宋_GB2312" w:cs="仿宋_GB2312"/>
          <w:sz w:val="32"/>
          <w:szCs w:val="32"/>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w:t>
      </w:r>
      <w:r>
        <w:rPr>
          <w:rFonts w:hint="eastAsia" w:ascii="仿宋_GB2312" w:hAnsi="仿宋_GB2312" w:eastAsia="仿宋_GB2312" w:cs="仿宋_GB2312"/>
          <w:b/>
          <w:bCs/>
          <w:color w:val="000000"/>
          <w:sz w:val="32"/>
          <w:szCs w:val="32"/>
          <w:lang w:eastAsia="zh-CN"/>
        </w:rPr>
        <w:t>YHZFCG2022</w:t>
      </w:r>
      <w:r>
        <w:rPr>
          <w:rFonts w:hint="eastAsia" w:ascii="仿宋_GB2312" w:hAnsi="仿宋_GB2312" w:eastAsia="仿宋_GB2312" w:cs="仿宋_GB2312"/>
          <w:b/>
          <w:bCs/>
          <w:color w:val="000000"/>
          <w:sz w:val="32"/>
          <w:szCs w:val="32"/>
        </w:rPr>
        <w:t>-</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680" w:firstLineChars="600"/>
        <w:rPr>
          <w:rFonts w:hint="eastAsia" w:ascii="仿宋_GB2312" w:hAnsi="仿宋_GB2312" w:eastAsia="仿宋_GB2312" w:cs="仿宋_GB2312"/>
          <w:color w:val="000000"/>
          <w:sz w:val="28"/>
          <w:szCs w:val="28"/>
        </w:rPr>
      </w:pP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w:t>
      </w:r>
      <w:r>
        <w:rPr>
          <w:rFonts w:hint="eastAsia" w:ascii="仿宋_GB2312" w:hAnsi="仿宋_GB2312" w:eastAsia="仿宋_GB2312" w:cs="仿宋_GB2312"/>
          <w:color w:val="000000"/>
          <w:sz w:val="32"/>
          <w:szCs w:val="32"/>
          <w:lang w:eastAsia="zh-CN"/>
        </w:rPr>
        <w:t>或电子公章</w:t>
      </w:r>
      <w:r>
        <w:rPr>
          <w:rFonts w:hint="eastAsia" w:ascii="仿宋_GB2312" w:hAnsi="仿宋_GB2312" w:eastAsia="仿宋_GB2312" w:cs="仿宋_GB2312"/>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hint="eastAsia" w:ascii="仿宋_GB2312" w:hAnsi="仿宋_GB2312" w:eastAsia="仿宋_GB2312" w:cs="仿宋_GB2312"/>
          <w:color w:val="000000"/>
          <w:sz w:val="32"/>
          <w:szCs w:val="32"/>
        </w:rPr>
        <w:sectPr>
          <w:headerReference r:id="rId10" w:type="default"/>
          <w:footerReference r:id="rId11" w:type="default"/>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62"/>
        <w:rPr>
          <w:rFonts w:hint="eastAsia"/>
        </w:rPr>
      </w:pPr>
    </w:p>
    <w:p>
      <w:pPr>
        <w:spacing w:line="360" w:lineRule="auto"/>
        <w:jc w:val="center"/>
        <w:outlineLvl w:val="0"/>
        <w:rPr>
          <w:rFonts w:hint="eastAsia" w:ascii="华文仿宋" w:hAnsi="华文仿宋" w:eastAsia="华文仿宋" w:cs="华文仿宋"/>
          <w:b/>
          <w:kern w:val="0"/>
          <w:sz w:val="36"/>
          <w:szCs w:val="36"/>
        </w:rPr>
      </w:pPr>
      <w:r>
        <w:rPr>
          <w:rFonts w:hint="eastAsia" w:ascii="华文仿宋" w:hAnsi="华文仿宋" w:eastAsia="华文仿宋" w:cs="华文仿宋"/>
          <w:b/>
          <w:kern w:val="0"/>
          <w:sz w:val="36"/>
          <w:szCs w:val="36"/>
        </w:rPr>
        <w:t>目</w:t>
      </w:r>
      <w:r>
        <w:rPr>
          <w:rFonts w:hint="eastAsia" w:ascii="华文仿宋" w:hAnsi="华文仿宋" w:eastAsia="华文仿宋" w:cs="华文仿宋"/>
          <w:b/>
          <w:kern w:val="0"/>
          <w:sz w:val="36"/>
          <w:szCs w:val="36"/>
          <w:lang w:val="en-US" w:eastAsia="zh-CN"/>
        </w:rPr>
        <w:t xml:space="preserve"> </w:t>
      </w:r>
      <w:r>
        <w:rPr>
          <w:rFonts w:hint="eastAsia" w:ascii="华文仿宋" w:hAnsi="华文仿宋" w:eastAsia="华文仿宋" w:cs="华文仿宋"/>
          <w:b/>
          <w:kern w:val="0"/>
          <w:sz w:val="36"/>
          <w:szCs w:val="36"/>
        </w:rPr>
        <w:t>录</w:t>
      </w:r>
    </w:p>
    <w:p>
      <w:pPr>
        <w:spacing w:line="360" w:lineRule="auto"/>
        <w:jc w:val="center"/>
        <w:outlineLvl w:val="0"/>
        <w:rPr>
          <w:rFonts w:ascii="华文仿宋" w:hAnsi="华文仿宋" w:eastAsia="华文仿宋" w:cs="华文仿宋"/>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pStyle w:val="25"/>
        <w:keepNext w:val="0"/>
        <w:keepLines w:val="0"/>
        <w:pageBreakBefore w:val="0"/>
        <w:widowControl w:val="0"/>
        <w:kinsoku/>
        <w:wordWrap/>
        <w:overflowPunct/>
        <w:topLinePunct w:val="0"/>
        <w:autoSpaceDE/>
        <w:autoSpaceDN/>
        <w:bidi w:val="0"/>
        <w:adjustRightInd w:val="0"/>
        <w:spacing w:line="360" w:lineRule="auto"/>
        <w:ind w:left="0" w:leftChars="0" w:firstLine="0" w:firstLineChars="0"/>
        <w:textAlignment w:val="auto"/>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widowControl/>
        <w:snapToGrid w:val="0"/>
        <w:spacing w:line="360" w:lineRule="auto"/>
        <w:jc w:val="left"/>
        <w:rPr>
          <w:rFonts w:ascii="宋体" w:hAnsi="宋体" w:cs="宋体"/>
          <w:color w:val="000000"/>
          <w:kern w:val="0"/>
          <w:sz w:val="24"/>
        </w:rPr>
      </w:pPr>
    </w:p>
    <w:p>
      <w:pPr>
        <w:pStyle w:val="25"/>
        <w:rPr>
          <w:rFonts w:hint="eastAsia"/>
        </w:rPr>
      </w:pPr>
    </w:p>
    <w:p>
      <w:pPr>
        <w:widowControl/>
        <w:snapToGrid w:val="0"/>
        <w:spacing w:line="360" w:lineRule="auto"/>
        <w:jc w:val="left"/>
        <w:rPr>
          <w:rFonts w:hint="eastAsia" w:ascii="宋体" w:hAnsi="宋体" w:cs="宋体"/>
          <w:color w:val="000000"/>
          <w:kern w:val="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62"/>
        <w:rPr>
          <w:rFonts w:hint="eastAsia" w:ascii="宋体" w:hAnsi="宋体" w:cs="宋体"/>
          <w:color w:val="000000"/>
          <w:sz w:val="24"/>
        </w:rPr>
      </w:pPr>
    </w:p>
    <w:p>
      <w:pPr>
        <w:pStyle w:val="24"/>
        <w:rPr>
          <w:rFonts w:hint="eastAsia"/>
        </w:rPr>
      </w:pPr>
    </w:p>
    <w:p>
      <w:pPr>
        <w:rPr>
          <w:rFonts w:hint="eastAsia"/>
        </w:rPr>
      </w:pPr>
    </w:p>
    <w:p>
      <w:pPr>
        <w:pStyle w:val="62"/>
        <w:rPr>
          <w:rFonts w:hint="eastAsia"/>
        </w:rPr>
      </w:pPr>
    </w:p>
    <w:p>
      <w:pPr>
        <w:pStyle w:val="24"/>
        <w:rPr>
          <w:rFonts w:hint="eastAsia"/>
        </w:rPr>
      </w:pPr>
    </w:p>
    <w:p>
      <w:pPr>
        <w:rPr>
          <w:rFonts w:hint="eastAsia"/>
        </w:rPr>
      </w:pPr>
    </w:p>
    <w:p>
      <w:pPr>
        <w:pStyle w:val="62"/>
        <w:rPr>
          <w:rFonts w:hint="eastAsia"/>
        </w:rPr>
      </w:pPr>
    </w:p>
    <w:p>
      <w:pPr>
        <w:pStyle w:val="24"/>
        <w:rPr>
          <w:rFonts w:hint="eastAsia"/>
        </w:rPr>
      </w:pPr>
    </w:p>
    <w:p>
      <w:pPr>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pStyle w:val="966"/>
        <w:rPr>
          <w:rFonts w:hint="eastAsia"/>
        </w:rPr>
      </w:pPr>
    </w:p>
    <w:p>
      <w:pPr>
        <w:rPr>
          <w:rFonts w:hint="eastAsia"/>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不动产登记档案整理扫描</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pStyle w:val="62"/>
      </w:pPr>
    </w:p>
    <w:p>
      <w:pPr>
        <w:snapToGrid w:val="0"/>
        <w:spacing w:line="360" w:lineRule="auto"/>
        <w:ind w:right="480"/>
        <w:jc w:val="center"/>
        <w:rPr>
          <w:rFonts w:ascii="仿宋_GB2312" w:hAnsi="仿宋" w:eastAsia="仿宋_GB2312" w:cs="仿宋_GB2312"/>
          <w:b/>
          <w:kern w:val="0"/>
          <w:sz w:val="32"/>
          <w:szCs w:val="32"/>
        </w:rPr>
      </w:pPr>
    </w:p>
    <w:p>
      <w:pPr>
        <w:pStyle w:val="966"/>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left="150"/>
        <w:jc w:val="center"/>
        <w:rPr>
          <w:rFonts w:ascii="仿宋_GB2312" w:hAnsi="仿宋" w:eastAsia="仿宋_GB2312" w:cs="仿宋_GB2312"/>
          <w:b/>
          <w:kern w:val="0"/>
          <w:sz w:val="32"/>
          <w:szCs w:val="32"/>
        </w:rPr>
      </w:pPr>
    </w:p>
    <w:p>
      <w:pPr>
        <w:pStyle w:val="62"/>
        <w:rPr>
          <w:rFonts w:ascii="仿宋_GB2312" w:hAnsi="仿宋" w:eastAsia="仿宋_GB2312" w:cs="仿宋_GB2312"/>
          <w:b/>
          <w:kern w:val="0"/>
          <w:sz w:val="32"/>
          <w:szCs w:val="32"/>
        </w:rPr>
      </w:pPr>
    </w:p>
    <w:p>
      <w:pPr>
        <w:pStyle w:val="2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62"/>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p>
    <w:p>
      <w:pPr>
        <w:spacing w:line="360" w:lineRule="auto"/>
        <w:ind w:right="420" w:firstLine="2530" w:firstLineChars="7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r>
        <w:rPr>
          <w:rFonts w:hint="eastAsia" w:ascii="仿宋_GB2312" w:hAnsi="仿宋" w:eastAsia="仿宋_GB2312" w:cs="仿宋_GB2312"/>
          <w:b/>
          <w:bCs w:val="0"/>
          <w:kern w:val="0"/>
          <w:sz w:val="36"/>
          <w:szCs w:val="36"/>
        </w:rPr>
        <w:t>（封面）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2"/>
          <w:sz w:val="32"/>
          <w:szCs w:val="32"/>
          <w:lang w:eastAsia="zh-CN"/>
        </w:rPr>
        <w:t>（</w:t>
      </w:r>
      <w:r>
        <w:rPr>
          <w:rFonts w:hint="eastAsia" w:ascii="仿宋_GB2312" w:hAnsi="仿宋_GB2312" w:eastAsia="仿宋_GB2312" w:cs="仿宋_GB2312"/>
          <w:b/>
          <w:bCs/>
          <w:color w:val="000000"/>
          <w:sz w:val="32"/>
          <w:szCs w:val="32"/>
        </w:rPr>
        <w:t>项目名称</w:t>
      </w:r>
      <w:r>
        <w:rPr>
          <w:rFonts w:hint="eastAsia" w:ascii="仿宋_GB2312" w:hAnsi="仿宋_GB2312" w:eastAsia="仿宋_GB2312" w:cs="仿宋_GB2312"/>
          <w:b/>
          <w:bCs/>
          <w:color w:val="000000"/>
          <w:sz w:val="32"/>
          <w:szCs w:val="32"/>
          <w:lang w:eastAsia="zh-CN"/>
        </w:rPr>
        <w:t>）</w:t>
      </w:r>
    </w:p>
    <w:p>
      <w:pPr>
        <w:pStyle w:val="25"/>
        <w:spacing w:line="360" w:lineRule="auto"/>
        <w:rPr>
          <w:rFonts w:hint="eastAsia" w:ascii="仿宋_GB2312" w:hAnsi="仿宋_GB2312" w:eastAsia="仿宋_GB2312" w:cs="仿宋_GB2312"/>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25" w:name="_Toc17190"/>
      <w:r>
        <w:rPr>
          <w:rFonts w:hint="eastAsia" w:ascii="仿宋_GB2312" w:hAnsi="仿宋_GB2312" w:eastAsia="仿宋_GB2312" w:cs="仿宋_GB2312"/>
          <w:b/>
          <w:bCs/>
          <w:color w:val="000000"/>
          <w:sz w:val="52"/>
          <w:szCs w:val="52"/>
        </w:rPr>
        <w:t>商</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务</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技</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术</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文</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bookmarkEnd w:id="425"/>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26" w:name="_Toc27078"/>
      <w:r>
        <w:rPr>
          <w:rFonts w:hint="eastAsia" w:ascii="仿宋_GB2312" w:hAnsi="仿宋_GB2312" w:eastAsia="仿宋_GB2312" w:cs="仿宋_GB2312"/>
          <w:b/>
          <w:color w:val="000000"/>
          <w:sz w:val="36"/>
          <w:szCs w:val="36"/>
        </w:rPr>
        <w:t>（线上电子招投标）</w:t>
      </w:r>
      <w:bookmarkEnd w:id="426"/>
    </w:p>
    <w:p>
      <w:pPr>
        <w:pStyle w:val="966"/>
        <w:spacing w:line="360" w:lineRule="auto"/>
        <w:rPr>
          <w:rFonts w:hint="eastAsia" w:ascii="仿宋_GB2312" w:hAnsi="仿宋_GB2312" w:eastAsia="仿宋_GB2312" w:cs="仿宋_GB2312"/>
          <w:sz w:val="36"/>
          <w:szCs w:val="36"/>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27" w:name="_Toc28851"/>
      <w:r>
        <w:rPr>
          <w:rFonts w:hint="eastAsia" w:ascii="仿宋_GB2312" w:hAnsi="仿宋_GB2312" w:eastAsia="仿宋_GB2312" w:cs="仿宋_GB2312"/>
          <w:b/>
          <w:bCs/>
          <w:color w:val="000000"/>
          <w:sz w:val="36"/>
          <w:szCs w:val="36"/>
        </w:rPr>
        <w:t xml:space="preserve">  招标编号：</w:t>
      </w:r>
      <w:bookmarkEnd w:id="427"/>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2</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pStyle w:val="966"/>
        <w:spacing w:line="360" w:lineRule="auto"/>
        <w:rPr>
          <w:rFonts w:hint="eastAsia" w:ascii="仿宋_GB2312" w:hAnsi="仿宋_GB2312" w:eastAsia="仿宋_GB2312" w:cs="仿宋_GB2312"/>
        </w:rPr>
      </w:pP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72"/>
          <w:szCs w:val="72"/>
        </w:rPr>
        <w:t>件</w:t>
      </w:r>
    </w:p>
    <w:p>
      <w:pPr>
        <w:pStyle w:val="25"/>
        <w:spacing w:line="360" w:lineRule="auto"/>
        <w:rPr>
          <w:rFonts w:hint="eastAsia" w:ascii="仿宋_GB2312" w:hAnsi="仿宋_GB2312" w:eastAsia="仿宋_GB2312" w:cs="仿宋_GB2312"/>
        </w:rPr>
      </w:pPr>
    </w:p>
    <w:p>
      <w:pPr>
        <w:snapToGrid w:val="0"/>
        <w:spacing w:line="360" w:lineRule="auto"/>
        <w:ind w:firstLine="1920" w:firstLineChars="600"/>
        <w:rPr>
          <w:rFonts w:hint="eastAsia"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hint="eastAsia" w:ascii="仿宋_GB2312" w:hAnsi="仿宋_GB2312" w:eastAsia="仿宋_GB2312" w:cs="仿宋_GB2312"/>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62"/>
        <w:rPr>
          <w:rFonts w:hint="eastAsia" w:ascii="仿宋_GB2312" w:hAnsi="仿宋_GB2312" w:eastAsia="仿宋_GB2312" w:cs="仿宋_GB2312"/>
        </w:rPr>
      </w:pPr>
    </w:p>
    <w:p>
      <w:pPr>
        <w:spacing w:line="360" w:lineRule="auto"/>
        <w:jc w:val="center"/>
        <w:outlineLvl w:val="0"/>
        <w:rPr>
          <w:rFonts w:ascii="仿宋_GB2312" w:hAnsi="仿宋" w:eastAsia="仿宋_GB2312" w:cs="仿宋_GB2312"/>
          <w:b/>
          <w:kern w:val="0"/>
          <w:sz w:val="28"/>
          <w:szCs w:val="28"/>
        </w:rPr>
      </w:pPr>
      <w:bookmarkStart w:id="434" w:name="_GoBack"/>
      <w:bookmarkEnd w:id="434"/>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）关于对招标文件中有关条款的拒绝声明（如果有的话）</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）投标人认为需要提供的与本项目有关的其他文件和说明</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pStyle w:val="62"/>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62"/>
        <w:rPr>
          <w:rFonts w:ascii="仿宋_GB2312" w:hAnsi="仿宋" w:eastAsia="仿宋_GB2312" w:cs="仿宋_GB2312"/>
          <w:b/>
          <w:kern w:val="0"/>
          <w:sz w:val="32"/>
          <w:szCs w:val="32"/>
        </w:rPr>
      </w:pPr>
    </w:p>
    <w:p>
      <w:pPr>
        <w:pStyle w:val="24"/>
      </w:pPr>
    </w:p>
    <w:p>
      <w:pPr>
        <w:snapToGrid w:val="0"/>
        <w:spacing w:line="360" w:lineRule="auto"/>
        <w:jc w:val="both"/>
        <w:outlineLvl w:val="0"/>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zh-CN" w:eastAsia="zh-CN"/>
        </w:rPr>
        <w:t>杭州市规划和自然资源局余杭分局</w:t>
      </w:r>
      <w:r>
        <w:rPr>
          <w:rFonts w:hint="eastAsia" w:ascii="仿宋_GB2312" w:hAnsi="仿宋" w:eastAsia="仿宋_GB2312" w:cs="仿宋_GB2312"/>
          <w:sz w:val="24"/>
        </w:rPr>
        <w:t>）、（耀华建设管理有限公司）：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u w:val="single"/>
          <w:lang w:eastAsia="zh-CN"/>
        </w:rPr>
        <w:t>不动产登记档案整理扫描</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hint="eastAsia"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rPr>
          <w:rFonts w:ascii="仿宋_GB2312" w:hAnsi="仿宋" w:eastAsia="仿宋_GB2312" w:cs="仿宋_GB2312"/>
          <w:sz w:val="24"/>
        </w:rPr>
      </w:pPr>
      <w:r>
        <w:rPr>
          <w:rFonts w:ascii="仿宋_GB2312" w:hAnsi="仿宋" w:eastAsia="仿宋_GB2312" w:cs="仿宋_GB2312"/>
          <w:sz w:val="24"/>
        </w:rPr>
        <w:t xml:space="preserve">     日期：  年   月   日</w:t>
      </w: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4154" w:firstLineChars="1293"/>
      </w:pPr>
      <w:r>
        <w:rPr>
          <w:rFonts w:hint="eastAsia" w:ascii="仿宋_GB2312" w:hAnsi="仿宋" w:eastAsia="仿宋_GB2312" w:cs="仿宋_GB2312"/>
          <w:b/>
          <w:kern w:val="0"/>
          <w:sz w:val="32"/>
          <w:szCs w:val="32"/>
          <w:lang w:val="zh-CN"/>
        </w:rPr>
        <w:t>授</w:t>
      </w:r>
      <w:r>
        <w:rPr>
          <w:rFonts w:hint="eastAsia" w:ascii="仿宋_GB2312" w:hAnsi="仿宋" w:eastAsia="仿宋_GB2312" w:cs="仿宋_GB2312"/>
          <w:b/>
          <w:kern w:val="0"/>
          <w:sz w:val="32"/>
          <w:szCs w:val="32"/>
          <w:lang w:val="en-US" w:eastAsia="zh-CN"/>
        </w:rPr>
        <w:t xml:space="preserve"> </w:t>
      </w:r>
      <w:r>
        <w:rPr>
          <w:rFonts w:hint="eastAsia" w:ascii="仿宋_GB2312" w:hAnsi="仿宋" w:eastAsia="仿宋_GB2312" w:cs="仿宋_GB2312"/>
          <w:b/>
          <w:kern w:val="0"/>
          <w:sz w:val="32"/>
          <w:szCs w:val="32"/>
          <w:lang w:val="zh-CN"/>
        </w:rPr>
        <w:t>权</w:t>
      </w:r>
      <w:r>
        <w:rPr>
          <w:rFonts w:hint="eastAsia" w:ascii="仿宋_GB2312" w:hAnsi="仿宋" w:eastAsia="仿宋_GB2312" w:cs="仿宋_GB2312"/>
          <w:b/>
          <w:kern w:val="0"/>
          <w:sz w:val="32"/>
          <w:szCs w:val="32"/>
          <w:lang w:val="en-US" w:eastAsia="zh-CN"/>
        </w:rPr>
        <w:t xml:space="preserve"> </w:t>
      </w:r>
      <w:r>
        <w:rPr>
          <w:rFonts w:hint="eastAsia" w:ascii="仿宋_GB2312" w:hAnsi="仿宋" w:eastAsia="仿宋_GB2312" w:cs="仿宋_GB2312"/>
          <w:b/>
          <w:kern w:val="0"/>
          <w:sz w:val="32"/>
          <w:szCs w:val="32"/>
          <w:lang w:val="zh-CN"/>
        </w:rPr>
        <w:t>委</w:t>
      </w:r>
      <w:r>
        <w:rPr>
          <w:rFonts w:hint="eastAsia" w:ascii="仿宋_GB2312" w:hAnsi="仿宋" w:eastAsia="仿宋_GB2312" w:cs="仿宋_GB2312"/>
          <w:b/>
          <w:kern w:val="0"/>
          <w:sz w:val="32"/>
          <w:szCs w:val="32"/>
          <w:lang w:val="en-US" w:eastAsia="zh-CN"/>
        </w:rPr>
        <w:t xml:space="preserve"> </w:t>
      </w:r>
      <w:r>
        <w:rPr>
          <w:rFonts w:hint="eastAsia" w:ascii="仿宋_GB2312" w:hAnsi="仿宋" w:eastAsia="仿宋_GB2312" w:cs="仿宋_GB2312"/>
          <w:b/>
          <w:kern w:val="0"/>
          <w:sz w:val="32"/>
          <w:szCs w:val="32"/>
          <w:lang w:val="zh-CN"/>
        </w:rPr>
        <w:t>托</w:t>
      </w:r>
      <w:r>
        <w:rPr>
          <w:rFonts w:hint="eastAsia" w:ascii="仿宋_GB2312" w:hAnsi="仿宋" w:eastAsia="仿宋_GB2312" w:cs="仿宋_GB2312"/>
          <w:b/>
          <w:kern w:val="0"/>
          <w:sz w:val="32"/>
          <w:szCs w:val="32"/>
          <w:lang w:val="en-US" w:eastAsia="zh-CN"/>
        </w:rPr>
        <w:t xml:space="preserve"> </w:t>
      </w:r>
      <w:r>
        <w:rPr>
          <w:rFonts w:hint="eastAsia" w:ascii="仿宋_GB2312" w:hAnsi="仿宋" w:eastAsia="仿宋_GB2312" w:cs="仿宋_GB2312"/>
          <w:b/>
          <w:kern w:val="0"/>
          <w:sz w:val="32"/>
          <w:szCs w:val="32"/>
          <w:lang w:val="zh-CN"/>
        </w:rPr>
        <w:t>书</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sz w:val="24"/>
          <w:lang w:val="zh-CN" w:eastAsia="zh-CN"/>
        </w:rPr>
        <w:t>杭州市规划和自然资源局余杭分局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u w:val="single"/>
          <w:lang w:eastAsia="zh-CN"/>
        </w:rPr>
        <w:t>不动产登记档案整理扫描</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w:t>
      </w:r>
      <w:r>
        <w:rPr>
          <w:rFonts w:hint="default" w:ascii="仿宋_GB2312" w:hAnsi="仿宋" w:eastAsia="仿宋_GB2312" w:cs="仿宋_GB2312"/>
          <w:kern w:val="0"/>
          <w:sz w:val="24"/>
          <w:lang w:val="zh-CN" w:eastAsia="zh-CN"/>
        </w:rPr>
        <w:t>(公章或电子公章)</w:t>
      </w:r>
      <w:r>
        <w:rPr>
          <w:rFonts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rPr>
          <w:rFonts w:ascii="仿宋_GB2312" w:hAnsi="仿宋" w:eastAsia="仿宋_GB2312" w:cs="仿宋_GB2312"/>
          <w:sz w:val="24"/>
        </w:rPr>
      </w:pPr>
    </w:p>
    <w:p>
      <w:pPr>
        <w:pStyle w:val="62"/>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lang w:val="zh-CN"/>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ind w:firstLine="643" w:firstLineChars="200"/>
        <w:rPr>
          <w:rFonts w:hint="default"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三、另提供-</w:t>
      </w:r>
      <w:r>
        <w:rPr>
          <w:rFonts w:hint="default" w:ascii="仿宋_GB2312" w:hAnsi="仿宋" w:eastAsia="仿宋_GB2312" w:cs="仿宋_GB2312"/>
          <w:b/>
          <w:kern w:val="0"/>
          <w:sz w:val="32"/>
          <w:szCs w:val="32"/>
        </w:rPr>
        <w:t>法人或者其他组织</w:t>
      </w:r>
      <w:r>
        <w:rPr>
          <w:rFonts w:hint="default" w:ascii="仿宋_GB2312" w:hAnsi="仿宋" w:eastAsia="仿宋_GB2312" w:cs="仿宋_GB2312"/>
          <w:b/>
          <w:kern w:val="0"/>
          <w:sz w:val="32"/>
          <w:szCs w:val="32"/>
          <w:lang w:eastAsia="zh-CN"/>
        </w:rPr>
        <w:t>机构的</w:t>
      </w:r>
      <w:r>
        <w:rPr>
          <w:rFonts w:hint="default" w:ascii="仿宋_GB2312" w:hAnsi="仿宋" w:eastAsia="仿宋_GB2312" w:cs="仿宋_GB2312"/>
          <w:b/>
          <w:kern w:val="0"/>
          <w:sz w:val="32"/>
          <w:szCs w:val="32"/>
        </w:rPr>
        <w:t>营业执照</w:t>
      </w:r>
      <w:r>
        <w:rPr>
          <w:rFonts w:hint="default" w:ascii="仿宋_GB2312" w:hAnsi="仿宋" w:eastAsia="仿宋_GB2312" w:cs="仿宋_GB2312"/>
          <w:b/>
          <w:kern w:val="0"/>
          <w:sz w:val="32"/>
          <w:szCs w:val="32"/>
          <w:lang w:eastAsia="zh-CN"/>
        </w:rPr>
        <w:t>（</w:t>
      </w:r>
      <w:r>
        <w:rPr>
          <w:rFonts w:hint="default" w:ascii="仿宋_GB2312" w:hAnsi="仿宋" w:eastAsia="仿宋_GB2312" w:cs="仿宋_GB2312"/>
          <w:b/>
          <w:kern w:val="0"/>
          <w:sz w:val="32"/>
          <w:szCs w:val="32"/>
          <w:lang w:val="en-US" w:eastAsia="zh-CN"/>
        </w:rPr>
        <w:t>扫</w:t>
      </w:r>
      <w:r>
        <w:rPr>
          <w:rFonts w:hint="default" w:ascii="仿宋_GB2312" w:hAnsi="仿宋" w:eastAsia="仿宋_GB2312" w:cs="仿宋_GB2312"/>
          <w:b/>
          <w:kern w:val="0"/>
          <w:sz w:val="32"/>
          <w:szCs w:val="32"/>
          <w:lang w:eastAsia="zh-CN"/>
        </w:rPr>
        <w:t>描件或复印件加盖公章）</w:t>
      </w:r>
      <w:r>
        <w:rPr>
          <w:rFonts w:hint="default" w:ascii="仿宋_GB2312" w:hAnsi="仿宋" w:eastAsia="仿宋_GB2312" w:cs="仿宋_GB2312"/>
          <w:b/>
          <w:kern w:val="0"/>
          <w:sz w:val="32"/>
          <w:szCs w:val="32"/>
        </w:rPr>
        <w:t>或事业法人登记证书或其</w:t>
      </w:r>
      <w:r>
        <w:rPr>
          <w:rFonts w:hint="default" w:ascii="仿宋_GB2312" w:hAnsi="仿宋" w:eastAsia="仿宋_GB2312" w:cs="仿宋_GB2312"/>
          <w:b/>
          <w:kern w:val="0"/>
          <w:sz w:val="32"/>
          <w:szCs w:val="32"/>
          <w:lang w:eastAsia="zh-CN"/>
        </w:rPr>
        <w:t>他</w:t>
      </w:r>
      <w:r>
        <w:rPr>
          <w:rFonts w:hint="default" w:ascii="仿宋_GB2312" w:hAnsi="仿宋" w:eastAsia="仿宋_GB2312" w:cs="仿宋_GB2312"/>
          <w:b/>
          <w:kern w:val="0"/>
          <w:sz w:val="32"/>
          <w:szCs w:val="32"/>
        </w:rPr>
        <w:t xml:space="preserve">工商等登记证明材料； </w:t>
      </w:r>
    </w:p>
    <w:p>
      <w:pPr>
        <w:snapToGrid w:val="0"/>
        <w:spacing w:line="360" w:lineRule="auto"/>
        <w:ind w:left="0" w:leftChars="0" w:firstLine="480" w:firstLineChars="200"/>
        <w:rPr>
          <w:rFonts w:hint="default" w:ascii="仿宋_GB2312" w:hAnsi="仿宋" w:eastAsia="仿宋_GB2312" w:cs="仿宋_GB2312"/>
          <w:color w:val="auto"/>
          <w:sz w:val="24"/>
          <w:szCs w:val="24"/>
        </w:rPr>
      </w:pPr>
      <w:r>
        <w:rPr>
          <w:rFonts w:hint="default" w:ascii="仿宋_GB2312" w:hAnsi="仿宋" w:eastAsia="仿宋_GB2312" w:cs="仿宋_GB2312"/>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62"/>
        <w:rPr>
          <w:rFonts w:ascii="仿宋_GB2312" w:hAnsi="仿宋" w:eastAsia="仿宋_GB2312" w:cs="仿宋_GB2312"/>
          <w:sz w:val="24"/>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3"/>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9207" w:type="dxa"/>
          </w:tcPr>
          <w:p>
            <w:pPr>
              <w:pStyle w:val="93"/>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w:t>
      </w:r>
      <w:r>
        <w:rPr>
          <w:rFonts w:hint="eastAsia" w:ascii="仿宋" w:hAnsi="仿宋" w:eastAsia="仿宋" w:cs="仿宋"/>
          <w:color w:val="000000"/>
          <w:kern w:val="0"/>
          <w:sz w:val="24"/>
          <w:lang w:val="zh-CN" w:eastAsia="zh-CN"/>
        </w:rPr>
        <w:t>(公章或电子公章)</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62"/>
        <w:ind w:left="0" w:leftChars="0" w:firstLine="0" w:firstLineChars="0"/>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pStyle w:val="2"/>
        <w:rPr>
          <w:rFonts w:hint="eastAsia"/>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四</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071"/>
        <w:gridCol w:w="321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07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210"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679"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ascii="仿宋" w:hAnsi="仿宋" w:eastAsia="仿宋"/>
                <w:sz w:val="24"/>
              </w:rPr>
              <w:t>1</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3210"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679" w:type="dxa"/>
          </w:tcPr>
          <w:p>
            <w:pPr>
              <w:rPr>
                <w:rFonts w:ascii="仿宋" w:hAnsi="仿宋" w:eastAsia="仿宋" w:cs="仿宋_GB2312"/>
                <w:sz w:val="24"/>
              </w:rPr>
            </w:pPr>
          </w:p>
          <w:p>
            <w:r>
              <w:rPr>
                <w:rFonts w:hint="eastAsia" w:ascii="仿宋" w:hAnsi="仿宋" w:eastAsia="仿宋" w:cs="仿宋_GB2312"/>
                <w:sz w:val="24"/>
                <w:lang w:eastAsia="zh-CN"/>
              </w:rPr>
              <w:t>详</w:t>
            </w:r>
            <w:r>
              <w:rPr>
                <w:rFonts w:hint="eastAsia" w:ascii="仿宋" w:hAnsi="仿宋" w:eastAsia="仿宋" w:cs="仿宋_GB2312"/>
                <w:sz w:val="24"/>
              </w:rPr>
              <w:t>见投标文件</w:t>
            </w:r>
            <w:r>
              <w:rPr>
                <w:rFonts w:hint="eastAsia" w:ascii="仿宋" w:hAnsi="仿宋" w:eastAsia="仿宋" w:cs="仿宋_GB2312"/>
                <w:sz w:val="24"/>
                <w:lang w:eastAsia="zh-CN"/>
              </w:rPr>
              <w:t>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2</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3210" w:type="dxa"/>
            <w:vAlign w:val="center"/>
          </w:tcPr>
          <w:p>
            <w:pPr>
              <w:rPr>
                <w:rFonts w:ascii="仿宋" w:hAnsi="仿宋" w:eastAsia="仿宋"/>
                <w:sz w:val="24"/>
              </w:rPr>
            </w:pPr>
            <w:r>
              <w:rPr>
                <w:rFonts w:hint="eastAsia" w:ascii="仿宋" w:hAnsi="仿宋" w:eastAsia="仿宋"/>
                <w:sz w:val="24"/>
              </w:rPr>
              <w:t>投标函</w:t>
            </w:r>
          </w:p>
        </w:tc>
        <w:tc>
          <w:tcPr>
            <w:tcW w:w="1679" w:type="dxa"/>
          </w:tcPr>
          <w:p>
            <w:pPr>
              <w:rPr>
                <w:rFonts w:hint="eastAsia" w:ascii="仿宋" w:hAnsi="仿宋" w:eastAsia="仿宋" w:cs="仿宋_GB2312"/>
                <w:sz w:val="24"/>
              </w:rPr>
            </w:pPr>
            <w:r>
              <w:rPr>
                <w:rFonts w:hint="eastAsia" w:ascii="仿宋" w:hAnsi="仿宋" w:eastAsia="仿宋" w:cs="仿宋_GB2312"/>
                <w:sz w:val="24"/>
              </w:rPr>
              <w:t>见投标文件第</w:t>
            </w:r>
          </w:p>
          <w:p>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val="en-US" w:eastAsia="zh-CN"/>
        </w:rPr>
        <w:t>五</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tbl>
      <w:tblPr>
        <w:tblStyle w:val="63"/>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399"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1344"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自评分值</w:t>
            </w:r>
          </w:p>
        </w:tc>
        <w:tc>
          <w:tcPr>
            <w:tcW w:w="1890" w:type="dxa"/>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5399" w:type="dxa"/>
            <w:vAlign w:val="center"/>
          </w:tcPr>
          <w:p>
            <w:pPr>
              <w:spacing w:line="360" w:lineRule="auto"/>
              <w:outlineLvl w:val="0"/>
              <w:rPr>
                <w:rFonts w:ascii="仿宋" w:hAnsi="仿宋" w:eastAsia="仿宋" w:cs="仿宋_GB2312"/>
                <w:sz w:val="24"/>
              </w:rPr>
            </w:pPr>
          </w:p>
        </w:tc>
        <w:tc>
          <w:tcPr>
            <w:tcW w:w="1344" w:type="dxa"/>
          </w:tcPr>
          <w:p/>
          <w:p>
            <w:pPr>
              <w:spacing w:line="360" w:lineRule="auto"/>
              <w:ind w:firstLine="240" w:firstLineChars="10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5399" w:type="dxa"/>
            <w:vAlign w:val="center"/>
          </w:tcPr>
          <w:p>
            <w:pPr>
              <w:spacing w:line="360" w:lineRule="auto"/>
              <w:outlineLvl w:val="0"/>
              <w:rPr>
                <w:rFonts w:ascii="仿宋" w:hAnsi="仿宋" w:eastAsia="仿宋" w:cs="仿宋_GB2312"/>
                <w:sz w:val="24"/>
              </w:rPr>
            </w:pPr>
          </w:p>
        </w:tc>
        <w:tc>
          <w:tcPr>
            <w:tcW w:w="1344" w:type="dxa"/>
          </w:tcPr>
          <w:p/>
          <w:p>
            <w:pPr>
              <w:spacing w:line="360" w:lineRule="auto"/>
              <w:ind w:firstLine="240" w:firstLineChars="100"/>
              <w:outlineLvl w:val="0"/>
              <w:rPr>
                <w:rFonts w:ascii="仿宋" w:hAnsi="仿宋" w:eastAsia="仿宋" w:cs="仿宋_GB2312"/>
                <w:sz w:val="24"/>
              </w:rPr>
            </w:pPr>
          </w:p>
        </w:tc>
        <w:tc>
          <w:tcPr>
            <w:tcW w:w="1890"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5399" w:type="dxa"/>
            <w:vAlign w:val="center"/>
          </w:tcPr>
          <w:p>
            <w:pPr>
              <w:spacing w:line="360" w:lineRule="auto"/>
              <w:outlineLvl w:val="0"/>
              <w:rPr>
                <w:rFonts w:ascii="仿宋" w:hAnsi="仿宋" w:eastAsia="仿宋" w:cs="仿宋_GB2312"/>
                <w:sz w:val="24"/>
              </w:rPr>
            </w:pPr>
          </w:p>
        </w:tc>
        <w:tc>
          <w:tcPr>
            <w:tcW w:w="1344" w:type="dxa"/>
          </w:tcPr>
          <w:p/>
          <w:p>
            <w:pPr>
              <w:spacing w:line="360" w:lineRule="auto"/>
              <w:ind w:firstLine="240" w:firstLineChars="100"/>
              <w:outlineLvl w:val="0"/>
              <w:rPr>
                <w:rFonts w:ascii="仿宋" w:hAnsi="仿宋" w:eastAsia="仿宋" w:cs="仿宋_GB2312"/>
                <w:sz w:val="24"/>
              </w:rPr>
            </w:pPr>
          </w:p>
        </w:tc>
        <w:tc>
          <w:tcPr>
            <w:tcW w:w="1890"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r>
              <w:rPr>
                <w:rFonts w:hint="eastAsia"/>
              </w:rPr>
              <w:t>……</w:t>
            </w:r>
          </w:p>
        </w:tc>
        <w:tc>
          <w:tcPr>
            <w:tcW w:w="5399" w:type="dxa"/>
            <w:vAlign w:val="center"/>
          </w:tcPr>
          <w:p/>
        </w:tc>
        <w:tc>
          <w:tcPr>
            <w:tcW w:w="1344" w:type="dxa"/>
          </w:tcPr>
          <w:p/>
          <w:p/>
        </w:tc>
        <w:tc>
          <w:tcPr>
            <w:tcW w:w="18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5399" w:type="dxa"/>
          </w:tcPr>
          <w:p>
            <w:pPr>
              <w:widowControl/>
              <w:shd w:val="clear" w:color="auto" w:fill="FFFFFF"/>
              <w:adjustRightInd/>
              <w:spacing w:after="225" w:line="315" w:lineRule="atLeast"/>
              <w:ind w:firstLine="420"/>
              <w:jc w:val="left"/>
              <w:rPr>
                <w:rFonts w:ascii="仿宋" w:eastAsia="仿宋"/>
                <w:sz w:val="24"/>
              </w:rPr>
            </w:pPr>
          </w:p>
        </w:tc>
        <w:tc>
          <w:tcPr>
            <w:tcW w:w="1344" w:type="dxa"/>
            <w:vAlign w:val="center"/>
          </w:tcPr>
          <w:p>
            <w:pPr>
              <w:spacing w:line="360" w:lineRule="auto"/>
              <w:ind w:firstLine="120" w:firstLineChars="5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六</w:t>
      </w:r>
      <w:r>
        <w:rPr>
          <w:rFonts w:hint="eastAsia" w:ascii="仿宋_GB2312" w:hAnsi="仿宋" w:eastAsia="仿宋_GB2312" w:cs="仿宋_GB2312"/>
          <w:b/>
          <w:kern w:val="0"/>
          <w:sz w:val="32"/>
          <w:szCs w:val="32"/>
        </w:rPr>
        <w:t>、商务技术偏离表</w:t>
      </w:r>
    </w:p>
    <w:tbl>
      <w:tblPr>
        <w:tblStyle w:val="64"/>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19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9" w:type="dxa"/>
            <w:vAlign w:val="center"/>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195" w:type="dxa"/>
            <w:vAlign w:val="center"/>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320" w:type="dxa"/>
            <w:vAlign w:val="center"/>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bl>
    <w:p>
      <w:pPr>
        <w:jc w:val="left"/>
        <w:rPr>
          <w:rFonts w:hint="eastAsia" w:ascii="仿宋_GB2312" w:hAnsi="仿宋" w:eastAsia="仿宋_GB2312" w:cs="仿宋_GB2312"/>
          <w:kern w:val="0"/>
          <w:sz w:val="24"/>
          <w:lang w:eastAsia="zh-CN"/>
        </w:rPr>
      </w:pPr>
      <w:r>
        <w:rPr>
          <w:rFonts w:hint="eastAsia" w:ascii="仿宋_GB2312" w:hAnsi="仿宋" w:eastAsia="仿宋_GB2312" w:cs="仿宋_GB2312"/>
          <w:kern w:val="0"/>
          <w:sz w:val="24"/>
        </w:rPr>
        <w:t>投标人保证：除商务技术偏离表列出的偏离外，投标人响应招标文件的全部要求</w:t>
      </w:r>
      <w:r>
        <w:rPr>
          <w:rFonts w:hint="eastAsia" w:ascii="仿宋_GB2312" w:hAnsi="仿宋" w:eastAsia="仿宋_GB2312" w:cs="仿宋_GB2312"/>
          <w:kern w:val="0"/>
          <w:sz w:val="24"/>
          <w:lang w:eastAsia="zh-CN"/>
        </w:rPr>
        <w:t>。全部响应的可统一填写“完全响应招标文件条款”即可。</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 xml:space="preserve"> 投标人名称</w:t>
      </w:r>
      <w:r>
        <w:rPr>
          <w:rFonts w:hint="default" w:ascii="仿宋_GB2312" w:hAnsi="仿宋" w:eastAsia="仿宋_GB2312" w:cs="仿宋_GB2312"/>
          <w:kern w:val="0"/>
          <w:sz w:val="24"/>
          <w:lang w:val="zh-CN" w:eastAsia="zh-CN"/>
        </w:rPr>
        <w:t>(公章或电子公章)</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pStyle w:val="62"/>
        <w:rPr>
          <w:rFonts w:ascii="仿宋_GB2312" w:hAnsi="仿宋" w:eastAsia="仿宋_GB2312"/>
          <w:b/>
          <w:bCs/>
          <w:sz w:val="32"/>
          <w:szCs w:val="32"/>
        </w:rPr>
      </w:pPr>
    </w:p>
    <w:p>
      <w:pPr>
        <w:pStyle w:val="24"/>
      </w:pPr>
    </w:p>
    <w:p>
      <w:pPr>
        <w:rPr>
          <w:rFonts w:ascii="仿宋_GB2312" w:hAnsi="仿宋" w:eastAsia="仿宋_GB2312" w:cs="仿宋_GB2312"/>
          <w:b/>
          <w:kern w:val="0"/>
          <w:sz w:val="32"/>
          <w:szCs w:val="32"/>
        </w:rPr>
      </w:pPr>
    </w:p>
    <w:p>
      <w:pPr>
        <w:pStyle w:val="25"/>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七</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bCs w:val="0"/>
          <w:kern w:val="0"/>
          <w:sz w:val="24"/>
          <w:szCs w:val="24"/>
          <w:lang w:val="zh-CN" w:eastAsia="zh-CN"/>
        </w:rPr>
        <w:t>杭州市规划和自然资源局余杭分局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_GB2312" w:eastAsia="仿宋_GB2312" w:cs="仿宋_GB2312"/>
          <w:kern w:val="0"/>
          <w:sz w:val="24"/>
          <w:lang w:val="zh-CN" w:eastAsia="zh-CN"/>
        </w:rPr>
        <w:t>(公章或电子公章)</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hint="eastAsia" w:ascii="仿宋_GB2312" w:hAnsi="仿宋" w:eastAsia="仿宋_GB2312" w:cs="仿宋_GB2312"/>
          <w:b/>
          <w:kern w:val="0"/>
          <w:sz w:val="36"/>
          <w:szCs w:val="36"/>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 xml:space="preserve"> </w:t>
      </w: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28" w:name="_Toc105"/>
      <w:r>
        <w:rPr>
          <w:rFonts w:hint="eastAsia" w:ascii="仿宋_GB2312" w:hAnsi="仿宋_GB2312" w:eastAsia="仿宋_GB2312" w:cs="仿宋_GB2312"/>
          <w:b/>
          <w:bCs/>
          <w:color w:val="000000"/>
          <w:sz w:val="52"/>
          <w:szCs w:val="52"/>
        </w:rPr>
        <w:t>报 价 文 件</w:t>
      </w:r>
      <w:bookmarkEnd w:id="428"/>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29" w:name="_Toc22501"/>
      <w:r>
        <w:rPr>
          <w:rFonts w:hint="eastAsia" w:ascii="仿宋_GB2312" w:hAnsi="仿宋_GB2312" w:eastAsia="仿宋_GB2312" w:cs="仿宋_GB2312"/>
          <w:b/>
          <w:color w:val="000000"/>
          <w:sz w:val="36"/>
          <w:szCs w:val="36"/>
        </w:rPr>
        <w:t>（线上电子招投标）</w:t>
      </w:r>
      <w:bookmarkEnd w:id="429"/>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30" w:name="_Toc13670"/>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lang w:eastAsia="zh-CN"/>
        </w:rPr>
      </w:pPr>
      <w:r>
        <w:rPr>
          <w:rFonts w:hint="eastAsia" w:ascii="仿宋_GB2312" w:hAnsi="仿宋_GB2312" w:eastAsia="仿宋_GB2312" w:cs="仿宋_GB2312"/>
          <w:b/>
          <w:bCs/>
          <w:color w:val="000000"/>
          <w:sz w:val="36"/>
          <w:szCs w:val="36"/>
        </w:rPr>
        <w:t xml:space="preserve">  招标编号：</w:t>
      </w:r>
      <w:bookmarkEnd w:id="430"/>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2</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pStyle w:val="966"/>
        <w:spacing w:line="360" w:lineRule="auto"/>
        <w:rPr>
          <w:rFonts w:hint="eastAsia" w:ascii="仿宋_GB2312" w:hAnsi="仿宋_GB2312" w:eastAsia="仿宋_GB2312" w:cs="仿宋_GB2312"/>
          <w:sz w:val="72"/>
          <w:szCs w:val="72"/>
        </w:rPr>
      </w:pP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年   月   日</w:t>
      </w:r>
    </w:p>
    <w:p>
      <w:pPr>
        <w:pageBreakBefore/>
        <w:shd w:val="clear" w:color="auto" w:fill="FFFFFF"/>
        <w:snapToGrid w:val="0"/>
        <w:spacing w:line="360" w:lineRule="auto"/>
        <w:jc w:val="center"/>
        <w:rPr>
          <w:rFonts w:hint="eastAsia" w:ascii="仿宋_GB2312" w:hAnsi="仿宋_GB2312" w:eastAsia="仿宋_GB2312" w:cs="仿宋_GB2312"/>
          <w:b/>
          <w:bCs/>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杭州市规划和自然资源局余杭分局</w:t>
      </w:r>
      <w:r>
        <w:rPr>
          <w:rFonts w:hint="eastAsia" w:ascii="宋体" w:hAnsi="宋体" w:cs="宋体"/>
          <w:color w:val="000000"/>
          <w:sz w:val="24"/>
        </w:rPr>
        <w:t>、耀华建设管理有限公司：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lang w:eastAsia="zh-CN"/>
        </w:rPr>
        <w:t>YHZFCG202</w:t>
      </w:r>
      <w:r>
        <w:rPr>
          <w:rFonts w:hint="eastAsia" w:ascii="宋体" w:hAnsi="宋体" w:cs="宋体"/>
          <w:color w:val="000000"/>
          <w:sz w:val="24"/>
          <w:u w:val="single"/>
          <w:lang w:val="en-US" w:eastAsia="zh-CN"/>
        </w:rPr>
        <w:t>2</w:t>
      </w:r>
      <w:r>
        <w:rPr>
          <w:rFonts w:hint="eastAsia" w:ascii="宋体" w:hAnsi="宋体" w:cs="宋体"/>
          <w:color w:val="000000"/>
          <w:sz w:val="24"/>
          <w:u w:val="single"/>
          <w:lang w:eastAsia="zh-CN"/>
        </w:rPr>
        <w:t>-</w:t>
      </w:r>
      <w:r>
        <w:rPr>
          <w:rFonts w:hint="eastAsia" w:ascii="宋体" w:hAnsi="宋体" w:cs="宋体"/>
          <w:color w:val="000000"/>
          <w:sz w:val="24"/>
          <w:u w:val="single"/>
          <w:lang w:val="en-US" w:eastAsia="zh-CN"/>
        </w:rPr>
        <w:t xml:space="preserve">      </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lang w:val="en-US" w:eastAsia="zh-CN"/>
        </w:rPr>
        <w:t xml:space="preserve">     （项目名称）         </w:t>
      </w:r>
      <w:r>
        <w:rPr>
          <w:rFonts w:hint="eastAsia" w:ascii="宋体" w:hAnsi="宋体" w:cs="宋体"/>
          <w:color w:val="000000"/>
          <w:kern w:val="0"/>
          <w:sz w:val="24"/>
          <w:lang w:val="zh-CN"/>
        </w:rPr>
        <w:t>。</w:t>
      </w:r>
    </w:p>
    <w:p>
      <w:pPr>
        <w:pStyle w:val="966"/>
        <w:rPr>
          <w:rFonts w:hint="eastAsia"/>
          <w:lang w:val="zh-CN"/>
        </w:rPr>
      </w:pPr>
    </w:p>
    <w:tbl>
      <w:tblPr>
        <w:tblStyle w:val="63"/>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417"/>
        <w:gridCol w:w="288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blHeader/>
          <w:jc w:val="center"/>
        </w:trPr>
        <w:tc>
          <w:tcPr>
            <w:tcW w:w="2036" w:type="dxa"/>
            <w:noWrap w:val="0"/>
            <w:vAlign w:val="center"/>
          </w:tcPr>
          <w:p>
            <w:pPr>
              <w:spacing w:before="0" w:beforeAutospacing="0" w:after="0" w:afterAutospacing="0" w:line="360" w:lineRule="auto"/>
              <w:ind w:left="0" w:right="0"/>
              <w:jc w:val="center"/>
              <w:rPr>
                <w:rFonts w:hint="default" w:ascii="宋体" w:hAnsi="宋体" w:eastAsia="宋体"/>
                <w:b/>
                <w:bCs/>
                <w:color w:val="000000"/>
                <w:sz w:val="24"/>
                <w:lang w:val="en-US" w:eastAsia="zh-CN"/>
              </w:rPr>
            </w:pPr>
            <w:r>
              <w:rPr>
                <w:rFonts w:hint="eastAsia" w:ascii="宋体" w:hAnsi="宋体"/>
                <w:b/>
                <w:bCs/>
                <w:color w:val="000000"/>
                <w:sz w:val="24"/>
                <w:lang w:val="en-US" w:eastAsia="zh-CN"/>
              </w:rPr>
              <w:t>服务内容</w:t>
            </w:r>
          </w:p>
        </w:tc>
        <w:tc>
          <w:tcPr>
            <w:tcW w:w="1417" w:type="dxa"/>
            <w:noWrap w:val="0"/>
            <w:vAlign w:val="center"/>
          </w:tcPr>
          <w:p>
            <w:pPr>
              <w:spacing w:before="0" w:beforeAutospacing="0" w:after="0" w:afterAutospacing="0" w:line="360" w:lineRule="auto"/>
              <w:ind w:left="0" w:right="0"/>
              <w:jc w:val="center"/>
              <w:rPr>
                <w:rFonts w:hint="eastAsia" w:ascii="宋体" w:hAnsi="宋体" w:eastAsia="宋体"/>
                <w:b/>
                <w:bCs/>
                <w:color w:val="000000"/>
                <w:sz w:val="24"/>
                <w:lang w:eastAsia="zh-CN"/>
              </w:rPr>
            </w:pPr>
            <w:r>
              <w:rPr>
                <w:rFonts w:hint="eastAsia" w:ascii="宋体" w:hAnsi="宋体"/>
                <w:b/>
                <w:bCs/>
                <w:color w:val="000000"/>
                <w:sz w:val="24"/>
                <w:lang w:eastAsia="zh-CN"/>
              </w:rPr>
              <w:t>服务期限</w:t>
            </w:r>
          </w:p>
        </w:tc>
        <w:tc>
          <w:tcPr>
            <w:tcW w:w="2881" w:type="dxa"/>
            <w:noWrap w:val="0"/>
            <w:vAlign w:val="center"/>
          </w:tcPr>
          <w:p>
            <w:pPr>
              <w:spacing w:before="0" w:beforeAutospacing="0" w:after="0" w:afterAutospacing="0" w:line="360" w:lineRule="auto"/>
              <w:ind w:left="0" w:right="0"/>
              <w:jc w:val="center"/>
              <w:rPr>
                <w:rFonts w:hint="default" w:ascii="宋体" w:hAnsi="宋体" w:eastAsia="宋体"/>
                <w:b/>
                <w:color w:val="000000"/>
                <w:kern w:val="0"/>
                <w:sz w:val="24"/>
                <w:lang w:val="en-US" w:eastAsia="zh-CN"/>
              </w:rPr>
            </w:pPr>
            <w:r>
              <w:rPr>
                <w:rFonts w:hint="eastAsia" w:ascii="宋体" w:hAnsi="宋体"/>
                <w:b/>
                <w:color w:val="000000"/>
                <w:kern w:val="0"/>
                <w:sz w:val="24"/>
                <w:lang w:val="en-US" w:eastAsia="zh-CN"/>
              </w:rPr>
              <w:t>投标综合单价报价</w:t>
            </w:r>
          </w:p>
        </w:tc>
        <w:tc>
          <w:tcPr>
            <w:tcW w:w="2858" w:type="dxa"/>
            <w:noWrap w:val="0"/>
            <w:vAlign w:val="center"/>
          </w:tcPr>
          <w:p>
            <w:pPr>
              <w:spacing w:before="0" w:beforeAutospacing="0" w:after="0" w:afterAutospacing="0" w:line="360" w:lineRule="auto"/>
              <w:ind w:left="0" w:right="0"/>
              <w:jc w:val="center"/>
              <w:rPr>
                <w:rFonts w:hint="eastAsia" w:ascii="宋体" w:hAnsi="宋体"/>
                <w:b/>
                <w:color w:val="000000"/>
                <w:kern w:val="0"/>
                <w:sz w:val="24"/>
                <w:lang w:val="en-US" w:eastAsia="zh-CN"/>
              </w:rPr>
            </w:pPr>
            <w:r>
              <w:rPr>
                <w:rFonts w:hint="eastAsia" w:ascii="宋体" w:hAnsi="宋体"/>
                <w:b/>
                <w:color w:val="000000"/>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4" w:hRule="atLeast"/>
          <w:jc w:val="center"/>
        </w:trPr>
        <w:tc>
          <w:tcPr>
            <w:tcW w:w="2036" w:type="dxa"/>
            <w:noWrap w:val="0"/>
            <w:vAlign w:val="center"/>
          </w:tcPr>
          <w:p>
            <w:pPr>
              <w:snapToGrid w:val="0"/>
              <w:spacing w:before="0" w:beforeAutospacing="0" w:after="0" w:afterAutospacing="0"/>
              <w:ind w:left="0" w:right="0"/>
              <w:jc w:val="center"/>
              <w:rPr>
                <w:rFonts w:hint="eastAsia" w:ascii="宋体" w:hAnsi="宋体" w:eastAsia="宋体" w:cs="宋体"/>
                <w:color w:val="000000"/>
                <w:sz w:val="24"/>
                <w:lang w:val="en-GB"/>
              </w:rPr>
            </w:pPr>
            <w:r>
              <w:rPr>
                <w:rFonts w:hint="eastAsia" w:ascii="宋体" w:hAnsi="宋体" w:eastAsia="宋体" w:cs="宋体"/>
                <w:color w:val="000000"/>
                <w:sz w:val="24"/>
                <w:lang w:val="en-GB" w:eastAsia="zh-CN"/>
              </w:rPr>
              <w:t>不动产登记档案整理扫描</w:t>
            </w:r>
          </w:p>
        </w:tc>
        <w:tc>
          <w:tcPr>
            <w:tcW w:w="1417" w:type="dxa"/>
            <w:noWrap w:val="0"/>
            <w:vAlign w:val="center"/>
          </w:tcPr>
          <w:p>
            <w:pPr>
              <w:spacing w:before="0" w:beforeAutospacing="0" w:after="0" w:afterAutospacing="0" w:line="360" w:lineRule="auto"/>
              <w:ind w:left="0" w:right="0"/>
              <w:jc w:val="center"/>
              <w:rPr>
                <w:rFonts w:hint="eastAsia" w:ascii="宋体" w:hAnsi="宋体" w:eastAsia="宋体"/>
                <w:color w:val="000000"/>
                <w:sz w:val="24"/>
                <w:lang w:eastAsia="zh-CN"/>
              </w:rPr>
            </w:pPr>
            <w:r>
              <w:rPr>
                <w:rFonts w:hint="eastAsia" w:ascii="宋体" w:hAnsi="宋体"/>
                <w:color w:val="000000"/>
                <w:sz w:val="24"/>
              </w:rPr>
              <w:t>响应招标文件要求</w:t>
            </w:r>
            <w:r>
              <w:rPr>
                <w:rFonts w:hint="eastAsia" w:ascii="宋体" w:hAnsi="宋体"/>
                <w:color w:val="000000"/>
                <w:sz w:val="24"/>
                <w:lang w:eastAsia="zh-CN"/>
              </w:rPr>
              <w:t>；</w:t>
            </w:r>
          </w:p>
        </w:tc>
        <w:tc>
          <w:tcPr>
            <w:tcW w:w="2881" w:type="dxa"/>
            <w:noWrap w:val="0"/>
            <w:vAlign w:val="center"/>
          </w:tcPr>
          <w:p>
            <w:pPr>
              <w:spacing w:before="0" w:beforeAutospacing="0" w:after="0" w:afterAutospacing="0" w:line="360" w:lineRule="auto"/>
              <w:ind w:left="0" w:right="0"/>
              <w:jc w:val="center"/>
              <w:rPr>
                <w:rFonts w:hint="eastAsia" w:ascii="宋体" w:hAnsi="宋体"/>
                <w:b w:val="0"/>
                <w:bCs w:val="0"/>
                <w:color w:val="000000"/>
                <w:sz w:val="24"/>
                <w:lang w:val="en-US" w:eastAsia="zh-CN"/>
              </w:rPr>
            </w:pPr>
            <w:r>
              <w:rPr>
                <w:rFonts w:hint="eastAsia" w:ascii="宋体" w:hAnsi="宋体"/>
                <w:color w:val="000000"/>
                <w:sz w:val="24"/>
              </w:rPr>
              <w:t>小</w:t>
            </w:r>
            <w:r>
              <w:rPr>
                <w:rFonts w:hint="eastAsia" w:ascii="宋体" w:hAnsi="宋体"/>
                <w:b w:val="0"/>
                <w:bCs w:val="0"/>
                <w:color w:val="000000"/>
                <w:sz w:val="24"/>
              </w:rPr>
              <w:t>写：</w:t>
            </w:r>
            <w:r>
              <w:rPr>
                <w:rFonts w:hint="eastAsia" w:ascii="宋体" w:hAnsi="宋体"/>
                <w:b w:val="0"/>
                <w:bCs w:val="0"/>
                <w:color w:val="000000"/>
                <w:sz w:val="24"/>
                <w:u w:val="single"/>
                <w:lang w:val="en-US" w:eastAsia="zh-CN"/>
              </w:rPr>
              <w:t xml:space="preserve">          </w:t>
            </w:r>
            <w:r>
              <w:rPr>
                <w:rFonts w:hint="eastAsia" w:ascii="宋体" w:hAnsi="宋体"/>
                <w:b w:val="0"/>
                <w:bCs w:val="0"/>
                <w:color w:val="000000"/>
                <w:sz w:val="24"/>
                <w:lang w:val="en-US" w:eastAsia="zh-CN"/>
              </w:rPr>
              <w:t>元/</w:t>
            </w:r>
            <w:r>
              <w:rPr>
                <w:rFonts w:hint="eastAsia" w:ascii="宋体" w:hAnsi="宋体"/>
                <w:b w:val="0"/>
                <w:bCs w:val="0"/>
                <w:color w:val="000000"/>
                <w:sz w:val="24"/>
                <w:lang w:eastAsia="zh-CN"/>
              </w:rPr>
              <w:t>页</w:t>
            </w:r>
            <w:r>
              <w:rPr>
                <w:rFonts w:hint="eastAsia" w:ascii="宋体" w:hAnsi="宋体"/>
                <w:b w:val="0"/>
                <w:bCs w:val="0"/>
                <w:color w:val="000000"/>
                <w:sz w:val="24"/>
                <w:lang w:val="en-US" w:eastAsia="zh-CN"/>
              </w:rPr>
              <w:t>；</w:t>
            </w:r>
          </w:p>
          <w:p>
            <w:pPr>
              <w:spacing w:before="0" w:beforeAutospacing="0" w:after="0" w:afterAutospacing="0" w:line="360" w:lineRule="auto"/>
              <w:ind w:left="0" w:right="0"/>
              <w:jc w:val="center"/>
              <w:rPr>
                <w:rFonts w:hint="eastAsia" w:ascii="宋体" w:hAnsi="宋体"/>
                <w:color w:val="000000"/>
                <w:sz w:val="24"/>
                <w:lang w:val="en-US" w:eastAsia="zh-CN"/>
              </w:rPr>
            </w:pPr>
            <w:r>
              <w:rPr>
                <w:rFonts w:hint="eastAsia" w:ascii="宋体" w:hAnsi="宋体"/>
                <w:b w:val="0"/>
                <w:bCs w:val="0"/>
                <w:color w:val="000000"/>
                <w:sz w:val="24"/>
                <w:lang w:val="en-US" w:eastAsia="zh-CN"/>
              </w:rPr>
              <w:t>大</w:t>
            </w:r>
            <w:r>
              <w:rPr>
                <w:rFonts w:hint="eastAsia" w:ascii="宋体" w:hAnsi="宋体"/>
                <w:b w:val="0"/>
                <w:bCs w:val="0"/>
                <w:color w:val="000000"/>
                <w:sz w:val="24"/>
              </w:rPr>
              <w:t>写：</w:t>
            </w:r>
            <w:r>
              <w:rPr>
                <w:rFonts w:hint="eastAsia" w:ascii="宋体" w:hAnsi="宋体"/>
                <w:b w:val="0"/>
                <w:bCs w:val="0"/>
                <w:color w:val="000000"/>
                <w:sz w:val="24"/>
                <w:u w:val="single"/>
                <w:lang w:val="en-US" w:eastAsia="zh-CN"/>
              </w:rPr>
              <w:t xml:space="preserve">          </w:t>
            </w:r>
            <w:r>
              <w:rPr>
                <w:rFonts w:hint="eastAsia" w:ascii="宋体" w:hAnsi="宋体"/>
                <w:b w:val="0"/>
                <w:bCs w:val="0"/>
                <w:color w:val="000000"/>
                <w:sz w:val="24"/>
                <w:lang w:val="en-US" w:eastAsia="zh-CN"/>
              </w:rPr>
              <w:t>元/</w:t>
            </w:r>
            <w:r>
              <w:rPr>
                <w:rFonts w:hint="eastAsia" w:ascii="宋体" w:hAnsi="宋体"/>
                <w:b w:val="0"/>
                <w:bCs w:val="0"/>
                <w:color w:val="000000"/>
                <w:sz w:val="24"/>
                <w:lang w:eastAsia="zh-CN"/>
              </w:rPr>
              <w:t>页</w:t>
            </w:r>
            <w:r>
              <w:rPr>
                <w:rFonts w:hint="eastAsia" w:ascii="宋体" w:hAnsi="宋体"/>
                <w:b w:val="0"/>
                <w:bCs w:val="0"/>
                <w:color w:val="000000"/>
                <w:sz w:val="24"/>
                <w:lang w:val="en-US" w:eastAsia="zh-CN"/>
              </w:rPr>
              <w:t>；</w:t>
            </w:r>
          </w:p>
        </w:tc>
        <w:tc>
          <w:tcPr>
            <w:tcW w:w="2858" w:type="dxa"/>
            <w:noWrap w:val="0"/>
            <w:vAlign w:val="center"/>
          </w:tcPr>
          <w:p>
            <w:pPr>
              <w:autoSpaceDE w:val="0"/>
              <w:spacing w:line="360" w:lineRule="auto"/>
              <w:rPr>
                <w:rFonts w:hint="default" w:ascii="宋体" w:hAnsi="宋体"/>
                <w:color w:val="000000"/>
                <w:sz w:val="24"/>
                <w:lang w:val="en-US" w:eastAsia="zh-CN"/>
              </w:rPr>
            </w:pPr>
            <w:r>
              <w:rPr>
                <w:rFonts w:hint="eastAsia" w:ascii="宋体" w:hAnsi="宋体" w:eastAsia="宋体" w:cs="宋体"/>
                <w:sz w:val="21"/>
                <w:szCs w:val="21"/>
                <w:highlight w:val="none"/>
              </w:rPr>
              <w:t>2021年4月9日之前的库存档案</w:t>
            </w:r>
            <w:r>
              <w:rPr>
                <w:rFonts w:hint="eastAsia" w:ascii="宋体" w:hAnsi="宋体" w:cs="宋体"/>
                <w:sz w:val="21"/>
                <w:szCs w:val="21"/>
                <w:highlight w:val="none"/>
                <w:lang w:eastAsia="zh-CN"/>
              </w:rPr>
              <w:t>约</w:t>
            </w:r>
            <w:r>
              <w:rPr>
                <w:rFonts w:hint="eastAsia" w:ascii="宋体" w:hAnsi="宋体" w:eastAsia="宋体" w:cs="宋体"/>
                <w:sz w:val="21"/>
                <w:szCs w:val="21"/>
                <w:highlight w:val="none"/>
              </w:rPr>
              <w:t>560万页、2021年4月9日至2021年12月31日新产生档案</w:t>
            </w:r>
            <w:r>
              <w:rPr>
                <w:rFonts w:hint="eastAsia" w:ascii="宋体" w:hAnsi="宋体" w:cs="宋体"/>
                <w:sz w:val="21"/>
                <w:szCs w:val="21"/>
                <w:highlight w:val="none"/>
                <w:lang w:val="en-US" w:eastAsia="zh-CN"/>
              </w:rPr>
              <w:t>约</w:t>
            </w:r>
            <w:r>
              <w:rPr>
                <w:rFonts w:hint="eastAsia" w:ascii="宋体" w:hAnsi="宋体" w:eastAsia="宋体" w:cs="宋体"/>
                <w:sz w:val="21"/>
                <w:szCs w:val="21"/>
                <w:highlight w:val="none"/>
              </w:rPr>
              <w:t>710万页</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签订合同时以综合单价乘以数量进行合同价款测算，结算价按招标文件约定内容进行结算。</w:t>
            </w:r>
          </w:p>
        </w:tc>
      </w:tr>
    </w:tbl>
    <w:p>
      <w:pPr>
        <w:shd w:val="clear" w:color="auto" w:fill="FFFFFF"/>
        <w:snapToGrid w:val="0"/>
        <w:spacing w:line="360" w:lineRule="auto"/>
        <w:ind w:firstLine="0" w:firstLineChars="0"/>
        <w:rPr>
          <w:rFonts w:hint="eastAsia" w:ascii="宋体" w:hAnsi="宋体" w:cs="宋体"/>
          <w:b/>
          <w:bCs/>
          <w:color w:val="000000"/>
          <w:kern w:val="0"/>
          <w:sz w:val="24"/>
          <w:lang w:val="zh-CN"/>
        </w:rPr>
      </w:pPr>
    </w:p>
    <w:p>
      <w:pPr>
        <w:widowControl w:val="0"/>
        <w:shd w:val="clear" w:color="auto" w:fill="FFFFFF"/>
        <w:wordWrap/>
        <w:adjustRightInd/>
        <w:snapToGrid/>
        <w:spacing w:line="360" w:lineRule="auto"/>
        <w:ind w:firstLine="480"/>
        <w:textAlignment w:val="auto"/>
        <w:rPr>
          <w:rFonts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widowControl w:val="0"/>
        <w:shd w:val="clear" w:color="auto" w:fill="FFFFFF"/>
        <w:wordWrap/>
        <w:adjustRightInd/>
        <w:snapToGrid/>
        <w:spacing w:line="360" w:lineRule="auto"/>
        <w:ind w:firstLine="480"/>
        <w:textAlignment w:val="auto"/>
        <w:rPr>
          <w:rFonts w:hint="eastAsia"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1</w:t>
      </w:r>
      <w:r>
        <w:rPr>
          <w:rFonts w:hint="eastAsia" w:ascii="宋体" w:hAnsi="宋体" w:cs="宋体"/>
          <w:color w:val="000000"/>
          <w:kern w:val="0"/>
          <w:sz w:val="24"/>
          <w:lang w:val="zh-CN"/>
        </w:rPr>
        <w:t>）我方要约有效期为自投标截止之日起90天；</w:t>
      </w:r>
    </w:p>
    <w:p>
      <w:pPr>
        <w:widowControl w:val="0"/>
        <w:shd w:val="clear" w:color="auto" w:fill="FFFFFF"/>
        <w:wordWrap/>
        <w:adjustRightInd/>
        <w:snapToGrid/>
        <w:spacing w:line="360" w:lineRule="auto"/>
        <w:ind w:firstLine="480"/>
        <w:textAlignment w:val="auto"/>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大写总价与小写总价不一致，以大写总价为准。</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cs="宋体"/>
          <w:color w:val="000000"/>
          <w:kern w:val="0"/>
          <w:sz w:val="24"/>
        </w:rPr>
        <w:t>漏报的视同已包含在投标总价内，有重大缺项的将作无效标处理。</w:t>
      </w:r>
    </w:p>
    <w:p>
      <w:pPr>
        <w:widowControl w:val="0"/>
        <w:wordWrap/>
        <w:adjustRightInd/>
        <w:snapToGrid/>
        <w:spacing w:line="360" w:lineRule="auto"/>
        <w:ind w:firstLine="480" w:firstLineChars="200"/>
        <w:textAlignment w:val="auto"/>
        <w:rPr>
          <w:rFonts w:hint="eastAsia" w:ascii="宋体" w:hAnsi="宋体" w:eastAsia="宋体" w:cs="宋体"/>
          <w:b/>
          <w:bCs/>
          <w:color w:val="000000"/>
          <w:sz w:val="24"/>
          <w:highlight w:val="none"/>
          <w:lang w:val="en-US" w:eastAsia="zh-CN"/>
        </w:rPr>
      </w:pPr>
      <w:r>
        <w:rPr>
          <w:rFonts w:hint="eastAsia" w:ascii="宋体" w:hAnsi="宋体" w:cs="宋体"/>
          <w:b w:val="0"/>
          <w:bCs w:val="0"/>
          <w:sz w:val="24"/>
          <w:highlight w:val="none"/>
          <w:lang w:val="en-US" w:eastAsia="zh-CN"/>
        </w:rPr>
        <w:t>（4）</w:t>
      </w:r>
      <w:r>
        <w:rPr>
          <w:rFonts w:hint="eastAsia" w:ascii="宋体" w:hAnsi="宋体" w:cs="宋体"/>
          <w:b/>
          <w:bCs/>
          <w:sz w:val="24"/>
          <w:highlight w:val="none"/>
          <w:lang w:val="en-US" w:eastAsia="zh-CN"/>
        </w:rPr>
        <w:t>综合单价最高限价为0.47元/页</w:t>
      </w:r>
      <w:r>
        <w:rPr>
          <w:rFonts w:hint="eastAsia" w:ascii="宋体" w:hAnsi="宋体" w:cs="宋体"/>
          <w:b/>
          <w:bCs/>
          <w:color w:val="000000"/>
          <w:sz w:val="24"/>
          <w:highlight w:val="none"/>
          <w:lang w:val="en-US" w:eastAsia="zh-CN"/>
        </w:rPr>
        <w:t>，</w:t>
      </w:r>
      <w:r>
        <w:rPr>
          <w:rFonts w:hint="eastAsia" w:ascii="宋体" w:hAnsi="宋体" w:cs="宋体"/>
          <w:b/>
          <w:bCs/>
          <w:color w:val="000000"/>
          <w:kern w:val="2"/>
          <w:sz w:val="24"/>
          <w:szCs w:val="24"/>
        </w:rPr>
        <w:t>投标人针对本项目的投标报价不得超过</w:t>
      </w:r>
      <w:r>
        <w:rPr>
          <w:rFonts w:hint="eastAsia" w:ascii="宋体" w:hAnsi="宋体" w:cs="宋体"/>
          <w:b/>
          <w:bCs/>
          <w:color w:val="000000"/>
          <w:kern w:val="2"/>
          <w:sz w:val="24"/>
          <w:szCs w:val="24"/>
          <w:lang w:val="en-US" w:eastAsia="zh-CN"/>
        </w:rPr>
        <w:t>单价最高限价</w:t>
      </w:r>
      <w:r>
        <w:rPr>
          <w:rFonts w:hint="eastAsia" w:ascii="宋体" w:hAnsi="宋体" w:cs="宋体"/>
          <w:b/>
          <w:bCs/>
          <w:color w:val="000000"/>
          <w:kern w:val="2"/>
          <w:sz w:val="24"/>
          <w:szCs w:val="24"/>
        </w:rPr>
        <w:t>，否则其投标无效。</w:t>
      </w:r>
    </w:p>
    <w:p>
      <w:pPr>
        <w:pStyle w:val="62"/>
        <w:spacing w:line="360" w:lineRule="auto"/>
        <w:ind w:left="0" w:leftChars="0" w:firstLine="0" w:firstLineChars="0"/>
        <w:rPr>
          <w:rFonts w:hint="eastAsia" w:ascii="宋体" w:hAnsi="宋体" w:cs="宋体"/>
          <w:color w:val="000000"/>
          <w:kern w:val="0"/>
          <w:sz w:val="24"/>
          <w:lang w:val="zh-CN"/>
        </w:rPr>
      </w:pPr>
    </w:p>
    <w:p>
      <w:pPr>
        <w:pStyle w:val="24"/>
        <w:rPr>
          <w:rFonts w:hint="eastAsia" w:ascii="宋体" w:hAnsi="宋体" w:cs="宋体"/>
          <w:color w:val="000000"/>
          <w:kern w:val="0"/>
          <w:sz w:val="24"/>
          <w:lang w:val="zh-CN"/>
        </w:rPr>
      </w:pPr>
    </w:p>
    <w:p>
      <w:pPr>
        <w:rPr>
          <w:rFonts w:hint="eastAsia"/>
          <w:lang w:val="zh-CN"/>
        </w:rPr>
      </w:pPr>
    </w:p>
    <w:p>
      <w:pPr>
        <w:shd w:val="clear" w:color="auto" w:fill="FFFFFF"/>
        <w:snapToGrid w:val="0"/>
        <w:spacing w:line="360" w:lineRule="auto"/>
        <w:ind w:firstLine="360" w:firstLineChars="150"/>
        <w:rPr>
          <w:rFonts w:hint="default" w:ascii="宋体" w:hAnsi="宋体" w:eastAsia="宋体" w:cs="宋体"/>
          <w:color w:val="000000"/>
          <w:kern w:val="0"/>
          <w:sz w:val="24"/>
          <w:u w:val="single"/>
          <w:lang w:val="en-US" w:eastAsia="zh-CN"/>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lang w:val="en-US" w:eastAsia="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sz w:val="24"/>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日  </w:t>
      </w: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31" w:name="_Toc465665161"/>
      <w:r>
        <w:rPr>
          <w:rFonts w:hint="eastAsia" w:ascii="仿宋_GB2312" w:hAnsi="仿宋" w:eastAsia="仿宋_GB2312"/>
        </w:rPr>
        <w:t>附件</w:t>
      </w:r>
      <w:bookmarkEnd w:id="43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32" w:name="OLE_LINK14"/>
      <w:bookmarkStart w:id="433" w:name="OLE_LINK13"/>
      <w:r>
        <w:rPr>
          <w:rFonts w:hint="eastAsia" w:ascii="仿宋_GB2312" w:hAnsi="仿宋" w:eastAsia="仿宋_GB2312"/>
          <w:b/>
          <w:spacing w:val="6"/>
          <w:sz w:val="32"/>
          <w:szCs w:val="32"/>
        </w:rPr>
        <w:t>残疾人福利性单位声明函</w:t>
      </w:r>
    </w:p>
    <w:bookmarkEnd w:id="432"/>
    <w:bookmarkEnd w:id="43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w:t>
      </w:r>
      <w:r>
        <w:rPr>
          <w:rFonts w:hint="eastAsia" w:ascii="仿宋_GB2312" w:hAnsi="仿宋" w:eastAsia="仿宋_GB2312"/>
          <w:sz w:val="24"/>
          <w:lang w:eastAsia="zh-CN"/>
        </w:rPr>
        <w:t>项目</w:t>
      </w:r>
      <w:r>
        <w:rPr>
          <w:rFonts w:hint="eastAsia" w:ascii="仿宋_GB2312" w:hAnsi="仿宋" w:eastAsia="仿宋_GB2312"/>
          <w:sz w:val="24"/>
        </w:rPr>
        <w:t>：</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hint="eastAsia"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lang w:eastAsia="zh-CN"/>
        </w:rPr>
        <w:t>不动产登记档案整理扫描</w:t>
      </w:r>
      <w:r>
        <w:rPr>
          <w:rFonts w:hint="eastAsia" w:ascii="仿宋" w:hAnsi="仿宋" w:eastAsia="仿宋" w:cs="仿宋_GB2312"/>
          <w:sz w:val="24"/>
        </w:rPr>
        <w:t>【招标编号：（</w:t>
      </w:r>
      <w:r>
        <w:rPr>
          <w:rFonts w:hint="eastAsia" w:ascii="仿宋" w:hAnsi="仿宋" w:eastAsia="仿宋" w:cs="仿宋_GB2312"/>
          <w:sz w:val="24"/>
          <w:lang w:eastAsia="zh-CN"/>
        </w:rPr>
        <w:t>YHZFCG2022-083</w:t>
      </w:r>
      <w:r>
        <w:rPr>
          <w:rFonts w:hint="eastAsia" w:ascii="仿宋" w:hAnsi="仿宋" w:eastAsia="仿宋" w:cs="仿宋_GB2312"/>
          <w:sz w:val="24"/>
        </w:rPr>
        <w:t>）</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233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4144;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3120;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w:t>
      </w:r>
      <w:r>
        <w:rPr>
          <w:rFonts w:hint="eastAsia" w:ascii="仿宋_GB2312" w:hAnsi="宋体" w:eastAsia="仿宋_GB2312"/>
          <w:sz w:val="24"/>
          <w:lang w:val="en-US" w:eastAsia="zh-CN"/>
        </w:rPr>
        <w:t xml:space="preserve"> </w:t>
      </w:r>
      <w:r>
        <w:rPr>
          <w:rFonts w:hint="eastAsia" w:ascii="仿宋_GB2312" w:hAnsi="宋体" w:eastAsia="仿宋_GB2312"/>
          <w:sz w:val="24"/>
        </w:rPr>
        <w:t>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号）的规定，本公司参加</w:t>
      </w:r>
      <w:r>
        <w:rPr>
          <w:rFonts w:ascii="仿宋_GB2312" w:hAnsi="宋体" w:eastAsia="仿宋_GB2312"/>
          <w:b/>
          <w:bCs/>
          <w:sz w:val="24"/>
          <w:u w:val="single"/>
        </w:rPr>
        <w:t xml:space="preserve"> </w:t>
      </w:r>
      <w:r>
        <w:rPr>
          <w:rFonts w:hint="eastAsia" w:ascii="仿宋_GB2312" w:hAnsi="宋体" w:eastAsia="仿宋_GB2312"/>
          <w:b/>
          <w:bCs/>
          <w:sz w:val="24"/>
          <w:u w:val="single"/>
        </w:rPr>
        <w:t>（单位名称）</w:t>
      </w:r>
      <w:r>
        <w:rPr>
          <w:rFonts w:ascii="仿宋_GB2312" w:hAnsi="宋体" w:eastAsia="仿宋_GB2312"/>
          <w:sz w:val="24"/>
          <w:u w:val="single"/>
        </w:rPr>
        <w:t xml:space="preserve"> </w:t>
      </w:r>
      <w:r>
        <w:rPr>
          <w:rFonts w:hint="eastAsia" w:ascii="仿宋_GB2312" w:hAnsi="宋体" w:eastAsia="仿宋_GB2312"/>
          <w:sz w:val="24"/>
        </w:rPr>
        <w:t>的</w:t>
      </w:r>
      <w:r>
        <w:rPr>
          <w:rFonts w:ascii="仿宋_GB2312" w:hAnsi="宋体" w:eastAsia="仿宋_GB2312"/>
          <w:sz w:val="24"/>
          <w:u w:val="single"/>
        </w:rPr>
        <w:t xml:space="preserve"> </w:t>
      </w:r>
      <w:r>
        <w:rPr>
          <w:rFonts w:hint="eastAsia" w:ascii="仿宋_GB2312" w:hAnsi="宋体" w:eastAsia="仿宋_GB2312"/>
          <w:b/>
          <w:bCs/>
          <w:sz w:val="24"/>
          <w:u w:val="single"/>
        </w:rPr>
        <w:t>（</w:t>
      </w:r>
      <w:r>
        <w:rPr>
          <w:rFonts w:hint="eastAsia" w:ascii="仿宋_GB2312" w:hAnsi="宋体" w:eastAsia="仿宋_GB2312"/>
          <w:b/>
          <w:bCs/>
          <w:sz w:val="24"/>
          <w:u w:val="single"/>
          <w:lang w:val="en-US" w:eastAsia="zh-CN"/>
        </w:rPr>
        <w:t>项目名称</w:t>
      </w:r>
      <w:r>
        <w:rPr>
          <w:rFonts w:hint="eastAsia" w:ascii="仿宋_GB2312" w:hAnsi="宋体" w:eastAsia="仿宋_GB2312"/>
          <w:b/>
          <w:bCs/>
          <w:sz w:val="24"/>
          <w:u w:val="single"/>
        </w:rPr>
        <w:t>）</w:t>
      </w:r>
      <w:r>
        <w:rPr>
          <w:rFonts w:ascii="仿宋_GB2312" w:hAnsi="宋体" w:eastAsia="仿宋_GB2312"/>
          <w:b/>
          <w:bCs/>
          <w:sz w:val="24"/>
          <w:u w:val="single"/>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hint="default" w:ascii="仿宋_GB2312" w:hAnsi="宋体" w:eastAsia="仿宋_GB2312"/>
          <w:sz w:val="24"/>
          <w:lang w:val="en-US" w:eastAsia="zh-CN"/>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w:t>
      </w:r>
      <w:r>
        <w:rPr>
          <w:rFonts w:ascii="仿宋_GB2312" w:hAnsi="宋体" w:eastAsia="仿宋_GB2312"/>
          <w:sz w:val="24"/>
          <w:u w:val="single"/>
        </w:rPr>
        <w:sym w:font="Wingdings" w:char="00A8"/>
      </w:r>
      <w:r>
        <w:rPr>
          <w:rFonts w:ascii="仿宋_GB2312" w:hAnsi="宋体" w:eastAsia="仿宋_GB2312"/>
          <w:sz w:val="24"/>
          <w:u w:val="single"/>
        </w:rPr>
        <w:t xml:space="preserve">中型企业、 </w:t>
      </w:r>
      <w:r>
        <w:rPr>
          <w:rFonts w:ascii="仿宋_GB2312" w:hAnsi="宋体" w:eastAsia="仿宋_GB2312"/>
          <w:sz w:val="24"/>
          <w:u w:val="single"/>
        </w:rPr>
        <w:sym w:font="Wingdings" w:char="00A8"/>
      </w:r>
      <w:r>
        <w:rPr>
          <w:rFonts w:ascii="仿宋_GB2312" w:hAnsi="宋体" w:eastAsia="仿宋_GB2312"/>
          <w:sz w:val="24"/>
          <w:u w:val="single"/>
        </w:rPr>
        <w:t xml:space="preserve">小型企业、 </w:t>
      </w:r>
      <w:r>
        <w:rPr>
          <w:rFonts w:ascii="仿宋_GB2312" w:hAnsi="宋体" w:eastAsia="仿宋_GB2312"/>
          <w:sz w:val="24"/>
          <w:u w:val="single"/>
        </w:rPr>
        <w:sym w:font="Wingdings" w:char="00A8"/>
      </w:r>
      <w:r>
        <w:rPr>
          <w:rFonts w:ascii="仿宋_GB2312" w:hAnsi="宋体" w:eastAsia="仿宋_GB2312"/>
          <w:sz w:val="24"/>
          <w:u w:val="single"/>
        </w:rPr>
        <w:t xml:space="preserve">微型企业 </w:t>
      </w:r>
      <w:r>
        <w:rPr>
          <w:rFonts w:hint="eastAsia" w:ascii="仿宋_GB2312" w:hAnsi="宋体" w:eastAsia="仿宋_GB2312"/>
          <w:sz w:val="24"/>
          <w:u w:val="single"/>
          <w:lang w:eastAsia="zh-CN"/>
        </w:rPr>
        <w:t>（</w:t>
      </w:r>
      <w:r>
        <w:rPr>
          <w:rFonts w:hint="eastAsia" w:ascii="仿宋_GB2312" w:hAnsi="宋体" w:eastAsia="仿宋_GB2312"/>
          <w:sz w:val="24"/>
          <w:lang w:val="en-US" w:eastAsia="zh-CN"/>
        </w:rPr>
        <w:t>请相应进行勾选）。</w:t>
      </w:r>
    </w:p>
    <w:p>
      <w:pPr>
        <w:spacing w:line="360" w:lineRule="auto"/>
        <w:ind w:firstLine="480" w:firstLineChars="200"/>
        <w:jc w:val="left"/>
        <w:rPr>
          <w:rFonts w:hint="eastAsia" w:ascii="仿宋_GB2312" w:hAnsi="宋体" w:eastAsia="仿宋_GB2312"/>
          <w:sz w:val="24"/>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hint="eastAsia" w:ascii="仿宋_GB2312" w:hAnsi="仿宋" w:eastAsia="仿宋_GB2312" w:cs="仿宋_GB2312"/>
          <w:sz w:val="24"/>
        </w:rPr>
      </w:pP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仿宋_GB2312" w:hAnsi="仿宋" w:eastAsia="仿宋_GB2312" w:cs="仿宋_GB2312"/>
          <w:sz w:val="24"/>
        </w:rPr>
      </w:pPr>
    </w:p>
    <w:p>
      <w:pPr>
        <w:rPr>
          <w:rFonts w:ascii="仿宋_GB2312" w:hAnsi="仿宋" w:eastAsia="仿宋_GB2312" w:cs="仿宋_GB2312"/>
          <w:sz w:val="24"/>
        </w:rPr>
      </w:pPr>
    </w:p>
    <w:p>
      <w:pPr>
        <w:pStyle w:val="2"/>
        <w:rPr>
          <w:rFonts w:ascii="仿宋_GB2312" w:hAnsi="仿宋" w:eastAsia="仿宋_GB2312" w:cs="仿宋_GB2312"/>
          <w:sz w:val="24"/>
        </w:rPr>
      </w:pPr>
    </w:p>
    <w:p>
      <w:p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pP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32"/>
                <w:szCs w:val="32"/>
              </w:rPr>
            </w:pPr>
            <w:r>
              <w:rPr>
                <w:rFonts w:hint="eastAsia" w:ascii="仿宋" w:hAnsi="仿宋" w:eastAsia="仿宋" w:cs="仿宋"/>
                <w:b/>
                <w:kern w:val="0"/>
                <w:sz w:val="32"/>
                <w:szCs w:val="32"/>
                <w:lang w:bidi="ar"/>
              </w:rPr>
              <w:t>中小微行业划型标准规定</w:t>
            </w:r>
            <w:r>
              <w:rPr>
                <w:rFonts w:hint="eastAsia" w:ascii="仿宋" w:hAnsi="仿宋" w:eastAsia="仿宋" w:cs="仿宋"/>
                <w:b/>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sz w:val="24"/>
              </w:rPr>
            </w:pPr>
            <w:r>
              <w:rPr>
                <w:rFonts w:hint="eastAsia" w:ascii="仿宋" w:hAnsi="仿宋" w:eastAsia="仿宋" w:cs="仿宋"/>
                <w:b/>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2"/>
        <w:rPr>
          <w:rFonts w:hint="eastAsia" w:ascii="仿宋" w:hAnsi="仿宋" w:eastAsia="仿宋" w:cs="仿宋"/>
        </w:rPr>
        <w:sectPr>
          <w:pgSz w:w="16838" w:h="11906" w:orient="landscape"/>
          <w:pgMar w:top="1418" w:right="1276" w:bottom="1418" w:left="1247" w:header="851" w:footer="992" w:gutter="0"/>
          <w:pgNumType w:fmt="decimal"/>
          <w:cols w:space="720" w:num="1"/>
          <w:titlePg/>
          <w:docGrid w:linePitch="312" w:charSpace="0"/>
        </w:sectPr>
      </w:pPr>
    </w:p>
    <w:p>
      <w:pPr>
        <w:rPr>
          <w:rFonts w:hint="eastAsia" w:ascii="仿宋" w:hAnsi="仿宋" w:eastAsia="仿宋" w:cs="仿宋"/>
        </w:rPr>
      </w:pPr>
    </w:p>
    <w:p>
      <w:pPr>
        <w:jc w:val="both"/>
        <w:rPr>
          <w:rFonts w:hint="eastAsia" w:ascii="仿宋" w:hAnsi="仿宋" w:eastAsia="仿宋" w:cs="仿宋"/>
          <w:b/>
          <w:sz w:val="48"/>
          <w:szCs w:val="48"/>
        </w:rPr>
      </w:pPr>
      <w:r>
        <w:rPr>
          <w:rFonts w:hint="eastAsia" w:ascii="仿宋" w:hAnsi="仿宋" w:eastAsia="仿宋" w:cs="仿宋"/>
          <w:sz w:val="30"/>
          <w:szCs w:val="30"/>
          <w:u w:val="none"/>
          <w:lang w:val="en-US" w:eastAsia="zh-CN"/>
        </w:rPr>
        <w:t>附件（中标后提供）：</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承 诺 书</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u w:val="single"/>
          <w:lang w:val="en-US" w:eastAsia="zh-CN"/>
        </w:rPr>
        <w:t xml:space="preserve">耀华建设管理有限公司 </w:t>
      </w:r>
      <w:r>
        <w:rPr>
          <w:rFonts w:hint="eastAsia" w:ascii="仿宋" w:hAnsi="仿宋" w:eastAsia="仿宋" w:cs="仿宋"/>
          <w:sz w:val="30"/>
          <w:szCs w:val="30"/>
        </w:rPr>
        <w:t>：</w:t>
      </w:r>
    </w:p>
    <w:p>
      <w:pPr>
        <w:spacing w:line="780" w:lineRule="exact"/>
        <w:ind w:firstLine="600" w:firstLineChars="200"/>
        <w:rPr>
          <w:rFonts w:hint="eastAsia" w:ascii="仿宋" w:hAnsi="仿宋" w:eastAsia="仿宋" w:cs="仿宋"/>
          <w:sz w:val="30"/>
          <w:szCs w:val="30"/>
        </w:rPr>
      </w:pPr>
      <w:r>
        <w:rPr>
          <w:rFonts w:hint="eastAsia" w:ascii="仿宋" w:hAnsi="仿宋" w:eastAsia="仿宋" w:cs="仿宋"/>
          <w:sz w:val="30"/>
          <w:szCs w:val="30"/>
          <w:u w:val="none"/>
          <w:lang w:val="en-US" w:eastAsia="zh-CN"/>
        </w:rPr>
        <w:t>我单位参与投标的</w:t>
      </w:r>
      <w:r>
        <w:rPr>
          <w:rFonts w:hint="eastAsia" w:ascii="仿宋" w:hAnsi="仿宋" w:eastAsia="仿宋" w:cs="仿宋"/>
          <w:sz w:val="30"/>
          <w:szCs w:val="30"/>
          <w:u w:val="single"/>
          <w:lang w:val="en-US" w:eastAsia="zh-CN"/>
        </w:rPr>
        <w:t xml:space="preserve">   （项目名称）   </w:t>
      </w:r>
      <w:r>
        <w:rPr>
          <w:rFonts w:hint="eastAsia" w:ascii="仿宋" w:hAnsi="仿宋" w:eastAsia="仿宋" w:cs="仿宋"/>
          <w:sz w:val="30"/>
          <w:szCs w:val="30"/>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0"/>
          <w:szCs w:val="30"/>
        </w:rPr>
        <w:t>，本公司承诺：</w:t>
      </w:r>
    </w:p>
    <w:p>
      <w:pPr>
        <w:spacing w:line="78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本单位</w:t>
      </w:r>
      <w:r>
        <w:rPr>
          <w:rFonts w:hint="eastAsia" w:ascii="仿宋" w:hAnsi="仿宋" w:eastAsia="仿宋" w:cs="仿宋"/>
          <w:sz w:val="30"/>
          <w:szCs w:val="30"/>
        </w:rPr>
        <w:t>提交给</w:t>
      </w:r>
      <w:r>
        <w:rPr>
          <w:rFonts w:hint="eastAsia" w:ascii="仿宋" w:hAnsi="仿宋" w:eastAsia="仿宋" w:cs="仿宋"/>
          <w:sz w:val="30"/>
          <w:szCs w:val="30"/>
          <w:lang w:eastAsia="zh-CN"/>
        </w:rPr>
        <w:t>招标代理机构备案的</w:t>
      </w:r>
      <w:r>
        <w:rPr>
          <w:rFonts w:hint="eastAsia" w:ascii="仿宋" w:hAnsi="仿宋" w:eastAsia="仿宋" w:cs="仿宋"/>
          <w:sz w:val="30"/>
          <w:szCs w:val="30"/>
          <w:u w:val="single"/>
          <w:lang w:eastAsia="zh-CN"/>
        </w:rPr>
        <w:t>投标文件</w:t>
      </w:r>
      <w:r>
        <w:rPr>
          <w:rFonts w:hint="eastAsia" w:ascii="仿宋" w:hAnsi="仿宋" w:eastAsia="仿宋" w:cs="仿宋"/>
          <w:sz w:val="30"/>
          <w:szCs w:val="30"/>
          <w:u w:val="single"/>
        </w:rPr>
        <w:t>纸质</w:t>
      </w:r>
      <w:r>
        <w:rPr>
          <w:rFonts w:hint="eastAsia" w:ascii="仿宋" w:hAnsi="仿宋" w:eastAsia="仿宋" w:cs="仿宋"/>
          <w:sz w:val="30"/>
          <w:szCs w:val="30"/>
          <w:u w:val="single"/>
          <w:lang w:eastAsia="zh-CN"/>
        </w:rPr>
        <w:t>版</w:t>
      </w:r>
      <w:r>
        <w:rPr>
          <w:rFonts w:hint="eastAsia" w:ascii="仿宋" w:hAnsi="仿宋" w:eastAsia="仿宋" w:cs="仿宋"/>
          <w:sz w:val="30"/>
          <w:szCs w:val="30"/>
        </w:rPr>
        <w:t>与</w:t>
      </w:r>
      <w:r>
        <w:rPr>
          <w:rFonts w:hint="eastAsia" w:ascii="仿宋" w:hAnsi="仿宋" w:eastAsia="仿宋" w:cs="仿宋"/>
          <w:sz w:val="30"/>
          <w:szCs w:val="30"/>
          <w:u w:val="single"/>
        </w:rPr>
        <w:t>电子</w:t>
      </w:r>
      <w:r>
        <w:rPr>
          <w:rFonts w:hint="eastAsia" w:ascii="仿宋" w:hAnsi="仿宋" w:eastAsia="仿宋" w:cs="仿宋"/>
          <w:sz w:val="30"/>
          <w:szCs w:val="30"/>
          <w:u w:val="single"/>
          <w:lang w:eastAsia="zh-CN"/>
        </w:rPr>
        <w:t>投标文件</w:t>
      </w:r>
      <w:r>
        <w:rPr>
          <w:rFonts w:hint="eastAsia" w:ascii="仿宋" w:hAnsi="仿宋" w:eastAsia="仿宋" w:cs="仿宋"/>
          <w:sz w:val="30"/>
          <w:szCs w:val="30"/>
        </w:rPr>
        <w:t>内容均一致，</w:t>
      </w:r>
      <w:r>
        <w:rPr>
          <w:rFonts w:hint="eastAsia" w:ascii="仿宋" w:hAnsi="仿宋" w:eastAsia="仿宋" w:cs="仿宋"/>
          <w:sz w:val="30"/>
          <w:szCs w:val="30"/>
          <w:lang w:eastAsia="zh-CN"/>
        </w:rPr>
        <w:t>如不一致导致的任何法律责任自付。特此承诺！</w:t>
      </w:r>
    </w:p>
    <w:p>
      <w:pPr>
        <w:spacing w:line="780" w:lineRule="exact"/>
        <w:ind w:firstLine="450" w:firstLineChars="150"/>
        <w:rPr>
          <w:rFonts w:hint="eastAsia" w:ascii="仿宋" w:hAnsi="仿宋" w:eastAsia="仿宋" w:cs="仿宋"/>
          <w:sz w:val="30"/>
          <w:szCs w:val="30"/>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rPr>
      </w:pPr>
      <w:r>
        <w:rPr>
          <w:rFonts w:hint="eastAsia" w:ascii="仿宋" w:hAnsi="仿宋" w:eastAsia="仿宋" w:cs="仿宋"/>
          <w:sz w:val="30"/>
          <w:szCs w:val="30"/>
          <w:lang w:eastAsia="zh-CN"/>
        </w:rPr>
        <w:t>投标人名称（盖公章）：</w:t>
      </w:r>
    </w:p>
    <w:p>
      <w:pPr>
        <w:spacing w:line="780" w:lineRule="exact"/>
        <w:ind w:firstLine="5850" w:firstLineChars="1950"/>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spacing w:line="360" w:lineRule="auto"/>
        <w:ind w:firstLine="480" w:firstLineChars="200"/>
        <w:rPr>
          <w:rFonts w:hint="eastAsia" w:ascii="仿宋" w:hAnsi="仿宋" w:eastAsia="仿宋" w:cs="仿宋"/>
          <w:color w:val="000000"/>
          <w:sz w:val="24"/>
        </w:rPr>
      </w:pPr>
    </w:p>
    <w:p>
      <w:pPr>
        <w:rPr>
          <w:rFonts w:hint="eastAsia" w:ascii="仿宋" w:hAnsi="仿宋" w:eastAsia="仿宋" w:cs="仿宋"/>
        </w:rPr>
      </w:pPr>
    </w:p>
    <w:p>
      <w:pPr>
        <w:pStyle w:val="24"/>
        <w:ind w:firstLine="0"/>
        <w:rPr>
          <w:rFonts w:hint="eastAsia" w:ascii="仿宋" w:hAnsi="仿宋" w:eastAsia="仿宋" w:cs="仿宋"/>
        </w:rPr>
      </w:pPr>
    </w:p>
    <w:p>
      <w:pPr>
        <w:pStyle w:val="2"/>
        <w:rPr>
          <w:rFonts w:hint="eastAsia" w:ascii="仿宋" w:hAnsi="仿宋" w:eastAsia="仿宋" w:cs="仿宋"/>
          <w:lang w:val="en-US"/>
        </w:rPr>
      </w:pPr>
    </w:p>
    <w:p>
      <w:pPr>
        <w:rPr>
          <w:rFonts w:hint="eastAsia" w:ascii="仿宋" w:hAnsi="仿宋" w:eastAsia="仿宋" w:cs="仿宋"/>
          <w:lang w:val="en-US"/>
        </w:rPr>
      </w:pPr>
    </w:p>
    <w:p>
      <w:pPr>
        <w:pStyle w:val="971"/>
        <w:numPr>
          <w:ilvl w:val="-1"/>
          <w:numId w:val="0"/>
        </w:numPr>
        <w:snapToGrid w:val="0"/>
        <w:spacing w:before="120" w:after="120"/>
        <w:jc w:val="both"/>
        <w:rPr>
          <w:rFonts w:hint="eastAsia" w:ascii="仿宋" w:hAnsi="仿宋" w:eastAsia="仿宋" w:cs="仿宋"/>
          <w:b/>
          <w:sz w:val="28"/>
          <w:szCs w:val="28"/>
          <w:highlight w:val="yellow"/>
        </w:rPr>
      </w:pPr>
    </w:p>
    <w:p>
      <w:pPr>
        <w:pStyle w:val="971"/>
        <w:numPr>
          <w:ilvl w:val="-1"/>
          <w:numId w:val="0"/>
        </w:numPr>
        <w:snapToGrid w:val="0"/>
        <w:spacing w:before="120" w:after="120"/>
        <w:jc w:val="both"/>
        <w:rPr>
          <w:rFonts w:hint="eastAsia" w:ascii="仿宋" w:hAnsi="仿宋" w:eastAsia="仿宋" w:cs="仿宋"/>
          <w:b/>
          <w:sz w:val="28"/>
          <w:szCs w:val="28"/>
          <w:highlight w:val="yellow"/>
        </w:rPr>
      </w:pPr>
    </w:p>
    <w:p>
      <w:pPr>
        <w:pStyle w:val="971"/>
        <w:numPr>
          <w:ilvl w:val="-1"/>
          <w:numId w:val="0"/>
        </w:numPr>
        <w:snapToGrid w:val="0"/>
        <w:spacing w:before="120" w:after="120"/>
        <w:jc w:val="both"/>
        <w:rPr>
          <w:rFonts w:hint="eastAsia" w:ascii="仿宋" w:hAnsi="仿宋" w:eastAsia="仿宋" w:cs="仿宋"/>
          <w:b/>
          <w:sz w:val="28"/>
          <w:szCs w:val="28"/>
          <w:highlight w:val="yellow"/>
          <w:lang w:eastAsia="zh-CN"/>
        </w:rPr>
      </w:pPr>
      <w:r>
        <w:rPr>
          <w:rFonts w:hint="eastAsia" w:ascii="仿宋" w:hAnsi="仿宋" w:eastAsia="仿宋" w:cs="仿宋"/>
          <w:b/>
          <w:sz w:val="28"/>
          <w:szCs w:val="28"/>
          <w:highlight w:val="yellow"/>
        </w:rPr>
        <w:t>确认声明书</w:t>
      </w:r>
      <w:r>
        <w:rPr>
          <w:rFonts w:hint="eastAsia" w:ascii="仿宋" w:hAnsi="仿宋" w:eastAsia="仿宋" w:cs="仿宋"/>
          <w:b/>
          <w:sz w:val="28"/>
          <w:szCs w:val="28"/>
          <w:highlight w:val="yellow"/>
          <w:lang w:eastAsia="zh-CN"/>
        </w:rPr>
        <w:t>（将以下表格填写完成后，与投标文件同步制作递交）</w:t>
      </w:r>
    </w:p>
    <w:p>
      <w:pPr>
        <w:pStyle w:val="971"/>
        <w:snapToGrid w:val="0"/>
        <w:spacing w:before="120" w:after="120"/>
        <w:jc w:val="center"/>
        <w:rPr>
          <w:rFonts w:hint="eastAsia" w:ascii="仿宋" w:hAnsi="仿宋" w:eastAsia="仿宋" w:cs="仿宋"/>
          <w:kern w:val="0"/>
          <w:sz w:val="21"/>
          <w:szCs w:val="21"/>
          <w:highlight w:val="none"/>
        </w:rPr>
      </w:pPr>
      <w:r>
        <w:rPr>
          <w:rFonts w:hint="eastAsia" w:ascii="仿宋" w:hAnsi="仿宋" w:eastAsia="仿宋" w:cs="仿宋"/>
          <w:b/>
          <w:szCs w:val="24"/>
          <w:highlight w:val="none"/>
        </w:rPr>
        <w:t>（要求在电子投标文件解密后，</w:t>
      </w:r>
      <w:r>
        <w:rPr>
          <w:rFonts w:hint="eastAsia" w:ascii="仿宋" w:hAnsi="仿宋" w:eastAsia="仿宋" w:cs="仿宋"/>
          <w:b/>
          <w:szCs w:val="24"/>
          <w:highlight w:val="none"/>
          <w:lang w:eastAsia="zh-CN"/>
        </w:rPr>
        <w:t>自行核实下述承诺内容，如有不符，重新联系代理公司重新按新的内容邮箱递交）</w:t>
      </w:r>
    </w:p>
    <w:p>
      <w:pPr>
        <w:pStyle w:val="971"/>
        <w:snapToGrid w:val="0"/>
        <w:spacing w:before="120" w:after="120"/>
        <w:jc w:val="center"/>
        <w:rPr>
          <w:rFonts w:hint="eastAsia" w:ascii="仿宋" w:hAnsi="仿宋" w:eastAsia="仿宋" w:cs="仿宋"/>
          <w:b/>
          <w:sz w:val="24"/>
          <w:szCs w:val="24"/>
          <w:highlight w:val="none"/>
        </w:rPr>
      </w:pPr>
    </w:p>
    <w:p>
      <w:pPr>
        <w:pStyle w:val="971"/>
        <w:snapToGrid w:val="0"/>
        <w:spacing w:before="120" w:after="12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政府采购活动现场确认声明书</w:t>
      </w:r>
    </w:p>
    <w:p>
      <w:pPr>
        <w:pStyle w:val="971"/>
        <w:snapToGrid w:val="0"/>
        <w:spacing w:before="120" w:after="120" w:line="380" w:lineRule="exact"/>
        <w:rPr>
          <w:rFonts w:hint="eastAsia" w:ascii="仿宋" w:hAnsi="仿宋" w:eastAsia="仿宋" w:cs="仿宋"/>
          <w:b/>
          <w:sz w:val="24"/>
          <w:szCs w:val="24"/>
          <w:highlight w:val="none"/>
        </w:rPr>
      </w:pP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pStyle w:val="971"/>
        <w:snapToGrid w:val="0"/>
        <w:spacing w:before="120" w:after="120" w:line="380" w:lineRule="exact"/>
        <w:ind w:firstLine="504" w:firstLineChars="20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本人经由</w:t>
      </w:r>
      <w:r>
        <w:rPr>
          <w:rFonts w:hint="eastAsia" w:ascii="仿宋" w:hAnsi="仿宋" w:eastAsia="仿宋" w:cs="仿宋"/>
          <w:spacing w:val="6"/>
          <w:sz w:val="24"/>
          <w:szCs w:val="24"/>
          <w:highlight w:val="none"/>
          <w:u w:val="single"/>
        </w:rPr>
        <w:t xml:space="preserve">                  （单位）</w:t>
      </w:r>
      <w:r>
        <w:rPr>
          <w:rFonts w:hint="eastAsia" w:ascii="仿宋" w:hAnsi="仿宋" w:eastAsia="仿宋" w:cs="仿宋"/>
          <w:spacing w:val="6"/>
          <w:sz w:val="24"/>
          <w:szCs w:val="24"/>
          <w:highlight w:val="none"/>
        </w:rPr>
        <w:t>负责人</w:t>
      </w:r>
      <w:r>
        <w:rPr>
          <w:rFonts w:hint="eastAsia" w:ascii="仿宋" w:hAnsi="仿宋" w:eastAsia="仿宋" w:cs="仿宋"/>
          <w:spacing w:val="6"/>
          <w:sz w:val="24"/>
          <w:szCs w:val="24"/>
          <w:highlight w:val="none"/>
          <w:u w:val="single"/>
        </w:rPr>
        <w:t xml:space="preserve">        （姓名）</w:t>
      </w:r>
      <w:r>
        <w:rPr>
          <w:rFonts w:hint="eastAsia" w:ascii="仿宋" w:hAnsi="仿宋" w:eastAsia="仿宋" w:cs="仿宋"/>
          <w:spacing w:val="6"/>
          <w:sz w:val="24"/>
          <w:szCs w:val="24"/>
          <w:highlight w:val="none"/>
        </w:rPr>
        <w:t>合法授权参加</w:t>
      </w:r>
      <w:r>
        <w:rPr>
          <w:rFonts w:hint="eastAsia" w:ascii="仿宋" w:hAnsi="仿宋" w:eastAsia="仿宋" w:cs="仿宋"/>
          <w:spacing w:val="6"/>
          <w:sz w:val="24"/>
          <w:szCs w:val="24"/>
          <w:highlight w:val="none"/>
          <w:u w:val="single"/>
        </w:rPr>
        <w:t xml:space="preserve">                </w:t>
      </w:r>
      <w:r>
        <w:rPr>
          <w:rFonts w:hint="eastAsia" w:ascii="仿宋" w:hAnsi="仿宋" w:eastAsia="仿宋" w:cs="仿宋"/>
          <w:spacing w:val="6"/>
          <w:sz w:val="24"/>
          <w:szCs w:val="24"/>
          <w:highlight w:val="none"/>
        </w:rPr>
        <w:t>项目（编号：</w:t>
      </w:r>
      <w:r>
        <w:rPr>
          <w:rFonts w:hint="eastAsia" w:ascii="仿宋" w:hAnsi="仿宋" w:eastAsia="仿宋" w:cs="仿宋"/>
          <w:spacing w:val="6"/>
          <w:sz w:val="24"/>
          <w:szCs w:val="24"/>
          <w:highlight w:val="none"/>
          <w:u w:val="single"/>
        </w:rPr>
        <w:t xml:space="preserve">        </w:t>
      </w:r>
      <w:r>
        <w:rPr>
          <w:rFonts w:hint="eastAsia" w:ascii="仿宋" w:hAnsi="仿宋" w:eastAsia="仿宋" w:cs="仿宋"/>
          <w:spacing w:val="6"/>
          <w:sz w:val="24"/>
          <w:szCs w:val="24"/>
          <w:highlight w:val="none"/>
        </w:rPr>
        <w:t xml:space="preserve">）政府采购活动，经与本单位法人代表（负责人）联系确认，现就有关公平竞争事项郑重声明如下： </w:t>
      </w:r>
    </w:p>
    <w:p>
      <w:pPr>
        <w:pStyle w:val="972"/>
        <w:widowControl/>
        <w:numPr>
          <w:ilvl w:val="0"/>
          <w:numId w:val="5"/>
        </w:numPr>
        <w:snapToGrid w:val="0"/>
        <w:spacing w:line="380" w:lineRule="exact"/>
        <w:ind w:firstLine="453" w:firstLineChars="18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本单位与采购人之间 □不存在利害关系 □存在下列利害关系</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pStyle w:val="972"/>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A.投资关系    B.行政隶属关系    C.业务指导关系</w:t>
      </w:r>
    </w:p>
    <w:p>
      <w:pPr>
        <w:pStyle w:val="972"/>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D.其他可能</w:t>
      </w:r>
      <w:r>
        <w:rPr>
          <w:rFonts w:hint="eastAsia" w:ascii="仿宋" w:hAnsi="仿宋" w:eastAsia="仿宋" w:cs="仿宋"/>
          <w:sz w:val="24"/>
          <w:szCs w:val="24"/>
          <w:highlight w:val="none"/>
        </w:rPr>
        <w:t>影响采购公正的</w:t>
      </w:r>
      <w:r>
        <w:rPr>
          <w:rFonts w:hint="eastAsia" w:ascii="仿宋" w:hAnsi="仿宋" w:eastAsia="仿宋" w:cs="仿宋"/>
          <w:kern w:val="0"/>
          <w:sz w:val="24"/>
          <w:szCs w:val="24"/>
          <w:highlight w:val="none"/>
        </w:rPr>
        <w:t>利害关系</w:t>
      </w:r>
      <w:r>
        <w:rPr>
          <w:rFonts w:hint="eastAsia" w:ascii="仿宋" w:hAnsi="仿宋" w:eastAsia="仿宋" w:cs="仿宋"/>
          <w:kern w:val="0"/>
          <w:sz w:val="24"/>
          <w:szCs w:val="24"/>
          <w:highlight w:val="none"/>
          <w:u w:val="single"/>
        </w:rPr>
        <w:t xml:space="preserve">（如有，请如实说明）                 </w:t>
      </w:r>
      <w:r>
        <w:rPr>
          <w:rFonts w:hint="eastAsia" w:ascii="仿宋" w:hAnsi="仿宋" w:eastAsia="仿宋" w:cs="仿宋"/>
          <w:kern w:val="0"/>
          <w:sz w:val="24"/>
          <w:szCs w:val="24"/>
          <w:highlight w:val="none"/>
        </w:rPr>
        <w:t>。</w:t>
      </w:r>
    </w:p>
    <w:p>
      <w:pPr>
        <w:pStyle w:val="972"/>
        <w:widowControl/>
        <w:snapToGrid w:val="0"/>
        <w:spacing w:line="380" w:lineRule="exact"/>
        <w:rPr>
          <w:rFonts w:hint="eastAsia" w:ascii="仿宋" w:hAnsi="仿宋" w:eastAsia="仿宋" w:cs="仿宋"/>
          <w:kern w:val="0"/>
          <w:sz w:val="24"/>
          <w:szCs w:val="24"/>
          <w:highlight w:val="none"/>
        </w:rPr>
      </w:pPr>
      <w:r>
        <w:rPr>
          <w:rFonts w:hint="eastAsia" w:ascii="仿宋" w:hAnsi="仿宋" w:eastAsia="仿宋" w:cs="仿宋"/>
          <w:spacing w:val="6"/>
          <w:sz w:val="24"/>
          <w:szCs w:val="24"/>
          <w:highlight w:val="none"/>
        </w:rPr>
        <w:t xml:space="preserve">  二、</w:t>
      </w:r>
      <w:r>
        <w:rPr>
          <w:rFonts w:hint="eastAsia" w:ascii="仿宋" w:hAnsi="仿宋" w:eastAsia="仿宋" w:cs="仿宋"/>
          <w:kern w:val="0"/>
          <w:sz w:val="24"/>
          <w:szCs w:val="24"/>
          <w:highlight w:val="none"/>
        </w:rPr>
        <w:t>现已清楚知道参加本项目采购活动的其他所有供应商名称，本单位 □与其他所有供应商之间均不存在利害关系 □与</w:t>
      </w:r>
      <w:r>
        <w:rPr>
          <w:rFonts w:hint="eastAsia" w:ascii="仿宋" w:hAnsi="仿宋" w:eastAsia="仿宋" w:cs="仿宋"/>
          <w:kern w:val="0"/>
          <w:sz w:val="24"/>
          <w:szCs w:val="24"/>
          <w:highlight w:val="none"/>
          <w:u w:val="single"/>
        </w:rPr>
        <w:t xml:space="preserve">           （供应商名称）</w:t>
      </w:r>
      <w:r>
        <w:rPr>
          <w:rFonts w:hint="eastAsia" w:ascii="仿宋" w:hAnsi="仿宋" w:eastAsia="仿宋" w:cs="仿宋"/>
          <w:kern w:val="0"/>
          <w:sz w:val="24"/>
          <w:szCs w:val="24"/>
          <w:highlight w:val="none"/>
        </w:rPr>
        <w:t>之间存在下列利害关系</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A.法定代表人或负责人或实际控制人是同一人</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spacing w:val="6"/>
          <w:sz w:val="24"/>
          <w:szCs w:val="24"/>
          <w:highlight w:val="none"/>
        </w:rPr>
      </w:pPr>
      <w:r>
        <w:rPr>
          <w:rFonts w:hint="eastAsia" w:ascii="仿宋" w:hAnsi="仿宋" w:eastAsia="仿宋" w:cs="仿宋"/>
          <w:kern w:val="0"/>
          <w:sz w:val="24"/>
          <w:szCs w:val="24"/>
          <w:highlight w:val="none"/>
        </w:rPr>
        <w:t xml:space="preserve">  B.法定代表人或负责人或实际控制人是夫妻关系</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spacing w:val="6"/>
          <w:sz w:val="24"/>
          <w:szCs w:val="24"/>
          <w:highlight w:val="none"/>
        </w:rPr>
      </w:pPr>
      <w:r>
        <w:rPr>
          <w:rFonts w:hint="eastAsia" w:ascii="仿宋" w:hAnsi="仿宋" w:eastAsia="仿宋" w:cs="仿宋"/>
          <w:kern w:val="0"/>
          <w:sz w:val="24"/>
          <w:szCs w:val="24"/>
          <w:highlight w:val="none"/>
        </w:rPr>
        <w:t xml:space="preserve">  C.法定代表人或负责人或实际控制人是直系血亲关系</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spacing w:val="6"/>
          <w:sz w:val="24"/>
          <w:szCs w:val="24"/>
          <w:highlight w:val="none"/>
        </w:rPr>
      </w:pPr>
      <w:r>
        <w:rPr>
          <w:rFonts w:hint="eastAsia" w:ascii="仿宋" w:hAnsi="仿宋" w:eastAsia="仿宋" w:cs="仿宋"/>
          <w:kern w:val="0"/>
          <w:sz w:val="24"/>
          <w:szCs w:val="24"/>
          <w:highlight w:val="none"/>
        </w:rPr>
        <w:t xml:space="preserve">  D.法定代表人或负责人或实际控制人存在三代以内旁系血亲关系</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E.法定代表人或负责人或实际控制人存在近姻亲关系</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F.法定代表人或负责人或实际控制人存在股份控制或实际控制关系</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G.存在共同直接或间接投资设立子公司、联营企业和合营企业情况</w:t>
      </w:r>
    </w:p>
    <w:p>
      <w:pPr>
        <w:pStyle w:val="971"/>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ascii="仿宋" w:hAnsi="仿宋" w:eastAsia="仿宋" w:cs="仿宋"/>
          <w:sz w:val="24"/>
          <w:szCs w:val="24"/>
          <w:highlight w:val="none"/>
        </w:rPr>
      </w:pPr>
      <w:r>
        <w:rPr>
          <w:rFonts w:hint="eastAsia" w:ascii="仿宋" w:hAnsi="仿宋" w:eastAsia="仿宋" w:cs="仿宋"/>
          <w:kern w:val="0"/>
          <w:sz w:val="24"/>
          <w:szCs w:val="24"/>
          <w:highlight w:val="none"/>
        </w:rPr>
        <w:t xml:space="preserve">  H.存在分级代理或代销关系、同一生产制造商关系、</w:t>
      </w:r>
      <w:r>
        <w:rPr>
          <w:rFonts w:hint="eastAsia" w:ascii="仿宋" w:hAnsi="仿宋" w:eastAsia="仿宋" w:cs="仿宋"/>
          <w:sz w:val="24"/>
          <w:szCs w:val="24"/>
          <w:highlight w:val="none"/>
        </w:rPr>
        <w:t>管理关系、重要业务（占主营业务收入50%以上）或重要财务往来关系（如融资）等其他实质性控制关系</w:t>
      </w:r>
    </w:p>
    <w:p>
      <w:pPr>
        <w:pStyle w:val="971"/>
        <w:snapToGrid w:val="0"/>
        <w:spacing w:before="120" w:after="120" w:line="380" w:lineRule="exact"/>
        <w:rPr>
          <w:rFonts w:hint="eastAsia" w:ascii="仿宋" w:hAnsi="仿宋" w:eastAsia="仿宋" w:cs="仿宋"/>
          <w:spacing w:val="6"/>
          <w:sz w:val="24"/>
          <w:szCs w:val="24"/>
          <w:highlight w:val="none"/>
        </w:rPr>
      </w:pPr>
      <w:r>
        <w:rPr>
          <w:rFonts w:hint="eastAsia" w:ascii="仿宋" w:hAnsi="仿宋" w:eastAsia="仿宋" w:cs="仿宋"/>
          <w:sz w:val="24"/>
          <w:szCs w:val="24"/>
          <w:highlight w:val="none"/>
        </w:rPr>
        <w:t xml:space="preserve">    I</w:t>
      </w:r>
      <w:r>
        <w:rPr>
          <w:rFonts w:hint="eastAsia" w:ascii="仿宋" w:hAnsi="仿宋" w:eastAsia="仿宋" w:cs="仿宋"/>
          <w:kern w:val="0"/>
          <w:sz w:val="24"/>
          <w:szCs w:val="24"/>
          <w:highlight w:val="none"/>
        </w:rPr>
        <w:t>.</w:t>
      </w:r>
      <w:r>
        <w:rPr>
          <w:rFonts w:hint="eastAsia" w:ascii="仿宋" w:hAnsi="仿宋" w:eastAsia="仿宋" w:cs="仿宋"/>
          <w:sz w:val="24"/>
          <w:szCs w:val="24"/>
          <w:highlight w:val="none"/>
        </w:rPr>
        <w:t>其他利害关系情况</w:t>
      </w:r>
      <w:r>
        <w:rPr>
          <w:rFonts w:hint="eastAsia"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w:t>
      </w:r>
    </w:p>
    <w:p>
      <w:pPr>
        <w:pStyle w:val="972"/>
        <w:widowControl/>
        <w:numPr>
          <w:ilvl w:val="0"/>
          <w:numId w:val="6"/>
        </w:numPr>
        <w:snapToGrid w:val="0"/>
        <w:spacing w:line="380" w:lineRule="exact"/>
        <w:ind w:firstLine="453" w:firstLineChars="18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现已清楚知道并</w:t>
      </w:r>
      <w:r>
        <w:rPr>
          <w:rFonts w:hint="eastAsia" w:ascii="仿宋" w:hAnsi="仿宋" w:eastAsia="仿宋" w:cs="仿宋"/>
          <w:kern w:val="0"/>
          <w:sz w:val="24"/>
          <w:szCs w:val="24"/>
          <w:highlight w:val="none"/>
        </w:rPr>
        <w:t>严格遵守政府采购法律法规和现场纪律。</w:t>
      </w:r>
    </w:p>
    <w:p>
      <w:pPr>
        <w:pStyle w:val="972"/>
        <w:widowControl/>
        <w:numPr>
          <w:ilvl w:val="0"/>
          <w:numId w:val="6"/>
        </w:numPr>
        <w:snapToGrid w:val="0"/>
        <w:spacing w:line="380" w:lineRule="exact"/>
        <w:ind w:firstLine="453" w:firstLineChars="18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我发现</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供应商之间存在或可能存在上述第二条第</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项利害关系。</w:t>
      </w:r>
    </w:p>
    <w:p>
      <w:pPr>
        <w:pStyle w:val="971"/>
        <w:snapToGrid w:val="0"/>
        <w:spacing w:before="120" w:after="120"/>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供应商</w:t>
      </w:r>
      <w:r>
        <w:rPr>
          <w:rFonts w:hint="eastAsia" w:ascii="仿宋" w:hAnsi="仿宋" w:eastAsia="仿宋" w:cs="仿宋"/>
          <w:sz w:val="24"/>
          <w:szCs w:val="24"/>
          <w:highlight w:val="none"/>
          <w:lang w:eastAsia="zh-CN"/>
        </w:rPr>
        <w:t>盖章：</w:t>
      </w:r>
    </w:p>
    <w:p>
      <w:pPr>
        <w:pStyle w:val="971"/>
        <w:snapToGrid w:val="0"/>
        <w:spacing w:before="120" w:after="120"/>
        <w:ind w:firstLine="5520" w:firstLineChars="23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授权委托</w:t>
      </w:r>
      <w:r>
        <w:rPr>
          <w:rFonts w:hint="eastAsia" w:ascii="仿宋" w:hAnsi="仿宋" w:eastAsia="仿宋" w:cs="仿宋"/>
          <w:sz w:val="24"/>
          <w:szCs w:val="24"/>
          <w:highlight w:val="none"/>
        </w:rPr>
        <w:t>代表签名：</w:t>
      </w:r>
    </w:p>
    <w:p>
      <w:pPr>
        <w:snapToGrid w:val="0"/>
        <w:spacing w:line="360" w:lineRule="auto"/>
        <w:jc w:val="left"/>
        <w:rPr>
          <w:sz w:val="24"/>
          <w:szCs w:val="24"/>
          <w:lang w:val="en-US"/>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年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月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日</w:t>
      </w:r>
    </w:p>
    <w:sectPr>
      <w:headerReference r:id="rId26" w:type="first"/>
      <w:footerReference r:id="rId29" w:type="first"/>
      <w:headerReference r:id="rId25" w:type="default"/>
      <w:footerReference r:id="rId27" w:type="default"/>
      <w:footerReference r:id="rId2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20B0604020202020204"/>
    <w:charset w:val="00"/>
    <w:family w:val="roman"/>
    <w:pitch w:val="default"/>
    <w:sig w:usb0="00000000" w:usb1="00000000" w:usb2="00000000" w:usb3="00000000" w:csb0="00040001" w:csb1="00000000"/>
  </w:font>
  <w:font w:name="Futura Bk">
    <w:altName w:val="Segoe Print"/>
    <w:panose1 w:val="020B0602020204020303"/>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20B0604020202020204"/>
    <w:charset w:val="86"/>
    <w:family w:val="auto"/>
    <w:pitch w:val="default"/>
    <w:sig w:usb0="00000000" w:usb1="00000000" w:usb2="00000010" w:usb3="00000000" w:csb0="00040000" w:csb1="00000000"/>
  </w:font>
  <w:font w:name="Arial (W1)">
    <w:altName w:val="Arial"/>
    <w:panose1 w:val="020B0604020202020204"/>
    <w:charset w:val="00"/>
    <w:family w:val="auto"/>
    <w:pitch w:val="default"/>
    <w:sig w:usb0="00000000" w:usb1="00000000" w:usb2="00000008" w:usb3="00000000" w:csb0="000001FF" w:csb1="0000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umberland">
    <w:altName w:val="微软雅黑"/>
    <w:panose1 w:val="020B0604020202020204"/>
    <w:charset w:val="00"/>
    <w:family w:val="auto"/>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Lucida Sans Unicode"/>
    <w:panose1 w:val="020B0602020204020303"/>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20B0604020202020204"/>
    <w:charset w:val="00"/>
    <w:family w:val="auto"/>
    <w:pitch w:val="default"/>
    <w:sig w:usb0="00000000" w:usb1="00000000" w:usb2="00000000" w:usb3="00000000" w:csb0="00000011" w:csb1="00000000"/>
  </w:font>
  <w:font w:name=".PingFang SC">
    <w:altName w:val="宋体"/>
    <w:panose1 w:val="020B0604020202020204"/>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604020202020204"/>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20B0604020202020204"/>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70</w:t>
                    </w:r>
                    <w:r>
                      <w:fldChar w:fldCharType="end"/>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1"/>
                      <w:jc w:val="center"/>
                    </w:pP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szCs w:val="24"/>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72</w:t>
                    </w:r>
                    <w: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71</w:t>
                    </w:r>
                    <w: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jc w:val="left"/>
                    </w:pPr>
                  </w:p>
                  <w:p/>
                </w:txbxContent>
              </v:textbox>
            </v:shape>
          </w:pict>
        </mc:Fallback>
      </mc:AlternateContent>
    </w:r>
    <w:r>
      <w:rPr>
        <w:rFonts w:ascii="楷体_GB2312" w:eastAsia="楷体_GB2312"/>
        <w:color w:val="0000FF"/>
        <w:u w:val="thick"/>
      </w:rPr>
      <w:drawing>
        <wp:anchor distT="0" distB="0" distL="114300" distR="114300" simplePos="0" relativeHeight="251659264" behindDoc="0" locked="0" layoutInCell="1" allowOverlap="1">
          <wp:simplePos x="0" y="0"/>
          <wp:positionH relativeFrom="column">
            <wp:posOffset>-181610</wp:posOffset>
          </wp:positionH>
          <wp:positionV relativeFrom="paragraph">
            <wp:posOffset>-91440</wp:posOffset>
          </wp:positionV>
          <wp:extent cx="1023620" cy="351155"/>
          <wp:effectExtent l="0" t="0" r="5080" b="10795"/>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3620" cy="35115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41"/>
                      <w:jc w:val="left"/>
                    </w:pPr>
                  </w:p>
                  <w:p/>
                </w:txbxContent>
              </v:textbox>
            </v:shape>
          </w:pict>
        </mc:Fallback>
      </mc:AlternateContent>
    </w:r>
    <w:r>
      <w:rPr>
        <w:rFonts w:ascii="楷体_GB2312" w:eastAsia="楷体_GB2312"/>
        <w:color w:val="0000FF"/>
        <w:u w:val="thick"/>
      </w:rPr>
      <w:drawing>
        <wp:anchor distT="0" distB="0" distL="114300" distR="114300" simplePos="0" relativeHeight="251680768" behindDoc="0" locked="0" layoutInCell="1" allowOverlap="1">
          <wp:simplePos x="0" y="0"/>
          <wp:positionH relativeFrom="column">
            <wp:posOffset>-181610</wp:posOffset>
          </wp:positionH>
          <wp:positionV relativeFrom="paragraph">
            <wp:posOffset>-91440</wp:posOffset>
          </wp:positionV>
          <wp:extent cx="1023620" cy="351155"/>
          <wp:effectExtent l="0" t="0" r="5080" b="10795"/>
          <wp:wrapNone/>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3620" cy="35115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矩形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NuNmcABAACMAwAADgAAAAAAAAABACAAAAAfAQAAZHJzL2Uyb0RvYy54bWxQSwUG&#10;AAAAAAYABgBZAQAAUQ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1312"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矩形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50xDAAQAAjg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7DizAlLN/7n+8/fv34wKpA7&#10;fcCKmp7CI0wZUpikDi3Y9CYRbMiOni+OqiEyScXlerVel2S2pLM5IZzi+fMAGD8pb1kKag50ZdlJ&#10;cfqCcWydW9I05++0MVQXlXH/FAgzVYrEeOSYojjsh4n43jdnEtvTbdfc0XJzZj47MjMtxhzAHOzn&#10;4BhAHzqitsy8MNweI5HI3NKEEXYaTNeU1U0rlfbgZZ67nn+j7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DvnTEMABAACO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64</w:t>
                    </w:r>
                    <w:r>
                      <w:fldChar w:fldCharType="end"/>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1"/>
                      <w:jc w:val="center"/>
                    </w:pPr>
                  </w:p>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1"/>
                      <w:jc w:val="center"/>
                    </w:pPr>
                  </w:p>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rPr>
        <w:rFonts w:hint="eastAsia" w:eastAsia="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9A51A"/>
    <w:multiLevelType w:val="singleLevel"/>
    <w:tmpl w:val="98E9A51A"/>
    <w:lvl w:ilvl="0" w:tentative="0">
      <w:start w:val="16"/>
      <w:numFmt w:val="decimal"/>
      <w:suff w:val="space"/>
      <w:lvlText w:val="%1."/>
      <w:lvlJc w:val="left"/>
    </w:lvl>
  </w:abstractNum>
  <w:abstractNum w:abstractNumId="1">
    <w:nsid w:val="2A107D1F"/>
    <w:multiLevelType w:val="singleLevel"/>
    <w:tmpl w:val="2A107D1F"/>
    <w:lvl w:ilvl="0" w:tentative="0">
      <w:start w:val="13"/>
      <w:numFmt w:val="decimal"/>
      <w:suff w:val="space"/>
      <w:lvlText w:val="%1."/>
      <w:lvlJc w:val="left"/>
    </w:lvl>
  </w:abstractNum>
  <w:abstractNum w:abstractNumId="2">
    <w:nsid w:val="517C102A"/>
    <w:multiLevelType w:val="singleLevel"/>
    <w:tmpl w:val="517C102A"/>
    <w:lvl w:ilvl="0" w:tentative="0">
      <w:start w:val="28"/>
      <w:numFmt w:val="decimal"/>
      <w:suff w:val="space"/>
      <w:lvlText w:val="%1."/>
      <w:lvlJc w:val="left"/>
      <w:pPr>
        <w:ind w:left="120" w:leftChars="0" w:firstLine="0" w:firstLineChars="0"/>
      </w:p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73414110"/>
    <w:multiLevelType w:val="singleLevel"/>
    <w:tmpl w:val="73414110"/>
    <w:lvl w:ilvl="0" w:tentative="0">
      <w:start w:val="8"/>
      <w:numFmt w:val="decimal"/>
      <w:suff w:val="space"/>
      <w:lvlText w:val="%1."/>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C7CCD"/>
    <w:rsid w:val="019F7441"/>
    <w:rsid w:val="01B37585"/>
    <w:rsid w:val="01BA1319"/>
    <w:rsid w:val="01D55165"/>
    <w:rsid w:val="01DF6BF8"/>
    <w:rsid w:val="01EC2C57"/>
    <w:rsid w:val="01ED6FD3"/>
    <w:rsid w:val="02642858"/>
    <w:rsid w:val="026B2E25"/>
    <w:rsid w:val="02824D4D"/>
    <w:rsid w:val="02DC4B10"/>
    <w:rsid w:val="02DD76CE"/>
    <w:rsid w:val="02F36323"/>
    <w:rsid w:val="02F5619C"/>
    <w:rsid w:val="0326446A"/>
    <w:rsid w:val="032D5555"/>
    <w:rsid w:val="036634D2"/>
    <w:rsid w:val="038C7DA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8FD1DEA"/>
    <w:rsid w:val="09335624"/>
    <w:rsid w:val="0944690F"/>
    <w:rsid w:val="09535675"/>
    <w:rsid w:val="095F057D"/>
    <w:rsid w:val="09642282"/>
    <w:rsid w:val="09733572"/>
    <w:rsid w:val="09772C16"/>
    <w:rsid w:val="098353B5"/>
    <w:rsid w:val="098E09A3"/>
    <w:rsid w:val="09A92330"/>
    <w:rsid w:val="09B06B87"/>
    <w:rsid w:val="09C13146"/>
    <w:rsid w:val="09E04166"/>
    <w:rsid w:val="0A1C0718"/>
    <w:rsid w:val="0A3E7710"/>
    <w:rsid w:val="0A5B7E63"/>
    <w:rsid w:val="0AA374A5"/>
    <w:rsid w:val="0AAB7649"/>
    <w:rsid w:val="0ABC5606"/>
    <w:rsid w:val="0AF4451F"/>
    <w:rsid w:val="0B30404E"/>
    <w:rsid w:val="0B4C6C14"/>
    <w:rsid w:val="0B631A88"/>
    <w:rsid w:val="0B683D45"/>
    <w:rsid w:val="0B7F3F11"/>
    <w:rsid w:val="0B884417"/>
    <w:rsid w:val="0B8F4947"/>
    <w:rsid w:val="0B953FC7"/>
    <w:rsid w:val="0BC042E6"/>
    <w:rsid w:val="0BF6188C"/>
    <w:rsid w:val="0BF73C91"/>
    <w:rsid w:val="0C0360CB"/>
    <w:rsid w:val="0C170175"/>
    <w:rsid w:val="0C370E2F"/>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D69FB"/>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319CE"/>
    <w:rsid w:val="10646583"/>
    <w:rsid w:val="10743176"/>
    <w:rsid w:val="107D4B15"/>
    <w:rsid w:val="108A3C80"/>
    <w:rsid w:val="10A02A07"/>
    <w:rsid w:val="10A22BBA"/>
    <w:rsid w:val="10C26171"/>
    <w:rsid w:val="10F33360"/>
    <w:rsid w:val="10FC16EA"/>
    <w:rsid w:val="110F1D40"/>
    <w:rsid w:val="111B5819"/>
    <w:rsid w:val="11266F33"/>
    <w:rsid w:val="116023BF"/>
    <w:rsid w:val="118963A1"/>
    <w:rsid w:val="11C6522A"/>
    <w:rsid w:val="11E104CC"/>
    <w:rsid w:val="11E20309"/>
    <w:rsid w:val="12255233"/>
    <w:rsid w:val="12530213"/>
    <w:rsid w:val="127723A9"/>
    <w:rsid w:val="12862074"/>
    <w:rsid w:val="12883966"/>
    <w:rsid w:val="129427A7"/>
    <w:rsid w:val="129E45B4"/>
    <w:rsid w:val="12D81596"/>
    <w:rsid w:val="13072A44"/>
    <w:rsid w:val="13172C53"/>
    <w:rsid w:val="13194CB5"/>
    <w:rsid w:val="135F4BE2"/>
    <w:rsid w:val="139B1A0A"/>
    <w:rsid w:val="139D25C7"/>
    <w:rsid w:val="13BF3CE4"/>
    <w:rsid w:val="141008D8"/>
    <w:rsid w:val="14125FE6"/>
    <w:rsid w:val="146D271E"/>
    <w:rsid w:val="14731F34"/>
    <w:rsid w:val="14982588"/>
    <w:rsid w:val="149A5AD9"/>
    <w:rsid w:val="14A7619D"/>
    <w:rsid w:val="150536C3"/>
    <w:rsid w:val="150C1963"/>
    <w:rsid w:val="151447A0"/>
    <w:rsid w:val="154A6454"/>
    <w:rsid w:val="15762120"/>
    <w:rsid w:val="15DE6F34"/>
    <w:rsid w:val="16A8729C"/>
    <w:rsid w:val="16B33777"/>
    <w:rsid w:val="16BC70A7"/>
    <w:rsid w:val="16C6339E"/>
    <w:rsid w:val="16F9393D"/>
    <w:rsid w:val="172F2D79"/>
    <w:rsid w:val="17557BEF"/>
    <w:rsid w:val="177E0790"/>
    <w:rsid w:val="17BF5F86"/>
    <w:rsid w:val="17D349C1"/>
    <w:rsid w:val="1830729E"/>
    <w:rsid w:val="1870062C"/>
    <w:rsid w:val="18817102"/>
    <w:rsid w:val="18830A15"/>
    <w:rsid w:val="18852B28"/>
    <w:rsid w:val="188B5321"/>
    <w:rsid w:val="19401D80"/>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E51D6E"/>
    <w:rsid w:val="1F0A0FF3"/>
    <w:rsid w:val="1F5771FF"/>
    <w:rsid w:val="1F5E1D3F"/>
    <w:rsid w:val="1F6B09CC"/>
    <w:rsid w:val="1F796E16"/>
    <w:rsid w:val="1FE868A9"/>
    <w:rsid w:val="20034907"/>
    <w:rsid w:val="20173E4B"/>
    <w:rsid w:val="204E48BC"/>
    <w:rsid w:val="208921B3"/>
    <w:rsid w:val="20973DEB"/>
    <w:rsid w:val="20B26522"/>
    <w:rsid w:val="20B44310"/>
    <w:rsid w:val="20FE5F27"/>
    <w:rsid w:val="211116EB"/>
    <w:rsid w:val="216133FC"/>
    <w:rsid w:val="21D56769"/>
    <w:rsid w:val="21E52EF3"/>
    <w:rsid w:val="21FB5D7B"/>
    <w:rsid w:val="220B1C3D"/>
    <w:rsid w:val="221D1D20"/>
    <w:rsid w:val="221F1B08"/>
    <w:rsid w:val="22334A87"/>
    <w:rsid w:val="22477E35"/>
    <w:rsid w:val="22BE6801"/>
    <w:rsid w:val="233500BF"/>
    <w:rsid w:val="23377FF7"/>
    <w:rsid w:val="233C5397"/>
    <w:rsid w:val="236B425F"/>
    <w:rsid w:val="23836192"/>
    <w:rsid w:val="23901F29"/>
    <w:rsid w:val="239816A9"/>
    <w:rsid w:val="239C0061"/>
    <w:rsid w:val="23B908A4"/>
    <w:rsid w:val="23D47425"/>
    <w:rsid w:val="23E95BEF"/>
    <w:rsid w:val="23FD0064"/>
    <w:rsid w:val="240A0748"/>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CE678A"/>
    <w:rsid w:val="28DE40AA"/>
    <w:rsid w:val="29345E77"/>
    <w:rsid w:val="294C65AD"/>
    <w:rsid w:val="29806583"/>
    <w:rsid w:val="298B3C4C"/>
    <w:rsid w:val="29AA44E3"/>
    <w:rsid w:val="29F26D24"/>
    <w:rsid w:val="2A15033F"/>
    <w:rsid w:val="2A1662C1"/>
    <w:rsid w:val="2A1C7367"/>
    <w:rsid w:val="2A2815FA"/>
    <w:rsid w:val="2A6D6092"/>
    <w:rsid w:val="2A7D76B4"/>
    <w:rsid w:val="2B437463"/>
    <w:rsid w:val="2B717030"/>
    <w:rsid w:val="2B7807EE"/>
    <w:rsid w:val="2BBF00EC"/>
    <w:rsid w:val="2BC37CFD"/>
    <w:rsid w:val="2BD5237F"/>
    <w:rsid w:val="2BE536CE"/>
    <w:rsid w:val="2BE758D9"/>
    <w:rsid w:val="2C07444B"/>
    <w:rsid w:val="2C09049E"/>
    <w:rsid w:val="2C0A653C"/>
    <w:rsid w:val="2C191F85"/>
    <w:rsid w:val="2CE82D6F"/>
    <w:rsid w:val="2D343236"/>
    <w:rsid w:val="2D5575D9"/>
    <w:rsid w:val="2DD15014"/>
    <w:rsid w:val="2DF72DE4"/>
    <w:rsid w:val="2E0220AF"/>
    <w:rsid w:val="2E4B082A"/>
    <w:rsid w:val="2E5D4E86"/>
    <w:rsid w:val="2E5D790B"/>
    <w:rsid w:val="2E9A3C18"/>
    <w:rsid w:val="2EBB0FEE"/>
    <w:rsid w:val="2EC63002"/>
    <w:rsid w:val="2F0A6B38"/>
    <w:rsid w:val="2F9341F7"/>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23951"/>
    <w:rsid w:val="34950E68"/>
    <w:rsid w:val="34986E94"/>
    <w:rsid w:val="34AF62C9"/>
    <w:rsid w:val="34CB4388"/>
    <w:rsid w:val="34FA6E12"/>
    <w:rsid w:val="358D5588"/>
    <w:rsid w:val="35981D80"/>
    <w:rsid w:val="363A3B40"/>
    <w:rsid w:val="365302AE"/>
    <w:rsid w:val="36607A0A"/>
    <w:rsid w:val="366E227C"/>
    <w:rsid w:val="366F2E0D"/>
    <w:rsid w:val="367B6A5C"/>
    <w:rsid w:val="36A74ADA"/>
    <w:rsid w:val="36AD60D5"/>
    <w:rsid w:val="36B224F9"/>
    <w:rsid w:val="36EC0CC9"/>
    <w:rsid w:val="36FC5E87"/>
    <w:rsid w:val="373F410B"/>
    <w:rsid w:val="378660C8"/>
    <w:rsid w:val="37EE7094"/>
    <w:rsid w:val="38296C89"/>
    <w:rsid w:val="383002EB"/>
    <w:rsid w:val="38586797"/>
    <w:rsid w:val="38BC0149"/>
    <w:rsid w:val="38D87D1C"/>
    <w:rsid w:val="39636459"/>
    <w:rsid w:val="396B7F6C"/>
    <w:rsid w:val="39B417A9"/>
    <w:rsid w:val="39FC5695"/>
    <w:rsid w:val="3A006D8E"/>
    <w:rsid w:val="3A3651E5"/>
    <w:rsid w:val="3A616A18"/>
    <w:rsid w:val="3A744481"/>
    <w:rsid w:val="3A8C7BEF"/>
    <w:rsid w:val="3A906246"/>
    <w:rsid w:val="3ADE3FB6"/>
    <w:rsid w:val="3AE10F28"/>
    <w:rsid w:val="3B0741BF"/>
    <w:rsid w:val="3B122129"/>
    <w:rsid w:val="3B2349B7"/>
    <w:rsid w:val="3B616CFF"/>
    <w:rsid w:val="3B6259F6"/>
    <w:rsid w:val="3B976654"/>
    <w:rsid w:val="3BC01EFC"/>
    <w:rsid w:val="3BCA786A"/>
    <w:rsid w:val="3BD31E2F"/>
    <w:rsid w:val="3BF15831"/>
    <w:rsid w:val="3C063CB7"/>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46A69"/>
    <w:rsid w:val="4019356B"/>
    <w:rsid w:val="40592157"/>
    <w:rsid w:val="406E1CAE"/>
    <w:rsid w:val="40A0133A"/>
    <w:rsid w:val="40A74181"/>
    <w:rsid w:val="40C31A53"/>
    <w:rsid w:val="40FF545D"/>
    <w:rsid w:val="410067C8"/>
    <w:rsid w:val="418F0D2A"/>
    <w:rsid w:val="41D01505"/>
    <w:rsid w:val="41E2613A"/>
    <w:rsid w:val="41F76AC7"/>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168D5"/>
    <w:rsid w:val="43C77C27"/>
    <w:rsid w:val="43DE09EE"/>
    <w:rsid w:val="44002FAD"/>
    <w:rsid w:val="44467546"/>
    <w:rsid w:val="449101DD"/>
    <w:rsid w:val="44DE1391"/>
    <w:rsid w:val="451B225C"/>
    <w:rsid w:val="452410C9"/>
    <w:rsid w:val="4530540F"/>
    <w:rsid w:val="45317DFB"/>
    <w:rsid w:val="456D3CE4"/>
    <w:rsid w:val="4579042C"/>
    <w:rsid w:val="457F0571"/>
    <w:rsid w:val="45851176"/>
    <w:rsid w:val="45C63B94"/>
    <w:rsid w:val="460E7DA5"/>
    <w:rsid w:val="463074C6"/>
    <w:rsid w:val="46422483"/>
    <w:rsid w:val="4659254A"/>
    <w:rsid w:val="465B0637"/>
    <w:rsid w:val="465E3F0D"/>
    <w:rsid w:val="466A16E6"/>
    <w:rsid w:val="46893F2B"/>
    <w:rsid w:val="46C4686E"/>
    <w:rsid w:val="477B778F"/>
    <w:rsid w:val="478203EC"/>
    <w:rsid w:val="47B025FA"/>
    <w:rsid w:val="4809698F"/>
    <w:rsid w:val="4811697D"/>
    <w:rsid w:val="48135E3E"/>
    <w:rsid w:val="48542939"/>
    <w:rsid w:val="487A3E25"/>
    <w:rsid w:val="488B5503"/>
    <w:rsid w:val="48937E21"/>
    <w:rsid w:val="489A0361"/>
    <w:rsid w:val="48B94FF3"/>
    <w:rsid w:val="48E37AAB"/>
    <w:rsid w:val="48F863B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071261"/>
    <w:rsid w:val="4B236AAE"/>
    <w:rsid w:val="4B3527A5"/>
    <w:rsid w:val="4B707271"/>
    <w:rsid w:val="4B9739F7"/>
    <w:rsid w:val="4BD4556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B7244D"/>
    <w:rsid w:val="52D94AA4"/>
    <w:rsid w:val="52EA3A62"/>
    <w:rsid w:val="52F50BB8"/>
    <w:rsid w:val="53097272"/>
    <w:rsid w:val="53414394"/>
    <w:rsid w:val="53544462"/>
    <w:rsid w:val="5397158E"/>
    <w:rsid w:val="54013861"/>
    <w:rsid w:val="542A104D"/>
    <w:rsid w:val="54487265"/>
    <w:rsid w:val="544D6070"/>
    <w:rsid w:val="545E28FC"/>
    <w:rsid w:val="54605E1E"/>
    <w:rsid w:val="54B3506A"/>
    <w:rsid w:val="54C61495"/>
    <w:rsid w:val="54CA0D16"/>
    <w:rsid w:val="54DD4057"/>
    <w:rsid w:val="54E7490F"/>
    <w:rsid w:val="550764A4"/>
    <w:rsid w:val="550B2BF6"/>
    <w:rsid w:val="55214EB5"/>
    <w:rsid w:val="55364EFD"/>
    <w:rsid w:val="555D4828"/>
    <w:rsid w:val="557A4C8B"/>
    <w:rsid w:val="557B0F98"/>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1E7905"/>
    <w:rsid w:val="5A2A7C7B"/>
    <w:rsid w:val="5A3E2560"/>
    <w:rsid w:val="5A5D3B6E"/>
    <w:rsid w:val="5A637A76"/>
    <w:rsid w:val="5A6D33BA"/>
    <w:rsid w:val="5A792B1F"/>
    <w:rsid w:val="5A824FB6"/>
    <w:rsid w:val="5A874767"/>
    <w:rsid w:val="5AAD6F28"/>
    <w:rsid w:val="5AC635BB"/>
    <w:rsid w:val="5AD50114"/>
    <w:rsid w:val="5AD63A24"/>
    <w:rsid w:val="5B2E1A1D"/>
    <w:rsid w:val="5B843A1C"/>
    <w:rsid w:val="5B873E3F"/>
    <w:rsid w:val="5C02690E"/>
    <w:rsid w:val="5C196DA7"/>
    <w:rsid w:val="5C2A048C"/>
    <w:rsid w:val="5C80234E"/>
    <w:rsid w:val="5C8A680C"/>
    <w:rsid w:val="5CFA37F2"/>
    <w:rsid w:val="5D0C4701"/>
    <w:rsid w:val="5D0F0395"/>
    <w:rsid w:val="5D221076"/>
    <w:rsid w:val="5D397964"/>
    <w:rsid w:val="5D5A391C"/>
    <w:rsid w:val="5D5F10C0"/>
    <w:rsid w:val="5D791297"/>
    <w:rsid w:val="5D891B7B"/>
    <w:rsid w:val="5DAD38EE"/>
    <w:rsid w:val="5DEB56F0"/>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3DF054D"/>
    <w:rsid w:val="64055776"/>
    <w:rsid w:val="64184872"/>
    <w:rsid w:val="64240056"/>
    <w:rsid w:val="643E143A"/>
    <w:rsid w:val="648B6EEF"/>
    <w:rsid w:val="64C158BF"/>
    <w:rsid w:val="64CE2EAA"/>
    <w:rsid w:val="653C3090"/>
    <w:rsid w:val="65854376"/>
    <w:rsid w:val="658767BE"/>
    <w:rsid w:val="65892531"/>
    <w:rsid w:val="65EA4748"/>
    <w:rsid w:val="66195831"/>
    <w:rsid w:val="662E75B1"/>
    <w:rsid w:val="66342C2E"/>
    <w:rsid w:val="663E784C"/>
    <w:rsid w:val="668B6A45"/>
    <w:rsid w:val="669C4947"/>
    <w:rsid w:val="672F3F24"/>
    <w:rsid w:val="673E055F"/>
    <w:rsid w:val="67551CE3"/>
    <w:rsid w:val="675E5CB8"/>
    <w:rsid w:val="67625388"/>
    <w:rsid w:val="67A22552"/>
    <w:rsid w:val="67B22DCC"/>
    <w:rsid w:val="67BE71AA"/>
    <w:rsid w:val="67D90273"/>
    <w:rsid w:val="67DE5875"/>
    <w:rsid w:val="67E55852"/>
    <w:rsid w:val="67EB1AB4"/>
    <w:rsid w:val="67FA1285"/>
    <w:rsid w:val="68551F4F"/>
    <w:rsid w:val="687C10C9"/>
    <w:rsid w:val="68840C16"/>
    <w:rsid w:val="68876EFB"/>
    <w:rsid w:val="68884654"/>
    <w:rsid w:val="689B3ABC"/>
    <w:rsid w:val="689F444F"/>
    <w:rsid w:val="68B96DBB"/>
    <w:rsid w:val="68CA2805"/>
    <w:rsid w:val="68E937A3"/>
    <w:rsid w:val="693E15D3"/>
    <w:rsid w:val="69627681"/>
    <w:rsid w:val="6977531D"/>
    <w:rsid w:val="69CC2BFF"/>
    <w:rsid w:val="69FD55B8"/>
    <w:rsid w:val="6A0B1C62"/>
    <w:rsid w:val="6A2406C8"/>
    <w:rsid w:val="6ADE0BD1"/>
    <w:rsid w:val="6AE96859"/>
    <w:rsid w:val="6AF02D30"/>
    <w:rsid w:val="6B147746"/>
    <w:rsid w:val="6B24787C"/>
    <w:rsid w:val="6B573233"/>
    <w:rsid w:val="6B5B6274"/>
    <w:rsid w:val="6B935D53"/>
    <w:rsid w:val="6BD61E9B"/>
    <w:rsid w:val="6C196F71"/>
    <w:rsid w:val="6C1D0DCA"/>
    <w:rsid w:val="6C226FCB"/>
    <w:rsid w:val="6C31226F"/>
    <w:rsid w:val="6C552F0B"/>
    <w:rsid w:val="6C6116EB"/>
    <w:rsid w:val="6C8C67B7"/>
    <w:rsid w:val="6C9D744C"/>
    <w:rsid w:val="6D167928"/>
    <w:rsid w:val="6D26299B"/>
    <w:rsid w:val="6D4772EC"/>
    <w:rsid w:val="6D9078AF"/>
    <w:rsid w:val="6DAA3FEF"/>
    <w:rsid w:val="6DC0172B"/>
    <w:rsid w:val="6DCB690C"/>
    <w:rsid w:val="6DD41A5B"/>
    <w:rsid w:val="6DF43C2E"/>
    <w:rsid w:val="6DF51CA3"/>
    <w:rsid w:val="6E7C47BD"/>
    <w:rsid w:val="6E8335BD"/>
    <w:rsid w:val="6E8E12EF"/>
    <w:rsid w:val="6E972936"/>
    <w:rsid w:val="6ED446C5"/>
    <w:rsid w:val="6F2A7D94"/>
    <w:rsid w:val="6F743CD3"/>
    <w:rsid w:val="6F8331F1"/>
    <w:rsid w:val="6FAE1A09"/>
    <w:rsid w:val="6FD75BF8"/>
    <w:rsid w:val="707723D0"/>
    <w:rsid w:val="70D93627"/>
    <w:rsid w:val="70F5661B"/>
    <w:rsid w:val="71360107"/>
    <w:rsid w:val="713B688E"/>
    <w:rsid w:val="7143471F"/>
    <w:rsid w:val="71D43752"/>
    <w:rsid w:val="71F1796A"/>
    <w:rsid w:val="72154626"/>
    <w:rsid w:val="72262B5D"/>
    <w:rsid w:val="72283FF7"/>
    <w:rsid w:val="722E7212"/>
    <w:rsid w:val="723A0474"/>
    <w:rsid w:val="725923E4"/>
    <w:rsid w:val="72852860"/>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066F4"/>
    <w:rsid w:val="7B7468F8"/>
    <w:rsid w:val="7BEE0103"/>
    <w:rsid w:val="7C0A0FE4"/>
    <w:rsid w:val="7C254906"/>
    <w:rsid w:val="7C590818"/>
    <w:rsid w:val="7C6819CF"/>
    <w:rsid w:val="7C7C10F6"/>
    <w:rsid w:val="7C853BEA"/>
    <w:rsid w:val="7C881368"/>
    <w:rsid w:val="7CE27788"/>
    <w:rsid w:val="7CF7112C"/>
    <w:rsid w:val="7D0C32F1"/>
    <w:rsid w:val="7D0F408D"/>
    <w:rsid w:val="7D491C6C"/>
    <w:rsid w:val="7D5429C0"/>
    <w:rsid w:val="7D553C43"/>
    <w:rsid w:val="7D6E6D43"/>
    <w:rsid w:val="7DB57A34"/>
    <w:rsid w:val="7DE60973"/>
    <w:rsid w:val="7DEF0916"/>
    <w:rsid w:val="7E1E5218"/>
    <w:rsid w:val="7E1E5516"/>
    <w:rsid w:val="7E7D796F"/>
    <w:rsid w:val="7E9A4E1F"/>
    <w:rsid w:val="7EA7723A"/>
    <w:rsid w:val="7ED152B8"/>
    <w:rsid w:val="7EF56FBB"/>
    <w:rsid w:val="7F0768EB"/>
    <w:rsid w:val="7F143BEC"/>
    <w:rsid w:val="7F715AF2"/>
    <w:rsid w:val="7F886E69"/>
    <w:rsid w:val="7FC0595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8"/>
    <w:qFormat/>
    <w:uiPriority w:val="0"/>
    <w:pPr>
      <w:shd w:val="clear" w:color="auto" w:fill="000080"/>
    </w:pPr>
  </w:style>
  <w:style w:type="paragraph" w:styleId="19">
    <w:name w:val="annotation text"/>
    <w:basedOn w:val="1"/>
    <w:link w:val="856"/>
    <w:qFormat/>
    <w:uiPriority w:val="99"/>
    <w:pPr>
      <w:jc w:val="left"/>
    </w:pPr>
  </w:style>
  <w:style w:type="paragraph" w:styleId="20">
    <w:name w:val="Salutation"/>
    <w:basedOn w:val="1"/>
    <w:next w:val="1"/>
    <w:link w:val="816"/>
    <w:qFormat/>
    <w:uiPriority w:val="0"/>
    <w:rPr>
      <w:rFonts w:ascii="仿宋_GB2312" w:eastAsia="仿宋_GB2312"/>
      <w:sz w:val="28"/>
      <w:szCs w:val="20"/>
    </w:rPr>
  </w:style>
  <w:style w:type="paragraph" w:styleId="21">
    <w:name w:val="Body Text 3"/>
    <w:basedOn w:val="1"/>
    <w:link w:val="84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5"/>
    <w:qFormat/>
    <w:uiPriority w:val="0"/>
    <w:pPr>
      <w:ind w:firstLine="420"/>
    </w:pPr>
    <w:rPr>
      <w:rFonts w:hAnsi="Calibri" w:cs="Times New Roman"/>
      <w:szCs w:val="20"/>
    </w:rPr>
  </w:style>
  <w:style w:type="paragraph" w:styleId="25">
    <w:name w:val="Body Text Indent"/>
    <w:basedOn w:val="1"/>
    <w:next w:val="26"/>
    <w:link w:val="784"/>
    <w:qFormat/>
    <w:uiPriority w:val="0"/>
    <w:pPr>
      <w:spacing w:line="480" w:lineRule="exact"/>
      <w:ind w:firstLine="480" w:firstLineChars="200"/>
    </w:pPr>
    <w:rPr>
      <w:rFonts w:ascii="宋体" w:hAnsi="宋体"/>
      <w:sz w:val="24"/>
    </w:rPr>
  </w:style>
  <w:style w:type="paragraph" w:customStyle="1" w:styleId="26">
    <w:name w:val="正文文本首行缩进 21"/>
    <w:basedOn w:val="25"/>
    <w:qFormat/>
    <w:uiPriority w:val="99"/>
    <w:pPr>
      <w:spacing w:line="200" w:lineRule="atLeast"/>
      <w:ind w:firstLine="420"/>
    </w:pPr>
    <w:rPr>
      <w:rFonts w:hAnsi="Courier New"/>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0"/>
    <w:qFormat/>
    <w:uiPriority w:val="0"/>
    <w:pPr>
      <w:ind w:left="100" w:leftChars="2500"/>
    </w:pPr>
    <w:rPr>
      <w:rFonts w:ascii="宋体"/>
      <w:sz w:val="24"/>
      <w:szCs w:val="21"/>
      <w:lang w:val="zh-CN"/>
    </w:rPr>
  </w:style>
  <w:style w:type="paragraph" w:styleId="38">
    <w:name w:val="Body Text Indent 2"/>
    <w:basedOn w:val="1"/>
    <w:link w:val="824"/>
    <w:qFormat/>
    <w:uiPriority w:val="0"/>
    <w:pPr>
      <w:spacing w:line="360" w:lineRule="auto"/>
      <w:ind w:firstLine="601"/>
      <w:textAlignment w:val="baseline"/>
    </w:pPr>
    <w:rPr>
      <w:rFonts w:ascii="宋体"/>
      <w:kern w:val="0"/>
      <w:sz w:val="28"/>
      <w:szCs w:val="20"/>
    </w:rPr>
  </w:style>
  <w:style w:type="paragraph" w:styleId="39">
    <w:name w:val="endnote text"/>
    <w:basedOn w:val="1"/>
    <w:link w:val="941"/>
    <w:qFormat/>
    <w:uiPriority w:val="0"/>
    <w:rPr>
      <w:lang w:val="zh-CN"/>
    </w:rPr>
  </w:style>
  <w:style w:type="paragraph" w:styleId="40">
    <w:name w:val="Balloon Text"/>
    <w:basedOn w:val="1"/>
    <w:link w:val="717"/>
    <w:qFormat/>
    <w:uiPriority w:val="0"/>
    <w:rPr>
      <w:sz w:val="18"/>
      <w:szCs w:val="18"/>
    </w:rPr>
  </w:style>
  <w:style w:type="paragraph" w:styleId="41">
    <w:name w:val="footer"/>
    <w:basedOn w:val="1"/>
    <w:link w:val="892"/>
    <w:qFormat/>
    <w:uiPriority w:val="99"/>
    <w:pPr>
      <w:tabs>
        <w:tab w:val="center" w:pos="4153"/>
        <w:tab w:val="right" w:pos="8306"/>
      </w:tabs>
      <w:snapToGrid w:val="0"/>
      <w:jc w:val="left"/>
    </w:pPr>
    <w:rPr>
      <w:sz w:val="18"/>
      <w:szCs w:val="18"/>
    </w:rPr>
  </w:style>
  <w:style w:type="paragraph" w:styleId="42">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82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3"/>
    <w:qFormat/>
    <w:uiPriority w:val="0"/>
    <w:rPr>
      <w:b/>
      <w:bCs/>
    </w:rPr>
  </w:style>
  <w:style w:type="paragraph" w:styleId="62">
    <w:name w:val="Body Text First Indent 2"/>
    <w:basedOn w:val="25"/>
    <w:next w:val="24"/>
    <w:link w:val="656"/>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文本首行缩进 2"/>
    <w:basedOn w:val="81"/>
    <w:qFormat/>
    <w:uiPriority w:val="99"/>
    <w:pPr>
      <w:tabs>
        <w:tab w:val="right" w:leader="dot" w:pos="8268"/>
      </w:tabs>
      <w:spacing w:line="200" w:lineRule="atLeast"/>
      <w:ind w:firstLine="420"/>
    </w:pPr>
    <w:rPr>
      <w:rFonts w:ascii="宋体" w:hAnsi="Courier New"/>
      <w:spacing w:val="-4"/>
      <w:sz w:val="18"/>
    </w:rPr>
  </w:style>
  <w:style w:type="paragraph" w:customStyle="1" w:styleId="81">
    <w:name w:val="正文缩进1"/>
    <w:basedOn w:val="82"/>
    <w:next w:val="80"/>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33"/>
    <w:next w:val="83"/>
    <w:qFormat/>
    <w:uiPriority w:val="0"/>
    <w:pPr>
      <w:ind w:left="0" w:leftChars="0" w:firstLine="480" w:firstLineChars="200"/>
    </w:pPr>
    <w:rPr>
      <w:rFonts w:ascii="仿宋_GB2312" w:hAnsi="Courier New" w:eastAsia="仿宋_GB2312"/>
      <w:kern w:val="28"/>
      <w:sz w:val="24"/>
    </w:rPr>
  </w:style>
  <w:style w:type="paragraph" w:customStyle="1" w:styleId="83">
    <w:name w:val="标题 21"/>
    <w:basedOn w:val="82"/>
    <w:next w:val="82"/>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4">
    <w:name w:val="正文首行缩进 21"/>
    <w:basedOn w:val="85"/>
    <w:next w:val="1"/>
    <w:qFormat/>
    <w:uiPriority w:val="0"/>
    <w:pPr>
      <w:widowControl/>
      <w:spacing w:after="120" w:afterLines="0" w:afterAutospacing="0"/>
      <w:ind w:firstLine="210"/>
    </w:pPr>
    <w:rPr>
      <w:color w:val="000000"/>
      <w:sz w:val="21"/>
    </w:rPr>
  </w:style>
  <w:style w:type="paragraph" w:customStyle="1" w:styleId="85">
    <w:name w:val="正文文本缩进1"/>
    <w:basedOn w:val="1"/>
    <w:next w:val="1"/>
    <w:qFormat/>
    <w:uiPriority w:val="0"/>
    <w:pPr>
      <w:widowControl/>
      <w:spacing w:after="120" w:afterLines="0" w:afterAutospacing="0"/>
      <w:ind w:left="420"/>
    </w:pPr>
    <w:rPr>
      <w:color w:val="000000"/>
      <w:sz w:val="21"/>
    </w:rPr>
  </w:style>
  <w:style w:type="paragraph" w:customStyle="1" w:styleId="86">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65"/>
    <w:qFormat/>
    <w:uiPriority w:val="0"/>
    <w:pPr>
      <w:spacing w:before="156" w:line="360" w:lineRule="auto"/>
      <w:ind w:firstLine="510" w:firstLineChars="200"/>
    </w:pPr>
    <w:rPr>
      <w:sz w:val="24"/>
      <w:szCs w:val="20"/>
    </w:rPr>
  </w:style>
  <w:style w:type="paragraph" w:customStyle="1" w:styleId="92">
    <w:name w:val="无间隔1"/>
    <w:link w:val="673"/>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1"/>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2"/>
    <w:link w:val="700"/>
    <w:qFormat/>
    <w:uiPriority w:val="0"/>
    <w:pPr>
      <w:snapToGrid w:val="0"/>
      <w:spacing w:before="240" w:after="240" w:line="240" w:lineRule="auto"/>
      <w:ind w:left="0" w:firstLine="0"/>
      <w:jc w:val="center"/>
    </w:pPr>
    <w:rPr>
      <w:rFonts w:ascii="Calibri" w:hAnsi="Calibri" w:eastAsia="宋体"/>
      <w:kern w:val="0"/>
      <w:szCs w:val="20"/>
    </w:rPr>
  </w:style>
  <w:style w:type="paragraph" w:customStyle="1" w:styleId="97">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6"/>
    <w:qFormat/>
    <w:uiPriority w:val="0"/>
    <w:pPr>
      <w:ind w:left="0" w:right="466" w:firstLine="288"/>
    </w:pPr>
    <w:rPr>
      <w:rFonts w:hAnsi="宋体"/>
    </w:rPr>
  </w:style>
  <w:style w:type="paragraph" w:customStyle="1" w:styleId="99">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5"/>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68"/>
    <w:qFormat/>
    <w:uiPriority w:val="0"/>
    <w:pPr>
      <w:adjustRightInd/>
      <w:spacing w:line="360" w:lineRule="auto"/>
      <w:ind w:firstLine="480" w:firstLineChars="200"/>
    </w:pPr>
    <w:rPr>
      <w:kern w:val="0"/>
      <w:sz w:val="24"/>
    </w:rPr>
  </w:style>
  <w:style w:type="paragraph" w:customStyle="1" w:styleId="104">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列表段落1"/>
    <w:basedOn w:val="1"/>
    <w:qFormat/>
    <w:uiPriority w:val="34"/>
    <w:pPr>
      <w:spacing w:line="360" w:lineRule="auto"/>
      <w:ind w:firstLine="200" w:firstLineChars="200"/>
    </w:pPr>
    <w:rPr>
      <w:rFonts w:eastAsia="楷体_GB2312" w:cs="Lucida Sans"/>
      <w:sz w:val="24"/>
    </w:rPr>
  </w:style>
  <w:style w:type="paragraph" w:customStyle="1" w:styleId="107">
    <w:name w:val="此正文"/>
    <w:basedOn w:val="1"/>
    <w:link w:val="799"/>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1"/>
    <w:qFormat/>
    <w:uiPriority w:val="0"/>
    <w:pPr>
      <w:tabs>
        <w:tab w:val="left" w:pos="2356"/>
      </w:tabs>
    </w:pPr>
  </w:style>
  <w:style w:type="paragraph" w:customStyle="1" w:styleId="109">
    <w:name w:val="样式 标题 4h4H4Fab-4T5Ref Heading 1rh1Heading sqlsect 1.2.3...."/>
    <w:basedOn w:val="5"/>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4"/>
    <w:qFormat/>
    <w:uiPriority w:val="0"/>
    <w:pPr>
      <w:adjustRightInd/>
    </w:pPr>
    <w:rPr>
      <w:rFonts w:ascii="宋体" w:hAnsi="Courier New"/>
      <w:kern w:val="0"/>
      <w:sz w:val="20"/>
      <w:szCs w:val="20"/>
    </w:rPr>
  </w:style>
  <w:style w:type="paragraph" w:customStyle="1" w:styleId="112">
    <w:name w:val="正文说明"/>
    <w:basedOn w:val="1"/>
    <w:link w:val="846"/>
    <w:qFormat/>
    <w:uiPriority w:val="0"/>
    <w:pPr>
      <w:adjustRightInd/>
      <w:spacing w:line="360" w:lineRule="auto"/>
    </w:pPr>
    <w:rPr>
      <w:kern w:val="0"/>
      <w:sz w:val="24"/>
    </w:rPr>
  </w:style>
  <w:style w:type="paragraph" w:customStyle="1" w:styleId="113">
    <w:name w:val="Table Text"/>
    <w:basedOn w:val="1"/>
    <w:link w:val="852"/>
    <w:qFormat/>
    <w:uiPriority w:val="0"/>
    <w:pPr>
      <w:widowControl/>
      <w:spacing w:before="60" w:after="60"/>
      <w:jc w:val="left"/>
    </w:pPr>
    <w:rPr>
      <w:kern w:val="0"/>
      <w:sz w:val="24"/>
    </w:rPr>
  </w:style>
  <w:style w:type="paragraph" w:customStyle="1" w:styleId="114">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1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5"/>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10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无间隔2"/>
    <w:basedOn w:val="1"/>
    <w:link w:val="942"/>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4"/>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6"/>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4"/>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5"/>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7"/>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2"/>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3"/>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5"/>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8"/>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4"/>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3"/>
    <w:qFormat/>
    <w:uiPriority w:val="0"/>
    <w:pPr>
      <w:snapToGrid w:val="0"/>
      <w:ind w:firstLine="480" w:firstLineChars="200"/>
    </w:pPr>
    <w:rPr>
      <w:rFonts w:ascii="Times New Roman"/>
      <w:szCs w:val="24"/>
      <w:lang w:val="en-US"/>
    </w:rPr>
  </w:style>
  <w:style w:type="paragraph" w:customStyle="1" w:styleId="45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9"/>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4"/>
    <w:next w:val="329"/>
    <w:qFormat/>
    <w:uiPriority w:val="0"/>
    <w:pPr>
      <w:tabs>
        <w:tab w:val="left" w:pos="2940"/>
        <w:tab w:val="clear" w:pos="2520"/>
      </w:tabs>
      <w:ind w:left="2940"/>
      <w:outlineLvl w:val="5"/>
    </w:pPr>
  </w:style>
  <w:style w:type="paragraph" w:customStyle="1" w:styleId="48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qFormat/>
    <w:uiPriority w:val="0"/>
    <w:rPr>
      <w:rFonts w:ascii="仿宋_GB2312" w:eastAsia="仿宋_GB2312"/>
      <w:b/>
      <w:sz w:val="32"/>
      <w:szCs w:val="32"/>
    </w:rPr>
  </w:style>
  <w:style w:type="paragraph" w:customStyle="1" w:styleId="48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3"/>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18"/>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6"/>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1"/>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7"/>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6"/>
    <w:next w:val="1"/>
    <w:qFormat/>
    <w:uiPriority w:val="0"/>
    <w:pPr>
      <w:tabs>
        <w:tab w:val="left" w:pos="1080"/>
        <w:tab w:val="clear" w:pos="1008"/>
      </w:tabs>
      <w:ind w:left="1080" w:hanging="1080"/>
    </w:pPr>
  </w:style>
  <w:style w:type="paragraph" w:customStyle="1" w:styleId="584">
    <w:name w:val="数字标题1"/>
    <w:basedOn w:val="3"/>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2"/>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1"/>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10">
    <w:name w:val="_Style 947"/>
    <w:basedOn w:val="1"/>
    <w:next w:val="106"/>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2"/>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2">
    <w:name w:val="表格非标题文字 Char"/>
    <w:link w:val="86"/>
    <w:qFormat/>
    <w:uiPriority w:val="0"/>
    <w:rPr>
      <w:rFonts w:ascii="Futura Bk" w:hAnsi="Futura Bk"/>
      <w:kern w:val="2"/>
      <w:sz w:val="18"/>
      <w:szCs w:val="21"/>
      <w:lang w:val="en-US" w:eastAsia="zh-CN" w:bidi="ar-SA"/>
    </w:rPr>
  </w:style>
  <w:style w:type="character" w:customStyle="1" w:styleId="623">
    <w:name w:val="*正文 Char"/>
    <w:link w:val="87"/>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8"/>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字符"/>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9"/>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90"/>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文本首行缩进 2 字符"/>
    <w:link w:val="6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0"/>
    <w:qFormat/>
    <w:uiPriority w:val="0"/>
    <w:rPr>
      <w:rFonts w:ascii="Arial" w:hAnsi="Arial" w:eastAsia="黑体" w:cs="Arial"/>
      <w:snapToGrid w:val="0"/>
      <w:kern w:val="0"/>
      <w:szCs w:val="21"/>
    </w:rPr>
  </w:style>
  <w:style w:type="character" w:customStyle="1" w:styleId="660">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91"/>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字符"/>
    <w:link w:val="48"/>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2"/>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字符"/>
    <w:link w:val="7"/>
    <w:qFormat/>
    <w:uiPriority w:val="0"/>
    <w:rPr>
      <w:rFonts w:ascii="Arial" w:hAnsi="Arial" w:eastAsia="黑体"/>
      <w:b/>
      <w:bCs/>
      <w:kern w:val="2"/>
      <w:sz w:val="24"/>
      <w:szCs w:val="24"/>
    </w:rPr>
  </w:style>
  <w:style w:type="character" w:customStyle="1" w:styleId="681">
    <w:name w:val="纯文本 Char_0"/>
    <w:link w:val="93"/>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5"/>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6"/>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字符"/>
    <w:link w:val="37"/>
    <w:qFormat/>
    <w:uiPriority w:val="0"/>
    <w:rPr>
      <w:rFonts w:ascii="宋体"/>
      <w:kern w:val="2"/>
      <w:sz w:val="24"/>
      <w:szCs w:val="21"/>
      <w:lang w:val="zh-CN"/>
    </w:rPr>
  </w:style>
  <w:style w:type="character" w:customStyle="1" w:styleId="711">
    <w:name w:val="标题 9 字符"/>
    <w:link w:val="10"/>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字符1"/>
    <w:link w:val="40"/>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7"/>
    <w:qFormat/>
    <w:locked/>
    <w:uiPriority w:val="0"/>
    <w:rPr>
      <w:rFonts w:ascii="Tahoma" w:hAnsi="Tahoma"/>
      <w:sz w:val="24"/>
      <w:szCs w:val="24"/>
    </w:rPr>
  </w:style>
  <w:style w:type="character" w:customStyle="1" w:styleId="721">
    <w:name w:val="正文缩进 字符2"/>
    <w:link w:val="1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8"/>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字符"/>
    <w:link w:val="18"/>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0"/>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字符"/>
    <w:link w:val="31"/>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100"/>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101"/>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字符"/>
    <w:link w:val="16"/>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2"/>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3"/>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4"/>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5"/>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字符1"/>
    <w:link w:val="25"/>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7"/>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字符1"/>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字符"/>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字符"/>
    <w:link w:val="6"/>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字符"/>
    <w:link w:val="20"/>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字符"/>
    <w:link w:val="58"/>
    <w:qFormat/>
    <w:uiPriority w:val="0"/>
    <w:rPr>
      <w:rFonts w:ascii="黑体" w:hAnsi="Courier New" w:eastAsia="黑体"/>
    </w:rPr>
  </w:style>
  <w:style w:type="character" w:customStyle="1" w:styleId="820">
    <w:name w:val="正文文本 2 字符1"/>
    <w:link w:val="57"/>
    <w:qFormat/>
    <w:uiPriority w:val="0"/>
    <w:rPr>
      <w:kern w:val="2"/>
      <w:sz w:val="21"/>
      <w:szCs w:val="24"/>
    </w:rPr>
  </w:style>
  <w:style w:type="character" w:customStyle="1" w:styleId="821">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字符"/>
    <w:link w:val="8"/>
    <w:qFormat/>
    <w:uiPriority w:val="0"/>
    <w:rPr>
      <w:b/>
      <w:bCs/>
      <w:kern w:val="2"/>
      <w:sz w:val="24"/>
      <w:szCs w:val="24"/>
    </w:rPr>
  </w:style>
  <w:style w:type="character" w:customStyle="1" w:styleId="824">
    <w:name w:val="正文文本缩进 2 字符"/>
    <w:link w:val="38"/>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字符"/>
    <w:link w:val="51"/>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10"/>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11"/>
    <w:qFormat/>
    <w:uiPriority w:val="0"/>
    <w:rPr>
      <w:rFonts w:ascii="宋体" w:hAnsi="Courier New"/>
    </w:rPr>
  </w:style>
  <w:style w:type="character" w:customStyle="1" w:styleId="835">
    <w:name w:val="正文文本首行缩进 字符"/>
    <w:link w:val="2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字符1"/>
    <w:link w:val="5"/>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字符"/>
    <w:link w:val="21"/>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2"/>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3"/>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字符1"/>
    <w:link w:val="19"/>
    <w:qFormat/>
    <w:uiPriority w:val="0"/>
    <w:rPr>
      <w:kern w:val="2"/>
      <w:sz w:val="21"/>
      <w:szCs w:val="24"/>
    </w:rPr>
  </w:style>
  <w:style w:type="character" w:customStyle="1" w:styleId="857">
    <w:name w:val="签名 字符"/>
    <w:link w:val="43"/>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4"/>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5"/>
    <w:qFormat/>
    <w:uiPriority w:val="0"/>
    <w:rPr>
      <w:rFonts w:ascii="宋体"/>
    </w:rPr>
  </w:style>
  <w:style w:type="character" w:customStyle="1" w:styleId="868">
    <w:name w:val="标题 8 字符"/>
    <w:link w:val="9"/>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字符"/>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6"/>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字符2"/>
    <w:link w:val="41"/>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7"/>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字符2"/>
    <w:link w:val="42"/>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8"/>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9"/>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20"/>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21"/>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0"/>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2"/>
    <w:qFormat/>
    <w:uiPriority w:val="0"/>
    <w:rPr>
      <w:rFonts w:cs="宋体"/>
      <w:kern w:val="2"/>
      <w:sz w:val="24"/>
    </w:rPr>
  </w:style>
  <w:style w:type="character" w:customStyle="1" w:styleId="933">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70"/>
    <w:qFormat/>
    <w:uiPriority w:val="0"/>
    <w:rPr>
      <w:rFonts w:ascii="Arial" w:hAnsi="Arial" w:eastAsia="黑体" w:cs="Arial"/>
      <w:snapToGrid w:val="0"/>
      <w:kern w:val="0"/>
      <w:szCs w:val="21"/>
    </w:rPr>
  </w:style>
  <w:style w:type="character" w:customStyle="1" w:styleId="935">
    <w:name w:val="hui"/>
    <w:basedOn w:val="70"/>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字符"/>
    <w:link w:val="39"/>
    <w:qFormat/>
    <w:uiPriority w:val="0"/>
    <w:rPr>
      <w:kern w:val="2"/>
      <w:sz w:val="21"/>
      <w:szCs w:val="24"/>
      <w:lang w:val="zh-CN"/>
    </w:rPr>
  </w:style>
  <w:style w:type="character" w:customStyle="1" w:styleId="942">
    <w:name w:val="无间隔 Char"/>
    <w:link w:val="172"/>
    <w:qFormat/>
    <w:uiPriority w:val="99"/>
    <w:rPr>
      <w:kern w:val="2"/>
      <w:sz w:val="21"/>
      <w:szCs w:val="22"/>
    </w:rPr>
  </w:style>
  <w:style w:type="character" w:customStyle="1" w:styleId="943">
    <w:name w:val="标准文本 Char Char"/>
    <w:link w:val="609"/>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0"/>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6">
    <w:name w:val="[Normal]"/>
    <w:qFormat/>
    <w:uiPriority w:val="0"/>
    <w:rPr>
      <w:rFonts w:ascii="宋体" w:hAnsi="宋体" w:eastAsia="宋体" w:cs="Times New Roman"/>
      <w:sz w:val="24"/>
      <w:szCs w:val="22"/>
      <w:lang w:val="zh-CN" w:eastAsia="zh-CN" w:bidi="ar-SA"/>
    </w:rPr>
  </w:style>
  <w:style w:type="paragraph" w:customStyle="1" w:styleId="967">
    <w:name w:val="No Spacing1"/>
    <w:qFormat/>
    <w:uiPriority w:val="0"/>
    <w:rPr>
      <w:rFonts w:ascii="Times New Roman" w:hAnsi="Times New Roman" w:eastAsia="??" w:cs="宋体"/>
      <w:sz w:val="22"/>
      <w:szCs w:val="22"/>
      <w:lang w:val="en-US" w:eastAsia="en-US" w:bidi="ar-SA"/>
    </w:rPr>
  </w:style>
  <w:style w:type="paragraph" w:customStyle="1" w:styleId="968">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9">
    <w:name w:val="Normal Indent1"/>
    <w:basedOn w:val="1"/>
    <w:qFormat/>
    <w:uiPriority w:val="0"/>
    <w:pPr>
      <w:ind w:firstLine="420"/>
    </w:pPr>
    <w:rPr>
      <w:rFonts w:ascii="Times New Roman" w:hAnsi="Times New Roman"/>
      <w:szCs w:val="20"/>
    </w:rPr>
  </w:style>
  <w:style w:type="paragraph" w:customStyle="1" w:styleId="970">
    <w:name w:val="List Paragraph"/>
    <w:basedOn w:val="1"/>
    <w:qFormat/>
    <w:uiPriority w:val="34"/>
    <w:pPr>
      <w:ind w:firstLine="420" w:firstLineChars="200"/>
    </w:pPr>
  </w:style>
  <w:style w:type="paragraph" w:customStyle="1" w:styleId="971">
    <w:name w:val="Plain Text"/>
    <w:basedOn w:val="1"/>
    <w:qFormat/>
    <w:uiPriority w:val="0"/>
    <w:pPr>
      <w:spacing w:before="156" w:beforeLines="50" w:after="156" w:afterLines="50" w:line="400" w:lineRule="exact"/>
    </w:pPr>
    <w:rPr>
      <w:rFonts w:ascii="宋体" w:hAnsi="Courier New"/>
      <w:sz w:val="24"/>
    </w:rPr>
  </w:style>
  <w:style w:type="paragraph" w:customStyle="1" w:styleId="972">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耀华建设管理有限公司</Company>
  <Pages>80</Pages>
  <Words>43608</Words>
  <Characters>46276</Characters>
  <Lines>279</Lines>
  <Paragraphs>78</Paragraphs>
  <TotalTime>5</TotalTime>
  <ScaleCrop>false</ScaleCrop>
  <LinksUpToDate>false</LinksUpToDate>
  <CharactersWithSpaces>50644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招标文件</cp:category>
  <dcterms:created xsi:type="dcterms:W3CDTF">2022-01-27T12:24:00Z</dcterms:created>
  <dc:creator>单工</dc:creator>
  <cp:lastModifiedBy>成燕</cp:lastModifiedBy>
  <cp:lastPrinted>2022-01-27T12:24:00Z</cp:lastPrinted>
  <dcterms:modified xsi:type="dcterms:W3CDTF">2022-03-23T17:17:50Z</dcterms:modified>
  <dc:title>耀华电子招投标文件范本</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9B58691DB53C4FD59C608616E4B50C36</vt:lpwstr>
  </property>
</Properties>
</file>