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0000FF"/>
          <w:sz w:val="48"/>
          <w:szCs w:val="48"/>
          <w:lang w:eastAsia="zh-CN"/>
        </w:rPr>
      </w:pPr>
      <w:r>
        <w:rPr>
          <w:rFonts w:hint="eastAsia" w:ascii="宋体" w:hAnsi="宋体" w:cs="宋体"/>
          <w:color w:val="auto"/>
          <w:sz w:val="48"/>
          <w:szCs w:val="48"/>
          <w:lang w:eastAsia="zh-CN"/>
        </w:rPr>
        <w:t>杭州住房公积金管理中心临安分中心2023年部分窗口业务服务外包采购项目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临[2023]269号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24"/>
        <w:rPr>
          <w:rFonts w:ascii="宋体" w:hAnsi="宋体" w:cs="宋体"/>
          <w:sz w:val="24"/>
        </w:rPr>
      </w:pPr>
    </w:p>
    <w:p>
      <w:pPr>
        <w:pStyle w:val="25"/>
        <w:rPr>
          <w:rFonts w:ascii="宋体" w:hAnsi="宋体" w:cs="宋体"/>
          <w:sz w:val="24"/>
        </w:rPr>
      </w:pPr>
    </w:p>
    <w:p>
      <w:pPr>
        <w:pStyle w:val="26"/>
        <w:rPr>
          <w:rFonts w:ascii="宋体" w:hAnsi="宋体" w:cs="宋体"/>
          <w:sz w:val="24"/>
        </w:rPr>
      </w:pPr>
    </w:p>
    <w:p>
      <w:pPr>
        <w:rPr>
          <w:rFonts w:ascii="宋体" w:hAnsi="宋体" w:cs="宋体"/>
          <w:sz w:val="24"/>
        </w:rPr>
      </w:pPr>
    </w:p>
    <w:p>
      <w:pPr>
        <w:pStyle w:val="24"/>
        <w:rPr>
          <w:rFonts w:ascii="宋体" w:hAnsi="宋体" w:cs="宋体"/>
          <w:sz w:val="24"/>
        </w:rPr>
      </w:pPr>
    </w:p>
    <w:p>
      <w:pPr>
        <w:pStyle w:val="25"/>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lang w:eastAsia="zh-CN"/>
        </w:rPr>
        <w:t>杭州住房公积金管理中心临安分中心</w:t>
      </w:r>
    </w:p>
    <w:p>
      <w:pPr>
        <w:snapToGrid w:val="0"/>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eastAsia="zh-CN"/>
        </w:rPr>
        <w:t>杭州建设工程造价咨询有限公司</w:t>
      </w: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eastAsia="宋体" w:cs="宋体"/>
          <w:sz w:val="30"/>
          <w:szCs w:val="30"/>
          <w:lang w:val="en-US" w:eastAsia="zh-CN"/>
        </w:rPr>
        <w:t>三</w:t>
      </w:r>
      <w:r>
        <w:rPr>
          <w:rFonts w:hint="eastAsia" w:ascii="宋体" w:hAnsi="宋体" w:eastAsia="宋体" w:cs="宋体"/>
          <w:sz w:val="30"/>
          <w:szCs w:val="30"/>
        </w:rPr>
        <w:t>年</w:t>
      </w:r>
      <w:r>
        <w:rPr>
          <w:rFonts w:hint="eastAsia" w:ascii="宋体" w:hAnsi="宋体" w:eastAsia="宋体" w:cs="宋体"/>
          <w:sz w:val="30"/>
          <w:szCs w:val="30"/>
          <w:lang w:val="en-US" w:eastAsia="zh-CN"/>
        </w:rPr>
        <w:t>三</w:t>
      </w:r>
      <w:r>
        <w:rPr>
          <w:rFonts w:hint="eastAsia" w:ascii="宋体" w:hAnsi="宋体" w:eastAsia="宋体" w:cs="宋体"/>
          <w:sz w:val="30"/>
          <w:szCs w:val="30"/>
        </w:rPr>
        <w:t>月</w:t>
      </w:r>
    </w:p>
    <w:p>
      <w:pPr>
        <w:snapToGrid w:val="0"/>
        <w:spacing w:line="360" w:lineRule="auto"/>
        <w:jc w:val="center"/>
        <w:rPr>
          <w:rFonts w:ascii="宋体" w:hAnsi="宋体" w:cs="宋体"/>
          <w:bCs/>
          <w:color w:val="FF0000"/>
          <w:sz w:val="32"/>
          <w:szCs w:val="32"/>
        </w:rPr>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杭州住房公积金管理中心临安分中心2023年部分窗口业务服务外包采购项目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临[2023]269号</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杭州住房公积金管理中心临安分中心2023年部分窗口业务服务外包采购项目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 xml:space="preserve">1007000.00 </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 xml:space="preserve">1007000.00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杭州住房公积金管理中心临安分中心2023年部分窗口业务服务外包采购项目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cs="Times New Roman" w:asciiTheme="minorEastAsia" w:hAnsiTheme="minorEastAsia" w:eastAsiaTheme="minorEastAsia"/>
          <w:snapToGrid/>
          <w:color w:val="auto"/>
          <w:kern w:val="2"/>
          <w:sz w:val="24"/>
          <w:szCs w:val="24"/>
          <w:lang w:val="en-US" w:eastAsia="zh-CN" w:bidi="ar-SA"/>
        </w:rPr>
        <w:t xml:space="preserve">壹年。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r>
        <w:rPr>
          <w:rFonts w:hint="eastAsia" w:ascii="宋体" w:hAnsi="宋体" w:cs="宋体"/>
          <w:color w:val="auto"/>
          <w:sz w:val="24"/>
        </w:rPr>
        <w:t>；</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仿宋" w:hAnsi="仿宋" w:eastAsia="仿宋" w:cs="仿宋"/>
          <w:sz w:val="24"/>
        </w:rPr>
        <w:t xml:space="preserve">  </w:t>
      </w:r>
      <w:r>
        <w:rPr>
          <w:rFonts w:hint="eastAsia" w:ascii="宋体" w:hAnsi="宋体" w:eastAsia="宋体" w:cs="宋体"/>
          <w:sz w:val="24"/>
        </w:rPr>
        <w:t>1.采购人信息</w:t>
      </w:r>
    </w:p>
    <w:p>
      <w:pPr>
        <w:spacing w:line="360" w:lineRule="auto"/>
        <w:rPr>
          <w:rFonts w:hint="eastAsia" w:ascii="宋体" w:hAnsi="宋体" w:eastAsia="宋体" w:cs="宋体"/>
          <w:sz w:val="24"/>
          <w:highlight w:val="none"/>
        </w:rPr>
      </w:pPr>
      <w:r>
        <w:rPr>
          <w:rFonts w:hint="eastAsia" w:ascii="宋体" w:hAnsi="宋体" w:eastAsia="宋体" w:cs="宋体"/>
          <w:sz w:val="24"/>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名    称：杭州住房公积金管理中心临安分中心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址：临安区锦北街道科技大道4398号市民中心4号楼B座7楼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传    真：/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项目联系人（询问）：张秋琴</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项目联系方式（询问）：0571-63808166</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质疑联系人：季晓云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质疑联系方式：0571-61082393</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名</w:t>
      </w:r>
      <w:r>
        <w:rPr>
          <w:rFonts w:hint="eastAsia" w:ascii="宋体" w:hAnsi="宋体" w:eastAsia="宋体" w:cs="宋体"/>
          <w:sz w:val="24"/>
          <w:lang w:val="en-US" w:eastAsia="zh-CN"/>
        </w:rPr>
        <w:t xml:space="preserve">    </w:t>
      </w:r>
      <w:r>
        <w:rPr>
          <w:rFonts w:hint="eastAsia" w:ascii="宋体" w:hAnsi="宋体" w:eastAsia="宋体" w:cs="宋体"/>
          <w:sz w:val="24"/>
        </w:rPr>
        <w:t>称：杭州建设工程造价咨询有限公司</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 xml:space="preserve">址：杭州市临安区锦北街道马溪路667号1号楼2楼  </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lang w:val="en-US" w:eastAsia="zh-CN"/>
        </w:rPr>
        <w:t xml:space="preserve">    </w:t>
      </w:r>
      <w:r>
        <w:rPr>
          <w:rFonts w:hint="eastAsia" w:ascii="宋体" w:hAnsi="宋体" w:eastAsia="宋体" w:cs="宋体"/>
          <w:sz w:val="24"/>
        </w:rPr>
        <w:t>真：/</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项目联系人（询问）：马丽</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项目联系方式（询问）：0571-61091202</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 xml:space="preserve">质疑联系人：陈浩伟  </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质疑联系方式：0571-63806616</w:t>
      </w:r>
    </w:p>
    <w:p>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称：杭州市临安区财政局政府采购监督管理科 </w:t>
      </w:r>
    </w:p>
    <w:p>
      <w:pPr>
        <w:spacing w:line="360" w:lineRule="auto"/>
        <w:rPr>
          <w:rFonts w:hint="eastAsia" w:ascii="宋体" w:hAnsi="宋体" w:eastAsia="宋体" w:cs="宋体"/>
          <w:sz w:val="24"/>
          <w:highlight w:val="none"/>
        </w:rPr>
      </w:pPr>
      <w:r>
        <w:rPr>
          <w:rFonts w:hint="eastAsia" w:ascii="宋体" w:hAnsi="宋体" w:eastAsia="宋体" w:cs="宋体"/>
          <w:sz w:val="24"/>
        </w:rPr>
        <w:t xml:space="preserve">    地    址：浙江</w:t>
      </w:r>
      <w:r>
        <w:rPr>
          <w:rFonts w:hint="eastAsia" w:ascii="宋体" w:hAnsi="宋体" w:eastAsia="宋体" w:cs="宋体"/>
          <w:sz w:val="24"/>
          <w:highlight w:val="none"/>
          <w:lang w:eastAsia="zh-CN"/>
        </w:rPr>
        <w:t>省杭州市临安区锦北街道科技大道</w:t>
      </w:r>
      <w:r>
        <w:rPr>
          <w:rFonts w:hint="eastAsia" w:ascii="宋体" w:hAnsi="宋体" w:eastAsia="宋体" w:cs="宋体"/>
          <w:sz w:val="24"/>
          <w:highlight w:val="none"/>
          <w:lang w:val="en-US" w:eastAsia="zh-CN"/>
        </w:rPr>
        <w:t>4398号4号楼11楼</w:t>
      </w:r>
      <w:r>
        <w:rPr>
          <w:rFonts w:hint="eastAsia" w:ascii="宋体" w:hAnsi="宋体" w:eastAsia="宋体" w:cs="宋体"/>
          <w:sz w:val="24"/>
          <w:highlight w:val="none"/>
        </w:rPr>
        <w:t xml:space="preserve"> </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eastAsia="宋体" w:cs="宋体"/>
          <w:sz w:val="24"/>
          <w:highlight w:val="none"/>
          <w:lang w:val="en-US" w:eastAsia="zh-CN"/>
        </w:rPr>
        <w:t>0571-</w:t>
      </w:r>
      <w:r>
        <w:rPr>
          <w:rFonts w:hint="eastAsia" w:ascii="宋体" w:hAnsi="宋体" w:eastAsia="宋体" w:cs="宋体"/>
          <w:sz w:val="24"/>
          <w:highlight w:val="none"/>
        </w:rPr>
        <w:t>89541600</w:t>
      </w:r>
    </w:p>
    <w:p>
      <w:pPr>
        <w:spacing w:line="360" w:lineRule="auto"/>
        <w:rPr>
          <w:rFonts w:hint="eastAsia" w:ascii="宋体" w:hAnsi="宋体" w:eastAsia="宋体" w:cs="宋体"/>
          <w:sz w:val="24"/>
        </w:rPr>
      </w:pPr>
      <w:r>
        <w:rPr>
          <w:rFonts w:hint="eastAsia" w:ascii="宋体" w:hAnsi="宋体" w:eastAsia="宋体" w:cs="宋体"/>
          <w:sz w:val="24"/>
        </w:rPr>
        <w:t xml:space="preserve">    联系人 ：喻先生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w:t>
      </w:r>
      <w:r>
        <w:rPr>
          <w:rFonts w:hint="eastAsia" w:ascii="宋体" w:hAnsi="宋体" w:eastAsia="宋体" w:cs="宋体"/>
          <w:sz w:val="24"/>
          <w:lang w:val="en-US" w:eastAsia="zh-CN"/>
        </w:rPr>
        <w:t>89541696、0571-89541691</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u w:val="single"/>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杭州住房公积金管理中心临安分中心2023年部分窗口业务服务外包采购项目</w:t>
            </w:r>
            <w:r>
              <w:rPr>
                <w:rFonts w:hint="eastAsia" w:ascii="宋体" w:hAnsi="宋体" w:cs="宋体"/>
                <w:color w:val="auto"/>
                <w:kern w:val="0"/>
                <w:sz w:val="24"/>
              </w:rPr>
              <w:t>，</w:t>
            </w:r>
            <w:r>
              <w:rPr>
                <w:rFonts w:hint="eastAsia" w:ascii="宋体" w:hAnsi="宋体" w:eastAsia="宋体" w:cs="宋体"/>
                <w:color w:val="auto"/>
                <w:kern w:val="0"/>
                <w:sz w:val="24"/>
                <w:u w:val="single"/>
              </w:rPr>
              <w:t>属于</w:t>
            </w:r>
            <w:r>
              <w:rPr>
                <w:rFonts w:hint="eastAsia" w:ascii="宋体" w:hAnsi="宋体" w:eastAsia="宋体" w:cs="宋体"/>
                <w:color w:val="auto"/>
                <w:kern w:val="0"/>
                <w:sz w:val="24"/>
                <w:u w:val="single"/>
                <w:lang w:eastAsia="zh-CN"/>
              </w:rPr>
              <w:t>租赁和商务服务业</w:t>
            </w:r>
            <w:r>
              <w:rPr>
                <w:rFonts w:hint="eastAsia" w:ascii="宋体" w:hAnsi="宋体" w:eastAsia="宋体" w:cs="宋体"/>
                <w:color w:val="auto"/>
                <w:kern w:val="0"/>
                <w:sz w:val="24"/>
                <w:u w:val="single"/>
              </w:rPr>
              <w:t>行业；</w:t>
            </w:r>
          </w:p>
          <w:p>
            <w:pPr>
              <w:pStyle w:val="3"/>
              <w:rPr>
                <w:rFonts w:ascii="宋体" w:hAnsi="宋体" w:eastAsia="宋体" w:cs="宋体"/>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eastAsia="宋体" w:cs="宋体"/>
                <w:sz w:val="24"/>
              </w:rPr>
              <w:t>、非关键性的</w:t>
            </w:r>
            <w:r>
              <w:rPr>
                <w:rFonts w:hint="eastAsia" w:ascii="宋体" w:hAnsi="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eastAsia="宋体" w:cs="宋体"/>
                <w:color w:val="000000"/>
                <w:sz w:val="24"/>
              </w:rPr>
            </w:pPr>
            <w:r>
              <w:rPr>
                <w:rFonts w:hint="eastAsia" w:ascii="宋体" w:hAnsi="宋体" w:eastAsia="宋体" w:cs="宋体"/>
                <w:color w:val="000000"/>
                <w:sz w:val="24"/>
              </w:rPr>
              <w:t>代理服务费参照发改价格〔2011〕534号文件、国家发改委计价格〔2002〕1980号文件规定</w:t>
            </w:r>
            <w:r>
              <w:rPr>
                <w:rFonts w:hint="eastAsia" w:ascii="宋体" w:hAnsi="宋体" w:eastAsia="宋体" w:cs="宋体"/>
                <w:color w:val="000000"/>
                <w:sz w:val="24"/>
                <w:lang w:eastAsia="zh-CN"/>
              </w:rPr>
              <w:t>八折</w:t>
            </w:r>
            <w:r>
              <w:rPr>
                <w:rFonts w:hint="eastAsia" w:ascii="宋体" w:hAnsi="宋体" w:eastAsia="宋体" w:cs="宋体"/>
                <w:color w:val="000000"/>
                <w:sz w:val="24"/>
              </w:rPr>
              <w:t>收费,单个采购项目代理服务费不足肆仟元可按肆仟元收取，代理服务收费按差额定率累进法计算。</w:t>
            </w:r>
          </w:p>
          <w:p>
            <w:pPr>
              <w:snapToGrid w:val="0"/>
              <w:spacing w:line="312" w:lineRule="auto"/>
              <w:ind w:firstLine="480" w:firstLineChars="200"/>
              <w:jc w:val="both"/>
              <w:rPr>
                <w:rFonts w:hint="eastAsia" w:ascii="宋体" w:hAnsi="宋体" w:eastAsia="宋体" w:cs="宋体"/>
                <w:color w:val="000000"/>
                <w:sz w:val="24"/>
              </w:rPr>
            </w:pPr>
            <w:r>
              <w:rPr>
                <w:rFonts w:hint="eastAsia" w:ascii="宋体" w:hAnsi="宋体" w:eastAsia="宋体" w:cs="宋体"/>
                <w:color w:val="000000"/>
                <w:sz w:val="24"/>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6"/>
                          <a:stretch>
                            <a:fillRect/>
                          </a:stretch>
                        </pic:blipFill>
                        <pic:spPr>
                          <a:xfrm>
                            <a:off x="0" y="0"/>
                            <a:ext cx="3412490" cy="1605280"/>
                          </a:xfrm>
                          <a:prstGeom prst="rect">
                            <a:avLst/>
                          </a:prstGeom>
                          <a:noFill/>
                          <a:ln>
                            <a:noFill/>
                          </a:ln>
                        </pic:spPr>
                      </pic:pic>
                    </a:graphicData>
                  </a:graphic>
                </wp:inline>
              </w:drawing>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收费对象：本项目代理服务费、专家费向中标供应商收取</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缴纳时间：中标(成交)结果公示后5个工作日内一次性付清</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缴纳形式：汇票/支票/电汇/现金</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收款单位：杭州建设工程造价咨询有限公司临安分公司</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开户银行：杭州银行临安支行</w:t>
            </w:r>
          </w:p>
          <w:p>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color w:val="000000"/>
                <w:kern w:val="0"/>
                <w:sz w:val="24"/>
              </w:rPr>
              <w:t>银行账号：3301040160003448324</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rPr>
      </w:pPr>
      <w:r>
        <w:rPr>
          <w:rFonts w:hint="eastAsia"/>
        </w:rPr>
        <w:t>4.4</w:t>
      </w:r>
      <w:r>
        <w:rPr>
          <w:rFonts w:hint="eastAsia"/>
          <w:lang w:val="en-US" w:eastAsia="zh-CN"/>
        </w:rPr>
        <w:t>.5</w:t>
      </w:r>
      <w:r>
        <w:rPr>
          <w:rFonts w:hint="eastAsia"/>
        </w:rPr>
        <w:t xml:space="preserve"> 在线质疑、投诉。</w:t>
      </w:r>
    </w:p>
    <w:p>
      <w:pPr>
        <w:pStyle w:val="886"/>
        <w:shd w:val="clear" w:color="auto" w:fill="FFFFFF"/>
        <w:snapToGrid w:val="0"/>
        <w:spacing w:after="240" w:afterAutospacing="0" w:line="360" w:lineRule="auto"/>
        <w:ind w:firstLine="400"/>
        <w:contextualSpacing/>
        <w:rPr>
          <w:rFonts w:hint="eastAsia"/>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pPr>
      <w:r>
        <w:rPr>
          <w:rFonts w:hint="eastAsia"/>
        </w:rPr>
        <w:t>投诉书范本及制作说明详见附件3。投诉书范本及制作说明详见附件3。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w:t>
      </w:r>
      <w:r>
        <w:rPr>
          <w:rFonts w:hint="eastAsia" w:ascii="宋体" w:hAnsi="宋体" w:eastAsia="宋体" w:cs="宋体"/>
          <w:sz w:val="24"/>
        </w:rPr>
        <w:t>议（如果有)；</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w:t>
      </w:r>
      <w:r>
        <w:rPr>
          <w:rFonts w:hint="eastAsia" w:ascii="宋体" w:hAnsi="宋体" w:eastAsia="宋体" w:cs="宋体"/>
          <w:sz w:val="24"/>
        </w:rPr>
        <w:t>求（如果有)；</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w:t>
      </w:r>
      <w:r>
        <w:rPr>
          <w:rFonts w:hint="eastAsia" w:ascii="宋体" w:hAnsi="宋体" w:eastAsia="宋体" w:cs="宋体"/>
          <w:sz w:val="24"/>
        </w:rPr>
        <w:t>要求（如果有)。</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w:t>
      </w:r>
      <w:r>
        <w:rPr>
          <w:rFonts w:hint="eastAsia" w:ascii="宋体" w:hAnsi="宋体" w:eastAsia="宋体" w:cs="宋体"/>
          <w:sz w:val="24"/>
        </w:rPr>
        <w:t>议（如果有)；</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68073093"/>
      <w:bookmarkEnd w:id="17"/>
      <w:bookmarkStart w:id="18" w:name="_Hlt75236011"/>
      <w:bookmarkEnd w:id="18"/>
      <w:bookmarkStart w:id="19" w:name="_Hlt68072990"/>
      <w:bookmarkEnd w:id="19"/>
      <w:bookmarkStart w:id="20" w:name="_Hlt74730295"/>
      <w:bookmarkEnd w:id="20"/>
      <w:bookmarkStart w:id="21" w:name="_Hlt68072998"/>
      <w:bookmarkEnd w:id="21"/>
      <w:bookmarkStart w:id="22" w:name="_Hlt74714665"/>
      <w:bookmarkEnd w:id="22"/>
      <w:bookmarkStart w:id="23" w:name="_Hlt75236290"/>
      <w:bookmarkEnd w:id="23"/>
      <w:bookmarkStart w:id="24" w:name="_Hlt74707468"/>
      <w:bookmarkEnd w:id="24"/>
      <w:bookmarkStart w:id="25" w:name="_Hlt74729768"/>
      <w:bookmarkEnd w:id="25"/>
      <w:bookmarkStart w:id="26" w:name="_Hlt6840382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napToGrid w:val="0"/>
        <w:spacing w:beforeLines="50" w:afterLines="50"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一、招标一览表</w:t>
      </w:r>
    </w:p>
    <w:p>
      <w:pPr>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标项：</w:t>
      </w:r>
      <w:r>
        <w:rPr>
          <w:rFonts w:hint="eastAsia" w:ascii="宋体" w:hAnsi="宋体" w:eastAsia="宋体" w:cs="宋体"/>
          <w:b/>
          <w:sz w:val="24"/>
          <w:szCs w:val="24"/>
          <w:u w:val="single"/>
        </w:rPr>
        <w:t xml:space="preserve"> 1 </w:t>
      </w:r>
    </w:p>
    <w:tbl>
      <w:tblPr>
        <w:tblStyle w:val="62"/>
        <w:tblW w:w="9220" w:type="dxa"/>
        <w:jc w:val="center"/>
        <w:tblLayout w:type="fixed"/>
        <w:tblCellMar>
          <w:top w:w="0" w:type="dxa"/>
          <w:left w:w="0" w:type="dxa"/>
          <w:bottom w:w="0" w:type="dxa"/>
          <w:right w:w="0" w:type="dxa"/>
        </w:tblCellMar>
      </w:tblPr>
      <w:tblGrid>
        <w:gridCol w:w="781"/>
        <w:gridCol w:w="4059"/>
        <w:gridCol w:w="2085"/>
        <w:gridCol w:w="792"/>
        <w:gridCol w:w="879"/>
        <w:gridCol w:w="624"/>
      </w:tblGrid>
      <w:tr>
        <w:tblPrEx>
          <w:tblCellMar>
            <w:top w:w="0" w:type="dxa"/>
            <w:left w:w="0" w:type="dxa"/>
            <w:bottom w:w="0" w:type="dxa"/>
            <w:right w:w="0" w:type="dxa"/>
          </w:tblCellMar>
        </w:tblPrEx>
        <w:trPr>
          <w:cantSplit/>
          <w:trHeight w:val="716" w:hRule="atLeast"/>
          <w:jc w:val="center"/>
        </w:trPr>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
                <w:sz w:val="24"/>
                <w:szCs w:val="24"/>
              </w:rPr>
            </w:pPr>
            <w:r>
              <w:rPr>
                <w:rFonts w:hint="eastAsia" w:ascii="宋体" w:hAnsi="宋体" w:eastAsia="宋体" w:cs="宋体"/>
                <w:b/>
                <w:sz w:val="24"/>
                <w:szCs w:val="24"/>
              </w:rPr>
              <w:t xml:space="preserve"> 标项</w:t>
            </w:r>
          </w:p>
        </w:tc>
        <w:tc>
          <w:tcPr>
            <w:tcW w:w="40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0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
                <w:sz w:val="24"/>
                <w:szCs w:val="24"/>
              </w:rPr>
            </w:pPr>
            <w:r>
              <w:rPr>
                <w:rFonts w:hint="eastAsia" w:ascii="宋体" w:hAnsi="宋体" w:eastAsia="宋体" w:cs="宋体"/>
                <w:b/>
                <w:sz w:val="24"/>
                <w:szCs w:val="24"/>
              </w:rPr>
              <w:t>规格型号与参数</w:t>
            </w:r>
          </w:p>
        </w:tc>
        <w:tc>
          <w:tcPr>
            <w:tcW w:w="7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8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624" w:type="dxa"/>
            <w:tcBorders>
              <w:top w:val="single" w:color="auto" w:sz="4" w:space="0"/>
              <w:left w:val="nil"/>
              <w:bottom w:val="single" w:color="auto" w:sz="4" w:space="0"/>
              <w:right w:val="single" w:color="auto" w:sz="4" w:space="0"/>
            </w:tcBorders>
            <w:vAlign w:val="center"/>
          </w:tcPr>
          <w:p>
            <w:pPr>
              <w:adjustRightInd/>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CellMar>
            <w:top w:w="0" w:type="dxa"/>
            <w:left w:w="0" w:type="dxa"/>
            <w:bottom w:w="0" w:type="dxa"/>
            <w:right w:w="0" w:type="dxa"/>
          </w:tblCellMar>
        </w:tblPrEx>
        <w:trPr>
          <w:cantSplit/>
          <w:trHeight w:val="800" w:hRule="atLeast"/>
          <w:jc w:val="center"/>
        </w:trPr>
        <w:tc>
          <w:tcPr>
            <w:tcW w:w="7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405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Cs/>
                <w:sz w:val="24"/>
                <w:szCs w:val="24"/>
              </w:rPr>
            </w:pPr>
            <w:r>
              <w:rPr>
                <w:rFonts w:hint="eastAsia" w:ascii="宋体" w:hAnsi="宋体" w:eastAsia="宋体" w:cs="宋体"/>
                <w:bCs/>
                <w:sz w:val="24"/>
                <w:szCs w:val="24"/>
              </w:rPr>
              <w:t>公积金临安分中心部分窗口业务服务外包采购</w:t>
            </w:r>
          </w:p>
        </w:tc>
        <w:tc>
          <w:tcPr>
            <w:tcW w:w="208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Cs/>
                <w:sz w:val="24"/>
                <w:szCs w:val="24"/>
              </w:rPr>
            </w:pPr>
            <w:r>
              <w:rPr>
                <w:rFonts w:hint="eastAsia" w:ascii="宋体" w:hAnsi="宋体" w:eastAsia="宋体" w:cs="宋体"/>
                <w:bCs/>
                <w:sz w:val="24"/>
                <w:szCs w:val="24"/>
              </w:rPr>
              <w:t>详见招标需求</w:t>
            </w:r>
          </w:p>
        </w:tc>
        <w:tc>
          <w:tcPr>
            <w:tcW w:w="79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Cs/>
                <w:sz w:val="24"/>
                <w:szCs w:val="24"/>
              </w:rPr>
            </w:pPr>
            <w:r>
              <w:rPr>
                <w:rFonts w:hint="eastAsia" w:ascii="宋体" w:hAnsi="宋体" w:eastAsia="宋体" w:cs="宋体"/>
                <w:bCs/>
                <w:sz w:val="24"/>
                <w:szCs w:val="24"/>
              </w:rPr>
              <w:t>年</w:t>
            </w:r>
          </w:p>
        </w:tc>
        <w:tc>
          <w:tcPr>
            <w:tcW w:w="87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624" w:type="dxa"/>
            <w:tcBorders>
              <w:top w:val="nil"/>
              <w:left w:val="nil"/>
              <w:bottom w:val="single" w:color="auto" w:sz="4" w:space="0"/>
              <w:right w:val="single" w:color="auto" w:sz="4" w:space="0"/>
            </w:tcBorders>
            <w:vAlign w:val="center"/>
          </w:tcPr>
          <w:p>
            <w:pPr>
              <w:adjustRightInd/>
              <w:rPr>
                <w:rFonts w:hint="eastAsia" w:ascii="宋体" w:hAnsi="宋体" w:eastAsia="宋体" w:cs="宋体"/>
                <w:bCs/>
                <w:sz w:val="24"/>
                <w:szCs w:val="24"/>
              </w:rPr>
            </w:pPr>
          </w:p>
        </w:tc>
      </w:tr>
    </w:tbl>
    <w:p>
      <w:pPr>
        <w:adjustRightInd/>
        <w:spacing w:line="360" w:lineRule="auto"/>
        <w:jc w:val="center"/>
        <w:rPr>
          <w:rFonts w:hint="eastAsia" w:ascii="宋体" w:hAnsi="宋体" w:eastAsia="宋体" w:cs="宋体"/>
          <w:b/>
          <w:sz w:val="24"/>
          <w:szCs w:val="24"/>
        </w:rPr>
      </w:pPr>
    </w:p>
    <w:p>
      <w:pPr>
        <w:pStyle w:val="4"/>
        <w:numPr>
          <w:ilvl w:val="0"/>
          <w:numId w:val="0"/>
        </w:numPr>
        <w:pBdr>
          <w:bottom w:val="dotted" w:color="auto" w:sz="24" w:space="0"/>
        </w:pBdr>
        <w:jc w:val="center"/>
        <w:rPr>
          <w:rFonts w:hint="eastAsia" w:ascii="宋体" w:hAnsi="宋体" w:eastAsia="宋体" w:cs="宋体"/>
          <w:sz w:val="24"/>
          <w:szCs w:val="24"/>
        </w:rPr>
      </w:pPr>
      <w:r>
        <w:rPr>
          <w:rFonts w:hint="eastAsia" w:ascii="宋体" w:hAnsi="宋体" w:eastAsia="宋体" w:cs="宋体"/>
          <w:sz w:val="24"/>
          <w:szCs w:val="24"/>
        </w:rPr>
        <w:t>采购要求</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（一）、技术需求</w:t>
      </w:r>
    </w:p>
    <w:p>
      <w:pPr>
        <w:widowControl/>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1、项目基本情况</w:t>
      </w:r>
    </w:p>
    <w:p>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1.1、杭州住房公积金管理中心临安分中心拟招一家能为公积金临安分中心提供相关服务的机构，成交供应商负责公积金管理部分</w:t>
      </w:r>
      <w:r>
        <w:rPr>
          <w:rFonts w:hint="eastAsia" w:ascii="宋体" w:hAnsi="宋体" w:eastAsia="宋体" w:cs="宋体"/>
          <w:bCs/>
          <w:sz w:val="24"/>
          <w:szCs w:val="24"/>
        </w:rPr>
        <w:t>窗口</w:t>
      </w:r>
      <w:r>
        <w:rPr>
          <w:rFonts w:hint="eastAsia" w:ascii="宋体" w:hAnsi="宋体" w:eastAsia="宋体" w:cs="宋体"/>
          <w:kern w:val="0"/>
          <w:sz w:val="24"/>
          <w:szCs w:val="24"/>
        </w:rPr>
        <w:t>业务服务。</w:t>
      </w:r>
    </w:p>
    <w:p>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1.2、按采购人要求提供服务，岗位数不得少于</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个。</w:t>
      </w:r>
    </w:p>
    <w:p>
      <w:pPr>
        <w:widowControl/>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2、人员岗位和要求方案</w:t>
      </w:r>
    </w:p>
    <w:tbl>
      <w:tblPr>
        <w:tblStyle w:val="62"/>
        <w:tblW w:w="9780" w:type="dxa"/>
        <w:jc w:val="center"/>
        <w:tblLayout w:type="fixed"/>
        <w:tblCellMar>
          <w:top w:w="0" w:type="dxa"/>
          <w:left w:w="15" w:type="dxa"/>
          <w:bottom w:w="0" w:type="dxa"/>
          <w:right w:w="15" w:type="dxa"/>
        </w:tblCellMar>
      </w:tblPr>
      <w:tblGrid>
        <w:gridCol w:w="729"/>
        <w:gridCol w:w="1860"/>
        <w:gridCol w:w="1380"/>
        <w:gridCol w:w="1722"/>
        <w:gridCol w:w="890"/>
        <w:gridCol w:w="1123"/>
        <w:gridCol w:w="1575"/>
        <w:gridCol w:w="501"/>
      </w:tblGrid>
      <w:tr>
        <w:tblPrEx>
          <w:tblCellMar>
            <w:top w:w="0" w:type="dxa"/>
            <w:left w:w="15" w:type="dxa"/>
            <w:bottom w:w="0" w:type="dxa"/>
            <w:right w:w="15" w:type="dxa"/>
          </w:tblCellMar>
        </w:tblPrEx>
        <w:trPr>
          <w:trHeight w:val="525" w:hRule="atLeast"/>
          <w:jc w:val="center"/>
        </w:trPr>
        <w:tc>
          <w:tcPr>
            <w:tcW w:w="729" w:type="dxa"/>
            <w:vMerge w:val="restart"/>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60" w:type="dxa"/>
            <w:vMerge w:val="restart"/>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岗位名称</w:t>
            </w:r>
          </w:p>
        </w:tc>
        <w:tc>
          <w:tcPr>
            <w:tcW w:w="1380"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岗位数</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（暂定）</w:t>
            </w:r>
          </w:p>
        </w:tc>
        <w:tc>
          <w:tcPr>
            <w:tcW w:w="5310" w:type="dxa"/>
            <w:gridSpan w:val="4"/>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服务人员岗位要求</w:t>
            </w:r>
          </w:p>
        </w:tc>
        <w:tc>
          <w:tcPr>
            <w:tcW w:w="501"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5" w:type="dxa"/>
            <w:bottom w:w="0" w:type="dxa"/>
            <w:right w:w="15" w:type="dxa"/>
          </w:tblCellMar>
        </w:tblPrEx>
        <w:trPr>
          <w:trHeight w:val="615" w:hRule="atLeast"/>
          <w:jc w:val="center"/>
        </w:trPr>
        <w:tc>
          <w:tcPr>
            <w:tcW w:w="729"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p>
        </w:tc>
        <w:tc>
          <w:tcPr>
            <w:tcW w:w="1860"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p>
        </w:tc>
        <w:tc>
          <w:tcPr>
            <w:tcW w:w="1380"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p>
        </w:tc>
        <w:tc>
          <w:tcPr>
            <w:tcW w:w="1722"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招考专业</w:t>
            </w:r>
          </w:p>
        </w:tc>
        <w:tc>
          <w:tcPr>
            <w:tcW w:w="890" w:type="dxa"/>
            <w:tcBorders>
              <w:top w:val="single" w:color="000000" w:sz="4" w:space="0"/>
              <w:left w:val="nil"/>
              <w:bottom w:val="single" w:color="000000"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学历</w:t>
            </w:r>
          </w:p>
        </w:tc>
        <w:tc>
          <w:tcPr>
            <w:tcW w:w="1123"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性别</w:t>
            </w:r>
          </w:p>
        </w:tc>
        <w:tc>
          <w:tcPr>
            <w:tcW w:w="157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501"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p>
        </w:tc>
      </w:tr>
      <w:tr>
        <w:tblPrEx>
          <w:tblCellMar>
            <w:top w:w="0" w:type="dxa"/>
            <w:left w:w="15" w:type="dxa"/>
            <w:bottom w:w="0" w:type="dxa"/>
            <w:right w:w="15" w:type="dxa"/>
          </w:tblCellMar>
        </w:tblPrEx>
        <w:trPr>
          <w:trHeight w:val="718"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860"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窗口工作人员</w:t>
            </w:r>
          </w:p>
        </w:tc>
        <w:tc>
          <w:tcPr>
            <w:tcW w:w="1380"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22"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根据采购人需求</w:t>
            </w:r>
          </w:p>
        </w:tc>
        <w:tc>
          <w:tcPr>
            <w:tcW w:w="890" w:type="dxa"/>
            <w:tcBorders>
              <w:top w:val="single" w:color="000000" w:sz="4" w:space="0"/>
              <w:left w:val="nil"/>
              <w:bottom w:val="single" w:color="000000"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大专及以上</w:t>
            </w:r>
          </w:p>
        </w:tc>
        <w:tc>
          <w:tcPr>
            <w:tcW w:w="1123"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男女不限</w:t>
            </w:r>
          </w:p>
        </w:tc>
        <w:tc>
          <w:tcPr>
            <w:tcW w:w="157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20-45周岁</w:t>
            </w:r>
          </w:p>
        </w:tc>
        <w:tc>
          <w:tcPr>
            <w:tcW w:w="501"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sz w:val="24"/>
                <w:szCs w:val="24"/>
              </w:rPr>
            </w:pPr>
          </w:p>
        </w:tc>
      </w:tr>
    </w:tbl>
    <w:p>
      <w:pPr>
        <w:widowControl/>
        <w:snapToGrid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3、服务形式的具体内容要求</w:t>
      </w:r>
    </w:p>
    <w:p>
      <w:pPr>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3.1、服务形式：服务外包</w:t>
      </w:r>
    </w:p>
    <w:p>
      <w:pPr>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由成交供应商负责公积金管理部分窗口工作服务。</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3.2、成交供应商岗位服务人员必须是与成交供应商签定劳动合同，有合法劳动关系并缴纳社会养老保险等五险一金。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3.3、成交供应商负责为杭州住房公积金管理中心临安分中心提供公积金管理部分窗口业务服务，具体相关岗位需求由采购人设置。保证所派人员素质符合采购人要求，采购人有权要求更换不符合岗位要求的派驻人员。相关岗位人员公用经费可根据实际情况另行支付给成交供应商。</w:t>
      </w:r>
    </w:p>
    <w:p>
      <w:pPr>
        <w:widowControl/>
        <w:snapToGrid w:val="0"/>
        <w:spacing w:line="360" w:lineRule="auto"/>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（二）、公积金管理部分</w:t>
      </w:r>
      <w:r>
        <w:rPr>
          <w:rFonts w:hint="eastAsia" w:ascii="宋体" w:hAnsi="宋体" w:eastAsia="宋体" w:cs="宋体"/>
          <w:b/>
          <w:bCs/>
          <w:kern w:val="0"/>
          <w:sz w:val="24"/>
          <w:szCs w:val="24"/>
          <w:lang w:val="en-US" w:eastAsia="zh-CN"/>
        </w:rPr>
        <w:t>窗口</w:t>
      </w:r>
      <w:r>
        <w:rPr>
          <w:rFonts w:hint="eastAsia" w:ascii="宋体" w:hAnsi="宋体" w:eastAsia="宋体" w:cs="宋体"/>
          <w:b/>
          <w:bCs/>
          <w:kern w:val="0"/>
          <w:sz w:val="24"/>
          <w:szCs w:val="24"/>
        </w:rPr>
        <w:t>业务服务内容</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、购买自住住房提取住房公积金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、建造、翻建、大修自住住房提取住房公积金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、离休、退休提取住房公积金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、完全或者部分丧失劳动能力以及遇到其他突发事件造成家庭生活严重困难提取住房公积金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、出境定居提取住房公积金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、偿还购房贷款本息提取住房公积金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、租赁自住住房提取住房公积金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、死亡或者被宣告死亡提取住房公积金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、享受城镇最低生活保障提取住房公积金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、与所在单位终止劳动关系未重新业满五年或者造成家庭生活严重困难提取住房公积金</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、其他情形提取住房公积金（非本市户籍离职未在本市重新就业满半年）</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、单位住房公积金缴存登记</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、单位住房公积金变更登记</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、单位住房公积金注销登记</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、个人住房公积金账户设立</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、个人住房公积金账户转移</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、个人住房公积金账户封存</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、个人住房公积金账户启封</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、住房公积金汇、补缴</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、住房公积金退缴</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、住房公积金基数调整</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、单位住房公积金降低缴存比例和缓缴</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、个人住房公积金免缴</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、个体工商户、自由职业者住房公积金缴存登记</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、个人查询住房公积金信息</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rPr>
        <w:t>、住房公积金还贷提取按月转账业务</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、住房公积金综合业务</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、短信订阅</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、住房公积金补贴缴存业务</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、兼职档案管理岗</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、贷款审批业务</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、借款合同变更业务</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、资料接收岗</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、资料移交岗</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w:t>
      </w:r>
      <w:r>
        <w:rPr>
          <w:rFonts w:hint="eastAsia" w:ascii="宋体" w:hAnsi="宋体" w:eastAsia="宋体" w:cs="宋体"/>
          <w:kern w:val="0"/>
          <w:sz w:val="24"/>
          <w:szCs w:val="24"/>
        </w:rPr>
        <w:t>、权证登记岗</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36</w:t>
      </w:r>
      <w:r>
        <w:rPr>
          <w:rFonts w:hint="eastAsia" w:ascii="宋体" w:hAnsi="宋体" w:eastAsia="宋体" w:cs="宋体"/>
          <w:kern w:val="0"/>
          <w:sz w:val="24"/>
          <w:szCs w:val="24"/>
        </w:rPr>
        <w:t>、贷款发放岗</w:t>
      </w:r>
    </w:p>
    <w:p>
      <w:pPr>
        <w:widowControl/>
        <w:tabs>
          <w:tab w:val="center" w:pos="4535"/>
        </w:tabs>
        <w:snapToGrid w:val="0"/>
        <w:spacing w:line="360" w:lineRule="auto"/>
        <w:ind w:firstLine="48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37</w:t>
      </w:r>
      <w:r>
        <w:rPr>
          <w:rFonts w:hint="eastAsia" w:ascii="宋体" w:hAnsi="宋体" w:eastAsia="宋体" w:cs="宋体"/>
          <w:kern w:val="0"/>
          <w:sz w:val="24"/>
          <w:szCs w:val="24"/>
        </w:rPr>
        <w:t>、贷后管理岗</w:t>
      </w:r>
      <w:r>
        <w:rPr>
          <w:rFonts w:hint="eastAsia" w:ascii="宋体" w:hAnsi="宋体" w:eastAsia="宋体" w:cs="宋体"/>
          <w:kern w:val="0"/>
          <w:sz w:val="24"/>
          <w:szCs w:val="24"/>
          <w:lang w:eastAsia="zh-CN"/>
        </w:rPr>
        <w:tab/>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w:t>
      </w:r>
      <w:r>
        <w:rPr>
          <w:rFonts w:hint="eastAsia" w:ascii="宋体" w:hAnsi="宋体" w:eastAsia="宋体" w:cs="宋体"/>
          <w:kern w:val="0"/>
          <w:sz w:val="24"/>
          <w:szCs w:val="24"/>
        </w:rPr>
        <w:t>、行政执法岗</w:t>
      </w:r>
    </w:p>
    <w:p>
      <w:pPr>
        <w:widowControl/>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w:t>
      </w:r>
      <w:r>
        <w:rPr>
          <w:rFonts w:hint="eastAsia" w:ascii="宋体" w:hAnsi="宋体" w:eastAsia="宋体" w:cs="宋体"/>
          <w:kern w:val="0"/>
          <w:sz w:val="24"/>
          <w:szCs w:val="24"/>
        </w:rPr>
        <w:t>、兼职档案管理岗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具体工作职责、办理期限</w:t>
      </w:r>
      <w:bookmarkStart w:id="28" w:name="OLE_LINK2"/>
      <w:r>
        <w:rPr>
          <w:rFonts w:hint="eastAsia" w:ascii="宋体" w:hAnsi="宋体" w:eastAsia="宋体" w:cs="宋体"/>
          <w:snapToGrid w:val="0"/>
          <w:kern w:val="2"/>
          <w:sz w:val="24"/>
          <w:szCs w:val="24"/>
          <w:lang w:val="en-US" w:eastAsia="zh-CN" w:bidi="ar-SA"/>
        </w:rPr>
        <w:t>及工作流程</w:t>
      </w:r>
      <w:bookmarkEnd w:id="28"/>
      <w:r>
        <w:rPr>
          <w:rFonts w:hint="eastAsia" w:ascii="宋体" w:hAnsi="宋体" w:eastAsia="宋体" w:cs="宋体"/>
          <w:snapToGrid w:val="0"/>
          <w:kern w:val="2"/>
          <w:sz w:val="24"/>
          <w:szCs w:val="24"/>
          <w:lang w:val="en-US" w:eastAsia="zh-CN" w:bidi="ar-SA"/>
        </w:rPr>
        <w:t>以杭州住房公积金管理中心临安分中心公布的办事指南为准。上级相关部门对公积金服务内容、流程等如有调整要求，成交供应商将无条件按采购人要求进行调整。</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（二）、商务需求</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1、服务期及地点</w:t>
      </w:r>
    </w:p>
    <w:p>
      <w:pPr>
        <w:pStyle w:val="34"/>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1.1服务期：12个月合同期。</w:t>
      </w:r>
    </w:p>
    <w:p>
      <w:pPr>
        <w:pStyle w:val="34"/>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本项目服务期为12个月，服务期结束后，</w:t>
      </w:r>
      <w:r>
        <w:rPr>
          <w:rFonts w:hint="eastAsia" w:ascii="宋体" w:hAnsi="宋体" w:eastAsia="宋体" w:cs="宋体"/>
          <w:sz w:val="24"/>
          <w:szCs w:val="24"/>
          <w:lang w:val="en-US" w:eastAsia="zh-CN"/>
        </w:rPr>
        <w:t>若下一年度预算资金不超过本年度合同金额的10%，可续签下一年度合同。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1.2服务地点：杭州住房公积金管理中心临安分中心指定范围内。</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2、付款方式</w:t>
      </w:r>
    </w:p>
    <w:p>
      <w:pPr>
        <w:spacing w:line="360" w:lineRule="auto"/>
        <w:rPr>
          <w:rFonts w:hint="eastAsia" w:ascii="宋体" w:hAnsi="宋体" w:eastAsia="宋体" w:cs="宋体"/>
          <w:snapToGrid w:val="0"/>
          <w:kern w:val="2"/>
          <w:sz w:val="24"/>
          <w:szCs w:val="24"/>
          <w:lang w:val="en-US" w:eastAsia="zh-CN" w:bidi="ar-SA"/>
        </w:rPr>
      </w:pPr>
      <w:r>
        <w:rPr>
          <w:rFonts w:hint="eastAsia" w:ascii="宋体" w:hAnsi="宋体" w:eastAsia="宋体" w:cs="宋体"/>
          <w:b/>
          <w:bCs/>
          <w:sz w:val="24"/>
          <w:szCs w:val="24"/>
        </w:rPr>
        <w:t xml:space="preserve">    2.1.</w:t>
      </w:r>
      <w:r>
        <w:rPr>
          <w:rFonts w:hint="eastAsia" w:ascii="宋体" w:hAnsi="宋体" w:eastAsia="宋体" w:cs="宋体"/>
          <w:snapToGrid w:val="0"/>
          <w:kern w:val="2"/>
          <w:sz w:val="24"/>
          <w:szCs w:val="24"/>
          <w:lang w:val="en-US" w:eastAsia="zh-CN" w:bidi="ar-SA"/>
        </w:rPr>
        <w:t>付款方式：按年按实际结算支付，费用从服务开始第1个月划转，年终清算。</w:t>
      </w:r>
    </w:p>
    <w:p>
      <w:pPr>
        <w:snapToGrid w:val="0"/>
        <w:spacing w:line="400" w:lineRule="exact"/>
        <w:ind w:firstLine="481"/>
        <w:jc w:val="left"/>
        <w:rPr>
          <w:rFonts w:hint="eastAsia" w:ascii="宋体" w:hAnsi="宋体" w:eastAsia="宋体" w:cs="宋体"/>
          <w:sz w:val="24"/>
          <w:szCs w:val="24"/>
          <w:lang w:val="en-US" w:eastAsia="zh-CN"/>
        </w:rPr>
      </w:pPr>
      <w:r>
        <w:rPr>
          <w:rFonts w:hint="eastAsia" w:ascii="宋体" w:hAnsi="宋体" w:eastAsia="宋体" w:cs="宋体"/>
          <w:sz w:val="24"/>
          <w:szCs w:val="24"/>
        </w:rPr>
        <w:t>2.2.本项目采用费用包干方式服务，供应商应根据项目要求等情况，详细列明项目所需的人力、物力、财力等，以及所有人工、管理、财务等所有费用，如一旦中标，在服务过程中出现任何遗漏，均由成交供应商免费提供，采购人不再支付任何费用。</w:t>
      </w:r>
      <w:r>
        <w:rPr>
          <w:rFonts w:hint="eastAsia" w:ascii="宋体" w:hAnsi="宋体" w:eastAsia="宋体" w:cs="宋体"/>
          <w:sz w:val="24"/>
          <w:szCs w:val="24"/>
          <w:lang w:val="en-US" w:eastAsia="zh-CN"/>
        </w:rPr>
        <w:t>供应商中标后应向前中标供应商支付2023年1月至本次确定中标供应商为止的服务外包费用。</w:t>
      </w:r>
    </w:p>
    <w:p>
      <w:pPr>
        <w:snapToGrid w:val="0"/>
        <w:spacing w:line="400" w:lineRule="exact"/>
        <w:ind w:firstLine="48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2.3.岗位人员用工待遇参照《临安区机关事业单位编外用工薪酬管理办法》（临财发〔2021〕88号）执行。</w:t>
      </w:r>
    </w:p>
    <w:p>
      <w:pP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widowControl/>
        <w:ind w:firstLine="720" w:firstLineChars="300"/>
        <w:jc w:val="left"/>
        <w:rPr>
          <w:rFonts w:ascii="宋体" w:hAnsi="宋体" w:cs="宋体"/>
          <w:bCs/>
          <w:sz w:val="24"/>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4431"/>
      <w:bookmarkEnd w:id="29"/>
      <w:bookmarkStart w:id="30" w:name="_Toc184314422"/>
      <w:bookmarkEnd w:id="30"/>
      <w:bookmarkStart w:id="31" w:name="_Toc184312102"/>
      <w:bookmarkEnd w:id="31"/>
      <w:bookmarkStart w:id="32" w:name="_Toc184310331"/>
      <w:bookmarkEnd w:id="32"/>
      <w:bookmarkStart w:id="33" w:name="_Toc184310278"/>
      <w:bookmarkEnd w:id="33"/>
      <w:bookmarkStart w:id="34" w:name="_Toc184308064"/>
      <w:bookmarkEnd w:id="34"/>
      <w:bookmarkStart w:id="35" w:name="_Toc184312081"/>
      <w:bookmarkEnd w:id="35"/>
      <w:bookmarkStart w:id="36" w:name="_Toc184312087"/>
      <w:bookmarkEnd w:id="36"/>
      <w:bookmarkStart w:id="37" w:name="_Toc184313259"/>
      <w:bookmarkEnd w:id="37"/>
      <w:bookmarkStart w:id="38" w:name="_Toc184314417"/>
      <w:bookmarkEnd w:id="38"/>
      <w:bookmarkStart w:id="39" w:name="_Toc184313297"/>
      <w:bookmarkEnd w:id="39"/>
      <w:bookmarkStart w:id="40" w:name="_Toc184308090"/>
      <w:bookmarkEnd w:id="40"/>
      <w:bookmarkStart w:id="41" w:name="_Toc184308055"/>
      <w:bookmarkEnd w:id="41"/>
      <w:bookmarkStart w:id="42" w:name="_Toc184308096"/>
      <w:bookmarkEnd w:id="42"/>
      <w:bookmarkStart w:id="43" w:name="_Toc184310291"/>
      <w:bookmarkEnd w:id="43"/>
      <w:bookmarkStart w:id="44" w:name="_Toc184313303"/>
      <w:bookmarkEnd w:id="44"/>
      <w:bookmarkStart w:id="45" w:name="_Toc184312096"/>
      <w:bookmarkEnd w:id="45"/>
      <w:bookmarkStart w:id="46" w:name="_Toc184310286"/>
      <w:bookmarkEnd w:id="46"/>
      <w:bookmarkStart w:id="47" w:name="_Toc184308088"/>
      <w:bookmarkEnd w:id="47"/>
      <w:bookmarkStart w:id="48" w:name="_Toc184308044"/>
      <w:bookmarkEnd w:id="48"/>
      <w:bookmarkStart w:id="49" w:name="_Toc184310297"/>
      <w:bookmarkEnd w:id="49"/>
      <w:bookmarkStart w:id="50" w:name="_Toc184312135"/>
      <w:bookmarkEnd w:id="50"/>
      <w:bookmarkStart w:id="51" w:name="_Toc184310277"/>
      <w:bookmarkEnd w:id="51"/>
      <w:bookmarkStart w:id="52" w:name="_Toc184310288"/>
      <w:bookmarkEnd w:id="52"/>
      <w:bookmarkStart w:id="53" w:name="_Toc184310328"/>
      <w:bookmarkEnd w:id="53"/>
      <w:bookmarkStart w:id="54" w:name="_Toc184308102"/>
      <w:bookmarkEnd w:id="54"/>
      <w:bookmarkStart w:id="55" w:name="_Toc184310308"/>
      <w:bookmarkEnd w:id="55"/>
      <w:bookmarkStart w:id="56" w:name="_Toc184312098"/>
      <w:bookmarkEnd w:id="56"/>
      <w:bookmarkStart w:id="57" w:name="_Toc184313285"/>
      <w:bookmarkEnd w:id="57"/>
      <w:bookmarkStart w:id="58" w:name="_Toc184314462"/>
      <w:bookmarkEnd w:id="58"/>
      <w:bookmarkStart w:id="59" w:name="_Toc184308050"/>
      <w:bookmarkEnd w:id="59"/>
      <w:bookmarkStart w:id="60" w:name="_Toc184313264"/>
      <w:bookmarkEnd w:id="60"/>
      <w:bookmarkStart w:id="61" w:name="_Toc184308087"/>
      <w:bookmarkEnd w:id="61"/>
      <w:bookmarkStart w:id="62" w:name="_Toc184313281"/>
      <w:bookmarkEnd w:id="62"/>
      <w:bookmarkStart w:id="63" w:name="_Toc184314463"/>
      <w:bookmarkEnd w:id="63"/>
      <w:bookmarkStart w:id="64" w:name="_Toc184310316"/>
      <w:bookmarkEnd w:id="64"/>
      <w:bookmarkStart w:id="65" w:name="_Toc184308070"/>
      <w:bookmarkEnd w:id="65"/>
      <w:bookmarkStart w:id="66" w:name="_Toc184313253"/>
      <w:bookmarkEnd w:id="66"/>
      <w:bookmarkStart w:id="67" w:name="_Toc184313288"/>
      <w:bookmarkEnd w:id="67"/>
      <w:bookmarkStart w:id="68" w:name="_Toc184310315"/>
      <w:bookmarkEnd w:id="68"/>
      <w:bookmarkStart w:id="69" w:name="_Toc184308075"/>
      <w:bookmarkEnd w:id="69"/>
      <w:bookmarkStart w:id="70" w:name="_Toc184308067"/>
      <w:bookmarkEnd w:id="70"/>
      <w:bookmarkStart w:id="71" w:name="_Toc184312113"/>
      <w:bookmarkEnd w:id="71"/>
      <w:bookmarkStart w:id="72" w:name="_Toc184313268"/>
      <w:bookmarkEnd w:id="72"/>
      <w:bookmarkStart w:id="73" w:name="_Toc184313252"/>
      <w:bookmarkEnd w:id="73"/>
      <w:bookmarkStart w:id="74" w:name="_Toc184308097"/>
      <w:bookmarkEnd w:id="74"/>
      <w:bookmarkStart w:id="75" w:name="_Toc184312105"/>
      <w:bookmarkEnd w:id="75"/>
      <w:bookmarkStart w:id="76" w:name="_Toc184314457"/>
      <w:bookmarkEnd w:id="76"/>
      <w:bookmarkStart w:id="77" w:name="_Toc184310318"/>
      <w:bookmarkEnd w:id="77"/>
      <w:bookmarkStart w:id="78" w:name="_Toc184313299"/>
      <w:bookmarkEnd w:id="78"/>
      <w:bookmarkStart w:id="79" w:name="_Toc184312123"/>
      <w:bookmarkEnd w:id="79"/>
      <w:bookmarkStart w:id="80" w:name="_Toc184308042"/>
      <w:bookmarkEnd w:id="80"/>
      <w:bookmarkStart w:id="81" w:name="_Toc184314467"/>
      <w:bookmarkEnd w:id="81"/>
      <w:bookmarkStart w:id="82" w:name="_Toc184313262"/>
      <w:bookmarkEnd w:id="82"/>
      <w:bookmarkStart w:id="83" w:name="_Toc184308106"/>
      <w:bookmarkEnd w:id="83"/>
      <w:bookmarkStart w:id="84" w:name="_Toc184308066"/>
      <w:bookmarkEnd w:id="84"/>
      <w:bookmarkStart w:id="85" w:name="_Toc184310299"/>
      <w:bookmarkEnd w:id="85"/>
      <w:bookmarkStart w:id="86" w:name="_Toc184314465"/>
      <w:bookmarkEnd w:id="86"/>
      <w:bookmarkStart w:id="87" w:name="_Toc184312079"/>
      <w:bookmarkEnd w:id="87"/>
      <w:bookmarkStart w:id="88" w:name="_Toc184313294"/>
      <w:bookmarkEnd w:id="88"/>
      <w:bookmarkStart w:id="89" w:name="_Toc184312106"/>
      <w:bookmarkEnd w:id="89"/>
      <w:bookmarkStart w:id="90" w:name="_Toc184310344"/>
      <w:bookmarkEnd w:id="90"/>
      <w:bookmarkStart w:id="91" w:name="_Toc184308083"/>
      <w:bookmarkEnd w:id="91"/>
      <w:bookmarkStart w:id="92" w:name="_Toc184310325"/>
      <w:bookmarkEnd w:id="92"/>
      <w:bookmarkStart w:id="93" w:name="_Toc184312116"/>
      <w:bookmarkEnd w:id="93"/>
      <w:bookmarkStart w:id="94" w:name="_Toc184310292"/>
      <w:bookmarkEnd w:id="94"/>
      <w:bookmarkStart w:id="95" w:name="_Toc184314470"/>
      <w:bookmarkEnd w:id="95"/>
      <w:bookmarkStart w:id="96" w:name="_Toc184308059"/>
      <w:bookmarkEnd w:id="96"/>
      <w:bookmarkStart w:id="97" w:name="_Toc184313238"/>
      <w:bookmarkEnd w:id="97"/>
      <w:bookmarkStart w:id="98" w:name="_Toc184313245"/>
      <w:bookmarkEnd w:id="98"/>
      <w:bookmarkStart w:id="99" w:name="_Toc184312085"/>
      <w:bookmarkEnd w:id="99"/>
      <w:bookmarkStart w:id="100" w:name="_Toc184312109"/>
      <w:bookmarkEnd w:id="100"/>
      <w:bookmarkStart w:id="101" w:name="_Toc184312139"/>
      <w:bookmarkEnd w:id="101"/>
      <w:bookmarkStart w:id="102" w:name="_Toc184312128"/>
      <w:bookmarkEnd w:id="102"/>
      <w:bookmarkStart w:id="103" w:name="_Toc184308048"/>
      <w:bookmarkEnd w:id="103"/>
      <w:bookmarkStart w:id="104" w:name="_Toc184313308"/>
      <w:bookmarkEnd w:id="104"/>
      <w:bookmarkStart w:id="105" w:name="_Toc184312101"/>
      <w:bookmarkEnd w:id="105"/>
      <w:bookmarkStart w:id="106" w:name="_Toc184312097"/>
      <w:bookmarkEnd w:id="106"/>
      <w:bookmarkStart w:id="107" w:name="_Toc184313254"/>
      <w:bookmarkEnd w:id="107"/>
      <w:bookmarkStart w:id="108" w:name="_Toc184313301"/>
      <w:bookmarkEnd w:id="108"/>
      <w:bookmarkStart w:id="109" w:name="_Toc184310317"/>
      <w:bookmarkEnd w:id="109"/>
      <w:bookmarkStart w:id="110" w:name="_Toc184308091"/>
      <w:bookmarkEnd w:id="110"/>
      <w:bookmarkStart w:id="111" w:name="_Toc184313305"/>
      <w:bookmarkEnd w:id="111"/>
      <w:bookmarkStart w:id="112" w:name="_Toc184308040"/>
      <w:bookmarkEnd w:id="112"/>
      <w:bookmarkStart w:id="113" w:name="_Toc184314447"/>
      <w:bookmarkEnd w:id="113"/>
      <w:bookmarkStart w:id="114" w:name="_Toc184313241"/>
      <w:bookmarkEnd w:id="114"/>
      <w:bookmarkStart w:id="115" w:name="_Toc184313249"/>
      <w:bookmarkEnd w:id="115"/>
      <w:bookmarkStart w:id="116" w:name="_Toc184310289"/>
      <w:bookmarkEnd w:id="116"/>
      <w:bookmarkStart w:id="117" w:name="_Toc184308100"/>
      <w:bookmarkEnd w:id="117"/>
      <w:bookmarkStart w:id="118" w:name="_Toc184313258"/>
      <w:bookmarkEnd w:id="118"/>
      <w:bookmarkStart w:id="119" w:name="_Toc184310273"/>
      <w:bookmarkEnd w:id="119"/>
      <w:bookmarkStart w:id="120" w:name="_Toc184312090"/>
      <w:bookmarkEnd w:id="120"/>
      <w:bookmarkStart w:id="121" w:name="_Toc184312080"/>
      <w:bookmarkEnd w:id="121"/>
      <w:bookmarkStart w:id="122" w:name="_Toc184312094"/>
      <w:bookmarkEnd w:id="122"/>
      <w:bookmarkStart w:id="123" w:name="_Toc184310334"/>
      <w:bookmarkEnd w:id="123"/>
      <w:bookmarkStart w:id="124" w:name="_Toc184308079"/>
      <w:bookmarkEnd w:id="124"/>
      <w:bookmarkStart w:id="125" w:name="_Toc184308098"/>
      <w:bookmarkEnd w:id="125"/>
      <w:bookmarkStart w:id="126" w:name="_Toc184312136"/>
      <w:bookmarkEnd w:id="126"/>
      <w:bookmarkStart w:id="127" w:name="_Toc184310280"/>
      <w:bookmarkEnd w:id="127"/>
      <w:bookmarkStart w:id="128" w:name="_Toc184313250"/>
      <w:bookmarkEnd w:id="128"/>
      <w:bookmarkStart w:id="129" w:name="_Toc184313286"/>
      <w:bookmarkEnd w:id="129"/>
      <w:bookmarkStart w:id="130" w:name="_Toc184313295"/>
      <w:bookmarkEnd w:id="130"/>
      <w:bookmarkStart w:id="131" w:name="_Toc184313248"/>
      <w:bookmarkEnd w:id="131"/>
      <w:bookmarkStart w:id="132" w:name="_Toc184314475"/>
      <w:bookmarkEnd w:id="132"/>
      <w:bookmarkStart w:id="133" w:name="_Toc184312119"/>
      <w:bookmarkEnd w:id="133"/>
      <w:bookmarkStart w:id="134" w:name="_Toc184310285"/>
      <w:bookmarkEnd w:id="134"/>
      <w:bookmarkStart w:id="135" w:name="_Toc184313282"/>
      <w:bookmarkEnd w:id="135"/>
      <w:bookmarkStart w:id="136" w:name="_Toc184314418"/>
      <w:bookmarkEnd w:id="136"/>
      <w:bookmarkStart w:id="137" w:name="_Toc184312112"/>
      <w:bookmarkEnd w:id="137"/>
      <w:bookmarkStart w:id="138" w:name="_Toc184308063"/>
      <w:bookmarkEnd w:id="138"/>
      <w:bookmarkStart w:id="139" w:name="_Toc184314439"/>
      <w:bookmarkEnd w:id="139"/>
      <w:bookmarkStart w:id="140" w:name="_Toc184308086"/>
      <w:bookmarkEnd w:id="140"/>
      <w:bookmarkStart w:id="141" w:name="_Toc184312092"/>
      <w:bookmarkEnd w:id="141"/>
      <w:bookmarkStart w:id="142" w:name="_Toc184310302"/>
      <w:bookmarkEnd w:id="142"/>
      <w:bookmarkStart w:id="143" w:name="_Toc184313246"/>
      <w:bookmarkEnd w:id="143"/>
      <w:bookmarkStart w:id="144" w:name="_Toc184308068"/>
      <w:bookmarkEnd w:id="144"/>
      <w:bookmarkStart w:id="145" w:name="_Toc184314451"/>
      <w:bookmarkEnd w:id="145"/>
      <w:bookmarkStart w:id="146" w:name="_Toc184310305"/>
      <w:bookmarkEnd w:id="146"/>
      <w:bookmarkStart w:id="147" w:name="_Toc184314450"/>
      <w:bookmarkEnd w:id="147"/>
      <w:bookmarkStart w:id="148" w:name="_Toc184312129"/>
      <w:bookmarkEnd w:id="148"/>
      <w:bookmarkStart w:id="149" w:name="_Toc184314452"/>
      <w:bookmarkEnd w:id="149"/>
      <w:bookmarkStart w:id="150" w:name="_Toc184308053"/>
      <w:bookmarkEnd w:id="150"/>
      <w:bookmarkStart w:id="151" w:name="_Toc184313296"/>
      <w:bookmarkEnd w:id="151"/>
      <w:bookmarkStart w:id="152" w:name="_Toc184314410"/>
      <w:bookmarkEnd w:id="152"/>
      <w:bookmarkStart w:id="153" w:name="_Toc184312134"/>
      <w:bookmarkEnd w:id="153"/>
      <w:bookmarkStart w:id="154" w:name="_Toc184313267"/>
      <w:bookmarkEnd w:id="154"/>
      <w:bookmarkStart w:id="155" w:name="_Toc184312131"/>
      <w:bookmarkEnd w:id="155"/>
      <w:bookmarkStart w:id="156" w:name="_Toc184308041"/>
      <w:bookmarkEnd w:id="156"/>
      <w:bookmarkStart w:id="157" w:name="_Toc184314432"/>
      <w:bookmarkEnd w:id="157"/>
      <w:bookmarkStart w:id="158" w:name="_Toc184313306"/>
      <w:bookmarkEnd w:id="158"/>
      <w:bookmarkStart w:id="159" w:name="_Toc184310314"/>
      <w:bookmarkEnd w:id="159"/>
      <w:bookmarkStart w:id="160" w:name="_Toc184312075"/>
      <w:bookmarkEnd w:id="160"/>
      <w:bookmarkStart w:id="161" w:name="_Toc184310335"/>
      <w:bookmarkEnd w:id="161"/>
      <w:bookmarkStart w:id="162" w:name="_Toc184310304"/>
      <w:bookmarkEnd w:id="162"/>
      <w:bookmarkStart w:id="163" w:name="_Toc184310312"/>
      <w:bookmarkEnd w:id="163"/>
      <w:bookmarkStart w:id="164" w:name="_Toc184314421"/>
      <w:bookmarkEnd w:id="164"/>
      <w:bookmarkStart w:id="165" w:name="_Toc184308073"/>
      <w:bookmarkEnd w:id="165"/>
      <w:bookmarkStart w:id="166" w:name="_Toc184310310"/>
      <w:bookmarkEnd w:id="166"/>
      <w:bookmarkStart w:id="167" w:name="_Toc184308095"/>
      <w:bookmarkEnd w:id="167"/>
      <w:bookmarkStart w:id="168" w:name="_Toc184308036"/>
      <w:bookmarkEnd w:id="168"/>
      <w:bookmarkStart w:id="169" w:name="_Toc184313256"/>
      <w:bookmarkEnd w:id="169"/>
      <w:bookmarkStart w:id="170" w:name="_Toc184308039"/>
      <w:bookmarkEnd w:id="170"/>
      <w:bookmarkStart w:id="171" w:name="_Toc184314415"/>
      <w:bookmarkEnd w:id="171"/>
      <w:bookmarkStart w:id="172" w:name="_Toc184308101"/>
      <w:bookmarkEnd w:id="172"/>
      <w:bookmarkStart w:id="173" w:name="_Toc184308071"/>
      <w:bookmarkEnd w:id="173"/>
      <w:bookmarkStart w:id="174" w:name="_Toc184313310"/>
      <w:bookmarkEnd w:id="174"/>
      <w:bookmarkStart w:id="175" w:name="_Toc184313244"/>
      <w:bookmarkEnd w:id="175"/>
      <w:bookmarkStart w:id="176" w:name="_Toc184314427"/>
      <w:bookmarkEnd w:id="176"/>
      <w:bookmarkStart w:id="177" w:name="_Toc184314453"/>
      <w:bookmarkEnd w:id="177"/>
      <w:bookmarkStart w:id="178" w:name="_Toc184313298"/>
      <w:bookmarkEnd w:id="178"/>
      <w:bookmarkStart w:id="179" w:name="_Toc184310313"/>
      <w:bookmarkEnd w:id="179"/>
      <w:bookmarkStart w:id="180" w:name="_Toc184313240"/>
      <w:bookmarkEnd w:id="180"/>
      <w:bookmarkStart w:id="181" w:name="_Toc184308052"/>
      <w:bookmarkEnd w:id="181"/>
      <w:bookmarkStart w:id="182" w:name="_Toc184313283"/>
      <w:bookmarkEnd w:id="182"/>
      <w:bookmarkStart w:id="183" w:name="_Toc184313292"/>
      <w:bookmarkEnd w:id="183"/>
      <w:bookmarkStart w:id="184" w:name="_Toc184310298"/>
      <w:bookmarkEnd w:id="184"/>
      <w:bookmarkStart w:id="185" w:name="_Toc184308084"/>
      <w:bookmarkEnd w:id="185"/>
      <w:bookmarkStart w:id="186" w:name="_Toc184310306"/>
      <w:bookmarkEnd w:id="186"/>
      <w:bookmarkStart w:id="187" w:name="_Toc184310284"/>
      <w:bookmarkEnd w:id="187"/>
      <w:bookmarkStart w:id="188" w:name="_Toc184314411"/>
      <w:bookmarkEnd w:id="188"/>
      <w:bookmarkStart w:id="189" w:name="_Toc184308049"/>
      <w:bookmarkEnd w:id="189"/>
      <w:bookmarkStart w:id="190" w:name="_Toc184314471"/>
      <w:bookmarkEnd w:id="190"/>
      <w:bookmarkStart w:id="191" w:name="_Toc184310333"/>
      <w:bookmarkEnd w:id="191"/>
      <w:bookmarkStart w:id="192" w:name="_Toc184310293"/>
      <w:bookmarkEnd w:id="192"/>
      <w:bookmarkStart w:id="193" w:name="_Toc184310295"/>
      <w:bookmarkEnd w:id="193"/>
      <w:bookmarkStart w:id="194" w:name="_Toc184312103"/>
      <w:bookmarkEnd w:id="194"/>
      <w:bookmarkStart w:id="195" w:name="_Toc184314455"/>
      <w:bookmarkEnd w:id="195"/>
      <w:bookmarkStart w:id="196" w:name="_Toc184314480"/>
      <w:bookmarkEnd w:id="196"/>
      <w:bookmarkStart w:id="197" w:name="_Toc184313255"/>
      <w:bookmarkEnd w:id="197"/>
      <w:bookmarkStart w:id="198" w:name="_Toc184314478"/>
      <w:bookmarkEnd w:id="198"/>
      <w:bookmarkStart w:id="199" w:name="_Toc184313242"/>
      <w:bookmarkEnd w:id="199"/>
      <w:bookmarkStart w:id="200" w:name="_Toc184314482"/>
      <w:bookmarkEnd w:id="200"/>
      <w:bookmarkStart w:id="201" w:name="_Toc184310282"/>
      <w:bookmarkEnd w:id="201"/>
      <w:bookmarkStart w:id="202" w:name="_Toc184314435"/>
      <w:bookmarkEnd w:id="202"/>
      <w:bookmarkStart w:id="203" w:name="_Toc184314414"/>
      <w:bookmarkEnd w:id="203"/>
      <w:bookmarkStart w:id="204" w:name="_Toc184312137"/>
      <w:bookmarkEnd w:id="204"/>
      <w:bookmarkStart w:id="205" w:name="_Toc184308062"/>
      <w:bookmarkEnd w:id="205"/>
      <w:bookmarkStart w:id="206" w:name="_Toc184310342"/>
      <w:bookmarkEnd w:id="206"/>
      <w:bookmarkStart w:id="207" w:name="_Toc184314430"/>
      <w:bookmarkEnd w:id="207"/>
      <w:bookmarkStart w:id="208" w:name="_Toc184313284"/>
      <w:bookmarkEnd w:id="208"/>
      <w:bookmarkStart w:id="209" w:name="_Toc184314429"/>
      <w:bookmarkEnd w:id="209"/>
      <w:bookmarkStart w:id="210" w:name="_Toc184312086"/>
      <w:bookmarkEnd w:id="210"/>
      <w:bookmarkStart w:id="211" w:name="_Toc184312088"/>
      <w:bookmarkEnd w:id="211"/>
      <w:bookmarkStart w:id="212" w:name="_Toc184314424"/>
      <w:bookmarkEnd w:id="212"/>
      <w:bookmarkStart w:id="213" w:name="_Toc184314437"/>
      <w:bookmarkEnd w:id="213"/>
      <w:bookmarkStart w:id="214" w:name="_Toc184310319"/>
      <w:bookmarkEnd w:id="214"/>
      <w:bookmarkStart w:id="215" w:name="_Toc184310337"/>
      <w:bookmarkEnd w:id="215"/>
      <w:bookmarkStart w:id="216" w:name="_Toc184314449"/>
      <w:bookmarkEnd w:id="216"/>
      <w:bookmarkStart w:id="217" w:name="_Toc184308089"/>
      <w:bookmarkEnd w:id="217"/>
      <w:bookmarkStart w:id="218" w:name="_Toc184312093"/>
      <w:bookmarkEnd w:id="218"/>
      <w:bookmarkStart w:id="219" w:name="_Toc184308046"/>
      <w:bookmarkEnd w:id="219"/>
      <w:bookmarkStart w:id="220" w:name="_Toc184313309"/>
      <w:bookmarkEnd w:id="220"/>
      <w:bookmarkStart w:id="221" w:name="_Toc184312126"/>
      <w:bookmarkEnd w:id="221"/>
      <w:bookmarkStart w:id="222" w:name="_Toc184314426"/>
      <w:bookmarkEnd w:id="222"/>
      <w:bookmarkStart w:id="223" w:name="_Toc184313275"/>
      <w:bookmarkEnd w:id="223"/>
      <w:bookmarkStart w:id="224" w:name="_Toc184308047"/>
      <w:bookmarkEnd w:id="224"/>
      <w:bookmarkStart w:id="225" w:name="_Toc184310326"/>
      <w:bookmarkEnd w:id="225"/>
      <w:bookmarkStart w:id="226" w:name="_Toc184310340"/>
      <w:bookmarkEnd w:id="226"/>
      <w:bookmarkStart w:id="227" w:name="_Toc184313291"/>
      <w:bookmarkEnd w:id="227"/>
      <w:bookmarkStart w:id="228" w:name="_Toc184308076"/>
      <w:bookmarkEnd w:id="228"/>
      <w:bookmarkStart w:id="229" w:name="_Toc184310320"/>
      <w:bookmarkEnd w:id="229"/>
      <w:bookmarkStart w:id="230" w:name="_Toc184310274"/>
      <w:bookmarkEnd w:id="230"/>
      <w:bookmarkStart w:id="231" w:name="_Toc184310324"/>
      <w:bookmarkEnd w:id="231"/>
      <w:bookmarkStart w:id="232" w:name="_Toc184312091"/>
      <w:bookmarkEnd w:id="232"/>
      <w:bookmarkStart w:id="233" w:name="_Toc184314460"/>
      <w:bookmarkEnd w:id="233"/>
      <w:bookmarkStart w:id="234" w:name="_Toc184313271"/>
      <w:bookmarkEnd w:id="234"/>
      <w:bookmarkStart w:id="235" w:name="_Toc184312138"/>
      <w:bookmarkEnd w:id="235"/>
      <w:bookmarkStart w:id="236" w:name="_Toc184313269"/>
      <w:bookmarkEnd w:id="236"/>
      <w:bookmarkStart w:id="237" w:name="_Toc184310327"/>
      <w:bookmarkEnd w:id="237"/>
      <w:bookmarkStart w:id="238" w:name="_Toc184314413"/>
      <w:bookmarkEnd w:id="238"/>
      <w:bookmarkStart w:id="239" w:name="_Toc184314472"/>
      <w:bookmarkEnd w:id="239"/>
      <w:bookmarkStart w:id="240" w:name="_Toc184312124"/>
      <w:bookmarkEnd w:id="240"/>
      <w:bookmarkStart w:id="241" w:name="_Toc184313307"/>
      <w:bookmarkEnd w:id="241"/>
      <w:bookmarkStart w:id="242" w:name="_Toc184310272"/>
      <w:bookmarkEnd w:id="242"/>
      <w:bookmarkStart w:id="243" w:name="_Toc184312089"/>
      <w:bookmarkEnd w:id="243"/>
      <w:bookmarkStart w:id="244" w:name="_Toc184314474"/>
      <w:bookmarkEnd w:id="244"/>
      <w:bookmarkStart w:id="245" w:name="_Toc184313277"/>
      <w:bookmarkEnd w:id="245"/>
      <w:bookmarkStart w:id="246" w:name="_Toc184312073"/>
      <w:bookmarkEnd w:id="246"/>
      <w:bookmarkStart w:id="247" w:name="_Toc184313266"/>
      <w:bookmarkEnd w:id="247"/>
      <w:bookmarkStart w:id="248" w:name="_Toc184314423"/>
      <w:bookmarkEnd w:id="248"/>
      <w:bookmarkStart w:id="249" w:name="_Toc184314477"/>
      <w:bookmarkEnd w:id="249"/>
      <w:bookmarkStart w:id="250" w:name="_Toc184310281"/>
      <w:bookmarkEnd w:id="250"/>
      <w:bookmarkStart w:id="251" w:name="_Toc184308051"/>
      <w:bookmarkEnd w:id="251"/>
      <w:bookmarkStart w:id="252" w:name="_Toc184310323"/>
      <w:bookmarkEnd w:id="252"/>
      <w:bookmarkStart w:id="253" w:name="_Toc184314479"/>
      <w:bookmarkEnd w:id="253"/>
      <w:bookmarkStart w:id="254" w:name="_Toc184308085"/>
      <w:bookmarkEnd w:id="254"/>
      <w:bookmarkStart w:id="255" w:name="_Toc184310332"/>
      <w:bookmarkEnd w:id="255"/>
      <w:bookmarkStart w:id="256" w:name="_Toc184314448"/>
      <w:bookmarkEnd w:id="256"/>
      <w:bookmarkStart w:id="257" w:name="_Toc184308043"/>
      <w:bookmarkEnd w:id="257"/>
      <w:bookmarkStart w:id="258" w:name="_Toc184313260"/>
      <w:bookmarkEnd w:id="258"/>
      <w:bookmarkStart w:id="259" w:name="_Toc184312074"/>
      <w:bookmarkEnd w:id="259"/>
      <w:bookmarkStart w:id="260" w:name="_Toc184313278"/>
      <w:bookmarkEnd w:id="260"/>
      <w:bookmarkStart w:id="261" w:name="_Toc184312072"/>
      <w:bookmarkEnd w:id="261"/>
      <w:bookmarkStart w:id="262" w:name="_Toc184312132"/>
      <w:bookmarkEnd w:id="262"/>
      <w:bookmarkStart w:id="263" w:name="_Toc184312130"/>
      <w:bookmarkEnd w:id="263"/>
      <w:bookmarkStart w:id="264" w:name="_Toc184312099"/>
      <w:bookmarkEnd w:id="264"/>
      <w:bookmarkStart w:id="265" w:name="_Toc184312127"/>
      <w:bookmarkEnd w:id="265"/>
      <w:bookmarkStart w:id="266" w:name="_Toc184313274"/>
      <w:bookmarkEnd w:id="266"/>
      <w:bookmarkStart w:id="267" w:name="_Toc184313289"/>
      <w:bookmarkEnd w:id="267"/>
      <w:bookmarkStart w:id="268" w:name="_Toc184312117"/>
      <w:bookmarkEnd w:id="268"/>
      <w:bookmarkStart w:id="269" w:name="_Toc184308080"/>
      <w:bookmarkEnd w:id="269"/>
      <w:bookmarkStart w:id="270" w:name="_Toc184308060"/>
      <w:bookmarkEnd w:id="270"/>
      <w:bookmarkStart w:id="271" w:name="_Toc184308105"/>
      <w:bookmarkEnd w:id="271"/>
      <w:bookmarkStart w:id="272" w:name="_Toc184312068"/>
      <w:bookmarkEnd w:id="272"/>
      <w:bookmarkStart w:id="273" w:name="_Toc184314459"/>
      <w:bookmarkEnd w:id="273"/>
      <w:bookmarkStart w:id="274" w:name="_Toc184314481"/>
      <w:bookmarkEnd w:id="274"/>
      <w:bookmarkStart w:id="275" w:name="_Toc184312111"/>
      <w:bookmarkEnd w:id="275"/>
      <w:bookmarkStart w:id="276" w:name="_Toc184310341"/>
      <w:bookmarkEnd w:id="276"/>
      <w:bookmarkStart w:id="277" w:name="_Toc184308082"/>
      <w:bookmarkEnd w:id="277"/>
      <w:bookmarkStart w:id="278" w:name="_Toc184314458"/>
      <w:bookmarkEnd w:id="278"/>
      <w:bookmarkStart w:id="279" w:name="_Toc184310343"/>
      <w:bookmarkEnd w:id="279"/>
      <w:bookmarkStart w:id="280" w:name="_Toc184308103"/>
      <w:bookmarkEnd w:id="280"/>
      <w:bookmarkStart w:id="281" w:name="_Toc184310276"/>
      <w:bookmarkEnd w:id="281"/>
      <w:bookmarkStart w:id="282" w:name="_Toc184310300"/>
      <w:bookmarkEnd w:id="282"/>
      <w:bookmarkStart w:id="283" w:name="_Toc184312120"/>
      <w:bookmarkEnd w:id="283"/>
      <w:bookmarkStart w:id="284" w:name="_Toc184308056"/>
      <w:bookmarkEnd w:id="284"/>
      <w:bookmarkStart w:id="285" w:name="_Toc184313265"/>
      <w:bookmarkEnd w:id="285"/>
      <w:bookmarkStart w:id="286" w:name="_Toc184312115"/>
      <w:bookmarkEnd w:id="286"/>
      <w:bookmarkStart w:id="287" w:name="_Toc184314473"/>
      <w:bookmarkEnd w:id="287"/>
      <w:bookmarkStart w:id="288" w:name="_Toc184313243"/>
      <w:bookmarkEnd w:id="288"/>
      <w:bookmarkStart w:id="289" w:name="_Toc184310339"/>
      <w:bookmarkEnd w:id="289"/>
      <w:bookmarkStart w:id="290" w:name="_Toc184310307"/>
      <w:bookmarkEnd w:id="290"/>
      <w:bookmarkStart w:id="291" w:name="_Toc184312071"/>
      <w:bookmarkEnd w:id="291"/>
      <w:bookmarkStart w:id="292" w:name="_Toc184312082"/>
      <w:bookmarkEnd w:id="292"/>
      <w:bookmarkStart w:id="293" w:name="_Toc184312100"/>
      <w:bookmarkEnd w:id="293"/>
      <w:bookmarkStart w:id="294" w:name="_Toc184314446"/>
      <w:bookmarkEnd w:id="294"/>
      <w:bookmarkStart w:id="295" w:name="_Toc184312076"/>
      <w:bookmarkEnd w:id="295"/>
      <w:bookmarkStart w:id="296" w:name="_Toc184310279"/>
      <w:bookmarkEnd w:id="296"/>
      <w:bookmarkStart w:id="297" w:name="_Toc184310275"/>
      <w:bookmarkEnd w:id="297"/>
      <w:bookmarkStart w:id="298" w:name="_Toc184314441"/>
      <w:bookmarkEnd w:id="298"/>
      <w:bookmarkStart w:id="299" w:name="_Toc184310330"/>
      <w:bookmarkEnd w:id="299"/>
      <w:bookmarkStart w:id="300" w:name="_Toc184312110"/>
      <w:bookmarkEnd w:id="300"/>
      <w:bookmarkStart w:id="301" w:name="_Toc184314466"/>
      <w:bookmarkEnd w:id="301"/>
      <w:bookmarkStart w:id="302" w:name="_Toc184313276"/>
      <w:bookmarkEnd w:id="302"/>
      <w:bookmarkStart w:id="303" w:name="_Toc184312108"/>
      <w:bookmarkEnd w:id="303"/>
      <w:bookmarkStart w:id="304" w:name="_Toc184312133"/>
      <w:bookmarkEnd w:id="304"/>
      <w:bookmarkStart w:id="305" w:name="_Toc184314442"/>
      <w:bookmarkEnd w:id="305"/>
      <w:bookmarkStart w:id="306" w:name="_Toc184313287"/>
      <w:bookmarkEnd w:id="306"/>
      <w:bookmarkStart w:id="307" w:name="_Toc184310301"/>
      <w:bookmarkEnd w:id="307"/>
      <w:bookmarkStart w:id="308" w:name="_Toc184314433"/>
      <w:bookmarkEnd w:id="308"/>
      <w:bookmarkStart w:id="309" w:name="_Toc184312107"/>
      <w:bookmarkEnd w:id="309"/>
      <w:bookmarkStart w:id="310" w:name="_Toc184308054"/>
      <w:bookmarkEnd w:id="310"/>
      <w:bookmarkStart w:id="311" w:name="_Toc184308081"/>
      <w:bookmarkEnd w:id="311"/>
      <w:bookmarkStart w:id="312" w:name="_Toc184312122"/>
      <w:bookmarkEnd w:id="312"/>
      <w:bookmarkStart w:id="313" w:name="_Toc184310311"/>
      <w:bookmarkEnd w:id="313"/>
      <w:bookmarkStart w:id="314" w:name="_Toc184312078"/>
      <w:bookmarkEnd w:id="314"/>
      <w:bookmarkStart w:id="315" w:name="_Toc184308038"/>
      <w:bookmarkEnd w:id="315"/>
      <w:bookmarkStart w:id="316" w:name="_Toc184314425"/>
      <w:bookmarkEnd w:id="316"/>
      <w:bookmarkStart w:id="317" w:name="_Toc184314412"/>
      <w:bookmarkEnd w:id="317"/>
      <w:bookmarkStart w:id="318" w:name="_Toc184314436"/>
      <w:bookmarkEnd w:id="318"/>
      <w:bookmarkStart w:id="319" w:name="_Toc184313257"/>
      <w:bookmarkEnd w:id="319"/>
      <w:bookmarkStart w:id="320" w:name="_Toc184314443"/>
      <w:bookmarkEnd w:id="320"/>
      <w:bookmarkStart w:id="321" w:name="_Toc184314468"/>
      <w:bookmarkEnd w:id="321"/>
      <w:bookmarkStart w:id="322" w:name="_Toc184312118"/>
      <w:bookmarkEnd w:id="322"/>
      <w:bookmarkStart w:id="323" w:name="_Toc184312070"/>
      <w:bookmarkEnd w:id="323"/>
      <w:bookmarkStart w:id="324" w:name="_Toc184314444"/>
      <w:bookmarkEnd w:id="324"/>
      <w:bookmarkStart w:id="325" w:name="_Toc184313300"/>
      <w:bookmarkEnd w:id="325"/>
      <w:bookmarkStart w:id="326" w:name="_Toc184308057"/>
      <w:bookmarkEnd w:id="326"/>
      <w:bookmarkStart w:id="327" w:name="_Toc184314440"/>
      <w:bookmarkEnd w:id="327"/>
      <w:bookmarkStart w:id="328" w:name="_Toc184308037"/>
      <w:bookmarkEnd w:id="328"/>
      <w:bookmarkStart w:id="329" w:name="_Toc184312083"/>
      <w:bookmarkEnd w:id="329"/>
      <w:bookmarkStart w:id="330" w:name="_Toc184308093"/>
      <w:bookmarkEnd w:id="330"/>
      <w:bookmarkStart w:id="331" w:name="_Toc184310296"/>
      <w:bookmarkEnd w:id="331"/>
      <w:bookmarkStart w:id="332" w:name="_Toc184312069"/>
      <w:bookmarkEnd w:id="332"/>
      <w:bookmarkStart w:id="333" w:name="_Toc184313239"/>
      <w:bookmarkEnd w:id="333"/>
      <w:bookmarkStart w:id="334" w:name="_Toc184308058"/>
      <w:bookmarkEnd w:id="334"/>
      <w:bookmarkStart w:id="335" w:name="_Toc184310294"/>
      <w:bookmarkEnd w:id="335"/>
      <w:bookmarkStart w:id="336" w:name="_Toc184314438"/>
      <w:bookmarkEnd w:id="336"/>
      <w:bookmarkStart w:id="337" w:name="_Toc184308065"/>
      <w:bookmarkEnd w:id="337"/>
      <w:bookmarkStart w:id="338" w:name="_Toc184310283"/>
      <w:bookmarkEnd w:id="338"/>
      <w:bookmarkStart w:id="339" w:name="_Toc184310338"/>
      <w:bookmarkEnd w:id="339"/>
      <w:bookmarkStart w:id="340" w:name="_Toc184310290"/>
      <w:bookmarkEnd w:id="340"/>
      <w:bookmarkStart w:id="341" w:name="_Toc184308045"/>
      <w:bookmarkEnd w:id="341"/>
      <w:bookmarkStart w:id="342" w:name="_Toc184308072"/>
      <w:bookmarkEnd w:id="342"/>
      <w:bookmarkStart w:id="343" w:name="_Toc184310309"/>
      <w:bookmarkEnd w:id="343"/>
      <w:bookmarkStart w:id="344" w:name="_Toc184313270"/>
      <w:bookmarkEnd w:id="344"/>
      <w:bookmarkStart w:id="345" w:name="_Toc184310322"/>
      <w:bookmarkEnd w:id="345"/>
      <w:bookmarkStart w:id="346" w:name="_Toc184314461"/>
      <w:bookmarkEnd w:id="346"/>
      <w:bookmarkStart w:id="347" w:name="_Toc184310287"/>
      <w:bookmarkEnd w:id="347"/>
      <w:bookmarkStart w:id="348" w:name="_Toc184314454"/>
      <w:bookmarkEnd w:id="348"/>
      <w:bookmarkStart w:id="349" w:name="_Toc184308099"/>
      <w:bookmarkEnd w:id="349"/>
      <w:bookmarkStart w:id="350" w:name="_Toc184308108"/>
      <w:bookmarkEnd w:id="350"/>
      <w:bookmarkStart w:id="351" w:name="_Toc184308092"/>
      <w:bookmarkEnd w:id="351"/>
      <w:bookmarkStart w:id="352" w:name="_Toc184314434"/>
      <w:bookmarkEnd w:id="352"/>
      <w:bookmarkStart w:id="353" w:name="_Toc184312125"/>
      <w:bookmarkEnd w:id="353"/>
      <w:bookmarkStart w:id="354" w:name="_Toc184310303"/>
      <w:bookmarkEnd w:id="354"/>
      <w:bookmarkStart w:id="355" w:name="_Toc184313272"/>
      <w:bookmarkEnd w:id="355"/>
      <w:bookmarkStart w:id="356" w:name="_Toc184314420"/>
      <w:bookmarkEnd w:id="356"/>
      <w:bookmarkStart w:id="357" w:name="_Toc184314456"/>
      <w:bookmarkEnd w:id="357"/>
      <w:bookmarkStart w:id="358" w:name="_Toc184313273"/>
      <w:bookmarkEnd w:id="358"/>
      <w:bookmarkStart w:id="359" w:name="_Toc184308069"/>
      <w:bookmarkEnd w:id="359"/>
      <w:bookmarkStart w:id="360" w:name="_Toc184308107"/>
      <w:bookmarkEnd w:id="360"/>
      <w:bookmarkStart w:id="361" w:name="_Toc184313304"/>
      <w:bookmarkEnd w:id="361"/>
      <w:bookmarkStart w:id="362" w:name="_Toc184312114"/>
      <w:bookmarkEnd w:id="362"/>
      <w:bookmarkStart w:id="363" w:name="_Toc184308061"/>
      <w:bookmarkEnd w:id="363"/>
      <w:bookmarkStart w:id="364" w:name="_Toc184313247"/>
      <w:bookmarkEnd w:id="364"/>
      <w:bookmarkStart w:id="365" w:name="_Toc184308074"/>
      <w:bookmarkEnd w:id="365"/>
      <w:bookmarkStart w:id="366" w:name="_Toc184314419"/>
      <w:bookmarkEnd w:id="366"/>
      <w:bookmarkStart w:id="367" w:name="_Toc184308078"/>
      <w:bookmarkEnd w:id="367"/>
      <w:bookmarkStart w:id="368" w:name="_Toc184314464"/>
      <w:bookmarkEnd w:id="368"/>
      <w:bookmarkStart w:id="369" w:name="_Toc184310321"/>
      <w:bookmarkEnd w:id="369"/>
      <w:bookmarkStart w:id="370" w:name="_Toc184314428"/>
      <w:bookmarkEnd w:id="370"/>
      <w:bookmarkStart w:id="371" w:name="_Toc184313293"/>
      <w:bookmarkEnd w:id="371"/>
      <w:bookmarkStart w:id="372" w:name="_Toc184313251"/>
      <w:bookmarkEnd w:id="372"/>
      <w:bookmarkStart w:id="373" w:name="_Toc184312095"/>
      <w:bookmarkEnd w:id="373"/>
      <w:bookmarkStart w:id="374" w:name="_Toc184312121"/>
      <w:bookmarkEnd w:id="374"/>
      <w:bookmarkStart w:id="375" w:name="_Toc184308094"/>
      <w:bookmarkEnd w:id="375"/>
      <w:bookmarkStart w:id="376" w:name="_Toc184312077"/>
      <w:bookmarkEnd w:id="376"/>
      <w:bookmarkStart w:id="377" w:name="_Toc184308104"/>
      <w:bookmarkEnd w:id="377"/>
      <w:bookmarkStart w:id="378" w:name="_Toc184313261"/>
      <w:bookmarkEnd w:id="378"/>
      <w:bookmarkStart w:id="379" w:name="_Toc184312104"/>
      <w:bookmarkEnd w:id="379"/>
      <w:bookmarkStart w:id="380" w:name="_Toc184313263"/>
      <w:bookmarkEnd w:id="380"/>
      <w:bookmarkStart w:id="381" w:name="_Toc184313302"/>
      <w:bookmarkEnd w:id="381"/>
      <w:bookmarkStart w:id="382" w:name="_Toc184314445"/>
      <w:bookmarkEnd w:id="382"/>
      <w:bookmarkStart w:id="383" w:name="_Toc184310329"/>
      <w:bookmarkEnd w:id="383"/>
      <w:bookmarkStart w:id="384" w:name="_Toc184314416"/>
      <w:bookmarkEnd w:id="384"/>
      <w:bookmarkStart w:id="385" w:name="_Toc184314476"/>
      <w:bookmarkEnd w:id="385"/>
      <w:bookmarkStart w:id="386" w:name="_Toc184312084"/>
      <w:bookmarkEnd w:id="386"/>
      <w:bookmarkStart w:id="387" w:name="_Toc184313290"/>
      <w:bookmarkEnd w:id="387"/>
      <w:bookmarkStart w:id="388" w:name="_Toc184313279"/>
      <w:bookmarkEnd w:id="388"/>
      <w:bookmarkStart w:id="389" w:name="_Toc184310336"/>
      <w:bookmarkEnd w:id="389"/>
      <w:bookmarkStart w:id="390" w:name="_Toc184308077"/>
      <w:bookmarkEnd w:id="390"/>
      <w:bookmarkStart w:id="391" w:name="_Toc184313280"/>
      <w:bookmarkEnd w:id="391"/>
      <w:bookmarkStart w:id="392" w:name="_Toc184312067"/>
      <w:bookmarkEnd w:id="392"/>
      <w:bookmarkStart w:id="393" w:name="_Toc184314469"/>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
      <w:pPr>
        <w:widowControl/>
        <w:jc w:val="left"/>
        <w:rPr>
          <w:rFonts w:hint="eastAsia" w:ascii="宋体" w:hAnsi="宋体" w:eastAsia="宋体" w:cs="宋体"/>
          <w:b/>
          <w:bCs/>
        </w:rPr>
      </w:pPr>
      <w:r>
        <w:rPr>
          <w:rFonts w:hint="eastAsia" w:ascii="宋体" w:hAnsi="宋体" w:eastAsia="宋体" w:cs="宋体"/>
          <w:b/>
          <w:bCs/>
          <w:sz w:val="24"/>
        </w:rPr>
        <w:t>1、</w:t>
      </w:r>
      <w:r>
        <w:rPr>
          <w:rFonts w:hint="eastAsia" w:ascii="宋体" w:hAnsi="宋体" w:eastAsia="宋体" w:cs="宋体"/>
          <w:b/>
          <w:bCs/>
          <w:kern w:val="0"/>
          <w:sz w:val="24"/>
        </w:rPr>
        <w:t>商务资信（2</w:t>
      </w:r>
      <w:r>
        <w:rPr>
          <w:rFonts w:hint="eastAsia" w:ascii="宋体" w:hAnsi="宋体" w:eastAsia="宋体" w:cs="宋体"/>
          <w:b/>
          <w:bCs/>
          <w:kern w:val="0"/>
          <w:sz w:val="24"/>
          <w:lang w:val="en-US" w:eastAsia="zh-CN"/>
        </w:rPr>
        <w:t>4</w:t>
      </w:r>
      <w:r>
        <w:rPr>
          <w:rFonts w:hint="eastAsia" w:ascii="宋体" w:hAnsi="宋体" w:eastAsia="宋体" w:cs="宋体"/>
          <w:b/>
          <w:bCs/>
          <w:kern w:val="0"/>
          <w:sz w:val="24"/>
        </w:rPr>
        <w:t>分）</w:t>
      </w:r>
    </w:p>
    <w:tbl>
      <w:tblPr>
        <w:tblStyle w:val="6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8"/>
        <w:gridCol w:w="66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widowControl/>
              <w:spacing w:line="3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7178" w:type="dxa"/>
            <w:gridSpan w:val="2"/>
            <w:vAlign w:val="center"/>
          </w:tcPr>
          <w:p>
            <w:pPr>
              <w:widowControl/>
              <w:spacing w:line="3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评分内容和标准</w:t>
            </w:r>
          </w:p>
        </w:tc>
        <w:tc>
          <w:tcPr>
            <w:tcW w:w="1230" w:type="dxa"/>
            <w:vAlign w:val="center"/>
          </w:tcPr>
          <w:p>
            <w:pPr>
              <w:widowControl/>
              <w:spacing w:line="3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0" w:type="dxa"/>
            <w:vMerge w:val="restart"/>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1</w:t>
            </w:r>
          </w:p>
        </w:tc>
        <w:tc>
          <w:tcPr>
            <w:tcW w:w="6650" w:type="dxa"/>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供应商综合实力</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根据响应人综合实力、履约能力等情况综合评定对比打分。</w:t>
            </w:r>
          </w:p>
        </w:tc>
        <w:tc>
          <w:tcPr>
            <w:tcW w:w="1230" w:type="dxa"/>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0" w:type="dxa"/>
            <w:vMerge w:val="continue"/>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2</w:t>
            </w:r>
          </w:p>
        </w:tc>
        <w:tc>
          <w:tcPr>
            <w:tcW w:w="6650" w:type="dxa"/>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供应商经营状况</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（根据供应商经营类似项目时间长短、获得荣誉等情况综合评定）。</w:t>
            </w:r>
          </w:p>
        </w:tc>
        <w:tc>
          <w:tcPr>
            <w:tcW w:w="1230" w:type="dxa"/>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0" w:type="dxa"/>
            <w:vMerge w:val="continue"/>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3</w:t>
            </w:r>
          </w:p>
        </w:tc>
        <w:tc>
          <w:tcPr>
            <w:tcW w:w="6650" w:type="dxa"/>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供应商自201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年以来管理过相同或类似合同业绩的，每提供一个得1分，最高得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分。（响应文件中提供合同业绩材料）</w:t>
            </w:r>
          </w:p>
        </w:tc>
        <w:tc>
          <w:tcPr>
            <w:tcW w:w="1230" w:type="dxa"/>
            <w:vAlign w:val="center"/>
          </w:tcPr>
          <w:p>
            <w:pPr>
              <w:spacing w:line="34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0-</w:t>
            </w:r>
            <w:r>
              <w:rPr>
                <w:rFonts w:hint="eastAsia" w:ascii="宋体" w:hAnsi="宋体" w:eastAsia="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0" w:type="dxa"/>
            <w:vMerge w:val="continue"/>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4</w:t>
            </w:r>
          </w:p>
        </w:tc>
        <w:tc>
          <w:tcPr>
            <w:tcW w:w="6650" w:type="dxa"/>
            <w:vAlign w:val="center"/>
          </w:tcPr>
          <w:p>
            <w:pPr>
              <w:rPr>
                <w:rFonts w:hint="eastAsia" w:ascii="宋体" w:hAnsi="宋体" w:eastAsia="宋体" w:cs="宋体"/>
                <w:color w:val="auto"/>
                <w:sz w:val="24"/>
              </w:rPr>
            </w:pPr>
            <w:r>
              <w:rPr>
                <w:rFonts w:hint="eastAsia" w:ascii="宋体" w:hAnsi="宋体" w:eastAsia="宋体" w:cs="宋体"/>
                <w:color w:val="auto"/>
                <w:sz w:val="24"/>
              </w:rPr>
              <w:t>供应商信用（供应商需提供相关证书或文件）</w:t>
            </w:r>
          </w:p>
          <w:p>
            <w:pPr>
              <w:spacing w:line="380" w:lineRule="exact"/>
              <w:rPr>
                <w:rFonts w:hint="eastAsia"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年1月后获得过浙江省人力资源服务协会确认的等级评定证书，5星级的得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r>
              <w:rPr>
                <w:rFonts w:hint="eastAsia" w:ascii="宋体" w:hAnsi="宋体" w:eastAsia="宋体" w:cs="宋体"/>
                <w:color w:val="auto"/>
                <w:sz w:val="24"/>
                <w:lang w:val="en-US" w:eastAsia="zh-CN"/>
              </w:rPr>
              <w:t>4</w:t>
            </w:r>
            <w:r>
              <w:rPr>
                <w:rFonts w:hint="eastAsia" w:ascii="宋体" w:hAnsi="宋体" w:eastAsia="宋体" w:cs="宋体"/>
                <w:color w:val="auto"/>
                <w:sz w:val="24"/>
              </w:rPr>
              <w:t>星级的得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lang w:val="en-US" w:eastAsia="zh-CN"/>
              </w:rPr>
              <w:t>3</w:t>
            </w:r>
            <w:r>
              <w:rPr>
                <w:rFonts w:hint="eastAsia" w:ascii="宋体" w:hAnsi="宋体" w:eastAsia="宋体" w:cs="宋体"/>
                <w:color w:val="auto"/>
                <w:sz w:val="24"/>
              </w:rPr>
              <w:t>星级的得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2星级的得1分，2星级以下的不得分</w:t>
            </w:r>
            <w:r>
              <w:rPr>
                <w:rFonts w:hint="eastAsia" w:ascii="宋体" w:hAnsi="宋体" w:eastAsia="宋体" w:cs="宋体"/>
                <w:color w:val="auto"/>
                <w:sz w:val="24"/>
              </w:rPr>
              <w:t>。</w:t>
            </w:r>
          </w:p>
        </w:tc>
        <w:tc>
          <w:tcPr>
            <w:tcW w:w="1230" w:type="dxa"/>
            <w:vAlign w:val="center"/>
          </w:tcPr>
          <w:p>
            <w:pPr>
              <w:spacing w:line="3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rPr>
              <w:t>0-</w:t>
            </w:r>
            <w:r>
              <w:rPr>
                <w:rFonts w:hint="eastAsia" w:ascii="宋体" w:hAnsi="宋体" w:eastAsia="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10" w:type="dxa"/>
            <w:vMerge w:val="continue"/>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5</w:t>
            </w:r>
          </w:p>
        </w:tc>
        <w:tc>
          <w:tcPr>
            <w:tcW w:w="6650" w:type="dxa"/>
            <w:vAlign w:val="center"/>
          </w:tcPr>
          <w:p>
            <w:pPr>
              <w:spacing w:line="380" w:lineRule="exact"/>
              <w:rPr>
                <w:rFonts w:hint="eastAsia" w:ascii="宋体" w:hAnsi="宋体" w:eastAsia="宋体" w:cs="宋体"/>
                <w:color w:val="auto"/>
                <w:sz w:val="24"/>
              </w:rPr>
            </w:pPr>
            <w:r>
              <w:rPr>
                <w:rFonts w:hint="eastAsia" w:ascii="宋体" w:hAnsi="宋体" w:eastAsia="宋体" w:cs="宋体"/>
                <w:color w:val="auto"/>
                <w:sz w:val="24"/>
              </w:rPr>
              <w:t>供应商自201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以来取得过各类荣誉的，省级及以上政府或职能部门颁发荣誉的得每个2分，市级及以上政府或职能部门颁发荣誉的每个得1.5分，区级及以下政府或职能部门颁发荣誉的每个得1分本项最高得3分。（响应文件中提供荣誉材料）</w:t>
            </w:r>
          </w:p>
        </w:tc>
        <w:tc>
          <w:tcPr>
            <w:tcW w:w="1230" w:type="dxa"/>
            <w:vAlign w:val="center"/>
          </w:tcPr>
          <w:p>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0" w:type="dxa"/>
            <w:vMerge w:val="continue"/>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6</w:t>
            </w:r>
          </w:p>
        </w:tc>
        <w:tc>
          <w:tcPr>
            <w:tcW w:w="6650" w:type="dxa"/>
            <w:vAlign w:val="center"/>
          </w:tcPr>
          <w:p>
            <w:pPr>
              <w:numPr>
                <w:ilvl w:val="0"/>
                <w:numId w:val="1"/>
              </w:numPr>
              <w:spacing w:line="380" w:lineRule="exact"/>
              <w:rPr>
                <w:rFonts w:hint="eastAsia" w:ascii="宋体" w:hAnsi="宋体" w:eastAsia="宋体" w:cs="宋体"/>
                <w:color w:val="auto"/>
                <w:sz w:val="24"/>
              </w:rPr>
            </w:pPr>
            <w:r>
              <w:rPr>
                <w:rFonts w:hint="eastAsia" w:ascii="宋体" w:hAnsi="宋体" w:eastAsia="宋体" w:cs="宋体"/>
                <w:color w:val="auto"/>
                <w:sz w:val="24"/>
              </w:rPr>
              <w:t>取得ISO14001环境管理体系认证得1分；</w:t>
            </w:r>
          </w:p>
          <w:p>
            <w:pPr>
              <w:numPr>
                <w:ilvl w:val="0"/>
                <w:numId w:val="1"/>
              </w:numPr>
              <w:spacing w:line="380" w:lineRule="exact"/>
              <w:rPr>
                <w:rFonts w:hint="eastAsia" w:ascii="宋体" w:hAnsi="宋体" w:eastAsia="宋体" w:cs="宋体"/>
                <w:color w:val="auto"/>
                <w:sz w:val="24"/>
              </w:rPr>
            </w:pPr>
            <w:r>
              <w:rPr>
                <w:rFonts w:hint="eastAsia" w:ascii="宋体" w:hAnsi="宋体" w:eastAsia="宋体" w:cs="宋体"/>
                <w:color w:val="auto"/>
                <w:sz w:val="24"/>
              </w:rPr>
              <w:t>取得OHSAS18000职业健康安全管理体系认证得1分；</w:t>
            </w:r>
          </w:p>
          <w:p>
            <w:pPr>
              <w:numPr>
                <w:ilvl w:val="0"/>
                <w:numId w:val="1"/>
              </w:numPr>
              <w:spacing w:line="380" w:lineRule="exact"/>
              <w:rPr>
                <w:rFonts w:hint="eastAsia" w:ascii="宋体" w:hAnsi="宋体" w:eastAsia="宋体" w:cs="宋体"/>
                <w:color w:val="auto"/>
                <w:sz w:val="24"/>
              </w:rPr>
            </w:pPr>
            <w:r>
              <w:rPr>
                <w:rFonts w:hint="eastAsia" w:ascii="宋体" w:hAnsi="宋体" w:eastAsia="宋体" w:cs="宋体"/>
                <w:color w:val="auto"/>
                <w:sz w:val="24"/>
              </w:rPr>
              <w:t>取得ISO90001质量管理体系认证得1分。</w:t>
            </w:r>
          </w:p>
          <w:p>
            <w:pPr>
              <w:spacing w:line="380" w:lineRule="exact"/>
              <w:rPr>
                <w:rFonts w:hint="eastAsia" w:ascii="宋体" w:hAnsi="宋体" w:eastAsia="宋体" w:cs="宋体"/>
                <w:color w:val="auto"/>
                <w:sz w:val="24"/>
              </w:rPr>
            </w:pPr>
            <w:r>
              <w:rPr>
                <w:rFonts w:hint="eastAsia" w:ascii="宋体" w:hAnsi="宋体" w:eastAsia="宋体" w:cs="宋体"/>
                <w:color w:val="auto"/>
                <w:sz w:val="24"/>
              </w:rPr>
              <w:t>（须在认证期有效内，响应文件中提供相关证明材料，不提供不得分）</w:t>
            </w:r>
          </w:p>
        </w:tc>
        <w:tc>
          <w:tcPr>
            <w:tcW w:w="1230" w:type="dxa"/>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10" w:type="dxa"/>
            <w:vMerge w:val="continue"/>
            <w:vAlign w:val="center"/>
          </w:tcPr>
          <w:p>
            <w:pPr>
              <w:widowControl/>
              <w:spacing w:line="360" w:lineRule="exact"/>
              <w:jc w:val="left"/>
              <w:rPr>
                <w:rFonts w:hint="eastAsia" w:ascii="宋体" w:hAnsi="宋体" w:eastAsia="宋体" w:cs="宋体"/>
                <w:color w:val="auto"/>
                <w:kern w:val="0"/>
                <w:sz w:val="20"/>
                <w:szCs w:val="22"/>
              </w:rPr>
            </w:pPr>
          </w:p>
        </w:tc>
        <w:tc>
          <w:tcPr>
            <w:tcW w:w="528" w:type="dxa"/>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7</w:t>
            </w:r>
          </w:p>
        </w:tc>
        <w:tc>
          <w:tcPr>
            <w:tcW w:w="6650" w:type="dxa"/>
            <w:vAlign w:val="center"/>
          </w:tcPr>
          <w:p>
            <w:pPr>
              <w:spacing w:line="380" w:lineRule="exact"/>
              <w:rPr>
                <w:rFonts w:hint="eastAsia" w:ascii="宋体" w:hAnsi="宋体" w:eastAsia="宋体" w:cs="宋体"/>
                <w:color w:val="auto"/>
                <w:sz w:val="24"/>
              </w:rPr>
            </w:pPr>
            <w:r>
              <w:rPr>
                <w:rFonts w:hint="eastAsia" w:ascii="宋体" w:hAnsi="宋体" w:eastAsia="宋体" w:cs="宋体"/>
                <w:color w:val="auto"/>
                <w:sz w:val="24"/>
              </w:rPr>
              <w:t>供应商成立独立党支部、团支部的每项得1分，本项最高得2分。（须在响应文件中提供相关证明材料，不提供不得分）</w:t>
            </w:r>
          </w:p>
        </w:tc>
        <w:tc>
          <w:tcPr>
            <w:tcW w:w="1230" w:type="dxa"/>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0-2</w:t>
            </w:r>
          </w:p>
        </w:tc>
      </w:tr>
    </w:tbl>
    <w:p>
      <w:pPr>
        <w:widowControl/>
        <w:jc w:val="left"/>
        <w:rPr>
          <w:rFonts w:hint="eastAsia" w:ascii="宋体" w:hAnsi="宋体" w:eastAsia="宋体" w:cs="宋体"/>
          <w:b/>
          <w:bCs/>
        </w:rPr>
      </w:pPr>
    </w:p>
    <w:p>
      <w:pPr>
        <w:widowControl/>
        <w:jc w:val="left"/>
        <w:rPr>
          <w:rFonts w:hint="eastAsia" w:ascii="宋体" w:hAnsi="宋体" w:eastAsia="宋体" w:cs="宋体"/>
          <w:b/>
          <w:bCs/>
        </w:rPr>
      </w:pPr>
      <w:r>
        <w:rPr>
          <w:rFonts w:hint="eastAsia" w:ascii="宋体" w:hAnsi="宋体" w:eastAsia="宋体" w:cs="宋体"/>
          <w:b/>
          <w:bCs/>
          <w:sz w:val="24"/>
        </w:rPr>
        <w:t>2</w:t>
      </w:r>
      <w:r>
        <w:rPr>
          <w:rFonts w:hint="eastAsia" w:ascii="宋体" w:hAnsi="宋体" w:eastAsia="宋体" w:cs="宋体"/>
          <w:b/>
          <w:bCs/>
          <w:kern w:val="0"/>
          <w:sz w:val="24"/>
        </w:rPr>
        <w:t>、技术部分（5</w:t>
      </w:r>
      <w:r>
        <w:rPr>
          <w:rFonts w:hint="eastAsia" w:ascii="宋体" w:hAnsi="宋体" w:eastAsia="宋体" w:cs="宋体"/>
          <w:b/>
          <w:bCs/>
          <w:kern w:val="0"/>
          <w:sz w:val="24"/>
          <w:lang w:val="en-US" w:eastAsia="zh-CN"/>
        </w:rPr>
        <w:t>1</w:t>
      </w:r>
      <w:r>
        <w:rPr>
          <w:rFonts w:hint="eastAsia" w:ascii="宋体" w:hAnsi="宋体" w:eastAsia="宋体" w:cs="宋体"/>
          <w:b/>
          <w:bCs/>
          <w:kern w:val="0"/>
          <w:sz w:val="24"/>
        </w:rPr>
        <w:t>分）</w:t>
      </w:r>
    </w:p>
    <w:tbl>
      <w:tblPr>
        <w:tblStyle w:val="62"/>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1"/>
        <w:gridCol w:w="663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2" w:type="dxa"/>
            <w:vAlign w:val="center"/>
          </w:tcPr>
          <w:p>
            <w:pPr>
              <w:widowControl/>
              <w:spacing w:line="28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7151" w:type="dxa"/>
            <w:gridSpan w:val="2"/>
            <w:vAlign w:val="center"/>
          </w:tcPr>
          <w:p>
            <w:pPr>
              <w:widowControl/>
              <w:spacing w:line="28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评分内容和标准</w:t>
            </w:r>
          </w:p>
        </w:tc>
        <w:tc>
          <w:tcPr>
            <w:tcW w:w="1228" w:type="dxa"/>
            <w:vAlign w:val="center"/>
          </w:tcPr>
          <w:p>
            <w:pPr>
              <w:widowControl/>
              <w:spacing w:line="28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12" w:type="dxa"/>
            <w:vMerge w:val="restart"/>
            <w:shd w:val="clear" w:color="auto" w:fill="auto"/>
            <w:vAlign w:val="center"/>
          </w:tcPr>
          <w:p>
            <w:pPr>
              <w:pStyle w:val="6"/>
              <w:snapToGrid w:val="0"/>
              <w:spacing w:line="280" w:lineRule="exact"/>
              <w:ind w:firstLine="0" w:firstLineChars="0"/>
              <w:jc w:val="left"/>
              <w:rPr>
                <w:rFonts w:hint="eastAsia" w:ascii="宋体" w:hAnsi="宋体" w:eastAsia="宋体" w:cs="宋体"/>
                <w:color w:val="auto"/>
                <w:kern w:val="0"/>
              </w:rPr>
            </w:pPr>
            <w:r>
              <w:rPr>
                <w:rFonts w:hint="eastAsia" w:ascii="宋体" w:hAnsi="宋体" w:eastAsia="宋体" w:cs="宋体"/>
                <w:color w:val="auto"/>
              </w:rPr>
              <w:t>技术分（50分）</w:t>
            </w: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1</w:t>
            </w:r>
          </w:p>
        </w:tc>
        <w:tc>
          <w:tcPr>
            <w:tcW w:w="6630" w:type="dxa"/>
            <w:shd w:val="clear" w:color="000000" w:fill="FFFFFF"/>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采购方案的合理性、科学性、全面性</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（根据对采购项目的理解程度、总体设计、组织实施、独到优势等情况综合评定）</w:t>
            </w:r>
            <w:r>
              <w:rPr>
                <w:rFonts w:hint="eastAsia" w:ascii="宋体" w:hAnsi="宋体" w:eastAsia="宋体" w:cs="宋体"/>
                <w:color w:val="auto"/>
                <w:sz w:val="24"/>
                <w:lang w:val="en-US" w:eastAsia="zh-CN"/>
              </w:rPr>
              <w:t>方案可行完全符合要求得6-8分，方案基本可行、基本符合要求3-5分，方案可行性较差的得1-2分。</w:t>
            </w:r>
          </w:p>
        </w:tc>
        <w:tc>
          <w:tcPr>
            <w:tcW w:w="1228" w:type="dxa"/>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12" w:type="dxa"/>
            <w:vMerge w:val="continue"/>
            <w:shd w:val="clear" w:color="auto" w:fill="auto"/>
            <w:vAlign w:val="center"/>
          </w:tcPr>
          <w:p>
            <w:pPr>
              <w:widowControl/>
              <w:spacing w:line="280" w:lineRule="exact"/>
              <w:jc w:val="left"/>
              <w:rPr>
                <w:rFonts w:hint="eastAsia" w:ascii="宋体" w:hAnsi="宋体" w:eastAsia="宋体" w:cs="宋体"/>
                <w:color w:val="auto"/>
                <w:kern w:val="0"/>
                <w:sz w:val="24"/>
              </w:rPr>
            </w:pP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lang w:val="en-US" w:eastAsia="zh-CN"/>
              </w:rPr>
            </w:pPr>
            <w:r>
              <w:rPr>
                <w:rFonts w:hint="eastAsia" w:ascii="宋体" w:hAnsi="宋体" w:eastAsia="宋体" w:cs="宋体"/>
                <w:color w:val="auto"/>
                <w:kern w:val="0"/>
                <w:sz w:val="20"/>
                <w:szCs w:val="22"/>
                <w:lang w:val="en-US" w:eastAsia="zh-CN"/>
              </w:rPr>
              <w:t>2</w:t>
            </w:r>
          </w:p>
        </w:tc>
        <w:tc>
          <w:tcPr>
            <w:tcW w:w="6630" w:type="dxa"/>
            <w:shd w:val="clear" w:color="000000" w:fill="FFFFFF"/>
            <w:vAlign w:val="center"/>
          </w:tcPr>
          <w:p>
            <w:pPr>
              <w:spacing w:line="340" w:lineRule="exact"/>
              <w:rPr>
                <w:rFonts w:hint="eastAsia" w:ascii="宋体" w:hAnsi="宋体" w:eastAsia="宋体" w:cs="宋体"/>
                <w:color w:val="auto"/>
                <w:sz w:val="24"/>
                <w:lang w:eastAsia="zh-CN"/>
              </w:rPr>
            </w:pPr>
            <w:r>
              <w:rPr>
                <w:rFonts w:hint="eastAsia" w:ascii="宋体" w:hAnsi="宋体" w:eastAsia="宋体" w:cs="宋体"/>
                <w:color w:val="auto"/>
                <w:sz w:val="24"/>
              </w:rPr>
              <w:t>根据投标人针对本项目提出</w:t>
            </w:r>
            <w:r>
              <w:rPr>
                <w:rFonts w:hint="eastAsia" w:ascii="宋体" w:hAnsi="宋体" w:eastAsia="宋体" w:cs="宋体"/>
                <w:color w:val="auto"/>
                <w:sz w:val="24"/>
                <w:lang w:val="en-US" w:eastAsia="zh-CN"/>
              </w:rPr>
              <w:t>的</w:t>
            </w:r>
            <w:r>
              <w:rPr>
                <w:rFonts w:hint="eastAsia" w:ascii="宋体" w:hAnsi="宋体" w:eastAsia="宋体" w:cs="宋体"/>
                <w:color w:val="auto"/>
                <w:sz w:val="24"/>
              </w:rPr>
              <w:t>保证进度和项目完成的方案和措施等</w:t>
            </w:r>
            <w:r>
              <w:rPr>
                <w:rFonts w:hint="eastAsia" w:ascii="宋体" w:hAnsi="宋体" w:eastAsia="宋体" w:cs="宋体"/>
                <w:color w:val="auto"/>
                <w:sz w:val="24"/>
                <w:lang w:val="en-US" w:eastAsia="zh-CN"/>
              </w:rPr>
              <w:t xml:space="preserve">打分，满足的得4-6分，部分满足2-3分，不满足不得分。     </w:t>
            </w:r>
          </w:p>
        </w:tc>
        <w:tc>
          <w:tcPr>
            <w:tcW w:w="1228" w:type="dxa"/>
            <w:vAlign w:val="center"/>
          </w:tcPr>
          <w:p>
            <w:pPr>
              <w:spacing w:line="340" w:lineRule="exact"/>
              <w:jc w:val="center"/>
              <w:rPr>
                <w:rFonts w:hint="eastAsia" w:ascii="宋体" w:hAnsi="宋体" w:eastAsia="宋体" w:cs="宋体"/>
                <w:color w:val="auto"/>
                <w:kern w:val="0"/>
                <w:sz w:val="24"/>
              </w:rPr>
            </w:pPr>
            <w:r>
              <w:rPr>
                <w:rFonts w:hint="eastAsia" w:ascii="宋体" w:hAnsi="宋体" w:eastAsia="宋体" w:cs="宋体"/>
                <w:color w:val="auto"/>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12" w:type="dxa"/>
            <w:vMerge w:val="continue"/>
            <w:shd w:val="clear" w:color="auto" w:fill="auto"/>
            <w:vAlign w:val="center"/>
          </w:tcPr>
          <w:p>
            <w:pPr>
              <w:widowControl/>
              <w:spacing w:line="280" w:lineRule="exact"/>
              <w:jc w:val="left"/>
              <w:rPr>
                <w:rFonts w:hint="eastAsia" w:ascii="宋体" w:hAnsi="宋体" w:eastAsia="宋体" w:cs="宋体"/>
                <w:color w:val="auto"/>
                <w:kern w:val="0"/>
                <w:sz w:val="24"/>
              </w:rPr>
            </w:pP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4</w:t>
            </w:r>
          </w:p>
        </w:tc>
        <w:tc>
          <w:tcPr>
            <w:tcW w:w="6630" w:type="dxa"/>
            <w:shd w:val="clear" w:color="000000" w:fill="FFFFFF"/>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项目负责人及技术力量安排等</w:t>
            </w:r>
          </w:p>
          <w:p>
            <w:pPr>
              <w:numPr>
                <w:ilvl w:val="0"/>
                <w:numId w:val="2"/>
              </w:numPr>
              <w:spacing w:line="340" w:lineRule="exact"/>
              <w:rPr>
                <w:rFonts w:hint="eastAsia" w:ascii="宋体" w:hAnsi="宋体" w:eastAsia="宋体" w:cs="宋体"/>
                <w:color w:val="auto"/>
                <w:sz w:val="24"/>
              </w:rPr>
            </w:pPr>
            <w:r>
              <w:rPr>
                <w:rFonts w:hint="eastAsia" w:ascii="宋体" w:hAnsi="宋体" w:eastAsia="宋体" w:cs="宋体"/>
                <w:color w:val="auto"/>
                <w:sz w:val="24"/>
              </w:rPr>
              <w:t>项目负责人及技术力量安排等：每具有1个一级人力资源管理师证书的得2分，每具有1个二级人力资源管理师证书的得1分，没有不得分，最高得9分</w:t>
            </w:r>
            <w:r>
              <w:rPr>
                <w:rFonts w:hint="eastAsia" w:ascii="宋体" w:hAnsi="宋体" w:eastAsia="宋体" w:cs="宋体"/>
                <w:color w:val="auto"/>
                <w:sz w:val="24"/>
                <w:lang w:eastAsia="zh-CN"/>
              </w:rPr>
              <w:t>。</w:t>
            </w:r>
            <w:r>
              <w:rPr>
                <w:rFonts w:hint="eastAsia" w:ascii="宋体" w:hAnsi="宋体" w:eastAsia="宋体" w:cs="宋体"/>
                <w:color w:val="auto"/>
                <w:sz w:val="24"/>
              </w:rPr>
              <w:t>（响应文件中提供202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年11月和12月、202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年1月的社会保险证明</w:t>
            </w:r>
            <w:r>
              <w:rPr>
                <w:rFonts w:hint="eastAsia" w:ascii="宋体" w:hAnsi="宋体" w:eastAsia="宋体" w:cs="宋体"/>
                <w:color w:val="auto"/>
                <w:sz w:val="24"/>
                <w:lang w:val="en-US" w:eastAsia="zh-CN"/>
              </w:rPr>
              <w:t>及相关证明材料</w:t>
            </w:r>
            <w:r>
              <w:rPr>
                <w:rFonts w:hint="eastAsia" w:ascii="宋体" w:hAnsi="宋体" w:eastAsia="宋体" w:cs="宋体"/>
                <w:color w:val="auto"/>
                <w:sz w:val="24"/>
                <w:lang w:eastAsia="zh-CN"/>
              </w:rPr>
              <w:t>，</w:t>
            </w:r>
            <w:r>
              <w:rPr>
                <w:rFonts w:hint="eastAsia" w:ascii="宋体" w:hAnsi="宋体" w:eastAsia="宋体" w:cs="宋体"/>
                <w:color w:val="auto"/>
                <w:sz w:val="24"/>
              </w:rPr>
              <w:t>不提供不得分）</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财务负责人35周岁以下具有专科以上文化同时具有初级以上会计证书的得2分。（响应文件中提供202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年11月和12月、202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年1月的社会保险证明、毕业证书材料及相关证明材料）</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3、项目人员中40周岁以下被临安区评定为F类以上（人才）的每个得0.5分，最高得3分。（响应文件中提供202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年11月和12月、202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年1月</w:t>
            </w:r>
            <w:r>
              <w:rPr>
                <w:rFonts w:hint="eastAsia" w:ascii="宋体" w:hAnsi="宋体" w:eastAsia="宋体" w:cs="宋体"/>
                <w:color w:val="auto"/>
                <w:sz w:val="24"/>
                <w:lang w:val="en-US" w:eastAsia="zh-CN"/>
              </w:rPr>
              <w:t>的</w:t>
            </w:r>
            <w:r>
              <w:rPr>
                <w:rFonts w:hint="eastAsia" w:ascii="宋体" w:hAnsi="宋体" w:eastAsia="宋体" w:cs="宋体"/>
                <w:color w:val="auto"/>
                <w:sz w:val="24"/>
              </w:rPr>
              <w:t>社会保险证明及相关证明材料）</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4、项目其他人员在40周岁以下根据缴纳社保、公积金比例综合评定的得0-2分。</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5、供应商设有常年法律顾问的得2分。</w:t>
            </w:r>
          </w:p>
        </w:tc>
        <w:tc>
          <w:tcPr>
            <w:tcW w:w="1228" w:type="dxa"/>
            <w:vAlign w:val="center"/>
          </w:tcPr>
          <w:p>
            <w:pPr>
              <w:spacing w:line="340" w:lineRule="exact"/>
              <w:jc w:val="center"/>
              <w:rPr>
                <w:rFonts w:hint="eastAsia" w:ascii="宋体" w:hAnsi="宋体" w:eastAsia="宋体" w:cs="宋体"/>
                <w:color w:val="auto"/>
                <w:kern w:val="0"/>
                <w:sz w:val="24"/>
              </w:rPr>
            </w:pPr>
            <w:r>
              <w:rPr>
                <w:rFonts w:hint="eastAsia" w:ascii="宋体" w:hAnsi="宋体" w:eastAsia="宋体" w:cs="宋体"/>
                <w:color w:val="auto"/>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12" w:type="dxa"/>
            <w:vMerge w:val="continue"/>
            <w:shd w:val="clear" w:color="auto" w:fill="auto"/>
            <w:vAlign w:val="center"/>
          </w:tcPr>
          <w:p>
            <w:pPr>
              <w:widowControl/>
              <w:spacing w:line="280" w:lineRule="exact"/>
              <w:jc w:val="left"/>
              <w:rPr>
                <w:rFonts w:hint="eastAsia" w:ascii="宋体" w:hAnsi="宋体" w:eastAsia="宋体" w:cs="宋体"/>
                <w:color w:val="auto"/>
                <w:kern w:val="0"/>
                <w:sz w:val="24"/>
              </w:rPr>
            </w:pP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5</w:t>
            </w:r>
          </w:p>
        </w:tc>
        <w:tc>
          <w:tcPr>
            <w:tcW w:w="6630" w:type="dxa"/>
            <w:shd w:val="clear" w:color="000000" w:fill="FFFFFF"/>
            <w:vAlign w:val="center"/>
          </w:tcPr>
          <w:p>
            <w:pPr>
              <w:spacing w:line="340" w:lineRule="exact"/>
              <w:rPr>
                <w:rFonts w:hint="eastAsia" w:ascii="宋体" w:hAnsi="宋体" w:eastAsia="宋体" w:cs="宋体"/>
                <w:color w:val="auto"/>
                <w:kern w:val="0"/>
                <w:sz w:val="24"/>
              </w:rPr>
            </w:pPr>
            <w:r>
              <w:rPr>
                <w:rFonts w:hint="eastAsia" w:ascii="宋体" w:hAnsi="宋体" w:eastAsia="宋体" w:cs="宋体"/>
                <w:color w:val="auto"/>
                <w:sz w:val="24"/>
              </w:rPr>
              <w:t>根据投标人针对本项目提出的合理化建议及服务承诺进行评审，具有针对性、利于项目实施的得</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分；针对性较弱，满足项目实施需要得</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分；内容较为简单、存在缺漏的</w:t>
            </w:r>
            <w:r>
              <w:rPr>
                <w:rFonts w:hint="eastAsia" w:ascii="宋体" w:hAnsi="宋体" w:eastAsia="宋体" w:cs="宋体"/>
                <w:color w:val="auto"/>
                <w:sz w:val="24"/>
                <w:lang w:val="en-US" w:eastAsia="zh-CN"/>
              </w:rPr>
              <w:t>得2分；无内容</w:t>
            </w:r>
            <w:r>
              <w:rPr>
                <w:rFonts w:hint="eastAsia" w:ascii="宋体" w:hAnsi="宋体" w:eastAsia="宋体" w:cs="宋体"/>
                <w:color w:val="auto"/>
                <w:sz w:val="24"/>
              </w:rPr>
              <w:t>不得分。</w:t>
            </w:r>
          </w:p>
        </w:tc>
        <w:tc>
          <w:tcPr>
            <w:tcW w:w="1228" w:type="dxa"/>
            <w:vAlign w:val="center"/>
          </w:tcPr>
          <w:p>
            <w:pPr>
              <w:spacing w:line="340" w:lineRule="exact"/>
              <w:jc w:val="center"/>
              <w:rPr>
                <w:rFonts w:hint="eastAsia" w:ascii="宋体" w:hAnsi="宋体" w:eastAsia="宋体" w:cs="宋体"/>
                <w:color w:val="auto"/>
                <w:kern w:val="0"/>
                <w:sz w:val="24"/>
                <w:lang w:eastAsia="zh-CN"/>
              </w:rPr>
            </w:pPr>
            <w:r>
              <w:rPr>
                <w:rFonts w:hint="eastAsia" w:ascii="宋体" w:hAnsi="宋体" w:eastAsia="宋体" w:cs="宋体"/>
                <w:color w:val="auto"/>
                <w:sz w:val="24"/>
              </w:rPr>
              <w:t>0-</w:t>
            </w:r>
            <w:r>
              <w:rPr>
                <w:rFonts w:hint="eastAsia" w:ascii="宋体" w:hAnsi="宋体" w:eastAsia="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vMerge w:val="continue"/>
            <w:shd w:val="clear" w:color="auto" w:fill="auto"/>
            <w:vAlign w:val="center"/>
          </w:tcPr>
          <w:p>
            <w:pPr>
              <w:widowControl/>
              <w:spacing w:line="280" w:lineRule="exact"/>
              <w:jc w:val="left"/>
              <w:rPr>
                <w:rFonts w:hint="eastAsia" w:ascii="宋体" w:hAnsi="宋体" w:eastAsia="宋体" w:cs="宋体"/>
                <w:color w:val="auto"/>
                <w:kern w:val="0"/>
                <w:sz w:val="24"/>
              </w:rPr>
            </w:pP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6</w:t>
            </w:r>
          </w:p>
        </w:tc>
        <w:tc>
          <w:tcPr>
            <w:tcW w:w="6630" w:type="dxa"/>
            <w:shd w:val="clear" w:color="000000" w:fill="FFFFFF"/>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服务质量保证情况</w:t>
            </w:r>
          </w:p>
          <w:p>
            <w:pPr>
              <w:spacing w:line="340" w:lineRule="exact"/>
              <w:rPr>
                <w:rFonts w:hint="eastAsia" w:ascii="宋体" w:hAnsi="宋体" w:eastAsia="宋体" w:cs="宋体"/>
                <w:b/>
                <w:bCs/>
                <w:color w:val="auto"/>
                <w:sz w:val="24"/>
              </w:rPr>
            </w:pPr>
            <w:r>
              <w:rPr>
                <w:rFonts w:hint="eastAsia" w:ascii="宋体" w:hAnsi="宋体" w:eastAsia="宋体" w:cs="宋体"/>
                <w:color w:val="auto"/>
                <w:sz w:val="24"/>
              </w:rPr>
              <w:t>根据项目需求，</w:t>
            </w:r>
            <w:r>
              <w:rPr>
                <w:rFonts w:hint="eastAsia" w:ascii="宋体" w:hAnsi="宋体" w:eastAsia="宋体" w:cs="宋体"/>
                <w:color w:val="auto"/>
                <w:sz w:val="24"/>
                <w:lang w:val="en-US" w:eastAsia="zh-CN"/>
              </w:rPr>
              <w:t>提供</w:t>
            </w:r>
            <w:r>
              <w:rPr>
                <w:rFonts w:hint="eastAsia" w:ascii="宋体" w:hAnsi="宋体" w:eastAsia="宋体" w:cs="宋体"/>
                <w:color w:val="auto"/>
                <w:sz w:val="24"/>
              </w:rPr>
              <w:t>质保期限、可实现程度、提供优惠进行打分，制度和措施设置合理、清晰、全面的得4-5分，制度设置较合理、内容不够清晰、全面性不足的得2-3分，制度设置不够全面、较模糊的得0-1分。</w:t>
            </w:r>
          </w:p>
        </w:tc>
        <w:tc>
          <w:tcPr>
            <w:tcW w:w="1228" w:type="dxa"/>
            <w:vAlign w:val="center"/>
          </w:tcPr>
          <w:p>
            <w:pPr>
              <w:spacing w:line="340" w:lineRule="exact"/>
              <w:jc w:val="center"/>
              <w:rPr>
                <w:rFonts w:hint="eastAsia" w:ascii="宋体" w:hAnsi="宋体" w:eastAsia="宋体" w:cs="宋体"/>
                <w:color w:val="auto"/>
                <w:kern w:val="0"/>
                <w:sz w:val="24"/>
              </w:rPr>
            </w:pPr>
            <w:r>
              <w:rPr>
                <w:rFonts w:hint="eastAsia" w:ascii="宋体" w:hAnsi="宋体" w:eastAsia="宋体" w:cs="宋体"/>
                <w:color w:val="auto"/>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vMerge w:val="continue"/>
            <w:shd w:val="clear" w:color="auto" w:fill="auto"/>
            <w:vAlign w:val="center"/>
          </w:tcPr>
          <w:p>
            <w:pPr>
              <w:widowControl/>
              <w:spacing w:line="280" w:lineRule="exact"/>
              <w:ind w:firstLine="480"/>
              <w:jc w:val="left"/>
              <w:rPr>
                <w:rFonts w:hint="eastAsia" w:ascii="宋体" w:hAnsi="宋体" w:eastAsia="宋体" w:cs="宋体"/>
                <w:color w:val="auto"/>
                <w:kern w:val="0"/>
                <w:sz w:val="24"/>
              </w:rPr>
            </w:pP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7</w:t>
            </w:r>
          </w:p>
        </w:tc>
        <w:tc>
          <w:tcPr>
            <w:tcW w:w="6630" w:type="dxa"/>
            <w:shd w:val="clear" w:color="000000" w:fill="FFFFFF"/>
            <w:vAlign w:val="center"/>
          </w:tcPr>
          <w:p>
            <w:pPr>
              <w:spacing w:line="340" w:lineRule="exact"/>
              <w:rPr>
                <w:rFonts w:hint="eastAsia" w:ascii="宋体" w:hAnsi="宋体" w:eastAsia="宋体" w:cs="宋体"/>
                <w:color w:val="auto"/>
                <w:sz w:val="24"/>
              </w:rPr>
            </w:pPr>
            <w:r>
              <w:rPr>
                <w:rFonts w:hint="eastAsia" w:ascii="宋体" w:hAnsi="宋体" w:eastAsia="宋体" w:cs="宋体"/>
                <w:color w:val="auto"/>
                <w:sz w:val="24"/>
              </w:rPr>
              <w:t>服务承诺</w:t>
            </w:r>
          </w:p>
          <w:p>
            <w:pPr>
              <w:spacing w:line="340" w:lineRule="exact"/>
              <w:rPr>
                <w:rFonts w:hint="eastAsia" w:ascii="宋体" w:hAnsi="宋体" w:eastAsia="宋体" w:cs="宋体"/>
                <w:color w:val="auto"/>
                <w:kern w:val="0"/>
                <w:sz w:val="24"/>
                <w:lang w:eastAsia="zh-CN"/>
              </w:rPr>
            </w:pPr>
            <w:r>
              <w:rPr>
                <w:rFonts w:hint="eastAsia" w:ascii="宋体" w:hAnsi="宋体" w:eastAsia="宋体" w:cs="宋体"/>
                <w:color w:val="auto"/>
                <w:sz w:val="24"/>
              </w:rPr>
              <w:t>根据投标人针对本项目提出</w:t>
            </w:r>
            <w:r>
              <w:rPr>
                <w:rFonts w:hint="eastAsia" w:ascii="宋体" w:hAnsi="宋体" w:eastAsia="宋体" w:cs="宋体"/>
                <w:color w:val="auto"/>
                <w:sz w:val="24"/>
                <w:lang w:val="en-US" w:eastAsia="zh-CN"/>
              </w:rPr>
              <w:t>的</w:t>
            </w:r>
            <w:r>
              <w:rPr>
                <w:rFonts w:hint="eastAsia" w:ascii="宋体" w:hAnsi="宋体" w:eastAsia="宋体" w:cs="宋体"/>
                <w:color w:val="auto"/>
                <w:sz w:val="24"/>
              </w:rPr>
              <w:t>售后服务方案、措施、响应及本地化服务能力等情况评定</w:t>
            </w:r>
            <w:r>
              <w:rPr>
                <w:rFonts w:hint="eastAsia" w:ascii="宋体" w:hAnsi="宋体" w:eastAsia="宋体" w:cs="宋体"/>
                <w:color w:val="auto"/>
                <w:sz w:val="24"/>
                <w:lang w:eastAsia="zh-CN"/>
              </w:rPr>
              <w:t>，方案可行、完全符合要求的得</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分，方案基本可行、基本符合要求的得</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分，方案可行性较差的得</w:t>
            </w:r>
            <w:r>
              <w:rPr>
                <w:rFonts w:hint="eastAsia" w:ascii="宋体" w:hAnsi="宋体" w:eastAsia="宋体" w:cs="宋体"/>
                <w:color w:val="auto"/>
                <w:sz w:val="24"/>
                <w:lang w:val="en-US" w:eastAsia="zh-CN"/>
              </w:rPr>
              <w:t>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 xml:space="preserve">分。     </w:t>
            </w:r>
          </w:p>
        </w:tc>
        <w:tc>
          <w:tcPr>
            <w:tcW w:w="1228" w:type="dxa"/>
            <w:vAlign w:val="center"/>
          </w:tcPr>
          <w:p>
            <w:pPr>
              <w:spacing w:line="340" w:lineRule="exact"/>
              <w:jc w:val="center"/>
              <w:rPr>
                <w:rFonts w:hint="eastAsia" w:ascii="宋体" w:hAnsi="宋体" w:eastAsia="宋体" w:cs="宋体"/>
                <w:color w:val="auto"/>
                <w:kern w:val="0"/>
                <w:sz w:val="24"/>
              </w:rPr>
            </w:pPr>
            <w:r>
              <w:rPr>
                <w:rFonts w:hint="eastAsia" w:ascii="宋体" w:hAnsi="宋体" w:eastAsia="宋体" w:cs="宋体"/>
                <w:color w:val="auto"/>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Merge w:val="continue"/>
            <w:tcBorders>
              <w:bottom w:val="single" w:color="auto" w:sz="4" w:space="0"/>
            </w:tcBorders>
            <w:shd w:val="clear" w:color="auto" w:fill="auto"/>
            <w:vAlign w:val="center"/>
          </w:tcPr>
          <w:p>
            <w:pPr>
              <w:widowControl/>
              <w:spacing w:line="280" w:lineRule="exact"/>
              <w:ind w:firstLine="480"/>
              <w:jc w:val="left"/>
              <w:rPr>
                <w:rFonts w:hint="eastAsia" w:ascii="宋体" w:hAnsi="宋体" w:eastAsia="宋体" w:cs="宋体"/>
                <w:color w:val="auto"/>
                <w:kern w:val="0"/>
                <w:sz w:val="24"/>
              </w:rPr>
            </w:pPr>
          </w:p>
        </w:tc>
        <w:tc>
          <w:tcPr>
            <w:tcW w:w="521" w:type="dxa"/>
            <w:shd w:val="clear" w:color="auto" w:fill="auto"/>
            <w:vAlign w:val="center"/>
          </w:tcPr>
          <w:p>
            <w:pPr>
              <w:widowControl/>
              <w:spacing w:line="360" w:lineRule="exact"/>
              <w:jc w:val="center"/>
              <w:rPr>
                <w:rFonts w:hint="eastAsia" w:ascii="宋体" w:hAnsi="宋体" w:eastAsia="宋体" w:cs="宋体"/>
                <w:color w:val="auto"/>
                <w:kern w:val="0"/>
                <w:sz w:val="20"/>
                <w:szCs w:val="22"/>
              </w:rPr>
            </w:pPr>
            <w:r>
              <w:rPr>
                <w:rFonts w:hint="eastAsia" w:ascii="宋体" w:hAnsi="宋体" w:eastAsia="宋体" w:cs="宋体"/>
                <w:color w:val="auto"/>
                <w:kern w:val="0"/>
                <w:sz w:val="20"/>
                <w:szCs w:val="22"/>
              </w:rPr>
              <w:t>8</w:t>
            </w:r>
          </w:p>
        </w:tc>
        <w:tc>
          <w:tcPr>
            <w:tcW w:w="6630" w:type="dxa"/>
            <w:shd w:val="clear" w:color="000000" w:fill="FFFFFF"/>
            <w:vAlign w:val="center"/>
          </w:tcPr>
          <w:p>
            <w:pPr>
              <w:spacing w:line="3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企业制度</w:t>
            </w:r>
          </w:p>
          <w:p>
            <w:pPr>
              <w:spacing w:line="340" w:lineRule="exact"/>
              <w:rPr>
                <w:rFonts w:hint="eastAsia" w:ascii="宋体" w:hAnsi="宋体" w:eastAsia="宋体" w:cs="宋体"/>
                <w:color w:val="auto"/>
                <w:sz w:val="24"/>
              </w:rPr>
            </w:pPr>
            <w:r>
              <w:rPr>
                <w:rFonts w:hint="eastAsia" w:ascii="宋体" w:hAnsi="宋体" w:eastAsia="宋体" w:cs="宋体"/>
                <w:color w:val="auto"/>
                <w:sz w:val="24"/>
              </w:rPr>
              <w:t>根据投标企业结合本项目的内部管理、监督制度等规范、合理，对本项目具有针对性及可操作性强的得2-3分，针对性、可操作性一般的得1-2分，针对性、可操作性较弱的得0-1分。</w:t>
            </w:r>
          </w:p>
        </w:tc>
        <w:tc>
          <w:tcPr>
            <w:tcW w:w="1228" w:type="dxa"/>
            <w:vAlign w:val="center"/>
          </w:tcPr>
          <w:p>
            <w:pPr>
              <w:spacing w:line="340" w:lineRule="exact"/>
              <w:jc w:val="center"/>
              <w:rPr>
                <w:rFonts w:hint="eastAsia" w:ascii="宋体" w:hAnsi="宋体" w:eastAsia="宋体" w:cs="宋体"/>
                <w:color w:val="auto"/>
                <w:kern w:val="0"/>
                <w:sz w:val="24"/>
              </w:rPr>
            </w:pPr>
            <w:r>
              <w:rPr>
                <w:rFonts w:hint="eastAsia" w:ascii="宋体" w:hAnsi="宋体" w:eastAsia="宋体" w:cs="宋体"/>
                <w:color w:val="auto"/>
                <w:sz w:val="24"/>
              </w:rPr>
              <w:t>0-3</w:t>
            </w:r>
          </w:p>
        </w:tc>
      </w:tr>
    </w:tbl>
    <w:p>
      <w:pPr>
        <w:spacing w:line="360" w:lineRule="auto"/>
        <w:rPr>
          <w:rFonts w:hint="eastAsia" w:ascii="宋体" w:hAnsi="宋体" w:eastAsia="宋体" w:cs="宋体"/>
          <w:b/>
          <w:bCs/>
          <w:color w:val="auto"/>
          <w:kern w:val="0"/>
          <w:sz w:val="24"/>
        </w:rPr>
      </w:pPr>
      <w:r>
        <w:rPr>
          <w:rFonts w:hint="eastAsia" w:ascii="宋体" w:hAnsi="宋体" w:eastAsia="宋体" w:cs="宋体"/>
          <w:b/>
          <w:bCs/>
          <w:sz w:val="24"/>
          <w:lang w:val="en-US" w:eastAsia="zh-CN"/>
        </w:rPr>
        <w:t>3、</w:t>
      </w:r>
      <w:r>
        <w:rPr>
          <w:rFonts w:hint="eastAsia" w:ascii="宋体" w:hAnsi="宋体" w:eastAsia="宋体" w:cs="宋体"/>
          <w:b/>
          <w:bCs/>
          <w:sz w:val="24"/>
        </w:rPr>
        <w:t> 价格分（25分）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4"/>
              </w:rPr>
            </w:pPr>
            <w:r>
              <w:rPr>
                <w:rFonts w:hint="eastAsia" w:ascii="宋体" w:hAnsi="宋体" w:eastAsia="宋体" w:cs="宋体"/>
                <w:color w:val="auto"/>
                <w:sz w:val="24"/>
              </w:rPr>
              <w:t>价格权值</w:t>
            </w:r>
          </w:p>
        </w:tc>
        <w:tc>
          <w:tcPr>
            <w:tcW w:w="7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4"/>
              </w:rPr>
            </w:pPr>
            <w:r>
              <w:rPr>
                <w:rFonts w:hint="eastAsia" w:ascii="宋体" w:hAnsi="宋体" w:eastAsia="宋体" w:cs="宋体"/>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4"/>
              </w:rPr>
            </w:pPr>
            <w:r>
              <w:rPr>
                <w:rFonts w:hint="eastAsia" w:ascii="宋体" w:hAnsi="宋体" w:eastAsia="宋体" w:cs="宋体"/>
                <w:color w:val="auto"/>
                <w:sz w:val="24"/>
              </w:rPr>
              <w:t>价格权值=0.25</w:t>
            </w:r>
          </w:p>
        </w:tc>
        <w:tc>
          <w:tcPr>
            <w:tcW w:w="7097"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zh-CN"/>
              </w:rPr>
              <w:t>］的计算公式计算。</w:t>
            </w:r>
          </w:p>
          <w:p>
            <w:pPr>
              <w:snapToGri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评标过程中，不得去掉报价中的最高报价和最低报价。</w:t>
            </w:r>
          </w:p>
          <w:p>
            <w:pPr>
              <w:autoSpaceDE w:val="0"/>
              <w:autoSpaceDN w:val="0"/>
              <w:rPr>
                <w:rFonts w:hint="eastAsia" w:ascii="宋体" w:hAnsi="宋体" w:eastAsia="宋体" w:cs="宋体"/>
                <w:color w:val="auto"/>
                <w:sz w:val="24"/>
              </w:rPr>
            </w:pPr>
            <w:r>
              <w:rPr>
                <w:rFonts w:hint="eastAsia" w:ascii="宋体" w:hAnsi="宋体" w:eastAsia="宋体" w:cs="宋体"/>
                <w:color w:val="auto"/>
                <w:sz w:val="24"/>
                <w:szCs w:val="24"/>
                <w:highlight w:val="none"/>
                <w:lang w:val="zh-CN"/>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%的扣除，用扣除后的价格参加评审。</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杭州住房公积金管理中心临安分中心2023年部分窗口业务服务外包采购项目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19273"/>
      <w:bookmarkStart w:id="397" w:name="_Toc22967"/>
      <w:bookmarkStart w:id="398" w:name="_Toc28855"/>
      <w:bookmarkStart w:id="399" w:name="_Toc20421"/>
      <w:bookmarkStart w:id="400" w:name="_Toc153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6773"/>
      <w:bookmarkStart w:id="402" w:name="_Toc6311"/>
      <w:bookmarkStart w:id="403" w:name="_Toc18585"/>
      <w:bookmarkStart w:id="404" w:name="_Toc2918"/>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21124"/>
      <w:bookmarkStart w:id="407" w:name="_Toc4929"/>
      <w:bookmarkStart w:id="408" w:name="_Toc1386"/>
      <w:bookmarkStart w:id="409" w:name="_Toc5635"/>
      <w:bookmarkStart w:id="410"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14993"/>
      <w:bookmarkStart w:id="412" w:name="_Toc26916"/>
      <w:bookmarkStart w:id="413" w:name="_Toc30506"/>
      <w:bookmarkStart w:id="414" w:name="_Toc3654"/>
      <w:bookmarkStart w:id="415"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7"/>
        <w:spacing w:before="0" w:beforeAutospacing="0" w:after="0" w:afterAutospacing="0" w:line="360" w:lineRule="auto"/>
        <w:ind w:firstLine="480"/>
        <w:rPr>
          <w:b/>
        </w:rPr>
      </w:pPr>
      <w:bookmarkStart w:id="416" w:name="_Toc1814"/>
      <w:bookmarkStart w:id="417" w:name="_Toc10340"/>
      <w:bookmarkStart w:id="418" w:name="_Toc22618"/>
      <w:bookmarkStart w:id="419" w:name="_Toc11108"/>
      <w:bookmarkStart w:id="420" w:name="_Toc8772"/>
      <w:bookmarkStart w:id="421" w:name="_Toc3625"/>
      <w:bookmarkStart w:id="422" w:name="_Toc31421"/>
      <w:bookmarkStart w:id="423" w:name="_Toc476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5698"/>
      <w:bookmarkStart w:id="425" w:name="_Toc2375"/>
      <w:bookmarkStart w:id="426" w:name="_Toc3079"/>
      <w:bookmarkStart w:id="427" w:name="_Toc8586"/>
      <w:bookmarkStart w:id="428"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26807"/>
      <w:bookmarkStart w:id="430" w:name="_Toc18683"/>
      <w:bookmarkStart w:id="431" w:name="_Toc9497"/>
      <w:bookmarkStart w:id="432" w:name="_Toc32454"/>
      <w:bookmarkStart w:id="433"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6021"/>
      <w:bookmarkStart w:id="435" w:name="_Toc15583"/>
      <w:bookmarkStart w:id="436" w:name="_Toc28375"/>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1173"/>
      <w:bookmarkStart w:id="438" w:name="_Toc7245"/>
      <w:bookmarkStart w:id="439" w:name="_Toc15322"/>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31297"/>
      <w:bookmarkStart w:id="441" w:name="_Toc5228"/>
      <w:bookmarkStart w:id="442" w:name="_Toc25079"/>
      <w:bookmarkStart w:id="443" w:name="_Toc19680"/>
      <w:bookmarkStart w:id="444" w:name="_Toc14021"/>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769"/>
      <w:bookmarkStart w:id="446" w:name="_Toc23289"/>
      <w:bookmarkStart w:id="447" w:name="_Toc31402"/>
      <w:bookmarkStart w:id="448" w:name="_Toc19539"/>
      <w:bookmarkStart w:id="449" w:name="_Toc16752"/>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13673"/>
      <w:bookmarkStart w:id="451" w:name="_Toc27945"/>
      <w:bookmarkStart w:id="452" w:name="_Toc4133"/>
      <w:bookmarkStart w:id="453" w:name="_Toc12412"/>
      <w:bookmarkStart w:id="454" w:name="_Toc9161"/>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22011"/>
      <w:bookmarkStart w:id="456" w:name="_Toc32670"/>
      <w:bookmarkStart w:id="457" w:name="_Toc31233"/>
      <w:bookmarkStart w:id="458" w:name="_Toc15447"/>
      <w:bookmarkStart w:id="459" w:name="_Toc26555"/>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30507"/>
      <w:bookmarkStart w:id="461" w:name="_Toc13154"/>
      <w:bookmarkStart w:id="462" w:name="_Toc18990"/>
      <w:bookmarkStart w:id="463" w:name="_Toc16163"/>
      <w:bookmarkStart w:id="464" w:name="_Toc13467"/>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10663"/>
      <w:bookmarkStart w:id="469" w:name="_Toc26689"/>
      <w:bookmarkStart w:id="470" w:name="_Toc23368"/>
      <w:bookmarkStart w:id="471" w:name="_Toc42"/>
      <w:bookmarkStart w:id="472" w:name="_Toc21830"/>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26633"/>
      <w:bookmarkStart w:id="474" w:name="_Toc25571"/>
      <w:bookmarkStart w:id="475" w:name="_Toc4720"/>
      <w:bookmarkStart w:id="476" w:name="_Toc32494"/>
      <w:bookmarkStart w:id="477" w:name="_Toc14371"/>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23854"/>
      <w:bookmarkStart w:id="479" w:name="_Toc24465"/>
      <w:bookmarkStart w:id="480" w:name="_Toc25783"/>
      <w:bookmarkStart w:id="481" w:name="_Toc3638"/>
      <w:bookmarkStart w:id="482" w:name="_Toc14115"/>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25525"/>
      <w:bookmarkStart w:id="484" w:name="_Toc26883"/>
      <w:bookmarkStart w:id="485" w:name="_Toc14814"/>
      <w:bookmarkStart w:id="486" w:name="_Toc30105"/>
      <w:bookmarkStart w:id="487" w:name="_Toc7315"/>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2016"/>
      <w:bookmarkStart w:id="489" w:name="_Toc23323"/>
      <w:bookmarkStart w:id="490" w:name="_Toc1123"/>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4525"/>
      <w:bookmarkStart w:id="492" w:name="_Toc17363"/>
      <w:bookmarkStart w:id="493" w:name="_Toc1969"/>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25198"/>
      <w:bookmarkStart w:id="495" w:name="_Toc31892"/>
      <w:bookmarkStart w:id="496" w:name="_Toc12666"/>
      <w:bookmarkStart w:id="497" w:name="_Toc2308"/>
      <w:bookmarkStart w:id="498" w:name="_Toc9808"/>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28906"/>
      <w:bookmarkStart w:id="502" w:name="_Toc12254"/>
      <w:bookmarkStart w:id="503" w:name="_Toc5063"/>
      <w:bookmarkStart w:id="504" w:name="_Toc20808"/>
      <w:bookmarkStart w:id="5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30599"/>
      <w:bookmarkStart w:id="507" w:name="_Toc4355"/>
      <w:bookmarkStart w:id="508" w:name="_Toc18540"/>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auto"/>
          <w:sz w:val="24"/>
          <w:szCs w:val="24"/>
        </w:rPr>
      </w:pPr>
      <w:r>
        <w:rPr>
          <w:rFonts w:hint="eastAsia" w:ascii="宋体" w:hAnsi="宋体" w:cs="宋体"/>
          <w:color w:val="auto"/>
          <w:sz w:val="24"/>
          <w:szCs w:val="24"/>
        </w:rPr>
        <w:t>（采购人）、（采购代理机构）：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我方参与</w:t>
      </w:r>
      <w:r>
        <w:rPr>
          <w:rFonts w:hint="eastAsia" w:ascii="宋体" w:hAnsi="宋体" w:cs="宋体"/>
          <w:color w:val="auto"/>
          <w:sz w:val="24"/>
          <w:szCs w:val="24"/>
          <w:lang w:eastAsia="zh-CN"/>
        </w:rPr>
        <w:t>杭州住房公积金管理中心临安分中心2023年部分窗口业务服务外包采购项目</w:t>
      </w:r>
      <w:r>
        <w:rPr>
          <w:rFonts w:hint="eastAsia" w:ascii="宋体" w:hAnsi="宋体" w:cs="宋体"/>
          <w:color w:val="auto"/>
          <w:sz w:val="24"/>
          <w:szCs w:val="24"/>
        </w:rPr>
        <w:t>【招标编号：</w:t>
      </w:r>
      <w:r>
        <w:rPr>
          <w:rFonts w:hint="eastAsia" w:ascii="宋体" w:hAnsi="宋体" w:cs="宋体"/>
          <w:color w:val="auto"/>
          <w:sz w:val="24"/>
          <w:szCs w:val="24"/>
          <w:lang w:eastAsia="zh-CN"/>
        </w:rPr>
        <w:t>临[2023]269号</w:t>
      </w:r>
      <w:r>
        <w:rPr>
          <w:rFonts w:hint="eastAsia" w:ascii="宋体" w:hAnsi="宋体" w:cs="宋体"/>
          <w:color w:val="auto"/>
          <w:sz w:val="24"/>
          <w:szCs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sz w:val="24"/>
        </w:rPr>
        <w:t>【招标编号：</w:t>
      </w:r>
      <w:r>
        <w:rPr>
          <w:rFonts w:hint="eastAsia" w:ascii="宋体" w:hAnsi="宋体" w:cs="宋体"/>
          <w:color w:val="auto"/>
          <w:sz w:val="24"/>
          <w:lang w:eastAsia="zh-CN"/>
        </w:rPr>
        <w:t>临[2023]269号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sz w:val="24"/>
        </w:rPr>
        <w:t>【招标编号：</w:t>
      </w:r>
      <w:r>
        <w:rPr>
          <w:rFonts w:hint="eastAsia" w:ascii="宋体" w:hAnsi="宋体" w:cs="宋体"/>
          <w:color w:val="auto"/>
          <w:sz w:val="24"/>
          <w:lang w:eastAsia="zh-CN"/>
        </w:rPr>
        <w:t>临[2023]269号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sz w:val="24"/>
        </w:rPr>
        <w:t>【招标编号：</w:t>
      </w:r>
      <w:r>
        <w:rPr>
          <w:rFonts w:hint="eastAsia" w:ascii="宋体" w:hAnsi="宋体" w:cs="宋体"/>
          <w:color w:val="auto"/>
          <w:sz w:val="24"/>
          <w:lang w:eastAsia="zh-CN"/>
        </w:rPr>
        <w:t>临[2023]269号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临[2023]269号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杭州住房公积金管理中心临安分中心2023年部分窗口业务服务外包采购项目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sz w:val="24"/>
        </w:rPr>
        <w:t>【招标编号：</w:t>
      </w:r>
      <w:r>
        <w:rPr>
          <w:rFonts w:hint="eastAsia" w:ascii="宋体" w:hAnsi="宋体" w:cs="宋体"/>
          <w:color w:val="auto"/>
          <w:sz w:val="24"/>
          <w:lang w:eastAsia="zh-CN"/>
        </w:rPr>
        <w:t>临[2023]269号</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sz w:val="24"/>
        </w:rPr>
        <w:t>【招标编号：</w:t>
      </w:r>
      <w:r>
        <w:rPr>
          <w:rFonts w:hint="eastAsia" w:ascii="宋体" w:hAnsi="宋体" w:cs="宋体"/>
          <w:color w:val="auto"/>
          <w:sz w:val="24"/>
          <w:lang w:eastAsia="zh-CN"/>
        </w:rPr>
        <w:t>临[2023]269号</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杭州住房公积金管理中心临安分中心2023年部分窗口业务服务外包采购项目</w:t>
      </w:r>
      <w:r>
        <w:rPr>
          <w:rFonts w:hint="eastAsia" w:ascii="宋体" w:hAnsi="宋体" w:cs="宋体"/>
          <w:color w:val="auto"/>
          <w:sz w:val="24"/>
        </w:rPr>
        <w:t>【招标编号：</w:t>
      </w:r>
      <w:r>
        <w:rPr>
          <w:rFonts w:hint="eastAsia" w:ascii="宋体" w:hAnsi="宋体" w:cs="宋体"/>
          <w:color w:val="auto"/>
          <w:sz w:val="24"/>
          <w:lang w:eastAsia="zh-CN"/>
        </w:rPr>
        <w:t>临[2023]269号</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bookmarkStart w:id="520" w:name="_GoBack"/>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杭州住房公积金管理中心临安分中心2023年部分窗口业务服务外包采购项目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bookmarkEnd w:id="520"/>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sz w:val="32"/>
        <w:szCs w:val="32"/>
      </w:rPr>
      <w:drawing>
        <wp:anchor distT="0" distB="0" distL="114300" distR="114300" simplePos="0" relativeHeight="251661312"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sz w:val="32"/>
        <w:szCs w:val="32"/>
      </w:rPr>
      <w:drawing>
        <wp:anchor distT="0" distB="0" distL="114300" distR="114300" simplePos="0" relativeHeight="251669504"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rPr>
        <w:sz w:val="32"/>
        <w:szCs w:val="32"/>
      </w:rPr>
      <w:drawing>
        <wp:anchor distT="0" distB="0" distL="114300" distR="114300" simplePos="0" relativeHeight="251663360"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sz w:val="32"/>
        <w:szCs w:val="32"/>
      </w:rPr>
      <w:drawing>
        <wp:anchor distT="0" distB="0" distL="114300" distR="114300" simplePos="0" relativeHeight="251664384"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sz w:val="32"/>
        <w:szCs w:val="32"/>
      </w:rPr>
      <w:drawing>
        <wp:anchor distT="0" distB="0" distL="114300" distR="114300" simplePos="0" relativeHeight="251662336"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sz w:val="32"/>
        <w:szCs w:val="32"/>
      </w:rPr>
      <w:drawing>
        <wp:anchor distT="0" distB="0" distL="114300" distR="114300" simplePos="0" relativeHeight="251666432"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sz w:val="32"/>
        <w:szCs w:val="32"/>
      </w:rPr>
      <w:drawing>
        <wp:anchor distT="0" distB="0" distL="114300" distR="114300" simplePos="0" relativeHeight="251665408"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sz w:val="32"/>
        <w:szCs w:val="32"/>
      </w:rPr>
      <w:drawing>
        <wp:anchor distT="0" distB="0" distL="114300" distR="114300" simplePos="0" relativeHeight="251668480" behindDoc="0" locked="0" layoutInCell="1" allowOverlap="1">
          <wp:simplePos x="0" y="0"/>
          <wp:positionH relativeFrom="column">
            <wp:posOffset>13335</wp:posOffset>
          </wp:positionH>
          <wp:positionV relativeFrom="paragraph">
            <wp:posOffset>-41910</wp:posOffset>
          </wp:positionV>
          <wp:extent cx="603885" cy="413385"/>
          <wp:effectExtent l="0" t="0" r="5715" b="5715"/>
          <wp:wrapNone/>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sz w:val="32"/>
        <w:szCs w:val="32"/>
      </w:rPr>
      <w:drawing>
        <wp:anchor distT="0" distB="0" distL="114300" distR="114300" simplePos="0" relativeHeight="251667456"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sz w:val="32"/>
        <w:szCs w:val="32"/>
      </w:rPr>
      <w:drawing>
        <wp:anchor distT="0" distB="0" distL="114300" distR="114300" simplePos="0" relativeHeight="251670528"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9583D"/>
    <w:multiLevelType w:val="singleLevel"/>
    <w:tmpl w:val="8DD9583D"/>
    <w:lvl w:ilvl="0" w:tentative="0">
      <w:start w:val="1"/>
      <w:numFmt w:val="decimal"/>
      <w:suff w:val="nothing"/>
      <w:lvlText w:val="%1、"/>
      <w:lvlJc w:val="left"/>
    </w:lvl>
  </w:abstractNum>
  <w:abstractNum w:abstractNumId="1">
    <w:nsid w:val="69D6CF2A"/>
    <w:multiLevelType w:val="singleLevel"/>
    <w:tmpl w:val="69D6CF2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749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004AD"/>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1A85"/>
    <w:rsid w:val="11266F33"/>
    <w:rsid w:val="118963A1"/>
    <w:rsid w:val="11C6522A"/>
    <w:rsid w:val="11E104CC"/>
    <w:rsid w:val="11E20309"/>
    <w:rsid w:val="12255233"/>
    <w:rsid w:val="12530213"/>
    <w:rsid w:val="127723A9"/>
    <w:rsid w:val="12862074"/>
    <w:rsid w:val="12883966"/>
    <w:rsid w:val="129E45B4"/>
    <w:rsid w:val="12D81596"/>
    <w:rsid w:val="12DF7E41"/>
    <w:rsid w:val="13072A44"/>
    <w:rsid w:val="135F4BE2"/>
    <w:rsid w:val="13693E27"/>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2384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64C58"/>
    <w:rsid w:val="1BB4777D"/>
    <w:rsid w:val="1BD75AB8"/>
    <w:rsid w:val="1C0459C2"/>
    <w:rsid w:val="1C1B3B4A"/>
    <w:rsid w:val="1C88086E"/>
    <w:rsid w:val="1D266CE1"/>
    <w:rsid w:val="1D3963AF"/>
    <w:rsid w:val="1D6A673C"/>
    <w:rsid w:val="1D9247AE"/>
    <w:rsid w:val="1DB567EC"/>
    <w:rsid w:val="1DBF4288"/>
    <w:rsid w:val="1DF51A98"/>
    <w:rsid w:val="1E3D060F"/>
    <w:rsid w:val="1E3F7D2E"/>
    <w:rsid w:val="1E4134E4"/>
    <w:rsid w:val="1E5062B3"/>
    <w:rsid w:val="1E523514"/>
    <w:rsid w:val="1E714A66"/>
    <w:rsid w:val="1E802593"/>
    <w:rsid w:val="1E8B6156"/>
    <w:rsid w:val="1EA703CC"/>
    <w:rsid w:val="1EB7330C"/>
    <w:rsid w:val="1EE76D90"/>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34B7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C26C7"/>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74E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53DFD"/>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61055"/>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269F4"/>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B060C"/>
    <w:rsid w:val="60825176"/>
    <w:rsid w:val="609907A5"/>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D1F79"/>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D58D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8792D"/>
    <w:rsid w:val="77340A39"/>
    <w:rsid w:val="77351FD0"/>
    <w:rsid w:val="77472422"/>
    <w:rsid w:val="777C4E9C"/>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2"/>
    <w:qFormat/>
    <w:uiPriority w:val="0"/>
    <w:rPr>
      <w:rFonts w:ascii="宋体" w:hAnsi="Courier New" w:cs="Arial"/>
      <w:snapToGrid w:val="0"/>
      <w:szCs w:val="21"/>
    </w:r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34513</Words>
  <Characters>36803</Characters>
  <Lines>281</Lines>
  <Paragraphs>79</Paragraphs>
  <TotalTime>14</TotalTime>
  <ScaleCrop>false</ScaleCrop>
  <LinksUpToDate>false</LinksUpToDate>
  <CharactersWithSpaces>42206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MmmmLii</cp:lastModifiedBy>
  <cp:lastPrinted>2021-12-27T11:06:00Z</cp:lastPrinted>
  <dcterms:modified xsi:type="dcterms:W3CDTF">2023-03-07T07:03:27Z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DD7AF7D3D88B4D8F8AA83D50F19BDEFD</vt:lpwstr>
  </property>
</Properties>
</file>