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sz w:val="44"/>
          <w:szCs w:val="44"/>
        </w:rPr>
      </w:pPr>
    </w:p>
    <w:p>
      <w:pPr>
        <w:adjustRightInd/>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清凉峰名山公园圈总体规划暨专题研究</w:t>
      </w:r>
    </w:p>
    <w:p>
      <w:pPr>
        <w:adjustRightInd/>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bCs/>
          <w:w w:val="95"/>
          <w:sz w:val="72"/>
          <w:szCs w:val="72"/>
          <w:lang w:val="zh-CN"/>
        </w:rPr>
        <w:t>竞争性磋商</w:t>
      </w:r>
      <w:r>
        <w:rPr>
          <w:rFonts w:hint="eastAsia" w:ascii="仿宋_GB2312" w:hAnsi="仿宋_GB2312" w:eastAsia="仿宋_GB2312" w:cs="仿宋_GB2312"/>
          <w:b/>
          <w:sz w:val="72"/>
          <w:szCs w:val="72"/>
        </w:rPr>
        <w:t>文件</w:t>
      </w:r>
    </w:p>
    <w:p>
      <w:pPr>
        <w:adjustRightInd/>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（电子交易）</w:t>
      </w:r>
    </w:p>
    <w:p>
      <w:pPr>
        <w:snapToGrid w:val="0"/>
        <w:spacing w:line="360" w:lineRule="auto"/>
        <w:jc w:val="center"/>
        <w:rPr>
          <w:rFonts w:ascii="仿宋_GB2312" w:hAnsi="仿宋_GB2312" w:eastAsia="仿宋_GB2312" w:cs="仿宋_GB2312"/>
          <w:sz w:val="30"/>
          <w:szCs w:val="30"/>
        </w:rPr>
      </w:pPr>
    </w:p>
    <w:p>
      <w:pPr>
        <w:snapToGrid w:val="0"/>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编号:</w:t>
      </w:r>
      <w:r>
        <w:rPr>
          <w:rFonts w:hint="eastAsia" w:ascii="仿宋_GB2312" w:hAnsi="仿宋_GB2312" w:eastAsia="仿宋_GB2312" w:cs="仿宋_GB2312"/>
          <w:sz w:val="30"/>
          <w:szCs w:val="30"/>
          <w:lang w:val="en-US" w:eastAsia="zh-CN"/>
        </w:rPr>
        <w:t>临</w:t>
      </w:r>
      <w:r>
        <w:rPr>
          <w:rFonts w:hint="eastAsia" w:ascii="仿宋_GB2312" w:hAnsi="仿宋_GB2312" w:eastAsia="仿宋_GB2312" w:cs="仿宋_GB2312"/>
          <w:sz w:val="30"/>
          <w:szCs w:val="30"/>
        </w:rPr>
        <w:t>[2022]</w:t>
      </w:r>
      <w:r>
        <w:rPr>
          <w:rFonts w:hint="eastAsia" w:ascii="仿宋_GB2312" w:hAnsi="仿宋_GB2312" w:eastAsia="仿宋_GB2312" w:cs="仿宋_GB2312"/>
          <w:sz w:val="30"/>
          <w:szCs w:val="30"/>
          <w:lang w:val="en-US" w:eastAsia="zh-CN"/>
        </w:rPr>
        <w:t>2014</w:t>
      </w:r>
      <w:r>
        <w:rPr>
          <w:rFonts w:hint="eastAsia" w:ascii="仿宋_GB2312" w:hAnsi="仿宋_GB2312" w:eastAsia="仿宋_GB2312" w:cs="仿宋_GB2312"/>
          <w:sz w:val="30"/>
          <w:szCs w:val="30"/>
        </w:rPr>
        <w:t>号</w:t>
      </w:r>
    </w:p>
    <w:p>
      <w:pPr>
        <w:adjustRightInd/>
        <w:spacing w:line="360" w:lineRule="auto"/>
        <w:rPr>
          <w:rFonts w:ascii="仿宋_GB2312" w:hAnsi="仿宋_GB2312" w:eastAsia="仿宋_GB2312" w:cs="仿宋_GB2312"/>
          <w:sz w:val="28"/>
          <w:szCs w:val="20"/>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pStyle w:val="28"/>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 xml:space="preserve">                                      </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采购人：浙江清凉峰国家级自然保护区管理局</w:t>
      </w:r>
    </w:p>
    <w:p>
      <w:pPr>
        <w:snapToGrid w:val="0"/>
        <w:spacing w:line="360" w:lineRule="auto"/>
        <w:jc w:val="center"/>
        <w:rPr>
          <w:rFonts w:ascii="仿宋_GB2312" w:hAnsi="仿宋_GB2312" w:eastAsia="仿宋_GB2312" w:cs="仿宋_GB2312"/>
          <w:bCs/>
          <w:sz w:val="32"/>
          <w:szCs w:val="32"/>
        </w:rPr>
      </w:pP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采购代理机构：杭州建设工程造价咨询有限公司</w:t>
      </w:r>
    </w:p>
    <w:p>
      <w:pPr>
        <w:snapToGrid w:val="0"/>
        <w:spacing w:line="360" w:lineRule="auto"/>
        <w:jc w:val="center"/>
        <w:rPr>
          <w:rFonts w:ascii="仿宋_GB2312" w:hAnsi="仿宋_GB2312" w:eastAsia="仿宋_GB2312" w:cs="仿宋_GB2312"/>
          <w:bCs/>
          <w:sz w:val="32"/>
          <w:szCs w:val="32"/>
        </w:rPr>
      </w:pP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日</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bidi w:val="0"/>
        <w:jc w:val="left"/>
        <w:rPr>
          <w:rFonts w:ascii="Times New Roman" w:hAnsi="Times New Roman" w:eastAsia="宋体" w:cs="Times New Roman"/>
          <w:kern w:val="2"/>
          <w:sz w:val="21"/>
          <w:szCs w:val="24"/>
          <w:lang w:val="en-US" w:eastAsia="zh-CN" w:bidi="ar-SA"/>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邀请供应商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竞争性磋商流程</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供应商须知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技术规范、服务要求、采购需求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评审方法及评分标准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第七部分      应提交的有关格式范例</w:t>
      </w:r>
    </w:p>
    <w:p>
      <w:pPr>
        <w:spacing w:line="360" w:lineRule="auto"/>
        <w:ind w:firstLine="549" w:firstLineChars="229"/>
        <w:rPr>
          <w:rFonts w:ascii="仿宋_GB2312" w:hAnsi="仿宋_GB2312" w:eastAsia="仿宋_GB2312" w:cs="仿宋_GB2312"/>
          <w:sz w:val="24"/>
        </w:rPr>
      </w:pPr>
      <w:bookmarkStart w:id="0" w:name="_Hlt91233176"/>
      <w:bookmarkEnd w:id="0"/>
    </w:p>
    <w:p/>
    <w:p>
      <w:pPr>
        <w:pStyle w:val="3"/>
      </w:pPr>
    </w:p>
    <w:p>
      <w:pPr>
        <w:pStyle w:val="3"/>
      </w:pPr>
    </w:p>
    <w:p>
      <w:pPr>
        <w:pStyle w:val="3"/>
      </w:pPr>
    </w:p>
    <w:p>
      <w:pPr>
        <w:pStyle w:val="3"/>
      </w:pPr>
    </w:p>
    <w:p>
      <w:pPr>
        <w:pStyle w:val="3"/>
      </w:pPr>
    </w:p>
    <w:p>
      <w:pPr>
        <w:pStyle w:val="3"/>
      </w:pPr>
    </w:p>
    <w:p>
      <w:pPr>
        <w:pStyle w:val="3"/>
      </w:pPr>
    </w:p>
    <w:p>
      <w:pPr>
        <w:pStyle w:val="3"/>
      </w:pPr>
    </w:p>
    <w:p>
      <w:pPr>
        <w:pStyle w:val="2"/>
      </w:pPr>
    </w:p>
    <w:p>
      <w:pPr>
        <w:pStyle w:val="3"/>
      </w:pPr>
    </w:p>
    <w:p>
      <w:r>
        <w:br w:type="page"/>
      </w: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第一部分  邀请供应商</w:t>
      </w:r>
    </w:p>
    <w:p>
      <w:pPr>
        <w:adjustRightInd/>
        <w:spacing w:line="360" w:lineRule="auto"/>
        <w:jc w:val="center"/>
        <w:outlineLvl w:val="0"/>
      </w:pPr>
      <w:r>
        <w:rPr>
          <w:rFonts w:hint="eastAsia" w:ascii="仿宋_GB2312" w:hAnsi="仿宋_GB2312" w:eastAsia="仿宋_GB2312" w:cs="仿宋_GB2312"/>
          <w:b/>
          <w:sz w:val="36"/>
          <w:szCs w:val="20"/>
        </w:rPr>
        <w:t>竞争性磋商邀请公告</w:t>
      </w:r>
    </w:p>
    <w:p>
      <w:pPr>
        <w:pStyle w:val="8"/>
        <w:numPr>
          <w:ilvl w:val="0"/>
          <w:numId w:val="0"/>
        </w:numPr>
        <w:ind w:left="432" w:hanging="432"/>
        <w:rPr>
          <w:rFonts w:hAnsi="黑体" w:cs="宋体"/>
          <w:sz w:val="24"/>
          <w:szCs w:val="24"/>
        </w:rPr>
      </w:pPr>
      <w:bookmarkStart w:id="1" w:name="_Toc35393798"/>
      <w:bookmarkStart w:id="2" w:name="_Toc28359012"/>
      <w:bookmarkStart w:id="3" w:name="_Toc28359089"/>
      <w:bookmarkStart w:id="4" w:name="_Toc35393629"/>
      <w:r>
        <w:rPr>
          <w:rFonts w:hint="eastAsia" w:hAnsi="黑体" w:cs="宋体"/>
          <w:sz w:val="24"/>
          <w:szCs w:val="24"/>
        </w:rPr>
        <w:t>一、项目基本情况</w:t>
      </w:r>
      <w:bookmarkEnd w:id="1"/>
      <w:bookmarkEnd w:id="2"/>
      <w:bookmarkEnd w:id="3"/>
      <w:bookmarkEnd w:id="4"/>
    </w:p>
    <w:p>
      <w:pPr>
        <w:spacing w:line="360" w:lineRule="auto"/>
        <w:ind w:firstLine="482" w:firstLineChars="200"/>
        <w:rPr>
          <w:rFonts w:ascii="仿宋_GB2312" w:hAnsi="仿宋" w:eastAsia="仿宋_GB2312"/>
          <w:sz w:val="24"/>
        </w:rPr>
      </w:pPr>
      <w:r>
        <w:rPr>
          <w:rFonts w:hint="eastAsia" w:ascii="仿宋_GB2312" w:hAnsi="仿宋" w:eastAsia="仿宋_GB2312"/>
          <w:b/>
          <w:bCs/>
          <w:sz w:val="24"/>
        </w:rPr>
        <w:t>项目编号：</w:t>
      </w:r>
      <w:r>
        <w:rPr>
          <w:rFonts w:hint="eastAsia" w:ascii="仿宋_GB2312" w:hAnsi="仿宋" w:eastAsia="仿宋_GB2312"/>
          <w:b/>
          <w:bCs/>
          <w:sz w:val="24"/>
          <w:lang w:val="en-US" w:eastAsia="zh-CN"/>
        </w:rPr>
        <w:t>临</w:t>
      </w:r>
      <w:r>
        <w:rPr>
          <w:rFonts w:hint="eastAsia" w:ascii="仿宋_GB2312" w:hAnsi="仿宋" w:eastAsia="仿宋_GB2312"/>
          <w:sz w:val="24"/>
        </w:rPr>
        <w:t>[2022]</w:t>
      </w:r>
      <w:r>
        <w:rPr>
          <w:rFonts w:hint="eastAsia" w:ascii="仿宋_GB2312" w:hAnsi="仿宋" w:eastAsia="仿宋_GB2312"/>
          <w:sz w:val="24"/>
          <w:lang w:val="en-US" w:eastAsia="zh-CN"/>
        </w:rPr>
        <w:t>2014</w:t>
      </w:r>
      <w:r>
        <w:rPr>
          <w:rFonts w:hint="eastAsia" w:ascii="仿宋_GB2312" w:hAnsi="仿宋" w:eastAsia="仿宋_GB2312"/>
          <w:sz w:val="24"/>
        </w:rPr>
        <w:t>号</w:t>
      </w:r>
    </w:p>
    <w:p>
      <w:pPr>
        <w:spacing w:line="360" w:lineRule="auto"/>
        <w:ind w:firstLine="482" w:firstLineChars="200"/>
        <w:rPr>
          <w:rFonts w:ascii="仿宋_GB2312" w:hAnsi="仿宋" w:eastAsia="仿宋_GB2312"/>
          <w:sz w:val="24"/>
        </w:rPr>
      </w:pPr>
      <w:r>
        <w:rPr>
          <w:rFonts w:hint="eastAsia" w:ascii="仿宋_GB2312" w:hAnsi="仿宋" w:eastAsia="仿宋_GB2312"/>
          <w:b/>
          <w:bCs/>
          <w:sz w:val="24"/>
        </w:rPr>
        <w:t>项目名称：</w:t>
      </w:r>
      <w:r>
        <w:rPr>
          <w:rFonts w:hint="eastAsia" w:ascii="仿宋_GB2312" w:hAnsi="仿宋" w:eastAsia="仿宋_GB2312"/>
          <w:sz w:val="24"/>
        </w:rPr>
        <w:t>清凉峰名山公园圈总体规划暨专题研究</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采购方式：竞争性磋商</w:t>
      </w:r>
    </w:p>
    <w:p>
      <w:pPr>
        <w:spacing w:line="360" w:lineRule="auto"/>
        <w:ind w:firstLine="482" w:firstLineChars="200"/>
        <w:rPr>
          <w:rFonts w:ascii="仿宋_GB2312" w:hAnsi="仿宋" w:eastAsia="仿宋_GB2312"/>
          <w:b/>
          <w:bCs/>
          <w:sz w:val="24"/>
          <w:highlight w:val="none"/>
        </w:rPr>
      </w:pPr>
      <w:r>
        <w:rPr>
          <w:rFonts w:hint="eastAsia" w:ascii="仿宋_GB2312" w:hAnsi="仿宋" w:eastAsia="仿宋_GB2312"/>
          <w:b/>
          <w:bCs/>
          <w:sz w:val="24"/>
          <w:highlight w:val="none"/>
        </w:rPr>
        <w:t>预算金额（元）：1</w:t>
      </w:r>
      <w:r>
        <w:rPr>
          <w:rFonts w:ascii="仿宋_GB2312" w:hAnsi="仿宋" w:eastAsia="仿宋_GB2312"/>
          <w:b/>
          <w:bCs/>
          <w:sz w:val="24"/>
          <w:highlight w:val="none"/>
        </w:rPr>
        <w:t>90</w:t>
      </w:r>
      <w:r>
        <w:rPr>
          <w:rFonts w:hint="eastAsia" w:ascii="仿宋_GB2312" w:hAnsi="仿宋" w:eastAsia="仿宋_GB2312"/>
          <w:b/>
          <w:bCs/>
          <w:sz w:val="24"/>
          <w:highlight w:val="none"/>
        </w:rPr>
        <w:t>万元</w:t>
      </w:r>
    </w:p>
    <w:p>
      <w:pPr>
        <w:spacing w:line="360" w:lineRule="auto"/>
        <w:ind w:firstLine="482" w:firstLineChars="200"/>
        <w:rPr>
          <w:rFonts w:ascii="仿宋_GB2312" w:hAnsi="仿宋" w:eastAsia="仿宋_GB2312"/>
          <w:b/>
          <w:bCs/>
          <w:sz w:val="24"/>
          <w:highlight w:val="none"/>
        </w:rPr>
      </w:pPr>
      <w:r>
        <w:rPr>
          <w:rFonts w:hint="eastAsia" w:ascii="仿宋_GB2312" w:hAnsi="仿宋" w:eastAsia="仿宋_GB2312"/>
          <w:b/>
          <w:bCs/>
          <w:sz w:val="24"/>
          <w:highlight w:val="none"/>
        </w:rPr>
        <w:t>最高限价（元）：1</w:t>
      </w:r>
      <w:r>
        <w:rPr>
          <w:rFonts w:ascii="仿宋_GB2312" w:hAnsi="仿宋" w:eastAsia="仿宋_GB2312"/>
          <w:b/>
          <w:bCs/>
          <w:sz w:val="24"/>
          <w:highlight w:val="none"/>
        </w:rPr>
        <w:t>90</w:t>
      </w:r>
      <w:r>
        <w:rPr>
          <w:rFonts w:hint="eastAsia" w:ascii="仿宋_GB2312" w:hAnsi="仿宋" w:eastAsia="仿宋_GB2312"/>
          <w:b/>
          <w:bCs/>
          <w:sz w:val="24"/>
          <w:highlight w:val="none"/>
        </w:rPr>
        <w:t>万元</w:t>
      </w:r>
    </w:p>
    <w:p>
      <w:pPr>
        <w:widowControl/>
        <w:adjustRightInd/>
        <w:spacing w:line="360" w:lineRule="auto"/>
        <w:ind w:firstLine="482" w:firstLineChars="200"/>
        <w:jc w:val="left"/>
        <w:rPr>
          <w:rFonts w:ascii="仿宋_GB2312" w:hAnsi="仿宋" w:eastAsia="仿宋_GB2312"/>
          <w:b/>
          <w:bCs/>
          <w:sz w:val="24"/>
          <w:u w:val="single"/>
        </w:rPr>
      </w:pPr>
      <w:r>
        <w:rPr>
          <w:rFonts w:hint="eastAsia" w:ascii="仿宋_GB2312" w:hAnsi="仿宋" w:eastAsia="仿宋_GB2312"/>
          <w:b/>
          <w:bCs/>
          <w:sz w:val="24"/>
        </w:rPr>
        <w:t>采购需求：</w:t>
      </w:r>
      <w:r>
        <w:rPr>
          <w:rFonts w:hint="eastAsia" w:ascii="仿宋_GB2312" w:hAnsi="仿宋" w:eastAsia="仿宋_GB2312"/>
          <w:sz w:val="24"/>
        </w:rPr>
        <w:t>清凉峰名山公园圈总体规划暨专题研究，主要内容为详见采购文件第四部分技术规范、服务要求、采购需求。</w:t>
      </w:r>
    </w:p>
    <w:p>
      <w:pPr>
        <w:spacing w:line="360" w:lineRule="auto"/>
        <w:ind w:firstLine="482" w:firstLineChars="200"/>
        <w:rPr>
          <w:rFonts w:ascii="仿宋_GB2312" w:hAnsi="仿宋" w:eastAsia="仿宋_GB2312"/>
          <w:b/>
          <w:bCs/>
          <w:sz w:val="24"/>
          <w:highlight w:val="none"/>
          <w:u w:val="single"/>
        </w:rPr>
      </w:pPr>
      <w:r>
        <w:rPr>
          <w:rFonts w:hint="eastAsia" w:ascii="仿宋_GB2312" w:hAnsi="仿宋" w:eastAsia="仿宋_GB2312"/>
          <w:b/>
          <w:bCs/>
          <w:sz w:val="24"/>
          <w:highlight w:val="none"/>
        </w:rPr>
        <w:t>合同履行期限：至2</w:t>
      </w:r>
      <w:r>
        <w:rPr>
          <w:rFonts w:ascii="仿宋_GB2312" w:hAnsi="仿宋" w:eastAsia="仿宋_GB2312"/>
          <w:b/>
          <w:bCs/>
          <w:sz w:val="24"/>
          <w:highlight w:val="none"/>
        </w:rPr>
        <w:t>022</w:t>
      </w:r>
      <w:r>
        <w:rPr>
          <w:rFonts w:hint="eastAsia" w:ascii="仿宋_GB2312" w:hAnsi="仿宋" w:eastAsia="仿宋_GB2312"/>
          <w:b/>
          <w:bCs/>
          <w:sz w:val="24"/>
          <w:highlight w:val="none"/>
        </w:rPr>
        <w:t>年底。</w:t>
      </w:r>
    </w:p>
    <w:p>
      <w:pPr>
        <w:pStyle w:val="11"/>
        <w:spacing w:line="360" w:lineRule="auto"/>
        <w:ind w:firstLine="480"/>
        <w:rPr>
          <w:rFonts w:ascii="仿宋_GB2312" w:hAnsi="仿宋" w:eastAsia="仿宋_GB2312"/>
          <w:b/>
          <w:color w:val="000000" w:themeColor="text1"/>
          <w:sz w:val="24"/>
          <w14:textFill>
            <w14:solidFill>
              <w14:schemeClr w14:val="tx1"/>
            </w14:solidFill>
          </w14:textFill>
        </w:rPr>
      </w:pPr>
      <w:bookmarkStart w:id="5" w:name="_Toc35393630"/>
      <w:bookmarkStart w:id="6" w:name="_Toc35393799"/>
      <w:bookmarkStart w:id="7" w:name="_Toc28359090"/>
      <w:bookmarkStart w:id="8" w:name="_Toc28359013"/>
      <w:r>
        <w:rPr>
          <w:rFonts w:hint="eastAsia" w:ascii="仿宋_GB2312" w:hAnsi="仿宋" w:eastAsia="仿宋_GB2312"/>
          <w:b/>
          <w:color w:val="000000" w:themeColor="text1"/>
          <w:sz w:val="24"/>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MS Gothic" w:cs="Arial"/>
              <w:color w:val="000000" w:themeColor="text1"/>
              <w:kern w:val="0"/>
              <w:sz w:val="24"/>
              <w14:textFill>
                <w14:solidFill>
                  <w14:schemeClr w14:val="tx1"/>
                </w14:solidFill>
              </w14:textFill>
            </w:rPr>
            <w:t>þ</w:t>
          </w:r>
        </w:sdtContent>
      </w:sdt>
      <w:r>
        <w:rPr>
          <w:rFonts w:hint="eastAsia" w:ascii="仿宋_GB2312" w:hAnsi="仿宋" w:eastAsia="仿宋_GB2312"/>
          <w:b/>
          <w:color w:val="000000" w:themeColor="text1"/>
          <w:sz w:val="24"/>
          <w14:textFill>
            <w14:solidFill>
              <w14:schemeClr w14:val="tx1"/>
            </w14:solidFill>
          </w14:textFill>
        </w:rPr>
        <w:t>是，</w:t>
      </w:r>
      <w:sdt>
        <w:sdtPr>
          <w:rPr>
            <w:rFonts w:hint="eastAsia" w:ascii="仿宋_GB2312" w:hAnsi="仿宋" w:eastAsia="仿宋_GB2312" w:cs="Arial"/>
            <w:color w:val="000000" w:themeColor="text1"/>
            <w:kern w:val="0"/>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b/>
          <w:color w:val="000000" w:themeColor="text1"/>
          <w:sz w:val="24"/>
          <w14:textFill>
            <w14:solidFill>
              <w14:schemeClr w14:val="tx1"/>
            </w14:solidFill>
          </w14:textFill>
        </w:rPr>
        <w:t>否</w:t>
      </w:r>
      <w:r>
        <w:rPr>
          <w:rFonts w:hint="eastAsia" w:cs="Arial" w:asciiTheme="minorEastAsia" w:hAnsiTheme="minorEastAsia" w:eastAsiaTheme="minorEastAsia"/>
          <w:color w:val="000000" w:themeColor="text1"/>
          <w:kern w:val="0"/>
          <w:sz w:val="24"/>
          <w14:textFill>
            <w14:solidFill>
              <w14:schemeClr w14:val="tx1"/>
            </w14:solidFill>
          </w14:textFill>
        </w:rPr>
        <w:t>。</w:t>
      </w:r>
    </w:p>
    <w:p>
      <w:pPr>
        <w:pStyle w:val="8"/>
        <w:numPr>
          <w:ilvl w:val="0"/>
          <w:numId w:val="0"/>
        </w:numPr>
        <w:ind w:left="432" w:hanging="432"/>
        <w:rPr>
          <w:i/>
          <w:iCs/>
          <w:sz w:val="24"/>
          <w:u w:val="single"/>
        </w:rPr>
      </w:pPr>
      <w:r>
        <w:rPr>
          <w:rFonts w:hint="eastAsia" w:hAnsi="黑体" w:cs="宋体"/>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rPr>
          <w:rFonts w:ascii="仿宋_GB2312" w:hAnsi="仿宋_GB2312" w:eastAsia="仿宋_GB2312" w:cs="仿宋_GB2312"/>
          <w:snapToGrid w:val="0"/>
          <w:color w:val="000000" w:themeColor="text1"/>
          <w:kern w:val="28"/>
          <w:sz w:val="24"/>
          <w:szCs w:val="20"/>
          <w14:textFill>
            <w14:solidFill>
              <w14:schemeClr w14:val="tx1"/>
            </w14:solidFill>
          </w14:textFill>
        </w:rPr>
      </w:pPr>
      <w:bookmarkStart w:id="11" w:name="_Toc35393631"/>
      <w:bookmarkStart w:id="12" w:name="_Toc35393800"/>
      <w:r>
        <w:rPr>
          <w:rFonts w:hint="eastAsia" w:ascii="仿宋_GB2312" w:hAnsi="仿宋_GB2312" w:eastAsia="仿宋_GB2312" w:cs="仿宋_GB2312"/>
          <w:snapToGrid w:val="0"/>
          <w:color w:val="000000" w:themeColor="text1"/>
          <w:kern w:val="28"/>
          <w:sz w:val="24"/>
          <w:szCs w:val="20"/>
          <w14:textFill>
            <w14:solidFill>
              <w14:schemeClr w14:val="tx1"/>
            </w14:solidFill>
          </w14:textFill>
        </w:rPr>
        <w:t xml:space="preserve">    2.落实政府采购政策需满足的资格要求：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Wingdings" w:hAnsi="Wingdings" w:eastAsia="仿宋_GB2312" w:cs="仿宋_GB2312"/>
              <w:color w:val="000000" w:themeColor="text1"/>
              <w:kern w:val="0"/>
              <w:sz w:val="24"/>
              <w:szCs w:val="24"/>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14:textFill>
            <w14:solidFill>
              <w14:schemeClr w14:val="tx1"/>
            </w14:solidFill>
          </w14:textFill>
        </w:rPr>
        <w:t>无；</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MS Gothic" w:hAnsi="MS Gothic" w:eastAsia="仿宋_GB2312" w:cs="仿宋_GB2312"/>
              <w:color w:val="000000" w:themeColor="text1"/>
              <w:kern w:val="0"/>
              <w:sz w:val="24"/>
              <w:szCs w:val="24"/>
              <w:lang w:val="en-US" w:eastAsia="zh-CN" w:bidi="ar-SA"/>
              <w14:textFill>
                <w14:solidFill>
                  <w14:schemeClr w14:val="tx1"/>
                </w14:solidFill>
              </w14:textFill>
            </w:rPr>
            <w:t>☐</w:t>
          </w:r>
        </w:sdtContent>
      </w:sdt>
      <w:r>
        <w:rPr>
          <w:rFonts w:hint="eastAsia" w:ascii="仿宋_GB2312" w:hAnsi="仿宋_GB2312" w:eastAsia="仿宋_GB2312" w:cs="仿宋_GB2312"/>
          <w:color w:val="000000" w:themeColor="text1"/>
          <w:kern w:val="0"/>
          <w:sz w:val="24"/>
          <w14:textFill>
            <w14:solidFill>
              <w14:schemeClr w14:val="tx1"/>
            </w14:solidFill>
          </w14:textFill>
        </w:rPr>
        <w:t>专</w:t>
      </w:r>
      <w:r>
        <w:rPr>
          <w:rFonts w:hint="eastAsia" w:ascii="仿宋_GB2312" w:hAnsi="仿宋_GB2312" w:eastAsia="仿宋_GB2312" w:cs="仿宋_GB2312"/>
          <w:color w:val="000000" w:themeColor="text1"/>
          <w:sz w:val="24"/>
          <w14:textFill>
            <w14:solidFill>
              <w14:schemeClr w14:val="tx1"/>
            </w14:solidFill>
          </w14:textFill>
        </w:rPr>
        <w:t>门面向中小企业</w:t>
      </w:r>
    </w:p>
    <w:p>
      <w:pPr>
        <w:spacing w:line="360" w:lineRule="auto"/>
        <w:ind w:firstLine="897" w:firstLineChars="374"/>
        <w:rPr>
          <w:rFonts w:ascii="仿宋_GB2312" w:hAnsi="仿宋_GB2312" w:eastAsia="仿宋_GB2312" w:cs="仿宋_GB2312"/>
          <w:color w:val="000000" w:themeColor="text1"/>
          <w:sz w:val="24"/>
          <w:u w:val="single"/>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sz w:val="24"/>
          <w14:textFill>
            <w14:solidFill>
              <w14:schemeClr w14:val="tx1"/>
            </w14:solidFill>
          </w14:textFill>
        </w:rPr>
        <w:t>货物全部由符合政策要求的小微企业制造，提供中小企业声明函；</w:t>
      </w:r>
    </w:p>
    <w:p>
      <w:pPr>
        <w:spacing w:line="360" w:lineRule="auto"/>
        <w:ind w:firstLine="897" w:firstLineChars="374"/>
        <w:rPr>
          <w:rFonts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MS Gothic" w:hAnsi="MS Gothic" w:eastAsia="仿宋_GB2312" w:cs="仿宋_GB2312"/>
              <w:color w:val="000000" w:themeColor="text1"/>
              <w:kern w:val="0"/>
              <w:sz w:val="24"/>
              <w:szCs w:val="24"/>
              <w:lang w:val="en-US" w:eastAsia="zh-CN" w:bidi="ar-SA"/>
              <w14:textFill>
                <w14:solidFill>
                  <w14:schemeClr w14:val="tx1"/>
                </w14:solidFill>
              </w14:textFill>
            </w:rPr>
            <w:t>☐</w:t>
          </w:r>
        </w:sdtContent>
      </w:sdt>
      <w:r>
        <w:rPr>
          <w:rFonts w:hint="eastAsia" w:ascii="仿宋_GB2312" w:hAnsi="仿宋_GB2312" w:eastAsia="仿宋_GB2312" w:cs="仿宋_GB2312"/>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MS Gothic" w:hAnsi="MS Gothic" w:eastAsia="仿宋_GB2312" w:cs="仿宋_GB2312"/>
              <w:color w:val="000000" w:themeColor="text1"/>
              <w:kern w:val="0"/>
              <w:sz w:val="24"/>
              <w:szCs w:val="24"/>
              <w:lang w:val="en-US" w:eastAsia="zh-CN" w:bidi="ar-SA"/>
              <w14:textFill>
                <w14:solidFill>
                  <w14:schemeClr w14:val="tx1"/>
                </w14:solidFill>
              </w14:textFill>
            </w:rPr>
            <w:t>☐</w:t>
          </w:r>
        </w:sdtContent>
      </w:sdt>
      <w:r>
        <w:rPr>
          <w:rFonts w:hint="eastAsia" w:ascii="仿宋_GB2312" w:hAnsi="仿宋_GB2312" w:eastAsia="仿宋_GB2312" w:cs="仿宋_GB2312"/>
          <w:color w:val="000000" w:themeColor="text1"/>
          <w:sz w:val="24"/>
          <w14:textFill>
            <w14:solidFill>
              <w14:schemeClr w14:val="tx1"/>
            </w14:solidFill>
          </w14:textFill>
        </w:rPr>
        <w:t>服务全部由符合政策要求的小微企业承接，提供中小企业声明函；</w:t>
      </w:r>
    </w:p>
    <w:p>
      <w:pPr>
        <w:rPr>
          <w:rFonts w:ascii="仿宋_GB2312" w:hAnsi="仿宋_GB2312" w:eastAsia="仿宋_GB2312" w:cs="仿宋_GB2312"/>
          <w:color w:val="000000" w:themeColor="text1"/>
          <w14:textFill>
            <w14:solidFill>
              <w14:schemeClr w14:val="tx1"/>
            </w14:solidFill>
          </w14:textFill>
        </w:rPr>
      </w:pP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pacing w:val="8"/>
          <w:kern w:val="0"/>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w:t>
      </w:r>
      <w:r>
        <w:rPr>
          <w:rFonts w:hint="eastAsia" w:ascii="仿宋_GB2312" w:hAnsi="仿宋_GB2312" w:eastAsia="仿宋_GB2312" w:cs="仿宋_GB2312"/>
          <w:color w:val="000000" w:themeColor="text1"/>
          <w:spacing w:val="8"/>
          <w:kern w:val="0"/>
          <w:sz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14:textFill>
            <w14:solidFill>
              <w14:schemeClr w14:val="tx1"/>
            </w14:solidFill>
          </w14:textFill>
        </w:rPr>
        <w:t>；</w:t>
      </w:r>
    </w:p>
    <w:p>
      <w:pPr>
        <w:numPr>
          <w:ilvl w:val="0"/>
          <w:numId w:val="3"/>
        </w:numPr>
        <w:spacing w:line="360" w:lineRule="auto"/>
        <w:ind w:firstLine="480" w:firstLineChars="200"/>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本项目的特定资格要求：</w:t>
      </w:r>
      <w:r>
        <w:rPr>
          <w:rFonts w:hint="eastAsia" w:ascii="仿宋_GB2312" w:hAnsi="仿宋_GB2312" w:eastAsia="仿宋_GB2312" w:cs="仿宋_GB2312"/>
          <w:b/>
          <w:bCs/>
          <w:color w:val="000000" w:themeColor="text1"/>
          <w:sz w:val="24"/>
          <w14:textFill>
            <w14:solidFill>
              <w14:schemeClr w14:val="tx1"/>
            </w14:solidFill>
          </w14:textFill>
        </w:rPr>
        <w:t>具有城乡规划甲级资质和土地规划乙级及以上资质。</w:t>
      </w:r>
    </w:p>
    <w:p>
      <w:pPr>
        <w:numPr>
          <w:ilvl w:val="0"/>
          <w:numId w:val="3"/>
        </w:numPr>
        <w:spacing w:line="360" w:lineRule="auto"/>
        <w:ind w:firstLine="482" w:firstLineChars="200"/>
        <w:rPr>
          <w:rFonts w:hint="default" w:ascii="仿宋_GB2312" w:hAnsi="仿宋_GB2312" w:eastAsia="仿宋_GB2312" w:cs="仿宋_GB2312"/>
          <w:b/>
          <w:bCs/>
          <w:color w:val="000000" w:themeColor="text1"/>
          <w:sz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允许联合体投标，联合体双方互补满足特定资格要求。</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pStyle w:val="8"/>
        <w:numPr>
          <w:ilvl w:val="0"/>
          <w:numId w:val="0"/>
        </w:numPr>
        <w:ind w:left="432" w:hanging="432"/>
        <w:rPr>
          <w:rFonts w:hAnsi="黑体" w:cs="宋体"/>
          <w:sz w:val="24"/>
          <w:szCs w:val="24"/>
        </w:rPr>
      </w:pPr>
      <w:r>
        <w:rPr>
          <w:rFonts w:hint="eastAsia" w:hAnsi="黑体" w:cs="宋体"/>
          <w:sz w:val="24"/>
          <w:szCs w:val="24"/>
        </w:rPr>
        <w:t>三、获取采购文件</w:t>
      </w:r>
      <w:bookmarkEnd w:id="9"/>
      <w:bookmarkEnd w:id="10"/>
      <w:bookmarkEnd w:id="11"/>
      <w:bookmarkEnd w:id="12"/>
    </w:p>
    <w:p>
      <w:pPr>
        <w:spacing w:line="360" w:lineRule="auto"/>
        <w:ind w:firstLine="540"/>
        <w:rPr>
          <w:rFonts w:ascii="仿宋_GB2312" w:hAnsi="仿宋" w:eastAsia="仿宋_GB2312" w:cs="宋体"/>
          <w:sz w:val="24"/>
        </w:rPr>
      </w:pPr>
      <w:r>
        <w:rPr>
          <w:rFonts w:hint="eastAsia" w:ascii="仿宋_GB2312" w:hAnsi="仿宋" w:eastAsia="仿宋_GB2312" w:cs="宋体"/>
          <w:b/>
          <w:sz w:val="24"/>
        </w:rPr>
        <w:t>时间：</w:t>
      </w:r>
      <w:r>
        <w:rPr>
          <w:rFonts w:hint="eastAsia" w:ascii="仿宋_GB2312" w:hAnsi="仿宋" w:eastAsia="仿宋_GB2312"/>
          <w:sz w:val="27"/>
          <w:szCs w:val="27"/>
        </w:rPr>
        <w:t>/</w:t>
      </w:r>
      <w:r>
        <w:rPr>
          <w:rFonts w:hint="eastAsia" w:ascii="仿宋_GB2312" w:hAnsi="仿宋" w:eastAsia="仿宋_GB2312" w:cs="宋体"/>
          <w:sz w:val="24"/>
        </w:rPr>
        <w:t>至</w:t>
      </w:r>
      <w:r>
        <w:rPr>
          <w:rFonts w:hint="eastAsia" w:ascii="仿宋_GB2312" w:hAnsi="仿宋" w:eastAsia="仿宋_GB2312" w:cs="宋体"/>
          <w:sz w:val="24"/>
          <w:u w:val="single"/>
        </w:rPr>
        <w:t>2022年8月</w:t>
      </w:r>
      <w:r>
        <w:rPr>
          <w:rFonts w:hint="eastAsia" w:ascii="仿宋_GB2312" w:hAnsi="仿宋" w:eastAsia="仿宋_GB2312" w:cs="宋体"/>
          <w:sz w:val="24"/>
          <w:u w:val="single"/>
          <w:lang w:val="en-US" w:eastAsia="zh-CN"/>
        </w:rPr>
        <w:t>12</w:t>
      </w:r>
      <w:r>
        <w:rPr>
          <w:rFonts w:hint="eastAsia" w:ascii="仿宋_GB2312" w:hAnsi="仿宋" w:eastAsia="仿宋_GB2312" w:cs="宋体"/>
          <w:sz w:val="24"/>
          <w:u w:val="single"/>
        </w:rPr>
        <w:t>日</w:t>
      </w:r>
      <w:r>
        <w:rPr>
          <w:rFonts w:hint="eastAsia" w:ascii="仿宋_GB2312" w:hAnsi="仿宋" w:eastAsia="仿宋_GB2312" w:cs="宋体"/>
          <w:sz w:val="24"/>
        </w:rPr>
        <w:t>，每天上午</w:t>
      </w:r>
      <w:r>
        <w:rPr>
          <w:rFonts w:hint="eastAsia" w:ascii="仿宋_GB2312" w:hAnsi="仿宋" w:eastAsia="仿宋_GB2312"/>
          <w:sz w:val="24"/>
        </w:rPr>
        <w:t>00:00至12:00 ，下午12:00至23:59</w:t>
      </w:r>
      <w:r>
        <w:rPr>
          <w:rFonts w:hint="eastAsia" w:ascii="仿宋_GB2312" w:hAnsi="仿宋" w:eastAsia="仿宋_GB2312" w:cs="宋体"/>
          <w:sz w:val="24"/>
        </w:rPr>
        <w:t>（北京时间</w:t>
      </w:r>
      <w:r>
        <w:rPr>
          <w:rFonts w:hint="eastAsia" w:ascii="仿宋_GB2312" w:hAnsi="仿宋" w:eastAsia="仿宋_GB2312"/>
          <w:sz w:val="24"/>
        </w:rPr>
        <w:t>，线上获取法定节假日均可，线下获取文件法定节假日除外</w:t>
      </w:r>
      <w:r>
        <w:rPr>
          <w:rFonts w:hint="eastAsia" w:ascii="仿宋_GB2312" w:hAnsi="仿宋" w:eastAsia="仿宋_GB2312" w:cs="宋体"/>
          <w:sz w:val="24"/>
        </w:rPr>
        <w:t>）；</w:t>
      </w:r>
    </w:p>
    <w:p>
      <w:pPr>
        <w:spacing w:line="360" w:lineRule="auto"/>
        <w:ind w:firstLine="540"/>
        <w:rPr>
          <w:rFonts w:ascii="仿宋_GB2312" w:hAnsi="仿宋" w:eastAsia="仿宋_GB2312" w:cs="宋体"/>
          <w:sz w:val="28"/>
          <w:szCs w:val="28"/>
          <w:u w:val="single"/>
        </w:rPr>
      </w:pPr>
      <w:r>
        <w:rPr>
          <w:rFonts w:hint="eastAsia" w:ascii="仿宋_GB2312" w:hAnsi="仿宋" w:eastAsia="仿宋_GB2312" w:cs="宋体"/>
          <w:b/>
          <w:sz w:val="24"/>
        </w:rPr>
        <w:t>地点：</w:t>
      </w:r>
      <w:r>
        <w:rPr>
          <w:rFonts w:hint="eastAsia" w:ascii="仿宋_GB2312" w:hAnsi="仿宋" w:eastAsia="仿宋_GB2312" w:cs="仿宋_GB2312"/>
          <w:b/>
          <w:sz w:val="24"/>
        </w:rPr>
        <w:t>浙江政府采购网（http://zfcg.czt.zj.gov.cn）</w:t>
      </w:r>
    </w:p>
    <w:p>
      <w:pPr>
        <w:spacing w:line="360" w:lineRule="auto"/>
        <w:ind w:firstLine="540"/>
        <w:rPr>
          <w:rFonts w:ascii="仿宋_GB2312" w:hAnsi="仿宋" w:eastAsia="仿宋_GB2312" w:cs="宋体"/>
          <w:sz w:val="24"/>
          <w:u w:val="single"/>
        </w:rPr>
      </w:pPr>
      <w:r>
        <w:rPr>
          <w:rFonts w:hint="eastAsia" w:ascii="仿宋_GB2312" w:hAnsi="仿宋" w:eastAsia="仿宋_GB2312" w:cs="宋体"/>
          <w:b/>
          <w:sz w:val="24"/>
        </w:rPr>
        <w:t>方式：</w:t>
      </w:r>
      <w:r>
        <w:rPr>
          <w:rFonts w:hint="eastAsia" w:ascii="仿宋_GB2312" w:hAnsi="仿宋" w:eastAsia="仿宋_GB2312" w:cs="仿宋_GB2312"/>
          <w:b/>
          <w:sz w:val="24"/>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ascii="仿宋_GB2312" w:hAnsi="仿宋" w:eastAsia="仿宋_GB2312" w:cs="宋体"/>
          <w:sz w:val="28"/>
          <w:szCs w:val="28"/>
        </w:rPr>
      </w:pPr>
      <w:r>
        <w:rPr>
          <w:rFonts w:hint="eastAsia" w:ascii="仿宋_GB2312" w:hAnsi="仿宋" w:eastAsia="仿宋_GB2312" w:cs="宋体"/>
          <w:b/>
          <w:sz w:val="24"/>
        </w:rPr>
        <w:t>售价：</w:t>
      </w:r>
      <w:r>
        <w:rPr>
          <w:rFonts w:hint="eastAsia" w:ascii="仿宋_GB2312" w:hAnsi="仿宋_GB2312" w:eastAsia="仿宋_GB2312" w:cs="仿宋_GB2312"/>
          <w:sz w:val="24"/>
        </w:rPr>
        <w:t>0</w:t>
      </w:r>
    </w:p>
    <w:p>
      <w:pPr>
        <w:pStyle w:val="8"/>
        <w:numPr>
          <w:ilvl w:val="0"/>
          <w:numId w:val="0"/>
        </w:numPr>
        <w:ind w:left="432" w:hanging="432"/>
        <w:rPr>
          <w:rFonts w:hAnsi="黑体" w:cs="宋体"/>
          <w:sz w:val="24"/>
          <w:szCs w:val="24"/>
        </w:rPr>
      </w:pPr>
      <w:bookmarkStart w:id="13" w:name="_Toc35393801"/>
      <w:bookmarkStart w:id="14" w:name="_Toc28359015"/>
      <w:bookmarkStart w:id="15" w:name="_Toc28359092"/>
      <w:bookmarkStart w:id="16" w:name="_Toc35393632"/>
      <w:r>
        <w:rPr>
          <w:rFonts w:hint="eastAsia" w:hAnsi="黑体" w:cs="宋体"/>
          <w:sz w:val="24"/>
          <w:szCs w:val="24"/>
        </w:rPr>
        <w:t>四、响应文件提交</w:t>
      </w:r>
      <w:bookmarkEnd w:id="13"/>
      <w:bookmarkEnd w:id="14"/>
      <w:bookmarkEnd w:id="15"/>
      <w:bookmarkEnd w:id="16"/>
    </w:p>
    <w:p>
      <w:pPr>
        <w:spacing w:line="360" w:lineRule="auto"/>
        <w:ind w:firstLine="480" w:firstLineChars="200"/>
        <w:rPr>
          <w:rFonts w:ascii="仿宋_GB2312" w:hAnsi="仿宋" w:eastAsia="仿宋_GB2312"/>
          <w:bCs/>
          <w:sz w:val="24"/>
          <w:u w:val="single"/>
        </w:rPr>
      </w:pPr>
      <w:r>
        <w:rPr>
          <w:rFonts w:hint="eastAsia" w:ascii="仿宋_GB2312" w:hAnsi="仿宋" w:eastAsia="仿宋_GB2312"/>
          <w:sz w:val="24"/>
        </w:rPr>
        <w:t>截止时间：</w:t>
      </w:r>
      <w:r>
        <w:rPr>
          <w:rFonts w:hint="eastAsia" w:ascii="仿宋_GB2312" w:hAnsi="仿宋" w:eastAsia="仿宋_GB2312"/>
          <w:sz w:val="24"/>
          <w:u w:val="single"/>
        </w:rPr>
        <w:t>2022</w:t>
      </w:r>
      <w:r>
        <w:rPr>
          <w:rFonts w:hint="eastAsia" w:ascii="仿宋_GB2312" w:hAnsi="仿宋" w:eastAsia="仿宋_GB2312"/>
          <w:bCs/>
          <w:sz w:val="24"/>
          <w:u w:val="single"/>
        </w:rPr>
        <w:t>年8月</w:t>
      </w:r>
      <w:r>
        <w:rPr>
          <w:rFonts w:hint="eastAsia" w:ascii="仿宋_GB2312" w:hAnsi="仿宋" w:eastAsia="仿宋_GB2312"/>
          <w:bCs/>
          <w:sz w:val="24"/>
          <w:u w:val="single"/>
          <w:lang w:val="en-US" w:eastAsia="zh-CN"/>
        </w:rPr>
        <w:t>12</w:t>
      </w:r>
      <w:r>
        <w:rPr>
          <w:rFonts w:hint="eastAsia" w:ascii="仿宋_GB2312" w:hAnsi="仿宋" w:eastAsia="仿宋_GB2312"/>
          <w:bCs/>
          <w:sz w:val="24"/>
          <w:u w:val="single"/>
        </w:rPr>
        <w:t>日14点00分00秒</w:t>
      </w:r>
      <w:r>
        <w:rPr>
          <w:rFonts w:hint="eastAsia" w:ascii="仿宋_GB2312" w:hAnsi="仿宋" w:eastAsia="仿宋_GB2312"/>
          <w:bCs/>
          <w:sz w:val="24"/>
        </w:rPr>
        <w:t>（北京时间）</w:t>
      </w:r>
    </w:p>
    <w:p>
      <w:pPr>
        <w:spacing w:line="360" w:lineRule="auto"/>
        <w:ind w:firstLine="480" w:firstLineChars="200"/>
        <w:rPr>
          <w:rFonts w:ascii="仿宋_GB2312" w:hAnsi="仿宋" w:eastAsia="仿宋_GB2312"/>
          <w:bCs/>
          <w:sz w:val="24"/>
          <w:u w:val="single"/>
        </w:rPr>
      </w:pPr>
      <w:r>
        <w:rPr>
          <w:rFonts w:hint="eastAsia" w:ascii="仿宋_GB2312" w:hAnsi="仿宋" w:eastAsia="仿宋_GB2312"/>
          <w:sz w:val="24"/>
        </w:rPr>
        <w:t>地点：</w:t>
      </w:r>
      <w:r>
        <w:rPr>
          <w:rFonts w:hint="eastAsia" w:ascii="仿宋_GB2312" w:hAnsi="仿宋" w:eastAsia="仿宋_GB2312" w:cs="仿宋_GB2312"/>
          <w:bCs/>
          <w:sz w:val="24"/>
        </w:rPr>
        <w:t>政采云平台（</w:t>
      </w:r>
      <w:r>
        <w:fldChar w:fldCharType="begin"/>
      </w:r>
      <w:r>
        <w:instrText xml:space="preserve"> HYPERLINK "https://www.zcygov.cn/" </w:instrText>
      </w:r>
      <w:r>
        <w:fldChar w:fldCharType="separate"/>
      </w:r>
      <w:r>
        <w:rPr>
          <w:rStyle w:val="26"/>
          <w:rFonts w:hint="eastAsia" w:ascii="仿宋_GB2312" w:hAnsi="仿宋" w:eastAsia="仿宋_GB2312" w:cs="仿宋_GB2312"/>
          <w:bCs/>
          <w:color w:val="auto"/>
          <w:kern w:val="2"/>
          <w:sz w:val="24"/>
          <w:szCs w:val="24"/>
        </w:rPr>
        <w:t>https://www.zcygov.cn/</w:t>
      </w:r>
      <w:r>
        <w:rPr>
          <w:rStyle w:val="26"/>
          <w:rFonts w:hint="eastAsia" w:ascii="仿宋_GB2312" w:hAnsi="仿宋" w:eastAsia="仿宋_GB2312" w:cs="仿宋_GB2312"/>
          <w:bCs/>
          <w:color w:val="auto"/>
          <w:kern w:val="2"/>
          <w:sz w:val="24"/>
          <w:szCs w:val="24"/>
        </w:rPr>
        <w:fldChar w:fldCharType="end"/>
      </w:r>
      <w:r>
        <w:rPr>
          <w:rFonts w:hint="eastAsia" w:ascii="仿宋_GB2312" w:hAnsi="仿宋" w:eastAsia="仿宋_GB2312" w:cs="仿宋_GB2312"/>
          <w:bCs/>
          <w:sz w:val="24"/>
        </w:rPr>
        <w:t>）</w:t>
      </w:r>
      <w:r>
        <w:rPr>
          <w:rFonts w:hint="eastAsia" w:ascii="仿宋_GB2312" w:hAnsi="仿宋_GB2312" w:eastAsia="仿宋_GB2312" w:cs="仿宋_GB2312"/>
          <w:bCs/>
          <w:sz w:val="24"/>
        </w:rPr>
        <w:t>。</w:t>
      </w:r>
    </w:p>
    <w:p>
      <w:pPr>
        <w:pStyle w:val="8"/>
        <w:numPr>
          <w:ilvl w:val="0"/>
          <w:numId w:val="0"/>
        </w:numPr>
        <w:ind w:left="432" w:hanging="432"/>
        <w:rPr>
          <w:rFonts w:hAnsi="黑体" w:cs="宋体"/>
          <w:sz w:val="24"/>
          <w:szCs w:val="24"/>
        </w:rPr>
      </w:pPr>
      <w:bookmarkStart w:id="17" w:name="_Toc28359016"/>
      <w:bookmarkStart w:id="18" w:name="_Toc35393633"/>
      <w:bookmarkStart w:id="19" w:name="_Toc28359093"/>
      <w:bookmarkStart w:id="20" w:name="_Toc35393802"/>
      <w:r>
        <w:rPr>
          <w:rFonts w:hint="eastAsia" w:hAnsi="黑体" w:cs="宋体"/>
          <w:sz w:val="24"/>
          <w:szCs w:val="24"/>
        </w:rPr>
        <w:t>五、</w:t>
      </w:r>
      <w:bookmarkEnd w:id="17"/>
      <w:bookmarkEnd w:id="18"/>
      <w:bookmarkEnd w:id="19"/>
      <w:bookmarkEnd w:id="20"/>
      <w:r>
        <w:rPr>
          <w:rFonts w:hint="eastAsia" w:hAnsi="黑体" w:cs="宋体"/>
          <w:sz w:val="24"/>
          <w:szCs w:val="24"/>
        </w:rPr>
        <w:t>开启响应文件时间与地点：</w:t>
      </w:r>
    </w:p>
    <w:p>
      <w:pPr>
        <w:spacing w:line="360" w:lineRule="auto"/>
        <w:ind w:firstLine="480" w:firstLineChars="200"/>
        <w:rPr>
          <w:rFonts w:ascii="仿宋_GB2312" w:hAnsi="仿宋" w:eastAsia="仿宋_GB2312"/>
          <w:bCs/>
          <w:sz w:val="24"/>
          <w:u w:val="single"/>
        </w:rPr>
      </w:pPr>
      <w:r>
        <w:rPr>
          <w:rFonts w:hint="eastAsia" w:ascii="仿宋_GB2312" w:hAnsi="仿宋" w:eastAsia="仿宋_GB2312"/>
          <w:sz w:val="24"/>
        </w:rPr>
        <w:t>时间：</w:t>
      </w:r>
      <w:r>
        <w:rPr>
          <w:rFonts w:hint="eastAsia" w:ascii="仿宋_GB2312" w:hAnsi="仿宋" w:eastAsia="仿宋_GB2312"/>
          <w:sz w:val="24"/>
          <w:u w:val="single"/>
        </w:rPr>
        <w:t>2022</w:t>
      </w:r>
      <w:r>
        <w:rPr>
          <w:rFonts w:hint="eastAsia" w:ascii="仿宋_GB2312" w:hAnsi="仿宋" w:eastAsia="仿宋_GB2312"/>
          <w:bCs/>
          <w:sz w:val="24"/>
          <w:u w:val="single"/>
        </w:rPr>
        <w:t>年8月</w:t>
      </w:r>
      <w:r>
        <w:rPr>
          <w:rFonts w:hint="eastAsia" w:ascii="仿宋_GB2312" w:hAnsi="仿宋" w:eastAsia="仿宋_GB2312"/>
          <w:bCs/>
          <w:sz w:val="24"/>
          <w:u w:val="single"/>
          <w:lang w:val="en-US" w:eastAsia="zh-CN"/>
        </w:rPr>
        <w:t>12</w:t>
      </w:r>
      <w:r>
        <w:rPr>
          <w:rFonts w:hint="eastAsia" w:ascii="仿宋_GB2312" w:hAnsi="仿宋" w:eastAsia="仿宋_GB2312"/>
          <w:bCs/>
          <w:sz w:val="24"/>
          <w:u w:val="single"/>
        </w:rPr>
        <w:t>日14点00分00秒</w:t>
      </w:r>
      <w:r>
        <w:rPr>
          <w:rFonts w:hint="eastAsia" w:ascii="仿宋_GB2312" w:hAnsi="仿宋" w:eastAsia="仿宋_GB2312"/>
          <w:bCs/>
          <w:sz w:val="24"/>
        </w:rPr>
        <w:t>（北京时间）</w:t>
      </w:r>
    </w:p>
    <w:p>
      <w:pPr>
        <w:pStyle w:val="8"/>
        <w:numPr>
          <w:ilvl w:val="0"/>
          <w:numId w:val="0"/>
        </w:numPr>
        <w:ind w:firstLine="480" w:firstLineChars="200"/>
        <w:rPr>
          <w:b w:val="0"/>
          <w:bCs w:val="0"/>
          <w:sz w:val="24"/>
          <w:szCs w:val="24"/>
        </w:rPr>
      </w:pPr>
      <w:bookmarkStart w:id="21" w:name="_Toc28359017"/>
      <w:bookmarkStart w:id="22" w:name="_Toc28359094"/>
      <w:bookmarkStart w:id="23" w:name="_Toc35393634"/>
      <w:bookmarkStart w:id="24" w:name="_Toc35393803"/>
      <w:r>
        <w:rPr>
          <w:rFonts w:hint="eastAsia"/>
          <w:b w:val="0"/>
          <w:bCs w:val="0"/>
          <w:sz w:val="24"/>
          <w:szCs w:val="24"/>
        </w:rPr>
        <w:t>开标地点（网址）：杭州建设工程造价咨询有限公司临安分公司评标室1号（杭州市临安区锦北街道马溪路667号1号楼2楼 ）， 政采云平台（https://www.zcygov.cn/）</w:t>
      </w:r>
    </w:p>
    <w:p>
      <w:pPr>
        <w:pStyle w:val="8"/>
        <w:numPr>
          <w:ilvl w:val="0"/>
          <w:numId w:val="0"/>
        </w:numPr>
        <w:rPr>
          <w:rFonts w:hAnsi="黑体" w:cs="宋体"/>
          <w:sz w:val="24"/>
          <w:szCs w:val="24"/>
        </w:rPr>
      </w:pPr>
      <w:r>
        <w:rPr>
          <w:rFonts w:hint="eastAsia" w:hAnsi="黑体" w:cs="宋体"/>
          <w:sz w:val="24"/>
          <w:szCs w:val="24"/>
        </w:rPr>
        <w:t>六、公告期限</w:t>
      </w:r>
      <w:bookmarkEnd w:id="21"/>
      <w:bookmarkEnd w:id="22"/>
      <w:bookmarkEnd w:id="23"/>
      <w:bookmarkEnd w:id="24"/>
    </w:p>
    <w:p>
      <w:pPr>
        <w:spacing w:line="360" w:lineRule="auto"/>
        <w:ind w:firstLine="480" w:firstLineChars="200"/>
        <w:rPr>
          <w:rFonts w:ascii="仿宋_GB2312" w:hAnsi="仿宋" w:eastAsia="仿宋_GB2312" w:cs="宋体"/>
          <w:kern w:val="0"/>
          <w:sz w:val="24"/>
        </w:rPr>
      </w:pPr>
      <w:r>
        <w:rPr>
          <w:rFonts w:hint="eastAsia" w:ascii="仿宋_GB2312" w:hAnsi="仿宋" w:eastAsia="仿宋_GB2312" w:cs="宋体"/>
          <w:kern w:val="0"/>
          <w:sz w:val="24"/>
        </w:rPr>
        <w:t>自本公告发布之日起3个工作日。</w:t>
      </w:r>
    </w:p>
    <w:p>
      <w:pPr>
        <w:pStyle w:val="8"/>
        <w:numPr>
          <w:ilvl w:val="0"/>
          <w:numId w:val="0"/>
        </w:numPr>
        <w:ind w:left="432" w:hanging="432"/>
        <w:rPr>
          <w:rFonts w:hAnsi="黑体" w:cs="宋体"/>
          <w:sz w:val="24"/>
          <w:szCs w:val="24"/>
        </w:rPr>
      </w:pPr>
      <w:bookmarkStart w:id="25" w:name="_Toc35393635"/>
      <w:bookmarkStart w:id="26" w:name="_Toc35393804"/>
      <w:r>
        <w:rPr>
          <w:rFonts w:hint="eastAsia" w:hAnsi="黑体" w:cs="宋体"/>
          <w:sz w:val="24"/>
          <w:szCs w:val="24"/>
        </w:rPr>
        <w:t>七、其他补充事宜</w:t>
      </w:r>
      <w:bookmarkEnd w:id="25"/>
      <w:bookmarkEnd w:id="26"/>
    </w:p>
    <w:p>
      <w:pPr>
        <w:spacing w:line="360" w:lineRule="auto"/>
        <w:ind w:firstLine="480" w:firstLineChars="200"/>
        <w:rPr>
          <w:rFonts w:ascii="仿宋_GB2312" w:hAnsi="仿宋_GB2312" w:eastAsia="仿宋_GB2312" w:cs="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w:t>
      </w:r>
      <w:r>
        <w:rPr>
          <w:rFonts w:hint="eastAsia" w:ascii="仿宋_GB2312" w:hAnsi="仿宋_GB2312" w:eastAsia="仿宋_GB2312" w:cs="仿宋_GB2312"/>
          <w:sz w:val="24"/>
        </w:rPr>
        <w:t>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2. 需要落实的政府采购政策：</w:t>
      </w:r>
      <w:r>
        <w:rPr>
          <w:rFonts w:hint="eastAsia" w:ascii="仿宋_GB2312" w:hAnsi="仿宋_GB2312" w:eastAsia="仿宋_GB2312" w:cs="仿宋_GB2312"/>
          <w:kern w:val="0"/>
          <w:sz w:val="24"/>
        </w:rPr>
        <w:t>包括保护环境、节约能源、促进中小企业发展等，详见磋商文件第三部分。</w:t>
      </w:r>
      <w:r>
        <w:rPr>
          <w:rFonts w:hint="eastAsia" w:ascii="仿宋_GB2312" w:hAnsi="仿宋_GB2312" w:eastAsia="仿宋_GB2312" w:cs="仿宋_GB2312"/>
          <w:snapToGrid w:val="0"/>
          <w:color w:val="000000" w:themeColor="text1"/>
          <w:sz w:val="24"/>
          <w:szCs w:val="21"/>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ind w:firstLine="354" w:firstLineChars="147"/>
        <w:rPr>
          <w:rFonts w:ascii="仿宋_GB2312" w:hAnsi="仿宋_GB2312" w:eastAsia="仿宋_GB2312" w:cs="仿宋_GB2312"/>
          <w:b/>
          <w:sz w:val="24"/>
        </w:rPr>
      </w:pPr>
      <w:r>
        <w:rPr>
          <w:rFonts w:hint="eastAsia" w:ascii="仿宋_GB2312" w:hAnsi="仿宋_GB2312" w:eastAsia="仿宋_GB2312" w:cs="仿宋_GB2312"/>
          <w:b/>
          <w:kern w:val="0"/>
          <w:sz w:val="24"/>
        </w:rPr>
        <w:t>3</w:t>
      </w:r>
      <w:r>
        <w:rPr>
          <w:rFonts w:hint="eastAsia" w:ascii="仿宋_GB2312" w:hAnsi="仿宋_GB2312" w:eastAsia="仿宋_GB2312" w:cs="仿宋_GB2312"/>
          <w:b/>
          <w:sz w:val="24"/>
        </w:rPr>
        <w:t xml:space="preserve">.电子交易的说明: </w:t>
      </w:r>
    </w:p>
    <w:p>
      <w:pPr>
        <w:spacing w:line="360" w:lineRule="auto"/>
        <w:ind w:firstLine="354" w:firstLineChars="147"/>
        <w:rPr>
          <w:rFonts w:ascii="仿宋_GB2312" w:hAnsi="仿宋_GB2312" w:eastAsia="仿宋_GB2312" w:cs="仿宋_GB2312"/>
          <w:sz w:val="24"/>
        </w:rPr>
      </w:pPr>
      <w:r>
        <w:rPr>
          <w:rFonts w:hint="eastAsia" w:ascii="仿宋_GB2312" w:hAnsi="仿宋_GB2312" w:eastAsia="仿宋_GB2312" w:cs="仿宋_GB2312"/>
          <w:b/>
          <w:sz w:val="24"/>
        </w:rPr>
        <w:t>（1）电子交易：</w:t>
      </w:r>
      <w:r>
        <w:rPr>
          <w:rFonts w:hint="eastAsia" w:ascii="仿宋_GB2312" w:hAnsi="仿宋_GB2312" w:eastAsia="仿宋_GB2312" w:cs="仿宋_GB2312"/>
          <w:sz w:val="24"/>
        </w:rPr>
        <w:t>本项目以数据电文形式，依托“政府采购云平台（www.zcygov.cn）”进行采购活动，不接受纸质响应文件。</w:t>
      </w:r>
    </w:p>
    <w:p>
      <w:pPr>
        <w:spacing w:line="360" w:lineRule="auto"/>
        <w:ind w:firstLine="354" w:firstLineChars="147"/>
        <w:rPr>
          <w:rFonts w:ascii="仿宋_GB2312" w:hAnsi="仿宋_GB2312" w:eastAsia="仿宋_GB2312" w:cs="仿宋_GB2312"/>
          <w:sz w:val="24"/>
        </w:rPr>
      </w:pPr>
      <w:r>
        <w:rPr>
          <w:rFonts w:hint="eastAsia" w:ascii="仿宋_GB2312" w:hAnsi="仿宋_GB2312" w:eastAsia="仿宋_GB2312" w:cs="仿宋_GB2312"/>
          <w:b/>
          <w:sz w:val="24"/>
        </w:rPr>
        <w:t>（2）响应准备：</w:t>
      </w:r>
      <w:r>
        <w:rPr>
          <w:rFonts w:hint="eastAsia" w:ascii="仿宋_GB2312" w:hAnsi="仿宋_GB2312" w:eastAsia="仿宋_GB2312"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354" w:firstLineChars="147"/>
        <w:rPr>
          <w:rFonts w:ascii="仿宋_GB2312" w:hAnsi="仿宋_GB2312" w:eastAsia="仿宋_GB2312" w:cs="仿宋_GB2312"/>
          <w:sz w:val="24"/>
        </w:rPr>
      </w:pPr>
      <w:r>
        <w:rPr>
          <w:rFonts w:hint="eastAsia" w:ascii="仿宋_GB2312" w:hAnsi="仿宋_GB2312" w:eastAsia="仿宋_GB2312" w:cs="仿宋_GB2312"/>
          <w:b/>
          <w:sz w:val="24"/>
        </w:rPr>
        <w:t>（3）磋商文件的获取：</w:t>
      </w:r>
      <w:r>
        <w:rPr>
          <w:rFonts w:hint="eastAsia" w:ascii="仿宋_GB2312" w:hAnsi="仿宋_GB2312" w:eastAsia="仿宋_GB2312" w:cs="仿宋_GB2312"/>
          <w:sz w:val="24"/>
        </w:rPr>
        <w:t>使用账号登录或者使用CA登录政采云平台；进入“项目采购”应用，在获取采购文件菜单中选择项目，获取磋商文件。</w:t>
      </w:r>
    </w:p>
    <w:p>
      <w:pPr>
        <w:spacing w:line="360" w:lineRule="auto"/>
        <w:ind w:firstLine="354" w:firstLineChars="147"/>
        <w:rPr>
          <w:rFonts w:ascii="仿宋_GB2312" w:hAnsi="仿宋_GB2312" w:eastAsia="仿宋_GB2312" w:cs="仿宋_GB2312"/>
          <w:sz w:val="24"/>
        </w:rPr>
      </w:pPr>
      <w:r>
        <w:rPr>
          <w:rFonts w:hint="eastAsia" w:ascii="仿宋_GB2312" w:hAnsi="仿宋_GB2312" w:eastAsia="仿宋_GB2312" w:cs="仿宋_GB2312"/>
          <w:b/>
          <w:sz w:val="24"/>
        </w:rPr>
        <w:t>（4）响应文件的制作：</w:t>
      </w:r>
      <w:r>
        <w:rPr>
          <w:rFonts w:hint="eastAsia" w:ascii="仿宋_GB2312" w:hAnsi="仿宋_GB2312" w:eastAsia="仿宋_GB2312" w:cs="仿宋_GB2312"/>
          <w:sz w:val="24"/>
        </w:rPr>
        <w:t>在“政采云电子交易客户端”中完成“填写基本信息”、“导入投标文件”、“标书关联”、“标书检查”、“电子签名”、“生成电子标书”等操作。</w:t>
      </w:r>
    </w:p>
    <w:p>
      <w:pPr>
        <w:pStyle w:val="13"/>
        <w:spacing w:line="360" w:lineRule="auto"/>
        <w:ind w:firstLine="354" w:firstLineChars="147"/>
        <w:rPr>
          <w:rFonts w:ascii="仿宋_GB2312" w:hAnsi="仿宋_GB2312" w:eastAsia="仿宋_GB2312" w:cs="仿宋_GB2312"/>
          <w:sz w:val="24"/>
          <w:szCs w:val="24"/>
        </w:rPr>
      </w:pPr>
      <w:r>
        <w:rPr>
          <w:rFonts w:hint="eastAsia" w:ascii="仿宋_GB2312" w:hAnsi="仿宋_GB2312" w:eastAsia="仿宋_GB2312" w:cs="仿宋_GB2312"/>
          <w:b/>
          <w:sz w:val="24"/>
          <w:szCs w:val="24"/>
        </w:rPr>
        <w:t>（5）响应文件的传输递交：</w:t>
      </w:r>
      <w:r>
        <w:rPr>
          <w:rFonts w:hint="eastAsia" w:ascii="仿宋_GB2312" w:hAnsi="仿宋_GB2312" w:eastAsia="仿宋_GB2312" w:cs="仿宋_GB2312"/>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pPr>
        <w:spacing w:line="360" w:lineRule="auto"/>
        <w:ind w:firstLine="354" w:firstLineChars="147"/>
        <w:rPr>
          <w:rFonts w:ascii="仿宋_GB2312" w:hAnsi="仿宋_GB2312" w:eastAsia="仿宋_GB2312" w:cs="仿宋_GB2312"/>
          <w:sz w:val="24"/>
        </w:rPr>
      </w:pPr>
      <w:r>
        <w:rPr>
          <w:rFonts w:hint="eastAsia" w:ascii="仿宋_GB2312" w:hAnsi="仿宋_GB2312" w:eastAsia="仿宋_GB2312" w:cs="仿宋_GB2312"/>
          <w:b/>
          <w:sz w:val="24"/>
        </w:rPr>
        <w:t>（6）响应文件的解密：</w:t>
      </w:r>
      <w:r>
        <w:rPr>
          <w:rFonts w:hint="eastAsia" w:ascii="仿宋_GB2312" w:hAnsi="仿宋_GB2312" w:eastAsia="仿宋_GB2312"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354" w:firstLineChars="147"/>
        <w:rPr>
          <w:rFonts w:ascii="仿宋_GB2312" w:hAnsi="仿宋_GB2312" w:eastAsia="仿宋_GB2312" w:cs="仿宋_GB2312"/>
          <w:sz w:val="24"/>
        </w:rPr>
      </w:pPr>
      <w:r>
        <w:rPr>
          <w:rFonts w:hint="eastAsia" w:ascii="仿宋_GB2312" w:hAnsi="仿宋_GB2312" w:eastAsia="仿宋_GB2312" w:cs="仿宋_GB2312"/>
          <w:b/>
          <w:sz w:val="24"/>
        </w:rPr>
        <w:t>（7）具体操作指南</w:t>
      </w:r>
      <w:r>
        <w:rPr>
          <w:rFonts w:hint="eastAsia" w:ascii="仿宋_GB2312" w:hAnsi="仿宋_GB2312" w:eastAsia="仿宋_GB2312" w:cs="仿宋_GB2312"/>
          <w:sz w:val="24"/>
        </w:rPr>
        <w:t>：详见政采云平台“服务中心-帮助文档-项目采购-操作流程-电子招投标-政府采购项目电子交易管理操作指南-供应商”。</w:t>
      </w:r>
    </w:p>
    <w:p>
      <w:pPr>
        <w:spacing w:line="360" w:lineRule="auto"/>
        <w:ind w:firstLine="354" w:firstLineChars="147"/>
        <w:rPr>
          <w:rFonts w:ascii="仿宋_GB2312" w:hAnsi="仿宋_GB2312" w:eastAsia="仿宋_GB2312" w:cs="仿宋_GB2312"/>
          <w:sz w:val="24"/>
        </w:rPr>
      </w:pPr>
      <w:r>
        <w:rPr>
          <w:rFonts w:hint="eastAsia" w:ascii="仿宋_GB2312" w:hAnsi="仿宋_GB2312" w:eastAsia="仿宋_GB2312" w:cs="仿宋_GB2312"/>
          <w:b/>
          <w:sz w:val="24"/>
        </w:rPr>
        <w:t>（8）政府采购云平台技术咨询电话</w:t>
      </w:r>
      <w:r>
        <w:rPr>
          <w:rFonts w:hint="eastAsia" w:ascii="仿宋_GB2312" w:hAnsi="仿宋_GB2312" w:eastAsia="仿宋_GB2312" w:cs="仿宋_GB2312"/>
          <w:sz w:val="24"/>
        </w:rPr>
        <w:t>：400-881-7190。</w:t>
      </w:r>
    </w:p>
    <w:p>
      <w:pPr>
        <w:pStyle w:val="8"/>
        <w:numPr>
          <w:ilvl w:val="0"/>
          <w:numId w:val="0"/>
        </w:numPr>
        <w:rPr>
          <w:rFonts w:hAnsi="黑体" w:cs="宋体"/>
          <w:sz w:val="24"/>
          <w:szCs w:val="24"/>
        </w:rPr>
      </w:pPr>
      <w:bookmarkStart w:id="27" w:name="_Toc35393805"/>
      <w:bookmarkStart w:id="28" w:name="_Toc28359018"/>
      <w:bookmarkStart w:id="29" w:name="_Toc28359095"/>
      <w:bookmarkStart w:id="30" w:name="_Toc35393636"/>
      <w:r>
        <w:rPr>
          <w:rFonts w:hint="eastAsia" w:hAnsi="黑体" w:cs="宋体"/>
          <w:sz w:val="24"/>
          <w:szCs w:val="24"/>
        </w:rPr>
        <w:t>八、凡对本次采购提出询问，请按以下方式联系。</w:t>
      </w:r>
      <w:bookmarkEnd w:id="27"/>
      <w:bookmarkEnd w:id="28"/>
      <w:bookmarkEnd w:id="29"/>
      <w:bookmarkEnd w:id="30"/>
    </w:p>
    <w:p>
      <w:pPr>
        <w:pStyle w:val="8"/>
        <w:numPr>
          <w:ilvl w:val="0"/>
          <w:numId w:val="0"/>
        </w:numPr>
        <w:ind w:left="432" w:hanging="432"/>
        <w:rPr>
          <w:rFonts w:cs="宋体"/>
          <w:sz w:val="24"/>
          <w:szCs w:val="24"/>
        </w:rPr>
      </w:pPr>
      <w:bookmarkStart w:id="31" w:name="_Toc35393806"/>
      <w:bookmarkStart w:id="32" w:name="_Toc28359096"/>
      <w:bookmarkStart w:id="33" w:name="_Toc35393637"/>
      <w:bookmarkStart w:id="34" w:name="_Toc28359019"/>
      <w:r>
        <w:rPr>
          <w:rFonts w:hint="eastAsia" w:cs="宋体"/>
          <w:sz w:val="24"/>
          <w:szCs w:val="24"/>
        </w:rPr>
        <w:t>1.采购人信息</w:t>
      </w:r>
      <w:bookmarkEnd w:id="31"/>
      <w:bookmarkEnd w:id="32"/>
      <w:bookmarkEnd w:id="33"/>
      <w:bookmarkEnd w:id="34"/>
      <w:r>
        <w:rPr>
          <w:rFonts w:hint="eastAsia" w:cs="宋体"/>
          <w:sz w:val="24"/>
          <w:szCs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名    称：浙江清凉峰国家级自然保护区管理局 </w:t>
      </w:r>
    </w:p>
    <w:p>
      <w:pPr>
        <w:spacing w:line="360" w:lineRule="auto"/>
        <w:ind w:firstLine="480"/>
        <w:rPr>
          <w:rFonts w:ascii="仿宋_GB2312" w:hAnsi="仿宋" w:eastAsia="仿宋_GB2312"/>
          <w:sz w:val="24"/>
        </w:rPr>
      </w:pPr>
      <w:r>
        <w:rPr>
          <w:rFonts w:hint="eastAsia" w:ascii="仿宋_GB2312" w:hAnsi="仿宋" w:eastAsia="仿宋_GB2312"/>
          <w:sz w:val="24"/>
        </w:rPr>
        <w:t xml:space="preserve">地    址：浙江省杭州市临安区昌化镇唐昌街710号  </w:t>
      </w:r>
    </w:p>
    <w:p>
      <w:pPr>
        <w:spacing w:line="360" w:lineRule="auto"/>
        <w:ind w:firstLine="480"/>
        <w:rPr>
          <w:rFonts w:ascii="仿宋_GB2312" w:hAnsi="仿宋" w:eastAsia="仿宋_GB2312"/>
          <w:sz w:val="24"/>
        </w:rPr>
      </w:pPr>
      <w:r>
        <w:rPr>
          <w:rFonts w:hint="eastAsia" w:ascii="仿宋_GB2312" w:hAnsi="仿宋" w:eastAsia="仿宋_GB2312"/>
          <w:sz w:val="24"/>
        </w:rPr>
        <w:t>传    真：/</w:t>
      </w:r>
    </w:p>
    <w:p>
      <w:pPr>
        <w:spacing w:line="360" w:lineRule="auto"/>
        <w:ind w:firstLine="480"/>
        <w:rPr>
          <w:rFonts w:hint="eastAsia" w:ascii="仿宋_GB2312" w:hAnsi="仿宋" w:eastAsia="仿宋_GB2312"/>
          <w:sz w:val="24"/>
          <w:highlight w:val="none"/>
          <w:lang w:eastAsia="zh-CN"/>
        </w:rPr>
      </w:pPr>
      <w:r>
        <w:rPr>
          <w:rFonts w:hint="eastAsia" w:ascii="仿宋_GB2312" w:hAnsi="仿宋" w:eastAsia="仿宋_GB2312"/>
          <w:sz w:val="24"/>
          <w:highlight w:val="none"/>
        </w:rPr>
        <w:t>项目联系人（询问）：程樟</w:t>
      </w:r>
      <w:r>
        <w:rPr>
          <w:rFonts w:hint="eastAsia" w:ascii="仿宋_GB2312" w:hAnsi="仿宋" w:eastAsia="仿宋_GB2312"/>
          <w:sz w:val="24"/>
          <w:highlight w:val="none"/>
          <w:lang w:val="en-US" w:eastAsia="zh-CN"/>
        </w:rPr>
        <w:t>峰</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项目联系方式（询问）：</w:t>
      </w:r>
      <w:r>
        <w:rPr>
          <w:rFonts w:hint="eastAsia" w:ascii="仿宋_GB2312" w:hAnsi="仿宋" w:eastAsia="仿宋_GB2312"/>
          <w:sz w:val="24"/>
          <w:highlight w:val="none"/>
          <w:lang w:val="en-US" w:eastAsia="zh-CN"/>
        </w:rPr>
        <w:t>0571-</w:t>
      </w:r>
      <w:r>
        <w:rPr>
          <w:rFonts w:ascii="仿宋_GB2312" w:hAnsi="仿宋" w:eastAsia="仿宋_GB2312"/>
          <w:sz w:val="24"/>
          <w:highlight w:val="none"/>
        </w:rPr>
        <w:t>63663193</w:t>
      </w:r>
    </w:p>
    <w:p>
      <w:pPr>
        <w:spacing w:line="360" w:lineRule="auto"/>
        <w:rPr>
          <w:rFonts w:hint="default" w:ascii="仿宋_GB2312" w:hAnsi="仿宋" w:eastAsia="仿宋_GB2312"/>
          <w:sz w:val="24"/>
          <w:highlight w:val="none"/>
          <w:lang w:val="en-US" w:eastAsia="zh-CN"/>
        </w:rPr>
      </w:pPr>
      <w:r>
        <w:rPr>
          <w:rFonts w:hint="eastAsia"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郭瑞</w:t>
      </w:r>
    </w:p>
    <w:p>
      <w:pPr>
        <w:spacing w:line="360" w:lineRule="auto"/>
        <w:rPr>
          <w:rFonts w:hint="default" w:ascii="仿宋_GB2312" w:hAnsi="仿宋" w:eastAsia="仿宋_GB2312"/>
          <w:sz w:val="24"/>
          <w:highlight w:val="yellow"/>
          <w:lang w:val="en-US" w:eastAsia="zh-CN"/>
        </w:rPr>
      </w:pPr>
      <w:r>
        <w:rPr>
          <w:rFonts w:hint="eastAsia"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0571-63664258</w:t>
      </w:r>
    </w:p>
    <w:p>
      <w:pPr>
        <w:pStyle w:val="8"/>
        <w:numPr>
          <w:ilvl w:val="0"/>
          <w:numId w:val="0"/>
        </w:numPr>
        <w:ind w:left="432" w:hanging="432"/>
        <w:rPr>
          <w:rFonts w:cs="宋体"/>
          <w:sz w:val="24"/>
          <w:szCs w:val="24"/>
        </w:rPr>
      </w:pPr>
      <w:bookmarkStart w:id="35" w:name="_Toc28359020"/>
      <w:bookmarkStart w:id="36" w:name="_Toc35393638"/>
      <w:bookmarkStart w:id="37" w:name="_Toc35393807"/>
      <w:bookmarkStart w:id="38" w:name="_Toc28359097"/>
      <w:r>
        <w:rPr>
          <w:rFonts w:hint="eastAsia" w:cs="宋体"/>
          <w:sz w:val="24"/>
          <w:szCs w:val="24"/>
        </w:rPr>
        <w:t>2.采购代理机构信息</w:t>
      </w:r>
      <w:bookmarkEnd w:id="35"/>
      <w:bookmarkEnd w:id="36"/>
      <w:bookmarkEnd w:id="37"/>
      <w:bookmarkEnd w:id="38"/>
      <w:r>
        <w:rPr>
          <w:rFonts w:hint="eastAsia" w:cs="宋体"/>
          <w:sz w:val="24"/>
          <w:szCs w:val="24"/>
        </w:rPr>
        <w:t>：</w:t>
      </w:r>
    </w:p>
    <w:p>
      <w:pPr>
        <w:spacing w:line="360" w:lineRule="auto"/>
        <w:ind w:firstLine="480" w:firstLineChars="200"/>
        <w:rPr>
          <w:rFonts w:ascii="仿宋_GB2312" w:hAnsi="仿宋" w:eastAsia="仿宋_GB2312"/>
          <w:sz w:val="24"/>
        </w:rPr>
      </w:pPr>
      <w:bookmarkStart w:id="39" w:name="_Toc28359098"/>
      <w:bookmarkStart w:id="40" w:name="_Toc35393639"/>
      <w:bookmarkStart w:id="41" w:name="_Toc35393808"/>
      <w:bookmarkStart w:id="42" w:name="_Toc28359021"/>
      <w:r>
        <w:rPr>
          <w:rFonts w:hint="eastAsia" w:ascii="仿宋_GB2312" w:hAnsi="仿宋" w:eastAsia="仿宋_GB2312"/>
          <w:sz w:val="24"/>
        </w:rPr>
        <w:t>名称：杭州建设工程造价咨询有限公司</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地址：杭州市临安区锦北街道马溪路667号1号楼2楼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传真：/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项目联系人（询问）：马丽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项目联系方式（询问）：0571-61091202</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质疑联系人：陈浩伟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质疑联系方式：0571-63806616</w:t>
      </w:r>
    </w:p>
    <w:p>
      <w:pPr>
        <w:spacing w:line="360" w:lineRule="auto"/>
        <w:rPr>
          <w:rFonts w:ascii="仿宋_GB2312" w:hAnsi="仿宋" w:eastAsia="仿宋_GB2312"/>
          <w:b/>
          <w:sz w:val="24"/>
        </w:rPr>
      </w:pPr>
      <w:r>
        <w:rPr>
          <w:rFonts w:hint="eastAsia" w:ascii="仿宋_GB2312" w:eastAsia="仿宋_GB2312" w:cs="宋体"/>
          <w:b/>
          <w:bCs/>
          <w:sz w:val="24"/>
        </w:rPr>
        <w:t>3.</w:t>
      </w:r>
      <w:r>
        <w:rPr>
          <w:rFonts w:hint="eastAsia" w:ascii="仿宋_GB2312" w:hAnsi="仿宋" w:eastAsia="仿宋_GB2312"/>
          <w:b/>
          <w:sz w:val="24"/>
        </w:rPr>
        <w:t xml:space="preserve"> 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称：杭州市临安区财政局政府采购监督管理科 </w:t>
      </w:r>
    </w:p>
    <w:p>
      <w:pPr>
        <w:spacing w:line="360" w:lineRule="auto"/>
        <w:rPr>
          <w:rFonts w:ascii="仿宋_GB2312" w:hAnsi="仿宋" w:eastAsia="仿宋_GB2312"/>
          <w:sz w:val="24"/>
        </w:rPr>
      </w:pPr>
      <w:r>
        <w:rPr>
          <w:rFonts w:hint="eastAsia" w:ascii="仿宋_GB2312" w:hAnsi="仿宋" w:eastAsia="仿宋_GB2312"/>
          <w:sz w:val="24"/>
        </w:rPr>
        <w:t xml:space="preserve">    地    址：浙江省杭州市临安区锦北街道科技大道4398号4号楼11楼 </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传    真：0571-63722886 </w:t>
      </w:r>
    </w:p>
    <w:p>
      <w:pPr>
        <w:spacing w:line="360" w:lineRule="auto"/>
        <w:rPr>
          <w:rFonts w:ascii="仿宋_GB2312" w:hAnsi="仿宋" w:eastAsia="仿宋_GB2312"/>
          <w:sz w:val="24"/>
        </w:rPr>
      </w:pPr>
      <w:r>
        <w:rPr>
          <w:rFonts w:hint="eastAsia" w:ascii="仿宋_GB2312" w:hAnsi="仿宋" w:eastAsia="仿宋_GB2312"/>
          <w:sz w:val="24"/>
        </w:rPr>
        <w:t xml:space="preserve">    联系人 ：喻伟建 </w:t>
      </w:r>
    </w:p>
    <w:p>
      <w:pPr>
        <w:pStyle w:val="8"/>
        <w:numPr>
          <w:ilvl w:val="0"/>
          <w:numId w:val="0"/>
        </w:numPr>
        <w:ind w:left="432" w:hanging="432"/>
        <w:rPr>
          <w:rFonts w:hAnsi="仿宋_GB2312" w:cs="仿宋_GB2312"/>
          <w:b w:val="0"/>
          <w:sz w:val="24"/>
          <w:u w:val="single"/>
        </w:rPr>
      </w:pPr>
      <w:r>
        <w:rPr>
          <w:rFonts w:hint="eastAsia"/>
          <w:sz w:val="24"/>
        </w:rPr>
        <w:t xml:space="preserve">    </w:t>
      </w:r>
      <w:r>
        <w:rPr>
          <w:rFonts w:hint="eastAsia"/>
          <w:b w:val="0"/>
          <w:bCs w:val="0"/>
          <w:sz w:val="24"/>
          <w:szCs w:val="24"/>
          <w:lang w:val="en-US"/>
        </w:rPr>
        <w:t xml:space="preserve">监督投诉电话：0571-61073953 </w:t>
      </w:r>
    </w:p>
    <w:bookmarkEnd w:id="39"/>
    <w:bookmarkEnd w:id="40"/>
    <w:bookmarkEnd w:id="41"/>
    <w:bookmarkEnd w:id="42"/>
    <w:p>
      <w:pPr>
        <w:spacing w:line="360" w:lineRule="auto"/>
        <w:ind w:firstLine="440" w:firstLineChars="200"/>
        <w:rPr>
          <w:rFonts w:ascii="仿宋_GB2312" w:hAnsi="仿宋" w:eastAsia="仿宋_GB2312"/>
          <w:sz w:val="22"/>
          <w:szCs w:val="22"/>
        </w:rPr>
      </w:pPr>
      <w:r>
        <w:rPr>
          <w:rFonts w:hint="eastAsia" w:ascii="仿宋_GB2312" w:hAnsi="仿宋" w:eastAsia="仿宋_GB2312"/>
          <w:sz w:val="22"/>
          <w:szCs w:val="22"/>
        </w:rPr>
        <w:t>若对项目采购电子交易系统操作有疑问，可登录政采云（</w:t>
      </w:r>
      <w:r>
        <w:rPr>
          <w:rFonts w:ascii="仿宋_GB2312" w:hAnsi="仿宋" w:eastAsia="仿宋_GB2312"/>
          <w:sz w:val="22"/>
          <w:szCs w:val="22"/>
        </w:rPr>
        <w:t>https://www.zcygov.cn/），点击右侧咨询小采，获取采小蜜智能服务管家帮助，或拨打政</w:t>
      </w:r>
      <w:r>
        <w:rPr>
          <w:rFonts w:hint="eastAsia" w:ascii="仿宋_GB2312" w:hAnsi="仿宋" w:eastAsia="仿宋_GB2312"/>
          <w:sz w:val="22"/>
          <w:szCs w:val="22"/>
        </w:rPr>
        <w:t>采云服务热线</w:t>
      </w:r>
      <w:r>
        <w:rPr>
          <w:rFonts w:ascii="仿宋_GB2312" w:hAnsi="仿宋" w:eastAsia="仿宋_GB2312"/>
          <w:sz w:val="22"/>
          <w:szCs w:val="22"/>
        </w:rPr>
        <w:t>400-881-7190获取热线服务帮助。</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p>
    <w:p>
      <w:pPr>
        <w:spacing w:line="360" w:lineRule="auto"/>
        <w:ind w:firstLine="440" w:firstLineChars="200"/>
        <w:rPr>
          <w:rFonts w:ascii="仿宋_GB2312" w:hAnsi="仿宋" w:eastAsia="仿宋_GB2312"/>
          <w:sz w:val="22"/>
          <w:szCs w:val="22"/>
        </w:rPr>
      </w:pPr>
    </w:p>
    <w:p>
      <w:pPr>
        <w:spacing w:line="360" w:lineRule="auto"/>
        <w:ind w:firstLine="440" w:firstLineChars="200"/>
        <w:rPr>
          <w:rFonts w:ascii="仿宋_GB2312" w:hAnsi="仿宋" w:eastAsia="仿宋_GB2312"/>
          <w:sz w:val="24"/>
        </w:rPr>
      </w:pPr>
      <w:r>
        <w:rPr>
          <w:rFonts w:ascii="仿宋_GB2312" w:hAnsi="仿宋" w:eastAsia="仿宋_GB2312"/>
          <w:sz w:val="22"/>
          <w:szCs w:val="22"/>
        </w:rPr>
        <w:t>CA问题联系电话（人工）：</w:t>
      </w:r>
      <w:r>
        <w:rPr>
          <w:rFonts w:hint="eastAsia" w:ascii="仿宋_GB2312" w:hAnsi="仿宋" w:eastAsia="仿宋_GB2312"/>
          <w:sz w:val="22"/>
          <w:szCs w:val="22"/>
        </w:rPr>
        <w:t>汇信</w:t>
      </w:r>
      <w:r>
        <w:rPr>
          <w:rFonts w:ascii="仿宋_GB2312" w:hAnsi="仿宋" w:eastAsia="仿宋_GB2312"/>
          <w:sz w:val="22"/>
          <w:szCs w:val="22"/>
        </w:rPr>
        <w:t>CA 400-888-4636；天谷CA 400-087-8198。</w:t>
      </w:r>
    </w:p>
    <w:p>
      <w:pPr>
        <w:pStyle w:val="2"/>
        <w:ind w:firstLine="0"/>
        <w:rPr>
          <w:rFonts w:ascii="仿宋_GB2312" w:hAnsi="仿宋_GB2312" w:eastAsia="仿宋_GB2312" w:cs="仿宋_GB2312"/>
          <w:b/>
          <w:sz w:val="36"/>
        </w:rPr>
      </w:pPr>
    </w:p>
    <w:p>
      <w:pPr>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6"/>
          <w:szCs w:val="20"/>
        </w:rPr>
        <w:t>第二部分 竞争性磋商流程</w:t>
      </w:r>
    </w:p>
    <w:p>
      <w:pPr>
        <w:pStyle w:val="29"/>
        <w:spacing w:before="0"/>
        <w:ind w:firstLine="0" w:firstLineChars="0"/>
        <w:rPr>
          <w:rFonts w:ascii="仿宋_GB2312" w:hAnsi="仿宋_GB2312" w:eastAsia="仿宋_GB2312" w:cs="仿宋_GB2312"/>
          <w:b/>
        </w:rPr>
      </w:pPr>
      <w:r>
        <w:rPr>
          <w:rFonts w:hint="eastAsia" w:ascii="仿宋_GB2312" w:hAnsi="仿宋" w:eastAsia="仿宋_GB2312"/>
          <w:b/>
          <w:szCs w:val="24"/>
        </w:rPr>
        <w:t>1.征</w:t>
      </w:r>
      <w:r>
        <w:rPr>
          <w:rFonts w:hint="eastAsia" w:ascii="仿宋_GB2312" w:hAnsi="仿宋_GB2312" w:eastAsia="仿宋_GB2312" w:cs="仿宋_GB2312"/>
          <w:b/>
          <w:szCs w:val="24"/>
        </w:rPr>
        <w:t>集供应商</w:t>
      </w:r>
    </w:p>
    <w:p>
      <w:pPr>
        <w:pStyle w:val="29"/>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1.1邀请供应商：由采购人、采购机构在省级以上人民政府财政部门指定的政府采购信息发布媒体上发布磋商公告，邀请符合相应资格条件的供应商参与竞争性磋商采购活动。</w:t>
      </w:r>
    </w:p>
    <w:p>
      <w:pPr>
        <w:pStyle w:val="29"/>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1.2供应商获取磋商采购文件。</w:t>
      </w:r>
    </w:p>
    <w:p>
      <w:pPr>
        <w:pStyle w:val="29"/>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1.3组织现场考察或召开答疑会（如果有）。</w:t>
      </w:r>
    </w:p>
    <w:p>
      <w:pPr>
        <w:pStyle w:val="29"/>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1.4发布更正（延期）公告，澄清或修改磋商文件（如果有）。</w:t>
      </w:r>
    </w:p>
    <w:p>
      <w:pPr>
        <w:pStyle w:val="29"/>
        <w:spacing w:before="0"/>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1.5供应商按磋商文件要求编制响应文件。</w:t>
      </w:r>
    </w:p>
    <w:p>
      <w:pPr>
        <w:pStyle w:val="29"/>
        <w:spacing w:before="0"/>
        <w:ind w:firstLine="0" w:firstLineChars="0"/>
        <w:rPr>
          <w:rFonts w:ascii="仿宋_GB2312" w:hAnsi="仿宋_GB2312" w:eastAsia="仿宋_GB2312" w:cs="仿宋_GB2312"/>
          <w:b/>
        </w:rPr>
      </w:pPr>
      <w:r>
        <w:rPr>
          <w:rFonts w:hint="eastAsia" w:ascii="仿宋_GB2312" w:hAnsi="仿宋_GB2312" w:eastAsia="仿宋_GB2312" w:cs="仿宋_GB2312"/>
          <w:b/>
        </w:rPr>
        <w:t>2.开启响应文件与信用信息查询</w:t>
      </w:r>
    </w:p>
    <w:p>
      <w:pPr>
        <w:pStyle w:val="29"/>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2.1供应商依据“响应文件提交的截止时间与地点”通过政采云平台在线提交响应文件。供应商在提交响应文件截止时间前，可以补充、修改或撤回响应文件。</w:t>
      </w:r>
    </w:p>
    <w:p>
      <w:pPr>
        <w:pStyle w:val="29"/>
        <w:spacing w:before="0"/>
        <w:ind w:firstLine="480"/>
        <w:rPr>
          <w:rFonts w:ascii="仿宋_GB2312" w:hAnsi="仿宋" w:eastAsia="仿宋_GB2312"/>
          <w:szCs w:val="24"/>
        </w:rPr>
      </w:pPr>
      <w:r>
        <w:rPr>
          <w:rFonts w:hint="eastAsia" w:ascii="仿宋_GB2312" w:hAnsi="仿宋" w:eastAsia="仿宋_GB2312"/>
          <w:szCs w:val="24"/>
        </w:rPr>
        <w:t>2.2</w:t>
      </w:r>
      <w:r>
        <w:rPr>
          <w:rFonts w:hint="eastAsia" w:ascii="仿宋_GB2312" w:hAnsi="仿宋" w:eastAsia="仿宋_GB2312" w:cs="Arial"/>
          <w:kern w:val="0"/>
          <w:szCs w:val="24"/>
        </w:rPr>
        <w:t>采购机构将通过“信用中国”网站(</w:t>
      </w:r>
      <w:r>
        <w:fldChar w:fldCharType="begin"/>
      </w:r>
      <w:r>
        <w:instrText xml:space="preserve"> HYPERLINK "http://www.creditchina.gov.cn" </w:instrText>
      </w:r>
      <w:r>
        <w:fldChar w:fldCharType="separate"/>
      </w:r>
      <w:r>
        <w:rPr>
          <w:rStyle w:val="26"/>
          <w:rFonts w:hint="eastAsia" w:ascii="仿宋_GB2312" w:hAnsi="仿宋" w:eastAsia="仿宋_GB2312"/>
          <w:snapToGrid/>
          <w:color w:val="auto"/>
          <w:sz w:val="24"/>
          <w:szCs w:val="24"/>
        </w:rPr>
        <w:t>www.creditchina.gov.cn</w:t>
      </w:r>
      <w:r>
        <w:rPr>
          <w:rStyle w:val="26"/>
          <w:rFonts w:hint="eastAsia" w:ascii="仿宋_GB2312" w:hAnsi="仿宋" w:eastAsia="仿宋_GB2312"/>
          <w:snapToGrid/>
          <w:color w:val="auto"/>
          <w:sz w:val="24"/>
          <w:szCs w:val="24"/>
        </w:rPr>
        <w:fldChar w:fldCharType="end"/>
      </w:r>
      <w:r>
        <w:rPr>
          <w:rFonts w:hint="eastAsia" w:ascii="仿宋_GB2312" w:hAnsi="仿宋" w:eastAsia="仿宋_GB2312" w:cs="Arial"/>
          <w:kern w:val="0"/>
          <w:szCs w:val="24"/>
        </w:rPr>
        <w:t>)和中国政府采购网(www.ccgp.gov.cn)渠道查询供应商响应截止时间当日的信用记录。</w:t>
      </w:r>
    </w:p>
    <w:p>
      <w:pPr>
        <w:pStyle w:val="29"/>
        <w:spacing w:before="0"/>
        <w:ind w:firstLine="0" w:firstLineChars="0"/>
        <w:rPr>
          <w:rFonts w:ascii="仿宋_GB2312" w:hAnsi="仿宋" w:eastAsia="仿宋_GB2312"/>
          <w:b/>
        </w:rPr>
      </w:pPr>
      <w:r>
        <w:rPr>
          <w:rFonts w:hint="eastAsia" w:ascii="仿宋_GB2312" w:hAnsi="仿宋" w:eastAsia="仿宋_GB2312"/>
          <w:b/>
        </w:rPr>
        <w:t>3.磋商与评审</w:t>
      </w:r>
    </w:p>
    <w:p>
      <w:pPr>
        <w:pStyle w:val="29"/>
        <w:spacing w:before="0"/>
        <w:ind w:firstLine="480"/>
        <w:rPr>
          <w:rFonts w:ascii="仿宋_GB2312" w:hAnsi="仿宋" w:eastAsia="仿宋_GB2312"/>
          <w:szCs w:val="24"/>
        </w:rPr>
      </w:pPr>
      <w:r>
        <w:rPr>
          <w:rFonts w:hint="eastAsia" w:ascii="仿宋_GB2312" w:hAnsi="仿宋" w:eastAsia="仿宋_GB2312"/>
          <w:szCs w:val="24"/>
        </w:rPr>
        <w:t>3.1磋商小组签到。</w:t>
      </w:r>
    </w:p>
    <w:p>
      <w:pPr>
        <w:pStyle w:val="29"/>
        <w:spacing w:before="0"/>
        <w:ind w:firstLine="480"/>
        <w:rPr>
          <w:rFonts w:ascii="仿宋_GB2312" w:hAnsi="仿宋" w:eastAsia="仿宋_GB2312"/>
          <w:szCs w:val="24"/>
        </w:rPr>
      </w:pPr>
      <w:r>
        <w:rPr>
          <w:rFonts w:hint="eastAsia" w:ascii="仿宋_GB2312" w:hAnsi="仿宋" w:eastAsia="仿宋_GB2312"/>
          <w:szCs w:val="24"/>
        </w:rPr>
        <w:t>3.2采购机构宣布有关纪律以及磋商、评审工作程序。</w:t>
      </w:r>
    </w:p>
    <w:p>
      <w:pPr>
        <w:pStyle w:val="29"/>
        <w:spacing w:before="0"/>
        <w:ind w:firstLine="480"/>
        <w:rPr>
          <w:rFonts w:ascii="仿宋_GB2312" w:hAnsi="仿宋" w:eastAsia="仿宋_GB2312"/>
          <w:szCs w:val="24"/>
        </w:rPr>
      </w:pPr>
      <w:r>
        <w:rPr>
          <w:rFonts w:hint="eastAsia" w:ascii="仿宋_GB2312" w:hAnsi="仿宋" w:eastAsia="仿宋_GB2312"/>
          <w:szCs w:val="24"/>
        </w:rPr>
        <w:t>3.3磋商小组审查确认磋商文件。磋商文件内容违反国家有关强制性规定的，磋商小组应当停止评审并向采购机构说明情况。</w:t>
      </w:r>
    </w:p>
    <w:p>
      <w:pPr>
        <w:pStyle w:val="29"/>
        <w:spacing w:before="0"/>
        <w:ind w:firstLine="480"/>
        <w:rPr>
          <w:rFonts w:ascii="仿宋_GB2312" w:hAnsi="仿宋" w:eastAsia="仿宋_GB2312"/>
          <w:szCs w:val="24"/>
        </w:rPr>
      </w:pPr>
      <w:r>
        <w:rPr>
          <w:rFonts w:hint="eastAsia" w:ascii="仿宋_GB2312" w:hAnsi="仿宋" w:eastAsia="仿宋_GB2312"/>
          <w:szCs w:val="24"/>
        </w:rPr>
        <w:t>3.4采购人对供应商的资格进行审查。</w:t>
      </w:r>
    </w:p>
    <w:p>
      <w:pPr>
        <w:pStyle w:val="29"/>
        <w:spacing w:before="0"/>
        <w:ind w:firstLine="480"/>
        <w:rPr>
          <w:rFonts w:ascii="仿宋_GB2312" w:hAnsi="仿宋" w:eastAsia="仿宋_GB2312"/>
          <w:szCs w:val="24"/>
        </w:rPr>
      </w:pPr>
      <w:r>
        <w:rPr>
          <w:rFonts w:hint="eastAsia" w:ascii="仿宋_GB2312" w:hAnsi="仿宋" w:eastAsia="仿宋_GB2312"/>
          <w:szCs w:val="24"/>
        </w:rPr>
        <w:t>3.5磋商小组审查响应文件。</w:t>
      </w:r>
    </w:p>
    <w:p>
      <w:pPr>
        <w:pStyle w:val="29"/>
        <w:spacing w:before="0"/>
        <w:ind w:firstLine="480"/>
        <w:rPr>
          <w:rFonts w:ascii="仿宋_GB2312" w:hAnsi="仿宋" w:eastAsia="仿宋_GB2312"/>
          <w:szCs w:val="24"/>
        </w:rPr>
      </w:pPr>
      <w:r>
        <w:rPr>
          <w:rFonts w:hint="eastAsia" w:ascii="仿宋_GB2312" w:hAnsi="仿宋" w:eastAsia="仿宋_GB2312"/>
          <w:szCs w:val="24"/>
        </w:rPr>
        <w:t>3.6对于未实质性响应磋商文件的响应文件由磋商小组认定响应无效，并告知该供应商。</w:t>
      </w:r>
    </w:p>
    <w:p>
      <w:pPr>
        <w:pStyle w:val="29"/>
        <w:spacing w:before="0"/>
        <w:ind w:firstLine="480"/>
        <w:rPr>
          <w:rFonts w:ascii="仿宋_GB2312" w:hAnsi="仿宋" w:eastAsia="仿宋_GB2312"/>
          <w:szCs w:val="24"/>
        </w:rPr>
      </w:pPr>
      <w:r>
        <w:rPr>
          <w:rFonts w:hint="eastAsia" w:ascii="仿宋_GB2312" w:hAnsi="仿宋" w:eastAsia="仿宋_GB2312"/>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9"/>
        <w:spacing w:before="0"/>
        <w:ind w:firstLine="480"/>
        <w:rPr>
          <w:rFonts w:ascii="仿宋_GB2312" w:hAnsi="仿宋" w:eastAsia="仿宋_GB2312"/>
          <w:szCs w:val="24"/>
        </w:rPr>
      </w:pPr>
      <w:r>
        <w:rPr>
          <w:rFonts w:hint="eastAsia" w:ascii="仿宋_GB2312" w:hAnsi="仿宋_GB2312" w:eastAsia="仿宋_GB2312" w:cs="仿宋_GB2312"/>
          <w:szCs w:val="24"/>
        </w:rPr>
        <w:t>3.8磋商小组与符合要求的供应商进行磋商。磋商小组所有成员按照响应文件解密次序集中与单一供应商分别进行磋商，并给予所有参加磋商的供应商平等的磋商机会。</w:t>
      </w:r>
      <w:r>
        <w:rPr>
          <w:rFonts w:hint="eastAsia" w:ascii="仿宋" w:hAnsi="仿宋" w:eastAsia="仿宋"/>
          <w:szCs w:val="24"/>
        </w:rPr>
        <w:t>磋</w:t>
      </w:r>
      <w:r>
        <w:rPr>
          <w:rFonts w:hint="eastAsia" w:ascii="仿宋_GB2312" w:hAnsi="仿宋" w:eastAsia="仿宋_GB2312"/>
          <w:szCs w:val="24"/>
        </w:rPr>
        <w:t>商过程中，磋商小组可以根据磋商情况调整轮次。如竞争性磋商文件所列采购内容明确不需要修改的或供应商磋商响应文件清楚明确不需要澄清的，可以不进行磋商，直接要求供应商进行最后报价。</w:t>
      </w:r>
    </w:p>
    <w:p>
      <w:pPr>
        <w:pStyle w:val="29"/>
        <w:spacing w:before="0"/>
        <w:ind w:firstLine="480"/>
        <w:rPr>
          <w:rFonts w:ascii="仿宋_GB2312" w:hAnsi="仿宋" w:eastAsia="仿宋_GB2312"/>
          <w:szCs w:val="24"/>
        </w:rPr>
      </w:pPr>
      <w:r>
        <w:rPr>
          <w:rFonts w:hint="eastAsia" w:ascii="仿宋_GB2312" w:hAnsi="仿宋" w:eastAsia="仿宋_GB2312"/>
          <w:szCs w:val="24"/>
        </w:rPr>
        <w:t>3.9经磋商确定磋商文件的变动情况。对磋商文件作出的实质性变动是磋商文件的有效组成部分，磋商小组应当及时以书面形式同时通知所有参加磋商的供应商。</w:t>
      </w:r>
    </w:p>
    <w:p>
      <w:pPr>
        <w:pStyle w:val="29"/>
        <w:spacing w:before="0"/>
        <w:ind w:firstLine="480"/>
        <w:rPr>
          <w:rFonts w:ascii="仿宋_GB2312" w:hAnsi="仿宋" w:eastAsia="仿宋_GB2312"/>
          <w:szCs w:val="24"/>
        </w:rPr>
      </w:pPr>
      <w:r>
        <w:rPr>
          <w:rFonts w:hint="eastAsia" w:ascii="仿宋_GB2312" w:hAnsi="仿宋" w:eastAsia="仿宋_GB2312"/>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9"/>
        <w:spacing w:before="0"/>
        <w:ind w:firstLine="480"/>
        <w:rPr>
          <w:rFonts w:ascii="仿宋_GB2312" w:hAnsi="仿宋" w:eastAsia="仿宋_GB2312"/>
          <w:szCs w:val="24"/>
        </w:rPr>
      </w:pPr>
      <w:r>
        <w:rPr>
          <w:rFonts w:hint="eastAsia" w:ascii="仿宋_GB2312" w:hAnsi="仿宋" w:eastAsia="仿宋_GB2312"/>
          <w:szCs w:val="24"/>
        </w:rPr>
        <w:t>3.11磋商小组按照下列方式确定提交最后报价的供应商，有特殊规定的从其规定：</w:t>
      </w:r>
    </w:p>
    <w:p>
      <w:pPr>
        <w:pStyle w:val="29"/>
        <w:spacing w:before="0"/>
        <w:ind w:firstLine="480"/>
        <w:rPr>
          <w:rFonts w:ascii="仿宋_GB2312" w:hAnsi="仿宋" w:eastAsia="仿宋_GB2312"/>
          <w:szCs w:val="24"/>
        </w:rPr>
      </w:pPr>
      <w:r>
        <w:rPr>
          <w:rFonts w:hint="eastAsia" w:ascii="仿宋_GB2312" w:hAnsi="仿宋" w:eastAsia="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29"/>
        <w:spacing w:before="0"/>
        <w:ind w:firstLine="480"/>
        <w:rPr>
          <w:rFonts w:ascii="仿宋_GB2312" w:hAnsi="仿宋" w:eastAsia="仿宋_GB2312"/>
          <w:szCs w:val="24"/>
        </w:rPr>
      </w:pPr>
      <w:r>
        <w:rPr>
          <w:rFonts w:hint="eastAsia" w:ascii="仿宋_GB2312" w:hAnsi="仿宋" w:eastAsia="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9"/>
        <w:spacing w:before="0"/>
        <w:ind w:firstLine="480"/>
        <w:rPr>
          <w:rFonts w:ascii="仿宋_GB2312" w:hAnsi="仿宋" w:eastAsia="仿宋_GB2312"/>
          <w:szCs w:val="24"/>
        </w:rPr>
      </w:pPr>
      <w:r>
        <w:rPr>
          <w:rFonts w:hint="eastAsia" w:ascii="仿宋_GB2312" w:hAnsi="仿宋" w:eastAsia="仿宋_GB2312"/>
          <w:szCs w:val="24"/>
        </w:rPr>
        <w:t>3.12确定进入最后报价的供应商在规定时间内提交最后报价。</w:t>
      </w:r>
    </w:p>
    <w:p>
      <w:pPr>
        <w:pStyle w:val="29"/>
        <w:spacing w:before="0"/>
        <w:ind w:firstLine="480"/>
        <w:rPr>
          <w:rFonts w:ascii="仿宋_GB2312" w:hAnsi="仿宋" w:eastAsia="仿宋_GB2312"/>
          <w:szCs w:val="24"/>
        </w:rPr>
      </w:pPr>
      <w:r>
        <w:rPr>
          <w:rFonts w:hint="eastAsia" w:ascii="仿宋_GB2312" w:hAnsi="仿宋" w:eastAsia="仿宋_GB2312"/>
          <w:szCs w:val="24"/>
        </w:rPr>
        <w:t>3.13采购机构唱价。</w:t>
      </w:r>
    </w:p>
    <w:p>
      <w:pPr>
        <w:pStyle w:val="29"/>
        <w:spacing w:before="0"/>
        <w:ind w:firstLine="480"/>
        <w:rPr>
          <w:rFonts w:ascii="仿宋_GB2312" w:hAnsi="仿宋" w:eastAsia="仿宋_GB2312"/>
          <w:szCs w:val="24"/>
        </w:rPr>
      </w:pPr>
      <w:r>
        <w:rPr>
          <w:rFonts w:hint="eastAsia" w:ascii="仿宋_GB2312" w:hAnsi="仿宋" w:eastAsia="仿宋_GB2312"/>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9"/>
        <w:spacing w:before="0"/>
        <w:ind w:firstLine="480"/>
        <w:rPr>
          <w:rFonts w:ascii="仿宋_GB2312" w:hAnsi="仿宋" w:eastAsia="仿宋_GB2312"/>
          <w:szCs w:val="24"/>
        </w:rPr>
      </w:pPr>
      <w:r>
        <w:rPr>
          <w:rFonts w:hint="eastAsia" w:ascii="仿宋_GB2312" w:hAnsi="仿宋" w:eastAsia="仿宋_GB2312"/>
          <w:szCs w:val="24"/>
        </w:rPr>
        <w:t>3.15磋商小组应当根据综合评分情况，按照评审得分由高到低顺序推荐3名以上成交候选供应商，并编写评审报告。</w:t>
      </w:r>
    </w:p>
    <w:p>
      <w:pPr>
        <w:pStyle w:val="29"/>
        <w:spacing w:before="0"/>
        <w:ind w:firstLine="0" w:firstLineChars="0"/>
        <w:rPr>
          <w:rFonts w:ascii="仿宋_GB2312" w:hAnsi="仿宋" w:eastAsia="仿宋_GB2312"/>
          <w:b/>
        </w:rPr>
      </w:pPr>
      <w:r>
        <w:rPr>
          <w:rFonts w:hint="eastAsia" w:ascii="仿宋_GB2312" w:hAnsi="仿宋" w:eastAsia="仿宋_GB2312"/>
          <w:b/>
        </w:rPr>
        <w:t>4. 定标</w:t>
      </w:r>
    </w:p>
    <w:p>
      <w:pPr>
        <w:pStyle w:val="29"/>
        <w:spacing w:before="0"/>
        <w:ind w:firstLine="480"/>
        <w:rPr>
          <w:rFonts w:ascii="仿宋_GB2312" w:hAnsi="仿宋" w:eastAsia="仿宋_GB2312"/>
          <w:szCs w:val="24"/>
        </w:rPr>
      </w:pPr>
      <w:r>
        <w:rPr>
          <w:rFonts w:hint="eastAsia" w:ascii="仿宋_GB2312" w:hAnsi="仿宋" w:eastAsia="仿宋_GB2312"/>
          <w:szCs w:val="24"/>
        </w:rPr>
        <w:t>4.1采购机构应当在评审结束后2个工作日内，将评审报告送采购人确认。</w:t>
      </w:r>
    </w:p>
    <w:p>
      <w:pPr>
        <w:pStyle w:val="29"/>
        <w:spacing w:before="0"/>
        <w:ind w:firstLine="480"/>
        <w:rPr>
          <w:rFonts w:ascii="仿宋_GB2312" w:hAnsi="仿宋" w:eastAsia="仿宋_GB2312"/>
          <w:szCs w:val="24"/>
        </w:rPr>
      </w:pPr>
      <w:r>
        <w:rPr>
          <w:rFonts w:hint="eastAsia" w:ascii="仿宋_GB2312" w:hAnsi="仿宋" w:eastAsia="仿宋_GB2312"/>
          <w:szCs w:val="24"/>
        </w:rPr>
        <w:t>4.2采购人应当在收到评审报告后2个工作日内，从评审报告提出的成交候选供应商中，按照排序由高到低的原则确定成交供应商，采购人也可以书面授权磋商小组直接确定成交供应商。</w:t>
      </w:r>
    </w:p>
    <w:p>
      <w:pPr>
        <w:pStyle w:val="29"/>
        <w:spacing w:before="0"/>
        <w:ind w:firstLine="480"/>
        <w:rPr>
          <w:rFonts w:ascii="仿宋_GB2312" w:hAnsi="仿宋" w:eastAsia="仿宋_GB2312"/>
          <w:szCs w:val="24"/>
        </w:rPr>
      </w:pPr>
      <w:r>
        <w:rPr>
          <w:rFonts w:hint="eastAsia" w:ascii="仿宋_GB2312" w:hAnsi="仿宋" w:eastAsia="仿宋_GB2312"/>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9"/>
        <w:spacing w:before="0"/>
        <w:ind w:firstLine="0" w:firstLineChars="0"/>
        <w:rPr>
          <w:rFonts w:ascii="仿宋_GB2312" w:hAnsi="宋体" w:eastAsia="仿宋_GB2312" w:cs="宋体"/>
          <w:kern w:val="0"/>
          <w:szCs w:val="21"/>
        </w:rPr>
      </w:pPr>
      <w:r>
        <w:rPr>
          <w:rFonts w:hint="eastAsia" w:ascii="仿宋_GB2312" w:hAnsi="仿宋" w:eastAsia="仿宋_GB2312"/>
          <w:b/>
        </w:rPr>
        <w:t>5.合同及履约验收</w:t>
      </w:r>
    </w:p>
    <w:p>
      <w:pPr>
        <w:pStyle w:val="29"/>
        <w:spacing w:before="0"/>
        <w:ind w:firstLine="480"/>
        <w:rPr>
          <w:rFonts w:ascii="仿宋_GB2312" w:hAnsi="仿宋" w:eastAsia="仿宋_GB2312"/>
          <w:szCs w:val="24"/>
        </w:rPr>
      </w:pPr>
      <w:r>
        <w:rPr>
          <w:rFonts w:hint="eastAsia" w:ascii="仿宋_GB2312" w:hAnsi="仿宋" w:eastAsia="仿宋_GB2312"/>
          <w:szCs w:val="24"/>
        </w:rPr>
        <w:t>5.1采购人与成交供应商应当在成交通知书发出之日起10日内签订政府采购合同。</w:t>
      </w:r>
    </w:p>
    <w:p>
      <w:pPr>
        <w:pStyle w:val="29"/>
        <w:spacing w:before="0"/>
        <w:ind w:firstLine="480"/>
        <w:rPr>
          <w:rFonts w:ascii="仿宋_GB2312" w:hAnsi="仿宋" w:eastAsia="仿宋_GB2312"/>
          <w:szCs w:val="24"/>
        </w:rPr>
      </w:pPr>
      <w:r>
        <w:rPr>
          <w:rFonts w:hint="eastAsia" w:ascii="仿宋_GB2312" w:hAnsi="仿宋" w:eastAsia="仿宋_GB2312"/>
          <w:szCs w:val="24"/>
        </w:rPr>
        <w:t>5.2成交供应商缴纳履约保证金（</w:t>
      </w:r>
      <w:r>
        <w:rPr>
          <w:rFonts w:hint="eastAsia" w:ascii="仿宋_GB2312" w:hAnsi="仿宋" w:eastAsia="仿宋_GB2312" w:cs="Helvetica"/>
          <w:kern w:val="0"/>
        </w:rPr>
        <w:t>拟签订的合同文本要求成交供应商提交履约保证金的，供应商应当以支票、汇票、本票或者金融机构、担保机构出具的保函等非现金形式提交</w:t>
      </w:r>
      <w:r>
        <w:rPr>
          <w:rFonts w:hint="eastAsia" w:ascii="仿宋_GB2312" w:hAnsi="仿宋" w:eastAsia="仿宋_GB2312"/>
        </w:rPr>
        <w:t>。履约保证金的数额不得超过政府采购合同金额的1%。</w:t>
      </w:r>
      <w:r>
        <w:rPr>
          <w:rFonts w:hint="eastAsia" w:ascii="仿宋_GB2312" w:hAnsi="仿宋" w:eastAsia="仿宋_GB2312"/>
          <w:b/>
        </w:rPr>
        <w:t>采购人不得拒收履约保函</w:t>
      </w:r>
      <w:r>
        <w:rPr>
          <w:rFonts w:hint="eastAsia" w:ascii="仿宋_GB2312" w:hAnsi="仿宋" w:eastAsia="仿宋_GB2312"/>
          <w:szCs w:val="24"/>
        </w:rPr>
        <w:t>）。</w:t>
      </w:r>
    </w:p>
    <w:p>
      <w:pPr>
        <w:pStyle w:val="29"/>
        <w:spacing w:before="0"/>
        <w:ind w:firstLine="480"/>
        <w:rPr>
          <w:rFonts w:ascii="仿宋_GB2312" w:hAnsi="仿宋" w:eastAsia="仿宋_GB2312"/>
          <w:szCs w:val="24"/>
        </w:rPr>
      </w:pPr>
      <w:r>
        <w:rPr>
          <w:rFonts w:hint="eastAsia" w:ascii="仿宋_GB2312" w:hAnsi="仿宋" w:eastAsia="仿宋_GB2312"/>
          <w:szCs w:val="24"/>
        </w:rPr>
        <w:t>5.3合同履约。</w:t>
      </w:r>
    </w:p>
    <w:p>
      <w:pPr>
        <w:pStyle w:val="29"/>
        <w:spacing w:before="0"/>
        <w:ind w:firstLine="480"/>
        <w:rPr>
          <w:rFonts w:ascii="仿宋_GB2312" w:hAnsi="仿宋" w:eastAsia="仿宋_GB2312"/>
          <w:b/>
        </w:rPr>
      </w:pPr>
      <w:r>
        <w:rPr>
          <w:rFonts w:hint="eastAsia" w:ascii="仿宋_GB2312" w:hAnsi="仿宋" w:eastAsia="仿宋_GB2312"/>
          <w:szCs w:val="24"/>
        </w:rPr>
        <w:t>5.4采购人组织验收。</w:t>
      </w:r>
    </w:p>
    <w:p>
      <w:pPr>
        <w:pStyle w:val="29"/>
        <w:spacing w:before="0"/>
        <w:ind w:firstLine="0" w:firstLineChars="0"/>
        <w:rPr>
          <w:rFonts w:ascii="仿宋_GB2312" w:hAnsi="仿宋" w:eastAsia="仿宋_GB2312"/>
          <w:b/>
        </w:rPr>
      </w:pPr>
    </w:p>
    <w:p>
      <w:pPr>
        <w:pStyle w:val="29"/>
        <w:spacing w:before="0"/>
        <w:ind w:firstLine="0" w:firstLineChars="0"/>
        <w:rPr>
          <w:rFonts w:ascii="仿宋_GB2312" w:hAnsi="仿宋" w:eastAsia="仿宋_GB2312"/>
          <w:b/>
        </w:rPr>
      </w:pPr>
      <w:r>
        <w:rPr>
          <w:rFonts w:hint="eastAsia" w:ascii="仿宋_GB2312" w:hAnsi="仿宋" w:eastAsia="仿宋_GB2312"/>
          <w:b/>
        </w:rPr>
        <w:t>6.竞争性磋商流程图</w:t>
      </w:r>
    </w:p>
    <w:p>
      <w:pPr>
        <w:adjustRightInd/>
        <w:spacing w:line="360" w:lineRule="auto"/>
        <w:jc w:val="center"/>
        <w:outlineLvl w:val="0"/>
        <w:rPr>
          <w:rFonts w:ascii="仿宋_GB2312" w:hAnsi="仿宋" w:eastAsia="仿宋_GB2312"/>
          <w:b/>
        </w:rPr>
      </w:pPr>
    </w:p>
    <w:p>
      <w:pPr>
        <w:adjustRightInd/>
        <w:spacing w:line="360" w:lineRule="auto"/>
        <w:jc w:val="center"/>
        <w:outlineLvl w:val="0"/>
        <w:rPr>
          <w:rFonts w:ascii="仿宋_GB2312" w:hAnsi="仿宋" w:eastAsia="仿宋_GB2312"/>
          <w:b/>
        </w:rPr>
      </w:pPr>
    </w:p>
    <w:p>
      <w:pPr>
        <w:adjustRightInd/>
        <w:spacing w:line="360" w:lineRule="auto"/>
        <w:jc w:val="center"/>
        <w:outlineLvl w:val="0"/>
        <w:rPr>
          <w:rFonts w:ascii="仿宋_GB2312" w:hAnsi="仿宋_GB2312" w:eastAsia="仿宋_GB2312" w:cs="仿宋_GB2312"/>
          <w:b/>
          <w:sz w:val="36"/>
          <w:szCs w:val="20"/>
        </w:rPr>
      </w:pPr>
      <w:r>
        <w:rPr>
          <w:rFonts w:ascii="仿宋_GB2312" w:hAnsi="仿宋_GB2312" w:eastAsia="仿宋_GB2312" w:cs="仿宋_GB2312"/>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1312;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80768"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0768;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2336;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7696;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4624;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5648;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3360;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1552;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0528;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79744;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 w:eastAsia="仿宋_GB2312"/>
          <w:sz w:val="24"/>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8720;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 w:eastAsia="仿宋_GB2312"/>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0288;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59264;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4384;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5408;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6432;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7456;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8480;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69504;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2576;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3600;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6672;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_GB2312" w:hAnsi="仿宋" w:eastAsia="仿宋_GB2312"/>
          <w:b/>
        </w:rPr>
        <w:br w:type="page"/>
      </w:r>
      <w:r>
        <w:rPr>
          <w:rFonts w:hint="eastAsia" w:ascii="仿宋_GB2312" w:hAnsi="仿宋_GB2312" w:eastAsia="仿宋_GB2312" w:cs="仿宋_GB2312"/>
          <w:b/>
          <w:sz w:val="36"/>
          <w:szCs w:val="20"/>
        </w:rPr>
        <w:t xml:space="preserve">第三部分  </w:t>
      </w:r>
      <w:r>
        <w:rPr>
          <w:rFonts w:hint="eastAsia" w:ascii="仿宋_GB2312" w:hAnsi="仿宋_GB2312" w:eastAsia="仿宋_GB2312" w:cs="仿宋_GB2312"/>
          <w:b/>
          <w:sz w:val="36"/>
        </w:rPr>
        <w:t>供应商须知</w:t>
      </w:r>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一、前附表</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有关本项目建设所需的</w:t>
            </w:r>
            <w:r>
              <w:rPr>
                <w:rFonts w:hint="eastAsia" w:ascii="仿宋_GB2312" w:hAnsi="仿宋" w:eastAsia="仿宋_GB2312"/>
                <w:sz w:val="24"/>
              </w:rPr>
              <w:t>全部</w:t>
            </w:r>
            <w:r>
              <w:rPr>
                <w:rFonts w:hint="eastAsia" w:ascii="仿宋_GB2312" w:hAnsi="仿宋" w:eastAsia="仿宋_GB2312"/>
                <w:kern w:val="0"/>
                <w:sz w:val="24"/>
                <w:lang w:val="zh-CN"/>
              </w:rPr>
              <w:t>费用包括税费均计入最后报价。</w:t>
            </w:r>
            <w:r>
              <w:rPr>
                <w:rFonts w:hint="eastAsia" w:ascii="仿宋_GB2312" w:hAnsi="仿宋" w:eastAsia="仿宋_GB2312"/>
                <w:sz w:val="24"/>
              </w:rPr>
              <w:t>《报价一览表》是报价的唯一载体</w:t>
            </w:r>
            <w:r>
              <w:rPr>
                <w:rFonts w:hint="eastAsia" w:ascii="仿宋_GB2312" w:hAnsi="仿宋" w:eastAsia="仿宋_GB2312" w:cs="仿宋_GB2312"/>
                <w:kern w:val="0"/>
                <w:sz w:val="24"/>
                <w:lang w:val="zh-CN"/>
              </w:rPr>
              <w:t>。响应文件中价格全部采用人民币报价。磋商文件未列明，而供应商认为必需的费用也需列入最后报价。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最后报价出现下列情形的，响应无效：</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出现不是唯一的、有选择性最后报价的；</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sz w:val="24"/>
              </w:rPr>
              <w:t>响应报价高于本项目采购预算的;</w:t>
            </w:r>
          </w:p>
          <w:p>
            <w:pPr>
              <w:spacing w:line="360" w:lineRule="auto"/>
              <w:rPr>
                <w:rFonts w:ascii="仿宋_GB2312" w:hAnsi="仿宋" w:eastAsia="仿宋_GB2312" w:cs="仿宋_GB2312"/>
                <w:b/>
                <w:sz w:val="24"/>
              </w:rPr>
            </w:pPr>
            <w:r>
              <w:rPr>
                <w:rFonts w:hint="eastAsia" w:ascii="仿宋_GB2312" w:hAnsi="仿宋" w:eastAsia="仿宋_GB2312"/>
                <w:b/>
                <w:sz w:val="24"/>
              </w:rPr>
              <w:t>▲最后</w:t>
            </w:r>
            <w:r>
              <w:rPr>
                <w:rFonts w:hint="eastAsia" w:ascii="仿宋_GB2312" w:hAnsi="仿宋" w:eastAsia="仿宋_GB2312" w:cs="Arial"/>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_GB2312" w:hAnsi="仿宋" w:eastAsia="仿宋_GB2312" w:cs="仿宋_GB2312"/>
                <w:b/>
                <w:sz w:val="24"/>
                <w:szCs w:val="21"/>
              </w:rPr>
              <w:t>;</w:t>
            </w:r>
          </w:p>
          <w:p>
            <w:pPr>
              <w:spacing w:line="360" w:lineRule="auto"/>
              <w:rPr>
                <w:rFonts w:ascii="仿宋_GB2312" w:hAnsi="仿宋" w:eastAsia="仿宋_GB2312" w:cs="仿宋_GB2312"/>
                <w:sz w:val="24"/>
                <w:szCs w:val="21"/>
              </w:rPr>
            </w:pPr>
            <w:r>
              <w:rPr>
                <w:rFonts w:hint="eastAsia" w:ascii="仿宋_GB2312" w:hAnsi="仿宋" w:eastAsia="仿宋_GB2312"/>
                <w:b/>
                <w:sz w:val="24"/>
              </w:rPr>
              <w:t>▲《报价一览表》重要信息填写不完整或字迹不能辨认或有漏项的；</w:t>
            </w:r>
          </w:p>
          <w:p>
            <w:pPr>
              <w:spacing w:line="360" w:lineRule="auto"/>
              <w:rPr>
                <w:rFonts w:ascii="仿宋_GB2312" w:hAnsi="仿宋" w:eastAsia="仿宋_GB2312"/>
                <w:sz w:val="24"/>
              </w:rPr>
            </w:pPr>
            <w:r>
              <w:rPr>
                <w:rFonts w:hint="eastAsia" w:ascii="仿宋_GB2312" w:hAnsi="仿宋" w:eastAsia="仿宋_GB2312" w:cs="Arial"/>
                <w:b/>
                <w:kern w:val="0"/>
                <w:sz w:val="24"/>
              </w:rPr>
              <w:t>▲供应商对根据修正原则修正后的报价不确认的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sz w:val="24"/>
              </w:rPr>
            </w:pPr>
            <w:sdt>
              <w:sdtPr>
                <w:rPr>
                  <w:rFonts w:hint="eastAsia" w:ascii="仿宋_GB2312" w:hAnsi="仿宋" w:eastAsia="仿宋_GB2312" w:cs="Arial"/>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 xml:space="preserve"> A</w:t>
            </w:r>
            <w:r>
              <w:rPr>
                <w:rFonts w:hint="eastAsia" w:ascii="仿宋_GB2312" w:hAnsi="仿宋" w:eastAsia="仿宋_GB2312"/>
                <w:color w:val="000000" w:themeColor="text1"/>
                <w:sz w:val="24"/>
                <w14:textFill>
                  <w14:solidFill>
                    <w14:schemeClr w14:val="tx1"/>
                  </w14:solidFill>
                </w14:textFill>
              </w:rPr>
              <w:t>同意将非主体、非关键性的</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工作分包。</w:t>
            </w:r>
            <w:sdt>
              <w:sdtPr>
                <w:rPr>
                  <w:rFonts w:hint="eastAsia" w:ascii="仿宋_GB2312" w:hAnsi="仿宋" w:eastAsia="仿宋_GB2312" w:cs="Arial"/>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 xml:space="preserve"> B</w:t>
            </w:r>
            <w:r>
              <w:rPr>
                <w:rFonts w:hint="eastAsia" w:ascii="仿宋_GB2312" w:hAnsi="仿宋" w:eastAsia="仿宋_GB2312"/>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kern w:val="0"/>
                <w:sz w:val="24"/>
              </w:rPr>
            </w:pPr>
            <w:r>
              <w:rPr>
                <w:rFonts w:hint="eastAsia" w:ascii="仿宋_GB2312" w:hAnsi="仿宋" w:eastAsia="仿宋_GB2312"/>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b/>
              </w:rPr>
              <w:t>开启响应文件</w:t>
            </w:r>
            <w:r>
              <w:rPr>
                <w:rFonts w:hint="eastAsia" w:ascii="仿宋_GB2312" w:hAnsi="仿宋" w:eastAsia="仿宋_GB2312" w:cs="仿宋_GB2312"/>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pStyle w:val="13"/>
              <w:spacing w:line="360" w:lineRule="auto"/>
              <w:rPr>
                <w:rFonts w:ascii="仿宋_GB2312" w:hAnsi="仿宋" w:eastAsia="仿宋_GB2312"/>
                <w:sz w:val="24"/>
              </w:rPr>
            </w:pPr>
            <w:sdt>
              <w:sdtPr>
                <w:rPr>
                  <w:rFonts w:hint="eastAsia" w:ascii="仿宋_GB2312" w:hAnsi="仿宋" w:eastAsia="仿宋_GB2312" w:cs="Arial"/>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r>
              <w:rPr>
                <w:rFonts w:hint="eastAsia" w:ascii="仿宋_GB2312" w:hAnsi="仿宋" w:eastAsia="仿宋_GB2312"/>
                <w:color w:val="000000" w:themeColor="text1"/>
                <w:sz w:val="24"/>
                <w14:textFill>
                  <w14:solidFill>
                    <w14:schemeClr w14:val="tx1"/>
                  </w14:solidFill>
                </w14:textFill>
              </w:rPr>
              <w:t>时间：</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,地点：</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，联系方式：</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MS Gothic" w:cs="Arial"/>
                    <w:color w:val="000000" w:themeColor="text1"/>
                    <w:kern w:val="0"/>
                    <w:sz w:val="24"/>
                    <w:szCs w:val="22"/>
                    <w14:textFill>
                      <w14:solidFill>
                        <w14:schemeClr w14:val="tx1"/>
                      </w14:solidFill>
                    </w14:textFill>
                  </w:rPr>
                  <w:t>þ</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不要求提供。</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szCs w:val="22"/>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w:t>
            </w:r>
            <w:r>
              <w:rPr>
                <w:rFonts w:hint="eastAsia" w:ascii="仿宋_GB2312" w:hAnsi="仿宋" w:eastAsia="仿宋_GB2312"/>
                <w:color w:val="000000" w:themeColor="text1"/>
                <w:kern w:val="0"/>
                <w:sz w:val="24"/>
                <w14:textFill>
                  <w14:solidFill>
                    <w14:schemeClr w14:val="tx1"/>
                  </w14:solidFill>
                </w14:textFill>
              </w:rPr>
              <w:t>要求提供，</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1）</w:t>
            </w:r>
            <w:r>
              <w:rPr>
                <w:rFonts w:hint="eastAsia" w:ascii="仿宋_GB2312" w:hAnsi="仿宋_GB2312" w:eastAsia="仿宋_GB2312" w:cs="仿宋_GB2312"/>
                <w:snapToGrid w:val="0"/>
                <w:color w:val="000000" w:themeColor="text1"/>
                <w:kern w:val="28"/>
                <w:sz w:val="24"/>
                <w14:textFill>
                  <w14:solidFill>
                    <w14:schemeClr w14:val="tx1"/>
                  </w14:solidFill>
                </w14:textFill>
              </w:rPr>
              <w:t>样品：</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w:t>
            </w:r>
          </w:p>
          <w:p>
            <w:pPr>
              <w:spacing w:line="360" w:lineRule="auto"/>
              <w:rPr>
                <w:rFonts w:ascii="仿宋_GB2312" w:hAnsi="仿宋" w:eastAsia="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w:t>
            </w:r>
            <w:r>
              <w:rPr>
                <w:rFonts w:hint="eastAsia" w:ascii="仿宋_GB2312" w:hAnsi="仿宋_GB2312" w:eastAsia="仿宋_GB2312" w:cs="仿宋_GB2312"/>
                <w:snapToGrid w:val="0"/>
                <w:color w:val="000000" w:themeColor="text1"/>
                <w:kern w:val="28"/>
                <w:sz w:val="24"/>
                <w14:textFill>
                  <w14:solidFill>
                    <w14:schemeClr w14:val="tx1"/>
                  </w14:solidFill>
                </w14:textFill>
              </w:rPr>
              <w:t>样品制作的标准和要求</w:t>
            </w:r>
            <w:r>
              <w:rPr>
                <w:rFonts w:hint="eastAsia" w:ascii="仿宋" w:hAnsi="仿宋" w:eastAsia="仿宋"/>
                <w:snapToGrid w:val="0"/>
                <w:color w:val="000000" w:themeColor="text1"/>
                <w:kern w:val="28"/>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4）是否需要</w:t>
            </w:r>
            <w:r>
              <w:rPr>
                <w:rFonts w:hint="eastAsia" w:ascii="仿宋_GB2312" w:hAnsi="仿宋" w:eastAsia="仿宋_GB2312"/>
                <w:color w:val="000000" w:themeColor="text1"/>
                <w:kern w:val="0"/>
                <w:sz w:val="24"/>
                <w14:textFill>
                  <w14:solidFill>
                    <w14:schemeClr w14:val="tx1"/>
                  </w14:solidFill>
                </w14:textFill>
              </w:rPr>
              <w:t>针对</w:t>
            </w:r>
            <w:r>
              <w:rPr>
                <w:rFonts w:ascii="仿宋_GB2312" w:hAnsi="仿宋" w:eastAsia="仿宋_GB2312"/>
                <w:color w:val="000000" w:themeColor="text1"/>
                <w:kern w:val="0"/>
                <w:sz w:val="24"/>
                <w14:textFill>
                  <w14:solidFill>
                    <w14:schemeClr w14:val="tx1"/>
                  </w14:solidFill>
                </w14:textFill>
              </w:rPr>
              <w:t>样品提交检测报告</w:t>
            </w:r>
            <w:r>
              <w:rPr>
                <w:rFonts w:hint="eastAsia" w:ascii="仿宋_GB2312" w:hAnsi="仿宋" w:eastAsia="仿宋_GB2312"/>
                <w:color w:val="000000" w:themeColor="text1"/>
                <w:kern w:val="0"/>
                <w:sz w:val="24"/>
                <w14:textFill>
                  <w14:solidFill>
                    <w14:schemeClr w14:val="tx1"/>
                  </w14:solidFill>
                </w14:textFill>
              </w:rPr>
              <w:t>：</w:t>
            </w:r>
            <w:sdt>
              <w:sdtPr>
                <w:rPr>
                  <w:rFonts w:hint="eastAsia" w:ascii="仿宋_GB2312" w:hAnsi="仿宋" w:eastAsia="仿宋_GB2312" w:cs="Arial"/>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þ</w:t>
                </w:r>
              </w:sdtContent>
            </w:sdt>
            <w:r>
              <w:rPr>
                <w:rFonts w:ascii="仿宋_GB2312" w:hAnsi="仿宋" w:eastAsia="仿宋_GB2312"/>
                <w:color w:val="000000" w:themeColor="text1"/>
                <w:kern w:val="0"/>
                <w:sz w:val="24"/>
                <w14:textFill>
                  <w14:solidFill>
                    <w14:schemeClr w14:val="tx1"/>
                  </w14:solidFill>
                </w14:textFill>
              </w:rPr>
              <w:t>否；</w:t>
            </w:r>
            <w:sdt>
              <w:sdtPr>
                <w:rPr>
                  <w:rFonts w:hint="eastAsia" w:ascii="仿宋_GB2312" w:hAnsi="仿宋" w:eastAsia="仿宋_GB2312" w:cs="Arial"/>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是，检测机构的要求</w:t>
            </w: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；检测内容</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r>
              <w:rPr>
                <w:rFonts w:hint="eastAsia" w:ascii="仿宋_GB2312" w:hAnsi="仿宋" w:eastAsia="仿宋_GB2312"/>
                <w:b/>
                <w:bCs/>
                <w:color w:val="000000" w:themeColor="text1"/>
                <w:kern w:val="0"/>
                <w:sz w:val="24"/>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5）提供样品的</w:t>
            </w:r>
            <w:r>
              <w:rPr>
                <w:rFonts w:hint="eastAsia" w:ascii="仿宋_GB2312" w:hAnsi="仿宋" w:eastAsia="仿宋_GB2312"/>
                <w:color w:val="000000" w:themeColor="text1"/>
                <w:sz w:val="24"/>
                <w14:textFill>
                  <w14:solidFill>
                    <w14:schemeClr w14:val="tx1"/>
                  </w14:solidFill>
                </w14:textFill>
              </w:rPr>
              <w:t>截止时间</w:t>
            </w:r>
            <w:r>
              <w:rPr>
                <w:rFonts w:ascii="仿宋_GB2312" w:hAnsi="仿宋" w:eastAsia="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；地点：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；联系人</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，联系电话：</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14:textFill>
                  <w14:solidFill>
                    <w14:schemeClr w14:val="tx1"/>
                  </w14:solidFill>
                </w14:textFill>
              </w:rPr>
              <w:t>采购人、采购机构将通知</w:t>
            </w:r>
            <w:r>
              <w:rPr>
                <w:rFonts w:ascii="仿宋_GB2312" w:hAnsi="仿宋" w:eastAsia="仿宋_GB2312"/>
                <w:color w:val="000000" w:themeColor="text1"/>
                <w:sz w:val="24"/>
                <w14:textFill>
                  <w14:solidFill>
                    <w14:schemeClr w14:val="tx1"/>
                  </w14:solidFill>
                </w14:textFill>
              </w:rPr>
              <w:t>未中标人</w:t>
            </w:r>
            <w:r>
              <w:rPr>
                <w:rFonts w:hint="eastAsia" w:ascii="仿宋_GB2312" w:hAnsi="仿宋" w:eastAsia="仿宋_GB2312"/>
                <w:color w:val="000000" w:themeColor="text1"/>
                <w:sz w:val="24"/>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14:textFill>
                  <w14:solidFill>
                    <w14:schemeClr w14:val="tx1"/>
                  </w14:solidFill>
                </w14:textFill>
              </w:rPr>
              <w:t>；对于中标人提供的样品，</w:t>
            </w:r>
            <w:r>
              <w:rPr>
                <w:rFonts w:hint="eastAsia" w:ascii="仿宋_GB2312" w:hAnsi="仿宋" w:eastAsia="仿宋_GB2312"/>
                <w:color w:val="000000" w:themeColor="text1"/>
                <w:sz w:val="24"/>
                <w14:textFill>
                  <w14:solidFill>
                    <w14:schemeClr w14:val="tx1"/>
                  </w14:solidFill>
                </w14:textFill>
              </w:rPr>
              <w:t>采购人将进</w:t>
            </w:r>
            <w:r>
              <w:rPr>
                <w:rFonts w:ascii="仿宋_GB2312" w:hAnsi="仿宋" w:eastAsia="仿宋_GB2312"/>
                <w:color w:val="000000" w:themeColor="text1"/>
                <w:sz w:val="24"/>
                <w14:textFill>
                  <w14:solidFill>
                    <w14:schemeClr w14:val="tx1"/>
                  </w14:solidFill>
                </w14:textFill>
              </w:rPr>
              <w:t>行保管、封存，并作为履约验收的参考。</w:t>
            </w:r>
          </w:p>
          <w:p>
            <w:pPr>
              <w:pStyle w:val="13"/>
              <w:spacing w:line="360" w:lineRule="auto"/>
              <w:rPr>
                <w:rFonts w:ascii="仿宋_GB2312" w:hAnsi="仿宋" w:eastAsia="仿宋_GB2312"/>
                <w:b/>
                <w:sz w:val="24"/>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olor w:val="000000" w:themeColor="text1"/>
                <w:kern w:val="0"/>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sz w:val="24"/>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000000" w:themeColor="text1"/>
                <w:sz w:val="24"/>
                <w:szCs w:val="22"/>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szCs w:val="22"/>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asciiTheme="minorHAnsi" w:hAnsiTheme="minorHAnsi" w:eastAsiaTheme="minorEastAsia" w:cstheme="minorBidi"/>
                <w:color w:val="000000" w:themeColor="text1"/>
                <w:szCs w:val="22"/>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rPr>
            </w:pPr>
            <w:r>
              <w:rPr>
                <w:rFonts w:hint="eastAsia" w:ascii="仿宋_GB2312" w:hAnsi="仿宋" w:eastAsia="仿宋_GB2312" w:cs="Arial"/>
                <w:kern w:val="0"/>
                <w:sz w:val="24"/>
              </w:rPr>
              <w:t>标的：</w:t>
            </w:r>
            <w:r>
              <w:rPr>
                <w:rFonts w:hint="eastAsia" w:ascii="仿宋_GB2312" w:hAnsi="仿宋" w:eastAsia="仿宋_GB2312" w:cs="Arial"/>
                <w:b/>
                <w:bCs/>
                <w:kern w:val="0"/>
                <w:sz w:val="24"/>
                <w:u w:val="single"/>
              </w:rPr>
              <w:t>清凉峰名山公园圈总体规划暨专题研究</w:t>
            </w:r>
            <w:r>
              <w:rPr>
                <w:rFonts w:hint="eastAsia" w:ascii="仿宋_GB2312" w:hAnsi="仿宋" w:eastAsia="仿宋_GB2312" w:cs="Arial"/>
                <w:kern w:val="0"/>
                <w:sz w:val="24"/>
              </w:rPr>
              <w:t>，属于</w:t>
            </w:r>
            <w:r>
              <w:rPr>
                <w:rFonts w:hint="eastAsia" w:ascii="仿宋_GB2312" w:hAnsi="仿宋" w:eastAsia="仿宋_GB2312" w:cs="Arial"/>
                <w:b/>
                <w:bCs/>
                <w:kern w:val="0"/>
                <w:sz w:val="24"/>
                <w:u w:val="single"/>
              </w:rPr>
              <w:t>其他未列明行业</w:t>
            </w:r>
            <w:r>
              <w:rPr>
                <w:rFonts w:hint="eastAsia" w:ascii="仿宋_GB2312" w:hAnsi="仿宋" w:eastAsia="仿宋_GB2312" w:cs="Arial"/>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color w:val="0000FF"/>
                <w:kern w:val="0"/>
                <w:sz w:val="24"/>
              </w:rPr>
            </w:pPr>
            <w:r>
              <w:rPr>
                <w:rFonts w:hint="eastAsia" w:ascii="仿宋_GB2312" w:hAnsi="仿宋" w:eastAsia="仿宋_GB2312" w:cs="Arial"/>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restar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sz w:val="24"/>
                <w:szCs w:val="21"/>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continue"/>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备份投标文件送达地点和签收人员</w:t>
            </w:r>
            <w:r>
              <w:rPr>
                <w:rFonts w:ascii="仿宋_GB2312" w:hAnsi="仿宋" w:eastAsia="仿宋_GB2312" w:cs="仿宋_GB2312"/>
                <w:b/>
                <w:color w:val="000000" w:themeColor="text1"/>
                <w:sz w:val="24"/>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13"/>
              <w:spacing w:line="360" w:lineRule="auto"/>
              <w:rPr>
                <w:rFonts w:ascii="仿宋_GB2312" w:hAnsi="仿宋" w:eastAsia="仿宋_GB2312"/>
                <w:snapToGrid w:val="0"/>
                <w:kern w:val="28"/>
                <w:sz w:val="24"/>
              </w:rPr>
            </w:pPr>
            <w:r>
              <w:rPr>
                <w:rFonts w:hint="eastAsia" w:ascii="仿宋_GB2312" w:hAnsi="仿宋" w:eastAsia="仿宋_GB2312"/>
                <w:kern w:val="28"/>
                <w:sz w:val="24"/>
                <w:szCs w:val="24"/>
              </w:rPr>
              <w:t>备份投标文件送达地点：</w:t>
            </w:r>
            <w:r>
              <w:rPr>
                <w:rFonts w:hint="eastAsia" w:ascii="仿宋_GB2312" w:hAnsi="仿宋" w:eastAsia="仿宋_GB2312"/>
                <w:sz w:val="24"/>
                <w:u w:val="single"/>
              </w:rPr>
              <w:t>杭州市临安区马溪路667号一号楼二楼杭建咨询二楼代理部</w:t>
            </w:r>
            <w:r>
              <w:rPr>
                <w:rFonts w:hint="eastAsia" w:ascii="仿宋_GB2312" w:hAnsi="仿宋" w:eastAsia="仿宋_GB2312"/>
                <w:kern w:val="28"/>
                <w:sz w:val="24"/>
                <w:szCs w:val="24"/>
              </w:rPr>
              <w:t>；备份投标文件签收人员联系电话：</w:t>
            </w:r>
            <w:r>
              <w:rPr>
                <w:rFonts w:hint="eastAsia" w:ascii="仿宋_GB2312" w:hAnsi="仿宋" w:eastAsia="仿宋_GB2312"/>
                <w:sz w:val="24"/>
                <w:u w:val="single"/>
              </w:rPr>
              <w:t>0571-61091202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1、中标单位在领取中标通知书时须提供与电子投标文件一致的纸质投标文件一正一副。</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2、采购人在发布中标公告后有权检查中标人在本次投标文件评分细则中涉及的所有证明材料原件及技术参数中涉及的所有检测报告原件；经核对无误后，签订采购合同，如出现虚假应标、篡改参数、未经第三方企业授权许可用其产品投标等情况，取消其中标资格，由第二轮候企业中标。并将虚假应标行为上报招标主管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bCs/>
                <w:snapToGrid w:val="0"/>
                <w:kern w:val="28"/>
                <w:sz w:val="24"/>
              </w:rPr>
              <w:t>招标代理费</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仿宋" w:hAnsi="仿宋" w:eastAsia="仿宋" w:cs="仿宋"/>
                <w:color w:val="000000"/>
                <w:szCs w:val="21"/>
              </w:rPr>
            </w:pPr>
            <w:r>
              <w:rPr>
                <w:rFonts w:hint="eastAsia" w:ascii="仿宋" w:hAnsi="仿宋" w:eastAsia="仿宋" w:cs="仿宋"/>
                <w:color w:val="000000"/>
                <w:szCs w:val="21"/>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20" w:firstLineChars="200"/>
              <w:jc w:val="left"/>
              <w:rPr>
                <w:rFonts w:ascii="仿宋" w:hAnsi="仿宋" w:eastAsia="仿宋" w:cs="仿宋"/>
                <w:color w:val="000000"/>
                <w:szCs w:val="21"/>
              </w:rPr>
            </w:pPr>
            <w:r>
              <w:rPr>
                <w:rFonts w:hint="eastAsia" w:ascii="仿宋" w:hAnsi="仿宋" w:eastAsia="仿宋" w:cs="仿宋"/>
                <w:color w:val="000000"/>
              </w:rPr>
              <w:drawing>
                <wp:inline distT="0" distB="0" distL="114300" distR="114300">
                  <wp:extent cx="3526790" cy="1605280"/>
                  <wp:effectExtent l="0" t="0" r="16510" b="13970"/>
                  <wp:docPr id="24"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收费标准"/>
                          <pic:cNvPicPr>
                            <a:picLocks noChangeAspect="1"/>
                          </pic:cNvPicPr>
                        </pic:nvPicPr>
                        <pic:blipFill>
                          <a:blip r:embed="rId16"/>
                          <a:stretch>
                            <a:fillRect/>
                          </a:stretch>
                        </pic:blipFill>
                        <pic:spPr>
                          <a:xfrm>
                            <a:off x="0" y="0"/>
                            <a:ext cx="3526790" cy="1605280"/>
                          </a:xfrm>
                          <a:prstGeom prst="rect">
                            <a:avLst/>
                          </a:prstGeom>
                          <a:noFill/>
                          <a:ln>
                            <a:noFill/>
                          </a:ln>
                        </pic:spPr>
                      </pic:pic>
                    </a:graphicData>
                  </a:graphic>
                </wp:inline>
              </w:drawing>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收费对象：本项目代理服务费向成交供应商收取</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缴纳时间：中标(成交)结果公示后5个工作日内一次性付清</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缴纳形式：汇票/支票/电汇/现金</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b/>
                <w:snapToGrid w:val="0"/>
                <w:color w:val="000000"/>
                <w:kern w:val="0"/>
                <w:szCs w:val="21"/>
              </w:rPr>
              <w:t>收款单位：</w:t>
            </w:r>
            <w:r>
              <w:rPr>
                <w:rFonts w:hint="eastAsia" w:ascii="仿宋" w:hAnsi="仿宋" w:eastAsia="仿宋" w:cs="仿宋"/>
                <w:color w:val="000000"/>
                <w:kern w:val="0"/>
                <w:szCs w:val="21"/>
              </w:rPr>
              <w:t>杭州建设工程造价咨询有限公司临安分公司</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b/>
                <w:snapToGrid w:val="0"/>
                <w:color w:val="000000"/>
                <w:kern w:val="0"/>
                <w:szCs w:val="21"/>
              </w:rPr>
              <w:t>开户银行：</w:t>
            </w:r>
            <w:r>
              <w:rPr>
                <w:rFonts w:hint="eastAsia" w:ascii="仿宋" w:hAnsi="仿宋" w:eastAsia="仿宋" w:cs="仿宋"/>
                <w:color w:val="000000"/>
                <w:kern w:val="0"/>
                <w:szCs w:val="21"/>
              </w:rPr>
              <w:t>杭州银行临安支行</w:t>
            </w:r>
          </w:p>
          <w:p>
            <w:pPr>
              <w:spacing w:line="400" w:lineRule="exact"/>
              <w:rPr>
                <w:rFonts w:ascii="仿宋_GB2312" w:hAnsi="仿宋" w:eastAsia="仿宋_GB2312"/>
                <w:snapToGrid w:val="0"/>
                <w:kern w:val="28"/>
                <w:sz w:val="24"/>
              </w:rPr>
            </w:pPr>
            <w:r>
              <w:rPr>
                <w:rFonts w:hint="eastAsia" w:ascii="仿宋" w:hAnsi="仿宋" w:eastAsia="仿宋" w:cs="仿宋"/>
                <w:b/>
                <w:snapToGrid w:val="0"/>
                <w:color w:val="000000"/>
                <w:kern w:val="0"/>
                <w:szCs w:val="21"/>
              </w:rPr>
              <w:t>银行账号：</w:t>
            </w:r>
            <w:r>
              <w:rPr>
                <w:rFonts w:hint="eastAsia" w:ascii="仿宋" w:hAnsi="仿宋" w:eastAsia="仿宋" w:cs="仿宋"/>
                <w:color w:val="000000"/>
                <w:kern w:val="0"/>
                <w:szCs w:val="21"/>
              </w:rPr>
              <w:t>3301040160003448324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b/>
                <w:bCs/>
                <w:snapToGrid w:val="0"/>
                <w:kern w:val="28"/>
                <w:sz w:val="24"/>
              </w:rPr>
            </w:pPr>
            <w:r>
              <w:rPr>
                <w:rFonts w:hint="eastAsia" w:ascii="仿宋_GB2312" w:hAnsi="仿宋" w:eastAsia="仿宋_GB2312"/>
                <w:b/>
                <w:bCs/>
                <w:snapToGrid w:val="0"/>
                <w:kern w:val="28"/>
                <w:sz w:val="24"/>
              </w:rPr>
              <w:t>现场确认声明书</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snapToGrid w:val="0"/>
                <w:color w:val="000000"/>
                <w:kern w:val="0"/>
                <w:szCs w:val="21"/>
              </w:rPr>
            </w:pPr>
            <w:r>
              <w:rPr>
                <w:rFonts w:hint="eastAsia" w:ascii="仿宋_GB2312" w:hAnsi="仿宋" w:eastAsia="仿宋_GB2312"/>
                <w:b/>
                <w:bCs/>
                <w:snapToGrid w:val="0"/>
                <w:kern w:val="28"/>
                <w:sz w:val="24"/>
              </w:rPr>
              <w:t>开标记录开启后，投标供应商将填写完整且经授权代表签署的《政府采购活动现场确认声明书》原件扫描件发送至邮箱：617044846@qq.com（格式见附件6）</w:t>
            </w:r>
          </w:p>
        </w:tc>
      </w:tr>
    </w:tbl>
    <w:p>
      <w:pPr>
        <w:adjustRightInd/>
        <w:spacing w:line="360" w:lineRule="auto"/>
        <w:ind w:firstLine="3845" w:firstLineChars="1197"/>
        <w:outlineLvl w:val="0"/>
        <w:rPr>
          <w:rFonts w:ascii="仿宋_GB2312" w:hAnsi="仿宋_GB2312" w:eastAsia="仿宋_GB2312" w:cs="仿宋_GB2312"/>
          <w:b/>
          <w:sz w:val="32"/>
          <w:szCs w:val="20"/>
        </w:rPr>
      </w:pPr>
    </w:p>
    <w:p>
      <w:pPr>
        <w:adjustRightInd/>
        <w:spacing w:line="360" w:lineRule="auto"/>
        <w:ind w:firstLine="3845" w:firstLineChars="1197"/>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二、总则</w:t>
      </w:r>
    </w:p>
    <w:p>
      <w:pPr>
        <w:snapToGrid w:val="0"/>
        <w:spacing w:line="360" w:lineRule="auto"/>
        <w:jc w:val="left"/>
        <w:outlineLvl w:val="1"/>
        <w:rPr>
          <w:rFonts w:ascii="仿宋_GB2312" w:hAnsi="仿宋" w:eastAsia="仿宋_GB2312"/>
          <w:b/>
          <w:sz w:val="24"/>
        </w:rPr>
      </w:pPr>
      <w:r>
        <w:rPr>
          <w:rFonts w:hint="eastAsia" w:ascii="仿宋_GB2312" w:hAnsi="仿宋" w:eastAsia="仿宋_GB2312"/>
          <w:b/>
          <w:sz w:val="24"/>
        </w:rPr>
        <w:t>1. 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 “采购人”系指磋商邀请公告中载明的本项目的采购人。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 “采购机构”系指磋商邀请公告中载明的本项目的采购机构。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 “供应商”系指响应磋商、参加本次竞争的法人、其他组织或自然人。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 “成交人”系指经评审确定的成交供应商。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2.6“响应文件”系指供应商提交的商务技术文件。供应商提交最后报价后，最后报价是供应商响应文件的有效组成部分。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2.7“电子交易平台”是指本项目政府采购活动所依托的政府采购云平台（</w:t>
      </w:r>
      <w:r>
        <w:fldChar w:fldCharType="begin"/>
      </w:r>
      <w:r>
        <w:instrText xml:space="preserve"> HYPERLINK "https://www.zcygov.cn/" </w:instrText>
      </w:r>
      <w:r>
        <w:fldChar w:fldCharType="separate"/>
      </w:r>
      <w:r>
        <w:rPr>
          <w:rStyle w:val="26"/>
          <w:rFonts w:hint="eastAsia" w:ascii="仿宋_GB2312" w:hAnsi="仿宋" w:eastAsia="仿宋_GB2312" w:cs="Times New Roman"/>
          <w:snapToGrid/>
          <w:color w:val="auto"/>
          <w:kern w:val="2"/>
          <w:sz w:val="24"/>
          <w:szCs w:val="24"/>
        </w:rPr>
        <w:t>https://www.zcygov.cn/</w:t>
      </w:r>
      <w:r>
        <w:rPr>
          <w:rStyle w:val="26"/>
          <w:rFonts w:hint="eastAsia" w:ascii="仿宋_GB2312" w:hAnsi="仿宋" w:eastAsia="仿宋_GB2312" w:cs="Times New Roman"/>
          <w:snapToGrid/>
          <w:color w:val="auto"/>
          <w:kern w:val="2"/>
          <w:sz w:val="24"/>
          <w:szCs w:val="24"/>
        </w:rPr>
        <w:fldChar w:fldCharType="end"/>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2.8“电子签名”系指数据电文中以电子形式所含、所附用于识别签名人身份并表明签名人认可其中内容的数据。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2.9 </w:t>
      </w:r>
      <w:r>
        <w:rPr>
          <w:rFonts w:hint="eastAsia" w:ascii="仿宋_GB2312" w:hAnsi="仿宋" w:eastAsia="仿宋_GB2312"/>
          <w:sz w:val="24"/>
          <w:u w:val="single"/>
        </w:rPr>
        <w:t>“书面形式”包括数据电文形式与纸质形式。数据电文形式与纸质形式的采购活动具有同等法律效力。</w:t>
      </w:r>
    </w:p>
    <w:p>
      <w:pPr>
        <w:adjustRightInd/>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2.10 “▲” 系指实质性要求条款， “※”系指磋商过程中可能实质性变动的内容，</w:t>
      </w:r>
      <w:r>
        <w:rPr>
          <w:rFonts w:ascii="仿宋_GB2312" w:hAnsi="仿宋" w:eastAsia="仿宋_GB2312"/>
          <w:sz w:val="24"/>
        </w:rPr>
        <w:t xml:space="preserve"> “★”系产品采购项目中单一产品或核心产品。</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3. 磋商有效期</w:t>
      </w:r>
    </w:p>
    <w:p>
      <w:pPr>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▲3.1</w:t>
      </w:r>
      <w:r>
        <w:rPr>
          <w:rFonts w:hint="eastAsia" w:ascii="仿宋_GB2312" w:hAnsi="仿宋" w:eastAsia="仿宋_GB2312" w:cs="仿宋_GB2312"/>
          <w:b/>
          <w:sz w:val="24"/>
          <w:szCs w:val="20"/>
        </w:rPr>
        <w:t>响应有效期为从提交响应文件的截止之日起90天。供应商的响应文件中承</w:t>
      </w:r>
      <w:r>
        <w:rPr>
          <w:rFonts w:hint="eastAsia" w:ascii="仿宋_GB2312" w:hAnsi="仿宋" w:eastAsia="仿宋_GB2312" w:cs="仿宋_GB2312"/>
          <w:b/>
          <w:sz w:val="24"/>
          <w:szCs w:val="21"/>
        </w:rPr>
        <w:t>诺的响应有效期少于磋商文件中载明的磋商有效期的，响应无效。</w:t>
      </w:r>
    </w:p>
    <w:p>
      <w:pPr>
        <w:pStyle w:val="29"/>
        <w:spacing w:before="0"/>
        <w:ind w:firstLine="480"/>
        <w:rPr>
          <w:rFonts w:ascii="仿宋_GB2312" w:hAnsi="仿宋" w:eastAsia="仿宋_GB2312" w:cs="仿宋_GB2312"/>
        </w:rPr>
      </w:pPr>
      <w:r>
        <w:rPr>
          <w:rFonts w:hint="eastAsia" w:ascii="仿宋_GB2312" w:hAnsi="仿宋" w:eastAsia="仿宋_GB2312" w:cs="仿宋_GB2312"/>
        </w:rPr>
        <w:t>3.2响应文件合格投递后，自响应截止日期起，在响应有效期内有效。</w:t>
      </w:r>
    </w:p>
    <w:p>
      <w:pPr>
        <w:pStyle w:val="29"/>
        <w:spacing w:before="0"/>
        <w:ind w:firstLine="480"/>
        <w:rPr>
          <w:rFonts w:ascii="仿宋_GB2312" w:hAnsi="仿宋" w:eastAsia="仿宋_GB2312" w:cs="仿宋_GB2312"/>
        </w:rPr>
      </w:pPr>
      <w:r>
        <w:rPr>
          <w:rFonts w:hint="eastAsia" w:ascii="仿宋_GB2312" w:hAnsi="仿宋" w:eastAsia="仿宋_GB2312"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_GB2312" w:hAnsi="仿宋" w:eastAsia="仿宋_GB2312"/>
          <w:szCs w:val="24"/>
        </w:rPr>
        <w:t>拒绝延长磋商有效期的供应商不得再参与该项目后续采购活动。</w:t>
      </w:r>
    </w:p>
    <w:p>
      <w:pPr>
        <w:tabs>
          <w:tab w:val="left" w:pos="3780"/>
        </w:tabs>
        <w:spacing w:line="360" w:lineRule="auto"/>
        <w:rPr>
          <w:rFonts w:ascii="仿宋_GB2312" w:hAnsi="仿宋" w:eastAsia="仿宋_GB2312"/>
          <w:b/>
          <w:sz w:val="24"/>
        </w:rPr>
      </w:pPr>
      <w:r>
        <w:rPr>
          <w:rFonts w:hint="eastAsia" w:ascii="仿宋_GB2312" w:hAnsi="仿宋" w:eastAsia="仿宋_GB2312"/>
          <w:b/>
          <w:sz w:val="24"/>
        </w:rPr>
        <w:t>4．响应费用</w:t>
      </w:r>
    </w:p>
    <w:p>
      <w:pPr>
        <w:pStyle w:val="13"/>
        <w:spacing w:line="360" w:lineRule="auto"/>
        <w:ind w:firstLine="360" w:firstLineChars="150"/>
        <w:rPr>
          <w:rFonts w:ascii="仿宋_GB2312" w:hAnsi="仿宋" w:eastAsia="仿宋_GB2312"/>
          <w:sz w:val="24"/>
          <w:lang w:val="zh-CN"/>
        </w:rPr>
      </w:pPr>
      <w:r>
        <w:rPr>
          <w:rFonts w:hint="eastAsia" w:ascii="仿宋_GB2312" w:hAnsi="仿宋" w:eastAsia="仿宋_GB2312"/>
          <w:sz w:val="24"/>
        </w:rPr>
        <w:t>供应商需自行承担涉及响应的一切费用</w:t>
      </w:r>
      <w:r>
        <w:rPr>
          <w:rFonts w:hint="eastAsia" w:ascii="仿宋_GB2312" w:hAnsi="仿宋" w:eastAsia="仿宋_GB2312"/>
          <w:sz w:val="24"/>
          <w:lang w:val="zh-CN"/>
        </w:rPr>
        <w:t>。</w:t>
      </w:r>
    </w:p>
    <w:p>
      <w:pPr>
        <w:pStyle w:val="13"/>
        <w:snapToGrid w:val="0"/>
        <w:spacing w:line="360" w:lineRule="auto"/>
        <w:rPr>
          <w:rFonts w:ascii="仿宋_GB2312" w:hAnsi="仿宋" w:eastAsia="仿宋_GB2312"/>
          <w:b/>
          <w:sz w:val="24"/>
          <w:szCs w:val="24"/>
        </w:rPr>
      </w:pPr>
      <w:r>
        <w:rPr>
          <w:rFonts w:hint="eastAsia" w:ascii="仿宋_GB2312" w:hAnsi="仿宋" w:eastAsia="仿宋_GB2312"/>
          <w:b/>
          <w:sz w:val="24"/>
          <w:szCs w:val="24"/>
        </w:rPr>
        <w:t>5. 解释权</w:t>
      </w:r>
    </w:p>
    <w:p>
      <w:pPr>
        <w:pStyle w:val="13"/>
        <w:spacing w:line="360" w:lineRule="auto"/>
        <w:ind w:firstLine="360" w:firstLineChars="150"/>
        <w:rPr>
          <w:rFonts w:ascii="仿宋_GB2312" w:hAnsi="仿宋" w:eastAsia="仿宋_GB2312"/>
          <w:sz w:val="24"/>
        </w:rPr>
      </w:pPr>
      <w:r>
        <w:rPr>
          <w:rFonts w:hint="eastAsia" w:ascii="仿宋_GB2312" w:hAnsi="仿宋" w:eastAsia="仿宋_GB2312"/>
          <w:sz w:val="24"/>
        </w:rPr>
        <w:t>凡涉及本次磋商文件的解释权均属于</w:t>
      </w:r>
      <w:r>
        <w:rPr>
          <w:rFonts w:hint="eastAsia" w:ascii="仿宋_GB2312" w:hAnsi="仿宋_GB2312" w:eastAsia="仿宋_GB2312" w:cs="仿宋_GB2312"/>
          <w:sz w:val="24"/>
          <w:szCs w:val="24"/>
        </w:rPr>
        <w:t>杭州建设工程造价咨询有限公司。</w:t>
      </w:r>
    </w:p>
    <w:p>
      <w:pPr>
        <w:spacing w:line="360" w:lineRule="auto"/>
        <w:jc w:val="center"/>
        <w:rPr>
          <w:rFonts w:ascii="仿宋_GB2312" w:hAnsi="仿宋_GB2312" w:eastAsia="仿宋_GB2312" w:cs="仿宋_GB2312"/>
          <w:b/>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三、需要落实的政府采购政策</w:t>
      </w:r>
    </w:p>
    <w:p>
      <w:pPr>
        <w:pStyle w:val="29"/>
        <w:spacing w:before="0"/>
        <w:ind w:firstLine="0" w:firstLineChars="0"/>
        <w:rPr>
          <w:rFonts w:ascii="仿宋_GB2312" w:hAnsi="仿宋" w:eastAsia="仿宋_GB2312"/>
          <w:b/>
          <w:szCs w:val="24"/>
        </w:rPr>
      </w:pPr>
      <w:r>
        <w:rPr>
          <w:rFonts w:hint="eastAsia" w:ascii="仿宋_GB2312" w:hAnsi="仿宋" w:eastAsia="仿宋_GB2312"/>
          <w:b/>
          <w:szCs w:val="24"/>
        </w:rPr>
        <w:t>1.是否允许采购进口产品要求</w:t>
      </w:r>
    </w:p>
    <w:p>
      <w:pPr>
        <w:pStyle w:val="13"/>
        <w:spacing w:line="360" w:lineRule="auto"/>
        <w:ind w:firstLine="360" w:firstLineChars="150"/>
        <w:rPr>
          <w:rFonts w:ascii="仿宋_GB2312" w:hAnsi="仿宋" w:eastAsia="仿宋_GB2312"/>
          <w:sz w:val="24"/>
        </w:rPr>
      </w:pP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3"/>
        <w:spacing w:line="360" w:lineRule="auto"/>
        <w:rPr>
          <w:rFonts w:ascii="仿宋_GB2312" w:hAnsi="仿宋" w:eastAsia="仿宋_GB2312"/>
          <w:b/>
          <w:sz w:val="24"/>
          <w:szCs w:val="24"/>
        </w:rPr>
      </w:pPr>
      <w:r>
        <w:rPr>
          <w:rFonts w:hint="eastAsia" w:ascii="仿宋_GB2312" w:hAnsi="仿宋" w:eastAsia="仿宋_GB2312"/>
          <w:b/>
          <w:sz w:val="24"/>
          <w:szCs w:val="24"/>
        </w:rPr>
        <w:t>2. 节能环保要求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2.2 </w:t>
      </w:r>
      <w:r>
        <w:rPr>
          <w:rFonts w:hint="eastAsia" w:ascii="仿宋_GB2312" w:hAnsi="仿宋" w:eastAsia="仿宋_GB2312" w:cs="仿宋_GB2312"/>
          <w:sz w:val="24"/>
          <w:szCs w:val="20"/>
        </w:rPr>
        <w:t>▲</w:t>
      </w:r>
      <w:r>
        <w:rPr>
          <w:rFonts w:hint="eastAsia" w:ascii="仿宋_GB2312" w:hAnsi="仿宋" w:eastAsia="仿宋_GB2312"/>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3.2</w:t>
      </w:r>
      <w:r>
        <w:rPr>
          <w:rFonts w:hint="eastAsia" w:ascii="仿宋_GB2312" w:hAnsi="宋体" w:eastAsia="仿宋_GB2312"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对于未预留份额专门面向中小企业的政府采购货物或服务项目，以及预留份额政府采购货物或服务项目中的非预留部分标项，对小型和微型企业的最后报价给予</w:t>
      </w:r>
      <w:r>
        <w:rPr>
          <w:rFonts w:hint="eastAsia" w:ascii="仿宋_GB2312" w:hAnsi="仿宋" w:eastAsia="仿宋_GB2312"/>
          <w:b/>
          <w:bCs/>
          <w:sz w:val="24"/>
        </w:rPr>
        <w:t>20</w:t>
      </w:r>
      <w:r>
        <w:rPr>
          <w:rFonts w:ascii="仿宋_GB2312" w:hAnsi="仿宋" w:eastAsia="仿宋_GB2312"/>
          <w:b/>
          <w:bCs/>
          <w:sz w:val="24"/>
        </w:rPr>
        <w:t>%</w:t>
      </w:r>
      <w:r>
        <w:rPr>
          <w:rFonts w:ascii="仿宋_GB2312" w:hAnsi="仿宋" w:eastAsia="仿宋_GB2312"/>
          <w:sz w:val="24"/>
        </w:rPr>
        <w:t>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rPr>
        <w:t>3.4接受大中型企业与小微企业组成联合体或者允许大中型企业向一家或者多家小微企业分包的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w:t>
      </w:r>
      <w:r>
        <w:rPr>
          <w:rFonts w:hint="eastAsia" w:ascii="仿宋_GB2312" w:hAnsi="仿宋" w:eastAsia="仿宋_GB2312"/>
          <w:sz w:val="24"/>
        </w:rPr>
        <w:t>最后</w:t>
      </w:r>
      <w:r>
        <w:rPr>
          <w:rFonts w:ascii="仿宋_GB2312" w:hAnsi="仿宋" w:eastAsia="仿宋_GB2312"/>
          <w:sz w:val="24"/>
        </w:rPr>
        <w:t>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3.5</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w:t>
      </w:r>
      <w:r>
        <w:rPr>
          <w:rFonts w:hint="eastAsia" w:ascii="仿宋_GB2312" w:hAnsi="仿宋" w:eastAsia="仿宋_GB2312"/>
          <w:sz w:val="24"/>
        </w:rPr>
        <w:t>4</w:t>
      </w:r>
      <w:r>
        <w:rPr>
          <w:rFonts w:ascii="仿宋_GB2312" w:hAnsi="仿宋" w:eastAsia="仿宋_GB2312"/>
          <w:sz w:val="24"/>
        </w:rPr>
        <w:t>）的残疾人福利性单位视同小型、微型企业；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3.6</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3.7</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的供应商应按照磋商文件格式要求提供《中小企业声明函》。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3.8</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4. 中小企业信用融资</w:t>
      </w:r>
    </w:p>
    <w:p>
      <w:pPr>
        <w:pStyle w:val="13"/>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凡已在浙江政府采购网网上注册入库，并取得临安区政府采购合同的中小企业供应商，均可申请政府采购信用融资，联系方式见附表（政府采购融资畅通工程金融机构联系信息表）。</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四、询问、质疑与投诉</w:t>
      </w:r>
    </w:p>
    <w:p>
      <w:pPr>
        <w:spacing w:line="360" w:lineRule="auto"/>
        <w:rPr>
          <w:rFonts w:ascii="仿宋_GB2312" w:hAnsi="仿宋" w:eastAsia="仿宋_GB2312"/>
          <w:b/>
          <w:sz w:val="24"/>
        </w:rPr>
      </w:pPr>
      <w:r>
        <w:rPr>
          <w:rFonts w:hint="eastAsia" w:ascii="仿宋_GB2312" w:hAnsi="仿宋" w:eastAsia="仿宋_GB2312"/>
          <w:b/>
          <w:sz w:val="24"/>
        </w:rPr>
        <w:t>1. 供应商询问</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_GB2312" w:hAnsi="仿宋" w:eastAsia="仿宋_GB2312"/>
          <w:b/>
          <w:sz w:val="24"/>
        </w:rPr>
      </w:pPr>
      <w:r>
        <w:rPr>
          <w:rFonts w:hint="eastAsia" w:ascii="仿宋_GB2312" w:hAnsi="仿宋" w:eastAsia="仿宋_GB2312"/>
          <w:b/>
          <w:sz w:val="24"/>
        </w:rPr>
        <w:t>2. 供应商质疑</w:t>
      </w:r>
    </w:p>
    <w:p>
      <w:pPr>
        <w:pStyle w:val="13"/>
        <w:spacing w:line="360" w:lineRule="auto"/>
        <w:ind w:firstLine="482" w:firstLineChars="200"/>
        <w:rPr>
          <w:rFonts w:ascii="仿宋_GB2312" w:hAnsi="仿宋" w:eastAsia="仿宋_GB2312"/>
          <w:b/>
          <w:sz w:val="24"/>
        </w:rPr>
      </w:pPr>
      <w:r>
        <w:rPr>
          <w:rFonts w:hint="eastAsia" w:ascii="仿宋_GB2312" w:hAnsi="仿宋" w:eastAsia="仿宋_GB2312" w:cs="微软雅黑"/>
          <w:b/>
          <w:kern w:val="0"/>
          <w:sz w:val="24"/>
          <w:lang w:val="zh-CN"/>
        </w:rPr>
        <w:t>2</w:t>
      </w:r>
      <w:r>
        <w:rPr>
          <w:rFonts w:hint="eastAsia" w:ascii="仿宋_GB2312" w:hAnsi="仿宋" w:eastAsia="仿宋_GB2312"/>
          <w:b/>
          <w:sz w:val="24"/>
        </w:rPr>
        <w:t>.1质疑提出时效</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2.1.1提出质疑的供应商应当是参与所质疑项目采购活动的供应商。潜在供应商已依法获取其可质疑的采购文件的，可以对该文件提出质疑。</w:t>
      </w:r>
    </w:p>
    <w:p>
      <w:pPr>
        <w:pStyle w:val="13"/>
        <w:spacing w:line="360" w:lineRule="auto"/>
        <w:ind w:firstLine="480" w:firstLineChars="200"/>
        <w:rPr>
          <w:rFonts w:ascii="仿宋_GB2312" w:hAnsi="仿宋" w:eastAsia="仿宋_GB2312"/>
          <w:sz w:val="24"/>
        </w:rPr>
      </w:pPr>
      <w:r>
        <w:rPr>
          <w:rFonts w:hint="eastAsia" w:ascii="仿宋_GB2312" w:hAnsi="仿宋" w:eastAsia="仿宋_GB2312" w:cs="微软雅黑"/>
          <w:kern w:val="0"/>
          <w:sz w:val="24"/>
          <w:lang w:val="zh-CN"/>
        </w:rPr>
        <w:t>2</w:t>
      </w:r>
      <w:r>
        <w:rPr>
          <w:rFonts w:hint="eastAsia" w:ascii="仿宋_GB2312" w:hAnsi="仿宋" w:eastAsia="仿宋_GB2312"/>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1"/>
        <w:spacing w:line="360" w:lineRule="auto"/>
        <w:ind w:firstLine="434" w:firstLineChars="181"/>
        <w:rPr>
          <w:rFonts w:ascii="仿宋_GB2312" w:hAnsi="仿宋" w:eastAsia="仿宋_GB2312"/>
          <w:snapToGrid/>
          <w:color w:val="auto"/>
          <w:kern w:val="2"/>
          <w:sz w:val="24"/>
        </w:rPr>
      </w:pPr>
      <w:r>
        <w:rPr>
          <w:rFonts w:hint="eastAsia" w:ascii="仿宋_GB2312" w:hAnsi="仿宋" w:eastAsia="仿宋_GB2312"/>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2.1.2.2对采购过程提出质疑的，质疑期限为各采购程序环节结束之日起计算。对同一采购程序环节的质疑，供应商须一次性提出。</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2.1.2.3对采购结果提出质疑的，质疑期限自采购结果公告期限届满之日起计算。</w:t>
      </w:r>
    </w:p>
    <w:p>
      <w:pPr>
        <w:pStyle w:val="13"/>
        <w:spacing w:line="360" w:lineRule="auto"/>
        <w:ind w:firstLine="482" w:firstLineChars="200"/>
        <w:rPr>
          <w:rFonts w:ascii="仿宋_GB2312" w:hAnsi="仿宋" w:eastAsia="仿宋_GB2312"/>
          <w:sz w:val="24"/>
        </w:rPr>
      </w:pPr>
      <w:r>
        <w:rPr>
          <w:rFonts w:hint="eastAsia" w:ascii="仿宋_GB2312" w:hAnsi="仿宋" w:eastAsia="仿宋_GB2312"/>
          <w:b/>
          <w:sz w:val="24"/>
        </w:rPr>
        <w:t>2.2质疑答复</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2.2.1采购人或者采购机构应当在收到供应商的书面质疑后七个工作日内作出答复，并以书面形式通知质疑供应商和其他与质疑处理结果有利害关系的政府采购当事人，但答复的内容不得涉及商业秘密。</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2.2.2询问或者质疑事项可能影响采购结果的，采购人应当暂停签订合同，已经签订合同的，应当中止履行合同。</w:t>
      </w:r>
    </w:p>
    <w:p>
      <w:pPr>
        <w:pStyle w:val="13"/>
        <w:spacing w:line="360" w:lineRule="auto"/>
        <w:ind w:firstLine="482" w:firstLineChars="200"/>
        <w:rPr>
          <w:rFonts w:ascii="仿宋_GB2312" w:hAnsi="仿宋" w:eastAsia="仿宋_GB2312"/>
          <w:sz w:val="24"/>
        </w:rPr>
      </w:pPr>
      <w:r>
        <w:rPr>
          <w:rFonts w:hint="eastAsia" w:ascii="仿宋_GB2312" w:hAnsi="仿宋" w:eastAsia="仿宋_GB2312" w:cs="微软雅黑"/>
          <w:b/>
          <w:kern w:val="0"/>
          <w:sz w:val="24"/>
          <w:lang w:val="zh-CN"/>
        </w:rPr>
        <w:t>2.3质疑函</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2.3.1供应商提出质疑应当提交质疑函和必要的证明材料。质疑函应当包括下列内容：</w:t>
      </w:r>
    </w:p>
    <w:p>
      <w:pPr>
        <w:pStyle w:val="13"/>
        <w:numPr>
          <w:ilvl w:val="0"/>
          <w:numId w:val="4"/>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供应商的姓名或者名称、地址、邮编、联系人及联系电话；</w:t>
      </w:r>
    </w:p>
    <w:p>
      <w:pPr>
        <w:pStyle w:val="13"/>
        <w:numPr>
          <w:ilvl w:val="0"/>
          <w:numId w:val="4"/>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质疑项目的名称、编号；</w:t>
      </w:r>
    </w:p>
    <w:p>
      <w:pPr>
        <w:pStyle w:val="13"/>
        <w:numPr>
          <w:ilvl w:val="0"/>
          <w:numId w:val="4"/>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具体、明确的质疑事项和与质疑事项相关的请求；</w:t>
      </w:r>
    </w:p>
    <w:p>
      <w:pPr>
        <w:pStyle w:val="13"/>
        <w:numPr>
          <w:ilvl w:val="0"/>
          <w:numId w:val="4"/>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事实依据；</w:t>
      </w:r>
    </w:p>
    <w:p>
      <w:pPr>
        <w:pStyle w:val="13"/>
        <w:numPr>
          <w:ilvl w:val="0"/>
          <w:numId w:val="4"/>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必要的法律依据；</w:t>
      </w:r>
    </w:p>
    <w:p>
      <w:pPr>
        <w:pStyle w:val="13"/>
        <w:numPr>
          <w:ilvl w:val="0"/>
          <w:numId w:val="4"/>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提出质疑的日期。</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w:t>
      </w:r>
    </w:p>
    <w:p>
      <w:pPr>
        <w:pStyle w:val="13"/>
        <w:spacing w:line="360" w:lineRule="auto"/>
        <w:ind w:firstLine="482" w:firstLineChars="200"/>
        <w:rPr>
          <w:rFonts w:ascii="仿宋_GB2312" w:hAnsi="仿宋" w:eastAsia="仿宋_GB2312"/>
          <w:b/>
          <w:sz w:val="24"/>
        </w:rPr>
      </w:pPr>
      <w:r>
        <w:rPr>
          <w:rFonts w:hint="eastAsia" w:ascii="仿宋_GB2312" w:hAnsi="仿宋" w:eastAsia="仿宋_GB2312"/>
          <w:b/>
          <w:sz w:val="24"/>
        </w:rPr>
        <w:t>质疑函范本及制作说明详见附件4。</w:t>
      </w:r>
    </w:p>
    <w:p>
      <w:pPr>
        <w:spacing w:line="360" w:lineRule="auto"/>
        <w:rPr>
          <w:rFonts w:ascii="仿宋_GB2312" w:hAnsi="仿宋" w:eastAsia="仿宋_GB2312"/>
          <w:b/>
          <w:sz w:val="24"/>
        </w:rPr>
      </w:pPr>
      <w:r>
        <w:rPr>
          <w:rFonts w:hint="eastAsia" w:ascii="仿宋_GB2312" w:hAnsi="仿宋" w:eastAsia="仿宋_GB2312"/>
          <w:b/>
          <w:sz w:val="24"/>
        </w:rPr>
        <w:t>3.供应商投诉</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3.1质疑供应商对采购人、采购机构的答复不满意或者采购人、采购机构未在规定的时间内作出答复的，可以在答复期满后十五个工作日内向同级政府采购监督管理部门提出投诉。</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3.2供应商投诉的事项不得超出已质疑事项的范围，基于质疑答复内容提出的投诉事项除外。</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3.3供应商投诉应当有明确的请求和必要的证明材料。</w:t>
      </w:r>
    </w:p>
    <w:p>
      <w:pPr>
        <w:pStyle w:val="13"/>
        <w:spacing w:line="360" w:lineRule="auto"/>
        <w:ind w:firstLine="480" w:firstLineChars="200"/>
        <w:rPr>
          <w:rFonts w:ascii="仿宋_GB2312" w:hAnsi="仿宋" w:eastAsia="仿宋_GB2312"/>
          <w:sz w:val="24"/>
        </w:rPr>
      </w:pPr>
      <w:r>
        <w:rPr>
          <w:rFonts w:hint="eastAsia" w:ascii="仿宋_GB2312" w:hAnsi="仿宋" w:eastAsia="仿宋_GB2312"/>
          <w:sz w:val="24"/>
        </w:rPr>
        <w:t>3.4以联合体形式参加政府采购活动的，其投诉应当由组成联合体的所有供应商共同提出。</w:t>
      </w:r>
    </w:p>
    <w:p>
      <w:pPr>
        <w:pStyle w:val="13"/>
        <w:spacing w:line="360" w:lineRule="auto"/>
        <w:ind w:firstLine="482" w:firstLineChars="200"/>
        <w:rPr>
          <w:rFonts w:ascii="仿宋_GB2312" w:hAnsi="仿宋" w:eastAsia="仿宋_GB2312"/>
          <w:b/>
          <w:sz w:val="24"/>
        </w:rPr>
      </w:pPr>
      <w:r>
        <w:rPr>
          <w:rFonts w:hint="eastAsia" w:ascii="仿宋_GB2312" w:hAnsi="仿宋" w:eastAsia="仿宋_GB2312"/>
          <w:b/>
          <w:sz w:val="24"/>
        </w:rPr>
        <w:t>投诉书范本及制作说明详见附件5。</w:t>
      </w:r>
    </w:p>
    <w:p>
      <w:pPr>
        <w:pStyle w:val="13"/>
        <w:spacing w:line="360" w:lineRule="auto"/>
        <w:ind w:firstLine="480" w:firstLineChars="200"/>
        <w:rPr>
          <w:rFonts w:ascii="仿宋_GB2312" w:hAnsi="仿宋" w:eastAsia="仿宋_GB2312"/>
          <w:bCs/>
          <w:sz w:val="24"/>
        </w:rPr>
      </w:pPr>
      <w:r>
        <w:rPr>
          <w:rFonts w:hint="eastAsia" w:ascii="仿宋_GB2312" w:hAnsi="仿宋" w:eastAsia="仿宋_GB2312"/>
          <w:bCs/>
          <w:sz w:val="24"/>
        </w:rPr>
        <w:t>3.5在线质疑、投诉。</w:t>
      </w:r>
    </w:p>
    <w:p>
      <w:pPr>
        <w:pStyle w:val="13"/>
        <w:spacing w:line="360" w:lineRule="auto"/>
        <w:ind w:firstLine="480" w:firstLineChars="200"/>
        <w:rPr>
          <w:rFonts w:ascii="仿宋_GB2312" w:hAnsi="仿宋" w:eastAsia="仿宋_GB2312"/>
          <w:bCs/>
          <w:sz w:val="24"/>
        </w:rPr>
      </w:pPr>
      <w:r>
        <w:rPr>
          <w:rFonts w:hint="eastAsia" w:ascii="仿宋_GB2312" w:hAnsi="仿宋" w:eastAsia="仿宋_GB2312"/>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
        <w:spacing w:line="360" w:lineRule="auto"/>
        <w:ind w:firstLine="482" w:firstLineChars="200"/>
        <w:rPr>
          <w:rFonts w:ascii="仿宋_GB2312" w:hAnsi="仿宋" w:eastAsia="仿宋_GB2312"/>
          <w:b/>
          <w:sz w:val="24"/>
        </w:rPr>
      </w:pPr>
    </w:p>
    <w:p>
      <w:pPr>
        <w:spacing w:line="360" w:lineRule="auto"/>
        <w:ind w:firstLine="480" w:firstLineChars="200"/>
        <w:rPr>
          <w:rFonts w:ascii="仿宋_GB2312" w:hAnsi="仿宋" w:eastAsia="仿宋_GB2312"/>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五、磋商文件构成、修改、解释</w:t>
      </w:r>
    </w:p>
    <w:p>
      <w:pPr>
        <w:autoSpaceDE w:val="0"/>
        <w:autoSpaceDN w:val="0"/>
        <w:spacing w:line="360" w:lineRule="auto"/>
        <w:rPr>
          <w:rFonts w:ascii="仿宋_GB2312" w:hAnsi="仿宋" w:eastAsia="仿宋_GB2312"/>
          <w:b/>
          <w:sz w:val="24"/>
        </w:rPr>
      </w:pPr>
      <w:r>
        <w:rPr>
          <w:rFonts w:hint="eastAsia" w:ascii="仿宋_GB2312" w:hAnsi="仿宋" w:eastAsia="仿宋_GB2312"/>
          <w:b/>
          <w:sz w:val="24"/>
        </w:rPr>
        <w:t>1．磋商文件的构成</w:t>
      </w:r>
    </w:p>
    <w:p>
      <w:pPr>
        <w:pStyle w:val="1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1.1 磋商文件包括下列文件及附件</w:t>
      </w:r>
    </w:p>
    <w:p>
      <w:pPr>
        <w:pStyle w:val="13"/>
        <w:numPr>
          <w:ilvl w:val="0"/>
          <w:numId w:val="4"/>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第一部分  供应商邀请</w:t>
      </w:r>
    </w:p>
    <w:p>
      <w:pPr>
        <w:pStyle w:val="13"/>
        <w:numPr>
          <w:ilvl w:val="0"/>
          <w:numId w:val="4"/>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第二部分  竞争性磋商流程</w:t>
      </w:r>
    </w:p>
    <w:p>
      <w:pPr>
        <w:pStyle w:val="13"/>
        <w:numPr>
          <w:ilvl w:val="0"/>
          <w:numId w:val="4"/>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第三部分  供应商须知</w:t>
      </w:r>
    </w:p>
    <w:p>
      <w:pPr>
        <w:pStyle w:val="13"/>
        <w:numPr>
          <w:ilvl w:val="0"/>
          <w:numId w:val="4"/>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第四部分  采购需求</w:t>
      </w:r>
    </w:p>
    <w:p>
      <w:pPr>
        <w:pStyle w:val="13"/>
        <w:numPr>
          <w:ilvl w:val="0"/>
          <w:numId w:val="4"/>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第五部分  评审方法及评审标准</w:t>
      </w:r>
    </w:p>
    <w:p>
      <w:pPr>
        <w:pStyle w:val="13"/>
        <w:numPr>
          <w:ilvl w:val="0"/>
          <w:numId w:val="4"/>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第六部分  拟签订的合同文本</w:t>
      </w:r>
    </w:p>
    <w:p>
      <w:pPr>
        <w:pStyle w:val="13"/>
        <w:numPr>
          <w:ilvl w:val="0"/>
          <w:numId w:val="4"/>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第七部分  应提交的有关格式范例</w:t>
      </w:r>
    </w:p>
    <w:p>
      <w:pPr>
        <w:pStyle w:val="1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1.2 </w:t>
      </w:r>
      <w:r>
        <w:rPr>
          <w:rFonts w:hint="eastAsia" w:ascii="仿宋_GB2312" w:hAnsi="仿宋" w:eastAsia="仿宋_GB2312"/>
          <w:sz w:val="24"/>
        </w:rPr>
        <w:t>与本项目有关的</w:t>
      </w:r>
      <w:r>
        <w:rPr>
          <w:rFonts w:hint="eastAsia" w:ascii="仿宋_GB2312" w:hAnsi="仿宋" w:eastAsia="仿宋_GB2312"/>
          <w:bCs/>
          <w:sz w:val="24"/>
        </w:rPr>
        <w:t>澄清或者修改的内容为磋商文件的组成部分</w:t>
      </w:r>
      <w:r>
        <w:rPr>
          <w:rFonts w:hint="eastAsia" w:ascii="仿宋_GB2312" w:hAnsi="仿宋" w:eastAsia="仿宋_GB2312" w:cs="仿宋_GB2312"/>
          <w:sz w:val="24"/>
        </w:rPr>
        <w:t>。</w:t>
      </w:r>
    </w:p>
    <w:p>
      <w:pPr>
        <w:pStyle w:val="13"/>
        <w:spacing w:line="360" w:lineRule="auto"/>
        <w:rPr>
          <w:rFonts w:ascii="仿宋_GB2312" w:hAnsi="仿宋" w:eastAsia="仿宋_GB2312" w:cs="仿宋_GB2312"/>
          <w:b/>
          <w:sz w:val="24"/>
          <w:szCs w:val="24"/>
        </w:rPr>
      </w:pPr>
      <w:r>
        <w:rPr>
          <w:rFonts w:hint="eastAsia" w:ascii="仿宋_GB2312" w:hAnsi="仿宋" w:eastAsia="仿宋_GB2312"/>
          <w:b/>
          <w:sz w:val="24"/>
          <w:szCs w:val="24"/>
        </w:rPr>
        <w:t>2. 磋商文件的</w:t>
      </w:r>
      <w:r>
        <w:rPr>
          <w:rFonts w:hint="eastAsia" w:ascii="仿宋_GB2312" w:hAnsi="仿宋" w:eastAsia="仿宋_GB2312" w:cs="仿宋_GB2312"/>
          <w:b/>
          <w:sz w:val="24"/>
          <w:szCs w:val="24"/>
        </w:rPr>
        <w:t>澄清、修改</w:t>
      </w:r>
    </w:p>
    <w:p>
      <w:pPr>
        <w:pStyle w:val="29"/>
        <w:snapToGrid w:val="0"/>
        <w:spacing w:before="0"/>
        <w:ind w:firstLine="480"/>
        <w:rPr>
          <w:rFonts w:ascii="仿宋_GB2312" w:hAnsi="仿宋" w:eastAsia="仿宋_GB2312" w:cs="仿宋_GB2312"/>
        </w:rPr>
      </w:pPr>
      <w:r>
        <w:rPr>
          <w:rFonts w:hint="eastAsia" w:ascii="仿宋_GB2312" w:hAnsi="仿宋" w:eastAsia="仿宋_GB2312" w:cs="仿宋_GB2312"/>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29"/>
        <w:snapToGrid w:val="0"/>
        <w:spacing w:before="0"/>
        <w:ind w:firstLine="480"/>
        <w:rPr>
          <w:rFonts w:ascii="仿宋_GB2312" w:hAnsi="仿宋" w:eastAsia="仿宋_GB2312"/>
        </w:rPr>
      </w:pPr>
      <w:r>
        <w:rPr>
          <w:rFonts w:hint="eastAsia" w:ascii="仿宋_GB2312" w:hAnsi="仿宋" w:eastAsia="仿宋_GB2312"/>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29"/>
        <w:snapToGrid w:val="0"/>
        <w:spacing w:before="0"/>
        <w:ind w:firstLine="480"/>
        <w:rPr>
          <w:rFonts w:ascii="仿宋_GB2312" w:hAnsi="仿宋" w:eastAsia="仿宋_GB2312"/>
        </w:rPr>
      </w:pPr>
      <w:r>
        <w:rPr>
          <w:rFonts w:hint="eastAsia" w:ascii="仿宋_GB2312" w:hAnsi="仿宋" w:eastAsia="仿宋_GB2312"/>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9"/>
        <w:snapToGrid w:val="0"/>
        <w:spacing w:before="0"/>
        <w:ind w:firstLine="482"/>
        <w:rPr>
          <w:rFonts w:ascii="仿宋_GB2312" w:hAnsi="仿宋" w:eastAsia="仿宋_GB2312"/>
        </w:rPr>
      </w:pPr>
      <w:r>
        <w:rPr>
          <w:rFonts w:hint="eastAsia" w:ascii="仿宋_GB2312" w:hAnsi="仿宋" w:eastAsia="仿宋_GB2312"/>
          <w:b/>
        </w:rPr>
        <w:t>▲</w:t>
      </w:r>
      <w:r>
        <w:rPr>
          <w:rFonts w:hint="eastAsia" w:ascii="仿宋_GB2312" w:hAnsi="仿宋" w:eastAsia="仿宋_GB2312" w:cs="仿宋_GB2312"/>
          <w:b/>
          <w:szCs w:val="21"/>
        </w:rPr>
        <w:t>响应文件未按磋商文件的澄清、修改的内容编制，又不符合实质性要求的，响应无效。</w:t>
      </w:r>
    </w:p>
    <w:p>
      <w:pPr>
        <w:pStyle w:val="3"/>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六、响应文件的编制</w:t>
      </w:r>
    </w:p>
    <w:p>
      <w:pPr>
        <w:pStyle w:val="13"/>
        <w:spacing w:line="360" w:lineRule="auto"/>
        <w:rPr>
          <w:rFonts w:ascii="仿宋_GB2312" w:hAnsi="仿宋_GB2312" w:eastAsia="仿宋_GB2312" w:cs="仿宋_GB2312"/>
          <w:b/>
          <w:sz w:val="24"/>
          <w:szCs w:val="24"/>
        </w:rPr>
      </w:pPr>
      <w:r>
        <w:rPr>
          <w:rFonts w:hint="eastAsia" w:ascii="仿宋_GB2312" w:hAnsi="仿宋" w:eastAsia="仿宋_GB2312"/>
          <w:b/>
          <w:sz w:val="24"/>
        </w:rPr>
        <w:t>1. 响应文件的语言</w:t>
      </w:r>
    </w:p>
    <w:p>
      <w:pPr>
        <w:pStyle w:val="13"/>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rPr>
        <w:t>响应文件及供应商与采购有关的来往通知、函件和文件均应使用中文。</w:t>
      </w:r>
    </w:p>
    <w:p>
      <w:pPr>
        <w:pStyle w:val="13"/>
        <w:spacing w:line="360" w:lineRule="auto"/>
        <w:rPr>
          <w:rFonts w:ascii="仿宋_GB2312" w:hAnsi="仿宋_GB2312" w:eastAsia="仿宋_GB2312" w:cs="仿宋_GB2312"/>
          <w:b/>
          <w:sz w:val="24"/>
          <w:szCs w:val="24"/>
        </w:rPr>
      </w:pPr>
      <w:r>
        <w:rPr>
          <w:rFonts w:hint="eastAsia" w:ascii="仿宋_GB2312" w:hAnsi="仿宋" w:eastAsia="仿宋_GB2312"/>
          <w:b/>
          <w:sz w:val="24"/>
        </w:rPr>
        <w:t>2. 响应文件的组成</w:t>
      </w:r>
    </w:p>
    <w:p>
      <w:pPr>
        <w:pStyle w:val="13"/>
        <w:spacing w:line="360" w:lineRule="auto"/>
        <w:ind w:firstLine="480" w:firstLineChars="200"/>
        <w:rPr>
          <w:rFonts w:ascii="仿宋_GB2312" w:hAnsi="仿宋_GB2312" w:eastAsia="仿宋_GB2312" w:cs="仿宋_GB2312"/>
          <w:sz w:val="24"/>
          <w:szCs w:val="24"/>
        </w:rPr>
      </w:pPr>
      <w:r>
        <w:rPr>
          <w:rFonts w:hint="eastAsia" w:ascii="仿宋_GB2312" w:hAnsi="仿宋" w:eastAsia="仿宋_GB2312"/>
          <w:sz w:val="24"/>
        </w:rPr>
        <w:t>响应文件应当</w:t>
      </w:r>
      <w:r>
        <w:rPr>
          <w:rFonts w:hint="eastAsia" w:ascii="仿宋_GB2312" w:hAnsi="仿宋_GB2312" w:eastAsia="仿宋_GB2312" w:cs="仿宋_GB2312"/>
          <w:sz w:val="24"/>
        </w:rPr>
        <w:t>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。响应文件应当对磋商文件提出的要求和条件作出明确响应。</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2.1 资格文件</w:t>
      </w:r>
      <w:r>
        <w:rPr>
          <w:rFonts w:hint="eastAsia" w:ascii="仿宋_GB2312" w:hAnsi="仿宋_GB2312" w:eastAsia="仿宋_GB2312" w:cs="仿宋_GB2312"/>
          <w:sz w:val="24"/>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.1.1符合参加政府采购活动应当具备的一般条件的承诺函；</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.1.2落实政府采购政策需满足的资格要求；</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.1.3本项目的特定资格要求。</w:t>
      </w:r>
    </w:p>
    <w:p>
      <w:pPr>
        <w:pStyle w:val="13"/>
        <w:spacing w:line="360" w:lineRule="auto"/>
        <w:rPr>
          <w:rFonts w:ascii="仿宋_GB2312" w:hAnsi="仿宋_GB2312" w:eastAsia="仿宋_GB2312" w:cs="仿宋_GB2312"/>
          <w:sz w:val="24"/>
          <w:lang w:val="zh-CN"/>
        </w:rPr>
      </w:pPr>
      <w:r>
        <w:rPr>
          <w:rFonts w:hint="eastAsia" w:ascii="仿宋_GB2312" w:hAnsi="仿宋_GB2312" w:eastAsia="仿宋_GB2312" w:cs="仿宋_GB2312"/>
          <w:b/>
          <w:bCs/>
          <w:kern w:val="0"/>
          <w:sz w:val="24"/>
          <w:szCs w:val="24"/>
          <w:lang w:val="zh-CN"/>
        </w:rPr>
        <w:t xml:space="preserve">2.2  </w:t>
      </w:r>
      <w:r>
        <w:rPr>
          <w:rFonts w:hint="eastAsia" w:ascii="仿宋_GB2312" w:hAnsi="仿宋_GB2312" w:eastAsia="仿宋_GB2312" w:cs="仿宋_GB2312"/>
          <w:b/>
          <w:bCs/>
          <w:sz w:val="24"/>
          <w:szCs w:val="24"/>
        </w:rPr>
        <w:t>商务</w:t>
      </w:r>
      <w:r>
        <w:rPr>
          <w:rFonts w:hint="eastAsia" w:ascii="仿宋_GB2312" w:hAnsi="仿宋_GB2312" w:eastAsia="仿宋_GB2312" w:cs="仿宋_GB2312"/>
          <w:b/>
          <w:sz w:val="24"/>
          <w:szCs w:val="24"/>
        </w:rPr>
        <w:t>技术</w:t>
      </w:r>
      <w:r>
        <w:rPr>
          <w:rFonts w:hint="eastAsia" w:ascii="仿宋_GB2312" w:hAnsi="仿宋_GB2312" w:eastAsia="仿宋_GB2312" w:cs="仿宋_GB2312"/>
          <w:b/>
          <w:kern w:val="0"/>
          <w:sz w:val="24"/>
          <w:szCs w:val="24"/>
          <w:lang w:val="zh-CN"/>
        </w:rPr>
        <w:t>文件</w:t>
      </w:r>
      <w:r>
        <w:rPr>
          <w:rFonts w:hint="eastAsia" w:ascii="仿宋_GB2312" w:hAnsi="仿宋_GB2312" w:eastAsia="仿宋_GB2312" w:cs="仿宋_GB2312"/>
          <w:bCs/>
          <w:kern w:val="0"/>
          <w:sz w:val="24"/>
          <w:szCs w:val="24"/>
          <w:lang w:val="zh-CN"/>
        </w:rPr>
        <w:t>应</w:t>
      </w:r>
      <w:r>
        <w:rPr>
          <w:rFonts w:hint="eastAsia" w:ascii="仿宋_GB2312" w:hAnsi="仿宋_GB2312" w:eastAsia="仿宋_GB2312" w:cs="仿宋_GB2312"/>
          <w:sz w:val="24"/>
          <w:lang w:val="zh-CN"/>
        </w:rPr>
        <w:t>包括以下内容</w:t>
      </w:r>
      <w:r>
        <w:rPr>
          <w:rFonts w:hint="eastAsia" w:ascii="仿宋_GB2312" w:hAnsi="仿宋_GB2312" w:eastAsia="仿宋_GB2312" w:cs="仿宋_GB2312"/>
          <w:sz w:val="24"/>
        </w:rPr>
        <w:t>（均需使用电子签名）</w:t>
      </w:r>
      <w:r>
        <w:rPr>
          <w:rFonts w:hint="eastAsia" w:ascii="仿宋_GB2312" w:hAnsi="仿宋_GB2312" w:eastAsia="仿宋_GB2312" w:cs="仿宋_GB2312"/>
          <w:sz w:val="24"/>
          <w:lang w:val="zh-CN"/>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.2.2授权委托书或法定代表人（单位负责人、自然人本人）身份证明；</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.2.3联合协议；</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.2.4分包意向协议；</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.2.5符合性审查资料；</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.2.6评标标准相应的商务技术资料；</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.2.7商务技术偏离表；</w:t>
      </w:r>
    </w:p>
    <w:p>
      <w:pPr>
        <w:snapToGrid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rPr>
          <w:rFonts w:ascii="仿宋_GB2312" w:hAnsi="仿宋" w:eastAsia="仿宋_GB2312"/>
          <w:kern w:val="0"/>
          <w:sz w:val="24"/>
          <w:szCs w:val="20"/>
          <w:lang w:val="zh-CN"/>
        </w:rPr>
      </w:pPr>
      <w:r>
        <w:rPr>
          <w:rFonts w:hint="eastAsia" w:ascii="仿宋_GB2312" w:hAnsi="仿宋" w:eastAsia="仿宋_GB2312"/>
          <w:kern w:val="0"/>
          <w:sz w:val="24"/>
          <w:szCs w:val="20"/>
          <w:lang w:val="zh-CN"/>
        </w:rPr>
        <w:t>2.3  投标人的</w:t>
      </w:r>
      <w:r>
        <w:rPr>
          <w:rFonts w:hint="eastAsia" w:ascii="仿宋_GB2312" w:hAnsi="仿宋" w:eastAsia="仿宋_GB2312"/>
          <w:b/>
          <w:bCs/>
          <w:kern w:val="0"/>
          <w:sz w:val="24"/>
          <w:szCs w:val="20"/>
          <w:lang w:val="zh-CN"/>
        </w:rPr>
        <w:t>报价文件</w:t>
      </w:r>
      <w:r>
        <w:rPr>
          <w:rFonts w:hint="eastAsia" w:ascii="仿宋_GB2312" w:hAnsi="仿宋" w:eastAsia="仿宋_GB2312"/>
          <w:kern w:val="0"/>
          <w:sz w:val="24"/>
          <w:szCs w:val="20"/>
          <w:lang w:val="zh-CN"/>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.3.1开标一览表（报价表）；</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.3.2中小企业声明函。</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p>
    <w:p>
      <w:pPr>
        <w:spacing w:line="360" w:lineRule="auto"/>
        <w:ind w:firstLine="482" w:firstLineChars="200"/>
      </w:pPr>
      <w:r>
        <w:rPr>
          <w:rFonts w:hint="eastAsia" w:ascii="仿宋_GB2312" w:hAnsi="仿宋" w:eastAsia="仿宋_GB2312"/>
          <w:b/>
          <w:color w:val="000000" w:themeColor="text1"/>
          <w:sz w:val="24"/>
          <w14:textFill>
            <w14:solidFill>
              <w14:schemeClr w14:val="tx1"/>
            </w14:solidFill>
          </w14:textFill>
        </w:rPr>
        <w:t>投标人提供虚假材料投标的，投标无效。</w:t>
      </w:r>
    </w:p>
    <w:p>
      <w:pPr>
        <w:pStyle w:val="13"/>
        <w:spacing w:line="360" w:lineRule="auto"/>
        <w:rPr>
          <w:rFonts w:ascii="仿宋_GB2312" w:hAnsi="仿宋_GB2312" w:eastAsia="仿宋_GB2312" w:cs="仿宋_GB2312"/>
          <w:b/>
          <w:sz w:val="24"/>
          <w:szCs w:val="24"/>
        </w:rPr>
      </w:pPr>
      <w:r>
        <w:rPr>
          <w:rFonts w:hint="eastAsia" w:ascii="仿宋_GB2312" w:hAnsi="仿宋" w:eastAsia="仿宋_GB2312"/>
          <w:b/>
          <w:sz w:val="24"/>
          <w:szCs w:val="24"/>
        </w:rPr>
        <w:t>3. 响应文件的编制和签署</w:t>
      </w:r>
    </w:p>
    <w:p>
      <w:pPr>
        <w:spacing w:line="360" w:lineRule="auto"/>
        <w:ind w:firstLine="480" w:firstLineChars="200"/>
        <w:rPr>
          <w:rFonts w:ascii="仿宋_GB2312" w:hAnsi="仿宋" w:eastAsia="仿宋_GB2312" w:cs="仿宋_GB2312"/>
          <w:b/>
          <w:sz w:val="24"/>
        </w:rPr>
      </w:pPr>
      <w:r>
        <w:rPr>
          <w:rFonts w:hint="eastAsia" w:ascii="仿宋_GB2312" w:hAnsi="仿宋" w:eastAsia="仿宋_GB2312" w:cs="仿宋_GB2312"/>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_GB2312" w:hAnsi="仿宋" w:eastAsia="仿宋_GB2312"/>
          <w:b/>
          <w:sz w:val="24"/>
        </w:rPr>
        <w:t>▲</w:t>
      </w:r>
      <w:r>
        <w:rPr>
          <w:rFonts w:hint="eastAsia" w:ascii="仿宋_GB2312" w:hAnsi="仿宋" w:eastAsia="仿宋_GB2312" w:cs="仿宋_GB2312"/>
          <w:b/>
          <w:sz w:val="24"/>
        </w:rPr>
        <w:t>响应文件未按规定的格式编制的，响应无效；</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3.3使用“政采云电子交易客户端”需要提前申领CA数字证书，申领流程请自行前往“浙江政府采购网-下载专区-电子交易客户端-CA驱动和申领流程”进行查阅。</w:t>
      </w:r>
    </w:p>
    <w:p>
      <w:pPr>
        <w:pStyle w:val="29"/>
        <w:snapToGrid w:val="0"/>
        <w:spacing w:before="0"/>
        <w:ind w:firstLine="480"/>
        <w:rPr>
          <w:rFonts w:ascii="仿宋_GB2312" w:hAnsi="仿宋" w:eastAsia="仿宋_GB2312" w:cs="仿宋_GB2312"/>
          <w:b/>
        </w:rPr>
      </w:pPr>
      <w:r>
        <w:rPr>
          <w:rFonts w:hint="eastAsia" w:ascii="仿宋_GB2312" w:hAnsi="仿宋" w:eastAsia="仿宋_GB2312" w:cs="仿宋_GB2312"/>
          <w:szCs w:val="24"/>
        </w:rPr>
        <w:t>3.4响应文件按照磋商文件第七部分格式要</w:t>
      </w:r>
      <w:r>
        <w:rPr>
          <w:rFonts w:hint="eastAsia" w:ascii="仿宋_GB2312" w:hAnsi="仿宋" w:eastAsia="仿宋_GB2312" w:cs="仿宋_GB2312"/>
        </w:rPr>
        <w:t>求进行签署、盖章。</w:t>
      </w:r>
      <w:r>
        <w:rPr>
          <w:rFonts w:hint="eastAsia" w:ascii="仿宋_GB2312" w:hAnsi="仿宋" w:eastAsia="仿宋_GB2312" w:cs="仿宋_GB2312"/>
          <w:b/>
        </w:rPr>
        <w:t>供应商的响应文件未按照磋商文件要求签署、盖章的，其响应无效</w:t>
      </w:r>
      <w:r>
        <w:rPr>
          <w:rFonts w:hint="eastAsia" w:ascii="仿宋_GB2312" w:hAnsi="仿宋" w:eastAsia="仿宋_GB2312" w:cs="仿宋_GB2312"/>
          <w:szCs w:val="24"/>
        </w:rPr>
        <w:t>。</w:t>
      </w:r>
    </w:p>
    <w:p>
      <w:pPr>
        <w:pStyle w:val="13"/>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七、</w:t>
      </w:r>
      <w:r>
        <w:rPr>
          <w:rFonts w:hint="eastAsia" w:ascii="仿宋_GB2312" w:hAnsi="仿宋" w:eastAsia="仿宋_GB2312"/>
          <w:b/>
          <w:sz w:val="32"/>
          <w:szCs w:val="32"/>
        </w:rPr>
        <w:t>响应</w:t>
      </w:r>
      <w:r>
        <w:rPr>
          <w:rFonts w:hint="eastAsia" w:ascii="仿宋_GB2312" w:hAnsi="仿宋_GB2312" w:eastAsia="仿宋_GB2312" w:cs="仿宋_GB2312"/>
          <w:b/>
          <w:sz w:val="32"/>
          <w:szCs w:val="20"/>
        </w:rPr>
        <w:t>文件的提交和备份</w:t>
      </w:r>
    </w:p>
    <w:p>
      <w:pPr>
        <w:pStyle w:val="29"/>
        <w:spacing w:before="0"/>
        <w:ind w:firstLine="0" w:firstLineChars="0"/>
        <w:rPr>
          <w:rFonts w:ascii="仿宋_GB2312" w:hAnsi="仿宋" w:eastAsia="仿宋_GB2312" w:cs="仿宋_GB2312"/>
          <w:b/>
          <w:szCs w:val="24"/>
        </w:rPr>
      </w:pPr>
    </w:p>
    <w:p>
      <w:pPr>
        <w:pStyle w:val="29"/>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1.响应文件的提交、补充、修改、撤回</w:t>
      </w:r>
    </w:p>
    <w:p>
      <w:pPr>
        <w:pStyle w:val="29"/>
        <w:ind w:firstLine="480"/>
        <w:rPr>
          <w:rFonts w:ascii="仿宋_GB2312" w:hAnsi="仿宋" w:eastAsia="仿宋_GB2312" w:cs="仿宋_GB2312"/>
          <w:szCs w:val="24"/>
        </w:rPr>
      </w:pPr>
      <w:r>
        <w:rPr>
          <w:rFonts w:hint="eastAsia" w:ascii="仿宋_GB2312" w:hAnsi="仿宋" w:eastAsia="仿宋_GB2312" w:cs="仿宋_GB2312"/>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1.2 在响应截止时间以后，不能补充、修改响应文件。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1.3 在提交“最后报价”后，供应商不能退出磋商。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1.5 采购机构可以视情况延长响应文件提交的截止时间。在上述情况下，采购机构与供应商以前在响应截止期方面的全部权利、责任和义务，将适用于延长至新的响应截止期。</w:t>
      </w:r>
    </w:p>
    <w:p>
      <w:pPr>
        <w:pStyle w:val="13"/>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2.备份响应文件</w:t>
      </w:r>
    </w:p>
    <w:p>
      <w:pPr>
        <w:pStyle w:val="13"/>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2.1 供应商在电子交易平台传输递交响应文件后，还可以在响应截止时间前直接提交或者以快递方式递交备份响应文件1份，</w:t>
      </w:r>
      <w:r>
        <w:rPr>
          <w:rFonts w:hint="eastAsia" w:ascii="仿宋_GB2312" w:hAnsi="仿宋" w:eastAsia="仿宋_GB2312" w:cs="仿宋_GB2312"/>
          <w:b/>
          <w:sz w:val="24"/>
          <w:szCs w:val="24"/>
        </w:rPr>
        <w:t>但采购人、采购机构不强制或变相强制供应商提交备份响应文件。</w:t>
      </w:r>
    </w:p>
    <w:p>
      <w:pPr>
        <w:pStyle w:val="13"/>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2.2 备份响应文件须在“政采云投标客户端”制作生成，并储存在</w:t>
      </w:r>
      <w:r>
        <w:rPr>
          <w:rFonts w:hint="eastAsia" w:ascii="仿宋_GB2312" w:hAnsi="仿宋" w:eastAsia="仿宋_GB2312"/>
          <w:b/>
          <w:sz w:val="24"/>
        </w:rPr>
        <w:t>DVD光盘或U盘</w:t>
      </w:r>
      <w:r>
        <w:rPr>
          <w:rFonts w:hint="eastAsia" w:ascii="仿宋_GB2312" w:hAnsi="仿宋" w:eastAsia="仿宋_GB2312"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存储、密封规定的备份响应文件将被视为无效或者被拒绝接收。</w:t>
      </w:r>
    </w:p>
    <w:p>
      <w:pPr>
        <w:pStyle w:val="13"/>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3"/>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2.4 以快递方式递交备份响应文件的，供应商应先将备份响应文件按要求密封和标记，再进行快递包装后邮寄。备份响应文件须在响应截止时间之前送达浙江省杭州市临安区锦北街道马溪路667号1号楼2楼；送达时间以签收人签收时间为准（签收人：马丽，联系电话：0571-61091202）。采购机构将拒绝接受逾期送达的备份响应文件。邮寄过程中，电子备份响应文件发生泄露、遗失、损坏或延期送达等情况的，由供应商自行负责。</w:t>
      </w:r>
    </w:p>
    <w:p>
      <w:pPr>
        <w:pStyle w:val="13"/>
        <w:spacing w:line="360" w:lineRule="auto"/>
        <w:ind w:firstLine="361" w:firstLineChars="150"/>
        <w:rPr>
          <w:rFonts w:ascii="仿宋_GB2312" w:hAnsi="仿宋" w:eastAsia="仿宋_GB2312" w:cs="仿宋_GB2312"/>
          <w:sz w:val="24"/>
          <w:szCs w:val="24"/>
        </w:rPr>
      </w:pPr>
      <w:r>
        <w:rPr>
          <w:rFonts w:hint="eastAsia" w:ascii="仿宋_GB2312" w:hAnsi="仿宋" w:eastAsia="仿宋_GB2312" w:cs="仿宋_GB2312"/>
          <w:b/>
          <w:sz w:val="24"/>
          <w:szCs w:val="24"/>
        </w:rPr>
        <w:t xml:space="preserve">2.5 </w:t>
      </w:r>
      <w:r>
        <w:rPr>
          <w:rFonts w:hint="eastAsia" w:ascii="仿宋_GB2312" w:hAnsi="仿宋" w:eastAsia="仿宋_GB2312"/>
          <w:b/>
          <w:sz w:val="24"/>
        </w:rPr>
        <w:t>▲</w:t>
      </w:r>
      <w:r>
        <w:rPr>
          <w:rFonts w:hint="eastAsia" w:ascii="仿宋_GB2312" w:hAnsi="仿宋" w:eastAsia="仿宋_GB2312" w:cs="仿宋_GB2312"/>
          <w:b/>
          <w:sz w:val="24"/>
          <w:szCs w:val="24"/>
        </w:rPr>
        <w:t>供应商仅提交备份响应文件，没有在电子交易平台传输递交响应文件的，响应无效。</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八、</w:t>
      </w:r>
      <w:r>
        <w:rPr>
          <w:rFonts w:hint="eastAsia" w:ascii="仿宋_GB2312" w:hAnsi="仿宋" w:eastAsia="仿宋_GB2312"/>
          <w:b/>
          <w:sz w:val="32"/>
          <w:szCs w:val="32"/>
        </w:rPr>
        <w:t>开启响应文件与信用信息查询</w:t>
      </w:r>
    </w:p>
    <w:p>
      <w:pPr>
        <w:pStyle w:val="13"/>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 开启响应文件</w:t>
      </w:r>
    </w:p>
    <w:p>
      <w:pPr>
        <w:pStyle w:val="13"/>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1.1 采购机构按照磋商文件规定的时间通过电子交易平台组织响应文件开启，所有供应商均应当准时在线参加。</w:t>
      </w:r>
      <w:r>
        <w:rPr>
          <w:rFonts w:hint="eastAsia" w:ascii="仿宋_GB2312" w:hAnsi="仿宋" w:eastAsia="仿宋_GB2312" w:cs="仿宋_GB2312"/>
          <w:b/>
          <w:sz w:val="24"/>
          <w:szCs w:val="24"/>
        </w:rPr>
        <w:t>供应商数量不符合规定的，不得开启响应文件。</w:t>
      </w:r>
    </w:p>
    <w:p>
      <w:pPr>
        <w:pStyle w:val="13"/>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3"/>
        <w:spacing w:line="360" w:lineRule="auto"/>
        <w:ind w:firstLine="361" w:firstLineChars="150"/>
        <w:rPr>
          <w:rFonts w:ascii="仿宋_GB2312" w:hAnsi="仿宋" w:eastAsia="仿宋_GB2312" w:cs="仿宋_GB2312"/>
          <w:b/>
          <w:sz w:val="24"/>
          <w:szCs w:val="24"/>
        </w:rPr>
      </w:pPr>
      <w:r>
        <w:rPr>
          <w:rFonts w:hint="eastAsia" w:ascii="仿宋_GB2312" w:hAnsi="仿宋" w:eastAsia="仿宋_GB2312" w:cs="仿宋_GB2312"/>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9"/>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2.信用信息查询</w:t>
      </w:r>
    </w:p>
    <w:p>
      <w:pPr>
        <w:pStyle w:val="29"/>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2.1信用信息查询渠道及截止时间：采购机构将通过“信用中国”网站(www.creditchina.gov.cn)和中国政府采购网(www.ccgp.gov.cn)渠道查询供应商响应截止时间前的信用记录。</w:t>
      </w:r>
    </w:p>
    <w:p>
      <w:pPr>
        <w:pStyle w:val="29"/>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2.2信用信息查询记录和证据留存的具体方式：现场查询的供应商的信用记录、查询结果经确认后存档。</w:t>
      </w:r>
    </w:p>
    <w:p>
      <w:pPr>
        <w:pStyle w:val="29"/>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2.3信用信息的使用规则：经查询列入失信被执行人名单、重大税收违法案件当事人名单、政府采购严重违法失信行为记录名单的供应商将被拒绝参与政府采购活动。</w:t>
      </w:r>
    </w:p>
    <w:p>
      <w:pPr>
        <w:pStyle w:val="29"/>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3"/>
        <w:spacing w:line="360" w:lineRule="auto"/>
        <w:rPr>
          <w:rFonts w:ascii="仿宋_GB2312" w:hAnsi="仿宋_GB2312" w:eastAsia="仿宋_GB2312" w:cs="仿宋_GB2312"/>
          <w:b/>
          <w:sz w:val="24"/>
          <w:szCs w:val="24"/>
        </w:rPr>
      </w:pPr>
    </w:p>
    <w:p>
      <w:pPr>
        <w:adjustRightInd/>
        <w:spacing w:line="360" w:lineRule="auto"/>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九</w:t>
      </w:r>
      <w:r>
        <w:rPr>
          <w:rFonts w:hint="eastAsia" w:ascii="仿宋_GB2312" w:hAnsi="仿宋_GB2312" w:eastAsia="仿宋_GB2312" w:cs="仿宋_GB2312"/>
          <w:b/>
          <w:sz w:val="32"/>
          <w:szCs w:val="20"/>
        </w:rPr>
        <w:t>、</w:t>
      </w:r>
      <w:r>
        <w:rPr>
          <w:rFonts w:hint="eastAsia" w:ascii="仿宋_GB2312" w:hAnsi="仿宋" w:eastAsia="仿宋_GB2312"/>
          <w:b/>
          <w:sz w:val="32"/>
          <w:szCs w:val="32"/>
        </w:rPr>
        <w:t>评审</w:t>
      </w:r>
    </w:p>
    <w:p>
      <w:pPr>
        <w:pStyle w:val="29"/>
        <w:spacing w:before="0"/>
        <w:ind w:firstLine="0" w:firstLineChars="0"/>
        <w:rPr>
          <w:rFonts w:ascii="仿宋_GB2312" w:hAnsi="仿宋" w:eastAsia="仿宋_GB2312" w:cs="仿宋_GB2312"/>
          <w:b/>
        </w:rPr>
      </w:pPr>
      <w:r>
        <w:rPr>
          <w:rFonts w:hint="eastAsia" w:ascii="仿宋_GB2312" w:hAnsi="仿宋" w:eastAsia="仿宋_GB2312"/>
          <w:b/>
          <w:szCs w:val="24"/>
        </w:rPr>
        <w:t>1.</w:t>
      </w:r>
      <w:r>
        <w:rPr>
          <w:rFonts w:hint="eastAsia" w:ascii="仿宋_GB2312" w:hAnsi="仿宋" w:eastAsia="仿宋_GB2312" w:cs="仿宋_GB2312"/>
          <w:b/>
        </w:rPr>
        <w:t>评审方法：</w:t>
      </w:r>
      <w:r>
        <w:rPr>
          <w:rFonts w:hint="eastAsia" w:ascii="仿宋_GB2312" w:hAnsi="仿宋" w:eastAsia="仿宋_GB2312" w:cs="仿宋_GB2312"/>
        </w:rPr>
        <w:t>综合评分法。</w:t>
      </w:r>
    </w:p>
    <w:p>
      <w:pPr>
        <w:pStyle w:val="29"/>
        <w:spacing w:before="0"/>
        <w:ind w:firstLine="0" w:firstLineChars="0"/>
        <w:rPr>
          <w:rFonts w:ascii="仿宋_GB2312" w:hAnsi="仿宋" w:eastAsia="仿宋_GB2312" w:cs="仿宋_GB2312"/>
          <w:b/>
        </w:rPr>
      </w:pPr>
      <w:r>
        <w:rPr>
          <w:rFonts w:hint="eastAsia" w:ascii="仿宋_GB2312" w:hAnsi="仿宋" w:eastAsia="仿宋_GB2312" w:cs="仿宋_GB2312"/>
          <w:b/>
        </w:rPr>
        <w:t>2.价格分计算方法：</w:t>
      </w:r>
      <w:r>
        <w:rPr>
          <w:rFonts w:hint="eastAsia" w:ascii="仿宋_GB2312" w:hAnsi="仿宋" w:eastAsia="仿宋_GB2312" w:cs="仿宋_GB2312"/>
        </w:rPr>
        <w:t>低价优先法。</w:t>
      </w:r>
    </w:p>
    <w:p>
      <w:pPr>
        <w:pStyle w:val="29"/>
        <w:spacing w:before="0"/>
        <w:ind w:firstLine="0" w:firstLineChars="0"/>
        <w:rPr>
          <w:rFonts w:ascii="仿宋_GB2312" w:hAnsi="仿宋" w:eastAsia="仿宋_GB2312"/>
          <w:szCs w:val="24"/>
        </w:rPr>
      </w:pPr>
      <w:r>
        <w:rPr>
          <w:rFonts w:hint="eastAsia" w:ascii="仿宋_GB2312" w:hAnsi="仿宋" w:eastAsia="仿宋_GB2312" w:cs="仿宋_GB2312"/>
          <w:b/>
        </w:rPr>
        <w:t>3.评审要求：</w:t>
      </w:r>
      <w:r>
        <w:rPr>
          <w:rFonts w:hint="eastAsia" w:ascii="仿宋_GB2312" w:hAnsi="仿宋" w:eastAsia="仿宋_GB2312" w:cs="仿宋_GB2312"/>
        </w:rPr>
        <w:t>详见磋商文件第五部分“评审方法及评审标准”。</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 w:eastAsia="仿宋_GB2312"/>
          <w:b/>
          <w:sz w:val="32"/>
          <w:szCs w:val="32"/>
        </w:rPr>
      </w:pPr>
      <w:r>
        <w:rPr>
          <w:rFonts w:hint="eastAsia" w:ascii="仿宋_GB2312" w:hAnsi="仿宋_GB2312" w:eastAsia="仿宋_GB2312" w:cs="仿宋_GB2312"/>
          <w:b/>
          <w:sz w:val="32"/>
          <w:szCs w:val="20"/>
        </w:rPr>
        <w:t>十、提交</w:t>
      </w:r>
      <w:r>
        <w:rPr>
          <w:rFonts w:hint="eastAsia" w:ascii="仿宋_GB2312" w:hAnsi="仿宋" w:eastAsia="仿宋_GB2312"/>
          <w:b/>
          <w:sz w:val="32"/>
          <w:szCs w:val="32"/>
        </w:rPr>
        <w:t>最后报价</w:t>
      </w:r>
    </w:p>
    <w:p>
      <w:pPr>
        <w:snapToGrid w:val="0"/>
        <w:spacing w:line="360" w:lineRule="auto"/>
        <w:rPr>
          <w:rFonts w:ascii="仿宋_GB2312" w:hAnsi="仿宋_GB2312" w:eastAsia="仿宋_GB2312" w:cs="仿宋_GB2312"/>
          <w:sz w:val="24"/>
          <w:u w:val="single"/>
          <w:lang w:val="zh-CN"/>
        </w:rPr>
      </w:pPr>
      <w:r>
        <w:rPr>
          <w:rFonts w:hint="eastAsia" w:ascii="仿宋_GB2312" w:hAnsi="仿宋" w:eastAsia="仿宋_GB2312"/>
          <w:b/>
          <w:sz w:val="24"/>
        </w:rPr>
        <w:t>1.</w:t>
      </w:r>
      <w:r>
        <w:rPr>
          <w:rFonts w:hint="eastAsia" w:ascii="仿宋_GB2312" w:hAnsi="仿宋" w:eastAsia="仿宋_GB2312" w:cs="仿宋_GB2312"/>
          <w:sz w:val="24"/>
        </w:rPr>
        <w:t>供应商的</w:t>
      </w:r>
      <w:r>
        <w:rPr>
          <w:rFonts w:hint="eastAsia" w:ascii="仿宋_GB2312" w:hAnsi="仿宋" w:eastAsia="仿宋_GB2312" w:cs="仿宋_GB2312"/>
          <w:b/>
          <w:sz w:val="24"/>
        </w:rPr>
        <w:t>最后文件</w:t>
      </w:r>
      <w:r>
        <w:rPr>
          <w:rFonts w:hint="eastAsia" w:ascii="仿宋_GB2312" w:hAnsi="仿宋" w:eastAsia="仿宋_GB2312" w:cs="仿宋_GB2312"/>
          <w:sz w:val="24"/>
        </w:rPr>
        <w:t>应</w:t>
      </w:r>
      <w:r>
        <w:rPr>
          <w:rFonts w:hint="eastAsia" w:ascii="仿宋_GB2312" w:hAnsi="仿宋_GB2312" w:eastAsia="仿宋_GB2312" w:cs="仿宋_GB2312"/>
          <w:sz w:val="24"/>
        </w:rPr>
        <w:t>包括以下内容（均需使用电子签名）：</w:t>
      </w:r>
    </w:p>
    <w:p>
      <w:pPr>
        <w:pStyle w:val="13"/>
        <w:snapToGrid w:val="0"/>
        <w:spacing w:line="360" w:lineRule="auto"/>
        <w:ind w:firstLine="480" w:firstLineChars="200"/>
        <w:rPr>
          <w:rFonts w:ascii="仿宋_GB2312" w:hAnsi="仿宋_GB2312" w:eastAsia="仿宋_GB2312" w:cs="仿宋_GB2312"/>
          <w:b/>
          <w:sz w:val="32"/>
        </w:rPr>
      </w:pPr>
      <w:r>
        <w:rPr>
          <w:rFonts w:hint="eastAsia" w:ascii="仿宋_GB2312" w:hAnsi="仿宋_GB2312" w:eastAsia="仿宋_GB2312" w:cs="仿宋_GB2312"/>
          <w:sz w:val="24"/>
          <w:szCs w:val="24"/>
        </w:rPr>
        <w:t>1.1 最后报价；供应商通过政采云系统提交最后报价，明细清单中各单价以同比例（最后报价总价与初始报价总价的比值）下调。</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十一、</w:t>
      </w:r>
      <w:r>
        <w:rPr>
          <w:rFonts w:hint="eastAsia" w:ascii="仿宋_GB2312" w:hAnsi="仿宋" w:eastAsia="仿宋_GB2312"/>
          <w:b/>
          <w:sz w:val="32"/>
          <w:szCs w:val="32"/>
        </w:rPr>
        <w:t>定标与成交</w:t>
      </w:r>
    </w:p>
    <w:p>
      <w:pPr>
        <w:pStyle w:val="13"/>
        <w:spacing w:line="360" w:lineRule="auto"/>
        <w:rPr>
          <w:rFonts w:ascii="仿宋_GB2312" w:hAnsi="仿宋_GB2312" w:eastAsia="仿宋_GB2312" w:cs="仿宋_GB2312"/>
          <w:b/>
          <w:sz w:val="24"/>
          <w:szCs w:val="24"/>
        </w:rPr>
      </w:pPr>
      <w:r>
        <w:rPr>
          <w:rFonts w:hint="eastAsia" w:ascii="仿宋_GB2312" w:hAnsi="仿宋" w:eastAsia="仿宋_GB2312"/>
          <w:b/>
          <w:sz w:val="24"/>
        </w:rPr>
        <w:t>1. 推荐成交候选供应商</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3"/>
        <w:spacing w:line="360" w:lineRule="auto"/>
        <w:rPr>
          <w:rFonts w:ascii="仿宋_GB2312" w:hAnsi="仿宋" w:eastAsia="仿宋_GB2312"/>
          <w:b/>
          <w:sz w:val="24"/>
        </w:rPr>
      </w:pPr>
      <w:r>
        <w:rPr>
          <w:rFonts w:hint="eastAsia" w:ascii="仿宋_GB2312" w:hAnsi="仿宋" w:eastAsia="仿宋_GB2312"/>
          <w:b/>
          <w:sz w:val="24"/>
        </w:rPr>
        <w:t>2. 确定成交供应商</w:t>
      </w:r>
    </w:p>
    <w:p>
      <w:pPr>
        <w:snapToGrid w:val="0"/>
        <w:spacing w:after="120" w:line="360" w:lineRule="auto"/>
        <w:ind w:firstLine="480" w:firstLineChars="200"/>
        <w:rPr>
          <w:rFonts w:ascii="仿宋_GB2312" w:hAnsi="仿宋" w:eastAsia="仿宋_GB2312"/>
          <w:sz w:val="24"/>
          <w:szCs w:val="21"/>
        </w:rPr>
      </w:pPr>
      <w:r>
        <w:rPr>
          <w:rFonts w:hint="eastAsia" w:ascii="仿宋_GB2312" w:hAnsi="仿宋" w:eastAsia="仿宋_GB2312" w:cs="仿宋_GB2312"/>
          <w:bCs/>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ascii="仿宋_GB2312" w:hAnsi="Helvetica" w:eastAsia="仿宋_GB2312" w:cs="Helvetica"/>
          <w:kern w:val="0"/>
          <w:sz w:val="24"/>
        </w:rPr>
      </w:pPr>
      <w:r>
        <w:rPr>
          <w:rFonts w:hint="eastAsia" w:ascii="仿宋_GB2312" w:hAnsi="仿宋" w:eastAsia="仿宋_GB2312"/>
          <w:b/>
          <w:sz w:val="24"/>
        </w:rPr>
        <w:t>3．成交通知及成交结果公告</w:t>
      </w:r>
    </w:p>
    <w:p>
      <w:pPr>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ascii="仿宋_GB2312" w:hAnsi="仿宋" w:eastAsia="仿宋_GB2312"/>
          <w:sz w:val="24"/>
          <w:szCs w:val="21"/>
        </w:rPr>
      </w:pPr>
      <w:r>
        <w:rPr>
          <w:rFonts w:hint="eastAsia" w:ascii="仿宋_GB2312" w:hAnsi="仿宋" w:eastAsia="仿宋_GB2312"/>
          <w:sz w:val="24"/>
          <w:szCs w:val="21"/>
        </w:rPr>
        <w:t>3.2公告期限为1个工作日。</w:t>
      </w:r>
    </w:p>
    <w:p>
      <w:pPr>
        <w:snapToGrid w:val="0"/>
        <w:spacing w:line="360" w:lineRule="auto"/>
        <w:jc w:val="center"/>
        <w:outlineLvl w:val="0"/>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十二、合同授予</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1.合同主要条款：</w:t>
      </w:r>
      <w:r>
        <w:rPr>
          <w:rFonts w:hint="eastAsia" w:ascii="仿宋_GB2312" w:hAnsi="仿宋" w:eastAsia="仿宋_GB2312"/>
          <w:sz w:val="24"/>
        </w:rPr>
        <w:t>详见“第六部分拟签订的合同文本”。</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2.合同的签订</w:t>
      </w:r>
    </w:p>
    <w:p>
      <w:pPr>
        <w:widowControl/>
        <w:shd w:val="clear" w:color="auto" w:fill="FFFFFF"/>
        <w:spacing w:line="360" w:lineRule="auto"/>
        <w:ind w:firstLine="480"/>
        <w:jc w:val="left"/>
        <w:rPr>
          <w:rFonts w:ascii="仿宋_GB2312" w:hAnsi="仿宋" w:eastAsia="仿宋_GB2312" w:cs="Arial"/>
          <w:kern w:val="0"/>
          <w:sz w:val="24"/>
          <w:lang w:val="zh-CN"/>
        </w:rPr>
      </w:pPr>
      <w:r>
        <w:rPr>
          <w:rFonts w:hint="eastAsia" w:ascii="仿宋_GB2312" w:hAnsi="仿宋" w:eastAsia="仿宋_GB2312"/>
          <w:szCs w:val="21"/>
        </w:rPr>
        <w:t>2.1</w:t>
      </w:r>
      <w:r>
        <w:rPr>
          <w:rFonts w:hint="eastAsia" w:ascii="仿宋_GB2312" w:hAnsi="仿宋" w:eastAsia="仿宋_GB2312" w:cs="Arial"/>
          <w:kern w:val="0"/>
          <w:sz w:val="24"/>
          <w:lang w:val="zh-CN"/>
        </w:rPr>
        <w:t>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按照磋商文件确定的合同文本以及采购标的、规格型号、采购金额、采购数量、技术和服务要求等事项签订政府采购合同，并在规定时间内依法发布合同公告。如成交供应商为联合体的，由联合体成员各方法定代表人或其授权代表与采购人代表签订合同。</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2.4如签订合同并生效后，供应商无故拒绝或延期，除按照合同条款处理外，列入不良行为记录一次，并给予通报。</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3．履约保证金</w:t>
      </w:r>
    </w:p>
    <w:p>
      <w:pPr>
        <w:tabs>
          <w:tab w:val="left" w:pos="0"/>
        </w:tabs>
        <w:spacing w:line="360" w:lineRule="auto"/>
        <w:ind w:firstLine="480"/>
        <w:rPr>
          <w:rFonts w:ascii="仿宋_GB2312" w:hAnsi="仿宋" w:eastAsia="仿宋_GB2312"/>
          <w:sz w:val="24"/>
        </w:rPr>
      </w:pPr>
      <w:r>
        <w:rPr>
          <w:rFonts w:hint="eastAsia" w:ascii="仿宋_GB2312" w:hAnsi="仿宋" w:eastAsia="仿宋_GB2312"/>
          <w:sz w:val="24"/>
        </w:rPr>
        <w:t>拟签订的合同文本要求中标供应商提交履约保证金的，供应商应当以支票、汇票、本票或者金融机构、担保机构出具的保函等非现金形式提交。履约保证金的数额不得超过政府采购合同金额的1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bCs/>
          <w:sz w:val="24"/>
        </w:rPr>
        <w:t>采购人不得拒收履约保函，项目验收结束后应及时退还。</w:t>
      </w:r>
    </w:p>
    <w:p>
      <w:pPr>
        <w:tabs>
          <w:tab w:val="left" w:pos="0"/>
        </w:tabs>
        <w:spacing w:line="360" w:lineRule="auto"/>
        <w:ind w:firstLine="480"/>
        <w:rPr>
          <w:rFonts w:ascii="仿宋_GB2312" w:hAnsi="仿宋" w:eastAsia="仿宋_GB2312"/>
          <w:sz w:val="24"/>
        </w:rPr>
      </w:pPr>
      <w:r>
        <w:rPr>
          <w:rFonts w:hint="eastAsia" w:ascii="仿宋_GB2312" w:hAnsi="仿宋" w:eastAsia="仿宋_GB2312"/>
          <w:sz w:val="24"/>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0"/>
        <w:rPr>
          <w:rFonts w:ascii="仿宋_GB2312" w:hAnsi="Helvetica" w:eastAsia="仿宋_GB2312" w:cs="Helvetica"/>
          <w:kern w:val="0"/>
          <w:sz w:val="24"/>
        </w:rPr>
      </w:pPr>
      <w:r>
        <w:rPr>
          <w:rFonts w:hint="eastAsia" w:ascii="仿宋_GB2312" w:hAnsi="仿宋" w:eastAsia="仿宋_GB2312"/>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十三、验收</w:t>
      </w:r>
    </w:p>
    <w:p>
      <w:pPr>
        <w:pStyle w:val="5"/>
        <w:spacing w:line="360" w:lineRule="auto"/>
        <w:ind w:firstLine="0" w:firstLineChars="0"/>
        <w:rPr>
          <w:rFonts w:ascii="仿宋_GB2312" w:hAnsi="仿宋" w:eastAsia="仿宋_GB2312"/>
          <w:b/>
        </w:rPr>
      </w:pPr>
      <w:r>
        <w:rPr>
          <w:rFonts w:hint="eastAsia" w:ascii="仿宋_GB2312" w:hAnsi="仿宋" w:eastAsia="仿宋_GB2312"/>
          <w:b/>
        </w:rPr>
        <w:t>1.验收</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_GB2312" w:hAnsi="楷体" w:eastAsia="仿宋_GB2312"/>
          <w:sz w:val="24"/>
          <w:lang w:val="zh-CN"/>
        </w:rPr>
        <w:t>《中华人民共和国民法典》</w:t>
      </w:r>
      <w:r>
        <w:rPr>
          <w:rFonts w:hint="eastAsia" w:ascii="仿宋_GB2312" w:hAnsi="Helvetica" w:eastAsia="仿宋_GB2312" w:cs="Helvetica"/>
          <w:kern w:val="0"/>
          <w:sz w:val="24"/>
        </w:rPr>
        <w:t>。供应商在履约过程中有政府采购法律法规规定的违法违规情形的，采购人应当及时报告本级财政部门。</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rPr>
          <w:rFonts w:ascii="仿宋_GB2312" w:hAnsi="仿宋" w:eastAsia="仿宋_GB2312"/>
          <w:b/>
          <w:sz w:val="24"/>
        </w:rPr>
      </w:pPr>
      <w:r>
        <w:rPr>
          <w:rFonts w:hint="eastAsia" w:ascii="仿宋_GB2312" w:hAnsi="仿宋_GB2312" w:eastAsia="仿宋_GB2312" w:cs="仿宋_GB2312"/>
          <w:b/>
          <w:sz w:val="36"/>
          <w:szCs w:val="36"/>
        </w:rPr>
        <w:t>十四、电子交易活动的中止</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 电子交易活动的中止</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1.1电子交易平台发生故障而无法登录访问的；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1.2电子交易平台应用或数据库出现错误，不能进行正常操作的；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1.3电子交易平台发现严重安全漏洞，有潜在泄密危险的；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1.4病毒发作导致不能进行正常操作的；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1.5其他无法保证电子交易的公平、公正和安全的情况。</w:t>
      </w:r>
    </w:p>
    <w:p>
      <w:pPr>
        <w:numPr>
          <w:ilvl w:val="0"/>
          <w:numId w:val="5"/>
        </w:numPr>
      </w:pPr>
      <w:r>
        <w:rPr>
          <w:rFonts w:hint="eastAsia" w:ascii="仿宋_GB2312" w:hAnsi="Helvetica" w:eastAsia="仿宋_GB2312"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3" w:name="_Hlt75236011"/>
      <w:bookmarkEnd w:id="43"/>
      <w:bookmarkStart w:id="44" w:name="_Hlt74729768"/>
      <w:bookmarkEnd w:id="44"/>
      <w:bookmarkStart w:id="45" w:name="_Hlt75236101"/>
      <w:bookmarkEnd w:id="45"/>
      <w:bookmarkStart w:id="46" w:name="_Hlt74714665"/>
      <w:bookmarkEnd w:id="46"/>
      <w:bookmarkStart w:id="47" w:name="_Hlt74707468"/>
      <w:bookmarkEnd w:id="47"/>
      <w:bookmarkStart w:id="48" w:name="_Hlt68072990"/>
      <w:bookmarkEnd w:id="48"/>
      <w:bookmarkStart w:id="49" w:name="_Hlt75236290"/>
      <w:bookmarkEnd w:id="49"/>
      <w:bookmarkStart w:id="50" w:name="_Hlt74730295"/>
      <w:bookmarkEnd w:id="50"/>
      <w:bookmarkStart w:id="51" w:name="_Hlt68057669"/>
      <w:bookmarkEnd w:id="51"/>
      <w:r>
        <w:rPr>
          <w:rFonts w:hint="eastAsia" w:ascii="仿宋_GB2312" w:hAnsi="Helvetica" w:eastAsia="仿宋_GB2312" w:cs="Helvetica"/>
          <w:kern w:val="0"/>
          <w:sz w:val="24"/>
        </w:rPr>
        <w:t>。</w:t>
      </w:r>
    </w:p>
    <w:p>
      <w:pPr>
        <w:pStyle w:val="2"/>
      </w:pPr>
    </w:p>
    <w:p>
      <w:r>
        <w:rPr>
          <w:rFonts w:hint="eastAsia"/>
        </w:rPr>
        <w:br w:type="page"/>
      </w:r>
    </w:p>
    <w:p>
      <w:pPr>
        <w:pStyle w:val="17"/>
      </w:pPr>
    </w:p>
    <w:p>
      <w:pPr>
        <w:keepLines/>
        <w:numPr>
          <w:ilvl w:val="0"/>
          <w:numId w:val="6"/>
        </w:numPr>
        <w:adjustRightInd/>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技术规范、服务要求、采购需求</w:t>
      </w:r>
    </w:p>
    <w:p>
      <w:pPr>
        <w:jc w:val="left"/>
        <w:rPr>
          <w:rFonts w:ascii="仿宋" w:hAnsi="仿宋" w:eastAsia="仿宋" w:cs="仿宋"/>
          <w:b/>
          <w:sz w:val="24"/>
        </w:rPr>
      </w:pPr>
    </w:p>
    <w:p>
      <w:pPr>
        <w:numPr>
          <w:ilvl w:val="0"/>
          <w:numId w:val="7"/>
        </w:numPr>
        <w:spacing w:line="500" w:lineRule="exact"/>
        <w:ind w:firstLine="482" w:firstLineChars="200"/>
        <w:rPr>
          <w:rFonts w:ascii="仿宋" w:hAnsi="仿宋" w:eastAsia="仿宋" w:cs="仿宋"/>
          <w:b/>
          <w:bCs/>
          <w:sz w:val="24"/>
        </w:rPr>
      </w:pPr>
      <w:bookmarkStart w:id="52" w:name="_Toc28593"/>
      <w:r>
        <w:rPr>
          <w:rFonts w:hint="eastAsia" w:ascii="仿宋" w:hAnsi="仿宋" w:eastAsia="仿宋" w:cs="仿宋"/>
          <w:b/>
          <w:bCs/>
          <w:sz w:val="24"/>
        </w:rPr>
        <w:t>规划范围</w:t>
      </w:r>
    </w:p>
    <w:p>
      <w:pPr>
        <w:spacing w:line="500" w:lineRule="exact"/>
        <w:ind w:firstLine="480" w:firstLineChars="200"/>
        <w:rPr>
          <w:rFonts w:ascii="仿宋" w:hAnsi="仿宋" w:eastAsia="仿宋" w:cs="仿宋"/>
          <w:sz w:val="24"/>
        </w:rPr>
      </w:pPr>
      <w:r>
        <w:rPr>
          <w:rFonts w:hint="eastAsia" w:ascii="仿宋" w:hAnsi="仿宋" w:eastAsia="仿宋" w:cs="仿宋"/>
          <w:sz w:val="24"/>
        </w:rPr>
        <w:t>规划范围以清凉峰自然保护区为核心，涵盖周边六镇，分别为清凉峰、昌化、龙岗、河桥、湍口、岛石，范围约1320.2平方公里。</w:t>
      </w:r>
    </w:p>
    <w:p>
      <w:pPr>
        <w:numPr>
          <w:ilvl w:val="0"/>
          <w:numId w:val="7"/>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项目概况</w:t>
      </w:r>
    </w:p>
    <w:p>
      <w:pPr>
        <w:spacing w:line="500" w:lineRule="exact"/>
        <w:ind w:firstLine="480" w:firstLineChars="200"/>
        <w:rPr>
          <w:rFonts w:ascii="仿宋" w:hAnsi="仿宋" w:eastAsia="仿宋" w:cs="仿宋"/>
          <w:sz w:val="24"/>
        </w:rPr>
      </w:pPr>
      <w:r>
        <w:rPr>
          <w:rFonts w:hint="eastAsia" w:ascii="仿宋" w:hAnsi="仿宋" w:eastAsia="仿宋" w:cs="仿宋"/>
          <w:sz w:val="24"/>
        </w:rPr>
        <w:t>2021年12月，临安区清凉峰正式入选全省第二批名山公园。清凉峰是国家级自然保护区，位处浙皖两省交界，是杭州、浙西独特的生态资源，浙西重要生态屏障。项目旨在紧抓生态红利爆发的战略机遇期，根据省市区工作要求，研究以名山公园建设为抓手带动临安浙西天路户外圈创新发展的可持续路径，积极践行“两山”转化和共同富裕。</w:t>
      </w:r>
    </w:p>
    <w:p>
      <w:pPr>
        <w:numPr>
          <w:ilvl w:val="0"/>
          <w:numId w:val="7"/>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总体要求</w:t>
      </w:r>
    </w:p>
    <w:p>
      <w:pPr>
        <w:spacing w:line="500" w:lineRule="exact"/>
        <w:ind w:firstLine="480" w:firstLineChars="200"/>
        <w:rPr>
          <w:rFonts w:ascii="仿宋" w:hAnsi="仿宋" w:eastAsia="仿宋" w:cs="仿宋"/>
          <w:sz w:val="24"/>
        </w:rPr>
      </w:pPr>
      <w:bookmarkStart w:id="53" w:name="_Hlk80271465"/>
      <w:r>
        <w:rPr>
          <w:rFonts w:hint="eastAsia" w:ascii="仿宋" w:hAnsi="仿宋" w:eastAsia="仿宋" w:cs="仿宋"/>
          <w:sz w:val="24"/>
        </w:rPr>
        <w:t>以清凉峰自然保护区为核心，以周边生态文化旅游资源开发利用为重点，以周边六镇发展带动为目标，开展清凉峰名山公园圈总体规划暨专题研究。深入解读名山公园发展背景，准确把握临安两大名山公园差异化发展定位和协同联动发展格局，探索临安以“名山”闻名的目标定位、战略对策和发展路径，对清凉峰名山公园的资源激活、空间重构、产业布局、项目带动、体制机制等方面进行规划，并围绕清凉峰名山公园生态保护、品质提升、文化利用、休闲文旅、科普教育、共富带动、数字+、品牌打造八大命题，开展指导后续发展的专题研究。</w:t>
      </w:r>
    </w:p>
    <w:bookmarkEnd w:id="53"/>
    <w:p>
      <w:pPr>
        <w:numPr>
          <w:ilvl w:val="0"/>
          <w:numId w:val="7"/>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服务内容</w:t>
      </w:r>
    </w:p>
    <w:p>
      <w:pPr>
        <w:spacing w:line="500" w:lineRule="exact"/>
        <w:ind w:firstLine="480" w:firstLineChars="200"/>
        <w:rPr>
          <w:rFonts w:ascii="仿宋" w:hAnsi="仿宋" w:eastAsia="仿宋" w:cs="仿宋"/>
          <w:sz w:val="24"/>
        </w:rPr>
      </w:pPr>
      <w:r>
        <w:rPr>
          <w:rFonts w:hint="eastAsia" w:ascii="仿宋" w:hAnsi="仿宋" w:eastAsia="仿宋" w:cs="仿宋"/>
          <w:sz w:val="24"/>
        </w:rPr>
        <w:t>包括但不限于：</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（一）编制清凉峰名山公园圈总体规划</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区级层面整体战略：明确临安区两大名山圈带动中西部崛起的基本格局，明晰两大名山圈差异化定位和协同发展路径。</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综合分析研判：对市场进行前瞻性、预见性的分析，对项目综合现状有精准把控和了解，并对相关案例进行研究，找准清凉峰名山公园旅游发展的优势、机遇、难点和关键突破点。</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发展目标与战略定位：结合国家、省、市、区有关生态文明建设、名山公园打造、乡村振兴和共同富裕等方面的行动部署，针对清凉峰名山公园圈提出战略定位、发展目标和发展路径。</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空间策略与发展布局：明确空间发展策略，统筹生态保护与建设发展的关系、统筹清凉峰和周边镇区的关系，提出区域空间发展模式与功能结构，提出空间布局具体方案。</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生态资源保护与科普示范：明确农户迁移与生态修复等相关发展目标；针对古树名木、珍稀濒危野生植物的救护提出具体实施路径，策划科普展示相关项目与游赏路径。</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文化品牌与产品业态规划：在深入挖掘生态和文化旅游资源基础上，深度研究市场需求，对产品体系进行系统梳理与规划，构建具有比较优势的新产品、新业态体系。</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重点项目策划与规划：围绕总体定位与战略目标，提出支撑清凉峰名山公园圈发展的，具有示范性、标杆性的项目发展体系及重点项目策划方案，同时对项目用地进行规划布局。</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道路交通规划：对交通系统的布局和主要交通设施的规模、位置、风貌进行规划，重点包括多重旅游交通体系、驿站体系和集散体系、特色游线体系等内容。</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服务设施规划：按照全域旅游发展要求，提出覆盖全域的旅游服务体系规划。对旅游住宿设施、旅游餐饮设施、旅游商业设施、旅游娱乐设施等进行系统规划与布局。</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品牌与营销规划：提炼清凉峰名山公园品牌建设计划，提升品牌影响力、吸引力和美誉度。</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开发模式与效益分析：依据清凉峰名山公园圈中长期发展目标，提出开发模式、分期发展策略，进行综合效益分析。</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体制机制创新与建议：理顺并提出名山公园开发、建设、管理的体制机制，探索乡村振兴产业、土地、人才等发展新模式。</w:t>
      </w:r>
    </w:p>
    <w:p>
      <w:pPr>
        <w:numPr>
          <w:ilvl w:val="0"/>
          <w:numId w:val="8"/>
        </w:numPr>
        <w:spacing w:line="500" w:lineRule="exact"/>
        <w:ind w:left="0" w:firstLine="480" w:firstLineChars="200"/>
        <w:rPr>
          <w:rFonts w:ascii="仿宋" w:hAnsi="仿宋" w:eastAsia="仿宋" w:cs="仿宋"/>
          <w:sz w:val="24"/>
        </w:rPr>
      </w:pPr>
      <w:r>
        <w:rPr>
          <w:rFonts w:hint="eastAsia" w:ascii="仿宋" w:hAnsi="仿宋" w:eastAsia="仿宋" w:cs="仿宋"/>
          <w:sz w:val="24"/>
        </w:rPr>
        <w:t>近期行动计划：明确重点工程和重点项目建设时序、建设内容，提出近三年行动计划，梳理工作任务与推进计划。</w:t>
      </w:r>
    </w:p>
    <w:p>
      <w:pPr>
        <w:pStyle w:val="4"/>
        <w:spacing w:line="500" w:lineRule="exact"/>
        <w:ind w:firstLine="0" w:firstLineChars="0"/>
        <w:rPr>
          <w:rFonts w:ascii="仿宋" w:hAnsi="仿宋" w:eastAsia="仿宋" w:cs="仿宋"/>
        </w:rPr>
      </w:pP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（二）清凉峰名山公园“带富”行动计划</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生态保护</w:t>
      </w:r>
    </w:p>
    <w:p>
      <w:pPr>
        <w:spacing w:line="500" w:lineRule="exact"/>
        <w:ind w:firstLine="480" w:firstLineChars="200"/>
        <w:rPr>
          <w:rFonts w:ascii="仿宋" w:hAnsi="仿宋" w:eastAsia="仿宋" w:cs="仿宋"/>
          <w:sz w:val="24"/>
        </w:rPr>
      </w:pPr>
      <w:r>
        <w:rPr>
          <w:rFonts w:hint="eastAsia" w:ascii="仿宋" w:hAnsi="仿宋" w:eastAsia="仿宋" w:cs="仿宋"/>
          <w:sz w:val="24"/>
        </w:rPr>
        <w:t>明确名山公园的典型生境、珍稀濒危动植物、特殊自然景观等重点保护对象，提出生态保护、环境修复、质量提升行动方案，维护生态系统完整性。</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品质提升</w:t>
      </w:r>
    </w:p>
    <w:p>
      <w:pPr>
        <w:spacing w:line="500" w:lineRule="exact"/>
        <w:ind w:firstLine="480" w:firstLineChars="200"/>
        <w:rPr>
          <w:rFonts w:ascii="仿宋" w:hAnsi="仿宋" w:eastAsia="仿宋" w:cs="仿宋"/>
          <w:sz w:val="24"/>
        </w:rPr>
      </w:pPr>
      <w:r>
        <w:rPr>
          <w:rFonts w:hint="eastAsia" w:ascii="仿宋" w:hAnsi="仿宋" w:eastAsia="仿宋" w:cs="仿宋"/>
          <w:sz w:val="24"/>
        </w:rPr>
        <w:t>对清凉峰名山公园圈范围内的基础设施与公共服务设施进行优化提升，构建交通体系便捷畅通、生态形象展示充分、旅游接待服务完善、游赏设施标准规范的硬件体系。</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文化利用</w:t>
      </w:r>
    </w:p>
    <w:p>
      <w:pPr>
        <w:spacing w:line="500" w:lineRule="exact"/>
        <w:ind w:firstLine="480" w:firstLineChars="200"/>
        <w:rPr>
          <w:rFonts w:ascii="仿宋" w:hAnsi="仿宋" w:eastAsia="仿宋" w:cs="仿宋"/>
          <w:sz w:val="24"/>
        </w:rPr>
      </w:pPr>
      <w:r>
        <w:rPr>
          <w:rFonts w:hint="eastAsia" w:ascii="仿宋" w:hAnsi="仿宋" w:eastAsia="仿宋" w:cs="仿宋"/>
          <w:sz w:val="24"/>
        </w:rPr>
        <w:t>挖掘清凉峰名山公园圈深厚的文化资源，提取文化亮点，修复历史遗存，丰富精神内涵，加强与诗路文化带建设的衔接，通过现代化、创新化、科技化的方式构建清凉峰名山公园圈文化传承体系。</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休闲文旅</w:t>
      </w:r>
    </w:p>
    <w:p>
      <w:pPr>
        <w:spacing w:line="500" w:lineRule="exact"/>
        <w:ind w:firstLine="480" w:firstLineChars="200"/>
        <w:rPr>
          <w:rFonts w:ascii="仿宋" w:hAnsi="仿宋" w:eastAsia="仿宋" w:cs="仿宋"/>
          <w:sz w:val="24"/>
        </w:rPr>
      </w:pPr>
      <w:r>
        <w:rPr>
          <w:rFonts w:hint="eastAsia" w:ascii="仿宋" w:hAnsi="仿宋" w:eastAsia="仿宋" w:cs="仿宋"/>
          <w:sz w:val="24"/>
        </w:rPr>
        <w:t>以生态资源为依托，发展新型生态康养、休闲度假旅游业态，提出基地创建或景区创建的目标和行动方略。</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科普教育</w:t>
      </w:r>
    </w:p>
    <w:p>
      <w:pPr>
        <w:spacing w:line="500" w:lineRule="exact"/>
        <w:ind w:firstLine="480" w:firstLineChars="200"/>
        <w:rPr>
          <w:rFonts w:ascii="仿宋" w:hAnsi="仿宋" w:eastAsia="仿宋" w:cs="仿宋"/>
          <w:sz w:val="24"/>
        </w:rPr>
      </w:pPr>
      <w:r>
        <w:rPr>
          <w:rFonts w:hint="eastAsia" w:ascii="仿宋" w:hAnsi="仿宋" w:eastAsia="仿宋" w:cs="仿宋"/>
          <w:sz w:val="24"/>
        </w:rPr>
        <w:t>围绕将清凉峰名山公园打造为以“教学、科普、体验”为一体的自然教育基地这一目标，提出公园标识完善、科普教育设施建设等方面的发展思路和行动计划。</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共富带动</w:t>
      </w:r>
    </w:p>
    <w:p>
      <w:pPr>
        <w:spacing w:line="500" w:lineRule="exact"/>
        <w:ind w:firstLine="480" w:firstLineChars="200"/>
        <w:rPr>
          <w:rFonts w:ascii="仿宋" w:hAnsi="仿宋" w:eastAsia="仿宋" w:cs="仿宋"/>
          <w:sz w:val="24"/>
        </w:rPr>
      </w:pPr>
      <w:r>
        <w:rPr>
          <w:rFonts w:hint="eastAsia" w:ascii="仿宋" w:hAnsi="仿宋" w:eastAsia="仿宋" w:cs="仿宋"/>
          <w:sz w:val="24"/>
        </w:rPr>
        <w:t>加强区域内外联动，结合乡村振兴战略，明确村庄景区化建设方案，打造特色生态产品、文化产品、特色化旅游产品等品牌。</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数字+</w:t>
      </w:r>
    </w:p>
    <w:p>
      <w:pPr>
        <w:spacing w:line="500" w:lineRule="exact"/>
        <w:ind w:firstLine="480" w:firstLineChars="200"/>
        <w:rPr>
          <w:rFonts w:ascii="仿宋" w:hAnsi="仿宋" w:eastAsia="仿宋" w:cs="仿宋"/>
          <w:sz w:val="24"/>
        </w:rPr>
      </w:pPr>
      <w:r>
        <w:rPr>
          <w:rFonts w:hint="eastAsia" w:ascii="仿宋" w:hAnsi="仿宋" w:eastAsia="仿宋" w:cs="仿宋"/>
          <w:sz w:val="24"/>
        </w:rPr>
        <w:t>按照“智慧名山、数字景区和信息化管理示范区”的要求，提出完善智慧灯杆、5G 信号覆盖、火患实时监测、游客量等数据实时通报等方面的行动方案。</w:t>
      </w:r>
    </w:p>
    <w:p>
      <w:pPr>
        <w:pStyle w:val="4"/>
        <w:numPr>
          <w:ilvl w:val="0"/>
          <w:numId w:val="9"/>
        </w:numPr>
        <w:spacing w:line="500" w:lineRule="exact"/>
        <w:ind w:left="0" w:firstLine="480"/>
        <w:rPr>
          <w:rFonts w:ascii="仿宋" w:hAnsi="仿宋" w:eastAsia="仿宋" w:cs="仿宋"/>
        </w:rPr>
      </w:pPr>
      <w:r>
        <w:rPr>
          <w:rFonts w:hint="eastAsia" w:ascii="仿宋" w:hAnsi="仿宋" w:eastAsia="仿宋" w:cs="仿宋"/>
        </w:rPr>
        <w:t>品牌打造</w:t>
      </w:r>
    </w:p>
    <w:p>
      <w:pPr>
        <w:spacing w:line="500" w:lineRule="exact"/>
        <w:ind w:firstLine="480" w:firstLineChars="200"/>
        <w:rPr>
          <w:rFonts w:ascii="仿宋" w:hAnsi="仿宋" w:eastAsia="仿宋" w:cs="仿宋"/>
          <w:sz w:val="24"/>
        </w:rPr>
      </w:pPr>
      <w:r>
        <w:rPr>
          <w:rFonts w:hint="eastAsia" w:ascii="仿宋" w:hAnsi="仿宋" w:eastAsia="仿宋" w:cs="仿宋"/>
          <w:sz w:val="24"/>
        </w:rPr>
        <w:t>围绕形象广告、会展论坛、专题宣传、徽标设计等内容，提出清凉峰名山公园品牌塑造行动方案。</w:t>
      </w:r>
    </w:p>
    <w:p>
      <w:pPr>
        <w:spacing w:line="500" w:lineRule="exact"/>
        <w:ind w:firstLine="480" w:firstLineChars="200"/>
        <w:rPr>
          <w:rFonts w:ascii="仿宋" w:hAnsi="仿宋" w:eastAsia="仿宋" w:cs="仿宋"/>
          <w:sz w:val="24"/>
        </w:rPr>
      </w:pP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（三）其他要求</w:t>
      </w:r>
    </w:p>
    <w:p>
      <w:pPr>
        <w:spacing w:line="500" w:lineRule="exact"/>
        <w:ind w:firstLine="480" w:firstLineChars="200"/>
        <w:rPr>
          <w:rFonts w:ascii="仿宋" w:hAnsi="仿宋" w:eastAsia="仿宋" w:cs="仿宋"/>
          <w:sz w:val="24"/>
        </w:rPr>
      </w:pPr>
      <w:r>
        <w:rPr>
          <w:rFonts w:hint="eastAsia" w:ascii="仿宋" w:hAnsi="仿宋" w:eastAsia="仿宋" w:cs="仿宋"/>
          <w:sz w:val="24"/>
        </w:rPr>
        <w:t>总体规划与行动计划中，应重点满足以下要求：</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探索保护和开发建设新模式</w:t>
      </w:r>
    </w:p>
    <w:p>
      <w:pPr>
        <w:spacing w:line="500" w:lineRule="exact"/>
        <w:ind w:firstLine="480" w:firstLineChars="200"/>
        <w:rPr>
          <w:rFonts w:ascii="仿宋" w:hAnsi="仿宋" w:eastAsia="仿宋" w:cs="仿宋"/>
          <w:sz w:val="24"/>
        </w:rPr>
      </w:pPr>
      <w:r>
        <w:rPr>
          <w:rFonts w:hint="eastAsia" w:ascii="仿宋" w:hAnsi="仿宋" w:eastAsia="仿宋" w:cs="仿宋"/>
          <w:sz w:val="24"/>
        </w:rPr>
        <w:t>做好自然保护区内外两篇文章，积极践行“两山”转化，探索生态保护和文旅发展的统筹、协调、融合、共进。</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探索新时代乡村振兴新样板</w:t>
      </w:r>
    </w:p>
    <w:p>
      <w:pPr>
        <w:spacing w:line="500" w:lineRule="exact"/>
        <w:ind w:firstLine="480" w:firstLineChars="200"/>
        <w:rPr>
          <w:rFonts w:ascii="仿宋" w:hAnsi="仿宋" w:eastAsia="仿宋" w:cs="仿宋"/>
          <w:sz w:val="24"/>
        </w:rPr>
      </w:pPr>
      <w:r>
        <w:rPr>
          <w:rFonts w:hint="eastAsia" w:ascii="仿宋" w:hAnsi="仿宋" w:eastAsia="仿宋" w:cs="仿宋"/>
          <w:sz w:val="24"/>
        </w:rPr>
        <w:t>积极推进乡村振兴战略，通过文旅带动、产业升级、模式创新、制度完善等方式，探索打造高质量发展高品质生活先行区、城乡区域协调发展引领区、收入分配制度改革试验区、文明和谐美丽家园展示区，推动建设共同富裕示范区，探索新时代乡村振兴新样板。</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探索生态与文化相融合的发展路径</w:t>
      </w:r>
    </w:p>
    <w:p>
      <w:pPr>
        <w:spacing w:line="500" w:lineRule="exact"/>
        <w:ind w:firstLine="480" w:firstLineChars="200"/>
        <w:rPr>
          <w:rFonts w:ascii="仿宋" w:hAnsi="仿宋" w:eastAsia="仿宋" w:cs="仿宋"/>
          <w:sz w:val="24"/>
        </w:rPr>
      </w:pPr>
      <w:r>
        <w:rPr>
          <w:rFonts w:hint="eastAsia" w:ascii="仿宋" w:hAnsi="仿宋" w:eastAsia="仿宋" w:cs="仿宋"/>
          <w:sz w:val="24"/>
        </w:rPr>
        <w:t>以保护为前提，以共富为目标，深入挖掘名山公园圈范围内的文化资源，寻求名山公园规划建设工作破题的关键。</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对标标准，全面提升景区建设</w:t>
      </w:r>
    </w:p>
    <w:p>
      <w:pPr>
        <w:spacing w:line="500" w:lineRule="exact"/>
        <w:ind w:firstLine="480" w:firstLineChars="200"/>
        <w:rPr>
          <w:rFonts w:ascii="仿宋" w:hAnsi="仿宋" w:eastAsia="仿宋" w:cs="仿宋"/>
          <w:sz w:val="24"/>
        </w:rPr>
      </w:pPr>
      <w:r>
        <w:rPr>
          <w:rFonts w:hint="eastAsia" w:ascii="仿宋" w:hAnsi="仿宋" w:eastAsia="仿宋" w:cs="仿宋"/>
          <w:sz w:val="24"/>
        </w:rPr>
        <w:t>应对标5A级景区标准，以创促建，补齐短板，赢得市场。</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理顺名山公园圈开发、建设、管理的体制机制</w:t>
      </w:r>
    </w:p>
    <w:p>
      <w:pPr>
        <w:spacing w:line="500" w:lineRule="exact"/>
        <w:ind w:firstLine="480" w:firstLineChars="200"/>
        <w:rPr>
          <w:rFonts w:ascii="仿宋" w:hAnsi="仿宋" w:eastAsia="仿宋" w:cs="仿宋"/>
          <w:sz w:val="24"/>
        </w:rPr>
      </w:pPr>
      <w:r>
        <w:rPr>
          <w:rFonts w:hint="eastAsia" w:ascii="仿宋" w:hAnsi="仿宋" w:eastAsia="仿宋" w:cs="仿宋"/>
          <w:sz w:val="24"/>
        </w:rPr>
        <w:t>结合国内外经典案例，研究名山公园圈的融资、开发、运营创新模式。</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实现景观风貌的协调，妥善处理历史遗留问题</w:t>
      </w:r>
    </w:p>
    <w:p>
      <w:pPr>
        <w:spacing w:line="500" w:lineRule="exact"/>
        <w:ind w:firstLine="480" w:firstLineChars="200"/>
        <w:rPr>
          <w:rFonts w:ascii="仿宋" w:hAnsi="仿宋" w:eastAsia="仿宋" w:cs="仿宋"/>
          <w:sz w:val="24"/>
        </w:rPr>
      </w:pPr>
      <w:r>
        <w:rPr>
          <w:rFonts w:hint="eastAsia" w:ascii="仿宋" w:hAnsi="仿宋" w:eastAsia="仿宋" w:cs="仿宋"/>
          <w:sz w:val="24"/>
        </w:rPr>
        <w:t>结合全域土地综合整治与生态修复工程等工作，研究推动名山公园范围内的乡村有机更新、风貌协调，妥善处理历史遗留问题。</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做好与各类规划的衔接</w:t>
      </w:r>
    </w:p>
    <w:p>
      <w:pPr>
        <w:spacing w:line="500" w:lineRule="exact"/>
        <w:ind w:firstLine="480" w:firstLineChars="200"/>
        <w:rPr>
          <w:rFonts w:ascii="仿宋" w:hAnsi="仿宋" w:eastAsia="仿宋" w:cs="仿宋"/>
          <w:sz w:val="24"/>
        </w:rPr>
      </w:pPr>
      <w:r>
        <w:rPr>
          <w:rFonts w:hint="eastAsia" w:ascii="仿宋" w:hAnsi="仿宋" w:eastAsia="仿宋" w:cs="仿宋"/>
          <w:sz w:val="24"/>
        </w:rPr>
        <w:t>在国土空间规划的大框架下开展规划研究与编制工作，与土地利用、耕地保护、生态红线、村庄规划等进行有机衔接，保障规划方案的落地性、实时性、实用性。</w:t>
      </w:r>
    </w:p>
    <w:p>
      <w:pPr>
        <w:pStyle w:val="4"/>
        <w:numPr>
          <w:ilvl w:val="0"/>
          <w:numId w:val="10"/>
        </w:numPr>
        <w:spacing w:line="500" w:lineRule="exact"/>
        <w:ind w:left="0" w:firstLine="480"/>
        <w:rPr>
          <w:rFonts w:ascii="仿宋" w:hAnsi="仿宋" w:eastAsia="仿宋" w:cs="仿宋"/>
        </w:rPr>
      </w:pPr>
      <w:r>
        <w:rPr>
          <w:rFonts w:hint="eastAsia" w:ascii="仿宋" w:hAnsi="仿宋" w:eastAsia="仿宋" w:cs="仿宋"/>
        </w:rPr>
        <w:t>突出创新创意</w:t>
      </w:r>
    </w:p>
    <w:p>
      <w:pPr>
        <w:spacing w:line="500" w:lineRule="exact"/>
        <w:ind w:firstLine="480" w:firstLineChars="200"/>
        <w:rPr>
          <w:rFonts w:ascii="仿宋" w:hAnsi="仿宋" w:eastAsia="仿宋" w:cs="仿宋"/>
          <w:sz w:val="24"/>
        </w:rPr>
      </w:pPr>
      <w:r>
        <w:rPr>
          <w:rFonts w:hint="eastAsia" w:ascii="仿宋" w:hAnsi="仿宋" w:eastAsia="仿宋" w:cs="仿宋"/>
          <w:sz w:val="24"/>
        </w:rPr>
        <w:t>在基础分析理念、产品开发思路、产业融合发展路径、产业要素的业态结构、空间布局优化、规划实施保障等方面实现规划创新，指导名山公园圈高质量发展。</w:t>
      </w:r>
    </w:p>
    <w:p>
      <w:pPr>
        <w:numPr>
          <w:ilvl w:val="0"/>
          <w:numId w:val="7"/>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规划成果要求</w:t>
      </w:r>
    </w:p>
    <w:p>
      <w:pPr>
        <w:spacing w:line="500" w:lineRule="exact"/>
        <w:ind w:firstLine="480" w:firstLineChars="200"/>
        <w:rPr>
          <w:rFonts w:ascii="仿宋" w:hAnsi="仿宋" w:eastAsia="仿宋" w:cs="仿宋"/>
          <w:sz w:val="24"/>
        </w:rPr>
      </w:pPr>
      <w:r>
        <w:rPr>
          <w:rFonts w:hint="eastAsia" w:ascii="仿宋" w:hAnsi="仿宋" w:eastAsia="仿宋" w:cs="仿宋"/>
          <w:sz w:val="24"/>
        </w:rPr>
        <w:t>1．成果组成</w:t>
      </w:r>
    </w:p>
    <w:p>
      <w:pPr>
        <w:spacing w:line="500" w:lineRule="exact"/>
        <w:ind w:firstLine="480" w:firstLineChars="200"/>
        <w:rPr>
          <w:rFonts w:ascii="仿宋" w:hAnsi="仿宋" w:eastAsia="仿宋" w:cs="仿宋"/>
          <w:sz w:val="24"/>
        </w:rPr>
      </w:pPr>
      <w:r>
        <w:rPr>
          <w:rFonts w:hint="eastAsia" w:ascii="仿宋" w:hAnsi="仿宋" w:eastAsia="仿宋" w:cs="仿宋"/>
          <w:sz w:val="24"/>
        </w:rPr>
        <w:t>规划设计成果应包括说明书、图纸等。</w:t>
      </w:r>
    </w:p>
    <w:p>
      <w:pPr>
        <w:spacing w:line="500" w:lineRule="exact"/>
        <w:ind w:firstLine="480" w:firstLineChars="200"/>
        <w:rPr>
          <w:rFonts w:ascii="仿宋" w:hAnsi="仿宋" w:eastAsia="仿宋" w:cs="仿宋"/>
          <w:sz w:val="24"/>
        </w:rPr>
      </w:pPr>
      <w:r>
        <w:rPr>
          <w:rFonts w:hint="eastAsia" w:ascii="仿宋" w:hAnsi="仿宋" w:eastAsia="仿宋" w:cs="仿宋"/>
          <w:sz w:val="24"/>
        </w:rPr>
        <w:t>1）说明书应包括但不限于：</w:t>
      </w:r>
    </w:p>
    <w:p>
      <w:pPr>
        <w:spacing w:line="500" w:lineRule="exact"/>
        <w:ind w:firstLine="480" w:firstLineChars="200"/>
        <w:rPr>
          <w:rFonts w:ascii="仿宋" w:hAnsi="仿宋" w:eastAsia="仿宋" w:cs="仿宋"/>
          <w:sz w:val="24"/>
        </w:rPr>
      </w:pPr>
      <w:r>
        <w:rPr>
          <w:rFonts w:hint="eastAsia" w:ascii="仿宋" w:hAnsi="仿宋" w:eastAsia="仿宋" w:cs="仿宋"/>
          <w:sz w:val="24"/>
        </w:rPr>
        <w:t>规划总则、背景分析及区域关系分析、相关规划分析、现状条件分析、总体定位与发展战略、空间布局及规划结构、空间形态引导规划、土地利用规划、基础设施规划、道路交通规划、公共设施规划、绿地景观规划、环境与生态保护规划、产品体系和产业规划、项目策划、实施运营规划、品牌营销策划、专题研究以及其他采购需求提出的内容等。</w:t>
      </w:r>
    </w:p>
    <w:p>
      <w:pPr>
        <w:spacing w:line="500" w:lineRule="exact"/>
        <w:ind w:firstLine="480" w:firstLineChars="200"/>
        <w:rPr>
          <w:rFonts w:ascii="仿宋" w:hAnsi="仿宋" w:eastAsia="仿宋" w:cs="仿宋"/>
          <w:sz w:val="24"/>
        </w:rPr>
      </w:pPr>
      <w:r>
        <w:rPr>
          <w:rFonts w:hint="eastAsia" w:ascii="仿宋" w:hAnsi="仿宋" w:eastAsia="仿宋" w:cs="仿宋"/>
          <w:sz w:val="24"/>
        </w:rPr>
        <w:t>2）图纸应包括但不限于：</w:t>
      </w:r>
    </w:p>
    <w:p>
      <w:pPr>
        <w:spacing w:line="500" w:lineRule="exact"/>
        <w:ind w:firstLine="480" w:firstLineChars="200"/>
        <w:rPr>
          <w:rFonts w:ascii="仿宋" w:hAnsi="仿宋" w:eastAsia="仿宋" w:cs="仿宋"/>
          <w:sz w:val="24"/>
        </w:rPr>
      </w:pPr>
      <w:r>
        <w:rPr>
          <w:rFonts w:hint="eastAsia" w:ascii="仿宋" w:hAnsi="仿宋" w:eastAsia="仿宋" w:cs="仿宋"/>
          <w:sz w:val="24"/>
        </w:rPr>
        <w:t>规划范围图、区位分析图、现状交通分析图、旅游资源分布图、项目建设情况分布图、水系分布图、村庄现状分布图、旅游资源评价分析图、土地利用现状分析图、空间结构和功能分区图、项目布局图、土地利用协调规划图、产品体系规划图、交通规划图、日程游线规划图、主题游线规划图、景观体系规划图、绿地体系规划图、产业发展示意图、服务设施规划图、生态保护规划图、分期建设规划图等。</w:t>
      </w:r>
    </w:p>
    <w:p>
      <w:pPr>
        <w:spacing w:line="500" w:lineRule="exact"/>
        <w:ind w:firstLine="480" w:firstLineChars="200"/>
        <w:rPr>
          <w:rFonts w:ascii="仿宋" w:hAnsi="仿宋" w:eastAsia="仿宋" w:cs="仿宋"/>
          <w:sz w:val="24"/>
        </w:rPr>
      </w:pPr>
      <w:r>
        <w:rPr>
          <w:rFonts w:hint="eastAsia" w:ascii="仿宋" w:hAnsi="仿宋" w:eastAsia="仿宋" w:cs="仿宋"/>
          <w:sz w:val="24"/>
        </w:rPr>
        <w:t>2．计量单位要求</w:t>
      </w:r>
    </w:p>
    <w:p>
      <w:pPr>
        <w:spacing w:line="500" w:lineRule="exact"/>
        <w:ind w:firstLine="480" w:firstLineChars="200"/>
        <w:rPr>
          <w:rFonts w:ascii="仿宋" w:hAnsi="仿宋" w:eastAsia="仿宋" w:cs="仿宋"/>
          <w:sz w:val="24"/>
        </w:rPr>
      </w:pPr>
      <w:r>
        <w:rPr>
          <w:rFonts w:hint="eastAsia" w:ascii="仿宋" w:hAnsi="仿宋" w:eastAsia="仿宋" w:cs="仿宋"/>
          <w:sz w:val="24"/>
        </w:rPr>
        <w:t>所有设计成果的计量单位均应采用国际标准计量单位。如长度单位：总平面图标注尺寸以米（m）为单位；面积单位：均以平方米（㎡）为单位；体积单位：均以立方米（m³）为单位等。</w:t>
      </w:r>
    </w:p>
    <w:p>
      <w:pPr>
        <w:spacing w:line="500" w:lineRule="exact"/>
        <w:ind w:firstLine="480" w:firstLineChars="200"/>
        <w:rPr>
          <w:rFonts w:ascii="仿宋" w:hAnsi="仿宋" w:eastAsia="仿宋" w:cs="仿宋"/>
          <w:sz w:val="24"/>
        </w:rPr>
      </w:pPr>
      <w:r>
        <w:rPr>
          <w:rFonts w:hint="eastAsia" w:ascii="仿宋" w:hAnsi="仿宋" w:eastAsia="仿宋" w:cs="仿宋"/>
          <w:sz w:val="24"/>
        </w:rPr>
        <w:t>3.纸质成果：纸质成果文件按采购人实际需求提供，费用包含在报价中。</w:t>
      </w:r>
    </w:p>
    <w:p>
      <w:pPr>
        <w:spacing w:line="500" w:lineRule="exact"/>
        <w:ind w:firstLine="480" w:firstLineChars="200"/>
        <w:rPr>
          <w:rFonts w:ascii="仿宋" w:hAnsi="仿宋" w:eastAsia="仿宋" w:cs="仿宋"/>
          <w:sz w:val="24"/>
        </w:rPr>
      </w:pPr>
      <w:r>
        <w:rPr>
          <w:rFonts w:hint="eastAsia" w:ascii="仿宋" w:hAnsi="仿宋" w:eastAsia="仿宋" w:cs="仿宋"/>
          <w:sz w:val="24"/>
        </w:rPr>
        <w:t>4.电子数据成果：</w:t>
      </w:r>
    </w:p>
    <w:p>
      <w:pPr>
        <w:spacing w:line="500" w:lineRule="exact"/>
        <w:ind w:firstLine="480" w:firstLineChars="200"/>
        <w:rPr>
          <w:rFonts w:ascii="仿宋" w:hAnsi="仿宋" w:eastAsia="仿宋" w:cs="仿宋"/>
          <w:sz w:val="24"/>
        </w:rPr>
      </w:pPr>
      <w:r>
        <w:rPr>
          <w:rFonts w:hint="eastAsia" w:ascii="仿宋" w:hAnsi="仿宋" w:eastAsia="仿宋" w:cs="仿宋"/>
          <w:sz w:val="24"/>
        </w:rPr>
        <w:t>1）规划研究说明要求采用Microsoft Office进行文件编排，同时附PDF格式。</w:t>
      </w:r>
    </w:p>
    <w:p>
      <w:pPr>
        <w:spacing w:line="500" w:lineRule="exact"/>
        <w:ind w:firstLine="480" w:firstLineChars="200"/>
        <w:rPr>
          <w:rFonts w:ascii="仿宋" w:hAnsi="仿宋" w:eastAsia="仿宋" w:cs="仿宋"/>
          <w:sz w:val="24"/>
        </w:rPr>
      </w:pPr>
      <w:r>
        <w:rPr>
          <w:rFonts w:hint="eastAsia" w:ascii="仿宋" w:hAnsi="仿宋" w:eastAsia="仿宋" w:cs="仿宋"/>
          <w:sz w:val="24"/>
        </w:rPr>
        <w:t>2）CAD图纸应采用AutoCAD 2004的dwg格式文件，图形不要旋转，指北针垂直向上，且在电脑中核查的坐标应与所标注的一致，其坐标严格按杭州2000坐标输入，不得省略小数点后的4位数。</w:t>
      </w:r>
    </w:p>
    <w:p>
      <w:pPr>
        <w:spacing w:line="500" w:lineRule="exact"/>
        <w:ind w:firstLine="480" w:firstLineChars="200"/>
        <w:rPr>
          <w:rFonts w:ascii="仿宋" w:hAnsi="仿宋" w:eastAsia="仿宋" w:cs="仿宋"/>
          <w:sz w:val="24"/>
        </w:rPr>
      </w:pPr>
      <w:r>
        <w:rPr>
          <w:rFonts w:hint="eastAsia" w:ascii="仿宋" w:hAnsi="仿宋" w:eastAsia="仿宋" w:cs="仿宋"/>
          <w:sz w:val="24"/>
        </w:rPr>
        <w:t>3）规划成果符合国土空间规划“一张图”的入库要求和标准。</w:t>
      </w:r>
    </w:p>
    <w:p>
      <w:pPr>
        <w:spacing w:line="500" w:lineRule="exact"/>
        <w:ind w:firstLine="480" w:firstLineChars="200"/>
        <w:rPr>
          <w:rFonts w:ascii="仿宋" w:hAnsi="仿宋" w:eastAsia="仿宋" w:cs="仿宋"/>
          <w:sz w:val="24"/>
        </w:rPr>
      </w:pPr>
      <w:r>
        <w:rPr>
          <w:rFonts w:hint="eastAsia" w:ascii="仿宋" w:hAnsi="仿宋" w:eastAsia="仿宋" w:cs="仿宋"/>
          <w:sz w:val="24"/>
        </w:rPr>
        <w:t>5.项目成果必须符合本项目所在国家和地区颁发的法律法规、规范、规定、管理办法、标准和要求。</w:t>
      </w:r>
    </w:p>
    <w:p>
      <w:pPr>
        <w:spacing w:line="500" w:lineRule="exact"/>
        <w:ind w:firstLine="480" w:firstLineChars="200"/>
        <w:rPr>
          <w:rFonts w:ascii="仿宋" w:hAnsi="仿宋" w:eastAsia="仿宋" w:cs="仿宋"/>
          <w:sz w:val="24"/>
        </w:rPr>
      </w:pPr>
      <w:r>
        <w:rPr>
          <w:rFonts w:hint="eastAsia" w:ascii="仿宋" w:hAnsi="仿宋" w:eastAsia="仿宋" w:cs="仿宋"/>
          <w:sz w:val="24"/>
        </w:rPr>
        <w:t>6.项目成果内容必须符合本项目的项目背景、工作内容等有关内容的规定，项目成果深度要达到文件要求中规定的内容和深度。</w:t>
      </w:r>
    </w:p>
    <w:p>
      <w:pPr>
        <w:numPr>
          <w:ilvl w:val="0"/>
          <w:numId w:val="7"/>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项目进度计划安排</w:t>
      </w:r>
    </w:p>
    <w:p>
      <w:pPr>
        <w:ind w:firstLine="564" w:firstLineChars="235"/>
        <w:rPr>
          <w:rFonts w:ascii="仿宋" w:hAnsi="仿宋" w:eastAsia="仿宋" w:cs="仿宋"/>
          <w:sz w:val="24"/>
        </w:rPr>
      </w:pPr>
      <w:r>
        <w:rPr>
          <w:rFonts w:hint="eastAsia" w:ascii="仿宋" w:hAnsi="仿宋" w:eastAsia="仿宋" w:cs="仿宋"/>
          <w:sz w:val="24"/>
        </w:rPr>
        <w:t>项目计划分四个阶段。</w:t>
      </w:r>
    </w:p>
    <w:p>
      <w:pPr>
        <w:ind w:firstLine="564" w:firstLineChars="235"/>
        <w:rPr>
          <w:rFonts w:ascii="仿宋" w:hAnsi="仿宋" w:eastAsia="仿宋" w:cs="仿宋"/>
          <w:sz w:val="24"/>
        </w:rPr>
      </w:pPr>
      <w:r>
        <w:rPr>
          <w:rFonts w:hint="eastAsia" w:ascii="仿宋" w:hAnsi="仿宋" w:eastAsia="仿宋" w:cs="仿宋"/>
          <w:sz w:val="24"/>
        </w:rPr>
        <w:t>第一阶段：乙方收到首付款后20个工作日内，完成规划设计初步方案，并提交甲方。</w:t>
      </w:r>
    </w:p>
    <w:p>
      <w:pPr>
        <w:ind w:firstLine="564" w:firstLineChars="235"/>
        <w:rPr>
          <w:rFonts w:ascii="仿宋" w:hAnsi="仿宋" w:eastAsia="仿宋" w:cs="仿宋"/>
          <w:sz w:val="24"/>
        </w:rPr>
      </w:pPr>
      <w:r>
        <w:rPr>
          <w:rFonts w:hint="eastAsia" w:ascii="仿宋" w:hAnsi="仿宋" w:eastAsia="仿宋" w:cs="仿宋"/>
          <w:sz w:val="24"/>
        </w:rPr>
        <w:t>第二阶段：根据甲方修改意见，乙方于40个工作日内完成中间成果并提交甲方。</w:t>
      </w:r>
    </w:p>
    <w:p>
      <w:pPr>
        <w:ind w:firstLine="564" w:firstLineChars="235"/>
        <w:rPr>
          <w:rFonts w:ascii="仿宋" w:hAnsi="仿宋" w:eastAsia="仿宋" w:cs="仿宋"/>
          <w:sz w:val="24"/>
        </w:rPr>
      </w:pPr>
      <w:r>
        <w:rPr>
          <w:rFonts w:hint="eastAsia" w:ascii="仿宋" w:hAnsi="仿宋" w:eastAsia="仿宋" w:cs="仿宋"/>
          <w:sz w:val="24"/>
        </w:rPr>
        <w:t>第三阶段：根据甲方修改意见，乙方于35个工作日内完成规划设计送审成果并提交甲方。</w:t>
      </w:r>
    </w:p>
    <w:p>
      <w:pPr>
        <w:ind w:firstLine="564" w:firstLineChars="235"/>
        <w:rPr>
          <w:rFonts w:ascii="仿宋" w:hAnsi="仿宋" w:eastAsia="仿宋" w:cs="仿宋"/>
          <w:sz w:val="24"/>
        </w:rPr>
      </w:pPr>
      <w:r>
        <w:rPr>
          <w:rFonts w:hint="eastAsia" w:ascii="仿宋" w:hAnsi="仿宋" w:eastAsia="仿宋" w:cs="仿宋"/>
          <w:sz w:val="24"/>
        </w:rPr>
        <w:t>第四阶段：根据审查意见，乙方于30个工作日内完成规划设计最终成果并提交甲方。</w:t>
      </w:r>
    </w:p>
    <w:p>
      <w:pPr>
        <w:ind w:firstLine="564" w:firstLineChars="235"/>
        <w:rPr>
          <w:rFonts w:ascii="仿宋" w:hAnsi="仿宋" w:eastAsia="仿宋" w:cs="仿宋"/>
          <w:sz w:val="24"/>
        </w:rPr>
      </w:pPr>
      <w:r>
        <w:rPr>
          <w:rFonts w:hint="eastAsia" w:ascii="仿宋" w:hAnsi="仿宋" w:eastAsia="仿宋" w:cs="仿宋"/>
          <w:sz w:val="24"/>
        </w:rPr>
        <w:t>以上时间安排不包括甲乙双方方案的讨论、评议会议及等待甲方回复意见的时间，具体时间以甲方要求为准。</w:t>
      </w:r>
    </w:p>
    <w:p>
      <w:pPr>
        <w:numPr>
          <w:ilvl w:val="0"/>
          <w:numId w:val="7"/>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合同支付方式以分期方式支付</w:t>
      </w:r>
    </w:p>
    <w:p>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第一次付费：在合同签订后且甲方收到乙方正规合法等额发票之日起【15】个工作日内，甲方向乙方支付合同价款总金额的【</w:t>
      </w:r>
      <w:r>
        <w:rPr>
          <w:rFonts w:ascii="仿宋" w:hAnsi="仿宋" w:eastAsia="仿宋" w:cs="仿宋"/>
          <w:sz w:val="24"/>
          <w:highlight w:val="none"/>
        </w:rPr>
        <w:t>2</w:t>
      </w:r>
      <w:r>
        <w:rPr>
          <w:rFonts w:hint="eastAsia" w:ascii="仿宋" w:hAnsi="仿宋" w:eastAsia="仿宋" w:cs="仿宋"/>
          <w:sz w:val="24"/>
          <w:highlight w:val="none"/>
        </w:rPr>
        <w:t>0】%，即【   】元（大写：人民币【   】元整）；</w:t>
      </w:r>
    </w:p>
    <w:p>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第二次付费：项目中间稿通过甲方局审后且甲方收到乙方正规合法等额发票之日起【15】个工作日内，支付各子项目合同金额的【30】%，即【   】元（大写：人民币【   】元整）；</w:t>
      </w:r>
    </w:p>
    <w:p>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第三次付费：项目成果稿通过部门和专家审查，且甲方收到乙方正规合法等额发票之日起【15】个工作日内，支付各子项目合同金额的【</w:t>
      </w:r>
      <w:r>
        <w:rPr>
          <w:rFonts w:ascii="仿宋" w:hAnsi="仿宋" w:eastAsia="仿宋" w:cs="仿宋"/>
          <w:sz w:val="24"/>
          <w:highlight w:val="none"/>
        </w:rPr>
        <w:t>3</w:t>
      </w:r>
      <w:r>
        <w:rPr>
          <w:rFonts w:hint="eastAsia" w:ascii="仿宋" w:hAnsi="仿宋" w:eastAsia="仿宋" w:cs="仿宋"/>
          <w:sz w:val="24"/>
          <w:highlight w:val="none"/>
        </w:rPr>
        <w:t>0】%，即【   】元（大写：人民币【   】元整）；</w:t>
      </w:r>
    </w:p>
    <w:p>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第四次付费：乙方提供最终成果并由甲方出具批复或结题证明，且甲方收到乙方正规合法等额发票之日起【15】个工作日内，支付各子项目合同金额的【20】%，即【   】元（大写：人民币【   】元整）。</w:t>
      </w:r>
    </w:p>
    <w:p>
      <w:pPr>
        <w:numPr>
          <w:ilvl w:val="0"/>
          <w:numId w:val="7"/>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服务要求</w:t>
      </w:r>
    </w:p>
    <w:p>
      <w:pPr>
        <w:numPr>
          <w:ilvl w:val="0"/>
          <w:numId w:val="11"/>
        </w:numPr>
        <w:spacing w:line="500" w:lineRule="exact"/>
        <w:ind w:firstLine="480" w:firstLineChars="200"/>
        <w:rPr>
          <w:rFonts w:ascii="仿宋" w:hAnsi="仿宋" w:eastAsia="仿宋" w:cs="仿宋"/>
          <w:sz w:val="24"/>
        </w:rPr>
      </w:pPr>
      <w:r>
        <w:rPr>
          <w:rFonts w:hint="eastAsia" w:ascii="仿宋" w:hAnsi="仿宋" w:eastAsia="仿宋" w:cs="仿宋"/>
          <w:sz w:val="24"/>
        </w:rPr>
        <w:t>供应商需开展规划调研，通过实地考察、问卷调查、座谈交流等多种方式方法，了解掌握规划范围及周边区位的基本情况。按程序完成规划的论证、评审，最终形成规划成果。配合完成规划审查、报批、印发等程序。</w:t>
      </w:r>
    </w:p>
    <w:p>
      <w:pPr>
        <w:numPr>
          <w:ilvl w:val="0"/>
          <w:numId w:val="11"/>
        </w:numPr>
        <w:spacing w:line="500" w:lineRule="exact"/>
        <w:ind w:firstLine="480" w:firstLineChars="200"/>
        <w:rPr>
          <w:rFonts w:ascii="仿宋" w:hAnsi="仿宋" w:eastAsia="仿宋" w:cs="仿宋"/>
          <w:sz w:val="24"/>
        </w:rPr>
      </w:pPr>
      <w:r>
        <w:rPr>
          <w:rFonts w:hint="eastAsia" w:ascii="仿宋" w:hAnsi="仿宋" w:eastAsia="仿宋" w:cs="仿宋"/>
          <w:sz w:val="24"/>
        </w:rPr>
        <w:t>供应商需建立科学的服务保障体系，成交后在服务过程中须及时配合采购人的要求，在3个小时内响应甲方需求。供应商需提供必要的驻场办公服务，提供相应的技术咨询服务，若甲方有调研、对接、论证、汇报等工作安排，供应商需于48小时内安排项目组至现场配合工作开展。</w:t>
      </w:r>
    </w:p>
    <w:p>
      <w:pPr>
        <w:numPr>
          <w:ilvl w:val="0"/>
          <w:numId w:val="11"/>
        </w:numPr>
        <w:spacing w:line="500" w:lineRule="exact"/>
        <w:ind w:firstLine="480" w:firstLineChars="200"/>
        <w:rPr>
          <w:rFonts w:ascii="仿宋" w:hAnsi="仿宋" w:eastAsia="仿宋" w:cs="仿宋"/>
          <w:sz w:val="24"/>
        </w:rPr>
      </w:pPr>
      <w:r>
        <w:rPr>
          <w:rFonts w:hint="eastAsia" w:ascii="仿宋" w:hAnsi="仿宋" w:eastAsia="仿宋" w:cs="仿宋"/>
          <w:sz w:val="24"/>
        </w:rPr>
        <w:t>供应商有实力对项目提供持续的后续服务，包括投资建设、目的地的运营、综合文创度假开发、相关资源对接等后续服务。</w:t>
      </w:r>
    </w:p>
    <w:bookmarkEnd w:id="52"/>
    <w:p>
      <w:pPr>
        <w:rPr>
          <w:rFonts w:ascii="仿宋_GB2312" w:hAnsi="仿宋_GB2312" w:eastAsia="仿宋_GB2312" w:cs="仿宋_GB2312"/>
          <w:b/>
          <w:sz w:val="36"/>
          <w:szCs w:val="36"/>
        </w:rPr>
      </w:pPr>
    </w:p>
    <w:p>
      <w:pP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br w:type="page"/>
      </w:r>
    </w:p>
    <w:p>
      <w:pPr>
        <w:adjustRightInd/>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  评审方法及评审标准</w:t>
      </w:r>
    </w:p>
    <w:p>
      <w:pPr>
        <w:pStyle w:val="29"/>
        <w:spacing w:before="0"/>
        <w:ind w:firstLine="643"/>
        <w:jc w:val="center"/>
        <w:rPr>
          <w:rFonts w:ascii="仿宋_GB2312" w:hAnsi="仿宋_GB2312" w:eastAsia="仿宋_GB2312" w:cs="仿宋_GB2312"/>
          <w:b/>
        </w:rPr>
      </w:pPr>
      <w:r>
        <w:rPr>
          <w:rFonts w:hint="eastAsia" w:ascii="仿宋_GB2312" w:hAnsi="仿宋" w:eastAsia="仿宋_GB2312" w:cs="仿宋_GB2312"/>
          <w:b/>
          <w:sz w:val="32"/>
        </w:rPr>
        <w:t>一、评审方法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1.综合评分法。</w:t>
      </w:r>
      <w:r>
        <w:rPr>
          <w:rFonts w:hint="eastAsia" w:ascii="仿宋_GB2312" w:hAnsi="仿宋" w:eastAsia="仿宋_GB2312"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_GB2312" w:hAnsi="仿宋" w:eastAsia="仿宋_GB2312" w:cs="Arial"/>
          <w:kern w:val="0"/>
          <w:sz w:val="24"/>
        </w:rPr>
      </w:pPr>
    </w:p>
    <w:p>
      <w:pPr>
        <w:snapToGrid w:val="0"/>
        <w:spacing w:line="360" w:lineRule="auto"/>
        <w:ind w:left="120" w:leftChars="57" w:firstLine="422" w:firstLineChars="150"/>
        <w:jc w:val="center"/>
        <w:rPr>
          <w:rFonts w:ascii="仿宋_GB2312" w:hAnsi="仿宋" w:eastAsia="仿宋_GB2312" w:cs="仿宋_GB2312"/>
          <w:b/>
          <w:sz w:val="32"/>
        </w:rPr>
      </w:pPr>
      <w:r>
        <w:rPr>
          <w:rFonts w:hint="eastAsia" w:ascii="仿宋_GB2312" w:hAnsi="仿宋" w:eastAsia="仿宋_GB2312"/>
          <w:b/>
          <w:sz w:val="28"/>
          <w:szCs w:val="28"/>
        </w:rPr>
        <w:t xml:space="preserve">   </w:t>
      </w:r>
      <w:r>
        <w:rPr>
          <w:rFonts w:hint="eastAsia" w:ascii="仿宋_GB2312" w:hAnsi="仿宋" w:eastAsia="仿宋_GB2312" w:cs="仿宋_GB2312"/>
          <w:b/>
          <w:sz w:val="32"/>
        </w:rPr>
        <w:t>二、磋商小组的组成</w:t>
      </w:r>
    </w:p>
    <w:p>
      <w:pPr>
        <w:pStyle w:val="29"/>
        <w:spacing w:before="0"/>
        <w:ind w:firstLine="0" w:firstLineChars="0"/>
        <w:rPr>
          <w:rFonts w:ascii="仿宋_GB2312" w:hAnsi="仿宋" w:eastAsia="仿宋_GB2312" w:cs="Arial"/>
          <w:b/>
          <w:kern w:val="0"/>
        </w:rPr>
      </w:pPr>
      <w:r>
        <w:rPr>
          <w:rFonts w:hint="eastAsia" w:ascii="仿宋_GB2312" w:hAnsi="仿宋" w:eastAsia="仿宋_GB2312" w:cs="Arial"/>
          <w:b/>
          <w:kern w:val="0"/>
        </w:rPr>
        <w:t>1.磋商小组的组成。</w:t>
      </w:r>
    </w:p>
    <w:p>
      <w:pPr>
        <w:pStyle w:val="29"/>
        <w:spacing w:before="0"/>
        <w:ind w:firstLine="480"/>
        <w:rPr>
          <w:rFonts w:ascii="仿宋_GB2312" w:hAnsi="仿宋" w:eastAsia="仿宋_GB2312"/>
        </w:rPr>
      </w:pPr>
      <w:r>
        <w:rPr>
          <w:rFonts w:hint="eastAsia" w:ascii="仿宋_GB2312" w:hAnsi="仿宋" w:eastAsia="仿宋_GB2312"/>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9"/>
        <w:spacing w:before="0"/>
        <w:ind w:firstLine="480"/>
        <w:rPr>
          <w:rFonts w:ascii="仿宋_GB2312" w:hAnsi="仿宋" w:eastAsia="仿宋_GB2312"/>
        </w:rPr>
      </w:pPr>
      <w:r>
        <w:rPr>
          <w:rFonts w:hint="eastAsia" w:ascii="仿宋_GB2312" w:hAnsi="仿宋" w:eastAsia="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_GB2312" w:hAnsi="仿宋" w:eastAsia="仿宋_GB2312" w:cs="Arial"/>
          <w:b/>
          <w:kern w:val="0"/>
          <w:sz w:val="24"/>
          <w:szCs w:val="20"/>
        </w:rPr>
      </w:pPr>
      <w:r>
        <w:rPr>
          <w:rFonts w:hint="eastAsia" w:ascii="仿宋_GB2312" w:hAnsi="仿宋" w:eastAsia="仿宋_GB2312" w:cs="Arial"/>
          <w:b/>
          <w:kern w:val="0"/>
          <w:sz w:val="24"/>
          <w:szCs w:val="20"/>
        </w:rPr>
        <w:t>2.磋商小组的组成人员的回避。</w:t>
      </w:r>
    </w:p>
    <w:p>
      <w:pPr>
        <w:pStyle w:val="29"/>
        <w:spacing w:before="0"/>
        <w:ind w:firstLine="480"/>
        <w:rPr>
          <w:rFonts w:ascii="仿宋_GB2312" w:hAnsi="仿宋" w:eastAsia="仿宋_GB2312"/>
        </w:rPr>
      </w:pPr>
      <w:r>
        <w:rPr>
          <w:rFonts w:hint="eastAsia" w:ascii="仿宋_GB2312" w:hAnsi="仿宋" w:eastAsia="仿宋_GB2312"/>
        </w:rPr>
        <w:t>在政府采购活动中，磋商小组的组成人员与供应商有下列利害关系之一的，应当回避：</w:t>
      </w:r>
    </w:p>
    <w:p>
      <w:pPr>
        <w:pStyle w:val="29"/>
        <w:spacing w:before="0"/>
        <w:ind w:firstLine="0" w:firstLineChars="0"/>
        <w:rPr>
          <w:rFonts w:ascii="仿宋_GB2312" w:hAnsi="仿宋" w:eastAsia="仿宋_GB2312" w:cs="Arial"/>
          <w:kern w:val="0"/>
        </w:rPr>
      </w:pPr>
      <w:r>
        <w:rPr>
          <w:rFonts w:hint="eastAsia" w:ascii="仿宋_GB2312" w:hAnsi="仿宋" w:eastAsia="仿宋_GB2312" w:cs="Arial"/>
          <w:kern w:val="0"/>
        </w:rPr>
        <w:t>　　2.1参加采购活动前3年内与供应商存在劳动关系；</w:t>
      </w:r>
    </w:p>
    <w:p>
      <w:pPr>
        <w:pStyle w:val="29"/>
        <w:spacing w:before="0"/>
        <w:ind w:firstLine="0" w:firstLineChars="0"/>
        <w:rPr>
          <w:rFonts w:ascii="仿宋_GB2312" w:hAnsi="仿宋" w:eastAsia="仿宋_GB2312" w:cs="Arial"/>
          <w:kern w:val="0"/>
        </w:rPr>
      </w:pPr>
      <w:r>
        <w:rPr>
          <w:rFonts w:hint="eastAsia" w:ascii="仿宋_GB2312" w:hAnsi="仿宋" w:eastAsia="仿宋_GB2312" w:cs="Arial"/>
          <w:kern w:val="0"/>
        </w:rPr>
        <w:t>　　2.2参加采购活动前3年内担任供应商的董事、监事；</w:t>
      </w:r>
    </w:p>
    <w:p>
      <w:pPr>
        <w:pStyle w:val="29"/>
        <w:spacing w:before="0"/>
        <w:ind w:firstLine="0" w:firstLineChars="0"/>
        <w:rPr>
          <w:rFonts w:ascii="仿宋_GB2312" w:hAnsi="仿宋" w:eastAsia="仿宋_GB2312" w:cs="Arial"/>
          <w:kern w:val="0"/>
        </w:rPr>
      </w:pPr>
      <w:r>
        <w:rPr>
          <w:rFonts w:hint="eastAsia" w:ascii="仿宋_GB2312" w:hAnsi="仿宋" w:eastAsia="仿宋_GB2312" w:cs="Arial"/>
          <w:kern w:val="0"/>
        </w:rPr>
        <w:t>　　2.3参加采购活动前3年内是供应商的控股股东或者实际控制人；</w:t>
      </w:r>
    </w:p>
    <w:p>
      <w:pPr>
        <w:pStyle w:val="29"/>
        <w:spacing w:before="0"/>
        <w:ind w:firstLine="480" w:firstLineChars="0"/>
        <w:rPr>
          <w:rFonts w:ascii="仿宋_GB2312" w:hAnsi="仿宋" w:eastAsia="仿宋_GB2312" w:cs="Arial"/>
          <w:kern w:val="0"/>
        </w:rPr>
      </w:pPr>
      <w:r>
        <w:rPr>
          <w:rFonts w:hint="eastAsia" w:ascii="仿宋_GB2312" w:hAnsi="仿宋" w:eastAsia="仿宋_GB2312" w:cs="Arial"/>
          <w:kern w:val="0"/>
        </w:rPr>
        <w:t>2.4与供应商的法定代表人或者负责人有夫妻、直系血亲、三代以内旁系血亲或者近姻亲关系；</w:t>
      </w:r>
    </w:p>
    <w:p>
      <w:pPr>
        <w:pStyle w:val="29"/>
        <w:spacing w:before="0"/>
        <w:ind w:firstLine="480" w:firstLineChars="0"/>
        <w:rPr>
          <w:rFonts w:ascii="仿宋_GB2312" w:hAnsi="仿宋" w:eastAsia="仿宋_GB2312" w:cs="Arial"/>
          <w:kern w:val="0"/>
        </w:rPr>
      </w:pPr>
      <w:r>
        <w:rPr>
          <w:rFonts w:hint="eastAsia" w:ascii="仿宋_GB2312" w:hAnsi="仿宋" w:eastAsia="仿宋_GB2312" w:cs="Arial"/>
          <w:kern w:val="0"/>
        </w:rPr>
        <w:t>2.5与供应商有其他可能影响政府采购活动公平、公正进行的关系。</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b/>
          <w:sz w:val="32"/>
          <w:szCs w:val="32"/>
        </w:rPr>
      </w:pPr>
      <w:r>
        <w:rPr>
          <w:rFonts w:hint="eastAsia" w:ascii="仿宋_GB2312" w:hAnsi="仿宋" w:eastAsia="仿宋_GB2312" w:cs="仿宋_GB2312"/>
          <w:b/>
          <w:sz w:val="32"/>
        </w:rPr>
        <w:t>三、磋商小组的职责</w:t>
      </w:r>
    </w:p>
    <w:p>
      <w:pPr>
        <w:pStyle w:val="29"/>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1.磋商小组负责具体评审事务，并独立履行下列职责：</w:t>
      </w:r>
    </w:p>
    <w:p>
      <w:pPr>
        <w:pStyle w:val="29"/>
        <w:spacing w:before="0"/>
        <w:ind w:firstLine="480"/>
        <w:rPr>
          <w:rFonts w:ascii="仿宋_GB2312" w:hAnsi="仿宋" w:eastAsia="仿宋_GB2312"/>
        </w:rPr>
      </w:pPr>
      <w:r>
        <w:rPr>
          <w:rFonts w:hint="eastAsia" w:ascii="仿宋_GB2312" w:hAnsi="仿宋" w:eastAsia="仿宋_GB2312"/>
        </w:rPr>
        <w:t>1.1对响应文件的有效性、完整性和响应程度进行审查；</w:t>
      </w:r>
    </w:p>
    <w:p>
      <w:pPr>
        <w:pStyle w:val="29"/>
        <w:spacing w:before="0"/>
        <w:ind w:firstLine="480"/>
        <w:rPr>
          <w:rFonts w:ascii="仿宋_GB2312" w:hAnsi="仿宋" w:eastAsia="仿宋_GB2312"/>
        </w:rPr>
      </w:pPr>
      <w:r>
        <w:rPr>
          <w:rFonts w:hint="eastAsia" w:ascii="仿宋_GB2312" w:hAnsi="仿宋" w:eastAsia="仿宋_GB2312"/>
        </w:rPr>
        <w:t>1.2审查、评价响应文件是否符合磋商文件的商务、技术等实质性要求；</w:t>
      </w:r>
    </w:p>
    <w:p>
      <w:pPr>
        <w:pStyle w:val="29"/>
        <w:spacing w:before="0"/>
        <w:ind w:firstLine="480"/>
        <w:rPr>
          <w:rFonts w:ascii="仿宋_GB2312" w:hAnsi="仿宋" w:eastAsia="仿宋_GB2312"/>
        </w:rPr>
      </w:pPr>
      <w:r>
        <w:rPr>
          <w:rFonts w:hint="eastAsia" w:ascii="仿宋_GB2312" w:hAnsi="仿宋" w:eastAsia="仿宋_GB2312"/>
        </w:rPr>
        <w:t>1.3要求供应商对响应文件有关事项作出澄清、说明或者更正；</w:t>
      </w:r>
    </w:p>
    <w:p>
      <w:pPr>
        <w:pStyle w:val="29"/>
        <w:spacing w:before="0"/>
        <w:ind w:firstLine="480"/>
        <w:rPr>
          <w:rFonts w:ascii="仿宋_GB2312" w:hAnsi="仿宋" w:eastAsia="仿宋_GB2312"/>
        </w:rPr>
      </w:pPr>
      <w:r>
        <w:rPr>
          <w:rFonts w:hint="eastAsia" w:ascii="仿宋_GB2312" w:hAnsi="仿宋" w:eastAsia="仿宋_GB2312"/>
        </w:rPr>
        <w:t>1.4磋商小组集中与单一供应商分别进行磋商；</w:t>
      </w:r>
    </w:p>
    <w:p>
      <w:pPr>
        <w:pStyle w:val="29"/>
        <w:spacing w:before="0"/>
        <w:ind w:firstLine="480"/>
        <w:rPr>
          <w:rFonts w:ascii="仿宋_GB2312" w:hAnsi="仿宋" w:eastAsia="仿宋_GB2312"/>
        </w:rPr>
      </w:pPr>
      <w:r>
        <w:rPr>
          <w:rFonts w:hint="eastAsia" w:ascii="仿宋_GB2312" w:hAnsi="仿宋" w:eastAsia="仿宋_GB2312"/>
        </w:rPr>
        <w:t>1.5确定磋商文件的变动情况，并确定提交最后报价的供应商；</w:t>
      </w:r>
    </w:p>
    <w:p>
      <w:pPr>
        <w:pStyle w:val="29"/>
        <w:spacing w:before="0"/>
        <w:ind w:firstLine="480"/>
        <w:rPr>
          <w:rFonts w:ascii="仿宋_GB2312" w:hAnsi="仿宋" w:eastAsia="仿宋_GB2312"/>
        </w:rPr>
      </w:pPr>
      <w:r>
        <w:rPr>
          <w:rFonts w:hint="eastAsia" w:ascii="仿宋_GB2312" w:hAnsi="仿宋" w:eastAsia="仿宋_GB2312"/>
        </w:rPr>
        <w:t>1.6根据磋商文件确定的评审办法及评审标准对提交最后报价的供应商的响应文件和最后报价采用综合评分法进行综合评分；</w:t>
      </w:r>
    </w:p>
    <w:p>
      <w:pPr>
        <w:pStyle w:val="29"/>
        <w:spacing w:before="0"/>
        <w:ind w:firstLine="480"/>
        <w:rPr>
          <w:rFonts w:ascii="仿宋_GB2312" w:hAnsi="仿宋" w:eastAsia="仿宋_GB2312"/>
        </w:rPr>
      </w:pPr>
      <w:r>
        <w:rPr>
          <w:rFonts w:hint="eastAsia" w:ascii="仿宋_GB2312" w:hAnsi="仿宋" w:eastAsia="仿宋_GB2312"/>
        </w:rPr>
        <w:t>1.7编制评审报告，确定成交候选人名单，以及根据采购人委托直接确定成交人；</w:t>
      </w:r>
    </w:p>
    <w:p>
      <w:pPr>
        <w:pStyle w:val="29"/>
        <w:spacing w:before="0"/>
        <w:ind w:firstLine="480"/>
        <w:rPr>
          <w:rFonts w:ascii="仿宋_GB2312" w:hAnsi="仿宋" w:eastAsia="仿宋_GB2312"/>
        </w:rPr>
      </w:pPr>
      <w:r>
        <w:rPr>
          <w:rFonts w:hint="eastAsia" w:ascii="仿宋_GB2312" w:hAnsi="仿宋" w:eastAsia="仿宋_GB2312"/>
        </w:rPr>
        <w:t>1.8向采购人、采购机构或者有关部门报告评审中发现的违法行为；</w:t>
      </w:r>
    </w:p>
    <w:p>
      <w:pPr>
        <w:pStyle w:val="29"/>
        <w:spacing w:before="0"/>
        <w:ind w:firstLine="480"/>
        <w:rPr>
          <w:rFonts w:ascii="仿宋_GB2312" w:hAnsi="仿宋" w:eastAsia="仿宋_GB2312"/>
        </w:rPr>
      </w:pPr>
      <w:r>
        <w:rPr>
          <w:rFonts w:hint="eastAsia" w:ascii="仿宋_GB2312" w:hAnsi="仿宋" w:eastAsia="仿宋_GB2312"/>
        </w:rPr>
        <w:t>1.9法律、法规、规章、磋商文件等规定的其它事项。</w:t>
      </w:r>
    </w:p>
    <w:p>
      <w:pPr>
        <w:pStyle w:val="29"/>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2.磋商小组及其成员不得有下列行为：</w:t>
      </w:r>
    </w:p>
    <w:p>
      <w:pPr>
        <w:pStyle w:val="29"/>
        <w:spacing w:before="0"/>
        <w:ind w:firstLine="480"/>
        <w:rPr>
          <w:rFonts w:ascii="仿宋_GB2312" w:hAnsi="仿宋" w:eastAsia="仿宋_GB2312"/>
        </w:rPr>
      </w:pPr>
      <w:r>
        <w:rPr>
          <w:rFonts w:hint="eastAsia" w:ascii="仿宋_GB2312" w:hAnsi="仿宋" w:eastAsia="仿宋_GB2312"/>
        </w:rPr>
        <w:t>2.1确定参与本项目至评审结束前私自接触供应商；</w:t>
      </w:r>
    </w:p>
    <w:p>
      <w:pPr>
        <w:pStyle w:val="29"/>
        <w:spacing w:before="0"/>
        <w:ind w:firstLine="480"/>
        <w:rPr>
          <w:rFonts w:ascii="仿宋_GB2312" w:hAnsi="仿宋" w:eastAsia="仿宋_GB2312"/>
        </w:rPr>
      </w:pPr>
      <w:r>
        <w:rPr>
          <w:rFonts w:hint="eastAsia" w:ascii="仿宋_GB2312" w:hAnsi="仿宋" w:eastAsia="仿宋_GB2312"/>
        </w:rPr>
        <w:t xml:space="preserve">2.2接受供应商提出的“超出响应文件的范围或者改变响应文件的实质性内容”的澄清、说明或者更正； </w:t>
      </w:r>
    </w:p>
    <w:p>
      <w:pPr>
        <w:pStyle w:val="29"/>
        <w:spacing w:before="0"/>
        <w:ind w:firstLine="480"/>
        <w:rPr>
          <w:rFonts w:ascii="仿宋_GB2312" w:hAnsi="仿宋" w:eastAsia="仿宋_GB2312"/>
        </w:rPr>
      </w:pPr>
      <w:r>
        <w:rPr>
          <w:rFonts w:hint="eastAsia" w:ascii="仿宋_GB2312" w:hAnsi="仿宋" w:eastAsia="仿宋_GB2312"/>
        </w:rPr>
        <w:t>2.3违反评审纪律发表倾向性意见或者征询采购人的倾向性意见；</w:t>
      </w:r>
    </w:p>
    <w:p>
      <w:pPr>
        <w:pStyle w:val="29"/>
        <w:spacing w:before="0"/>
        <w:ind w:firstLine="480"/>
        <w:rPr>
          <w:rFonts w:ascii="仿宋_GB2312" w:hAnsi="仿宋" w:eastAsia="仿宋_GB2312"/>
        </w:rPr>
      </w:pPr>
      <w:r>
        <w:rPr>
          <w:rFonts w:hint="eastAsia" w:ascii="仿宋_GB2312" w:hAnsi="仿宋" w:eastAsia="仿宋_GB2312"/>
        </w:rPr>
        <w:t>2.4对需要专业判断的主观评审因素协商评分；</w:t>
      </w:r>
    </w:p>
    <w:p>
      <w:pPr>
        <w:pStyle w:val="29"/>
        <w:spacing w:before="0"/>
        <w:ind w:firstLine="480"/>
        <w:rPr>
          <w:rFonts w:ascii="仿宋_GB2312" w:hAnsi="仿宋" w:eastAsia="仿宋_GB2312"/>
        </w:rPr>
      </w:pPr>
      <w:r>
        <w:rPr>
          <w:rFonts w:hint="eastAsia" w:ascii="仿宋_GB2312" w:hAnsi="仿宋" w:eastAsia="仿宋_GB2312"/>
        </w:rPr>
        <w:t>2.5在评审过程中擅离职守，影响评审程序正常进行的；</w:t>
      </w:r>
    </w:p>
    <w:p>
      <w:pPr>
        <w:pStyle w:val="29"/>
        <w:spacing w:before="0"/>
        <w:ind w:firstLine="480"/>
        <w:rPr>
          <w:rFonts w:ascii="仿宋_GB2312" w:hAnsi="仿宋" w:eastAsia="仿宋_GB2312"/>
        </w:rPr>
      </w:pPr>
      <w:r>
        <w:rPr>
          <w:rFonts w:hint="eastAsia" w:ascii="仿宋_GB2312" w:hAnsi="仿宋" w:eastAsia="仿宋_GB2312"/>
        </w:rPr>
        <w:t>2.6记录、复制或者带走任何评审资料；</w:t>
      </w:r>
    </w:p>
    <w:p>
      <w:pPr>
        <w:pStyle w:val="29"/>
        <w:spacing w:before="0"/>
        <w:ind w:firstLine="480"/>
        <w:rPr>
          <w:rFonts w:ascii="仿宋_GB2312" w:hAnsi="仿宋" w:eastAsia="仿宋_GB2312"/>
        </w:rPr>
      </w:pPr>
      <w:r>
        <w:rPr>
          <w:rFonts w:hint="eastAsia" w:ascii="仿宋_GB2312" w:hAnsi="仿宋" w:eastAsia="仿宋_GB2312"/>
        </w:rPr>
        <w:t>2.7其他不遵守评审纪律的行为。</w:t>
      </w:r>
    </w:p>
    <w:p>
      <w:pPr>
        <w:pStyle w:val="29"/>
        <w:spacing w:before="0"/>
        <w:ind w:firstLine="480"/>
        <w:rPr>
          <w:rFonts w:ascii="仿宋_GB2312" w:hAnsi="仿宋" w:eastAsia="仿宋_GB2312"/>
        </w:rPr>
      </w:pPr>
      <w:r>
        <w:rPr>
          <w:rFonts w:hint="eastAsia" w:ascii="仿宋_GB2312" w:hAnsi="仿宋" w:eastAsia="仿宋_GB2312"/>
        </w:rPr>
        <w:t>磋商小组成员有2.1-2.5行为之一的，其评审意见无效，并不得获取评审劳务报酬和报销异地评审差旅费。</w:t>
      </w:r>
    </w:p>
    <w:p>
      <w:pPr>
        <w:pStyle w:val="29"/>
        <w:spacing w:before="0"/>
        <w:ind w:firstLine="0" w:firstLineChars="0"/>
        <w:rPr>
          <w:rFonts w:ascii="仿宋_GB2312" w:hAnsi="仿宋" w:eastAsia="仿宋_GB2312"/>
          <w:b/>
        </w:rPr>
      </w:pPr>
    </w:p>
    <w:p>
      <w:pPr>
        <w:pStyle w:val="29"/>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四、评审程序</w:t>
      </w:r>
    </w:p>
    <w:p>
      <w:pPr>
        <w:pStyle w:val="29"/>
        <w:spacing w:before="0"/>
        <w:ind w:firstLine="472" w:firstLineChars="196"/>
        <w:rPr>
          <w:rFonts w:ascii="仿宋_GB2312" w:hAnsi="仿宋" w:eastAsia="仿宋_GB2312"/>
          <w:b/>
        </w:rPr>
      </w:pPr>
      <w:r>
        <w:rPr>
          <w:rFonts w:hint="eastAsia" w:ascii="仿宋_GB2312" w:hAnsi="仿宋" w:eastAsia="仿宋_GB2312"/>
          <w:b/>
        </w:rPr>
        <w:t>详见磋商文件“第二部分 竞争性磋商流程”。</w:t>
      </w:r>
    </w:p>
    <w:p>
      <w:pPr>
        <w:pStyle w:val="29"/>
        <w:spacing w:before="0"/>
        <w:ind w:firstLine="0" w:firstLineChars="0"/>
        <w:rPr>
          <w:rFonts w:ascii="仿宋_GB2312" w:hAnsi="仿宋" w:eastAsia="仿宋_GB2312"/>
          <w:b/>
        </w:rPr>
      </w:pPr>
    </w:p>
    <w:p>
      <w:pPr>
        <w:pStyle w:val="29"/>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五、评审须知</w:t>
      </w:r>
    </w:p>
    <w:p>
      <w:pPr>
        <w:pStyle w:val="29"/>
        <w:spacing w:before="0"/>
        <w:ind w:firstLine="0" w:firstLineChars="0"/>
        <w:rPr>
          <w:rFonts w:ascii="仿宋_GB2312" w:hAnsi="仿宋_GB2312" w:eastAsia="仿宋_GB2312" w:cs="仿宋_GB2312"/>
          <w:b/>
          <w:szCs w:val="24"/>
        </w:rPr>
      </w:pPr>
      <w:r>
        <w:rPr>
          <w:rFonts w:hint="eastAsia" w:ascii="仿宋_GB2312" w:hAnsi="仿宋" w:eastAsia="仿宋_GB2312"/>
          <w:b/>
          <w:szCs w:val="24"/>
        </w:rPr>
        <w:t>1. 响应文件的澄清</w:t>
      </w:r>
    </w:p>
    <w:p>
      <w:pPr>
        <w:spacing w:line="360" w:lineRule="auto"/>
        <w:ind w:firstLine="480"/>
        <w:rPr>
          <w:rFonts w:ascii="仿宋_GB2312" w:hAnsi="仿宋" w:eastAsia="仿宋_GB2312"/>
          <w:sz w:val="24"/>
        </w:rPr>
      </w:pPr>
      <w:r>
        <w:rPr>
          <w:rFonts w:hint="eastAsia" w:ascii="仿宋_GB2312" w:hAnsi="仿宋" w:eastAsia="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spacing w:line="360" w:lineRule="auto"/>
        <w:ind w:firstLine="482" w:firstLineChars="200"/>
      </w:pPr>
      <w:r>
        <w:rPr>
          <w:rFonts w:hint="eastAsia" w:ascii="仿宋_GB2312" w:hAnsi="仿宋" w:eastAsia="仿宋_GB2312" w:cs="Arial"/>
          <w:b/>
          <w:bCs/>
          <w:kern w:val="0"/>
          <w:sz w:val="24"/>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pStyle w:val="29"/>
        <w:spacing w:before="0"/>
        <w:ind w:firstLine="0" w:firstLineChars="0"/>
        <w:rPr>
          <w:rFonts w:ascii="仿宋_GB2312" w:hAnsi="仿宋_GB2312" w:eastAsia="仿宋_GB2312" w:cs="仿宋_GB2312"/>
          <w:b/>
          <w:szCs w:val="24"/>
        </w:rPr>
      </w:pPr>
      <w:r>
        <w:rPr>
          <w:rFonts w:hint="eastAsia" w:ascii="仿宋_GB2312" w:hAnsi="仿宋" w:eastAsia="仿宋_GB2312"/>
          <w:b/>
        </w:rPr>
        <w:t>2.最后报价的修正原则</w:t>
      </w:r>
    </w:p>
    <w:p>
      <w:pPr>
        <w:spacing w:line="360" w:lineRule="auto"/>
        <w:ind w:firstLine="480"/>
        <w:rPr>
          <w:rFonts w:ascii="仿宋_GB2312" w:hAnsi="仿宋" w:eastAsia="仿宋_GB2312"/>
          <w:sz w:val="24"/>
        </w:rPr>
      </w:pPr>
      <w:r>
        <w:rPr>
          <w:rFonts w:hint="eastAsia" w:ascii="仿宋_GB2312" w:hAnsi="仿宋" w:eastAsia="仿宋_GB2312"/>
          <w:sz w:val="24"/>
        </w:rPr>
        <w:t>磋商小组对响应文件的最后报价进行审核，对发现计算、书写等错误的，按以下原则进行修正：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2.1《报价一览表》内容与响应文件中响应内容不一致的，以《报价一览表》为准;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2.2大写金额和小写金额不一致的，以大写金额为准;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2.3单价金额小数点或者百分比有明显错位的，以《报价一览表》的总价为准，并修改单价;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2.4总价金额与按单价汇总金额不一致的，以单价金额计算结果为准。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2.5同时出现两种以上不一致的，按照前款规定的顺序修正。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2.6以修正后的总价作为最后报价。</w:t>
      </w:r>
    </w:p>
    <w:p>
      <w:pPr>
        <w:spacing w:line="360" w:lineRule="auto"/>
        <w:rPr>
          <w:rFonts w:ascii="仿宋_GB2312" w:hAnsi="仿宋" w:eastAsia="仿宋_GB2312" w:cs="仿宋_GB2312"/>
          <w:b/>
          <w:bCs/>
          <w:sz w:val="24"/>
        </w:rPr>
      </w:pPr>
      <w:r>
        <w:rPr>
          <w:rFonts w:hint="eastAsia" w:ascii="仿宋_GB2312" w:hAnsi="仿宋" w:eastAsia="仿宋_GB2312" w:cs="仿宋_GB2312"/>
          <w:bCs/>
          <w:sz w:val="24"/>
        </w:rPr>
        <w:t>▲</w:t>
      </w:r>
      <w:r>
        <w:rPr>
          <w:rFonts w:hint="eastAsia" w:ascii="仿宋_GB2312" w:hAnsi="仿宋" w:eastAsia="仿宋_GB2312" w:cs="仿宋_GB2312"/>
          <w:b/>
          <w:bCs/>
          <w:sz w:val="24"/>
        </w:rPr>
        <w:t>供应商对根据修正原则修正后的最后报价不确认的，响应无效。</w:t>
      </w:r>
    </w:p>
    <w:p>
      <w:pPr>
        <w:pStyle w:val="29"/>
        <w:spacing w:before="0"/>
        <w:ind w:firstLine="0" w:firstLineChars="0"/>
        <w:rPr>
          <w:rFonts w:ascii="仿宋_GB2312" w:hAnsi="仿宋_GB2312" w:eastAsia="仿宋_GB2312" w:cs="仿宋_GB2312"/>
          <w:b/>
          <w:szCs w:val="24"/>
        </w:rPr>
      </w:pPr>
      <w:r>
        <w:rPr>
          <w:rFonts w:hint="eastAsia" w:ascii="仿宋_GB2312" w:hAnsi="仿宋" w:eastAsia="仿宋_GB2312"/>
          <w:b/>
        </w:rPr>
        <w:t>3.</w:t>
      </w:r>
      <w:r>
        <w:rPr>
          <w:rFonts w:hint="eastAsia" w:ascii="仿宋_GB2312" w:hAnsi="仿宋" w:eastAsia="仿宋_GB2312"/>
          <w:b/>
          <w:spacing w:val="20"/>
        </w:rPr>
        <w:t>响应无效</w:t>
      </w:r>
    </w:p>
    <w:p>
      <w:pPr>
        <w:pStyle w:val="5"/>
        <w:spacing w:line="360" w:lineRule="auto"/>
        <w:ind w:firstLine="600" w:firstLineChars="250"/>
        <w:rPr>
          <w:rFonts w:ascii="仿宋_GB2312" w:hAnsi="仿宋" w:eastAsia="仿宋_GB2312"/>
          <w:szCs w:val="21"/>
        </w:rPr>
      </w:pPr>
      <w:r>
        <w:rPr>
          <w:rFonts w:hint="eastAsia" w:ascii="仿宋_GB2312" w:hAnsi="仿宋" w:eastAsia="仿宋_GB2312" w:cs="仿宋_GB2312"/>
          <w:szCs w:val="21"/>
        </w:rPr>
        <w:t>有下列情况之一的，响应无效：</w:t>
      </w:r>
      <w:r>
        <w:rPr>
          <w:rFonts w:hint="eastAsia" w:ascii="仿宋_GB2312" w:hAnsi="仿宋" w:eastAsia="仿宋_GB2312"/>
          <w:szCs w:val="21"/>
        </w:rPr>
        <w:t>：</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sz w:val="24"/>
        </w:rPr>
        <w:t>3.1</w:t>
      </w:r>
      <w:r>
        <w:rPr>
          <w:rFonts w:hint="eastAsia" w:ascii="仿宋_GB2312" w:hAnsi="仿宋" w:eastAsia="仿宋_GB2312"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3.4如以联合体形式参加政府采购活动的，联合体协议不符合磋商文件规定的联合体协议要求的；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3.5响应文件未按磋商文件规定的格式编制的；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3.6响应文件未按磋商文件的澄清、修改的内容编制，又不符合实质性要求的；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3.7响应文件组成漏项，内容不全或内容字迹模糊辨认不清的；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3.8响应文件中法人授权书所载内容与本项目内容有异的；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3.9响应文件未按照磋商文件要求签署、盖章的；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3.10</w:t>
      </w:r>
      <w:r>
        <w:rPr>
          <w:rFonts w:ascii="仿宋_GB2312" w:hAnsi="仿宋" w:eastAsia="仿宋_GB2312"/>
          <w:sz w:val="24"/>
        </w:rPr>
        <w:t>采购人拟采购的产品属于</w:t>
      </w:r>
      <w:r>
        <w:rPr>
          <w:rFonts w:hint="eastAsia" w:ascii="仿宋_GB2312" w:hAnsi="仿宋" w:eastAsia="仿宋_GB2312"/>
          <w:sz w:val="24"/>
        </w:rPr>
        <w:t xml:space="preserve">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3.11响应文件含有采购人不能接受的附加条件的；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3.12响应文件中承诺的响应有效期少于磋商文件中载明的响应有效期的；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3.13供应商所投内容不符合采购需求中实质性要求的；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3.14所提交的最后报价中出现不是唯一的、有选择性的报价的;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3.15最后报价高于本项目采购预算或者最高限价的;</w:t>
      </w:r>
    </w:p>
    <w:p>
      <w:pPr>
        <w:spacing w:line="360" w:lineRule="auto"/>
        <w:ind w:firstLine="480" w:firstLineChars="200"/>
      </w:pPr>
      <w:r>
        <w:rPr>
          <w:rFonts w:hint="eastAsia" w:ascii="仿宋_GB2312" w:hAnsi="仿宋" w:eastAsia="仿宋_GB2312"/>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3.17最后报价填写不完整或字迹不能辨认或有漏项的；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3.18供应商对根据修正原则修正后的最后报价不确认的；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3.19供应商提供虚假材料响应的（包括但不限于以下情节）；</w:t>
      </w:r>
    </w:p>
    <w:p>
      <w:pPr>
        <w:pStyle w:val="30"/>
        <w:numPr>
          <w:ilvl w:val="0"/>
          <w:numId w:val="12"/>
        </w:numPr>
        <w:ind w:firstLineChars="0"/>
        <w:rPr>
          <w:rFonts w:ascii="仿宋_GB2312" w:hAnsi="仿宋" w:eastAsia="仿宋_GB2312"/>
        </w:rPr>
      </w:pPr>
      <w:r>
        <w:rPr>
          <w:rFonts w:hint="eastAsia" w:ascii="仿宋_GB2312" w:hAnsi="仿宋" w:eastAsia="仿宋_GB2312"/>
        </w:rPr>
        <w:t>使用伪造、变造的许可证件；</w:t>
      </w:r>
    </w:p>
    <w:p>
      <w:pPr>
        <w:pStyle w:val="30"/>
        <w:numPr>
          <w:ilvl w:val="0"/>
          <w:numId w:val="12"/>
        </w:numPr>
        <w:ind w:firstLineChars="0"/>
        <w:rPr>
          <w:rFonts w:ascii="仿宋_GB2312" w:hAnsi="仿宋" w:eastAsia="仿宋_GB2312"/>
        </w:rPr>
      </w:pPr>
      <w:r>
        <w:rPr>
          <w:rFonts w:hint="eastAsia" w:ascii="仿宋_GB2312" w:hAnsi="仿宋" w:eastAsia="仿宋_GB2312"/>
        </w:rPr>
        <w:t>提供虚假的财务状况或者业绩；</w:t>
      </w:r>
    </w:p>
    <w:p>
      <w:pPr>
        <w:pStyle w:val="30"/>
        <w:numPr>
          <w:ilvl w:val="0"/>
          <w:numId w:val="12"/>
        </w:numPr>
        <w:ind w:firstLineChars="0"/>
        <w:rPr>
          <w:rFonts w:ascii="仿宋_GB2312" w:hAnsi="仿宋" w:eastAsia="仿宋_GB2312"/>
        </w:rPr>
      </w:pPr>
      <w:r>
        <w:rPr>
          <w:rFonts w:hint="eastAsia" w:ascii="仿宋_GB2312" w:hAnsi="仿宋" w:eastAsia="仿宋_GB2312"/>
        </w:rPr>
        <w:t>提供虚假的项目负责人或者主要技术人员简历、劳动关系证明；</w:t>
      </w:r>
    </w:p>
    <w:p>
      <w:pPr>
        <w:pStyle w:val="30"/>
        <w:numPr>
          <w:ilvl w:val="0"/>
          <w:numId w:val="12"/>
        </w:numPr>
        <w:ind w:firstLineChars="0"/>
        <w:rPr>
          <w:rFonts w:ascii="仿宋_GB2312" w:hAnsi="仿宋" w:eastAsia="仿宋_GB2312"/>
        </w:rPr>
      </w:pPr>
      <w:r>
        <w:rPr>
          <w:rFonts w:hint="eastAsia" w:ascii="仿宋_GB2312" w:hAnsi="仿宋" w:eastAsia="仿宋_GB2312"/>
        </w:rPr>
        <w:t>提供虚假的信用状况；</w:t>
      </w:r>
    </w:p>
    <w:p>
      <w:pPr>
        <w:pStyle w:val="30"/>
        <w:numPr>
          <w:ilvl w:val="0"/>
          <w:numId w:val="12"/>
        </w:numPr>
        <w:ind w:firstLineChars="0"/>
        <w:rPr>
          <w:rFonts w:ascii="仿宋_GB2312" w:hAnsi="仿宋" w:eastAsia="仿宋_GB2312"/>
        </w:rPr>
      </w:pPr>
      <w:r>
        <w:rPr>
          <w:rFonts w:hint="eastAsia" w:ascii="仿宋_GB2312" w:hAnsi="仿宋" w:eastAsia="仿宋_GB2312"/>
        </w:rPr>
        <w:t>其他弄虚作假的行为。</w:t>
      </w:r>
    </w:p>
    <w:p>
      <w:pPr>
        <w:spacing w:line="360" w:lineRule="auto"/>
        <w:ind w:firstLine="480"/>
        <w:rPr>
          <w:rFonts w:ascii="仿宋_GB2312" w:hAnsi="仿宋" w:eastAsia="仿宋_GB2312"/>
          <w:sz w:val="24"/>
        </w:rPr>
      </w:pPr>
      <w:r>
        <w:rPr>
          <w:rFonts w:hint="eastAsia" w:ascii="仿宋_GB2312" w:hAnsi="仿宋" w:eastAsia="仿宋_GB2312"/>
          <w:sz w:val="24"/>
        </w:rPr>
        <w:t>3.20供应商有恶意串通、妨碍其他供应商的竞争行为、损害采购人或者其他供应商的合法权益情形的。</w:t>
      </w:r>
    </w:p>
    <w:p>
      <w:pPr>
        <w:spacing w:line="360" w:lineRule="auto"/>
        <w:ind w:firstLine="480"/>
        <w:rPr>
          <w:rFonts w:ascii="仿宋_GB2312" w:hAnsi="仿宋" w:eastAsia="仿宋_GB2312"/>
          <w:sz w:val="24"/>
        </w:rPr>
      </w:pPr>
      <w:r>
        <w:rPr>
          <w:rFonts w:hint="eastAsia" w:ascii="仿宋_GB2312" w:hAnsi="仿宋" w:eastAsia="仿宋_GB2312"/>
          <w:sz w:val="24"/>
        </w:rPr>
        <w:t>有下列情形之一的，属于或视为恶意串通，其响应无效：</w:t>
      </w:r>
    </w:p>
    <w:p>
      <w:pPr>
        <w:pStyle w:val="30"/>
        <w:numPr>
          <w:ilvl w:val="0"/>
          <w:numId w:val="13"/>
        </w:numPr>
        <w:ind w:firstLineChars="0"/>
        <w:rPr>
          <w:rFonts w:ascii="仿宋_GB2312" w:hAnsi="仿宋" w:eastAsia="仿宋_GB2312"/>
        </w:rPr>
      </w:pPr>
      <w:r>
        <w:rPr>
          <w:rFonts w:hint="eastAsia" w:ascii="仿宋_GB2312" w:hAnsi="仿宋" w:eastAsia="仿宋_GB2312"/>
        </w:rPr>
        <w:t>供应商直接或者间接从采购人或者采购机构处获得其他供应商的相关情况并修改其响应文件；</w:t>
      </w:r>
    </w:p>
    <w:p>
      <w:pPr>
        <w:pStyle w:val="30"/>
        <w:numPr>
          <w:ilvl w:val="0"/>
          <w:numId w:val="13"/>
        </w:numPr>
        <w:ind w:firstLineChars="0"/>
        <w:rPr>
          <w:rFonts w:ascii="仿宋_GB2312" w:hAnsi="仿宋" w:eastAsia="仿宋_GB2312"/>
        </w:rPr>
      </w:pPr>
      <w:r>
        <w:rPr>
          <w:rFonts w:hint="eastAsia" w:ascii="仿宋_GB2312" w:hAnsi="仿宋" w:eastAsia="仿宋_GB2312"/>
        </w:rPr>
        <w:t>供应商按照采购人或者采购机构的授意撤换、修改投标文件或者响应文件；</w:t>
      </w:r>
    </w:p>
    <w:p>
      <w:pPr>
        <w:pStyle w:val="30"/>
        <w:numPr>
          <w:ilvl w:val="0"/>
          <w:numId w:val="13"/>
        </w:numPr>
        <w:ind w:firstLineChars="0"/>
        <w:rPr>
          <w:rFonts w:ascii="仿宋_GB2312" w:hAnsi="仿宋" w:eastAsia="仿宋_GB2312"/>
        </w:rPr>
      </w:pPr>
      <w:r>
        <w:rPr>
          <w:rFonts w:hint="eastAsia" w:ascii="仿宋_GB2312" w:hAnsi="仿宋" w:eastAsia="仿宋_GB2312"/>
        </w:rPr>
        <w:t>供应商之间协商报价、技术方案等投标文件或者响应文件的实质性内容；</w:t>
      </w:r>
    </w:p>
    <w:p>
      <w:pPr>
        <w:pStyle w:val="30"/>
        <w:numPr>
          <w:ilvl w:val="0"/>
          <w:numId w:val="13"/>
        </w:numPr>
        <w:ind w:firstLineChars="0"/>
        <w:rPr>
          <w:rFonts w:ascii="仿宋_GB2312" w:hAnsi="仿宋" w:eastAsia="仿宋_GB2312"/>
        </w:rPr>
      </w:pPr>
      <w:r>
        <w:rPr>
          <w:rFonts w:hint="eastAsia" w:ascii="仿宋_GB2312" w:hAnsi="仿宋" w:eastAsia="仿宋_GB2312"/>
        </w:rPr>
        <w:t>属于同一集团、协会、商会等组织成员的供应商按照该组织要求协同参加政府采购活动；</w:t>
      </w:r>
    </w:p>
    <w:p>
      <w:pPr>
        <w:pStyle w:val="30"/>
        <w:numPr>
          <w:ilvl w:val="0"/>
          <w:numId w:val="13"/>
        </w:numPr>
        <w:ind w:firstLineChars="0"/>
        <w:rPr>
          <w:rFonts w:ascii="仿宋_GB2312" w:hAnsi="仿宋" w:eastAsia="仿宋_GB2312"/>
        </w:rPr>
      </w:pPr>
      <w:r>
        <w:rPr>
          <w:rFonts w:hint="eastAsia" w:ascii="仿宋_GB2312" w:hAnsi="仿宋" w:eastAsia="仿宋_GB2312"/>
        </w:rPr>
        <w:t>供应商之间事先约定由某一特定供应商中标、成交；</w:t>
      </w:r>
    </w:p>
    <w:p>
      <w:pPr>
        <w:pStyle w:val="30"/>
        <w:numPr>
          <w:ilvl w:val="0"/>
          <w:numId w:val="13"/>
        </w:numPr>
        <w:ind w:firstLineChars="0"/>
        <w:rPr>
          <w:rFonts w:ascii="仿宋_GB2312" w:hAnsi="仿宋" w:eastAsia="仿宋_GB2312"/>
        </w:rPr>
      </w:pPr>
      <w:r>
        <w:rPr>
          <w:rFonts w:hint="eastAsia" w:ascii="仿宋_GB2312" w:hAnsi="仿宋" w:eastAsia="仿宋_GB2312"/>
        </w:rPr>
        <w:t>供应商之间商定部分供应商放弃参加政府采购活动或者放弃中标、成交；</w:t>
      </w:r>
    </w:p>
    <w:p>
      <w:pPr>
        <w:pStyle w:val="30"/>
        <w:numPr>
          <w:ilvl w:val="0"/>
          <w:numId w:val="13"/>
        </w:numPr>
        <w:ind w:firstLineChars="0"/>
        <w:rPr>
          <w:rFonts w:ascii="仿宋_GB2312" w:hAnsi="仿宋" w:eastAsia="仿宋_GB2312"/>
        </w:rPr>
      </w:pPr>
      <w:r>
        <w:rPr>
          <w:rFonts w:hint="eastAsia" w:ascii="仿宋_GB2312" w:hAnsi="仿宋" w:eastAsia="仿宋_GB2312"/>
        </w:rPr>
        <w:t>供应商与采购人或者采购机构之间、供应商相互之间，为谋求特定供应商中标、成交或者排斥其他供应商的其他串通行为。</w:t>
      </w:r>
    </w:p>
    <w:p>
      <w:pPr>
        <w:pStyle w:val="30"/>
        <w:numPr>
          <w:ilvl w:val="0"/>
          <w:numId w:val="13"/>
        </w:numPr>
        <w:ind w:firstLineChars="0"/>
        <w:rPr>
          <w:rFonts w:ascii="仿宋_GB2312" w:hAnsi="仿宋" w:eastAsia="仿宋_GB2312"/>
        </w:rPr>
      </w:pPr>
      <w:r>
        <w:rPr>
          <w:rFonts w:hint="eastAsia" w:ascii="仿宋_GB2312" w:hAnsi="仿宋" w:eastAsia="仿宋_GB2312"/>
        </w:rPr>
        <w:t>不同供应商的响应文件由同一单位或者个人编制；</w:t>
      </w:r>
    </w:p>
    <w:p>
      <w:pPr>
        <w:pStyle w:val="30"/>
        <w:numPr>
          <w:ilvl w:val="0"/>
          <w:numId w:val="13"/>
        </w:numPr>
        <w:ind w:firstLineChars="0"/>
        <w:rPr>
          <w:rFonts w:ascii="仿宋_GB2312" w:hAnsi="仿宋" w:eastAsia="仿宋_GB2312"/>
        </w:rPr>
      </w:pPr>
      <w:r>
        <w:rPr>
          <w:rFonts w:hint="eastAsia" w:ascii="仿宋_GB2312" w:hAnsi="仿宋" w:eastAsia="仿宋_GB2312"/>
        </w:rPr>
        <w:t>不同供应商委托同一单位或者个人办理响应事宜；</w:t>
      </w:r>
    </w:p>
    <w:p>
      <w:pPr>
        <w:pStyle w:val="30"/>
        <w:numPr>
          <w:ilvl w:val="0"/>
          <w:numId w:val="13"/>
        </w:numPr>
        <w:ind w:firstLineChars="0"/>
        <w:rPr>
          <w:rFonts w:ascii="仿宋_GB2312" w:hAnsi="仿宋" w:eastAsia="仿宋_GB2312"/>
        </w:rPr>
      </w:pPr>
      <w:r>
        <w:rPr>
          <w:rFonts w:hint="eastAsia" w:ascii="仿宋_GB2312" w:hAnsi="仿宋" w:eastAsia="仿宋_GB2312"/>
        </w:rPr>
        <w:t>不同供应商的响应文件载明的项目管理成员或者联系人员为同一人；</w:t>
      </w:r>
    </w:p>
    <w:p>
      <w:pPr>
        <w:pStyle w:val="30"/>
        <w:numPr>
          <w:ilvl w:val="0"/>
          <w:numId w:val="13"/>
        </w:numPr>
        <w:ind w:firstLineChars="0"/>
        <w:rPr>
          <w:rFonts w:ascii="仿宋_GB2312" w:hAnsi="仿宋" w:eastAsia="仿宋_GB2312"/>
        </w:rPr>
      </w:pPr>
      <w:r>
        <w:rPr>
          <w:rFonts w:hint="eastAsia" w:ascii="仿宋_GB2312" w:hAnsi="仿宋" w:eastAsia="仿宋_GB2312"/>
        </w:rPr>
        <w:t>不同供应商的响应文件异常一致或者最后报价呈规律性差异；</w:t>
      </w:r>
    </w:p>
    <w:p>
      <w:pPr>
        <w:pStyle w:val="30"/>
        <w:numPr>
          <w:ilvl w:val="0"/>
          <w:numId w:val="13"/>
        </w:numPr>
        <w:ind w:firstLineChars="0"/>
        <w:rPr>
          <w:rFonts w:ascii="仿宋_GB2312" w:hAnsi="仿宋" w:eastAsia="仿宋_GB2312"/>
        </w:rPr>
      </w:pPr>
      <w:r>
        <w:rPr>
          <w:rFonts w:hint="eastAsia" w:ascii="仿宋_GB2312" w:hAnsi="仿宋" w:eastAsia="仿宋_GB2312"/>
        </w:rPr>
        <w:t>不同供应商的响应文件相互混装。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3.21供应商仅提交备份响应文件，没有在电子交易平台传输递交响应文件的，响应无效；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3.22法律、法规、规章（适用本市的）及省级以上规范性文件（适用本市的）规定的其他无效情形。</w:t>
      </w:r>
    </w:p>
    <w:p>
      <w:pPr>
        <w:pStyle w:val="29"/>
        <w:spacing w:before="0"/>
        <w:ind w:firstLine="0" w:firstLineChars="0"/>
        <w:rPr>
          <w:rFonts w:ascii="仿宋_GB2312" w:hAnsi="仿宋" w:eastAsia="仿宋_GB2312"/>
          <w:b/>
          <w:szCs w:val="24"/>
        </w:rPr>
      </w:pPr>
      <w:r>
        <w:rPr>
          <w:rFonts w:hint="eastAsia" w:ascii="仿宋_GB2312" w:hAnsi="仿宋" w:eastAsia="仿宋_GB2312"/>
          <w:b/>
          <w:szCs w:val="24"/>
        </w:rPr>
        <w:t>4. 重新开展采购活动</w:t>
      </w:r>
    </w:p>
    <w:p>
      <w:pPr>
        <w:spacing w:line="360" w:lineRule="auto"/>
        <w:ind w:firstLine="407" w:firstLineChars="194"/>
        <w:rPr>
          <w:rFonts w:ascii="仿宋_GB2312" w:hAnsi="仿宋" w:eastAsia="仿宋_GB2312"/>
          <w:sz w:val="24"/>
          <w:szCs w:val="21"/>
        </w:rPr>
      </w:pPr>
      <w:r>
        <w:rPr>
          <w:rFonts w:hint="eastAsia" w:ascii="仿宋_GB2312" w:hAnsi="仿宋" w:eastAsia="仿宋_GB2312" w:cs="Arial"/>
          <w:szCs w:val="21"/>
        </w:rPr>
        <w:t xml:space="preserve"> </w:t>
      </w:r>
      <w:r>
        <w:rPr>
          <w:rFonts w:hint="eastAsia" w:ascii="仿宋_GB2312" w:hAnsi="仿宋" w:eastAsia="仿宋_GB2312"/>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（1）因情况变化，不再符合规定的竞争性磋商采购方式适用情形的；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（2）出现影响采购公正的违法、违规行为的；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（3）在采购过程中符合要求的供应商或者最后报价未超过采购预算的供应商不足3家的（有特殊规定的从其规定）。</w:t>
      </w:r>
    </w:p>
    <w:p>
      <w:pPr>
        <w:pStyle w:val="29"/>
        <w:spacing w:before="0"/>
        <w:ind w:firstLine="0" w:firstLineChars="0"/>
        <w:rPr>
          <w:rFonts w:ascii="仿宋_GB2312" w:hAnsi="仿宋" w:eastAsia="仿宋_GB2312"/>
          <w:b/>
          <w:szCs w:val="24"/>
        </w:rPr>
      </w:pPr>
      <w:r>
        <w:rPr>
          <w:rFonts w:hint="eastAsia" w:ascii="仿宋_GB2312" w:hAnsi="仿宋" w:eastAsia="仿宋_GB2312"/>
          <w:b/>
          <w:szCs w:val="24"/>
        </w:rPr>
        <w:t>5. 终止采购活动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14"/>
        </w:numPr>
        <w:spacing w:line="360" w:lineRule="auto"/>
        <w:rPr>
          <w:rFonts w:ascii="仿宋_GB2312" w:hAnsi="仿宋_GB2312" w:eastAsia="仿宋_GB2312" w:cs="仿宋_GB2312"/>
          <w:b/>
        </w:rPr>
      </w:pPr>
      <w:r>
        <w:rPr>
          <w:rFonts w:hint="eastAsia" w:ascii="仿宋_GB2312" w:hAnsi="仿宋_GB2312" w:eastAsia="仿宋_GB2312" w:cs="仿宋_GB2312"/>
          <w:b/>
          <w:sz w:val="24"/>
        </w:rPr>
        <w:t>采购机构有权对磋商小组各成员的评分情况和评审意见进行合理性和合规性审查</w:t>
      </w:r>
      <w:r>
        <w:rPr>
          <w:rFonts w:hint="eastAsia" w:ascii="仿宋_GB2312" w:hAnsi="仿宋_GB2312" w:eastAsia="仿宋_GB2312"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rPr>
          <w:rFonts w:ascii="仿宋_GB2312" w:hAnsi="仿宋_GB2312" w:eastAsia="仿宋_GB2312" w:cs="仿宋_GB2312"/>
          <w:b/>
        </w:rPr>
      </w:pPr>
      <w:r>
        <w:rPr>
          <w:rFonts w:ascii="仿宋_GB2312" w:hAnsi="仿宋_GB2312" w:eastAsia="仿宋_GB2312" w:cs="仿宋_GB2312"/>
          <w:b/>
        </w:rPr>
        <w:br w:type="page"/>
      </w:r>
    </w:p>
    <w:p>
      <w:pPr>
        <w:pStyle w:val="29"/>
        <w:numPr>
          <w:ilvl w:val="0"/>
          <w:numId w:val="15"/>
        </w:numPr>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评分标准</w:t>
      </w: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评标办法前附表</w:t>
      </w:r>
    </w:p>
    <w:tbl>
      <w:tblPr>
        <w:tblStyle w:val="21"/>
        <w:tblW w:w="10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7"/>
        <w:gridCol w:w="939"/>
        <w:gridCol w:w="12"/>
        <w:gridCol w:w="760"/>
        <w:gridCol w:w="76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718" w:type="dxa"/>
            <w:gridSpan w:val="3"/>
            <w:vAlign w:val="center"/>
          </w:tcPr>
          <w:p>
            <w:pPr>
              <w:tabs>
                <w:tab w:val="left" w:pos="0"/>
              </w:tabs>
              <w:jc w:val="center"/>
              <w:rPr>
                <w:rFonts w:ascii="仿宋" w:hAnsi="仿宋" w:eastAsia="仿宋" w:cs="仿宋"/>
                <w:b/>
                <w:color w:val="auto"/>
                <w:sz w:val="24"/>
              </w:rPr>
            </w:pPr>
            <w:r>
              <w:rPr>
                <w:rFonts w:hint="eastAsia" w:ascii="仿宋" w:hAnsi="仿宋" w:eastAsia="仿宋" w:cs="仿宋"/>
                <w:b/>
                <w:color w:val="auto"/>
                <w:sz w:val="24"/>
              </w:rPr>
              <w:t>评分项目</w:t>
            </w:r>
          </w:p>
        </w:tc>
        <w:tc>
          <w:tcPr>
            <w:tcW w:w="760" w:type="dxa"/>
            <w:vAlign w:val="center"/>
          </w:tcPr>
          <w:p>
            <w:pPr>
              <w:tabs>
                <w:tab w:val="left" w:pos="0"/>
              </w:tabs>
              <w:ind w:right="-107" w:rightChars="-51"/>
              <w:jc w:val="center"/>
              <w:rPr>
                <w:rFonts w:ascii="仿宋" w:hAnsi="仿宋" w:eastAsia="仿宋" w:cs="仿宋"/>
                <w:b/>
                <w:color w:val="auto"/>
                <w:sz w:val="24"/>
              </w:rPr>
            </w:pPr>
            <w:r>
              <w:rPr>
                <w:rFonts w:hint="eastAsia" w:ascii="仿宋" w:hAnsi="仿宋" w:eastAsia="仿宋" w:cs="仿宋"/>
                <w:b/>
                <w:color w:val="auto"/>
                <w:sz w:val="24"/>
              </w:rPr>
              <w:t>标准分</w:t>
            </w:r>
          </w:p>
        </w:tc>
        <w:tc>
          <w:tcPr>
            <w:tcW w:w="7692" w:type="dxa"/>
            <w:vAlign w:val="center"/>
          </w:tcPr>
          <w:p>
            <w:pPr>
              <w:tabs>
                <w:tab w:val="left" w:pos="0"/>
              </w:tabs>
              <w:jc w:val="center"/>
              <w:rPr>
                <w:rFonts w:ascii="仿宋" w:hAnsi="仿宋" w:eastAsia="仿宋" w:cs="仿宋"/>
                <w:b/>
                <w:color w:val="auto"/>
                <w:sz w:val="24"/>
              </w:rPr>
            </w:pPr>
            <w:r>
              <w:rPr>
                <w:rFonts w:hint="eastAsia" w:ascii="仿宋" w:hAnsi="仿宋" w:eastAsia="仿宋" w:cs="仿宋"/>
                <w:b/>
                <w:color w:val="auto"/>
                <w:sz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767"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商务技术</w:t>
            </w:r>
          </w:p>
          <w:p>
            <w:pPr>
              <w:rPr>
                <w:rFonts w:ascii="仿宋" w:hAnsi="仿宋" w:eastAsia="仿宋" w:cs="仿宋"/>
                <w:color w:val="auto"/>
                <w:sz w:val="24"/>
              </w:rPr>
            </w:pPr>
            <w:r>
              <w:rPr>
                <w:rFonts w:hint="eastAsia" w:ascii="仿宋" w:hAnsi="仿宋" w:eastAsia="仿宋" w:cs="仿宋"/>
                <w:b/>
                <w:color w:val="auto"/>
                <w:sz w:val="24"/>
              </w:rPr>
              <w:t>部分（80）</w:t>
            </w:r>
          </w:p>
        </w:tc>
        <w:tc>
          <w:tcPr>
            <w:tcW w:w="951" w:type="dxa"/>
            <w:gridSpan w:val="2"/>
            <w:vAlign w:val="center"/>
          </w:tcPr>
          <w:p>
            <w:pPr>
              <w:widowControl/>
              <w:spacing w:line="28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综合实力</w:t>
            </w:r>
          </w:p>
        </w:tc>
        <w:tc>
          <w:tcPr>
            <w:tcW w:w="760"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15分</w:t>
            </w:r>
          </w:p>
        </w:tc>
        <w:tc>
          <w:tcPr>
            <w:tcW w:w="7692" w:type="dxa"/>
            <w:vAlign w:val="center"/>
          </w:tcPr>
          <w:p>
            <w:pPr>
              <w:pStyle w:val="30"/>
              <w:widowControl/>
              <w:numPr>
                <w:ilvl w:val="0"/>
                <w:numId w:val="16"/>
              </w:numPr>
              <w:spacing w:line="280" w:lineRule="exact"/>
              <w:ind w:left="0" w:firstLine="0" w:firstLineChars="0"/>
              <w:jc w:val="left"/>
              <w:textAlignment w:val="center"/>
              <w:rPr>
                <w:rFonts w:ascii="仿宋" w:hAnsi="仿宋" w:eastAsia="仿宋" w:cs="仿宋"/>
                <w:color w:val="auto"/>
                <w:kern w:val="0"/>
                <w:lang w:bidi="ar"/>
              </w:rPr>
            </w:pPr>
            <w:r>
              <w:rPr>
                <w:rFonts w:hint="eastAsia" w:ascii="仿宋" w:hAnsi="仿宋" w:eastAsia="仿宋" w:cs="仿宋"/>
                <w:color w:val="auto"/>
                <w:kern w:val="0"/>
                <w:lang w:bidi="ar"/>
              </w:rPr>
              <w:t>投标人同时具备质量管理体系认证证书、环境管理体系认证证书、职业健康安全体系认证证书的，得2分；缺项不得分。（若投标人为联合体单位，需要联合体各方成员都具有，方可得分）</w:t>
            </w:r>
          </w:p>
          <w:p>
            <w:pPr>
              <w:pStyle w:val="30"/>
              <w:widowControl/>
              <w:numPr>
                <w:ilvl w:val="0"/>
                <w:numId w:val="16"/>
              </w:numPr>
              <w:spacing w:line="280" w:lineRule="exact"/>
              <w:ind w:left="0" w:firstLine="0" w:firstLineChars="0"/>
              <w:jc w:val="left"/>
              <w:textAlignment w:val="center"/>
              <w:rPr>
                <w:rFonts w:ascii="仿宋" w:hAnsi="仿宋" w:eastAsia="仿宋" w:cs="仿宋"/>
                <w:color w:val="auto"/>
                <w:kern w:val="0"/>
                <w:lang w:bidi="ar"/>
              </w:rPr>
            </w:pPr>
            <w:r>
              <w:rPr>
                <w:rFonts w:hint="eastAsia" w:ascii="仿宋" w:hAnsi="仿宋" w:eastAsia="仿宋" w:cs="仿宋"/>
                <w:color w:val="auto"/>
                <w:kern w:val="0"/>
                <w:lang w:bidi="ar"/>
              </w:rPr>
              <w:t>投标人具有国家级高新技术企业证书的得1分。（若投标人为联合体单位，需要联合体各方成员都具有，方可得分）</w:t>
            </w:r>
          </w:p>
          <w:p>
            <w:pPr>
              <w:pStyle w:val="30"/>
              <w:widowControl/>
              <w:numPr>
                <w:ilvl w:val="0"/>
                <w:numId w:val="16"/>
              </w:numPr>
              <w:spacing w:line="280" w:lineRule="exact"/>
              <w:ind w:left="0" w:firstLine="0" w:firstLineChars="0"/>
              <w:jc w:val="left"/>
              <w:textAlignment w:val="center"/>
              <w:rPr>
                <w:rFonts w:ascii="仿宋" w:hAnsi="仿宋" w:eastAsia="仿宋" w:cs="仿宋"/>
                <w:color w:val="auto"/>
                <w:kern w:val="0"/>
                <w:lang w:bidi="ar"/>
              </w:rPr>
            </w:pPr>
            <w:r>
              <w:rPr>
                <w:rFonts w:hint="eastAsia" w:ascii="仿宋" w:hAnsi="仿宋" w:eastAsia="仿宋" w:cs="仿宋"/>
                <w:color w:val="auto"/>
                <w:kern w:val="0"/>
                <w:lang w:bidi="ar"/>
              </w:rPr>
              <w:t>2018年1月1日以来，投标人具备编制省级及以上相关导则、标准、条例经验的（风景名胜区、城市绿地、绿化景观相关方向）并发布的，每个得2分，最高6分。（若投标人为联合体单位，任意一方提供即可得分）。</w:t>
            </w:r>
          </w:p>
          <w:p>
            <w:pPr>
              <w:pStyle w:val="30"/>
              <w:widowControl/>
              <w:numPr>
                <w:ilvl w:val="0"/>
                <w:numId w:val="16"/>
              </w:numPr>
              <w:spacing w:line="280" w:lineRule="exact"/>
              <w:ind w:left="0" w:firstLine="0" w:firstLineChars="0"/>
              <w:jc w:val="left"/>
              <w:textAlignment w:val="center"/>
              <w:rPr>
                <w:rFonts w:ascii="仿宋" w:hAnsi="仿宋" w:eastAsia="仿宋" w:cs="仿宋"/>
                <w:color w:val="auto"/>
                <w:kern w:val="0"/>
                <w:lang w:bidi="ar"/>
              </w:rPr>
            </w:pPr>
            <w:r>
              <w:rPr>
                <w:rFonts w:hint="eastAsia" w:ascii="仿宋" w:hAnsi="仿宋" w:eastAsia="仿宋" w:cs="仿宋"/>
                <w:color w:val="auto"/>
                <w:kern w:val="0"/>
                <w:lang w:bidi="ar"/>
              </w:rPr>
              <w:t>投标人参与编制省级及以上风景名胜区、保护地规划，获得国家级学会（或协会）奖项的，每个1分，最高2分，获得省级学会（或协会）奖项的每个1分，最高3分。（若投标人为联合体单位，任意一方提供即可得分）。此项最高5分。</w:t>
            </w:r>
          </w:p>
          <w:p>
            <w:pPr>
              <w:pStyle w:val="30"/>
              <w:widowControl/>
              <w:numPr>
                <w:ilvl w:val="0"/>
                <w:numId w:val="16"/>
              </w:numPr>
              <w:spacing w:line="280" w:lineRule="exact"/>
              <w:ind w:left="0" w:firstLine="0" w:firstLineChars="0"/>
              <w:jc w:val="left"/>
              <w:textAlignment w:val="center"/>
              <w:rPr>
                <w:rFonts w:ascii="仿宋" w:hAnsi="仿宋" w:eastAsia="仿宋" w:cs="仿宋"/>
                <w:color w:val="auto"/>
                <w:kern w:val="0"/>
                <w:lang w:bidi="ar"/>
              </w:rPr>
            </w:pPr>
            <w:r>
              <w:rPr>
                <w:rFonts w:hint="eastAsia" w:ascii="仿宋" w:hAnsi="仿宋" w:eastAsia="仿宋" w:cs="仿宋"/>
                <w:color w:val="auto"/>
              </w:rPr>
              <w:t>投标人具有风景园林甲级资质的，加1分。</w:t>
            </w:r>
            <w:r>
              <w:rPr>
                <w:rFonts w:hint="eastAsia" w:ascii="仿宋" w:hAnsi="仿宋" w:eastAsia="仿宋" w:cs="仿宋"/>
                <w:color w:val="auto"/>
                <w:kern w:val="0"/>
                <w:lang w:bidi="ar"/>
              </w:rPr>
              <w:t>（若投标人为联合体单位，任意一方提供即可得分）</w:t>
            </w:r>
          </w:p>
          <w:p>
            <w:pPr>
              <w:pStyle w:val="43"/>
              <w:tabs>
                <w:tab w:val="left" w:pos="822"/>
              </w:tabs>
              <w:spacing w:before="120" w:after="120" w:line="280" w:lineRule="exact"/>
              <w:ind w:firstLine="0" w:firstLineChars="0"/>
              <w:jc w:val="left"/>
              <w:rPr>
                <w:rFonts w:ascii="仿宋" w:hAnsi="仿宋" w:eastAsia="仿宋" w:cs="仿宋"/>
                <w:color w:val="auto"/>
                <w:kern w:val="0"/>
                <w:szCs w:val="24"/>
                <w:lang w:bidi="ar"/>
              </w:rPr>
            </w:pPr>
            <w:r>
              <w:rPr>
                <w:rFonts w:hint="eastAsia" w:ascii="仿宋" w:hAnsi="仿宋" w:eastAsia="仿宋" w:cs="仿宋"/>
                <w:color w:val="auto"/>
                <w:kern w:val="0"/>
                <w:szCs w:val="24"/>
                <w:lang w:bidi="ar"/>
              </w:rPr>
              <w:t>注：须提供相应证明文件复印件且须在有效期内，不提供或不满足要求的不得分。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767" w:type="dxa"/>
            <w:vMerge w:val="continue"/>
            <w:vAlign w:val="center"/>
          </w:tcPr>
          <w:p>
            <w:pPr>
              <w:snapToGrid w:val="0"/>
              <w:jc w:val="center"/>
              <w:rPr>
                <w:rFonts w:ascii="仿宋" w:hAnsi="仿宋" w:eastAsia="仿宋" w:cs="仿宋"/>
                <w:b/>
                <w:color w:val="auto"/>
                <w:sz w:val="24"/>
              </w:rPr>
            </w:pPr>
          </w:p>
        </w:tc>
        <w:tc>
          <w:tcPr>
            <w:tcW w:w="951" w:type="dxa"/>
            <w:gridSpan w:val="2"/>
            <w:vAlign w:val="center"/>
          </w:tcPr>
          <w:p>
            <w:pPr>
              <w:widowControl/>
              <w:spacing w:line="28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相关业绩</w:t>
            </w:r>
          </w:p>
        </w:tc>
        <w:tc>
          <w:tcPr>
            <w:tcW w:w="760"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2分</w:t>
            </w:r>
          </w:p>
        </w:tc>
        <w:tc>
          <w:tcPr>
            <w:tcW w:w="7692" w:type="dxa"/>
            <w:vAlign w:val="center"/>
          </w:tcPr>
          <w:p>
            <w:pPr>
              <w:pStyle w:val="30"/>
              <w:widowControl/>
              <w:spacing w:line="280" w:lineRule="exact"/>
              <w:ind w:firstLine="480"/>
              <w:jc w:val="left"/>
              <w:textAlignment w:val="center"/>
              <w:rPr>
                <w:rFonts w:ascii="仿宋" w:hAnsi="仿宋" w:eastAsia="仿宋" w:cs="仿宋"/>
                <w:color w:val="auto"/>
                <w:kern w:val="0"/>
                <w:lang w:bidi="ar"/>
              </w:rPr>
            </w:pPr>
            <w:r>
              <w:rPr>
                <w:rFonts w:hint="eastAsia" w:ascii="仿宋" w:hAnsi="仿宋" w:eastAsia="仿宋" w:cs="仿宋"/>
                <w:color w:val="auto"/>
                <w:kern w:val="0"/>
                <w:lang w:bidi="ar"/>
              </w:rPr>
              <w:t>自2018年1月1日以来，投标人承接过的类似项目（国家级风景名胜区总体规划、详细规划或自然保护地相关规划）并获得相关部门批复的每项得1分，最高得2分。（若投标人为联合体单位，任意一方提供即可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767" w:type="dxa"/>
            <w:vMerge w:val="continue"/>
            <w:vAlign w:val="center"/>
          </w:tcPr>
          <w:p>
            <w:pPr>
              <w:snapToGrid w:val="0"/>
              <w:jc w:val="center"/>
              <w:rPr>
                <w:rFonts w:ascii="仿宋" w:hAnsi="仿宋" w:eastAsia="仿宋" w:cs="仿宋"/>
                <w:color w:val="auto"/>
                <w:sz w:val="24"/>
              </w:rPr>
            </w:pPr>
          </w:p>
        </w:tc>
        <w:tc>
          <w:tcPr>
            <w:tcW w:w="951" w:type="dxa"/>
            <w:gridSpan w:val="2"/>
            <w:vAlign w:val="center"/>
          </w:tcPr>
          <w:p>
            <w:pPr>
              <w:widowControl/>
              <w:spacing w:line="28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投入团队技术力量</w:t>
            </w:r>
          </w:p>
        </w:tc>
        <w:tc>
          <w:tcPr>
            <w:tcW w:w="760"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7分</w:t>
            </w:r>
          </w:p>
        </w:tc>
        <w:tc>
          <w:tcPr>
            <w:tcW w:w="7692" w:type="dxa"/>
            <w:vAlign w:val="center"/>
          </w:tcPr>
          <w:p>
            <w:pPr>
              <w:widowControl/>
              <w:numPr>
                <w:ilvl w:val="0"/>
                <w:numId w:val="17"/>
              </w:numPr>
              <w:spacing w:line="28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项目组成员内有国家级、省级勘察设计大师，得2分，最高得2分；</w:t>
            </w:r>
          </w:p>
          <w:p>
            <w:pPr>
              <w:pStyle w:val="30"/>
              <w:widowControl/>
              <w:numPr>
                <w:ilvl w:val="0"/>
                <w:numId w:val="17"/>
              </w:numPr>
              <w:spacing w:line="280" w:lineRule="exact"/>
              <w:ind w:firstLine="0" w:firstLineChars="0"/>
              <w:jc w:val="left"/>
              <w:textAlignment w:val="center"/>
              <w:rPr>
                <w:rFonts w:ascii="仿宋" w:hAnsi="仿宋" w:eastAsia="仿宋" w:cs="仿宋"/>
                <w:color w:val="auto"/>
                <w:kern w:val="0"/>
                <w:lang w:bidi="ar"/>
              </w:rPr>
            </w:pPr>
            <w:r>
              <w:rPr>
                <w:rFonts w:hint="eastAsia" w:ascii="仿宋" w:hAnsi="仿宋" w:eastAsia="仿宋" w:cs="仿宋"/>
                <w:color w:val="auto"/>
              </w:rPr>
              <w:t>投标项目负责人具有风景园林专业教授级高级工程师且具有注册城乡规划师资格证书的得2分；具有风景园林专业高级职称且具有注册规划师证书的得1分；其他不得分。</w:t>
            </w:r>
          </w:p>
          <w:p>
            <w:pPr>
              <w:widowControl/>
              <w:numPr>
                <w:ilvl w:val="0"/>
                <w:numId w:val="17"/>
              </w:numPr>
              <w:spacing w:line="280" w:lineRule="exact"/>
              <w:jc w:val="left"/>
              <w:textAlignment w:val="center"/>
              <w:rPr>
                <w:rFonts w:ascii="仿宋" w:hAnsi="仿宋" w:eastAsia="仿宋" w:cs="仿宋"/>
                <w:color w:val="auto"/>
                <w:sz w:val="24"/>
              </w:rPr>
            </w:pPr>
            <w:r>
              <w:rPr>
                <w:rFonts w:hint="eastAsia" w:ascii="仿宋" w:hAnsi="仿宋" w:eastAsia="仿宋" w:cs="仿宋"/>
                <w:color w:val="auto"/>
                <w:sz w:val="24"/>
              </w:rPr>
              <w:t>其他人员配备（除项目负责人外），具有城乡规划、土地规划、风景园林、建筑工程、市政工程、道路交通等专业高级职称的，每类得0.5分，最高得3分。</w:t>
            </w:r>
          </w:p>
          <w:p>
            <w:pPr>
              <w:widowControl/>
              <w:spacing w:line="280" w:lineRule="exact"/>
              <w:jc w:val="left"/>
              <w:textAlignment w:val="center"/>
              <w:rPr>
                <w:rFonts w:ascii="仿宋" w:hAnsi="仿宋" w:eastAsia="仿宋" w:cs="仿宋"/>
                <w:color w:val="auto"/>
                <w:sz w:val="24"/>
              </w:rPr>
            </w:pPr>
            <w:r>
              <w:rPr>
                <w:rFonts w:hint="eastAsia" w:ascii="仿宋" w:hAnsi="仿宋" w:eastAsia="仿宋" w:cs="仿宋"/>
                <w:color w:val="auto"/>
                <w:sz w:val="24"/>
                <w:lang w:bidi="ar"/>
              </w:rPr>
              <w:t>注：若投标人为联合体单位，项目负责人需由牵头方提供，项目组成员联合体双方均可提供；须提供相应</w:t>
            </w:r>
            <w:r>
              <w:rPr>
                <w:rFonts w:hint="eastAsia" w:ascii="仿宋" w:hAnsi="仿宋" w:eastAsia="仿宋" w:cs="仿宋"/>
                <w:b/>
                <w:color w:val="auto"/>
                <w:sz w:val="24"/>
              </w:rPr>
              <w:t>学历证明、职称证、资格证等</w:t>
            </w:r>
            <w:r>
              <w:rPr>
                <w:rFonts w:hint="eastAsia" w:ascii="仿宋" w:hAnsi="仿宋" w:eastAsia="仿宋" w:cs="仿宋"/>
                <w:color w:val="auto"/>
                <w:sz w:val="24"/>
                <w:lang w:bidi="ar"/>
              </w:rPr>
              <w:t>证明文件复印件且须在有效期内，需提供本单位在职近1个月内的社保证明。不提供或不满足要求的不得分。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767" w:type="dxa"/>
            <w:vMerge w:val="continue"/>
            <w:vAlign w:val="center"/>
          </w:tcPr>
          <w:p>
            <w:pPr>
              <w:snapToGrid w:val="0"/>
              <w:rPr>
                <w:rFonts w:ascii="仿宋" w:hAnsi="仿宋" w:eastAsia="仿宋" w:cs="仿宋"/>
                <w:b/>
                <w:color w:val="auto"/>
                <w:sz w:val="24"/>
              </w:rPr>
            </w:pPr>
          </w:p>
        </w:tc>
        <w:tc>
          <w:tcPr>
            <w:tcW w:w="93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项目理解及认知度</w:t>
            </w:r>
          </w:p>
        </w:tc>
        <w:tc>
          <w:tcPr>
            <w:tcW w:w="772" w:type="dxa"/>
            <w:gridSpan w:val="2"/>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10分</w:t>
            </w:r>
          </w:p>
        </w:tc>
        <w:tc>
          <w:tcPr>
            <w:tcW w:w="7692" w:type="dxa"/>
            <w:vAlign w:val="center"/>
          </w:tcPr>
          <w:p>
            <w:pPr>
              <w:pStyle w:val="27"/>
              <w:jc w:val="both"/>
              <w:rPr>
                <w:rFonts w:ascii="仿宋" w:hAnsi="仿宋" w:eastAsia="仿宋" w:cs="仿宋"/>
                <w:color w:val="auto"/>
              </w:rPr>
            </w:pPr>
            <w:r>
              <w:rPr>
                <w:rFonts w:hint="eastAsia" w:ascii="仿宋" w:hAnsi="仿宋" w:eastAsia="仿宋" w:cs="仿宋"/>
                <w:color w:val="auto"/>
              </w:rPr>
              <w:t>投标人可自行开展现场调研，并提供完整的踏勘报告，对项目整体的现状进行全面深入的分析，对市场进行前瞻性、预见性的分析，对项目综合现状有精准把控和了解，进行全面性、科学性、准确性分析进行评价，对项目认知准确、理解到位。</w:t>
            </w:r>
            <w:r>
              <w:rPr>
                <w:rFonts w:hint="eastAsia" w:ascii="仿宋" w:hAnsi="仿宋" w:eastAsia="仿宋" w:cs="仿宋"/>
                <w:b/>
                <w:bCs/>
                <w:color w:val="auto"/>
              </w:rPr>
              <w:t>理解及认知度全面且合理的得10分，基本全面、合理但有缺陷的得7分，不全面或不合理的得4分，未提出有实质性理解与分析结论的不得分。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767" w:type="dxa"/>
            <w:vMerge w:val="continue"/>
            <w:vAlign w:val="center"/>
          </w:tcPr>
          <w:p>
            <w:pPr>
              <w:snapToGrid w:val="0"/>
              <w:jc w:val="center"/>
              <w:rPr>
                <w:rFonts w:ascii="仿宋" w:hAnsi="仿宋" w:eastAsia="仿宋" w:cs="仿宋"/>
                <w:b/>
                <w:color w:val="auto"/>
                <w:sz w:val="24"/>
              </w:rPr>
            </w:pPr>
          </w:p>
        </w:tc>
        <w:tc>
          <w:tcPr>
            <w:tcW w:w="93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项目立意及定位</w:t>
            </w:r>
          </w:p>
        </w:tc>
        <w:tc>
          <w:tcPr>
            <w:tcW w:w="772" w:type="dxa"/>
            <w:gridSpan w:val="2"/>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10分</w:t>
            </w:r>
          </w:p>
        </w:tc>
        <w:tc>
          <w:tcPr>
            <w:tcW w:w="7692" w:type="dxa"/>
            <w:vAlign w:val="center"/>
          </w:tcPr>
          <w:p>
            <w:pPr>
              <w:pStyle w:val="27"/>
              <w:jc w:val="both"/>
              <w:rPr>
                <w:rFonts w:ascii="仿宋" w:hAnsi="仿宋" w:eastAsia="仿宋" w:cs="仿宋"/>
                <w:color w:val="auto"/>
              </w:rPr>
            </w:pPr>
            <w:r>
              <w:rPr>
                <w:rFonts w:hint="eastAsia" w:ascii="仿宋" w:hAnsi="仿宋" w:eastAsia="仿宋" w:cs="仿宋"/>
                <w:color w:val="auto"/>
              </w:rPr>
              <w:t>根据丰富的国际顶级项目经验，针对项目战略定位、发展方向、发展理念，要求立足国际视野、国内样板角度，创新、精准地提出名山公园的战略性方向及定位，并提出核心发展路径，</w:t>
            </w:r>
            <w:r>
              <w:rPr>
                <w:rFonts w:hint="eastAsia" w:ascii="仿宋" w:hAnsi="仿宋" w:eastAsia="仿宋" w:cs="仿宋"/>
                <w:b/>
                <w:bCs/>
                <w:color w:val="auto"/>
              </w:rPr>
              <w:t>全部满足要求立意高、方向新、可操作的得10分，基本满足的得7分，不满足或不合理的得4分，未提出有实质性说明的不得分。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767" w:type="dxa"/>
            <w:vMerge w:val="continue"/>
            <w:vAlign w:val="center"/>
          </w:tcPr>
          <w:p>
            <w:pPr>
              <w:snapToGrid w:val="0"/>
              <w:jc w:val="center"/>
              <w:rPr>
                <w:rFonts w:ascii="仿宋" w:hAnsi="仿宋" w:eastAsia="仿宋" w:cs="仿宋"/>
                <w:b/>
                <w:color w:val="auto"/>
                <w:sz w:val="24"/>
              </w:rPr>
            </w:pPr>
          </w:p>
        </w:tc>
        <w:tc>
          <w:tcPr>
            <w:tcW w:w="93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规划思路与实施路径</w:t>
            </w:r>
          </w:p>
        </w:tc>
        <w:tc>
          <w:tcPr>
            <w:tcW w:w="772" w:type="dxa"/>
            <w:gridSpan w:val="2"/>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12分</w:t>
            </w:r>
          </w:p>
        </w:tc>
        <w:tc>
          <w:tcPr>
            <w:tcW w:w="7692" w:type="dxa"/>
            <w:vAlign w:val="center"/>
          </w:tcPr>
          <w:p>
            <w:pPr>
              <w:pStyle w:val="27"/>
              <w:jc w:val="both"/>
              <w:rPr>
                <w:rFonts w:ascii="仿宋" w:hAnsi="仿宋" w:eastAsia="仿宋" w:cs="仿宋"/>
                <w:color w:val="auto"/>
              </w:rPr>
            </w:pPr>
            <w:r>
              <w:rPr>
                <w:rFonts w:hint="eastAsia" w:ascii="仿宋" w:hAnsi="仿宋" w:eastAsia="仿宋" w:cs="仿宋"/>
                <w:color w:val="auto"/>
              </w:rPr>
              <w:t>结合顶层战略定位和发展理念，围绕总体规划的要求，制定符合地区实际、具有创新性、落地性、操作性的规划设计方案，并提出能辅助提供全维度、全流程的操作路径，要求突出特色，思路清晰，内容完整。</w:t>
            </w:r>
            <w:r>
              <w:rPr>
                <w:rFonts w:hint="eastAsia" w:ascii="仿宋" w:hAnsi="仿宋" w:eastAsia="仿宋" w:cs="仿宋"/>
                <w:b/>
                <w:bCs/>
                <w:color w:val="auto"/>
              </w:rPr>
              <w:t>提供内容完善的得12分，较完善的得8分，内容一般的得5分，无内容或方案内容不合理的不得分。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767" w:type="dxa"/>
            <w:vMerge w:val="continue"/>
            <w:vAlign w:val="center"/>
          </w:tcPr>
          <w:p>
            <w:pPr>
              <w:snapToGrid w:val="0"/>
              <w:jc w:val="center"/>
              <w:rPr>
                <w:rFonts w:ascii="仿宋" w:hAnsi="仿宋" w:eastAsia="仿宋" w:cs="仿宋"/>
                <w:b/>
                <w:color w:val="auto"/>
                <w:sz w:val="24"/>
              </w:rPr>
            </w:pPr>
          </w:p>
        </w:tc>
        <w:tc>
          <w:tcPr>
            <w:tcW w:w="93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专题研究方案思路</w:t>
            </w:r>
          </w:p>
        </w:tc>
        <w:tc>
          <w:tcPr>
            <w:tcW w:w="772" w:type="dxa"/>
            <w:gridSpan w:val="2"/>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10分</w:t>
            </w:r>
          </w:p>
        </w:tc>
        <w:tc>
          <w:tcPr>
            <w:tcW w:w="7692" w:type="dxa"/>
            <w:vAlign w:val="center"/>
          </w:tcPr>
          <w:p>
            <w:pPr>
              <w:pStyle w:val="27"/>
              <w:jc w:val="both"/>
              <w:rPr>
                <w:rFonts w:ascii="仿宋" w:hAnsi="仿宋" w:eastAsia="仿宋" w:cs="仿宋"/>
                <w:color w:val="auto"/>
              </w:rPr>
            </w:pPr>
            <w:r>
              <w:rPr>
                <w:rFonts w:hint="eastAsia" w:ascii="仿宋" w:hAnsi="仿宋" w:eastAsia="仿宋" w:cs="仿宋"/>
                <w:color w:val="auto"/>
              </w:rPr>
              <w:t>以总体规划为指导，围绕专题研究的要求，提出具体的研究思路和路径导向，要求突出特色，思路清晰，内容完整。</w:t>
            </w:r>
            <w:r>
              <w:rPr>
                <w:rFonts w:hint="eastAsia" w:ascii="仿宋" w:hAnsi="仿宋" w:eastAsia="仿宋" w:cs="仿宋"/>
                <w:b/>
                <w:bCs/>
                <w:color w:val="auto"/>
              </w:rPr>
              <w:t>提供内容完善的得10分，较完善的得7分，内容一般的得4分，无内容或方案内容不合理的不得分。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767" w:type="dxa"/>
            <w:vMerge w:val="continue"/>
            <w:vAlign w:val="center"/>
          </w:tcPr>
          <w:p>
            <w:pPr>
              <w:snapToGrid w:val="0"/>
              <w:jc w:val="center"/>
              <w:rPr>
                <w:rFonts w:ascii="仿宋" w:hAnsi="仿宋" w:eastAsia="仿宋" w:cs="仿宋"/>
                <w:b/>
                <w:color w:val="auto"/>
                <w:sz w:val="24"/>
              </w:rPr>
            </w:pPr>
          </w:p>
        </w:tc>
        <w:tc>
          <w:tcPr>
            <w:tcW w:w="93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技术路线和研究方法</w:t>
            </w:r>
          </w:p>
        </w:tc>
        <w:tc>
          <w:tcPr>
            <w:tcW w:w="772" w:type="dxa"/>
            <w:gridSpan w:val="2"/>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8分</w:t>
            </w:r>
          </w:p>
        </w:tc>
        <w:tc>
          <w:tcPr>
            <w:tcW w:w="7692" w:type="dxa"/>
            <w:vAlign w:val="center"/>
          </w:tcPr>
          <w:p>
            <w:pPr>
              <w:pStyle w:val="27"/>
              <w:jc w:val="both"/>
              <w:rPr>
                <w:rFonts w:ascii="仿宋" w:hAnsi="仿宋" w:eastAsia="仿宋" w:cs="仿宋"/>
                <w:color w:val="auto"/>
              </w:rPr>
            </w:pPr>
            <w:r>
              <w:rPr>
                <w:rFonts w:hint="eastAsia" w:ascii="仿宋" w:hAnsi="仿宋" w:eastAsia="仿宋" w:cs="仿宋"/>
                <w:color w:val="auto"/>
              </w:rPr>
              <w:t>对于整体技术路线和工作思路进行评价，要求清晰响应项目的总体要求和具体需求，做到既有战略性又结合实际、突出特色，横向比较，</w:t>
            </w:r>
            <w:r>
              <w:rPr>
                <w:rFonts w:hint="eastAsia" w:ascii="仿宋" w:hAnsi="仿宋" w:eastAsia="仿宋" w:cs="仿宋"/>
                <w:b/>
                <w:bCs/>
                <w:color w:val="auto"/>
              </w:rPr>
              <w:t>合理的得8分；基本合理但有缺陷的得5分；不合理的得2分；未提出有实质性说明的不得分。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67" w:type="dxa"/>
            <w:vMerge w:val="continue"/>
            <w:vAlign w:val="center"/>
          </w:tcPr>
          <w:p>
            <w:pPr>
              <w:snapToGrid w:val="0"/>
              <w:jc w:val="center"/>
              <w:rPr>
                <w:rFonts w:ascii="仿宋" w:hAnsi="仿宋" w:eastAsia="仿宋" w:cs="仿宋"/>
                <w:color w:val="auto"/>
                <w:sz w:val="24"/>
              </w:rPr>
            </w:pPr>
          </w:p>
        </w:tc>
        <w:tc>
          <w:tcPr>
            <w:tcW w:w="951" w:type="dxa"/>
            <w:gridSpan w:val="2"/>
            <w:vAlign w:val="center"/>
          </w:tcPr>
          <w:p>
            <w:pPr>
              <w:snapToGrid w:val="0"/>
              <w:rPr>
                <w:rFonts w:ascii="仿宋" w:hAnsi="仿宋" w:eastAsia="仿宋" w:cs="仿宋"/>
                <w:color w:val="auto"/>
                <w:sz w:val="24"/>
              </w:rPr>
            </w:pPr>
            <w:r>
              <w:rPr>
                <w:rFonts w:hint="eastAsia" w:ascii="仿宋" w:hAnsi="仿宋" w:eastAsia="仿宋" w:cs="仿宋"/>
                <w:color w:val="auto"/>
                <w:sz w:val="24"/>
              </w:rPr>
              <w:t>质量及后续服务保障</w:t>
            </w:r>
          </w:p>
        </w:tc>
        <w:tc>
          <w:tcPr>
            <w:tcW w:w="760"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6分</w:t>
            </w:r>
          </w:p>
        </w:tc>
        <w:tc>
          <w:tcPr>
            <w:tcW w:w="7692" w:type="dxa"/>
            <w:vAlign w:val="center"/>
          </w:tcPr>
          <w:p>
            <w:pPr>
              <w:pStyle w:val="30"/>
              <w:numPr>
                <w:ilvl w:val="0"/>
                <w:numId w:val="18"/>
              </w:numPr>
              <w:snapToGrid w:val="0"/>
              <w:ind w:firstLineChars="0"/>
              <w:rPr>
                <w:rFonts w:ascii="仿宋" w:hAnsi="仿宋" w:eastAsia="仿宋" w:cs="仿宋"/>
                <w:color w:val="auto"/>
              </w:rPr>
            </w:pPr>
            <w:r>
              <w:rPr>
                <w:rFonts w:hint="eastAsia" w:ascii="仿宋" w:hAnsi="仿宋" w:eastAsia="仿宋" w:cs="仿宋"/>
                <w:color w:val="auto"/>
              </w:rPr>
              <w:t>项目时间安排及质量保证：各阶段设计周期满足要求、按期完成，质量目标明确，保证措施具体有效，投标企业提供的服务方案、服务承诺落实的保障措施，技术支持和维护能力情况，要符合招标文件和项目对售后服务的要求，</w:t>
            </w:r>
            <w:r>
              <w:rPr>
                <w:rFonts w:hint="eastAsia" w:ascii="仿宋" w:hAnsi="仿宋" w:eastAsia="仿宋" w:cs="仿宋"/>
                <w:b/>
                <w:bCs/>
                <w:color w:val="auto"/>
              </w:rPr>
              <w:t>合理的得3分；基本合理但有缺陷的得2分；不合理的得1分；未提出有实质性说明的不得分。</w:t>
            </w:r>
          </w:p>
          <w:p>
            <w:pPr>
              <w:pStyle w:val="30"/>
              <w:numPr>
                <w:ilvl w:val="0"/>
                <w:numId w:val="18"/>
              </w:numPr>
              <w:snapToGrid w:val="0"/>
              <w:ind w:firstLineChars="0"/>
              <w:rPr>
                <w:rFonts w:ascii="仿宋" w:hAnsi="仿宋" w:eastAsia="仿宋" w:cs="仿宋"/>
                <w:color w:val="auto"/>
              </w:rPr>
            </w:pPr>
            <w:r>
              <w:rPr>
                <w:rFonts w:hint="eastAsia" w:ascii="仿宋" w:hAnsi="仿宋" w:eastAsia="仿宋" w:cs="仿宋"/>
                <w:color w:val="auto"/>
              </w:rPr>
              <w:t>后续服务：投标人能对项目进行持续的后续服务，包括投资建设、目的地的运营、综合文创开发、会议论坛组织、相关资源对接等，</w:t>
            </w:r>
            <w:r>
              <w:rPr>
                <w:rFonts w:hint="eastAsia" w:ascii="仿宋" w:hAnsi="仿宋" w:eastAsia="仿宋" w:cs="仿宋"/>
                <w:b/>
                <w:bCs/>
                <w:color w:val="auto"/>
              </w:rPr>
              <w:t>合理的得3分；基本合理但有缺陷的得2分；不合理的得1分；未提出有实质性说明的不得分。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67" w:type="dxa"/>
            <w:vAlign w:val="center"/>
          </w:tcPr>
          <w:p>
            <w:pPr>
              <w:snapToGrid w:val="0"/>
              <w:jc w:val="center"/>
              <w:rPr>
                <w:rFonts w:hint="default" w:ascii="仿宋" w:hAnsi="仿宋" w:eastAsia="仿宋" w:cs="仿宋"/>
                <w:color w:val="auto"/>
                <w:sz w:val="24"/>
                <w:lang w:val="en-US" w:eastAsia="zh-CN"/>
              </w:rPr>
            </w:pPr>
            <w:r>
              <w:rPr>
                <w:rFonts w:hint="eastAsia" w:ascii="仿宋" w:hAnsi="仿宋" w:eastAsia="仿宋" w:cs="仿宋"/>
                <w:b/>
                <w:color w:val="auto"/>
                <w:sz w:val="24"/>
                <w:lang w:val="en-US" w:eastAsia="zh-CN"/>
              </w:rPr>
              <w:t>报价部分（20分）</w:t>
            </w:r>
          </w:p>
        </w:tc>
        <w:tc>
          <w:tcPr>
            <w:tcW w:w="951" w:type="dxa"/>
            <w:gridSpan w:val="2"/>
            <w:vAlign w:val="center"/>
          </w:tcPr>
          <w:p>
            <w:pPr>
              <w:snapToGrid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报价分</w:t>
            </w:r>
          </w:p>
        </w:tc>
        <w:tc>
          <w:tcPr>
            <w:tcW w:w="760" w:type="dxa"/>
            <w:vAlign w:val="center"/>
          </w:tcPr>
          <w:p>
            <w:pPr>
              <w:snapToGrid w:val="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20分</w:t>
            </w:r>
          </w:p>
        </w:tc>
        <w:tc>
          <w:tcPr>
            <w:tcW w:w="7692" w:type="dxa"/>
            <w:vAlign w:val="center"/>
          </w:tcPr>
          <w:p>
            <w:pPr>
              <w:pStyle w:val="30"/>
              <w:numPr>
                <w:numId w:val="0"/>
              </w:numPr>
              <w:snapToGrid w:val="0"/>
              <w:ind w:leftChars="0"/>
              <w:rPr>
                <w:rFonts w:hint="eastAsia" w:ascii="仿宋" w:hAnsi="仿宋" w:eastAsia="仿宋" w:cs="仿宋"/>
                <w:color w:val="auto"/>
              </w:rPr>
            </w:pPr>
            <w:r>
              <w:rPr>
                <w:rFonts w:hint="eastAsia" w:ascii="仿宋_GB2312" w:hAnsi="仿宋_GB2312" w:eastAsia="仿宋_GB2312" w:cs="仿宋_GB2312"/>
                <w:sz w:val="24"/>
                <w:lang w:val="zh-CN"/>
              </w:rPr>
              <w:t>根据各供应商的有效最后报价，以满足磋商文件要求且最后报价最低的供应商的价格为磋商基准价，其价格分为</w:t>
            </w:r>
            <w:r>
              <w:rPr>
                <w:rFonts w:hint="eastAsia" w:ascii="仿宋_GB2312" w:hAnsi="仿宋_GB2312" w:eastAsia="仿宋_GB2312" w:cs="仿宋_GB2312"/>
                <w:b/>
                <w:sz w:val="24"/>
                <w:u w:val="single"/>
              </w:rPr>
              <w:t>20</w:t>
            </w:r>
            <w:r>
              <w:rPr>
                <w:rFonts w:hint="eastAsia" w:ascii="仿宋_GB2312" w:hAnsi="仿宋_GB2312" w:eastAsia="仿宋_GB2312" w:cs="仿宋_GB2312"/>
                <w:sz w:val="24"/>
                <w:lang w:val="zh-CN"/>
              </w:rPr>
              <w:t>分。其他供应商的价格分统一按照下列公式计算：最后报价得分＝</w:t>
            </w:r>
            <w:r>
              <w:rPr>
                <w:rFonts w:ascii="仿宋_GB2312" w:hAnsi="仿宋_GB2312" w:eastAsia="仿宋_GB2312" w:cs="仿宋_GB2312"/>
                <w:sz w:val="24"/>
                <w:lang w:val="zh-CN"/>
              </w:rPr>
              <w:t>(磋商基准价/有效最后报价)</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价格权值</w:t>
            </w:r>
            <w:r>
              <w:rPr>
                <w:rFonts w:hint="eastAsia" w:ascii="仿宋_GB2312" w:hAnsi="仿宋_GB2312" w:eastAsia="仿宋_GB2312" w:cs="仿宋_GB2312"/>
                <w:sz w:val="24"/>
              </w:rPr>
              <w:t>×</w:t>
            </w:r>
            <w:r>
              <w:rPr>
                <w:rFonts w:ascii="仿宋_GB2312" w:hAnsi="仿宋_GB2312" w:eastAsia="仿宋_GB2312" w:cs="仿宋_GB2312"/>
                <w:sz w:val="24"/>
                <w:lang w:val="zh-CN"/>
              </w:rPr>
              <w:t>100(精确到小数点后二位</w:t>
            </w:r>
            <w:r>
              <w:rPr>
                <w:rFonts w:hint="eastAsia" w:ascii="仿宋_GB2312" w:hAnsi="仿宋_GB2312" w:eastAsia="仿宋_GB2312" w:cs="仿宋_GB2312"/>
                <w:sz w:val="24"/>
                <w:lang w:val="zh-CN"/>
              </w:rPr>
              <w:t>）。</w:t>
            </w:r>
            <w:bookmarkStart w:id="169" w:name="_GoBack"/>
            <w:bookmarkEnd w:id="169"/>
          </w:p>
        </w:tc>
      </w:tr>
    </w:tbl>
    <w:p>
      <w:pPr>
        <w:snapToGrid w:val="0"/>
        <w:spacing w:line="360" w:lineRule="auto"/>
        <w:rPr>
          <w:rFonts w:ascii="仿宋_GB2312" w:hAnsi="仿宋_GB2312" w:eastAsia="仿宋_GB2312" w:cs="仿宋_GB2312"/>
          <w:sz w:val="24"/>
          <w:szCs w:val="20"/>
        </w:rPr>
      </w:pPr>
      <w:r>
        <w:rPr>
          <w:rFonts w:ascii="Arial" w:hAnsi="Arial" w:cs="Arial"/>
          <w:color w:val="000000" w:themeColor="text1"/>
          <w:sz w:val="20"/>
          <w:szCs w:val="20"/>
          <w:shd w:val="clear" w:color="auto" w:fill="FFFFFF"/>
          <w14:textFill>
            <w14:solidFill>
              <w14:schemeClr w14:val="tx1"/>
            </w14:solidFill>
          </w14:textFill>
        </w:rPr>
        <w:t> *</w:t>
      </w:r>
      <w:r>
        <w:rPr>
          <w:rFonts w:hint="eastAsia" w:ascii="仿宋" w:hAnsi="仿宋" w:eastAsia="仿宋" w:cs="仿宋_GB2312"/>
          <w:b/>
          <w:color w:val="000000" w:themeColor="text1"/>
          <w:sz w:val="24"/>
          <w14:textFill>
            <w14:solidFill>
              <w14:schemeClr w14:val="tx1"/>
            </w14:solidFill>
          </w14:textFill>
        </w:rPr>
        <w:t>备注：</w:t>
      </w:r>
      <w:r>
        <w:rPr>
          <w:rFonts w:hint="eastAsia" w:ascii="仿宋_GB2312" w:hAnsi="仿宋_GB2312" w:eastAsia="仿宋_GB2312" w:cs="仿宋_GB2312"/>
          <w:sz w:val="24"/>
          <w:szCs w:val="20"/>
        </w:rPr>
        <w:t>响应方编制响应文件（商务技术文件部分）时，建议按此目录（序号和内容）提供评标标准相应的商务技术资料。 </w:t>
      </w:r>
    </w:p>
    <w:p>
      <w:pPr>
        <w:snapToGrid w:val="0"/>
        <w:spacing w:line="360" w:lineRule="auto"/>
        <w:ind w:firstLine="422" w:firstLineChars="200"/>
        <w:rPr>
          <w:rFonts w:ascii="仿宋_GB2312" w:hAnsi="仿宋_GB2312" w:eastAsia="仿宋_GB2312" w:cs="仿宋_GB2312"/>
        </w:rPr>
      </w:pPr>
      <w:r>
        <w:rPr>
          <w:rFonts w:hint="eastAsia" w:ascii="仿宋_GB2312" w:hAnsi="仿宋_GB2312" w:eastAsia="仿宋_GB2312" w:cs="仿宋_GB2312"/>
          <w:b/>
        </w:rPr>
        <w:t>本项目采用综合评分法</w:t>
      </w:r>
      <w:r>
        <w:rPr>
          <w:rFonts w:hint="eastAsia" w:ascii="仿宋_GB2312" w:hAnsi="仿宋_GB2312" w:eastAsia="仿宋_GB2312" w:cs="仿宋_GB2312"/>
        </w:rPr>
        <w:t>，磋商小组将对各供应商的最后报价、</w:t>
      </w:r>
      <w:r>
        <w:rPr>
          <w:rFonts w:hint="eastAsia" w:ascii="仿宋_GB2312" w:hAnsi="仿宋_GB2312" w:eastAsia="仿宋_GB2312" w:cs="仿宋_GB2312"/>
          <w:bCs/>
        </w:rPr>
        <w:t>技术和服务方案</w:t>
      </w:r>
      <w:r>
        <w:rPr>
          <w:rFonts w:hint="eastAsia" w:ascii="仿宋_GB2312" w:hAnsi="仿宋_GB2312" w:eastAsia="仿宋_GB2312" w:cs="仿宋_GB2312"/>
        </w:rPr>
        <w:t>、资信和业绩情况等</w:t>
      </w:r>
      <w:r>
        <w:rPr>
          <w:rFonts w:hint="eastAsia" w:ascii="仿宋_GB2312" w:hAnsi="仿宋_GB2312" w:eastAsia="仿宋_GB2312" w:cs="仿宋_GB2312"/>
          <w:szCs w:val="21"/>
        </w:rPr>
        <w:t>方面</w:t>
      </w:r>
      <w:r>
        <w:rPr>
          <w:rFonts w:hint="eastAsia" w:ascii="仿宋_GB2312" w:hAnsi="仿宋_GB2312" w:eastAsia="仿宋_GB2312" w:cs="仿宋_GB2312"/>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pStyle w:val="3"/>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7"/>
        <w:rPr>
          <w:rFonts w:ascii="方正小标宋简体" w:hAnsi="宋体" w:eastAsia="方正小标宋简体"/>
          <w:sz w:val="32"/>
          <w:szCs w:val="32"/>
        </w:rPr>
      </w:pPr>
    </w:p>
    <w:p>
      <w:pPr>
        <w:spacing w:line="360" w:lineRule="auto"/>
        <w:jc w:val="center"/>
        <w:outlineLvl w:val="0"/>
        <w:rPr>
          <w:rFonts w:ascii="仿宋_GB2312" w:hAnsi="仿宋_GB2312" w:eastAsia="仿宋_GB2312" w:cs="仿宋_GB2312"/>
          <w:b/>
          <w:sz w:val="36"/>
          <w:szCs w:val="36"/>
        </w:rPr>
      </w:pPr>
    </w:p>
    <w:p>
      <w:pPr>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第六部分  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31"/>
        <w:ind w:left="0" w:leftChars="0" w:firstLine="0" w:firstLineChars="0"/>
        <w:jc w:val="center"/>
        <w:rPr>
          <w:rFonts w:ascii="仿宋" w:hAnsi="仿宋" w:eastAsia="仿宋"/>
          <w:sz w:val="32"/>
          <w:szCs w:val="32"/>
        </w:rPr>
      </w:pPr>
      <w:r>
        <w:rPr>
          <w:rFonts w:hint="eastAsia" w:ascii="仿宋" w:hAnsi="仿宋" w:eastAsia="仿宋"/>
          <w:sz w:val="32"/>
          <w:szCs w:val="32"/>
        </w:rPr>
        <w:t>（服务类）</w:t>
      </w:r>
    </w:p>
    <w:p>
      <w:pPr>
        <w:pStyle w:val="31"/>
        <w:jc w:val="center"/>
        <w:rPr>
          <w:rFonts w:ascii="仿宋" w:hAnsi="仿宋" w:eastAsia="仿宋"/>
          <w:szCs w:val="24"/>
        </w:rPr>
      </w:pPr>
    </w:p>
    <w:p>
      <w:pPr>
        <w:pStyle w:val="31"/>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31"/>
        <w:rPr>
          <w:rFonts w:ascii="仿宋" w:hAnsi="仿宋" w:eastAsia="仿宋"/>
          <w:szCs w:val="24"/>
        </w:rPr>
      </w:pPr>
    </w:p>
    <w:p>
      <w:pPr>
        <w:pStyle w:val="31"/>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32"/>
        <w:spacing w:before="120" w:line="22" w:lineRule="atLeast"/>
        <w:rPr>
          <w:rFonts w:ascii="仿宋" w:hAnsi="仿宋" w:eastAsia="仿宋"/>
          <w:szCs w:val="24"/>
        </w:rPr>
      </w:pPr>
    </w:p>
    <w:p>
      <w:pPr>
        <w:pStyle w:val="3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3" w:type="default"/>
          <w:footerReference r:id="rId4" w:type="default"/>
          <w:pgSz w:w="11907" w:h="16840"/>
          <w:pgMar w:top="680" w:right="1417" w:bottom="680" w:left="1417" w:header="851" w:footer="851" w:gutter="0"/>
          <w:pgNumType w:fmt="decimal"/>
          <w:cols w:space="0" w:num="1"/>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w:t>
      </w:r>
      <w:r>
        <w:rPr>
          <w:rFonts w:ascii="仿宋_GB2312" w:hAnsi="仿宋" w:eastAsia="仿宋_GB2312" w:cs="Helvetica"/>
          <w:kern w:val="0"/>
          <w:sz w:val="24"/>
        </w:rPr>
        <w:t>中华人民共和国民法典</w:t>
      </w:r>
      <w:r>
        <w:rPr>
          <w:rFonts w:hint="eastAsia" w:ascii="仿宋" w:hAnsi="仿宋" w:eastAsia="仿宋"/>
          <w:color w:val="000000" w:themeColor="text1"/>
          <w:sz w:val="24"/>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54" w:name="_Toc22967"/>
      <w:bookmarkStart w:id="55" w:name="_Toc20421"/>
      <w:bookmarkStart w:id="56" w:name="_Toc19273"/>
      <w:bookmarkStart w:id="57" w:name="_Toc28855"/>
      <w:bookmarkStart w:id="58" w:name="_Toc15367"/>
      <w:r>
        <w:rPr>
          <w:rFonts w:hint="eastAsia" w:ascii="仿宋" w:hAnsi="仿宋" w:eastAsia="仿宋"/>
          <w:b/>
          <w:color w:val="000000" w:themeColor="text1"/>
          <w:sz w:val="24"/>
          <w14:textFill>
            <w14:solidFill>
              <w14:schemeClr w14:val="tx1"/>
            </w14:solidFill>
          </w14:textFill>
        </w:rPr>
        <w:t>1.1 合同组成部分</w:t>
      </w:r>
      <w:bookmarkEnd w:id="54"/>
      <w:bookmarkEnd w:id="55"/>
      <w:bookmarkEnd w:id="56"/>
      <w:bookmarkEnd w:id="57"/>
      <w:bookmarkEnd w:id="5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9" w:name="_Toc6773"/>
      <w:bookmarkStart w:id="60" w:name="_Toc6311"/>
      <w:bookmarkStart w:id="61" w:name="_Toc18585"/>
      <w:bookmarkStart w:id="62" w:name="_Toc22185"/>
      <w:bookmarkStart w:id="63" w:name="_Toc2918"/>
      <w:r>
        <w:rPr>
          <w:rFonts w:hint="eastAsia" w:ascii="仿宋" w:hAnsi="仿宋" w:eastAsia="仿宋"/>
          <w:b/>
          <w:color w:val="000000" w:themeColor="text1"/>
          <w:sz w:val="24"/>
          <w14:textFill>
            <w14:solidFill>
              <w14:schemeClr w14:val="tx1"/>
            </w14:solidFill>
          </w14:textFill>
        </w:rPr>
        <w:t>1.2 标的</w:t>
      </w:r>
      <w:bookmarkEnd w:id="59"/>
      <w:bookmarkEnd w:id="60"/>
      <w:bookmarkEnd w:id="61"/>
      <w:bookmarkEnd w:id="62"/>
      <w:bookmarkEnd w:id="63"/>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4" w:name="_Toc5635"/>
      <w:bookmarkStart w:id="65" w:name="_Toc1386"/>
      <w:bookmarkStart w:id="66" w:name="_Toc21124"/>
      <w:bookmarkStart w:id="67" w:name="_Toc4929"/>
      <w:bookmarkStart w:id="68" w:name="_Toc13918"/>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64"/>
      <w:bookmarkEnd w:id="65"/>
      <w:bookmarkEnd w:id="66"/>
      <w:bookmarkEnd w:id="67"/>
      <w:bookmarkEnd w:id="6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33"/>
              <w:spacing w:line="560" w:lineRule="exact"/>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9" w:name="_Toc30506"/>
      <w:bookmarkStart w:id="70" w:name="_Toc14993"/>
      <w:bookmarkStart w:id="71" w:name="_Toc30158"/>
      <w:bookmarkStart w:id="72" w:name="_Toc26916"/>
      <w:bookmarkStart w:id="73" w:name="_Toc3654"/>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付款方式和发票开具方式</w:t>
      </w:r>
      <w:bookmarkEnd w:id="69"/>
      <w:bookmarkEnd w:id="70"/>
      <w:bookmarkEnd w:id="71"/>
      <w:bookmarkEnd w:id="72"/>
      <w:bookmarkEnd w:id="73"/>
    </w:p>
    <w:p>
      <w:pPr>
        <w:pStyle w:val="41"/>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1.4.2甲方在政府采购合同中约定预付款，预付款比例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合同金额的</w:t>
      </w:r>
      <w:r>
        <w:rPr>
          <w:rFonts w:hint="eastAsia" w:ascii="仿宋" w:hAnsi="仿宋" w:eastAsia="仿宋"/>
          <w:color w:val="000000" w:themeColor="text1"/>
          <w:sz w:val="24"/>
          <w:lang w:val="en-US" w:eastAsia="zh-CN"/>
          <w14:textFill>
            <w14:solidFill>
              <w14:schemeClr w14:val="tx1"/>
            </w14:solidFill>
          </w14:textFill>
        </w:rPr>
        <w:t>20</w:t>
      </w:r>
      <w:r>
        <w:rPr>
          <w:rFonts w:ascii="仿宋" w:hAnsi="仿宋" w:eastAsia="仿宋"/>
          <w:color w:val="000000" w:themeColor="text1"/>
          <w:sz w:val="24"/>
          <w14:textFill>
            <w14:solidFill>
              <w14:schemeClr w14:val="tx1"/>
            </w14:solidFill>
          </w14:textFill>
        </w:rPr>
        <w:t>％；项目分年安排预算的，每年预付款比例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项目年度计划支付资金额的</w:t>
      </w:r>
      <w:r>
        <w:rPr>
          <w:rFonts w:hint="eastAsia" w:ascii="仿宋" w:hAnsi="仿宋" w:eastAsia="仿宋"/>
          <w:color w:val="000000" w:themeColor="text1"/>
          <w:sz w:val="24"/>
          <w:lang w:val="en-US" w:eastAsia="zh-CN"/>
          <w14:textFill>
            <w14:solidFill>
              <w14:schemeClr w14:val="tx1"/>
            </w14:solidFill>
          </w14:textFill>
        </w:rPr>
        <w:t>20</w:t>
      </w:r>
      <w:r>
        <w:rPr>
          <w:rFonts w:ascii="仿宋" w:hAnsi="仿宋" w:eastAsia="仿宋"/>
          <w:color w:val="000000" w:themeColor="text1"/>
          <w:sz w:val="24"/>
          <w14:textFill>
            <w14:solidFill>
              <w14:schemeClr w14:val="tx1"/>
            </w14:solidFill>
          </w14:textFill>
        </w:rPr>
        <w:t>％。采购项目实施以人工投入为主的，可适当降低预付款比例，但不低于</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0%。甲方可以根据项目特点、乙方信用等实际情况提高预付款比例，最高预付比例可以达到</w:t>
      </w: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0%。</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4" w:name="_Toc4760"/>
      <w:bookmarkStart w:id="75" w:name="_Toc3625"/>
      <w:bookmarkStart w:id="76" w:name="_Toc31421"/>
      <w:bookmarkStart w:id="77" w:name="_Toc8772"/>
      <w:bookmarkStart w:id="78" w:name="_Toc11108"/>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74"/>
      <w:bookmarkEnd w:id="75"/>
      <w:bookmarkEnd w:id="76"/>
      <w:bookmarkEnd w:id="77"/>
      <w:bookmarkEnd w:id="78"/>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79" w:name="_Toc3079"/>
      <w:bookmarkStart w:id="80" w:name="_Toc5698"/>
      <w:bookmarkStart w:id="81" w:name="_Toc2375"/>
      <w:bookmarkStart w:id="82" w:name="_Toc24662"/>
      <w:bookmarkStart w:id="83" w:name="_Toc8586"/>
      <w:r>
        <w:rPr>
          <w:rFonts w:hint="eastAsia" w:ascii="仿宋" w:hAnsi="仿宋" w:eastAsia="仿宋"/>
          <w:b/>
          <w:color w:val="000000" w:themeColor="text1"/>
          <w:sz w:val="24"/>
          <w14:textFill>
            <w14:solidFill>
              <w14:schemeClr w14:val="tx1"/>
            </w14:solidFill>
          </w14:textFill>
        </w:rPr>
        <w:t>1.6 违约责任</w:t>
      </w:r>
      <w:bookmarkEnd w:id="79"/>
      <w:bookmarkEnd w:id="80"/>
      <w:bookmarkEnd w:id="81"/>
      <w:bookmarkEnd w:id="82"/>
      <w:bookmarkEnd w:id="8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84" w:name="_Toc32454"/>
      <w:bookmarkStart w:id="85" w:name="_Toc30329"/>
      <w:bookmarkStart w:id="86" w:name="_Toc18683"/>
      <w:bookmarkStart w:id="87" w:name="_Toc26807"/>
      <w:bookmarkStart w:id="88" w:name="_Toc9497"/>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84"/>
      <w:bookmarkEnd w:id="85"/>
      <w:bookmarkEnd w:id="86"/>
      <w:bookmarkEnd w:id="87"/>
      <w:bookmarkEnd w:id="88"/>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89" w:name="_Toc16417"/>
      <w:bookmarkStart w:id="90" w:name="_Toc26227"/>
      <w:bookmarkStart w:id="91" w:name="_Toc12273"/>
      <w:bookmarkStart w:id="92" w:name="_Toc23784"/>
      <w:bookmarkStart w:id="93" w:name="_Toc158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89"/>
      <w:bookmarkEnd w:id="90"/>
      <w:bookmarkEnd w:id="91"/>
      <w:bookmarkEnd w:id="92"/>
      <w:bookmarkEnd w:id="93"/>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4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pStyle w:val="31"/>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4" w:name="_Toc5228"/>
      <w:bookmarkStart w:id="95" w:name="_Toc14021"/>
      <w:bookmarkStart w:id="96" w:name="_Toc25079"/>
      <w:bookmarkStart w:id="97" w:name="_Toc19680"/>
      <w:bookmarkStart w:id="98" w:name="_Toc31297"/>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94"/>
      <w:bookmarkEnd w:id="95"/>
      <w:bookmarkEnd w:id="96"/>
      <w:bookmarkEnd w:id="97"/>
      <w:bookmarkEnd w:id="9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9" w:name="_Toc19539"/>
      <w:bookmarkStart w:id="100" w:name="_Toc16752"/>
      <w:bookmarkStart w:id="101" w:name="_Toc3769"/>
      <w:bookmarkStart w:id="102" w:name="_Toc31402"/>
      <w:bookmarkStart w:id="103" w:name="_Toc2328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99"/>
      <w:bookmarkEnd w:id="100"/>
      <w:bookmarkEnd w:id="101"/>
      <w:bookmarkEnd w:id="102"/>
      <w:bookmarkEnd w:id="10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4" w:name="_Toc9161"/>
      <w:bookmarkStart w:id="105" w:name="_Toc13673"/>
      <w:bookmarkStart w:id="106" w:name="_Toc27945"/>
      <w:bookmarkStart w:id="107" w:name="_Toc4133"/>
      <w:bookmarkStart w:id="108" w:name="_Toc12412"/>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104"/>
      <w:bookmarkEnd w:id="105"/>
      <w:bookmarkEnd w:id="106"/>
      <w:bookmarkEnd w:id="107"/>
      <w:bookmarkEnd w:id="10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9" w:name="_Toc31233"/>
      <w:bookmarkStart w:id="110" w:name="_Toc32670"/>
      <w:bookmarkStart w:id="111" w:name="_Toc15447"/>
      <w:bookmarkStart w:id="112" w:name="_Toc26555"/>
      <w:bookmarkStart w:id="113"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109"/>
      <w:bookmarkEnd w:id="110"/>
      <w:bookmarkEnd w:id="111"/>
      <w:bookmarkEnd w:id="112"/>
      <w:bookmarkEnd w:id="11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4" w:name="_Toc30507"/>
      <w:bookmarkStart w:id="115" w:name="_Toc13467"/>
      <w:bookmarkStart w:id="116" w:name="_Toc18990"/>
      <w:bookmarkStart w:id="117" w:name="_Toc13154"/>
      <w:bookmarkStart w:id="118" w:name="_Toc16163"/>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114"/>
      <w:bookmarkEnd w:id="115"/>
      <w:bookmarkEnd w:id="116"/>
      <w:bookmarkEnd w:id="117"/>
      <w:bookmarkEnd w:id="11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9" w:name="_Toc19069"/>
      <w:r>
        <w:rPr>
          <w:rFonts w:hint="eastAsia" w:ascii="仿宋" w:hAnsi="仿宋" w:eastAsia="仿宋"/>
          <w:b/>
          <w:color w:val="000000" w:themeColor="text1"/>
          <w:sz w:val="24"/>
          <w14:textFill>
            <w14:solidFill>
              <w14:schemeClr w14:val="tx1"/>
            </w14:solidFill>
          </w14:textFill>
        </w:rPr>
        <w:t>2.7 质量保证</w:t>
      </w:r>
      <w:bookmarkEnd w:id="11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0" w:name="_Toc22267"/>
      <w:r>
        <w:rPr>
          <w:rFonts w:hint="eastAsia" w:ascii="仿宋" w:hAnsi="仿宋" w:eastAsia="仿宋"/>
          <w:b/>
          <w:color w:val="000000" w:themeColor="text1"/>
          <w:sz w:val="24"/>
          <w14:textFill>
            <w14:solidFill>
              <w14:schemeClr w14:val="tx1"/>
            </w14:solidFill>
          </w14:textFill>
        </w:rPr>
        <w:t>2.8 延迟履行</w:t>
      </w:r>
      <w:bookmarkEnd w:id="12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1" w:name="_Toc10611"/>
      <w:r>
        <w:rPr>
          <w:rFonts w:hint="eastAsia" w:ascii="仿宋" w:hAnsi="仿宋" w:eastAsia="仿宋"/>
          <w:b/>
          <w:color w:val="000000" w:themeColor="text1"/>
          <w:sz w:val="24"/>
          <w14:textFill>
            <w14:solidFill>
              <w14:schemeClr w14:val="tx1"/>
            </w14:solidFill>
          </w14:textFill>
        </w:rPr>
        <w:t>2.9 合同变更</w:t>
      </w:r>
      <w:bookmarkEnd w:id="12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2" w:name="_Toc26689"/>
      <w:bookmarkStart w:id="123" w:name="_Toc10663"/>
      <w:bookmarkStart w:id="124" w:name="_Toc23368"/>
      <w:bookmarkStart w:id="125" w:name="_Toc42"/>
      <w:bookmarkStart w:id="126" w:name="_Toc21830"/>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122"/>
      <w:bookmarkEnd w:id="123"/>
      <w:bookmarkEnd w:id="124"/>
      <w:bookmarkEnd w:id="125"/>
      <w:bookmarkEnd w:id="12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7" w:name="_Toc32494"/>
      <w:bookmarkStart w:id="128" w:name="_Toc4720"/>
      <w:bookmarkStart w:id="129" w:name="_Toc14371"/>
      <w:bookmarkStart w:id="130" w:name="_Toc26633"/>
      <w:bookmarkStart w:id="131"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127"/>
      <w:bookmarkEnd w:id="128"/>
      <w:bookmarkEnd w:id="129"/>
      <w:bookmarkEnd w:id="130"/>
      <w:bookmarkEnd w:id="13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2" w:name="_Toc25783"/>
      <w:bookmarkStart w:id="133" w:name="_Toc24465"/>
      <w:bookmarkStart w:id="134" w:name="_Toc23854"/>
      <w:bookmarkStart w:id="135" w:name="_Toc14115"/>
      <w:bookmarkStart w:id="136" w:name="_Toc3638"/>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132"/>
      <w:bookmarkEnd w:id="133"/>
      <w:bookmarkEnd w:id="134"/>
      <w:bookmarkEnd w:id="135"/>
      <w:bookmarkEnd w:id="13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7" w:name="_Toc26883"/>
      <w:bookmarkStart w:id="138" w:name="_Toc30105"/>
      <w:bookmarkStart w:id="139" w:name="_Toc25525"/>
      <w:bookmarkStart w:id="140" w:name="_Toc14814"/>
      <w:bookmarkStart w:id="141" w:name="_Toc73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137"/>
      <w:bookmarkEnd w:id="138"/>
      <w:bookmarkEnd w:id="139"/>
      <w:bookmarkEnd w:id="140"/>
      <w:bookmarkEnd w:id="14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2" w:name="_Toc1123"/>
      <w:bookmarkStart w:id="143" w:name="_Toc23323"/>
      <w:bookmarkStart w:id="144" w:name="_Toc2016"/>
      <w:r>
        <w:rPr>
          <w:rFonts w:ascii="仿宋" w:hAnsi="仿宋" w:eastAsia="仿宋"/>
          <w:b/>
          <w:color w:val="000000" w:themeColor="text1"/>
          <w:sz w:val="24"/>
          <w14:textFill>
            <w14:solidFill>
              <w14:schemeClr w14:val="tx1"/>
            </w14:solidFill>
          </w14:textFill>
        </w:rPr>
        <w:t>2.14 合同中止、终止</w:t>
      </w:r>
      <w:bookmarkEnd w:id="142"/>
      <w:bookmarkEnd w:id="143"/>
      <w:bookmarkEnd w:id="14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5" w:name="_Toc14525"/>
      <w:bookmarkStart w:id="146" w:name="_Toc1969"/>
      <w:bookmarkStart w:id="147" w:name="_Toc17363"/>
      <w:r>
        <w:rPr>
          <w:rFonts w:ascii="仿宋" w:hAnsi="仿宋" w:eastAsia="仿宋"/>
          <w:b/>
          <w:color w:val="000000" w:themeColor="text1"/>
          <w:sz w:val="24"/>
          <w14:textFill>
            <w14:solidFill>
              <w14:schemeClr w14:val="tx1"/>
            </w14:solidFill>
          </w14:textFill>
        </w:rPr>
        <w:t>2.15 检验和验收</w:t>
      </w:r>
      <w:bookmarkEnd w:id="145"/>
      <w:bookmarkEnd w:id="146"/>
      <w:bookmarkEnd w:id="147"/>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8" w:name="_Toc12666"/>
      <w:bookmarkStart w:id="149" w:name="_Toc31892"/>
      <w:bookmarkStart w:id="150" w:name="_Toc9808"/>
      <w:bookmarkStart w:id="151" w:name="_Toc25198"/>
      <w:bookmarkStart w:id="152"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148"/>
      <w:bookmarkEnd w:id="149"/>
      <w:bookmarkEnd w:id="150"/>
      <w:bookmarkEnd w:id="151"/>
      <w:bookmarkEnd w:id="152"/>
    </w:p>
    <w:p>
      <w:pPr>
        <w:spacing w:line="460" w:lineRule="exact"/>
        <w:ind w:firstLine="480" w:firstLineChars="200"/>
        <w:rPr>
          <w:rFonts w:ascii="仿宋" w:hAnsi="仿宋" w:eastAsia="仿宋"/>
          <w:color w:val="000000" w:themeColor="text1"/>
          <w:sz w:val="24"/>
          <w14:textFill>
            <w14:solidFill>
              <w14:schemeClr w14:val="tx1"/>
            </w14:solidFill>
          </w14:textFill>
        </w:rPr>
      </w:pPr>
      <w:bookmarkStart w:id="153" w:name="_Toc27674"/>
      <w:bookmarkStart w:id="154"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153"/>
      <w:bookmarkEnd w:id="154"/>
    </w:p>
    <w:p>
      <w:pPr>
        <w:spacing w:line="4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55" w:name="_Toc28906"/>
      <w:bookmarkStart w:id="156" w:name="_Toc12254"/>
      <w:bookmarkStart w:id="157" w:name="_Toc27644"/>
      <w:bookmarkStart w:id="158" w:name="_Toc5063"/>
      <w:bookmarkStart w:id="159" w:name="_Toc20808"/>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155"/>
      <w:bookmarkEnd w:id="156"/>
      <w:bookmarkEnd w:id="157"/>
      <w:bookmarkEnd w:id="158"/>
      <w:bookmarkEnd w:id="159"/>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4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60" w:name="_Toc27127"/>
      <w:bookmarkStart w:id="161" w:name="_Toc27403"/>
      <w:bookmarkStart w:id="162" w:name="_Toc30096"/>
      <w:bookmarkStart w:id="163" w:name="_Toc1492"/>
      <w:bookmarkStart w:id="164" w:name="_Toc22266"/>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160"/>
      <w:bookmarkEnd w:id="161"/>
      <w:bookmarkEnd w:id="162"/>
      <w:bookmarkEnd w:id="163"/>
      <w:bookmarkEnd w:id="164"/>
    </w:p>
    <w:p>
      <w:pPr>
        <w:pStyle w:val="41"/>
        <w:spacing w:before="0" w:beforeAutospacing="0" w:after="0" w:afterAutospacing="0" w:line="460" w:lineRule="exact"/>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约定的方式，以支票、汇票、本票或者金融机构、担保机构出具的保函等非现金形式，提交不超过合同金额1</w:t>
      </w:r>
      <w:r>
        <w:rPr>
          <w:rFonts w:ascii="仿宋" w:hAnsi="仿宋" w:eastAsia="仿宋"/>
          <w:color w:val="000000" w:themeColor="text1"/>
          <w14:textFill>
            <w14:solidFill>
              <w14:schemeClr w14:val="tx1"/>
            </w14:solidFill>
          </w14:textFill>
        </w:rPr>
        <w:t>%的履约保证金；鼓励和支持乙方以银行、保险公司出具的保函形式提供履约保证。</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w:t>
      </w:r>
      <w:r>
        <w:rPr>
          <w:rFonts w:hint="eastAsia" w:ascii="仿宋" w:hAnsi="仿宋" w:eastAsia="仿宋"/>
          <w:color w:val="000000" w:themeColor="text1"/>
          <w:sz w:val="24"/>
          <w14:textFill>
            <w14:solidFill>
              <w14:schemeClr w14:val="tx1"/>
            </w14:solidFill>
          </w14:textFill>
        </w:rPr>
        <w:t>。</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sz w:val="24"/>
        </w:rPr>
        <w:t>2.</w:t>
      </w:r>
      <w:r>
        <w:rPr>
          <w:rFonts w:hint="eastAsia" w:ascii="仿宋" w:hAnsi="仿宋" w:eastAsia="仿宋"/>
          <w:sz w:val="24"/>
        </w:rPr>
        <w:t>18</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w:t>
      </w:r>
      <w:r>
        <w:rPr>
          <w:rFonts w:ascii="仿宋" w:hAnsi="仿宋" w:eastAsia="仿宋"/>
          <w:color w:val="000000" w:themeColor="text1"/>
          <w:sz w:val="24"/>
          <w14:textFill>
            <w14:solidFill>
              <w14:schemeClr w14:val="tx1"/>
            </w14:solidFill>
          </w14:textFill>
        </w:rPr>
        <w:t>担相应的赔偿责任。</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2.19对于因甲方原因导致变更、中止或者终止政府采购合同的，甲方应当依照合同约定对供应商受到的损失予以赔偿或者补偿。</w:t>
      </w:r>
    </w:p>
    <w:p>
      <w:pPr>
        <w:spacing w:line="4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2.20 合同份数</w:t>
      </w:r>
    </w:p>
    <w:p>
      <w:pPr>
        <w:spacing w:line="4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31"/>
        <w:spacing w:line="560" w:lineRule="exact"/>
        <w:ind w:firstLine="482"/>
        <w:jc w:val="center"/>
        <w:rPr>
          <w:rFonts w:ascii="仿宋" w:hAnsi="仿宋" w:eastAsia="仿宋"/>
          <w:b/>
          <w:color w:val="000000" w:themeColor="text1"/>
          <w:szCs w:val="24"/>
          <w14:textFill>
            <w14:solidFill>
              <w14:schemeClr w14:val="tx1"/>
            </w14:solidFill>
          </w14:textFill>
        </w:rPr>
      </w:pPr>
    </w:p>
    <w:p>
      <w:pPr>
        <w:pStyle w:val="31"/>
        <w:spacing w:line="560" w:lineRule="exact"/>
        <w:ind w:firstLine="482"/>
        <w:jc w:val="center"/>
        <w:rPr>
          <w:rFonts w:ascii="仿宋" w:hAnsi="仿宋" w:eastAsia="仿宋"/>
          <w:b/>
          <w:color w:val="000000" w:themeColor="text1"/>
          <w:szCs w:val="24"/>
          <w14:textFill>
            <w14:solidFill>
              <w14:schemeClr w14:val="tx1"/>
            </w14:solidFill>
          </w14:textFill>
        </w:rPr>
      </w:pPr>
    </w:p>
    <w:p>
      <w:pPr>
        <w:pStyle w:val="31"/>
        <w:spacing w:line="560" w:lineRule="exact"/>
        <w:ind w:firstLine="482"/>
        <w:jc w:val="center"/>
        <w:rPr>
          <w:rFonts w:ascii="仿宋" w:hAnsi="仿宋" w:eastAsia="仿宋"/>
          <w:b/>
          <w:color w:val="000000" w:themeColor="text1"/>
          <w:szCs w:val="24"/>
          <w14:textFill>
            <w14:solidFill>
              <w14:schemeClr w14:val="tx1"/>
            </w14:solidFill>
          </w14:textFill>
        </w:rPr>
      </w:pPr>
    </w:p>
    <w:p>
      <w:pPr>
        <w:pStyle w:val="31"/>
        <w:spacing w:line="560" w:lineRule="exact"/>
        <w:ind w:firstLine="482"/>
        <w:jc w:val="center"/>
        <w:rPr>
          <w:rFonts w:ascii="仿宋" w:hAnsi="仿宋" w:eastAsia="仿宋"/>
          <w:b/>
          <w:color w:val="000000" w:themeColor="text1"/>
          <w:szCs w:val="24"/>
          <w14:textFill>
            <w14:solidFill>
              <w14:schemeClr w14:val="tx1"/>
            </w14:solidFill>
          </w14:textFill>
        </w:rPr>
      </w:pPr>
    </w:p>
    <w:p>
      <w:pP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br w:type="page"/>
      </w:r>
    </w:p>
    <w:p>
      <w:pPr>
        <w:pStyle w:val="31"/>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2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01" w:type="dxa"/>
            <w:tcBorders>
              <w:left w:val="single" w:color="auto" w:sz="4" w:space="0"/>
            </w:tcBorders>
            <w:shd w:val="clear" w:color="auto" w:fill="auto"/>
            <w:vAlign w:val="center"/>
          </w:tcPr>
          <w:p>
            <w:pPr>
              <w:spacing w:line="50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shd w:val="clear" w:color="auto" w:fill="auto"/>
            <w:vAlign w:val="center"/>
          </w:tcPr>
          <w:p>
            <w:pPr>
              <w:spacing w:line="50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1.4.4</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项目计划分四个阶段。</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第一阶段：乙方收到首付款后20个工作日内，完成规划设计初步方案，并提交甲方。</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第二阶段：根据甲方修改意见，乙方于40个工作日内完成中间成果并提交甲方。</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第三阶段：根据甲方修改意见，乙方于35个工作日内完成规划设计送审成果并提交甲方。</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第四阶段：根据审查意见，乙方于30个工作日内完成规划设计最终成果并提交甲方。</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以上时间安排不包括甲乙双方方案的讨论、评议会议及等待甲方回复意见的时间，具体时间以甲方要求为准。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 xml:space="preserve">1.5.1 </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合同签订后至2022年底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1.5.2</w:t>
            </w:r>
          </w:p>
        </w:tc>
        <w:tc>
          <w:tcPr>
            <w:tcW w:w="7633" w:type="dxa"/>
            <w:shd w:val="clear" w:color="auto" w:fill="auto"/>
            <w:vAlign w:val="center"/>
          </w:tcPr>
          <w:p>
            <w:pPr>
              <w:pStyle w:val="8"/>
              <w:keepNext w:val="0"/>
              <w:keepLines w:val="0"/>
              <w:numPr>
                <w:ilvl w:val="0"/>
                <w:numId w:val="0"/>
              </w:numPr>
              <w:spacing w:line="500" w:lineRule="exact"/>
              <w:rPr>
                <w:rFonts w:ascii="仿宋" w:eastAsia="仿宋" w:cstheme="minorBidi"/>
                <w:b w:val="0"/>
                <w:bCs w:val="0"/>
                <w:color w:val="000000" w:themeColor="text1"/>
                <w:sz w:val="24"/>
                <w:szCs w:val="22"/>
                <w:lang w:val="en-US"/>
                <w14:textFill>
                  <w14:solidFill>
                    <w14:schemeClr w14:val="tx1"/>
                  </w14:solidFill>
                </w14:textFill>
              </w:rPr>
            </w:pPr>
            <w:r>
              <w:rPr>
                <w:rFonts w:hint="eastAsia" w:ascii="仿宋" w:eastAsia="仿宋"/>
                <w:b w:val="0"/>
                <w:bCs w:val="0"/>
                <w:color w:val="000000" w:themeColor="text1"/>
                <w:sz w:val="24"/>
                <w:szCs w:val="24"/>
                <w:lang w:val="en-US"/>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 xml:space="preserve">1.5.3 </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1.6.7</w:t>
            </w:r>
          </w:p>
        </w:tc>
        <w:tc>
          <w:tcPr>
            <w:tcW w:w="7633" w:type="dxa"/>
            <w:shd w:val="clear" w:color="auto" w:fill="auto"/>
            <w:vAlign w:val="center"/>
          </w:tcPr>
          <w:p>
            <w:pPr>
              <w:spacing w:line="500" w:lineRule="exac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按磋商文件采购需求中相关内容执行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1.7</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1.7.1</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hint="eastAsia" w:ascii="仿宋" w:hAnsi="仿宋" w:eastAsia="仿宋"/>
                <w:sz w:val="24"/>
              </w:rPr>
              <w:t>1.7.2</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00" w:lineRule="exact"/>
              <w:rPr>
                <w:rFonts w:ascii="仿宋" w:hAnsi="仿宋" w:eastAsia="仿宋"/>
                <w:sz w:val="24"/>
              </w:rPr>
            </w:pPr>
            <w:r>
              <w:rPr>
                <w:rFonts w:ascii="仿宋" w:hAnsi="仿宋" w:eastAsia="仿宋"/>
                <w:sz w:val="24"/>
              </w:rPr>
              <w:t>2.3.2</w:t>
            </w:r>
          </w:p>
        </w:tc>
        <w:tc>
          <w:tcPr>
            <w:tcW w:w="7633" w:type="dxa"/>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1</w:t>
            </w:r>
            <w:r>
              <w:rPr>
                <w:rFonts w:ascii="仿宋" w:hAnsi="仿宋" w:eastAsia="仿宋"/>
                <w:sz w:val="24"/>
              </w:rPr>
              <w:t>.3</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1</w:t>
            </w:r>
            <w:r>
              <w:rPr>
                <w:rFonts w:ascii="仿宋" w:hAnsi="仿宋" w:eastAsia="仿宋"/>
                <w:sz w:val="24"/>
              </w:rPr>
              <w:t>.4</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受不可抗力影响的一方在不可抗力发生后，应在</w:t>
            </w:r>
            <w:r>
              <w:rPr>
                <w:rFonts w:hint="eastAsia" w:ascii="仿宋" w:hAnsi="仿宋" w:eastAsia="仿宋"/>
                <w:color w:val="000000" w:themeColor="text1"/>
                <w:sz w:val="24"/>
                <w14:textFill>
                  <w14:solidFill>
                    <w14:schemeClr w14:val="tx1"/>
                  </w14:solidFill>
                </w14:textFill>
              </w:rPr>
              <w:t>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.1</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乙方按照双方确定的服务考核办法的约定，定期提交服务报告，甲方按照服务 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vAlign w:val="center"/>
          </w:tcPr>
          <w:p>
            <w:pPr>
              <w:spacing w:line="500" w:lineRule="exact"/>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.3</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采购人相关考核办法及磋商文件中记载的采购需求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tcPr>
          <w:p>
            <w:pPr>
              <w:spacing w:line="500" w:lineRule="exact"/>
              <w:rPr>
                <w:rFonts w:ascii="仿宋" w:hAnsi="仿宋" w:eastAsia="仿宋"/>
                <w:sz w:val="24"/>
              </w:rPr>
            </w:pPr>
            <w:r>
              <w:rPr>
                <w:rFonts w:hint="eastAsia" w:ascii="仿宋" w:hAnsi="仿宋" w:eastAsia="仿宋"/>
                <w:sz w:val="24"/>
              </w:rPr>
              <w:t>2.18.1</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要求乙方提交履约保证金的，乙方应提交合同价1%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vAlign w:val="center"/>
          </w:tcPr>
          <w:p>
            <w:pPr>
              <w:spacing w:line="500" w:lineRule="exact"/>
              <w:rPr>
                <w:rFonts w:ascii="仿宋" w:hAnsi="仿宋" w:eastAsia="仿宋"/>
                <w:sz w:val="24"/>
              </w:rPr>
            </w:pPr>
            <w:r>
              <w:rPr>
                <w:rFonts w:ascii="仿宋" w:hAnsi="仿宋" w:eastAsia="仿宋"/>
                <w:sz w:val="24"/>
              </w:rPr>
              <w:t>2.</w:t>
            </w:r>
            <w:r>
              <w:rPr>
                <w:rFonts w:hint="eastAsia" w:ascii="仿宋" w:hAnsi="仿宋" w:eastAsia="仿宋"/>
                <w:sz w:val="24"/>
              </w:rPr>
              <w:t>18</w:t>
            </w:r>
            <w:r>
              <w:rPr>
                <w:rFonts w:ascii="仿宋" w:hAnsi="仿宋" w:eastAsia="仿宋"/>
                <w:sz w:val="24"/>
              </w:rPr>
              <w:t xml:space="preserve">.2 </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shd w:val="clear" w:color="auto" w:fill="auto"/>
            <w:vAlign w:val="center"/>
          </w:tcPr>
          <w:p>
            <w:pPr>
              <w:spacing w:line="500" w:lineRule="exact"/>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 xml:space="preserve"> </w:t>
            </w:r>
          </w:p>
        </w:tc>
        <w:tc>
          <w:tcPr>
            <w:tcW w:w="7633" w:type="dxa"/>
            <w:shd w:val="clear" w:color="auto" w:fill="auto"/>
          </w:tcPr>
          <w:p>
            <w:pPr>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本合同一式六份。</w:t>
            </w:r>
          </w:p>
        </w:tc>
      </w:tr>
    </w:tbl>
    <w:p>
      <w:pPr>
        <w:pStyle w:val="16"/>
      </w:pPr>
    </w:p>
    <w:p>
      <w:pPr>
        <w:rPr>
          <w:rFonts w:ascii="仿宋" w:hAnsi="仿宋" w:eastAsia="仿宋" w:cs="仿宋_GB2312"/>
          <w:b/>
          <w:sz w:val="36"/>
          <w:szCs w:val="20"/>
        </w:rPr>
      </w:pPr>
      <w:r>
        <w:rPr>
          <w:rFonts w:hint="eastAsia" w:ascii="仿宋" w:hAnsi="仿宋" w:eastAsia="仿宋" w:cs="仿宋_GB2312"/>
          <w:b/>
          <w:sz w:val="36"/>
          <w:szCs w:val="20"/>
        </w:rPr>
        <w:br w:type="page"/>
      </w:r>
    </w:p>
    <w:p>
      <w:pPr>
        <w:pStyle w:val="2"/>
        <w:ind w:firstLine="0"/>
        <w:jc w:val="center"/>
        <w:rPr>
          <w:rFonts w:ascii="仿宋" w:hAnsi="仿宋" w:eastAsia="仿宋" w:cs="仿宋_GB2312"/>
          <w:b/>
          <w:color w:val="000000" w:themeColor="text1"/>
          <w:sz w:val="36"/>
          <w14:textFill>
            <w14:solidFill>
              <w14:schemeClr w14:val="tx1"/>
            </w14:solidFill>
          </w14:textFill>
        </w:rPr>
      </w:pPr>
    </w:p>
    <w:p>
      <w:pPr>
        <w:pStyle w:val="2"/>
        <w:ind w:firstLine="0"/>
        <w:jc w:val="center"/>
        <w:rPr>
          <w:rFonts w:ascii="仿宋" w:hAnsi="仿宋" w:eastAsia="仿宋" w:cs="仿宋_GB2312"/>
          <w:sz w:val="36"/>
          <w:szCs w:val="36"/>
        </w:rPr>
      </w:pPr>
      <w:r>
        <w:rPr>
          <w:rFonts w:hint="eastAsia" w:ascii="仿宋" w:hAnsi="仿宋" w:eastAsia="仿宋" w:cs="仿宋_GB2312"/>
          <w:b/>
          <w:color w:val="000000" w:themeColor="text1"/>
          <w:sz w:val="36"/>
          <w14:textFill>
            <w14:solidFill>
              <w14:schemeClr w14:val="tx1"/>
            </w14:solidFill>
          </w14:textFill>
        </w:rPr>
        <w:t>第七部分</w:t>
      </w:r>
      <w:r>
        <w:rPr>
          <w:rFonts w:ascii="仿宋" w:hAnsi="仿宋" w:eastAsia="仿宋" w:cs="仿宋_GB2312"/>
          <w:b/>
          <w:color w:val="000000" w:themeColor="text1"/>
          <w:sz w:val="36"/>
          <w14:textFill>
            <w14:solidFill>
              <w14:schemeClr w14:val="tx1"/>
            </w14:solidFill>
          </w14:textFill>
        </w:rPr>
        <w:t xml:space="preserve"> </w:t>
      </w:r>
      <w:r>
        <w:rPr>
          <w:rFonts w:hint="eastAsia" w:ascii="仿宋" w:hAnsi="仿宋" w:eastAsia="仿宋" w:cs="仿宋_GB2312"/>
          <w:b/>
          <w:color w:val="000000" w:themeColor="text1"/>
          <w:sz w:val="36"/>
          <w14:textFill>
            <w14:solidFill>
              <w14:schemeClr w14:val="tx1"/>
            </w14:solidFill>
          </w14:textFill>
        </w:rPr>
        <w:t>应提交的有关格式范例</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ascii="仿宋_GB2312" w:hAnsi="仿宋_GB2312" w:eastAsia="仿宋_GB2312" w:cs="仿宋_GB2312"/>
          <w:b/>
          <w:kern w:val="0"/>
          <w:sz w:val="36"/>
          <w:szCs w:val="36"/>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FF0000"/>
          <w:kern w:val="0"/>
          <w:sz w:val="24"/>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pStyle w:val="3"/>
        <w:rPr>
          <w:rFonts w:ascii="仿宋_GB2312" w:hAnsi="仿宋_GB2312" w:eastAsia="仿宋_GB2312" w:cs="仿宋_GB2312"/>
        </w:rPr>
      </w:pPr>
    </w:p>
    <w:p>
      <w:pPr>
        <w:pStyle w:val="3"/>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rPr>
          <w:rFonts w:ascii="仿宋_GB2312" w:hAnsi="仿宋_GB2312" w:eastAsia="仿宋_GB2312" w:cs="仿宋_GB2312"/>
          <w:b/>
          <w:bCs/>
        </w:rPr>
      </w:pPr>
    </w:p>
    <w:p>
      <w:pPr>
        <w:pStyle w:val="2"/>
        <w:ind w:firstLine="0"/>
        <w:rPr>
          <w:rFonts w:ascii="仿宋_GB2312" w:hAnsi="仿宋_GB2312" w:eastAsia="仿宋_GB2312" w:cs="仿宋_GB2312"/>
          <w:b/>
          <w:bCs/>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14:textFill>
            <w14:solidFill>
              <w14:schemeClr w14:val="tx1"/>
            </w14:solidFill>
          </w14:textFill>
        </w:rPr>
        <w:t xml:space="preserve">             （项目名称）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响应供应商名称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注：提供法人或者其他组织的营业执照等证明文件原件扫描件</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8"/>
        <w:numPr>
          <w:ilvl w:val="0"/>
          <w:numId w:val="0"/>
        </w:numPr>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（根据采购公告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的成交供应商，将依法采取分包方式履行合同。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8"/>
        <w:numPr>
          <w:ilvl w:val="0"/>
          <w:numId w:val="0"/>
        </w:numPr>
        <w:ind w:left="863"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w:t>
      </w:r>
      <w:r>
        <w:rPr>
          <w:rFonts w:hint="eastAsia" w:ascii="仿宋_GB2312" w:hAnsi="仿宋" w:eastAsia="仿宋_GB2312" w:cs="仿宋_GB2312"/>
          <w:color w:val="000000" w:themeColor="text1"/>
          <w:kern w:val="0"/>
          <w:sz w:val="24"/>
          <w:lang w:val="zh-CN"/>
          <w14:textFill>
            <w14:solidFill>
              <w14:schemeClr w14:val="tx1"/>
            </w14:solidFill>
          </w14:textFill>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（根据采购公告本项目的特定资格要求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sz w:val="36"/>
          <w:szCs w:val="36"/>
          <w:lang w:val="zh-CN"/>
        </w:rPr>
      </w:pPr>
    </w:p>
    <w:p>
      <w:pPr>
        <w:widowControl/>
        <w:adjustRightInd/>
        <w:jc w:val="center"/>
        <w:rPr>
          <w:rFonts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rPr>
          <w:rFonts w:ascii="仿宋_GB2312" w:hAnsi="仿宋_GB2312" w:eastAsia="仿宋_GB2312" w:cs="仿宋_GB2312"/>
          <w:b/>
          <w:kern w:val="0"/>
          <w:sz w:val="36"/>
          <w:szCs w:val="36"/>
        </w:rPr>
      </w:pPr>
    </w:p>
    <w:p>
      <w:pPr>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响应</w:t>
      </w:r>
      <w:r>
        <w:rPr>
          <w:rFonts w:ascii="仿宋_GB2312" w:hAnsi="仿宋" w:eastAsia="仿宋_GB2312" w:cs="仿宋_GB2312"/>
          <w:color w:val="000000" w:themeColor="text1"/>
          <w:sz w:val="24"/>
          <w14:textFill>
            <w14:solidFill>
              <w14:schemeClr w14:val="tx1"/>
            </w14:solidFill>
          </w14:textFill>
        </w:rPr>
        <w:t>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pacing w:line="360" w:lineRule="auto"/>
        <w:ind w:firstLine="480" w:firstLineChars="200"/>
        <w:rPr>
          <w:rFonts w:ascii="仿宋_GB2312" w:hAnsi="仿宋_GB2312" w:eastAsia="仿宋_GB2312" w:cs="仿宋_GB2312"/>
          <w:b/>
          <w:bCs/>
          <w:sz w:val="32"/>
          <w:szCs w:val="32"/>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一、响应</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】采购的有关活动，并对此项目进行响应。为此：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w:t>
      </w:r>
      <w:r>
        <w:rPr>
          <w:rFonts w:hint="eastAsia" w:ascii="仿宋_GB2312" w:hAnsi="仿宋" w:eastAsia="仿宋_GB2312" w:cs="仿宋_GB2312"/>
          <w:sz w:val="24"/>
        </w:rPr>
        <w:t>响应</w:t>
      </w:r>
      <w:r>
        <w:rPr>
          <w:rFonts w:ascii="仿宋_GB2312" w:hAnsi="仿宋" w:eastAsia="仿宋_GB2312" w:cs="仿宋_GB2312"/>
          <w:sz w:val="24"/>
        </w:rPr>
        <w:t>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本响应文件在响应有效期满之前均具有约束力。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w:t>
      </w:r>
      <w:r>
        <w:rPr>
          <w:rFonts w:hint="eastAsia" w:ascii="仿宋_GB2312" w:hAnsi="仿宋" w:eastAsia="仿宋_GB2312" w:cs="仿宋_GB2312"/>
          <w:sz w:val="24"/>
        </w:rPr>
        <w:t>响应</w:t>
      </w:r>
      <w:r>
        <w:rPr>
          <w:rFonts w:ascii="仿宋_GB2312" w:hAnsi="仿宋" w:eastAsia="仿宋_GB2312" w:cs="仿宋_GB2312"/>
          <w:sz w:val="24"/>
        </w:rPr>
        <w:t>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w:t>
      </w:r>
      <w:r>
        <w:rPr>
          <w:rFonts w:hint="eastAsia" w:ascii="仿宋_GB2312" w:hAnsi="仿宋" w:eastAsia="仿宋_GB2312" w:cs="仿宋_GB2312"/>
          <w:sz w:val="24"/>
        </w:rPr>
        <w:t>响应</w:t>
      </w:r>
      <w:r>
        <w:rPr>
          <w:rFonts w:ascii="仿宋_GB2312" w:hAnsi="仿宋" w:eastAsia="仿宋_GB2312" w:cs="仿宋_GB2312"/>
          <w:sz w:val="24"/>
        </w:rPr>
        <w:t>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w:t>
      </w:r>
      <w:r>
        <w:rPr>
          <w:rFonts w:hint="eastAsia" w:ascii="仿宋_GB2312" w:hAnsi="仿宋" w:eastAsia="仿宋_GB2312" w:cs="仿宋_GB2312"/>
          <w:sz w:val="24"/>
        </w:rPr>
        <w:t>采购</w:t>
      </w:r>
      <w:r>
        <w:rPr>
          <w:rFonts w:ascii="仿宋_GB2312" w:hAnsi="仿宋" w:eastAsia="仿宋_GB2312" w:cs="仿宋_GB2312"/>
          <w:sz w:val="24"/>
        </w:rPr>
        <w:t>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4.1在收到</w:t>
      </w:r>
      <w:r>
        <w:rPr>
          <w:rFonts w:hint="eastAsia" w:ascii="仿宋_GB2312" w:hAnsi="仿宋" w:eastAsia="仿宋_GB2312" w:cs="仿宋_GB2312"/>
          <w:sz w:val="24"/>
        </w:rPr>
        <w:t>成交</w:t>
      </w:r>
      <w:r>
        <w:rPr>
          <w:rFonts w:ascii="仿宋_GB2312" w:hAnsi="仿宋" w:eastAsia="仿宋_GB2312" w:cs="仿宋_GB2312"/>
          <w:sz w:val="24"/>
        </w:rPr>
        <w:t>通知书后，在</w:t>
      </w:r>
      <w:r>
        <w:rPr>
          <w:rFonts w:hint="eastAsia" w:ascii="仿宋_GB2312" w:hAnsi="仿宋" w:eastAsia="仿宋_GB2312" w:cs="仿宋_GB2312"/>
          <w:sz w:val="24"/>
        </w:rPr>
        <w:t>成交</w:t>
      </w:r>
      <w:r>
        <w:rPr>
          <w:rFonts w:ascii="仿宋_GB2312" w:hAnsi="仿宋" w:eastAsia="仿宋_GB2312" w:cs="仿宋_GB2312"/>
          <w:sz w:val="24"/>
        </w:rPr>
        <w:t xml:space="preserve">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4.3按照</w:t>
      </w:r>
      <w:r>
        <w:rPr>
          <w:rFonts w:hint="eastAsia" w:ascii="仿宋_GB2312" w:hAnsi="仿宋" w:eastAsia="仿宋_GB2312" w:cs="仿宋_GB2312"/>
          <w:sz w:val="24"/>
        </w:rPr>
        <w:t>采购</w:t>
      </w:r>
      <w:r>
        <w:rPr>
          <w:rFonts w:ascii="仿宋_GB2312" w:hAnsi="仿宋" w:eastAsia="仿宋_GB2312" w:cs="仿宋_GB2312"/>
          <w:sz w:val="24"/>
        </w:rPr>
        <w:t xml:space="preserve">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响应供应商名称（电子签名）：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附法定代表人及授权委托人的身份证（附身份证正反面原件扫描件，如法人参加，只须提供法人身份证）</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sz w:val="24"/>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36"/>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6"/>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36"/>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sz w:val="24"/>
        </w:rPr>
        <w:t>响应供应商</w:t>
      </w:r>
      <w:r>
        <w:rPr>
          <w:rFonts w:ascii="仿宋_GB2312" w:hAnsi="仿宋" w:eastAsia="仿宋_GB2312" w:cs="仿宋_GB2312"/>
          <w:color w:val="000000" w:themeColor="text1"/>
          <w:kern w:val="0"/>
          <w:sz w:val="24"/>
          <w:lang w:val="zh-CN"/>
          <w14:textFill>
            <w14:solidFill>
              <w14:schemeClr w14:val="tx1"/>
            </w14:solidFill>
          </w14:textFill>
        </w:rPr>
        <w:t xml:space="preserve">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w:t>
      </w:r>
      <w:r>
        <w:rPr>
          <w:rFonts w:hint="eastAsia" w:ascii="仿宋_GB2312" w:hAnsi="仿宋" w:eastAsia="仿宋_GB2312" w:cs="仿宋_GB2312"/>
          <w:sz w:val="24"/>
        </w:rPr>
        <w:t>响应供应商</w:t>
      </w:r>
      <w:r>
        <w:rPr>
          <w:rFonts w:hint="eastAsia" w:ascii="仿宋_GB2312" w:hAnsi="仿宋" w:eastAsia="仿宋_GB2312" w:cs="仿宋_GB2312"/>
          <w:kern w:val="0"/>
          <w:sz w:val="24"/>
          <w:lang w:val="zh-CN"/>
        </w:rPr>
        <w:t>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start="41"/>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的成交供应商，将依法采取分包方式履行合同。</w:t>
      </w: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8"/>
        <w:numPr>
          <w:ilvl w:val="0"/>
          <w:numId w:val="0"/>
        </w:numPr>
        <w:ind w:left="863"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sz w:val="24"/>
        </w:rPr>
        <w:t>响应供应商</w:t>
      </w:r>
      <w:r>
        <w:rPr>
          <w:rFonts w:ascii="仿宋_GB2312" w:hAnsi="仿宋" w:eastAsia="仿宋_GB2312" w:cs="仿宋_GB2312"/>
          <w:kern w:val="0"/>
          <w:sz w:val="24"/>
          <w:lang w:val="zh-CN"/>
        </w:rPr>
        <w:t>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投标文件未按照采购文件要求签署、盖章。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需要使用电子签名或者签字盖章的响应文件的组成部分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_GB2312" w:hAnsi="仿宋" w:eastAsia="仿宋_GB2312" w:cs="仿宋_GB2312"/>
                <w:sz w:val="24"/>
              </w:rPr>
              <w:t>响应供应商</w:t>
            </w:r>
            <w:r>
              <w:rPr>
                <w:rFonts w:hint="eastAsia" w:ascii="仿宋_GB2312" w:hAnsi="仿宋" w:eastAsia="仿宋_GB2312"/>
                <w:color w:val="000000" w:themeColor="text1"/>
                <w:sz w:val="24"/>
                <w14:textFill>
                  <w14:solidFill>
                    <w14:schemeClr w14:val="tx1"/>
                  </w14:solidFill>
                </w14:textFill>
              </w:rPr>
              <w:t>未按采购文件要求提供国家确定的认证机构出具的、处于有效期之内的节能产品认证证书。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w:t>
            </w:r>
          </w:p>
          <w:p>
            <w:pPr>
              <w:pStyle w:val="8"/>
              <w:numPr>
                <w:ilvl w:val="0"/>
                <w:numId w:val="0"/>
              </w:numPr>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不存在如下情形：响应文件中承诺的投标有效期少于采购文件中载明的投标有效期。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不存在如下情形：响应文件不满足采购文件的其它实质性要求。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除上述三项实质性要求外，采购文件其它实质性要求相应的材料（“▲”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系指实质性要求条款，采购文件无其它实质性要求的，无需提供）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现场勘查真实性承诺书</w:t>
      </w:r>
    </w:p>
    <w:p>
      <w:pPr>
        <w:spacing w:line="540" w:lineRule="exact"/>
        <w:jc w:val="center"/>
        <w:rPr>
          <w:rFonts w:ascii="仿宋" w:hAnsi="仿宋" w:eastAsia="仿宋" w:cs="仿宋"/>
          <w:sz w:val="24"/>
        </w:rPr>
      </w:pPr>
      <w:r>
        <w:rPr>
          <w:rFonts w:hint="eastAsia" w:ascii="仿宋" w:hAnsi="仿宋" w:eastAsia="仿宋" w:cs="仿宋"/>
          <w:sz w:val="24"/>
        </w:rPr>
        <w:t>（模板）</w:t>
      </w:r>
    </w:p>
    <w:p>
      <w:pPr>
        <w:spacing w:line="540" w:lineRule="exact"/>
        <w:jc w:val="center"/>
        <w:rPr>
          <w:rFonts w:ascii="仿宋" w:hAnsi="仿宋" w:eastAsia="仿宋" w:cs="仿宋"/>
          <w:sz w:val="24"/>
        </w:rPr>
      </w:pPr>
    </w:p>
    <w:p>
      <w:pPr>
        <w:spacing w:line="540" w:lineRule="exact"/>
        <w:ind w:firstLine="480" w:firstLineChars="200"/>
        <w:rPr>
          <w:rFonts w:ascii="仿宋" w:hAnsi="仿宋" w:eastAsia="仿宋" w:cs="仿宋"/>
          <w:sz w:val="24"/>
        </w:rPr>
      </w:pPr>
      <w:r>
        <w:rPr>
          <w:rFonts w:hint="eastAsia" w:ascii="仿宋" w:hAnsi="仿宋" w:eastAsia="仿宋" w:cs="仿宋"/>
          <w:sz w:val="24"/>
        </w:rPr>
        <w:t>兹有本公司_______________________（投标人）委派_______________(项目负责人/技术负责人)对_____________________________(项目名称)完成了现场勘查工作，并对真实性负责。</w:t>
      </w:r>
    </w:p>
    <w:p>
      <w:pPr>
        <w:spacing w:line="540" w:lineRule="exact"/>
        <w:ind w:firstLine="480" w:firstLineChars="200"/>
        <w:rPr>
          <w:rFonts w:ascii="仿宋" w:hAnsi="仿宋" w:eastAsia="仿宋" w:cs="仿宋"/>
          <w:sz w:val="24"/>
        </w:rPr>
      </w:pPr>
    </w:p>
    <w:p>
      <w:pPr>
        <w:spacing w:line="540" w:lineRule="exact"/>
        <w:ind w:firstLine="480" w:firstLineChars="200"/>
        <w:rPr>
          <w:rFonts w:ascii="仿宋" w:hAnsi="仿宋" w:eastAsia="仿宋" w:cs="仿宋"/>
          <w:sz w:val="24"/>
        </w:rPr>
      </w:pPr>
      <w:r>
        <w:rPr>
          <w:rFonts w:hint="eastAsia" w:ascii="仿宋" w:hAnsi="仿宋" w:eastAsia="仿宋" w:cs="仿宋"/>
          <w:sz w:val="24"/>
        </w:rPr>
        <w:t>特此承诺</w:t>
      </w:r>
    </w:p>
    <w:p>
      <w:pPr>
        <w:spacing w:line="540" w:lineRule="exact"/>
        <w:ind w:firstLine="480" w:firstLineChars="200"/>
        <w:rPr>
          <w:rFonts w:ascii="仿宋" w:hAnsi="仿宋" w:eastAsia="仿宋" w:cs="仿宋"/>
          <w:sz w:val="24"/>
        </w:rPr>
      </w:pPr>
    </w:p>
    <w:p>
      <w:pPr>
        <w:spacing w:line="540" w:lineRule="exact"/>
        <w:ind w:firstLine="480" w:firstLineChars="200"/>
        <w:rPr>
          <w:rFonts w:ascii="仿宋" w:hAnsi="仿宋" w:eastAsia="仿宋" w:cs="仿宋"/>
          <w:sz w:val="24"/>
        </w:rPr>
      </w:pPr>
    </w:p>
    <w:p>
      <w:pPr>
        <w:spacing w:line="540" w:lineRule="exact"/>
        <w:ind w:firstLine="2640" w:firstLineChars="1100"/>
        <w:rPr>
          <w:rFonts w:ascii="仿宋" w:hAnsi="仿宋" w:eastAsia="仿宋" w:cs="仿宋"/>
          <w:sz w:val="24"/>
        </w:rPr>
      </w:pPr>
      <w:r>
        <w:rPr>
          <w:rFonts w:hint="eastAsia" w:ascii="仿宋" w:hAnsi="仿宋" w:eastAsia="仿宋" w:cs="仿宋"/>
          <w:sz w:val="24"/>
        </w:rPr>
        <w:t>投标人（章）：</w:t>
      </w:r>
    </w:p>
    <w:p>
      <w:pPr>
        <w:spacing w:line="540" w:lineRule="exact"/>
        <w:ind w:firstLine="480" w:firstLineChars="200"/>
        <w:jc w:val="center"/>
        <w:rPr>
          <w:rFonts w:ascii="仿宋" w:hAnsi="仿宋" w:eastAsia="仿宋" w:cs="仿宋"/>
          <w:color w:val="000000"/>
          <w:sz w:val="24"/>
        </w:rPr>
      </w:pPr>
      <w:r>
        <w:rPr>
          <w:rFonts w:hint="eastAsia" w:ascii="仿宋" w:hAnsi="仿宋" w:eastAsia="仿宋" w:cs="仿宋"/>
          <w:sz w:val="24"/>
        </w:rPr>
        <w:t>日期：   年   月   日</w:t>
      </w:r>
    </w:p>
    <w:p>
      <w:pPr>
        <w:spacing w:line="540" w:lineRule="exact"/>
        <w:rPr>
          <w:rFonts w:ascii="仿宋" w:hAnsi="仿宋" w:eastAsia="仿宋" w:cs="仿宋"/>
          <w:color w:val="000000"/>
          <w:sz w:val="24"/>
        </w:rPr>
      </w:pPr>
    </w:p>
    <w:p>
      <w:pPr>
        <w:spacing w:line="540" w:lineRule="exact"/>
        <w:rPr>
          <w:rFonts w:ascii="仿宋" w:hAnsi="仿宋" w:eastAsia="仿宋" w:cs="仿宋"/>
          <w:color w:val="000000"/>
          <w:sz w:val="24"/>
        </w:rPr>
      </w:pPr>
    </w:p>
    <w:p>
      <w:pPr>
        <w:spacing w:line="540" w:lineRule="exact"/>
        <w:rPr>
          <w:rFonts w:ascii="仿宋" w:hAnsi="仿宋" w:eastAsia="仿宋" w:cs="仿宋"/>
          <w:color w:val="000000"/>
          <w:sz w:val="24"/>
        </w:rPr>
      </w:pPr>
    </w:p>
    <w:p>
      <w:pPr>
        <w:spacing w:line="540" w:lineRule="exact"/>
        <w:rPr>
          <w:rFonts w:ascii="仿宋" w:hAnsi="仿宋" w:eastAsia="仿宋" w:cs="仿宋"/>
          <w:color w:val="000000"/>
          <w:sz w:val="24"/>
        </w:rPr>
      </w:pPr>
    </w:p>
    <w:p>
      <w:pPr>
        <w:spacing w:line="540" w:lineRule="exact"/>
        <w:rPr>
          <w:rFonts w:ascii="仿宋" w:hAnsi="仿宋" w:eastAsia="仿宋" w:cs="仿宋"/>
          <w:color w:val="000000"/>
          <w:sz w:val="24"/>
        </w:rPr>
      </w:pPr>
      <w:r>
        <w:rPr>
          <w:rFonts w:hint="eastAsia" w:ascii="仿宋" w:hAnsi="仿宋" w:eastAsia="仿宋" w:cs="仿宋"/>
          <w:color w:val="000000"/>
          <w:sz w:val="24"/>
        </w:rPr>
        <w:t>注：</w:t>
      </w:r>
    </w:p>
    <w:p>
      <w:pPr>
        <w:spacing w:line="540" w:lineRule="exact"/>
        <w:rPr>
          <w:rFonts w:ascii="仿宋" w:hAnsi="仿宋" w:eastAsia="仿宋" w:cs="仿宋"/>
          <w:sz w:val="24"/>
        </w:rPr>
      </w:pPr>
      <w:r>
        <w:rPr>
          <w:rFonts w:hint="eastAsia" w:ascii="仿宋" w:hAnsi="仿宋" w:eastAsia="仿宋" w:cs="仿宋"/>
          <w:sz w:val="24"/>
        </w:rPr>
        <w:t>1、上述项目负责人/技术负责人需与投标文件一致。</w:t>
      </w:r>
    </w:p>
    <w:p>
      <w:pP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采购文件章节及具体内容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响应文件章节及具体内容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响应供应商保证：除商务技术偏离表列出的偏离外，响应供应商响应采购文件的全部要求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XXX（采购人名称） 、杭州建设工程造价咨询有限公司：</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响应供应商名称（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pStyle w:val="8"/>
        <w:numPr>
          <w:ilvl w:val="0"/>
          <w:numId w:val="0"/>
        </w:numPr>
      </w:pPr>
    </w:p>
    <w:p>
      <w:pPr>
        <w:pStyle w:val="3"/>
        <w:rPr>
          <w:rFonts w:ascii="仿宋_GB2312" w:hAnsi="仿宋_GB2312" w:eastAsia="仿宋_GB2312" w:cs="仿宋_GB2312"/>
          <w:b/>
          <w:bCs/>
        </w:rPr>
      </w:pPr>
    </w:p>
    <w:p>
      <w:pPr>
        <w:spacing w:line="360" w:lineRule="auto"/>
        <w:jc w:val="center"/>
        <w:rPr>
          <w:rFonts w:ascii="仿宋_GB2312" w:hAnsi="仿宋_GB2312" w:eastAsia="仿宋_GB2312" w:cs="仿宋_GB2312"/>
          <w:sz w:val="36"/>
          <w:szCs w:val="36"/>
          <w:lang w:val="zh-CN"/>
        </w:rPr>
      </w:pPr>
    </w:p>
    <w:p>
      <w:pPr>
        <w:spacing w:line="360" w:lineRule="auto"/>
        <w:jc w:val="center"/>
        <w:rPr>
          <w:rFonts w:ascii="仿宋_GB2312" w:hAnsi="仿宋_GB2312" w:eastAsia="仿宋_GB2312" w:cs="仿宋_GB2312"/>
          <w:sz w:val="36"/>
          <w:szCs w:val="36"/>
          <w:lang w:val="zh-CN"/>
        </w:rPr>
      </w:pPr>
    </w:p>
    <w:p>
      <w:pPr>
        <w:spacing w:line="360" w:lineRule="auto"/>
        <w:jc w:val="center"/>
        <w:rPr>
          <w:rFonts w:ascii="仿宋_GB2312" w:hAnsi="仿宋_GB2312" w:eastAsia="仿宋_GB2312" w:cs="仿宋_GB2312"/>
          <w:sz w:val="36"/>
          <w:szCs w:val="36"/>
          <w:lang w:val="zh-CN"/>
        </w:rPr>
      </w:pPr>
    </w:p>
    <w:p>
      <w:pPr>
        <w:spacing w:line="360" w:lineRule="auto"/>
        <w:jc w:val="center"/>
        <w:rPr>
          <w:rFonts w:ascii="仿宋_GB2312" w:hAnsi="仿宋_GB2312" w:eastAsia="仿宋_GB2312" w:cs="仿宋_GB2312"/>
          <w:sz w:val="36"/>
          <w:szCs w:val="36"/>
          <w:lang w:val="zh-CN"/>
        </w:rPr>
      </w:pPr>
    </w:p>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pStyle w:val="3"/>
        <w:rPr>
          <w:rFonts w:ascii="仿宋_GB2312" w:hAnsi="仿宋_GB2312" w:eastAsia="仿宋_GB2312" w:cs="仿宋_GB2312"/>
          <w:b/>
          <w:bCs/>
        </w:rPr>
      </w:pPr>
      <w:r>
        <w:rPr>
          <w:rFonts w:hint="eastAsia" w:ascii="仿宋_GB2312" w:hAnsi="仿宋" w:eastAsia="仿宋_GB2312" w:cs="仿宋_GB2312"/>
          <w:color w:val="000000" w:themeColor="text1"/>
          <w14:textFill>
            <w14:solidFill>
              <w14:schemeClr w14:val="tx1"/>
            </w14:solidFill>
          </w14:textFill>
        </w:rPr>
        <w:t>（</w:t>
      </w:r>
      <w:r>
        <w:rPr>
          <w:rFonts w:ascii="仿宋_GB2312" w:hAnsi="仿宋" w:eastAsia="仿宋_GB2312" w:cs="仿宋_GB2312"/>
          <w:color w:val="000000" w:themeColor="text1"/>
          <w14:textFill>
            <w14:solidFill>
              <w14:schemeClr w14:val="tx1"/>
            </w14:solidFill>
          </w14:textFill>
        </w:rPr>
        <w:t>2）中小企业声明函……</w:t>
      </w:r>
      <w:r>
        <w:rPr>
          <w:rFonts w:hint="eastAsia" w:ascii="仿宋_GB2312" w:hAnsi="仿宋" w:eastAsia="仿宋_GB2312" w:cs="仿宋_GB2312"/>
          <w:color w:val="000000" w:themeColor="text1"/>
          <w14:textFill>
            <w14:solidFill>
              <w14:schemeClr w14:val="tx1"/>
            </w14:solidFill>
          </w14:textFill>
        </w:rPr>
        <w:t>…………………………………………………………（页码）</w:t>
      </w: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3"/>
        <w:rPr>
          <w:rFonts w:ascii="仿宋_GB2312" w:hAnsi="仿宋_GB2312" w:eastAsia="仿宋_GB2312" w:cs="仿宋_GB2312"/>
          <w:b/>
          <w:bCs/>
        </w:rPr>
      </w:pPr>
    </w:p>
    <w:p>
      <w:pPr>
        <w:pStyle w:val="40"/>
        <w:keepNext w:val="0"/>
        <w:pageBreakBefore w:val="0"/>
        <w:tabs>
          <w:tab w:val="clear" w:pos="720"/>
        </w:tabs>
        <w:snapToGrid w:val="0"/>
        <w:spacing w:before="120" w:after="120"/>
        <w:ind w:firstLine="643"/>
        <w:outlineLvl w:val="9"/>
        <w:rPr>
          <w:rFonts w:ascii="仿宋_GB2312" w:hAnsi="仿宋" w:eastAsia="仿宋_GB2312" w:cs="仿宋_GB2312"/>
          <w:sz w:val="32"/>
          <w:szCs w:val="32"/>
        </w:rPr>
      </w:pPr>
      <w:bookmarkStart w:id="165" w:name="_Toc465665161"/>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snapToGrid w:val="0"/>
        <w:spacing w:line="360" w:lineRule="auto"/>
        <w:rPr>
          <w:rFonts w:ascii="仿宋_GB2312" w:hAnsi="仿宋" w:eastAsia="仿宋_GB2312" w:cs="仿宋_GB2312"/>
          <w:kern w:val="0"/>
          <w:sz w:val="24"/>
        </w:rPr>
      </w:pPr>
      <w:bookmarkStart w:id="166" w:name="_Toc86217005"/>
      <w:r>
        <w:rPr>
          <w:rFonts w:hint="eastAsia" w:ascii="仿宋_GB2312" w:hAnsi="仿宋" w:eastAsia="仿宋_GB2312" w:cs="仿宋_GB2312"/>
          <w:sz w:val="24"/>
        </w:rPr>
        <w:t>XXX（采购人名称）、杭州建设工程造价咨询有限公司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u w:val="single"/>
        </w:rPr>
        <w:t xml:space="preserve">      （项目名称）</w:t>
      </w:r>
      <w:r>
        <w:rPr>
          <w:rFonts w:hint="eastAsia" w:ascii="仿宋_GB2312" w:hAnsi="仿宋" w:eastAsia="仿宋_GB2312" w:cs="仿宋_GB2312"/>
          <w:kern w:val="0"/>
          <w:sz w:val="24"/>
          <w:lang w:val="zh-CN"/>
        </w:rPr>
        <w:t>【招标编号：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166"/>
    <w:p>
      <w:pPr>
        <w:spacing w:line="360" w:lineRule="auto"/>
        <w:outlineLvl w:val="0"/>
        <w:rPr>
          <w:rFonts w:ascii="仿宋_GB2312" w:hAnsi="仿宋" w:eastAsia="仿宋_GB2312" w:cs="仿宋_GB2312"/>
          <w:sz w:val="36"/>
          <w:szCs w:val="36"/>
          <w:lang w:val="zh-CN"/>
        </w:rPr>
      </w:pPr>
    </w:p>
    <w:p>
      <w:pPr>
        <w:pStyle w:val="8"/>
        <w:numPr>
          <w:ilvl w:val="0"/>
          <w:numId w:val="0"/>
        </w:num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40"/>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采购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bookmarkEnd w:id="165"/>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8"/>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8"/>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7"/>
        <w:keepNext w:val="0"/>
        <w:keepLines w:val="0"/>
        <w:pageBreakBefore/>
        <w:widowControl/>
        <w:numPr>
          <w:ilvl w:val="0"/>
          <w:numId w:val="0"/>
        </w:numPr>
        <w:spacing w:before="100" w:beforeAutospacing="1" w:after="100" w:afterAutospacing="1" w:line="360" w:lineRule="auto"/>
        <w:jc w:val="center"/>
        <w:rPr>
          <w:rFonts w:ascii="仿宋" w:hAnsi="仿宋" w:eastAsia="仿宋" w:cs="仿宋"/>
        </w:rPr>
      </w:pPr>
      <w:r>
        <w:rPr>
          <w:rFonts w:hint="eastAsia" w:ascii="仿宋" w:hAnsi="仿宋" w:eastAsia="仿宋" w:cs="仿宋"/>
        </w:rPr>
        <w:t>附件</w:t>
      </w: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167" w:name="OLE_LINK13"/>
      <w:bookmarkStart w:id="168" w:name="OLE_LINK14"/>
      <w:r>
        <w:rPr>
          <w:rFonts w:hint="eastAsia" w:ascii="仿宋" w:hAnsi="仿宋" w:eastAsia="仿宋" w:cs="仿宋"/>
          <w:b/>
          <w:spacing w:val="6"/>
          <w:sz w:val="32"/>
          <w:szCs w:val="32"/>
        </w:rPr>
        <w:t>残疾人福利性单位声明函</w:t>
      </w:r>
    </w:p>
    <w:bookmarkEnd w:id="167"/>
    <w:bookmarkEnd w:id="168"/>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pStyle w:val="3"/>
        <w:rPr>
          <w:rFonts w:ascii="仿宋" w:hAnsi="仿宋" w:eastAsia="仿宋" w:cs="仿宋"/>
          <w:b/>
          <w:bCs/>
          <w:sz w:val="32"/>
          <w:szCs w:val="32"/>
          <w:lang w:val="en-US"/>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312"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
        <w:ind w:firstLine="0"/>
        <w:rPr>
          <w:rFonts w:ascii="仿宋" w:hAnsi="仿宋" w:eastAsia="仿宋" w:cs="仿宋"/>
          <w:b/>
          <w:bCs/>
          <w:sz w:val="32"/>
          <w:szCs w:val="32"/>
          <w:lang w:val="en-US"/>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XXXX（采购人名称） 、杭州建设工程造价咨询有限公司</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179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468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2"/>
        <w:rPr>
          <w:rFonts w:ascii="仿宋" w:hAnsi="仿宋" w:eastAsia="仿宋" w:cs="仿宋"/>
          <w:b/>
          <w:bCs/>
          <w:sz w:val="32"/>
          <w:szCs w:val="32"/>
          <w:lang w:val="en-US"/>
        </w:rPr>
      </w:pPr>
    </w:p>
    <w:p>
      <w:pPr>
        <w:autoSpaceDE w:val="0"/>
        <w:autoSpaceDN w:val="0"/>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2"/>
        <w:rPr>
          <w:rFonts w:ascii="仿宋" w:hAnsi="仿宋" w:eastAsia="仿宋" w:cs="仿宋"/>
          <w:b/>
          <w:bCs/>
          <w:sz w:val="32"/>
          <w:szCs w:val="32"/>
          <w:lang w:val="en-US"/>
        </w:rPr>
      </w:pPr>
    </w:p>
    <w:p>
      <w:pPr>
        <w:pStyle w:val="2"/>
        <w:rPr>
          <w:rFonts w:ascii="仿宋" w:hAnsi="仿宋" w:eastAsia="仿宋" w:cs="仿宋"/>
          <w:b/>
          <w:bCs/>
          <w:sz w:val="32"/>
          <w:szCs w:val="32"/>
          <w:lang w:val="en-US"/>
        </w:rPr>
      </w:pPr>
    </w:p>
    <w:p>
      <w:pPr>
        <w:jc w:val="center"/>
        <w:rPr>
          <w:rFonts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ascii="仿宋" w:hAnsi="仿宋" w:eastAsia="仿宋" w:cs="仿宋"/>
          <w:sz w:val="44"/>
          <w:szCs w:val="44"/>
        </w:rPr>
      </w:pPr>
    </w:p>
    <w:tbl>
      <w:tblPr>
        <w:tblStyle w:val="21"/>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9"/>
              <w:jc w:val="center"/>
              <w:rPr>
                <w:rFonts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石镜街777号</w:t>
            </w:r>
          </w:p>
        </w:tc>
      </w:tr>
    </w:tbl>
    <w:p>
      <w:pPr>
        <w:pStyle w:val="35"/>
        <w:jc w:val="both"/>
        <w:rPr>
          <w:rFonts w:ascii="仿宋" w:hAnsi="仿宋" w:eastAsia="仿宋" w:cs="仿宋"/>
          <w:b/>
          <w:sz w:val="36"/>
          <w:szCs w:val="36"/>
        </w:rPr>
      </w:pPr>
    </w:p>
    <w:p>
      <w:pPr>
        <w:pStyle w:val="35"/>
        <w:jc w:val="both"/>
        <w:rPr>
          <w:rFonts w:ascii="仿宋" w:hAnsi="仿宋" w:eastAsia="仿宋" w:cs="仿宋"/>
          <w:b/>
          <w:sz w:val="36"/>
          <w:szCs w:val="36"/>
        </w:rPr>
      </w:pPr>
    </w:p>
    <w:p>
      <w:pPr>
        <w:pStyle w:val="35"/>
        <w:jc w:val="both"/>
        <w:rPr>
          <w:rFonts w:ascii="仿宋" w:hAnsi="仿宋" w:eastAsia="仿宋" w:cs="仿宋"/>
          <w:b/>
          <w:sz w:val="36"/>
          <w:szCs w:val="36"/>
        </w:rPr>
      </w:pPr>
    </w:p>
    <w:p>
      <w:pPr>
        <w:pStyle w:val="3"/>
        <w:rPr>
          <w:rFonts w:ascii="仿宋" w:hAnsi="仿宋" w:eastAsia="仿宋" w:cs="仿宋"/>
          <w:b/>
          <w:bCs/>
        </w:rPr>
      </w:pPr>
    </w:p>
    <w:p/>
    <w:p>
      <w:pPr>
        <w:rPr>
          <w:rFonts w:ascii="仿宋_GB2312" w:hAnsi="仿宋_GB2312" w:eastAsia="仿宋_GB2312" w:cs="仿宋_GB2312"/>
          <w:b/>
          <w:bCs/>
          <w:sz w:val="24"/>
        </w:rPr>
      </w:pPr>
      <w:r>
        <w:rPr>
          <w:rFonts w:hint="eastAsia" w:ascii="仿宋_GB2312" w:hAnsi="仿宋_GB2312" w:eastAsia="仿宋_GB2312" w:cs="仿宋_GB2312"/>
          <w:b/>
          <w:bCs/>
          <w:sz w:val="24"/>
        </w:rPr>
        <w:br w:type="page"/>
      </w:r>
    </w:p>
    <w:p>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t>附件6   政府采购活动现场确认声明书</w:t>
      </w:r>
    </w:p>
    <w:p>
      <w:pPr>
        <w:pStyle w:val="33"/>
        <w:snapToGrid w:val="0"/>
        <w:spacing w:line="400" w:lineRule="exact"/>
        <w:rPr>
          <w:rFonts w:hAnsi="宋体"/>
          <w:sz w:val="24"/>
          <w:szCs w:val="24"/>
        </w:rPr>
      </w:pPr>
      <w:r>
        <w:rPr>
          <w:rFonts w:hAnsi="宋体"/>
          <w:sz w:val="24"/>
          <w:szCs w:val="24"/>
        </w:rPr>
        <w:t xml:space="preserve"> </w:t>
      </w:r>
    </w:p>
    <w:p>
      <w:pPr>
        <w:spacing w:line="360" w:lineRule="auto"/>
        <w:rPr>
          <w:rFonts w:ascii="仿宋_GB2312" w:hAnsi="仿宋" w:eastAsia="仿宋_GB2312"/>
          <w:sz w:val="24"/>
        </w:rPr>
      </w:pPr>
      <w:r>
        <w:rPr>
          <w:rFonts w:hint="eastAsia" w:ascii="仿宋_GB2312" w:hAnsi="仿宋" w:eastAsia="仿宋_GB2312"/>
          <w:sz w:val="24"/>
        </w:rPr>
        <w:t>杭州建设工程造价咨询有限公司：</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本人</w:t>
      </w:r>
      <w:r>
        <w:rPr>
          <w:rFonts w:ascii="仿宋_GB2312" w:hAnsi="仿宋" w:eastAsia="仿宋_GB2312"/>
          <w:sz w:val="24"/>
          <w:u w:val="single"/>
        </w:rPr>
        <w:t xml:space="preserve">        </w:t>
      </w:r>
      <w:r>
        <w:rPr>
          <w:rFonts w:hint="eastAsia" w:ascii="仿宋_GB2312" w:hAnsi="仿宋" w:eastAsia="仿宋_GB2312"/>
          <w:sz w:val="24"/>
        </w:rPr>
        <w:t>（授权代表姓名），经由</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rPr>
        <w:t>（单位）</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rPr>
        <w:t>（法定代表人姓名）合法授权参加</w:t>
      </w:r>
      <w:r>
        <w:rPr>
          <w:rFonts w:hint="eastAsia" w:ascii="仿宋_GB2312" w:hAnsi="仿宋" w:eastAsia="仿宋_GB2312"/>
          <w:sz w:val="24"/>
          <w:u w:val="single"/>
        </w:rPr>
        <w:t xml:space="preserve">                     </w:t>
      </w:r>
      <w:r>
        <w:rPr>
          <w:rFonts w:hint="eastAsia" w:ascii="仿宋_GB2312" w:hAnsi="仿宋" w:eastAsia="仿宋_GB2312"/>
          <w:sz w:val="24"/>
        </w:rPr>
        <w:t>（编号：</w:t>
      </w:r>
      <w:r>
        <w:rPr>
          <w:rFonts w:hint="eastAsia" w:ascii="仿宋_GB2312" w:hAnsi="仿宋" w:eastAsia="仿宋_GB2312"/>
          <w:sz w:val="24"/>
          <w:u w:val="single"/>
        </w:rPr>
        <w:t xml:space="preserve">        </w:t>
      </w:r>
      <w:r>
        <w:rPr>
          <w:rFonts w:hint="eastAsia" w:ascii="仿宋_GB2312" w:hAnsi="仿宋" w:eastAsia="仿宋_GB2312"/>
          <w:sz w:val="24"/>
        </w:rPr>
        <w:t>）政府采购活动，经与本单位法人代表（负责人）联系确认，现就有关公平竞争事项郑重声明如下：</w:t>
      </w: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一、本单位与采购人之间</w:t>
      </w:r>
      <w:r>
        <w:rPr>
          <w:rFonts w:ascii="仿宋_GB2312" w:hAnsi="仿宋" w:eastAsia="仿宋_GB2312"/>
          <w:sz w:val="24"/>
        </w:rPr>
        <w:t xml:space="preserve">  </w:t>
      </w:r>
      <w:r>
        <w:rPr>
          <w:rFonts w:hint="eastAsia" w:ascii="仿宋_GB2312" w:hAnsi="仿宋" w:eastAsia="仿宋_GB2312"/>
          <w:sz w:val="24"/>
        </w:rPr>
        <w:t>□不存在利害关系</w:t>
      </w:r>
      <w:r>
        <w:rPr>
          <w:rFonts w:ascii="仿宋_GB2312" w:hAnsi="仿宋" w:eastAsia="仿宋_GB2312"/>
          <w:sz w:val="24"/>
        </w:rPr>
        <w:t xml:space="preserve"> </w:t>
      </w:r>
      <w:r>
        <w:rPr>
          <w:rFonts w:hint="eastAsia" w:ascii="仿宋_GB2312" w:hAnsi="仿宋" w:eastAsia="仿宋_GB2312"/>
          <w:sz w:val="24"/>
        </w:rPr>
        <w:t>□存在下列利害关系</w:t>
      </w:r>
      <w:r>
        <w:rPr>
          <w:rFonts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A.</w:t>
      </w:r>
      <w:r>
        <w:rPr>
          <w:rFonts w:hint="eastAsia" w:ascii="仿宋_GB2312" w:hAnsi="仿宋" w:eastAsia="仿宋_GB2312"/>
          <w:sz w:val="24"/>
        </w:rPr>
        <w:t>投资关系</w:t>
      </w:r>
      <w:r>
        <w:rPr>
          <w:rFonts w:ascii="仿宋_GB2312" w:hAnsi="仿宋" w:eastAsia="仿宋_GB2312"/>
          <w:sz w:val="24"/>
        </w:rPr>
        <w:t xml:space="preserve">    B.</w:t>
      </w:r>
      <w:r>
        <w:rPr>
          <w:rFonts w:hint="eastAsia" w:ascii="仿宋_GB2312" w:hAnsi="仿宋" w:eastAsia="仿宋_GB2312"/>
          <w:sz w:val="24"/>
        </w:rPr>
        <w:t>行政隶属关系</w:t>
      </w:r>
      <w:r>
        <w:rPr>
          <w:rFonts w:ascii="仿宋_GB2312" w:hAnsi="仿宋" w:eastAsia="仿宋_GB2312"/>
          <w:sz w:val="24"/>
        </w:rPr>
        <w:t xml:space="preserve">    C.</w:t>
      </w:r>
      <w:r>
        <w:rPr>
          <w:rFonts w:hint="eastAsia" w:ascii="仿宋_GB2312" w:hAnsi="仿宋" w:eastAsia="仿宋_GB2312"/>
          <w:sz w:val="24"/>
        </w:rPr>
        <w:t>业务指导关系</w:t>
      </w:r>
    </w:p>
    <w:p>
      <w:pPr>
        <w:spacing w:line="360" w:lineRule="auto"/>
        <w:rPr>
          <w:rFonts w:ascii="仿宋_GB2312" w:hAnsi="仿宋" w:eastAsia="仿宋_GB2312"/>
          <w:sz w:val="24"/>
        </w:rPr>
      </w:pPr>
      <w:r>
        <w:rPr>
          <w:rFonts w:ascii="仿宋_GB2312" w:hAnsi="仿宋" w:eastAsia="仿宋_GB2312"/>
          <w:sz w:val="24"/>
        </w:rPr>
        <w:t xml:space="preserve">  D.</w:t>
      </w:r>
      <w:r>
        <w:rPr>
          <w:rFonts w:hint="eastAsia" w:ascii="仿宋_GB2312" w:hAnsi="仿宋" w:eastAsia="仿宋_GB2312"/>
          <w:sz w:val="24"/>
        </w:rPr>
        <w:t>其他可能影响采购公正的利害关系（如有，请如实说明）</w:t>
      </w:r>
      <w:r>
        <w:rPr>
          <w:rFonts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二、现已清楚知道参加本项目采购活动的其他所有供应商名称，本单位</w:t>
      </w:r>
      <w:r>
        <w:rPr>
          <w:rFonts w:ascii="仿宋_GB2312" w:hAnsi="仿宋" w:eastAsia="仿宋_GB2312"/>
          <w:sz w:val="24"/>
        </w:rPr>
        <w:t xml:space="preserve"> </w:t>
      </w:r>
      <w:r>
        <w:rPr>
          <w:rFonts w:hint="eastAsia" w:ascii="仿宋_GB2312" w:hAnsi="仿宋" w:eastAsia="仿宋_GB2312"/>
          <w:sz w:val="24"/>
        </w:rPr>
        <w:t>□与其他所有供应商之间均不存在利害关系</w:t>
      </w:r>
      <w:r>
        <w:rPr>
          <w:rFonts w:ascii="仿宋_GB2312" w:hAnsi="仿宋" w:eastAsia="仿宋_GB2312"/>
          <w:sz w:val="24"/>
        </w:rPr>
        <w:t xml:space="preserve"> </w:t>
      </w:r>
      <w:r>
        <w:rPr>
          <w:rFonts w:hint="eastAsia" w:ascii="仿宋_GB2312" w:hAnsi="仿宋" w:eastAsia="仿宋_GB2312"/>
          <w:sz w:val="24"/>
        </w:rPr>
        <w:t>□与</w:t>
      </w:r>
      <w:r>
        <w:rPr>
          <w:rFonts w:ascii="仿宋_GB2312" w:hAnsi="仿宋" w:eastAsia="仿宋_GB2312"/>
          <w:sz w:val="24"/>
          <w:u w:val="single"/>
        </w:rPr>
        <w:t xml:space="preserve">                </w:t>
      </w:r>
      <w:r>
        <w:rPr>
          <w:rFonts w:hint="eastAsia" w:ascii="仿宋_GB2312" w:hAnsi="仿宋" w:eastAsia="仿宋_GB2312"/>
          <w:sz w:val="24"/>
        </w:rPr>
        <w:t>（供应商名称）之间存在下列利害关系</w:t>
      </w:r>
      <w:r>
        <w:rPr>
          <w:rFonts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A.</w:t>
      </w:r>
      <w:r>
        <w:rPr>
          <w:rFonts w:hint="eastAsia" w:ascii="仿宋_GB2312" w:hAnsi="仿宋" w:eastAsia="仿宋_GB2312"/>
          <w:sz w:val="24"/>
        </w:rPr>
        <w:t>法定代表人或负责人或实际控制人是同一人</w:t>
      </w:r>
    </w:p>
    <w:p>
      <w:pPr>
        <w:spacing w:line="360" w:lineRule="auto"/>
        <w:rPr>
          <w:rFonts w:ascii="仿宋_GB2312" w:hAnsi="仿宋" w:eastAsia="仿宋_GB2312"/>
          <w:sz w:val="24"/>
        </w:rPr>
      </w:pPr>
      <w:r>
        <w:rPr>
          <w:rFonts w:ascii="仿宋_GB2312" w:hAnsi="仿宋" w:eastAsia="仿宋_GB2312"/>
          <w:sz w:val="24"/>
        </w:rPr>
        <w:t xml:space="preserve">  B.</w:t>
      </w:r>
      <w:r>
        <w:rPr>
          <w:rFonts w:hint="eastAsia" w:ascii="仿宋_GB2312" w:hAnsi="仿宋" w:eastAsia="仿宋_GB2312"/>
          <w:sz w:val="24"/>
        </w:rPr>
        <w:t>法定代表人或负责人或实际控制人是夫妻关系</w:t>
      </w:r>
    </w:p>
    <w:p>
      <w:pPr>
        <w:spacing w:line="360" w:lineRule="auto"/>
        <w:rPr>
          <w:rFonts w:ascii="仿宋_GB2312" w:hAnsi="仿宋" w:eastAsia="仿宋_GB2312"/>
          <w:sz w:val="24"/>
        </w:rPr>
      </w:pPr>
      <w:r>
        <w:rPr>
          <w:rFonts w:ascii="仿宋_GB2312" w:hAnsi="仿宋" w:eastAsia="仿宋_GB2312"/>
          <w:sz w:val="24"/>
        </w:rPr>
        <w:t xml:space="preserve">  C.</w:t>
      </w:r>
      <w:r>
        <w:rPr>
          <w:rFonts w:hint="eastAsia" w:ascii="仿宋_GB2312" w:hAnsi="仿宋" w:eastAsia="仿宋_GB2312"/>
          <w:sz w:val="24"/>
        </w:rPr>
        <w:t>法定代表人或负责人或实际控制人是直系血亲关系</w:t>
      </w:r>
    </w:p>
    <w:p>
      <w:pPr>
        <w:spacing w:line="360" w:lineRule="auto"/>
        <w:rPr>
          <w:rFonts w:ascii="仿宋_GB2312" w:hAnsi="仿宋" w:eastAsia="仿宋_GB2312"/>
          <w:sz w:val="24"/>
        </w:rPr>
      </w:pPr>
      <w:r>
        <w:rPr>
          <w:rFonts w:ascii="仿宋_GB2312" w:hAnsi="仿宋" w:eastAsia="仿宋_GB2312"/>
          <w:sz w:val="24"/>
        </w:rPr>
        <w:t xml:space="preserve">  D.</w:t>
      </w:r>
      <w:r>
        <w:rPr>
          <w:rFonts w:hint="eastAsia" w:ascii="仿宋_GB2312" w:hAnsi="仿宋" w:eastAsia="仿宋_GB2312"/>
          <w:sz w:val="24"/>
        </w:rPr>
        <w:t>法定代表人或负责人或实际控制人存在三代以内旁系血亲关系</w:t>
      </w:r>
    </w:p>
    <w:p>
      <w:pPr>
        <w:spacing w:line="360" w:lineRule="auto"/>
        <w:rPr>
          <w:rFonts w:ascii="仿宋_GB2312" w:hAnsi="仿宋" w:eastAsia="仿宋_GB2312"/>
          <w:sz w:val="24"/>
        </w:rPr>
      </w:pPr>
      <w:r>
        <w:rPr>
          <w:rFonts w:ascii="仿宋_GB2312" w:hAnsi="仿宋" w:eastAsia="仿宋_GB2312"/>
          <w:sz w:val="24"/>
        </w:rPr>
        <w:t xml:space="preserve">  E.</w:t>
      </w:r>
      <w:r>
        <w:rPr>
          <w:rFonts w:hint="eastAsia" w:ascii="仿宋_GB2312" w:hAnsi="仿宋" w:eastAsia="仿宋_GB2312"/>
          <w:sz w:val="24"/>
        </w:rPr>
        <w:t>法定代表人或负责人或实际控制人存在近姻亲关系</w:t>
      </w:r>
    </w:p>
    <w:p>
      <w:pPr>
        <w:spacing w:line="360" w:lineRule="auto"/>
        <w:rPr>
          <w:rFonts w:ascii="仿宋_GB2312" w:hAnsi="仿宋" w:eastAsia="仿宋_GB2312"/>
          <w:sz w:val="24"/>
        </w:rPr>
      </w:pPr>
      <w:r>
        <w:rPr>
          <w:rFonts w:ascii="仿宋_GB2312" w:hAnsi="仿宋" w:eastAsia="仿宋_GB2312"/>
          <w:sz w:val="24"/>
        </w:rPr>
        <w:t xml:space="preserve">  F.</w:t>
      </w:r>
      <w:r>
        <w:rPr>
          <w:rFonts w:hint="eastAsia" w:ascii="仿宋_GB2312" w:hAnsi="仿宋" w:eastAsia="仿宋_GB2312"/>
          <w:sz w:val="24"/>
        </w:rPr>
        <w:t>法定代表人或负责人或实际控制人存在股份控制或实际控制关系</w:t>
      </w:r>
    </w:p>
    <w:p>
      <w:pPr>
        <w:spacing w:line="360" w:lineRule="auto"/>
        <w:rPr>
          <w:rFonts w:ascii="仿宋_GB2312" w:hAnsi="仿宋" w:eastAsia="仿宋_GB2312"/>
          <w:sz w:val="24"/>
        </w:rPr>
      </w:pPr>
      <w:r>
        <w:rPr>
          <w:rFonts w:ascii="仿宋_GB2312" w:hAnsi="仿宋" w:eastAsia="仿宋_GB2312"/>
          <w:sz w:val="24"/>
        </w:rPr>
        <w:t xml:space="preserve">  G.</w:t>
      </w:r>
      <w:r>
        <w:rPr>
          <w:rFonts w:hint="eastAsia" w:ascii="仿宋_GB2312" w:hAnsi="仿宋" w:eastAsia="仿宋_GB2312"/>
          <w:sz w:val="24"/>
        </w:rPr>
        <w:t>存在共同直接或间接投资设立子公司、联营企业和合营企业情况</w:t>
      </w:r>
    </w:p>
    <w:p>
      <w:pPr>
        <w:spacing w:line="360" w:lineRule="auto"/>
        <w:rPr>
          <w:rFonts w:ascii="仿宋_GB2312" w:hAnsi="仿宋" w:eastAsia="仿宋_GB2312"/>
          <w:sz w:val="24"/>
        </w:rPr>
      </w:pPr>
      <w:r>
        <w:rPr>
          <w:rFonts w:ascii="仿宋_GB2312" w:hAnsi="仿宋" w:eastAsia="仿宋_GB2312"/>
          <w:sz w:val="24"/>
        </w:rPr>
        <w:t xml:space="preserve">  H.</w:t>
      </w:r>
      <w:r>
        <w:rPr>
          <w:rFonts w:hint="eastAsia" w:ascii="仿宋_GB2312" w:hAnsi="仿宋" w:eastAsia="仿宋_GB2312"/>
          <w:sz w:val="24"/>
        </w:rPr>
        <w:t>存在分级代理或代销关系、同一生产制造商关系、管理关系、重要业务（占主营业务收入</w:t>
      </w:r>
      <w:r>
        <w:rPr>
          <w:rFonts w:ascii="仿宋_GB2312" w:hAnsi="仿宋" w:eastAsia="仿宋_GB2312"/>
          <w:sz w:val="24"/>
        </w:rPr>
        <w:t>50%</w:t>
      </w:r>
      <w:r>
        <w:rPr>
          <w:rFonts w:hint="eastAsia" w:ascii="仿宋_GB2312" w:hAnsi="仿宋" w:eastAsia="仿宋_GB2312"/>
          <w:sz w:val="24"/>
        </w:rPr>
        <w:t>以上）或重要财务往来关系（如融资）等其他实质性控制关系</w:t>
      </w:r>
    </w:p>
    <w:p>
      <w:pPr>
        <w:spacing w:line="360" w:lineRule="auto"/>
        <w:rPr>
          <w:rFonts w:ascii="仿宋_GB2312" w:hAnsi="仿宋" w:eastAsia="仿宋_GB2312"/>
          <w:sz w:val="24"/>
        </w:rPr>
      </w:pPr>
      <w:r>
        <w:rPr>
          <w:rFonts w:ascii="仿宋_GB2312" w:hAnsi="仿宋" w:eastAsia="仿宋_GB2312"/>
          <w:sz w:val="24"/>
        </w:rPr>
        <w:t xml:space="preserve">  I.</w:t>
      </w:r>
      <w:r>
        <w:rPr>
          <w:rFonts w:hint="eastAsia" w:ascii="仿宋_GB2312" w:hAnsi="仿宋" w:eastAsia="仿宋_GB2312"/>
          <w:sz w:val="24"/>
        </w:rPr>
        <w:t>其他利害关系情况</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三、现已清楚知道并严格遵守政府采购法律法规和现场纪律。</w:t>
      </w:r>
    </w:p>
    <w:p>
      <w:pPr>
        <w:spacing w:line="360" w:lineRule="auto"/>
        <w:rPr>
          <w:rFonts w:ascii="仿宋_GB2312" w:hAnsi="仿宋" w:eastAsia="仿宋_GB2312"/>
          <w:sz w:val="24"/>
        </w:rPr>
      </w:pPr>
      <w:r>
        <w:rPr>
          <w:rFonts w:hint="eastAsia" w:ascii="仿宋_GB2312" w:hAnsi="仿宋" w:eastAsia="仿宋_GB2312"/>
          <w:sz w:val="24"/>
        </w:rPr>
        <w:t>四、我发现</w:t>
      </w:r>
      <w:r>
        <w:rPr>
          <w:rFonts w:ascii="仿宋_GB2312" w:hAnsi="仿宋" w:eastAsia="仿宋_GB2312"/>
          <w:sz w:val="24"/>
          <w:u w:val="single"/>
        </w:rPr>
        <w:t xml:space="preserve">                    </w:t>
      </w:r>
      <w:r>
        <w:rPr>
          <w:rFonts w:hint="eastAsia" w:ascii="仿宋_GB2312" w:hAnsi="仿宋" w:eastAsia="仿宋_GB2312"/>
          <w:sz w:val="24"/>
        </w:rPr>
        <w:t>供应商之间存在或可能存在上述第二条第</w:t>
      </w:r>
      <w:r>
        <w:rPr>
          <w:rFonts w:ascii="仿宋_GB2312" w:hAnsi="仿宋" w:eastAsia="仿宋_GB2312"/>
          <w:sz w:val="24"/>
          <w:u w:val="single"/>
        </w:rPr>
        <w:t xml:space="preserve">    </w:t>
      </w:r>
      <w:r>
        <w:rPr>
          <w:rFonts w:hint="eastAsia" w:ascii="仿宋_GB2312" w:hAnsi="仿宋" w:eastAsia="仿宋_GB2312"/>
          <w:sz w:val="24"/>
        </w:rPr>
        <w:t>项利害关系。</w:t>
      </w:r>
    </w:p>
    <w:p>
      <w:pPr>
        <w:spacing w:line="360" w:lineRule="auto"/>
        <w:rPr>
          <w:rFonts w:ascii="仿宋_GB2312" w:hAnsi="仿宋" w:eastAsia="仿宋_GB2312"/>
          <w:sz w:val="24"/>
        </w:rPr>
      </w:pPr>
      <w:r>
        <w:rPr>
          <w:rFonts w:hint="eastAsia" w:ascii="仿宋_GB2312" w:hAnsi="仿宋" w:eastAsia="仿宋_GB2312"/>
          <w:sz w:val="24"/>
        </w:rPr>
        <w:t>五、经检查确认所有投标人投标文件 □不存在密封包装问题 □存在密封包装问题（具体指出）</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w:t>
      </w:r>
      <w:r>
        <w:rPr>
          <w:rFonts w:ascii="仿宋_GB2312" w:hAnsi="仿宋" w:eastAsia="仿宋_GB2312"/>
          <w:sz w:val="24"/>
        </w:rPr>
        <w:t xml:space="preserve">                                    </w:t>
      </w:r>
    </w:p>
    <w:p>
      <w:pPr>
        <w:spacing w:line="360" w:lineRule="auto"/>
        <w:ind w:firstLine="6720" w:firstLineChars="2800"/>
        <w:rPr>
          <w:rFonts w:ascii="仿宋_GB2312" w:hAnsi="仿宋" w:eastAsia="仿宋_GB2312"/>
          <w:sz w:val="24"/>
        </w:rPr>
      </w:pPr>
      <w:r>
        <w:rPr>
          <w:rFonts w:hint="eastAsia" w:ascii="仿宋_GB2312" w:hAnsi="仿宋" w:eastAsia="仿宋_GB2312"/>
          <w:sz w:val="24"/>
        </w:rPr>
        <w:t>（供应商代表签名）：</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 xml:space="preserve">                    年  月   日</w:t>
      </w:r>
    </w:p>
    <w:p>
      <w:pPr>
        <w:spacing w:line="360" w:lineRule="auto"/>
        <w:ind w:firstLine="1440" w:firstLineChars="600"/>
      </w:pPr>
      <w:r>
        <w:rPr>
          <w:rFonts w:hint="eastAsia" w:ascii="仿宋_GB2312" w:hAnsi="仿宋" w:eastAsia="仿宋_GB2312"/>
          <w:sz w:val="24"/>
        </w:rPr>
        <w:t>注：《政府采购活动现场确认声明书》按前附表要求提交。</w:t>
      </w:r>
    </w:p>
    <w:sectPr>
      <w:headerReference r:id="rId13" w:type="default"/>
      <w:footerReference r:id="rId14" w:type="default"/>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right"/>
    </w:pPr>
    <w:r>
      <w:rPr>
        <w:sz w:val="32"/>
        <w:szCs w:val="32"/>
      </w:rPr>
      <w:drawing>
        <wp:anchor distT="0" distB="0" distL="114300" distR="114300" simplePos="0" relativeHeight="251688960" behindDoc="0" locked="0" layoutInCell="1" allowOverlap="1">
          <wp:simplePos x="0" y="0"/>
          <wp:positionH relativeFrom="column">
            <wp:posOffset>-71755</wp:posOffset>
          </wp:positionH>
          <wp:positionV relativeFrom="paragraph">
            <wp:posOffset>-91440</wp:posOffset>
          </wp:positionV>
          <wp:extent cx="603885" cy="413385"/>
          <wp:effectExtent l="0" t="0" r="5715" b="571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清凉峰名山公园圈总体规划暨专题研究</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rPr>
        <w:rFonts w:ascii="仿宋_GB2312"/>
        <w:b/>
        <w:i/>
        <w:u w:val="single"/>
      </w:rPr>
    </w:pPr>
    <w:r>
      <w:t></w:t>
    </w:r>
    <w:r>
      <w:rPr>
        <w:sz w:val="32"/>
        <w:szCs w:val="32"/>
      </w:rPr>
      <w:drawing>
        <wp:anchor distT="0" distB="0" distL="114300" distR="114300" simplePos="0" relativeHeight="251684864" behindDoc="0" locked="0" layoutInCell="1" allowOverlap="1">
          <wp:simplePos x="0" y="0"/>
          <wp:positionH relativeFrom="column">
            <wp:posOffset>-105410</wp:posOffset>
          </wp:positionH>
          <wp:positionV relativeFrom="paragraph">
            <wp:posOffset>-121920</wp:posOffset>
          </wp:positionV>
          <wp:extent cx="603885" cy="413385"/>
          <wp:effectExtent l="0" t="0" r="5715"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清凉峰名山公园圈总体规划暨专题研究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w:t>
    </w:r>
    <w:r>
      <w:rPr>
        <w:rFonts w:hint="eastAsia"/>
      </w:rPr>
      <w:t xml:space="preserve">    </w:t>
    </w:r>
  </w:p>
  <w:p>
    <w:pPr>
      <w:pStyle w:val="15"/>
      <w:pBdr>
        <w:bottom w:val="single" w:color="auto" w:sz="4" w:space="1"/>
      </w:pBdr>
    </w:pPr>
    <w:r>
      <w:rPr>
        <w:rFonts w:hint="eastAsia"/>
      </w:rPr>
      <w:t xml:space="preserve">  </w:t>
    </w:r>
    <w:r>
      <w:rPr>
        <w:sz w:val="32"/>
        <w:szCs w:val="32"/>
      </w:rPr>
      <w:drawing>
        <wp:anchor distT="0" distB="0" distL="114300" distR="114300" simplePos="0" relativeHeight="251683840" behindDoc="0" locked="0" layoutInCell="1" allowOverlap="1">
          <wp:simplePos x="0" y="0"/>
          <wp:positionH relativeFrom="column">
            <wp:posOffset>-105410</wp:posOffset>
          </wp:positionH>
          <wp:positionV relativeFrom="paragraph">
            <wp:posOffset>-265430</wp:posOffset>
          </wp:positionV>
          <wp:extent cx="603885" cy="413385"/>
          <wp:effectExtent l="0" t="0" r="571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清凉峰名山公园圈总体规划暨专题研究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rPr>
        <w:rFonts w:ascii="仿宋_GB2312" w:eastAsia="仿宋_GB2312"/>
        <w:b/>
        <w:i/>
        <w:u w:val="single"/>
      </w:rPr>
    </w:pPr>
    <w:r>
      <w:rPr>
        <w:sz w:val="32"/>
        <w:szCs w:val="32"/>
      </w:rPr>
      <w:drawing>
        <wp:anchor distT="0" distB="0" distL="114300" distR="114300" simplePos="0" relativeHeight="251686912" behindDoc="0" locked="0" layoutInCell="1" allowOverlap="1">
          <wp:simplePos x="0" y="0"/>
          <wp:positionH relativeFrom="column">
            <wp:posOffset>-57785</wp:posOffset>
          </wp:positionH>
          <wp:positionV relativeFrom="paragraph">
            <wp:posOffset>-98425</wp:posOffset>
          </wp:positionV>
          <wp:extent cx="603885" cy="413385"/>
          <wp:effectExtent l="0" t="0" r="5715" b="571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清凉峰名山公园圈总体规划暨专题研究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r>
      <w:t></w:t>
    </w:r>
    <w:r>
      <w:rPr>
        <w:sz w:val="32"/>
        <w:szCs w:val="32"/>
      </w:rPr>
      <w:drawing>
        <wp:anchor distT="0" distB="0" distL="114300" distR="114300" simplePos="0" relativeHeight="251685888" behindDoc="0" locked="0" layoutInCell="1" allowOverlap="1">
          <wp:simplePos x="0" y="0"/>
          <wp:positionH relativeFrom="column">
            <wp:posOffset>-105410</wp:posOffset>
          </wp:positionH>
          <wp:positionV relativeFrom="paragraph">
            <wp:posOffset>-121920</wp:posOffset>
          </wp:positionV>
          <wp:extent cx="603885" cy="413385"/>
          <wp:effectExtent l="0" t="0" r="5715" b="571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清凉峰名山公园圈总体规划暨专题研究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r>
      <w:rPr>
        <w:rFonts w:hint="eastAsia"/>
      </w:rPr>
      <w:t xml:space="preserve">  </w:t>
    </w:r>
    <w:r>
      <w:rPr>
        <w:sz w:val="32"/>
        <w:szCs w:val="32"/>
      </w:rPr>
      <w:drawing>
        <wp:anchor distT="0" distB="0" distL="114300" distR="114300" simplePos="0" relativeHeight="251687936" behindDoc="0" locked="0" layoutInCell="1" allowOverlap="1">
          <wp:simplePos x="0" y="0"/>
          <wp:positionH relativeFrom="column">
            <wp:posOffset>-57150</wp:posOffset>
          </wp:positionH>
          <wp:positionV relativeFrom="paragraph">
            <wp:posOffset>-98425</wp:posOffset>
          </wp:positionV>
          <wp:extent cx="603885" cy="413385"/>
          <wp:effectExtent l="0" t="0" r="5715" b="571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清凉峰名山公园圈总体规划暨专题研究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9C837"/>
    <w:multiLevelType w:val="singleLevel"/>
    <w:tmpl w:val="86D9C837"/>
    <w:lvl w:ilvl="0" w:tentative="0">
      <w:start w:val="6"/>
      <w:numFmt w:val="chineseCounting"/>
      <w:suff w:val="nothing"/>
      <w:lvlText w:val="%1、"/>
      <w:lvlJc w:val="left"/>
      <w:rPr>
        <w:rFonts w:hint="eastAsia"/>
      </w:rPr>
    </w:lvl>
  </w:abstractNum>
  <w:abstractNum w:abstractNumId="1">
    <w:nsid w:val="A6D36CF4"/>
    <w:multiLevelType w:val="singleLevel"/>
    <w:tmpl w:val="A6D36CF4"/>
    <w:lvl w:ilvl="0" w:tentative="0">
      <w:start w:val="1"/>
      <w:numFmt w:val="decimal"/>
      <w:suff w:val="nothing"/>
      <w:lvlText w:val="%1、"/>
      <w:lvlJc w:val="left"/>
    </w:lvl>
  </w:abstractNum>
  <w:abstractNum w:abstractNumId="2">
    <w:nsid w:val="AAF6F410"/>
    <w:multiLevelType w:val="singleLevel"/>
    <w:tmpl w:val="AAF6F410"/>
    <w:lvl w:ilvl="0" w:tentative="0">
      <w:start w:val="3"/>
      <w:numFmt w:val="decimal"/>
      <w:lvlText w:val="%1."/>
      <w:lvlJc w:val="left"/>
      <w:pPr>
        <w:tabs>
          <w:tab w:val="left" w:pos="312"/>
        </w:tabs>
      </w:pPr>
    </w:lvl>
  </w:abstractNum>
  <w:abstractNum w:abstractNumId="3">
    <w:nsid w:val="F1779538"/>
    <w:multiLevelType w:val="singleLevel"/>
    <w:tmpl w:val="F1779538"/>
    <w:lvl w:ilvl="0" w:tentative="0">
      <w:start w:val="1"/>
      <w:numFmt w:val="decimal"/>
      <w:suff w:val="nothing"/>
      <w:lvlText w:val="%1."/>
      <w:lvlJc w:val="left"/>
    </w:lvl>
  </w:abstractNum>
  <w:abstractNum w:abstractNumId="4">
    <w:nsid w:val="F5F7AFA5"/>
    <w:multiLevelType w:val="singleLevel"/>
    <w:tmpl w:val="F5F7AFA5"/>
    <w:lvl w:ilvl="0" w:tentative="0">
      <w:start w:val="2"/>
      <w:numFmt w:val="decimal"/>
      <w:lvlText w:val="%1."/>
      <w:lvlJc w:val="left"/>
      <w:pPr>
        <w:tabs>
          <w:tab w:val="left" w:pos="312"/>
        </w:tabs>
      </w:pPr>
    </w:lvl>
  </w:abstractNum>
  <w:abstractNum w:abstractNumId="5">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8"/>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2E66846"/>
    <w:multiLevelType w:val="multilevel"/>
    <w:tmpl w:val="02E66846"/>
    <w:lvl w:ilvl="0" w:tentative="0">
      <w:start w:val="1"/>
      <w:numFmt w:val="decimal"/>
      <w:suff w:val="nothing"/>
      <w:lvlText w:val="%1."/>
      <w:lvlJc w:val="left"/>
      <w:pPr>
        <w:ind w:left="1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FD0441F"/>
    <w:multiLevelType w:val="multilevel"/>
    <w:tmpl w:val="0FD0441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744E57"/>
    <w:multiLevelType w:val="multilevel"/>
    <w:tmpl w:val="11744E57"/>
    <w:lvl w:ilvl="0" w:tentative="0">
      <w:start w:val="1"/>
      <w:numFmt w:val="decimal"/>
      <w:pStyle w:val="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12DB1B8B"/>
    <w:multiLevelType w:val="multilevel"/>
    <w:tmpl w:val="12DB1B8B"/>
    <w:lvl w:ilvl="0" w:tentative="0">
      <w:start w:val="1"/>
      <w:numFmt w:val="decimal"/>
      <w:lvlText w:val="%1."/>
      <w:lvlJc w:val="left"/>
      <w:pPr>
        <w:ind w:left="987" w:hanging="420"/>
      </w:pPr>
      <w:rPr>
        <w:rFonts w:hint="default"/>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1">
    <w:nsid w:val="1690383B"/>
    <w:multiLevelType w:val="multilevel"/>
    <w:tmpl w:val="1690383B"/>
    <w:lvl w:ilvl="0" w:tentative="0">
      <w:start w:val="1"/>
      <w:numFmt w:val="decimal"/>
      <w:lvlText w:val="%1."/>
      <w:lvlJc w:val="left"/>
      <w:pPr>
        <w:ind w:left="987" w:hanging="420"/>
      </w:pPr>
      <w:rPr>
        <w:rFonts w:hint="default"/>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2">
    <w:nsid w:val="18A87A07"/>
    <w:multiLevelType w:val="singleLevel"/>
    <w:tmpl w:val="18A87A07"/>
    <w:lvl w:ilvl="0" w:tentative="0">
      <w:start w:val="4"/>
      <w:numFmt w:val="chineseCounting"/>
      <w:suff w:val="space"/>
      <w:lvlText w:val="第%1部分"/>
      <w:lvlJc w:val="left"/>
      <w:rPr>
        <w:rFonts w:hint="eastAsia"/>
      </w:rPr>
    </w:lvl>
  </w:abstractNum>
  <w:abstractNum w:abstractNumId="1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99C5690"/>
    <w:multiLevelType w:val="singleLevel"/>
    <w:tmpl w:val="599C5690"/>
    <w:lvl w:ilvl="0" w:tentative="0">
      <w:start w:val="6"/>
      <w:numFmt w:val="decimal"/>
      <w:suff w:val="space"/>
      <w:lvlText w:val="%1."/>
      <w:lvlJc w:val="left"/>
    </w:lvl>
  </w:abstractNum>
  <w:abstractNum w:abstractNumId="16">
    <w:nsid w:val="7007041A"/>
    <w:multiLevelType w:val="multilevel"/>
    <w:tmpl w:val="700704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931982"/>
    <w:multiLevelType w:val="singleLevel"/>
    <w:tmpl w:val="7A931982"/>
    <w:lvl w:ilvl="0" w:tentative="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2"/>
  </w:num>
  <w:num w:numId="4">
    <w:abstractNumId w:val="5"/>
  </w:num>
  <w:num w:numId="5">
    <w:abstractNumId w:val="4"/>
  </w:num>
  <w:num w:numId="6">
    <w:abstractNumId w:val="12"/>
  </w:num>
  <w:num w:numId="7">
    <w:abstractNumId w:val="17"/>
  </w:num>
  <w:num w:numId="8">
    <w:abstractNumId w:val="7"/>
  </w:num>
  <w:num w:numId="9">
    <w:abstractNumId w:val="11"/>
  </w:num>
  <w:num w:numId="10">
    <w:abstractNumId w:val="10"/>
  </w:num>
  <w:num w:numId="11">
    <w:abstractNumId w:val="3"/>
  </w:num>
  <w:num w:numId="12">
    <w:abstractNumId w:val="13"/>
  </w:num>
  <w:num w:numId="13">
    <w:abstractNumId w:val="14"/>
  </w:num>
  <w:num w:numId="14">
    <w:abstractNumId w:val="15"/>
  </w:num>
  <w:num w:numId="15">
    <w:abstractNumId w:val="0"/>
  </w:num>
  <w:num w:numId="16">
    <w:abstractNumId w:val="8"/>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FC359C"/>
    <w:rsid w:val="000C6DAD"/>
    <w:rsid w:val="0027359B"/>
    <w:rsid w:val="0046599E"/>
    <w:rsid w:val="0098356E"/>
    <w:rsid w:val="00A8060E"/>
    <w:rsid w:val="00C91C98"/>
    <w:rsid w:val="00CC422F"/>
    <w:rsid w:val="00DC2BED"/>
    <w:rsid w:val="00FC359C"/>
    <w:rsid w:val="027044C8"/>
    <w:rsid w:val="027621D9"/>
    <w:rsid w:val="029E4955"/>
    <w:rsid w:val="03D47B12"/>
    <w:rsid w:val="040864E5"/>
    <w:rsid w:val="04347AF9"/>
    <w:rsid w:val="0469150F"/>
    <w:rsid w:val="04AB7F74"/>
    <w:rsid w:val="04B6366A"/>
    <w:rsid w:val="05550A9B"/>
    <w:rsid w:val="05AE77DE"/>
    <w:rsid w:val="05B47EB9"/>
    <w:rsid w:val="067963F5"/>
    <w:rsid w:val="06886942"/>
    <w:rsid w:val="06904DEA"/>
    <w:rsid w:val="06EB2067"/>
    <w:rsid w:val="07451FD4"/>
    <w:rsid w:val="0776399E"/>
    <w:rsid w:val="07B41A88"/>
    <w:rsid w:val="08605316"/>
    <w:rsid w:val="086D745A"/>
    <w:rsid w:val="08C434B0"/>
    <w:rsid w:val="09AE120B"/>
    <w:rsid w:val="09F835E9"/>
    <w:rsid w:val="0A1F4BB0"/>
    <w:rsid w:val="0B4B4333"/>
    <w:rsid w:val="0C076B81"/>
    <w:rsid w:val="0D0768CC"/>
    <w:rsid w:val="0DA62A46"/>
    <w:rsid w:val="0E97373C"/>
    <w:rsid w:val="0F836C9E"/>
    <w:rsid w:val="0FAB2A05"/>
    <w:rsid w:val="100D04F2"/>
    <w:rsid w:val="101F2A2D"/>
    <w:rsid w:val="11316919"/>
    <w:rsid w:val="113D247F"/>
    <w:rsid w:val="11411066"/>
    <w:rsid w:val="115F3B26"/>
    <w:rsid w:val="11702C50"/>
    <w:rsid w:val="118E59C2"/>
    <w:rsid w:val="11990A39"/>
    <w:rsid w:val="11BC0B47"/>
    <w:rsid w:val="11D2271C"/>
    <w:rsid w:val="12394BDD"/>
    <w:rsid w:val="13880DDA"/>
    <w:rsid w:val="13DA0FF2"/>
    <w:rsid w:val="14D93D23"/>
    <w:rsid w:val="14F05193"/>
    <w:rsid w:val="15607B7A"/>
    <w:rsid w:val="15CF7130"/>
    <w:rsid w:val="16D4281D"/>
    <w:rsid w:val="16F46EE5"/>
    <w:rsid w:val="173C0908"/>
    <w:rsid w:val="18B03A11"/>
    <w:rsid w:val="19134070"/>
    <w:rsid w:val="1A46025A"/>
    <w:rsid w:val="1A812E05"/>
    <w:rsid w:val="1A8E727D"/>
    <w:rsid w:val="1A9B19FF"/>
    <w:rsid w:val="1B117317"/>
    <w:rsid w:val="1BBC1395"/>
    <w:rsid w:val="1CC7503E"/>
    <w:rsid w:val="1F1F6C7D"/>
    <w:rsid w:val="20AD1E02"/>
    <w:rsid w:val="20DA0DB3"/>
    <w:rsid w:val="21A13EA5"/>
    <w:rsid w:val="22236F0B"/>
    <w:rsid w:val="22F75F07"/>
    <w:rsid w:val="233932A0"/>
    <w:rsid w:val="2394794F"/>
    <w:rsid w:val="23D66E6C"/>
    <w:rsid w:val="240652CF"/>
    <w:rsid w:val="240A60C6"/>
    <w:rsid w:val="26A11753"/>
    <w:rsid w:val="26C57369"/>
    <w:rsid w:val="276F7046"/>
    <w:rsid w:val="27C26E46"/>
    <w:rsid w:val="28425D08"/>
    <w:rsid w:val="28A5773A"/>
    <w:rsid w:val="28B65913"/>
    <w:rsid w:val="28DE47B5"/>
    <w:rsid w:val="293E49EA"/>
    <w:rsid w:val="296A5505"/>
    <w:rsid w:val="2A273562"/>
    <w:rsid w:val="2DCA11AB"/>
    <w:rsid w:val="2EBD06B4"/>
    <w:rsid w:val="31060DFB"/>
    <w:rsid w:val="312E62CD"/>
    <w:rsid w:val="332230D2"/>
    <w:rsid w:val="33D6131E"/>
    <w:rsid w:val="347B6263"/>
    <w:rsid w:val="34FE4B85"/>
    <w:rsid w:val="352A7933"/>
    <w:rsid w:val="356F1653"/>
    <w:rsid w:val="35F94BFE"/>
    <w:rsid w:val="36C75D72"/>
    <w:rsid w:val="37BC4A18"/>
    <w:rsid w:val="39E11540"/>
    <w:rsid w:val="3A447F25"/>
    <w:rsid w:val="3A8522DD"/>
    <w:rsid w:val="3B4E2FAA"/>
    <w:rsid w:val="3BA36F78"/>
    <w:rsid w:val="3BB52EF0"/>
    <w:rsid w:val="3D493FE5"/>
    <w:rsid w:val="3D845760"/>
    <w:rsid w:val="3E063130"/>
    <w:rsid w:val="3E1F77D6"/>
    <w:rsid w:val="3FEE7609"/>
    <w:rsid w:val="40691E74"/>
    <w:rsid w:val="40E260C7"/>
    <w:rsid w:val="42752D1F"/>
    <w:rsid w:val="42915E2D"/>
    <w:rsid w:val="429750E2"/>
    <w:rsid w:val="42C0162B"/>
    <w:rsid w:val="431E0B52"/>
    <w:rsid w:val="436D4AA1"/>
    <w:rsid w:val="437A75DD"/>
    <w:rsid w:val="44D15E9E"/>
    <w:rsid w:val="4516018B"/>
    <w:rsid w:val="459C73B1"/>
    <w:rsid w:val="45D76BEF"/>
    <w:rsid w:val="4680684B"/>
    <w:rsid w:val="47363F7F"/>
    <w:rsid w:val="48550ED3"/>
    <w:rsid w:val="48980B74"/>
    <w:rsid w:val="48AD2A17"/>
    <w:rsid w:val="48BD3757"/>
    <w:rsid w:val="4ACA4CB8"/>
    <w:rsid w:val="4B7054BF"/>
    <w:rsid w:val="4B911379"/>
    <w:rsid w:val="4BA939C1"/>
    <w:rsid w:val="4BD50C93"/>
    <w:rsid w:val="4BF333FA"/>
    <w:rsid w:val="4C9B4E81"/>
    <w:rsid w:val="4D57474D"/>
    <w:rsid w:val="4D6D5B2D"/>
    <w:rsid w:val="4E9E031B"/>
    <w:rsid w:val="4F8309C4"/>
    <w:rsid w:val="4FF1728A"/>
    <w:rsid w:val="50353F53"/>
    <w:rsid w:val="508076A8"/>
    <w:rsid w:val="50D576BA"/>
    <w:rsid w:val="5134227B"/>
    <w:rsid w:val="515F2753"/>
    <w:rsid w:val="521F5CE3"/>
    <w:rsid w:val="522541D8"/>
    <w:rsid w:val="52847126"/>
    <w:rsid w:val="53C82878"/>
    <w:rsid w:val="557460EC"/>
    <w:rsid w:val="593724A5"/>
    <w:rsid w:val="59AF1A83"/>
    <w:rsid w:val="5ACB5B3A"/>
    <w:rsid w:val="5B3348CE"/>
    <w:rsid w:val="5B7D5B22"/>
    <w:rsid w:val="5BCF6110"/>
    <w:rsid w:val="5C0B63E7"/>
    <w:rsid w:val="5DA51043"/>
    <w:rsid w:val="5DC93E2F"/>
    <w:rsid w:val="5E276043"/>
    <w:rsid w:val="5F562431"/>
    <w:rsid w:val="5F5B16F1"/>
    <w:rsid w:val="5FA97646"/>
    <w:rsid w:val="5FBA126C"/>
    <w:rsid w:val="612C5CAF"/>
    <w:rsid w:val="615753FD"/>
    <w:rsid w:val="66BA6671"/>
    <w:rsid w:val="67225BC1"/>
    <w:rsid w:val="672E26C1"/>
    <w:rsid w:val="674011EB"/>
    <w:rsid w:val="678460BC"/>
    <w:rsid w:val="68264EBB"/>
    <w:rsid w:val="68521ADF"/>
    <w:rsid w:val="685366A7"/>
    <w:rsid w:val="68A15C08"/>
    <w:rsid w:val="68A82F17"/>
    <w:rsid w:val="69CC364D"/>
    <w:rsid w:val="6A0E6C5C"/>
    <w:rsid w:val="6B033B8C"/>
    <w:rsid w:val="6B534A55"/>
    <w:rsid w:val="6BA92EA1"/>
    <w:rsid w:val="6BBB31E1"/>
    <w:rsid w:val="6C4E1089"/>
    <w:rsid w:val="6D3A5311"/>
    <w:rsid w:val="6D8729EB"/>
    <w:rsid w:val="6D891BB9"/>
    <w:rsid w:val="6D8E04E8"/>
    <w:rsid w:val="6DA25265"/>
    <w:rsid w:val="6DAA3F57"/>
    <w:rsid w:val="6F0A351C"/>
    <w:rsid w:val="70C819B4"/>
    <w:rsid w:val="71C51A67"/>
    <w:rsid w:val="721D2F40"/>
    <w:rsid w:val="747D1D67"/>
    <w:rsid w:val="75445EC8"/>
    <w:rsid w:val="754B054C"/>
    <w:rsid w:val="75AA43CF"/>
    <w:rsid w:val="76976E93"/>
    <w:rsid w:val="773B01DD"/>
    <w:rsid w:val="778A22C8"/>
    <w:rsid w:val="77AC13A5"/>
    <w:rsid w:val="78DE70A6"/>
    <w:rsid w:val="79652DBA"/>
    <w:rsid w:val="79D33378"/>
    <w:rsid w:val="7A68361F"/>
    <w:rsid w:val="7A7F1D30"/>
    <w:rsid w:val="7B3A3242"/>
    <w:rsid w:val="7BC331DC"/>
    <w:rsid w:val="7C6736B4"/>
    <w:rsid w:val="7C8D5237"/>
    <w:rsid w:val="7CE2520E"/>
    <w:rsid w:val="7D0D2384"/>
    <w:rsid w:val="7D273B73"/>
    <w:rsid w:val="7F3E2E48"/>
    <w:rsid w:val="7F8B4B74"/>
    <w:rsid w:val="7FBA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8">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9">
    <w:name w:val="heading 3"/>
    <w:basedOn w:val="1"/>
    <w:next w:val="1"/>
    <w:unhideWhenUsed/>
    <w:qFormat/>
    <w:uiPriority w:val="9"/>
    <w:pPr>
      <w:keepNext/>
      <w:keepLines/>
      <w:tabs>
        <w:tab w:val="left" w:pos="3402"/>
      </w:tabs>
      <w:spacing w:beforeLines="100" w:afterLines="100"/>
      <w:contextualSpacing/>
      <w:jc w:val="center"/>
      <w:outlineLvl w:val="2"/>
    </w:pPr>
    <w:rPr>
      <w:rFonts w:eastAsia="黑体"/>
      <w:bCs/>
      <w:szCs w:val="32"/>
    </w:rPr>
  </w:style>
  <w:style w:type="paragraph" w:styleId="10">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szCs w:val="20"/>
    </w:rPr>
  </w:style>
  <w:style w:type="paragraph" w:styleId="3">
    <w:name w:val="Body Text"/>
    <w:basedOn w:val="1"/>
    <w:next w:val="2"/>
    <w:qFormat/>
    <w:uiPriority w:val="0"/>
    <w:pPr>
      <w:autoSpaceDE w:val="0"/>
      <w:autoSpaceDN w:val="0"/>
      <w:spacing w:line="360" w:lineRule="auto"/>
    </w:pPr>
    <w:rPr>
      <w:rFonts w:ascii="宋体"/>
      <w:sz w:val="24"/>
      <w:szCs w:val="21"/>
      <w:lang w:val="zh-CN"/>
    </w:rPr>
  </w:style>
  <w:style w:type="paragraph" w:styleId="4">
    <w:name w:val="Body Text First Indent 2"/>
    <w:basedOn w:val="5"/>
    <w:next w:val="6"/>
    <w:unhideWhenUsed/>
    <w:qFormat/>
    <w:uiPriority w:val="99"/>
    <w:pPr>
      <w:ind w:firstLine="420"/>
    </w:pPr>
  </w:style>
  <w:style w:type="paragraph" w:styleId="5">
    <w:name w:val="Body Text Indent"/>
    <w:basedOn w:val="1"/>
    <w:next w:val="1"/>
    <w:qFormat/>
    <w:uiPriority w:val="0"/>
    <w:pPr>
      <w:spacing w:line="480" w:lineRule="exact"/>
      <w:ind w:firstLine="480" w:firstLineChars="200"/>
    </w:pPr>
    <w:rPr>
      <w:rFonts w:ascii="宋体" w:hAnsi="宋体"/>
      <w:sz w:val="24"/>
    </w:rPr>
  </w:style>
  <w:style w:type="paragraph" w:customStyle="1" w:styleId="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11">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6"/>
    <w:basedOn w:val="1"/>
    <w:next w:val="1"/>
    <w:qFormat/>
    <w:uiPriority w:val="0"/>
    <w:pPr>
      <w:ind w:left="2100" w:leftChars="1000"/>
    </w:pPr>
  </w:style>
  <w:style w:type="paragraph" w:styleId="18">
    <w:name w:val="Body Text Indent 3"/>
    <w:basedOn w:val="1"/>
    <w:qFormat/>
    <w:uiPriority w:val="0"/>
    <w:pPr>
      <w:contextualSpacing/>
    </w:pPr>
    <w:rPr>
      <w:szCs w:val="16"/>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rFonts w:eastAsia="黑体"/>
      <w:bCs/>
    </w:rPr>
  </w:style>
  <w:style w:type="character" w:styleId="25">
    <w:name w:val="page number"/>
    <w:basedOn w:val="23"/>
    <w:qFormat/>
    <w:uiPriority w:val="0"/>
  </w:style>
  <w:style w:type="character" w:styleId="26">
    <w:name w:val="Hyperlink"/>
    <w:qFormat/>
    <w:uiPriority w:val="0"/>
    <w:rPr>
      <w:rFonts w:ascii="Arial" w:hAnsi="Arial" w:eastAsia="黑体" w:cs="Arial"/>
      <w:snapToGrid w:val="0"/>
      <w:color w:val="000000"/>
      <w:kern w:val="0"/>
      <w:sz w:val="18"/>
      <w:szCs w:val="18"/>
      <w:u w:val="none"/>
    </w:rPr>
  </w:style>
  <w:style w:type="paragraph" w:customStyle="1" w:styleId="27">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9">
    <w:name w:val="正文2"/>
    <w:basedOn w:val="1"/>
    <w:qFormat/>
    <w:uiPriority w:val="0"/>
    <w:pPr>
      <w:spacing w:before="156" w:line="360" w:lineRule="auto"/>
      <w:ind w:firstLine="510" w:firstLineChars="200"/>
    </w:pPr>
    <w:rPr>
      <w:sz w:val="24"/>
      <w:szCs w:val="20"/>
    </w:rPr>
  </w:style>
  <w:style w:type="paragraph" w:styleId="30">
    <w:name w:val="List Paragraph"/>
    <w:basedOn w:val="1"/>
    <w:qFormat/>
    <w:uiPriority w:val="0"/>
    <w:pPr>
      <w:spacing w:line="360" w:lineRule="auto"/>
      <w:ind w:firstLine="200" w:firstLineChars="200"/>
    </w:pPr>
    <w:rPr>
      <w:rFonts w:eastAsia="楷体_GB2312" w:cs="Lucida Sans"/>
      <w:sz w:val="24"/>
    </w:rPr>
  </w:style>
  <w:style w:type="paragraph" w:customStyle="1" w:styleId="31">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0"/>
    <w:pPr>
      <w:adjustRightInd/>
      <w:spacing w:line="360" w:lineRule="auto"/>
    </w:pPr>
    <w:rPr>
      <w:rFonts w:ascii="仿宋_GB2312" w:eastAsia="仿宋_GB2312"/>
      <w:sz w:val="24"/>
      <w:szCs w:val="20"/>
    </w:rPr>
  </w:style>
  <w:style w:type="paragraph" w:customStyle="1" w:styleId="33">
    <w:name w:val="纯文本1"/>
    <w:basedOn w:val="34"/>
    <w:qFormat/>
    <w:uiPriority w:val="0"/>
    <w:pPr>
      <w:tabs>
        <w:tab w:val="right" w:leader="dot" w:pos="8268"/>
      </w:tabs>
      <w:adjustRightInd/>
    </w:pPr>
    <w:rPr>
      <w:rFonts w:ascii="宋体"/>
      <w:kern w:val="0"/>
      <w:sz w:val="20"/>
      <w:szCs w:val="20"/>
    </w:rPr>
  </w:style>
  <w:style w:type="paragraph" w:customStyle="1" w:styleId="34">
    <w:name w:val="正文1"/>
    <w:basedOn w:val="12"/>
    <w:qFormat/>
    <w:uiPriority w:val="0"/>
    <w:pPr>
      <w:ind w:left="0" w:leftChars="0" w:firstLine="480" w:firstLineChars="200"/>
    </w:pPr>
    <w:rPr>
      <w:rFonts w:ascii="仿宋_GB2312" w:hAnsi="Courier New" w:eastAsia="仿宋_GB2312"/>
      <w:kern w:val="28"/>
      <w:sz w:val="24"/>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首行缩进"/>
    <w:basedOn w:val="1"/>
    <w:qFormat/>
    <w:uiPriority w:val="0"/>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42350</Words>
  <Characters>44265</Characters>
  <Lines>372</Lines>
  <Paragraphs>104</Paragraphs>
  <TotalTime>0</TotalTime>
  <ScaleCrop>false</ScaleCrop>
  <LinksUpToDate>false</LinksUpToDate>
  <CharactersWithSpaces>50609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MmmmLii</cp:lastModifiedBy>
  <cp:lastPrinted>2022-05-26T04:34:00Z</cp:lastPrinted>
  <dcterms:modified xsi:type="dcterms:W3CDTF">2022-08-02T00:48:21Z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243C621DE5404EE7841C0CCDEDD90A8B</vt:lpwstr>
  </property>
</Properties>
</file>