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临安区农村建设用地信息调查服务项目</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竞争性磋商采购文件</w:t>
      </w:r>
    </w:p>
    <w:p>
      <w:pPr>
        <w:adjustRightInd/>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编号:临[2022]1208号</w:t>
      </w:r>
    </w:p>
    <w:p>
      <w:pPr>
        <w:snapToGrid w:val="0"/>
        <w:spacing w:line="360" w:lineRule="auto"/>
        <w:jc w:val="center"/>
        <w:rPr>
          <w:rFonts w:ascii="仿宋" w:hAnsi="仿宋" w:eastAsia="仿宋" w:cs="仿宋"/>
          <w:sz w:val="30"/>
          <w:szCs w:val="30"/>
        </w:rPr>
      </w:pP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p>
    <w:p>
      <w:pPr>
        <w:snapToGrid w:val="0"/>
        <w:spacing w:line="360" w:lineRule="auto"/>
        <w:jc w:val="center"/>
        <w:rPr>
          <w:rFonts w:ascii="仿宋" w:hAnsi="仿宋" w:eastAsia="仿宋" w:cs="仿宋"/>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采购人：杭州市规划和自然资源局临安分局</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sz w:val="32"/>
          <w:szCs w:val="32"/>
        </w:rPr>
        <w:t>：杭州建设工程造价咨询有限公司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二〇二二年</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十九</w:t>
      </w:r>
      <w:r>
        <w:rPr>
          <w:rFonts w:hint="eastAsia" w:ascii="仿宋" w:hAnsi="仿宋" w:eastAsia="仿宋" w:cs="仿宋"/>
          <w:bCs/>
          <w:sz w:val="32"/>
          <w:szCs w:val="32"/>
        </w:rPr>
        <w:t>日</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第一部分竞争性磋商公告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第二部分供应商须知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临安区农村建设用地信息调查服务项目</w:t>
      </w:r>
      <w:r>
        <w:rPr>
          <w:rFonts w:hint="eastAsia" w:ascii="仿宋" w:hAnsi="仿宋" w:eastAsia="仿宋" w:cs="仿宋"/>
          <w:sz w:val="24"/>
        </w:rPr>
        <w:t>招标项目的潜在供应商应在政采云平台（</w:t>
      </w:r>
      <w:r>
        <w:fldChar w:fldCharType="begin"/>
      </w:r>
      <w:r>
        <w:instrText xml:space="preserve"> HYPERLINK "https://www.zcygov.cn/）获取（下载）采购文件，并于2022年2月27日09点30分00秒" </w:instrText>
      </w:r>
      <w:r>
        <w:fldChar w:fldCharType="separate"/>
      </w:r>
      <w:r>
        <w:rPr>
          <w:rStyle w:val="76"/>
          <w:rFonts w:hint="eastAsia" w:ascii="仿宋" w:hAnsi="仿宋" w:eastAsia="仿宋" w:cs="仿宋"/>
          <w:snapToGrid/>
          <w:kern w:val="2"/>
          <w:sz w:val="24"/>
          <w:szCs w:val="24"/>
        </w:rPr>
        <w:t>https://www.zcygov.cn/）获取（下载）采购文件，并于2022年</w:t>
      </w:r>
      <w:r>
        <w:rPr>
          <w:rStyle w:val="76"/>
          <w:rFonts w:hint="eastAsia" w:ascii="仿宋" w:hAnsi="仿宋" w:eastAsia="仿宋" w:cs="仿宋"/>
          <w:snapToGrid/>
          <w:kern w:val="2"/>
          <w:sz w:val="24"/>
          <w:szCs w:val="24"/>
          <w:lang w:val="en-US" w:eastAsia="zh-CN"/>
        </w:rPr>
        <w:t>5</w:t>
      </w:r>
      <w:r>
        <w:rPr>
          <w:rStyle w:val="76"/>
          <w:rFonts w:hint="eastAsia" w:ascii="仿宋" w:hAnsi="仿宋" w:eastAsia="仿宋" w:cs="仿宋"/>
          <w:snapToGrid/>
          <w:kern w:val="2"/>
          <w:sz w:val="24"/>
          <w:szCs w:val="24"/>
        </w:rPr>
        <w:t>月</w:t>
      </w:r>
      <w:r>
        <w:rPr>
          <w:rStyle w:val="76"/>
          <w:rFonts w:hint="eastAsia" w:ascii="仿宋" w:hAnsi="仿宋" w:eastAsia="仿宋" w:cs="仿宋"/>
          <w:snapToGrid/>
          <w:kern w:val="2"/>
          <w:sz w:val="24"/>
          <w:szCs w:val="24"/>
          <w:lang w:val="en-US" w:eastAsia="zh-CN"/>
        </w:rPr>
        <w:t>31</w:t>
      </w:r>
      <w:r>
        <w:rPr>
          <w:rStyle w:val="76"/>
          <w:rFonts w:hint="eastAsia" w:ascii="仿宋" w:hAnsi="仿宋" w:eastAsia="仿宋" w:cs="仿宋"/>
          <w:snapToGrid/>
          <w:kern w:val="2"/>
          <w:sz w:val="24"/>
          <w:szCs w:val="24"/>
        </w:rPr>
        <w:t>日14点00分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递交（上传）响应文件。</w:t>
      </w:r>
    </w:p>
    <w:p>
      <w:pPr>
        <w:snapToGrid w:val="0"/>
        <w:spacing w:line="360" w:lineRule="auto"/>
        <w:rPr>
          <w:rFonts w:ascii="仿宋" w:hAnsi="仿宋" w:eastAsia="仿宋" w:cs="仿宋"/>
          <w:b/>
          <w:sz w:val="24"/>
        </w:rPr>
      </w:pPr>
      <w:r>
        <w:rPr>
          <w:rFonts w:hint="eastAsia" w:ascii="仿宋" w:hAnsi="仿宋" w:eastAsia="仿宋" w:cs="仿宋"/>
          <w:b/>
          <w:sz w:val="24"/>
        </w:rPr>
        <w:t>一、项目基本情况</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项目编号：临[2022]1208号</w:t>
      </w:r>
    </w:p>
    <w:p>
      <w:pPr>
        <w:snapToGrid w:val="0"/>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项目名称：</w:t>
      </w:r>
      <w:r>
        <w:rPr>
          <w:rFonts w:hint="eastAsia" w:ascii="仿宋" w:hAnsi="仿宋" w:eastAsia="仿宋" w:cs="仿宋"/>
          <w:b/>
          <w:sz w:val="24"/>
          <w:lang w:eastAsia="zh-CN"/>
        </w:rPr>
        <w:t>临安区农村建设用地信息调查服务项目</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采购方式：竞争性磋商</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预算总金额（元）：</w:t>
      </w:r>
      <w:r>
        <w:rPr>
          <w:rFonts w:hint="eastAsia" w:ascii="仿宋" w:hAnsi="仿宋" w:eastAsia="仿宋" w:cs="仿宋"/>
          <w:b/>
          <w:sz w:val="24"/>
          <w:lang w:val="en-US" w:eastAsia="zh-CN"/>
        </w:rPr>
        <w:t>1000000</w:t>
      </w:r>
      <w:r>
        <w:rPr>
          <w:rFonts w:hint="eastAsia" w:ascii="仿宋" w:hAnsi="仿宋" w:eastAsia="仿宋" w:cs="仿宋"/>
          <w:b/>
          <w:sz w:val="24"/>
        </w:rPr>
        <w:t>元；</w:t>
      </w:r>
    </w:p>
    <w:p>
      <w:pPr>
        <w:pStyle w:val="5"/>
        <w:rPr>
          <w:rFonts w:eastAsia="仿宋"/>
          <w:highlight w:val="none"/>
          <w:lang w:val="en-US"/>
        </w:rPr>
      </w:pPr>
      <w:r>
        <w:rPr>
          <w:rFonts w:hint="eastAsia" w:ascii="仿宋" w:eastAsia="仿宋" w:cs="仿宋"/>
          <w:sz w:val="24"/>
          <w:lang w:val="en-US"/>
        </w:rPr>
        <w:t xml:space="preserve">    最高</w:t>
      </w:r>
      <w:r>
        <w:rPr>
          <w:rFonts w:hint="eastAsia" w:ascii="仿宋" w:eastAsia="仿宋" w:cs="仿宋"/>
          <w:sz w:val="24"/>
          <w:highlight w:val="none"/>
          <w:lang w:val="en-US"/>
        </w:rPr>
        <w:t>限价（元）：</w:t>
      </w:r>
      <w:r>
        <w:rPr>
          <w:rFonts w:hint="eastAsia" w:ascii="仿宋" w:eastAsia="仿宋" w:cs="仿宋"/>
          <w:sz w:val="24"/>
          <w:highlight w:val="none"/>
          <w:lang w:val="en-US" w:eastAsia="zh-CN"/>
        </w:rPr>
        <w:t>1000000</w:t>
      </w:r>
      <w:r>
        <w:rPr>
          <w:rFonts w:hint="eastAsia" w:ascii="仿宋" w:eastAsia="仿宋" w:cs="仿宋"/>
          <w:sz w:val="24"/>
          <w:highlight w:val="none"/>
          <w:lang w:val="en-US"/>
        </w:rPr>
        <w:t>元。</w:t>
      </w:r>
    </w:p>
    <w:p>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采购需求：</w:t>
      </w:r>
      <w:r>
        <w:rPr>
          <w:rFonts w:hint="eastAsia" w:ascii="仿宋" w:hAnsi="仿宋" w:eastAsia="仿宋" w:cs="仿宋"/>
          <w:b/>
          <w:sz w:val="24"/>
          <w:highlight w:val="none"/>
          <w:lang w:eastAsia="zh-CN"/>
        </w:rPr>
        <w:t>临安区农村建设用地信息调查服务项目</w:t>
      </w:r>
      <w:r>
        <w:rPr>
          <w:rFonts w:hint="eastAsia" w:ascii="仿宋" w:hAnsi="仿宋" w:eastAsia="仿宋" w:cs="仿宋"/>
          <w:b/>
          <w:sz w:val="24"/>
          <w:highlight w:val="none"/>
        </w:rPr>
        <w:t xml:space="preserve">，具体内容和相关要求详见招标文件“第三部分采购需求”。  </w:t>
      </w:r>
    </w:p>
    <w:p>
      <w:pPr>
        <w:pStyle w:val="131"/>
        <w:snapToGrid w:val="0"/>
        <w:spacing w:before="0"/>
        <w:ind w:firstLine="482"/>
        <w:outlineLvl w:val="2"/>
        <w:rPr>
          <w:rFonts w:ascii="仿宋" w:hAnsi="仿宋" w:eastAsia="仿宋" w:cs="仿宋"/>
          <w:b/>
          <w:szCs w:val="24"/>
          <w:highlight w:val="none"/>
        </w:rPr>
      </w:pPr>
      <w:r>
        <w:rPr>
          <w:rFonts w:hint="eastAsia" w:ascii="仿宋" w:hAnsi="仿宋" w:eastAsia="仿宋" w:cs="仿宋"/>
          <w:b/>
          <w:highlight w:val="none"/>
        </w:rPr>
        <w:t xml:space="preserve">简要规格描述或项目基本概况介绍、用途：具体内容和相关要求详见招标文件“第三部分采购需求”。  </w:t>
      </w:r>
    </w:p>
    <w:p>
      <w:pPr>
        <w:pStyle w:val="131"/>
        <w:snapToGrid w:val="0"/>
        <w:spacing w:before="0"/>
        <w:ind w:firstLine="482"/>
        <w:outlineLvl w:val="2"/>
        <w:rPr>
          <w:rFonts w:hint="eastAsia" w:ascii="仿宋" w:hAnsi="仿宋" w:eastAsia="仿宋" w:cs="仿宋"/>
          <w:szCs w:val="24"/>
          <w:highlight w:val="none"/>
          <w:lang w:eastAsia="zh-CN"/>
        </w:rPr>
      </w:pPr>
      <w:r>
        <w:rPr>
          <w:rFonts w:hint="eastAsia" w:ascii="仿宋" w:hAnsi="仿宋" w:eastAsia="仿宋" w:cs="仿宋"/>
          <w:b/>
          <w:szCs w:val="24"/>
          <w:highlight w:val="none"/>
        </w:rPr>
        <w:t>合同履约期限：合同签订后45日历天内完成数据成果上报工作</w:t>
      </w:r>
      <w:r>
        <w:rPr>
          <w:rFonts w:hint="eastAsia" w:ascii="仿宋" w:hAnsi="仿宋" w:eastAsia="仿宋" w:cs="仿宋"/>
          <w:b/>
          <w:szCs w:val="24"/>
          <w:highlight w:val="none"/>
          <w:lang w:eastAsia="zh-CN"/>
        </w:rPr>
        <w:t>。</w:t>
      </w:r>
      <w:bookmarkStart w:id="566" w:name="_GoBack"/>
      <w:bookmarkEnd w:id="566"/>
    </w:p>
    <w:p>
      <w:pPr>
        <w:pStyle w:val="17"/>
        <w:spacing w:line="360" w:lineRule="auto"/>
        <w:ind w:firstLine="480"/>
        <w:rPr>
          <w:rFonts w:ascii="仿宋" w:hAnsi="仿宋" w:eastAsia="仿宋" w:cs="仿宋"/>
          <w:b/>
          <w:sz w:val="24"/>
          <w:szCs w:val="24"/>
          <w:highlight w:val="none"/>
        </w:rPr>
      </w:pPr>
      <w:r>
        <w:rPr>
          <w:rFonts w:hint="eastAsia" w:ascii="仿宋" w:hAnsi="仿宋" w:eastAsia="仿宋" w:cs="仿宋"/>
          <w:b/>
          <w:color w:val="auto"/>
          <w:sz w:val="24"/>
          <w:szCs w:val="24"/>
          <w:highlight w:val="none"/>
        </w:rPr>
        <w:t>本项目接受联合体投标：否</w:t>
      </w:r>
      <w:r>
        <w:rPr>
          <w:rFonts w:hint="eastAsia" w:ascii="仿宋" w:hAnsi="仿宋" w:eastAsia="仿宋" w:cs="仿宋"/>
          <w:color w:val="auto"/>
          <w:kern w:val="0"/>
          <w:sz w:val="24"/>
          <w:szCs w:val="24"/>
          <w:highlight w:val="none"/>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rPr>
      </w:pPr>
      <w:r>
        <w:rPr>
          <w:rFonts w:hint="eastAsia" w:ascii="仿宋" w:hAnsi="仿宋" w:eastAsia="仿宋" w:cs="仿宋"/>
          <w:snapToGrid w:val="0"/>
          <w:kern w:val="28"/>
          <w:sz w:val="24"/>
        </w:rPr>
        <w:t>1. 满足《中华人民共和国政府采购法》第二十二条规定；</w:t>
      </w:r>
      <w:r>
        <w:rPr>
          <w:rFonts w:hint="eastAsia" w:ascii="仿宋" w:hAnsi="仿宋" w:eastAsia="仿宋" w:cs="仿宋"/>
          <w:snapToGrid w:val="0"/>
          <w:kern w:val="28"/>
          <w:sz w:val="24"/>
          <w:u w:val="single"/>
        </w:rPr>
        <w:t>未被“信用中国”（www.creditchina.gov.cn)、中国政府采购网（www.ccgp.gov.cn）列入失信被执行人、重大税收违法案件当事人名单、政府采购严重违法失信行为记录名单</w:t>
      </w:r>
      <w:r>
        <w:rPr>
          <w:rFonts w:hint="eastAsia" w:ascii="仿宋" w:hAnsi="仿宋" w:eastAsia="仿宋" w:cs="仿宋"/>
          <w:snapToGrid w:val="0"/>
          <w:kern w:val="28"/>
          <w:sz w:val="24"/>
        </w:rPr>
        <w:t>；</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 xml:space="preserve">    2.落实政府采购政策需满足的资格要求：</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sdt>
            <w:sdtPr>
              <w:rPr>
                <w:rFonts w:hint="eastAsia" w:ascii="仿宋" w:hAnsi="仿宋" w:eastAsia="仿宋" w:cs="仿宋"/>
                <w:kern w:val="0"/>
                <w:sz w:val="24"/>
              </w:rPr>
              <w:id w:val="-560177546"/>
            </w:sdtPr>
            <w:sdtEndPr>
              <w:rPr>
                <w:rFonts w:hint="eastAsia" w:ascii="仿宋" w:hAnsi="仿宋" w:eastAsia="仿宋" w:cs="仿宋"/>
                <w:kern w:val="0"/>
                <w:sz w:val="24"/>
              </w:rPr>
            </w:sdtEndPr>
            <w:sdtContent>
              <w:sdt>
                <w:sdtPr>
                  <w:rPr>
                    <w:rFonts w:hint="eastAsia" w:ascii="仿宋" w:hAnsi="仿宋" w:eastAsia="仿宋" w:cs="仿宋"/>
                    <w:kern w:val="0"/>
                    <w:sz w:val="24"/>
                  </w:rPr>
                  <w:id w:val="142938945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w:t>
      </w:r>
      <w:r>
        <w:rPr>
          <w:rFonts w:hint="eastAsia" w:ascii="仿宋" w:hAnsi="仿宋" w:eastAsia="仿宋" w:cs="仿宋"/>
          <w:spacing w:val="8"/>
          <w:kern w:val="0"/>
          <w:sz w:val="24"/>
          <w:highlight w:val="none"/>
        </w:rPr>
        <w:t>企业制造、承建或承接，视同符合了资格条件，无需再向中小企业分包，无需提供分包意向协议</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3.本项目的特定资格要求：</w:t>
      </w:r>
      <w:r>
        <w:rPr>
          <w:rFonts w:hint="eastAsia" w:ascii="仿宋" w:hAnsi="仿宋" w:eastAsia="仿宋" w:cs="仿宋"/>
          <w:sz w:val="24"/>
          <w:highlight w:val="none"/>
          <w:lang w:val="en-US" w:eastAsia="zh-CN"/>
        </w:rPr>
        <w:t>具有界线与</w:t>
      </w:r>
      <w:r>
        <w:rPr>
          <w:rFonts w:hint="eastAsia" w:ascii="仿宋" w:hAnsi="仿宋" w:eastAsia="仿宋" w:cs="仿宋"/>
          <w:sz w:val="24"/>
          <w:highlight w:val="none"/>
        </w:rPr>
        <w:t>不动产测绘乙级（含乙级）以上资质。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三、获取（下载）采购文件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ascii="仿宋" w:hAnsi="仿宋" w:eastAsia="仿宋" w:cs="仿宋"/>
          <w:sz w:val="24"/>
        </w:rPr>
        <w:t>/</w:t>
      </w:r>
      <w:r>
        <w:rPr>
          <w:rFonts w:hint="eastAsia" w:ascii="仿宋" w:hAnsi="仿宋" w:eastAsia="仿宋" w:cs="仿宋"/>
          <w:sz w:val="24"/>
        </w:rPr>
        <w:t>至2022年</w:t>
      </w:r>
      <w:r>
        <w:rPr>
          <w:rFonts w:hint="eastAsia" w:ascii="仿宋" w:hAnsi="仿宋" w:eastAsia="仿宋" w:cs="仿宋"/>
          <w:sz w:val="24"/>
          <w:lang w:val="en-US" w:eastAsia="zh-CN"/>
        </w:rPr>
        <w:t>5</w:t>
      </w:r>
      <w:r>
        <w:rPr>
          <w:rFonts w:hint="eastAsia" w:ascii="仿宋" w:hAnsi="仿宋" w:eastAsia="仿宋" w:cs="仿宋"/>
          <w:sz w:val="24"/>
        </w:rPr>
        <w:t>月</w:t>
      </w:r>
      <w:r>
        <w:rPr>
          <w:rFonts w:hint="eastAsia" w:ascii="仿宋" w:hAnsi="仿宋" w:eastAsia="仿宋" w:cs="仿宋"/>
          <w:sz w:val="24"/>
          <w:lang w:val="en-US" w:eastAsia="zh-CN"/>
        </w:rPr>
        <w:t>31</w:t>
      </w:r>
      <w:r>
        <w:rPr>
          <w:rFonts w:hint="eastAsia" w:ascii="仿宋" w:hAnsi="仿宋" w:eastAsia="仿宋" w:cs="仿宋"/>
          <w:sz w:val="24"/>
        </w:rPr>
        <w:t>日，每天上午00:00至12:00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通过“浙江政府采购网”在线获取（采购公告下方选取“潜在供应商”处“获取采购文件”），不提供纸制版采购文件；供应商只有在“浙江政府采购网”完成获取采购文件申请并下载了采购文件后才视作依法获取采购文件；通过本公告下方“游客，浏览采购文件”下载的采购文件仅供浏览，不视作依法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w:t>
      </w:r>
      <w:r>
        <w:rPr>
          <w:rStyle w:val="70"/>
          <w:rFonts w:hint="eastAsia" w:ascii="仿宋" w:hAnsi="仿宋" w:eastAsia="仿宋" w:cs="仿宋"/>
          <w:color w:val="000000"/>
          <w:sz w:val="24"/>
        </w:rPr>
        <w:t>响应文件提交（上传）</w:t>
      </w:r>
    </w:p>
    <w:p>
      <w:pPr>
        <w:spacing w:line="360" w:lineRule="auto"/>
        <w:ind w:firstLine="482" w:firstLineChars="200"/>
        <w:rPr>
          <w:rFonts w:ascii="仿宋" w:hAnsi="仿宋" w:eastAsia="仿宋" w:cs="仿宋"/>
          <w:sz w:val="24"/>
        </w:rPr>
      </w:pPr>
      <w:r>
        <w:rPr>
          <w:rFonts w:hint="eastAsia" w:ascii="仿宋" w:hAnsi="仿宋" w:eastAsia="仿宋" w:cs="仿宋"/>
          <w:b/>
          <w:sz w:val="24"/>
        </w:rPr>
        <w:t>截止时间：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5</w:t>
      </w:r>
      <w:r>
        <w:rPr>
          <w:rFonts w:hint="eastAsia" w:ascii="仿宋" w:hAnsi="仿宋" w:eastAsia="仿宋" w:cs="仿宋"/>
          <w:sz w:val="24"/>
          <w:u w:val="single"/>
        </w:rPr>
        <w:t>月</w:t>
      </w:r>
      <w:r>
        <w:rPr>
          <w:rFonts w:hint="eastAsia" w:ascii="仿宋" w:hAnsi="仿宋" w:eastAsia="仿宋" w:cs="仿宋"/>
          <w:sz w:val="24"/>
          <w:u w:val="single"/>
          <w:lang w:val="en-US" w:eastAsia="zh-CN"/>
        </w:rPr>
        <w:t>31</w:t>
      </w:r>
      <w:r>
        <w:rPr>
          <w:rFonts w:hint="eastAsia" w:ascii="仿宋" w:hAnsi="仿宋" w:eastAsia="仿宋" w:cs="仿宋"/>
          <w:sz w:val="24"/>
          <w:u w:val="single"/>
        </w:rPr>
        <w:t>日14点 00分</w:t>
      </w:r>
      <w:r>
        <w:rPr>
          <w:rFonts w:hint="eastAsia" w:ascii="仿宋" w:hAnsi="仿宋" w:eastAsia="仿宋" w:cs="仿宋"/>
          <w:sz w:val="24"/>
        </w:rPr>
        <w:t>（北京时间）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pPr>
        <w:spacing w:line="360" w:lineRule="auto"/>
        <w:rPr>
          <w:rFonts w:ascii="仿宋" w:hAnsi="仿宋" w:eastAsia="仿宋" w:cs="仿宋"/>
          <w:b/>
          <w:sz w:val="24"/>
        </w:rPr>
      </w:pPr>
      <w:r>
        <w:rPr>
          <w:rFonts w:hint="eastAsia" w:ascii="仿宋" w:hAnsi="仿宋" w:eastAsia="仿宋" w:cs="仿宋"/>
          <w:b/>
          <w:sz w:val="24"/>
        </w:rPr>
        <w:t>五、响应文件开启</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开启时间：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5</w:t>
      </w:r>
      <w:r>
        <w:rPr>
          <w:rFonts w:hint="eastAsia" w:ascii="仿宋" w:hAnsi="仿宋" w:eastAsia="仿宋" w:cs="仿宋"/>
          <w:sz w:val="24"/>
          <w:u w:val="single"/>
        </w:rPr>
        <w:t>月</w:t>
      </w:r>
      <w:r>
        <w:rPr>
          <w:rFonts w:hint="eastAsia" w:ascii="仿宋" w:hAnsi="仿宋" w:eastAsia="仿宋" w:cs="仿宋"/>
          <w:sz w:val="24"/>
          <w:u w:val="single"/>
          <w:lang w:val="en-US" w:eastAsia="zh-CN"/>
        </w:rPr>
        <w:t>31</w:t>
      </w:r>
      <w:r>
        <w:rPr>
          <w:rFonts w:hint="eastAsia" w:ascii="仿宋" w:hAnsi="仿宋" w:eastAsia="仿宋" w:cs="仿宋"/>
          <w:sz w:val="24"/>
          <w:u w:val="single"/>
        </w:rPr>
        <w:t>日14点00分</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pPr>
        <w:numPr>
          <w:ilvl w:val="0"/>
          <w:numId w:val="1"/>
        </w:numPr>
        <w:spacing w:line="360" w:lineRule="auto"/>
        <w:rPr>
          <w:rFonts w:ascii="仿宋" w:hAnsi="仿宋" w:eastAsia="仿宋" w:cs="仿宋"/>
          <w:b/>
          <w:sz w:val="24"/>
        </w:rPr>
      </w:pPr>
      <w:r>
        <w:rPr>
          <w:rFonts w:hint="eastAsia" w:ascii="仿宋" w:hAnsi="仿宋" w:eastAsia="仿宋" w:cs="仿宋"/>
          <w:b/>
          <w:sz w:val="24"/>
        </w:rPr>
        <w:t>采购意向公开链接</w:t>
      </w:r>
    </w:p>
    <w:tbl>
      <w:tblPr>
        <w:tblStyle w:val="62"/>
        <w:tblW w:w="23685" w:type="dxa"/>
        <w:tblCellSpacing w:w="15" w:type="dxa"/>
        <w:tblInd w:w="0" w:type="dxa"/>
        <w:tblBorders>
          <w:top w:val="single" w:color="E8E8E8" w:sz="6" w:space="0"/>
          <w:left w:val="single" w:color="E8E8E8" w:sz="6"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551"/>
        <w:gridCol w:w="1134"/>
      </w:tblGrid>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tcMar>
              <w:top w:w="105" w:type="dxa"/>
              <w:left w:w="240" w:type="dxa"/>
              <w:bottom w:w="105" w:type="dxa"/>
              <w:right w:w="240" w:type="dxa"/>
            </w:tcMar>
            <w:vAlign w:val="center"/>
          </w:tcPr>
          <w:p>
            <w:pPr>
              <w:widowControl/>
              <w:wordWrap w:val="0"/>
              <w:spacing w:line="600" w:lineRule="atLeast"/>
              <w:jc w:val="left"/>
              <w:textAlignment w:val="top"/>
              <w:rPr>
                <w:rFonts w:hint="eastAsia" w:ascii="仿宋" w:hAnsi="仿宋" w:eastAsia="仿宋" w:cs="仿宋"/>
                <w:color w:val="333333"/>
                <w:sz w:val="24"/>
              </w:rPr>
            </w:pPr>
            <w:r>
              <w:rPr>
                <w:rFonts w:hint="eastAsia" w:ascii="仿宋" w:hAnsi="仿宋" w:eastAsia="仿宋" w:cs="仿宋"/>
                <w:color w:val="333333"/>
                <w:sz w:val="24"/>
              </w:rPr>
              <w:fldChar w:fldCharType="begin"/>
            </w:r>
            <w:r>
              <w:rPr>
                <w:rFonts w:hint="eastAsia" w:ascii="仿宋" w:hAnsi="仿宋" w:eastAsia="仿宋" w:cs="仿宋"/>
                <w:color w:val="333333"/>
                <w:sz w:val="24"/>
              </w:rPr>
              <w:instrText xml:space="preserve"> HYPERLINK "https://zfcg.czt.zj.gov.cn/innerUsed_noticeDetails/index.html?noticeId=8618121&amp;utm" </w:instrText>
            </w:r>
            <w:r>
              <w:rPr>
                <w:rFonts w:hint="eastAsia" w:ascii="仿宋" w:hAnsi="仿宋" w:eastAsia="仿宋" w:cs="仿宋"/>
                <w:color w:val="333333"/>
                <w:sz w:val="24"/>
              </w:rPr>
              <w:fldChar w:fldCharType="separate"/>
            </w:r>
            <w:r>
              <w:rPr>
                <w:rStyle w:val="76"/>
                <w:rFonts w:hint="eastAsia" w:ascii="仿宋" w:hAnsi="仿宋" w:eastAsia="仿宋" w:cs="仿宋"/>
                <w:color w:val="333333"/>
                <w:sz w:val="24"/>
              </w:rPr>
              <w:t>https://zfcg.czt.zj.gov.cn/innerUsed_noticeDetails/index.html?noticeId=8618121&amp;utm</w:t>
            </w:r>
            <w:r>
              <w:rPr>
                <w:rFonts w:hint="eastAsia" w:ascii="仿宋" w:hAnsi="仿宋" w:eastAsia="仿宋" w:cs="仿宋"/>
                <w:color w:val="333333"/>
                <w:sz w:val="24"/>
              </w:rPr>
              <w:fldChar w:fldCharType="end"/>
            </w:r>
          </w:p>
          <w:p>
            <w:pPr>
              <w:widowControl/>
              <w:wordWrap w:val="0"/>
              <w:spacing w:line="600" w:lineRule="atLeast"/>
              <w:jc w:val="left"/>
              <w:textAlignment w:val="top"/>
              <w:rPr>
                <w:rFonts w:ascii="仿宋" w:hAnsi="仿宋" w:eastAsia="仿宋" w:cs="仿宋"/>
                <w:color w:val="333333"/>
                <w:sz w:val="24"/>
              </w:rPr>
            </w:pPr>
            <w:r>
              <w:rPr>
                <w:rFonts w:hint="eastAsia" w:ascii="仿宋" w:hAnsi="仿宋" w:eastAsia="仿宋" w:cs="仿宋"/>
                <w:color w:val="333333"/>
                <w:sz w:val="24"/>
              </w:rPr>
              <w:t>=web-government-front.49399a16.0.0.6dc1c220b9fa11eca017bdec949ae9e8</w:t>
            </w:r>
          </w:p>
        </w:tc>
        <w:tc>
          <w:tcPr>
            <w:tcW w:w="0" w:type="auto"/>
            <w:tcBorders>
              <w:bottom w:val="single" w:color="E8E8E8" w:sz="6" w:space="0"/>
              <w:right w:val="single" w:color="E8E8E8" w:sz="6" w:space="0"/>
            </w:tcBorders>
            <w:shd w:val="clear" w:color="auto" w:fill="FFFFFF"/>
            <w:tcMar>
              <w:top w:w="105" w:type="dxa"/>
              <w:left w:w="240" w:type="dxa"/>
              <w:bottom w:w="105" w:type="dxa"/>
              <w:right w:w="240" w:type="dxa"/>
            </w:tcMar>
            <w:vAlign w:val="center"/>
          </w:tcPr>
          <w:p>
            <w:pPr>
              <w:jc w:val="left"/>
              <w:rPr>
                <w:rFonts w:ascii="微软雅黑" w:hAnsi="微软雅黑" w:eastAsia="微软雅黑" w:cs="微软雅黑"/>
                <w:color w:val="333333"/>
                <w:szCs w:val="21"/>
              </w:rPr>
            </w:pPr>
          </w:p>
        </w:tc>
      </w:tr>
    </w:tbl>
    <w:p>
      <w:pPr>
        <w:widowControl/>
        <w:jc w:val="left"/>
      </w:pPr>
    </w:p>
    <w:p>
      <w:pPr>
        <w:spacing w:line="360" w:lineRule="auto"/>
        <w:rPr>
          <w:rFonts w:ascii="仿宋" w:hAnsi="仿宋" w:eastAsia="仿宋" w:cs="仿宋"/>
          <w:sz w:val="24"/>
        </w:rPr>
      </w:pPr>
      <w:r>
        <w:rPr>
          <w:rFonts w:hint="eastAsia" w:ascii="仿宋" w:hAnsi="仿宋" w:eastAsia="仿宋" w:cs="仿宋"/>
          <w:b/>
          <w:sz w:val="24"/>
        </w:rPr>
        <w:t>七、公告期限</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自本公告发布之日起3个工作日。</w:t>
      </w:r>
    </w:p>
    <w:p>
      <w:pPr>
        <w:spacing w:line="360" w:lineRule="auto"/>
        <w:rPr>
          <w:rFonts w:ascii="仿宋" w:hAnsi="仿宋" w:eastAsia="仿宋" w:cs="仿宋"/>
          <w:b/>
          <w:sz w:val="24"/>
        </w:rPr>
      </w:pPr>
      <w:r>
        <w:rPr>
          <w:rFonts w:hint="eastAsia" w:ascii="仿宋" w:hAnsi="仿宋" w:eastAsia="仿宋" w:cs="仿宋"/>
          <w:b/>
          <w:sz w:val="24"/>
        </w:rPr>
        <w:t>八、其他补充事宜</w:t>
      </w:r>
    </w:p>
    <w:p>
      <w:pPr>
        <w:spacing w:line="400" w:lineRule="exact"/>
        <w:rPr>
          <w:rFonts w:ascii="仿宋_GB2312" w:hAnsi="仿宋" w:eastAsia="仿宋_GB2312"/>
          <w:sz w:val="24"/>
        </w:rPr>
      </w:pPr>
      <w:r>
        <w:rPr>
          <w:rFonts w:hint="eastAsia" w:ascii="仿宋_GB2312" w:hAnsi="仿宋" w:eastAsia="仿宋_GB2312"/>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00" w:lineRule="exact"/>
        <w:rPr>
          <w:rFonts w:ascii="仿宋_GB2312" w:hAnsi="仿宋" w:eastAsia="仿宋_GB2312"/>
          <w:sz w:val="24"/>
        </w:rPr>
      </w:pPr>
      <w:r>
        <w:rPr>
          <w:rFonts w:hint="eastAsia" w:ascii="仿宋_GB2312" w:hAnsi="仿宋" w:eastAsia="仿宋_GB2312"/>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rPr>
          <w:rFonts w:ascii="仿宋_GB2312" w:hAnsi="仿宋" w:eastAsia="仿宋_GB2312"/>
          <w:sz w:val="24"/>
        </w:rPr>
      </w:pPr>
      <w:r>
        <w:rPr>
          <w:rFonts w:hint="eastAsia" w:ascii="仿宋_GB2312" w:hAnsi="仿宋" w:eastAsia="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称：杭州市规划和自然资源局临安分局</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地    址：杭州市临安区锦北街道科技大道4398号</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传    真： /</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eastAsia="zh-CN"/>
        </w:rPr>
        <w:t>许文佳</w:t>
      </w:r>
      <w:r>
        <w:rPr>
          <w:rFonts w:hint="eastAsia" w:ascii="仿宋" w:hAnsi="仿宋" w:eastAsia="仿宋" w:cs="仿宋"/>
          <w:sz w:val="24"/>
          <w:highlight w:val="none"/>
        </w:rPr>
        <w:t xml:space="preserve"> </w:t>
      </w:r>
    </w:p>
    <w:p>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项目联系方式（询问）：</w:t>
      </w:r>
      <w:r>
        <w:rPr>
          <w:rFonts w:hint="eastAsia" w:ascii="仿宋" w:hAnsi="仿宋" w:eastAsia="仿宋" w:cs="仿宋"/>
        </w:rPr>
        <w:t>0571-</w:t>
      </w:r>
      <w:r>
        <w:rPr>
          <w:rFonts w:hint="eastAsia" w:ascii="仿宋" w:hAnsi="仿宋" w:eastAsia="仿宋" w:cs="仿宋"/>
          <w:sz w:val="24"/>
          <w:highlight w:val="none"/>
          <w:lang w:val="en-US" w:eastAsia="zh-CN"/>
        </w:rPr>
        <w:t>63724864</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周炀</w:t>
      </w:r>
    </w:p>
    <w:p>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highlight w:val="none"/>
        </w:rPr>
        <w:t>质疑联系方式：</w:t>
      </w:r>
      <w:r>
        <w:rPr>
          <w:rFonts w:hint="eastAsia" w:ascii="仿宋" w:hAnsi="仿宋" w:eastAsia="仿宋" w:cs="仿宋"/>
        </w:rPr>
        <w:t>0571-</w:t>
      </w:r>
      <w:r>
        <w:rPr>
          <w:rFonts w:hint="eastAsia" w:ascii="仿宋" w:hAnsi="仿宋" w:eastAsia="仿宋" w:cs="仿宋"/>
          <w:sz w:val="24"/>
          <w:highlight w:val="none"/>
          <w:lang w:val="en-US" w:eastAsia="zh-CN"/>
        </w:rPr>
        <w:t>63820720</w:t>
      </w:r>
    </w:p>
    <w:p>
      <w:pPr>
        <w:pStyle w:val="58"/>
        <w:snapToGrid w:val="0"/>
        <w:spacing w:before="0" w:beforeAutospacing="0" w:after="0" w:afterAutospacing="0" w:line="360" w:lineRule="auto"/>
        <w:ind w:firstLine="480" w:firstLineChars="200"/>
        <w:jc w:val="both"/>
        <w:rPr>
          <w:rFonts w:ascii="仿宋" w:hAnsi="仿宋" w:eastAsia="仿宋" w:cs="仿宋"/>
        </w:rPr>
      </w:pPr>
      <w:r>
        <w:rPr>
          <w:rFonts w:ascii="仿宋" w:hAnsi="仿宋" w:eastAsia="仿宋" w:cs="仿宋"/>
        </w:rPr>
        <w:t>2.采购代理机构信息</w:t>
      </w:r>
    </w:p>
    <w:p>
      <w:pPr>
        <w:pStyle w:val="58"/>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名称：杭州建设工程造价咨询有限公司</w:t>
      </w:r>
    </w:p>
    <w:p>
      <w:pPr>
        <w:pStyle w:val="58"/>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 xml:space="preserve">地址：杭州市临安区锦北街道马溪路667号1号楼2楼  </w:t>
      </w:r>
    </w:p>
    <w:p>
      <w:pPr>
        <w:pStyle w:val="58"/>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传真：</w:t>
      </w:r>
      <w:r>
        <w:rPr>
          <w:rFonts w:ascii="仿宋" w:hAnsi="仿宋" w:eastAsia="仿宋" w:cs="仿宋"/>
        </w:rPr>
        <w:t>/</w:t>
      </w:r>
    </w:p>
    <w:p>
      <w:pPr>
        <w:pStyle w:val="58"/>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项目联系人（询问）：马丽</w:t>
      </w:r>
    </w:p>
    <w:p>
      <w:pPr>
        <w:pStyle w:val="58"/>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项目联系方式（询问）：0571-61091202</w:t>
      </w:r>
    </w:p>
    <w:p>
      <w:pPr>
        <w:pStyle w:val="58"/>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 xml:space="preserve">质疑联系人：陈浩伟  </w:t>
      </w:r>
    </w:p>
    <w:p>
      <w:pPr>
        <w:pStyle w:val="58"/>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质疑联系方式：0571-63806616</w:t>
      </w:r>
    </w:p>
    <w:p>
      <w:pPr>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pacing w:line="360" w:lineRule="auto"/>
        <w:ind w:firstLine="480" w:firstLineChars="200"/>
        <w:rPr>
          <w:rFonts w:ascii="仿宋" w:hAnsi="仿宋" w:eastAsia="仿宋" w:cs="仿宋"/>
          <w:sz w:val="24"/>
        </w:rPr>
      </w:pPr>
      <w:r>
        <w:rPr>
          <w:rFonts w:hint="eastAsia" w:ascii="仿宋" w:hAnsi="仿宋" w:eastAsia="仿宋" w:cs="仿宋"/>
          <w:sz w:val="24"/>
        </w:rPr>
        <w:t>名称：杭州市临安区财政局政府采购监督管理科          </w:t>
      </w:r>
    </w:p>
    <w:p>
      <w:pPr>
        <w:spacing w:line="360" w:lineRule="auto"/>
        <w:ind w:firstLine="480" w:firstLineChars="200"/>
        <w:rPr>
          <w:rFonts w:ascii="仿宋" w:hAnsi="仿宋" w:eastAsia="仿宋" w:cs="仿宋"/>
          <w:sz w:val="24"/>
        </w:rPr>
      </w:pPr>
      <w:r>
        <w:rPr>
          <w:rFonts w:hint="eastAsia" w:ascii="仿宋" w:hAnsi="仿宋" w:eastAsia="仿宋" w:cs="仿宋"/>
          <w:sz w:val="24"/>
        </w:rPr>
        <w:t>地址：杭州市临安区锦北街道科技大道4398号市民中心4号楼B座1129            </w:t>
      </w:r>
    </w:p>
    <w:p>
      <w:pPr>
        <w:spacing w:line="360" w:lineRule="auto"/>
        <w:ind w:firstLine="480" w:firstLineChars="200"/>
        <w:rPr>
          <w:rFonts w:ascii="仿宋" w:hAnsi="仿宋" w:eastAsia="仿宋" w:cs="仿宋"/>
          <w:sz w:val="24"/>
        </w:rPr>
      </w:pPr>
      <w:r>
        <w:rPr>
          <w:rFonts w:hint="eastAsia" w:ascii="仿宋" w:hAnsi="仿宋" w:eastAsia="仿宋" w:cs="仿宋"/>
          <w:sz w:val="24"/>
        </w:rPr>
        <w:t>传真：0571-61073953          </w:t>
      </w:r>
    </w:p>
    <w:p>
      <w:pPr>
        <w:spacing w:line="360" w:lineRule="auto"/>
        <w:ind w:firstLine="480" w:firstLineChars="200"/>
        <w:rPr>
          <w:rFonts w:ascii="仿宋" w:hAnsi="仿宋" w:eastAsia="仿宋" w:cs="仿宋"/>
          <w:sz w:val="24"/>
        </w:rPr>
      </w:pPr>
      <w:r>
        <w:rPr>
          <w:rFonts w:hint="eastAsia" w:ascii="仿宋" w:hAnsi="仿宋" w:eastAsia="仿宋" w:cs="仿宋"/>
          <w:sz w:val="24"/>
        </w:rPr>
        <w:t>联系人 ：喻伟建          </w:t>
      </w:r>
    </w:p>
    <w:p>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监督投诉电话：0571-61073953</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rPr>
          <w:rFonts w:ascii="仿宋" w:hAnsi="仿宋" w:eastAsia="仿宋" w:cs="仿宋"/>
          <w:sz w:val="24"/>
        </w:rPr>
      </w:pPr>
      <w:r>
        <w:rPr>
          <w:rFonts w:hint="eastAsia" w:ascii="仿宋" w:hAnsi="仿宋" w:eastAsia="仿宋" w:cs="仿宋"/>
          <w:sz w:val="24"/>
        </w:rPr>
        <w:t>CA问题联系电话（人工）：汇信CA 400-888-4636；天谷CA 400-087-8198。</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供应商须知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9282" w:type="dxa"/>
        <w:tblInd w:w="-1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0"/>
        <w:gridCol w:w="2066"/>
        <w:gridCol w:w="6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序号</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事项</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30" w:type="dxa"/>
            <w:tcBorders>
              <w:bottom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w:t>
            </w:r>
          </w:p>
        </w:tc>
        <w:tc>
          <w:tcPr>
            <w:tcW w:w="2066" w:type="dxa"/>
            <w:tcBorders>
              <w:bottom w:val="single" w:color="auto" w:sz="4" w:space="0"/>
            </w:tcBorders>
            <w:vAlign w:val="center"/>
          </w:tcPr>
          <w:p>
            <w:pPr>
              <w:snapToGrid w:val="0"/>
              <w:spacing w:line="360" w:lineRule="exact"/>
              <w:jc w:val="center"/>
              <w:rPr>
                <w:rFonts w:ascii="仿宋" w:hAnsi="仿宋" w:eastAsia="仿宋" w:cs="仿宋"/>
                <w:sz w:val="24"/>
              </w:rPr>
            </w:pPr>
            <w:r>
              <w:rPr>
                <w:rFonts w:hint="eastAsia" w:ascii="仿宋" w:hAnsi="仿宋" w:eastAsia="仿宋" w:cs="仿宋"/>
                <w:sz w:val="24"/>
              </w:rPr>
              <w:t>项目名称</w:t>
            </w:r>
          </w:p>
        </w:tc>
        <w:tc>
          <w:tcPr>
            <w:tcW w:w="6586" w:type="dxa"/>
            <w:tcBorders>
              <w:bottom w:val="single" w:color="auto" w:sz="4" w:space="0"/>
            </w:tcBorders>
            <w:vAlign w:val="center"/>
          </w:tcPr>
          <w:p>
            <w:pPr>
              <w:snapToGrid w:val="0"/>
              <w:spacing w:line="360" w:lineRule="exact"/>
              <w:rPr>
                <w:rFonts w:hint="eastAsia" w:ascii="仿宋" w:hAnsi="仿宋" w:eastAsia="仿宋" w:cs="仿宋"/>
                <w:sz w:val="24"/>
                <w:lang w:eastAsia="zh-CN"/>
              </w:rPr>
            </w:pPr>
            <w:r>
              <w:rPr>
                <w:rFonts w:hint="eastAsia" w:ascii="仿宋" w:hAnsi="仿宋" w:eastAsia="仿宋" w:cs="仿宋"/>
                <w:sz w:val="24"/>
                <w:lang w:eastAsia="zh-CN"/>
              </w:rPr>
              <w:t>临安区农村建设用地信息调查服务项目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30" w:type="dxa"/>
            <w:vAlign w:val="center"/>
          </w:tcPr>
          <w:p>
            <w:pPr>
              <w:snapToGrid w:val="0"/>
              <w:spacing w:line="360" w:lineRule="exact"/>
              <w:jc w:val="center"/>
              <w:rPr>
                <w:rFonts w:ascii="仿宋" w:hAnsi="仿宋" w:eastAsia="仿宋" w:cs="仿宋"/>
                <w:sz w:val="24"/>
              </w:rPr>
            </w:pPr>
            <w:r>
              <w:rPr>
                <w:rFonts w:ascii="仿宋" w:hAnsi="仿宋" w:eastAsia="仿宋" w:cs="仿宋"/>
                <w:sz w:val="24"/>
              </w:rPr>
              <w:t>2</w:t>
            </w:r>
          </w:p>
        </w:tc>
        <w:tc>
          <w:tcPr>
            <w:tcW w:w="2066" w:type="dxa"/>
            <w:vAlign w:val="center"/>
          </w:tcPr>
          <w:p>
            <w:pPr>
              <w:snapToGrid w:val="0"/>
              <w:spacing w:line="360" w:lineRule="exact"/>
              <w:jc w:val="center"/>
              <w:rPr>
                <w:rFonts w:ascii="仿宋" w:hAnsi="仿宋" w:eastAsia="仿宋" w:cs="仿宋"/>
                <w:sz w:val="24"/>
              </w:rPr>
            </w:pPr>
            <w:r>
              <w:rPr>
                <w:rFonts w:hint="eastAsia" w:ascii="仿宋" w:hAnsi="仿宋" w:eastAsia="仿宋" w:cs="仿宋"/>
                <w:sz w:val="24"/>
              </w:rPr>
              <w:t>项目实施地点</w:t>
            </w:r>
          </w:p>
        </w:tc>
        <w:tc>
          <w:tcPr>
            <w:tcW w:w="6586" w:type="dxa"/>
            <w:vAlign w:val="center"/>
          </w:tcPr>
          <w:p>
            <w:pPr>
              <w:pStyle w:val="33"/>
              <w:snapToGrid w:val="0"/>
              <w:spacing w:line="360" w:lineRule="exact"/>
              <w:rPr>
                <w:rFonts w:ascii="仿宋" w:hAnsi="仿宋" w:eastAsia="仿宋" w:cs="仿宋"/>
                <w:snapToGrid/>
                <w:sz w:val="24"/>
                <w:szCs w:val="24"/>
              </w:rPr>
            </w:pPr>
            <w:r>
              <w:rPr>
                <w:rFonts w:hint="eastAsia" w:ascii="仿宋" w:hAnsi="仿宋" w:eastAsia="仿宋" w:cs="仿宋"/>
                <w:snapToGrid/>
                <w:sz w:val="24"/>
                <w:szCs w:val="24"/>
              </w:rPr>
              <w:t>临安区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30" w:type="dxa"/>
            <w:vAlign w:val="center"/>
          </w:tcPr>
          <w:p>
            <w:pPr>
              <w:snapToGrid w:val="0"/>
              <w:spacing w:line="360" w:lineRule="exact"/>
              <w:jc w:val="center"/>
              <w:rPr>
                <w:rFonts w:ascii="仿宋" w:hAnsi="仿宋" w:eastAsia="仿宋" w:cs="仿宋"/>
                <w:sz w:val="24"/>
              </w:rPr>
            </w:pPr>
            <w:r>
              <w:rPr>
                <w:rFonts w:ascii="仿宋" w:hAnsi="仿宋" w:eastAsia="仿宋" w:cs="仿宋"/>
                <w:sz w:val="24"/>
              </w:rPr>
              <w:t>3</w:t>
            </w:r>
          </w:p>
        </w:tc>
        <w:tc>
          <w:tcPr>
            <w:tcW w:w="2066" w:type="dxa"/>
            <w:vAlign w:val="center"/>
          </w:tcPr>
          <w:p>
            <w:pPr>
              <w:snapToGrid w:val="0"/>
              <w:spacing w:line="360" w:lineRule="exact"/>
              <w:jc w:val="center"/>
              <w:rPr>
                <w:rFonts w:ascii="仿宋" w:hAnsi="仿宋" w:eastAsia="仿宋" w:cs="仿宋"/>
                <w:sz w:val="24"/>
              </w:rPr>
            </w:pPr>
            <w:r>
              <w:rPr>
                <w:rFonts w:hint="eastAsia" w:ascii="仿宋" w:hAnsi="仿宋" w:eastAsia="仿宋" w:cs="仿宋"/>
                <w:sz w:val="24"/>
              </w:rPr>
              <w:t>资金来源</w:t>
            </w:r>
          </w:p>
        </w:tc>
        <w:tc>
          <w:tcPr>
            <w:tcW w:w="6586" w:type="dxa"/>
            <w:vAlign w:val="center"/>
          </w:tcPr>
          <w:p>
            <w:pPr>
              <w:snapToGrid w:val="0"/>
              <w:spacing w:line="360" w:lineRule="exact"/>
              <w:rPr>
                <w:rFonts w:ascii="仿宋" w:hAnsi="仿宋" w:eastAsia="仿宋" w:cs="仿宋"/>
                <w:sz w:val="24"/>
              </w:rPr>
            </w:pPr>
            <w:r>
              <w:rPr>
                <w:rFonts w:hint="eastAsia" w:ascii="仿宋" w:hAnsi="仿宋" w:eastAsia="仿宋" w:cs="仿宋"/>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30" w:type="dxa"/>
            <w:vAlign w:val="center"/>
          </w:tcPr>
          <w:p>
            <w:pPr>
              <w:snapToGrid w:val="0"/>
              <w:spacing w:line="360" w:lineRule="exact"/>
              <w:jc w:val="center"/>
              <w:rPr>
                <w:rFonts w:ascii="仿宋" w:hAnsi="仿宋" w:eastAsia="仿宋" w:cs="仿宋"/>
                <w:sz w:val="24"/>
              </w:rPr>
            </w:pPr>
            <w:r>
              <w:rPr>
                <w:rFonts w:ascii="仿宋" w:hAnsi="仿宋" w:eastAsia="仿宋" w:cs="仿宋"/>
                <w:sz w:val="24"/>
              </w:rPr>
              <w:t>4</w:t>
            </w:r>
          </w:p>
        </w:tc>
        <w:tc>
          <w:tcPr>
            <w:tcW w:w="2066" w:type="dxa"/>
            <w:vAlign w:val="center"/>
          </w:tcPr>
          <w:p>
            <w:pPr>
              <w:snapToGrid w:val="0"/>
              <w:spacing w:line="360" w:lineRule="exact"/>
              <w:jc w:val="center"/>
              <w:rPr>
                <w:rFonts w:ascii="仿宋" w:hAnsi="仿宋" w:eastAsia="仿宋" w:cs="仿宋"/>
                <w:sz w:val="24"/>
                <w:lang w:val="zh-CN"/>
              </w:rPr>
            </w:pPr>
            <w:r>
              <w:rPr>
                <w:rFonts w:hint="eastAsia" w:ascii="仿宋" w:hAnsi="仿宋" w:eastAsia="仿宋" w:cs="仿宋"/>
                <w:sz w:val="24"/>
                <w:lang w:val="zh-CN"/>
              </w:rPr>
              <w:t>项目内容</w:t>
            </w:r>
          </w:p>
        </w:tc>
        <w:tc>
          <w:tcPr>
            <w:tcW w:w="6586" w:type="dxa"/>
            <w:vAlign w:val="center"/>
          </w:tcPr>
          <w:p>
            <w:pPr>
              <w:pStyle w:val="33"/>
              <w:snapToGrid w:val="0"/>
              <w:spacing w:line="360" w:lineRule="exact"/>
              <w:rPr>
                <w:rFonts w:hint="eastAsia" w:ascii="仿宋" w:hAnsi="仿宋" w:eastAsia="仿宋" w:cs="仿宋"/>
                <w:snapToGrid/>
                <w:sz w:val="24"/>
                <w:szCs w:val="24"/>
                <w:lang w:eastAsia="zh-CN"/>
              </w:rPr>
            </w:pPr>
            <w:r>
              <w:rPr>
                <w:rFonts w:hint="eastAsia" w:ascii="仿宋" w:hAnsi="仿宋" w:eastAsia="仿宋" w:cs="仿宋"/>
                <w:snapToGrid/>
                <w:sz w:val="24"/>
                <w:szCs w:val="24"/>
                <w:lang w:eastAsia="zh-CN"/>
              </w:rPr>
              <w:t>临安区农村建设用地信息调查服务项目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630" w:type="dxa"/>
            <w:vAlign w:val="center"/>
          </w:tcPr>
          <w:p>
            <w:pPr>
              <w:snapToGrid w:val="0"/>
              <w:spacing w:line="360" w:lineRule="exact"/>
              <w:jc w:val="center"/>
              <w:rPr>
                <w:rFonts w:ascii="仿宋" w:hAnsi="仿宋" w:eastAsia="仿宋" w:cs="仿宋"/>
                <w:sz w:val="24"/>
              </w:rPr>
            </w:pPr>
            <w:r>
              <w:rPr>
                <w:rFonts w:ascii="仿宋" w:hAnsi="仿宋" w:eastAsia="仿宋" w:cs="仿宋"/>
                <w:sz w:val="24"/>
              </w:rPr>
              <w:t>5</w:t>
            </w:r>
          </w:p>
        </w:tc>
        <w:tc>
          <w:tcPr>
            <w:tcW w:w="2066" w:type="dxa"/>
            <w:vAlign w:val="center"/>
          </w:tcPr>
          <w:p>
            <w:pPr>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服务期</w:t>
            </w:r>
          </w:p>
        </w:tc>
        <w:tc>
          <w:tcPr>
            <w:tcW w:w="6586" w:type="dxa"/>
            <w:vAlign w:val="center"/>
          </w:tcPr>
          <w:p>
            <w:pPr>
              <w:snapToGrid w:val="0"/>
              <w:rPr>
                <w:rFonts w:ascii="仿宋" w:hAnsi="仿宋" w:eastAsia="仿宋" w:cs="仿宋"/>
                <w:sz w:val="24"/>
                <w:highlight w:val="none"/>
              </w:rPr>
            </w:pPr>
            <w:r>
              <w:rPr>
                <w:rFonts w:hint="eastAsia" w:ascii="仿宋" w:hAnsi="仿宋" w:eastAsia="仿宋" w:cs="仿宋"/>
                <w:sz w:val="24"/>
                <w:highlight w:val="none"/>
              </w:rPr>
              <w:t>合同签订后45日历天内完成数据成果上报工作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8"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6</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报价要求</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kern w:val="0"/>
                <w:sz w:val="24"/>
                <w:lang w:val="zh-CN"/>
              </w:rPr>
            </w:pPr>
            <w:r>
              <w:rPr>
                <w:rFonts w:hint="eastAsia" w:ascii="仿宋" w:hAnsi="仿宋" w:eastAsia="仿宋"/>
                <w:kern w:val="0"/>
                <w:sz w:val="24"/>
                <w:lang w:val="zh-CN"/>
              </w:rPr>
              <w:t>本项目采购总预算：</w:t>
            </w:r>
            <w:r>
              <w:rPr>
                <w:rFonts w:hint="eastAsia" w:ascii="仿宋" w:hAnsi="仿宋" w:eastAsia="仿宋"/>
                <w:kern w:val="0"/>
                <w:sz w:val="24"/>
                <w:lang w:val="en-US" w:eastAsia="zh-CN"/>
              </w:rPr>
              <w:t>1000000</w:t>
            </w:r>
            <w:r>
              <w:rPr>
                <w:rFonts w:hint="eastAsia" w:ascii="仿宋" w:hAnsi="仿宋" w:eastAsia="仿宋"/>
                <w:kern w:val="0"/>
                <w:sz w:val="24"/>
                <w:lang w:val="zh-CN"/>
              </w:rPr>
              <w:t>元，最高限价：</w:t>
            </w:r>
            <w:r>
              <w:rPr>
                <w:rFonts w:hint="eastAsia" w:ascii="仿宋" w:hAnsi="仿宋" w:eastAsia="仿宋"/>
                <w:kern w:val="0"/>
                <w:sz w:val="24"/>
                <w:lang w:val="en-US" w:eastAsia="zh-CN"/>
              </w:rPr>
              <w:t>1000000</w:t>
            </w:r>
            <w:r>
              <w:rPr>
                <w:rFonts w:hint="eastAsia" w:ascii="仿宋" w:hAnsi="仿宋" w:eastAsia="仿宋"/>
                <w:kern w:val="0"/>
                <w:sz w:val="24"/>
              </w:rPr>
              <w:t xml:space="preserve">元 </w:t>
            </w:r>
            <w:r>
              <w:rPr>
                <w:rFonts w:hint="eastAsia" w:ascii="仿宋" w:hAnsi="仿宋" w:eastAsia="仿宋"/>
                <w:kern w:val="0"/>
                <w:sz w:val="24"/>
                <w:lang w:val="zh-CN"/>
              </w:rPr>
              <w:t>。</w:t>
            </w:r>
          </w:p>
          <w:p>
            <w:pPr>
              <w:snapToGrid w:val="0"/>
              <w:spacing w:line="360" w:lineRule="auto"/>
              <w:jc w:val="left"/>
              <w:rPr>
                <w:rFonts w:ascii="仿宋" w:hAnsi="仿宋" w:eastAsia="仿宋"/>
                <w:kern w:val="0"/>
                <w:sz w:val="24"/>
                <w:lang w:val="zh-CN"/>
              </w:rPr>
            </w:pPr>
            <w:r>
              <w:rPr>
                <w:rFonts w:hint="eastAsia" w:ascii="仿宋" w:hAnsi="仿宋" w:eastAsia="仿宋"/>
                <w:kern w:val="0"/>
                <w:sz w:val="24"/>
                <w:lang w:val="zh-CN"/>
              </w:rPr>
              <w:t>▲投标人针对本项目的投标报价不得超过采购预算金额及最高限价，否则其投标无效。</w:t>
            </w:r>
          </w:p>
          <w:p>
            <w:pPr>
              <w:snapToGrid w:val="0"/>
              <w:spacing w:line="360" w:lineRule="auto"/>
              <w:jc w:val="left"/>
              <w:rPr>
                <w:rFonts w:ascii="仿宋" w:hAnsi="仿宋" w:eastAsia="仿宋"/>
                <w:kern w:val="0"/>
                <w:sz w:val="24"/>
                <w:lang w:val="zh-CN"/>
              </w:rPr>
            </w:pPr>
            <w:r>
              <w:rPr>
                <w:rFonts w:hint="eastAsia" w:ascii="仿宋" w:hAnsi="仿宋" w:eastAsia="仿宋"/>
                <w:kern w:val="0"/>
                <w:sz w:val="24"/>
                <w:lang w:val="zh-CN"/>
              </w:rPr>
              <w:t>报价是中标的一个重要因素，但不是中标的唯一依据。</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响应报价出现下列情形的，投标无效：</w:t>
            </w:r>
          </w:p>
          <w:p>
            <w:pPr>
              <w:snapToGrid w:val="0"/>
              <w:spacing w:line="360" w:lineRule="exact"/>
              <w:jc w:val="left"/>
              <w:rPr>
                <w:rFonts w:ascii="仿宋" w:hAnsi="仿宋" w:eastAsia="仿宋" w:cs="仿宋"/>
                <w:b/>
                <w:kern w:val="0"/>
                <w:sz w:val="24"/>
                <w:lang w:val="zh-CN"/>
              </w:rPr>
            </w:pPr>
            <w:r>
              <w:rPr>
                <w:rFonts w:ascii="仿宋" w:hAnsi="仿宋" w:eastAsia="仿宋" w:cs="仿宋"/>
                <w:b/>
                <w:kern w:val="0"/>
                <w:sz w:val="24"/>
                <w:lang w:val="zh-CN"/>
              </w:rPr>
              <w:t>1、响应文件出现不是唯一的、有选择性响应报价的；</w:t>
            </w:r>
          </w:p>
          <w:p>
            <w:pPr>
              <w:snapToGrid w:val="0"/>
              <w:spacing w:line="360" w:lineRule="exact"/>
              <w:jc w:val="left"/>
              <w:rPr>
                <w:rFonts w:ascii="仿宋" w:hAnsi="仿宋" w:eastAsia="仿宋" w:cs="仿宋"/>
                <w:kern w:val="0"/>
                <w:sz w:val="24"/>
                <w:lang w:val="zh-CN"/>
              </w:rPr>
            </w:pPr>
            <w:r>
              <w:rPr>
                <w:rFonts w:ascii="仿宋" w:hAnsi="仿宋" w:eastAsia="仿宋" w:cs="仿宋"/>
                <w:b/>
                <w:kern w:val="0"/>
                <w:sz w:val="24"/>
                <w:lang w:val="zh-CN"/>
              </w:rPr>
              <w:t>2、响应报价超过采购文件中规定的预算金额或者最高限价的;</w:t>
            </w:r>
          </w:p>
          <w:p>
            <w:pPr>
              <w:snapToGrid w:val="0"/>
              <w:spacing w:line="360" w:lineRule="exact"/>
              <w:rPr>
                <w:rFonts w:ascii="仿宋" w:hAnsi="仿宋" w:eastAsia="仿宋" w:cs="仿宋"/>
                <w:b/>
                <w:sz w:val="24"/>
              </w:rPr>
            </w:pPr>
            <w:r>
              <w:rPr>
                <w:rFonts w:ascii="仿宋" w:hAnsi="仿宋" w:eastAsia="仿宋" w:cs="仿宋"/>
                <w:b/>
                <w:kern w:val="0"/>
                <w:sz w:val="24"/>
              </w:rPr>
              <w:t>3、报价明显低于其他通过符合性审查供应商的报价，有可能影响产品质量或者不能诚信履约的，未能按要求提供书面说明或</w:t>
            </w:r>
            <w:r>
              <w:rPr>
                <w:rFonts w:hint="eastAsia" w:ascii="仿宋" w:hAnsi="仿宋" w:eastAsia="仿宋" w:cs="仿宋"/>
                <w:b/>
                <w:kern w:val="0"/>
                <w:sz w:val="24"/>
              </w:rPr>
              <w:t>者提交相关证明材料证明其报价合理性的</w:t>
            </w:r>
            <w:r>
              <w:rPr>
                <w:rFonts w:ascii="仿宋" w:hAnsi="仿宋" w:eastAsia="仿宋" w:cs="仿宋"/>
                <w:b/>
                <w:sz w:val="24"/>
              </w:rPr>
              <w:t>;</w:t>
            </w:r>
          </w:p>
          <w:p>
            <w:pPr>
              <w:snapToGrid w:val="0"/>
              <w:spacing w:line="360" w:lineRule="exact"/>
              <w:rPr>
                <w:rFonts w:ascii="仿宋" w:hAnsi="仿宋" w:eastAsia="仿宋" w:cs="仿宋"/>
                <w:sz w:val="24"/>
              </w:rPr>
            </w:pPr>
            <w:r>
              <w:rPr>
                <w:rFonts w:ascii="仿宋" w:hAnsi="仿宋" w:eastAsia="仿宋" w:cs="仿宋"/>
                <w:b/>
                <w:kern w:val="0"/>
                <w:sz w:val="24"/>
              </w:rPr>
              <w:t>4、供应商对根据修正原则修正后的报价不确认的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7</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分包</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sdt>
              <w:sdtPr>
                <w:rPr>
                  <w:rFonts w:hint="eastAsia" w:ascii="仿宋" w:hAnsi="仿宋" w:eastAsia="仿宋" w:cs="仿宋"/>
                  <w:kern w:val="0"/>
                  <w:sz w:val="24"/>
                </w:rPr>
                <w:id w:val="-1477286927"/>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ascii="仿宋" w:hAnsi="仿宋" w:eastAsia="仿宋" w:cs="仿宋"/>
                <w:kern w:val="0"/>
                <w:sz w:val="24"/>
              </w:rPr>
              <w:t xml:space="preserve"> A</w:t>
            </w:r>
            <w:r>
              <w:rPr>
                <w:rFonts w:hint="eastAsia" w:ascii="仿宋" w:hAnsi="仿宋" w:eastAsia="仿宋" w:cs="仿宋"/>
                <w:sz w:val="24"/>
              </w:rPr>
              <w:t>同意将非主体、非关键性的工作分包。</w:t>
            </w:r>
          </w:p>
          <w:p>
            <w:pPr>
              <w:snapToGrid w:val="0"/>
              <w:spacing w:line="360" w:lineRule="exact"/>
              <w:rPr>
                <w:rFonts w:ascii="仿宋" w:hAnsi="仿宋" w:eastAsia="仿宋" w:cs="仿宋"/>
                <w:sz w:val="24"/>
              </w:rPr>
            </w:pPr>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ascii="仿宋" w:hAnsi="仿宋" w:eastAsia="仿宋" w:cs="仿宋"/>
                    <w:kern w:val="0"/>
                    <w:sz w:val="24"/>
                  </w:rPr>
                  <w:sym w:font="Wingdings" w:char="F0FE"/>
                </w:r>
              </w:sdtContent>
            </w:sdt>
            <w:r>
              <w:rPr>
                <w:rFonts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30"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8</w:t>
            </w:r>
          </w:p>
        </w:tc>
        <w:tc>
          <w:tcPr>
            <w:tcW w:w="2066" w:type="dxa"/>
            <w:vMerge w:val="restart"/>
            <w:tcBorders>
              <w:top w:val="single" w:color="000000" w:sz="8" w:space="0"/>
              <w:left w:val="single" w:color="auto" w:sz="4"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586"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1）资格证明文件：见采购文件第二部分11.1。</w:t>
            </w:r>
          </w:p>
          <w:p>
            <w:pPr>
              <w:snapToGrid w:val="0"/>
              <w:spacing w:line="360" w:lineRule="exact"/>
              <w:rPr>
                <w:rFonts w:ascii="仿宋" w:hAnsi="仿宋" w:eastAsia="仿宋" w:cs="仿宋"/>
                <w:snapToGrid w:val="0"/>
                <w:kern w:val="0"/>
                <w:sz w:val="24"/>
              </w:rPr>
            </w:pPr>
            <w:r>
              <w:rPr>
                <w:rFonts w:hint="eastAsia" w:ascii="仿宋" w:hAnsi="仿宋" w:eastAsia="仿宋" w:cs="仿宋"/>
                <w:kern w:val="0"/>
                <w:sz w:val="24"/>
                <w:lang w:val="zh-CN"/>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8" w:hRule="atLeast"/>
        </w:trPr>
        <w:tc>
          <w:tcPr>
            <w:tcW w:w="630"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p>
        </w:tc>
        <w:tc>
          <w:tcPr>
            <w:tcW w:w="2066" w:type="dxa"/>
            <w:vMerge w:val="continue"/>
            <w:tcBorders>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p>
        </w:tc>
        <w:tc>
          <w:tcPr>
            <w:tcW w:w="6586"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2）资信证明文件：根据采购文件第四部分评标</w:t>
            </w:r>
            <w:r>
              <w:rPr>
                <w:rFonts w:hint="eastAsia" w:ascii="仿宋" w:hAnsi="仿宋" w:eastAsia="仿宋" w:cs="仿宋"/>
                <w:sz w:val="24"/>
              </w:rPr>
              <w:t>办法提供。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9</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开标前答疑会或现场考察</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ascii="仿宋" w:hAnsi="仿宋" w:eastAsia="仿宋" w:cs="仿宋"/>
                    <w:kern w:val="0"/>
                    <w:sz w:val="24"/>
                  </w:rPr>
                  <w:sym w:font="Wingdings" w:char="F0FE"/>
                </w:r>
              </w:sdtContent>
            </w:sdt>
            <w:r>
              <w:rPr>
                <w:rFonts w:ascii="仿宋" w:hAnsi="仿宋" w:eastAsia="仿宋" w:cs="仿宋"/>
                <w:kern w:val="0"/>
                <w:sz w:val="24"/>
              </w:rPr>
              <w:t>A</w:t>
            </w:r>
            <w:r>
              <w:rPr>
                <w:rFonts w:hint="eastAsia" w:ascii="仿宋" w:hAnsi="仿宋" w:eastAsia="仿宋" w:cs="仿宋"/>
                <w:sz w:val="24"/>
              </w:rPr>
              <w:t>不组织。</w:t>
            </w:r>
          </w:p>
          <w:p>
            <w:pPr>
              <w:snapToGrid w:val="0"/>
              <w:spacing w:line="360" w:lineRule="exact"/>
              <w:rPr>
                <w:rFonts w:ascii="仿宋" w:hAnsi="仿宋" w:eastAsia="仿宋" w:cs="仿宋"/>
                <w:sz w:val="24"/>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ascii="仿宋" w:hAnsi="仿宋" w:eastAsia="仿宋" w:cs="仿宋"/>
                <w:kern w:val="0"/>
                <w:sz w:val="24"/>
              </w:rPr>
              <w:t>B组织，</w:t>
            </w:r>
            <w:r>
              <w:rPr>
                <w:rFonts w:hint="eastAsia" w:ascii="仿宋" w:hAnsi="仿宋" w:eastAsia="仿宋" w:cs="仿宋"/>
                <w:sz w:val="24"/>
              </w:rPr>
              <w:t>时间：</w:t>
            </w:r>
            <w:r>
              <w:rPr>
                <w:rFonts w:ascii="仿宋" w:hAnsi="仿宋" w:eastAsia="仿宋" w:cs="仿宋"/>
                <w:sz w:val="24"/>
              </w:rPr>
              <w:t>,地点：，联系人：，联系方式：。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10</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样品提供</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sdt>
                  <w:sdtPr>
                    <w:rPr>
                      <w:rFonts w:hint="eastAsia" w:ascii="仿宋" w:hAnsi="仿宋" w:eastAsia="仿宋" w:cs="仿宋"/>
                      <w:kern w:val="0"/>
                      <w:sz w:val="24"/>
                    </w:rPr>
                    <w:id w:val="-1426415208"/>
                  </w:sdtPr>
                  <w:sdtEndPr>
                    <w:rPr>
                      <w:rFonts w:hint="eastAsia" w:ascii="仿宋" w:hAnsi="仿宋" w:eastAsia="仿宋" w:cs="仿宋"/>
                      <w:kern w:val="0"/>
                      <w:sz w:val="24"/>
                    </w:rPr>
                  </w:sdtEndPr>
                  <w:sdtContent>
                    <w:r>
                      <w:rPr>
                        <w:rFonts w:ascii="仿宋" w:hAnsi="仿宋" w:eastAsia="仿宋" w:cs="仿宋"/>
                        <w:kern w:val="0"/>
                        <w:sz w:val="24"/>
                      </w:rPr>
                      <w:sym w:font="Wingdings" w:char="F0FE"/>
                    </w:r>
                  </w:sdtContent>
                </w:sdt>
              </w:sdtContent>
            </w:sdt>
            <w:r>
              <w:rPr>
                <w:rFonts w:ascii="仿宋" w:hAnsi="仿宋" w:eastAsia="仿宋" w:cs="仿宋"/>
                <w:kern w:val="0"/>
                <w:sz w:val="24"/>
              </w:rPr>
              <w:t>A</w:t>
            </w:r>
            <w:r>
              <w:rPr>
                <w:rFonts w:hint="eastAsia" w:ascii="仿宋" w:hAnsi="仿宋" w:eastAsia="仿宋" w:cs="仿宋"/>
                <w:sz w:val="24"/>
              </w:rPr>
              <w:t>不要求提供。</w:t>
            </w:r>
          </w:p>
          <w:p>
            <w:pPr>
              <w:snapToGrid w:val="0"/>
              <w:spacing w:line="360" w:lineRule="exact"/>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ascii="仿宋" w:hAnsi="仿宋" w:eastAsia="仿宋" w:cs="仿宋"/>
                <w:kern w:val="0"/>
                <w:sz w:val="24"/>
              </w:rPr>
              <w:t>B要求提供，</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snapToGrid w:val="0"/>
              <w:spacing w:line="36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napToGrid w:val="0"/>
              <w:spacing w:line="360" w:lineRule="exact"/>
              <w:rPr>
                <w:rFonts w:ascii="仿宋" w:hAnsi="仿宋" w:eastAsia="仿宋" w:cs="仿宋"/>
                <w:sz w:val="24"/>
              </w:rPr>
            </w:pPr>
            <w:r>
              <w:rPr>
                <w:rFonts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napToGrid w:val="0"/>
              <w:spacing w:line="360" w:lineRule="exact"/>
              <w:rPr>
                <w:rFonts w:ascii="仿宋" w:hAnsi="仿宋" w:eastAsia="仿宋" w:cs="仿宋"/>
                <w:b/>
                <w:sz w:val="24"/>
              </w:rPr>
            </w:pPr>
            <w:r>
              <w:rPr>
                <w:rFonts w:hint="eastAsia" w:ascii="仿宋" w:hAnsi="仿宋" w:eastAsia="仿宋" w:cs="仿宋"/>
                <w:sz w:val="24"/>
              </w:rPr>
              <w:t>（</w:t>
            </w:r>
            <w:r>
              <w:rPr>
                <w:rFonts w:ascii="仿宋" w:hAnsi="仿宋" w:eastAsia="仿宋" w:cs="仿宋"/>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11</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
                <w:sz w:val="24"/>
              </w:rPr>
              <w:t>方案讲解演示</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316918849"/>
                  </w:sdtPr>
                  <w:sdtEndPr>
                    <w:rPr>
                      <w:rFonts w:hint="eastAsia" w:ascii="仿宋" w:hAnsi="仿宋" w:eastAsia="仿宋" w:cs="仿宋"/>
                      <w:kern w:val="0"/>
                      <w:sz w:val="24"/>
                    </w:rPr>
                  </w:sdtEndPr>
                  <w:sdtContent>
                    <w:r>
                      <w:rPr>
                        <w:rFonts w:ascii="仿宋" w:hAnsi="仿宋" w:eastAsia="仿宋" w:cs="仿宋"/>
                        <w:kern w:val="0"/>
                        <w:sz w:val="24"/>
                      </w:rPr>
                      <w:sym w:font="Wingdings" w:char="F0FE"/>
                    </w:r>
                  </w:sdtContent>
                </w:sdt>
              </w:sdtContent>
            </w:sdt>
            <w:r>
              <w:rPr>
                <w:rFonts w:ascii="仿宋" w:hAnsi="仿宋" w:eastAsia="仿宋" w:cs="仿宋"/>
                <w:kern w:val="0"/>
                <w:sz w:val="24"/>
              </w:rPr>
              <w:t>A</w:t>
            </w:r>
            <w:r>
              <w:rPr>
                <w:rFonts w:hint="eastAsia" w:ascii="仿宋" w:hAnsi="仿宋" w:eastAsia="仿宋" w:cs="仿宋"/>
                <w:sz w:val="24"/>
              </w:rPr>
              <w:t>不组织。</w:t>
            </w:r>
          </w:p>
          <w:p>
            <w:pPr>
              <w:snapToGrid w:val="0"/>
              <w:spacing w:line="360" w:lineRule="exact"/>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ascii="仿宋" w:hAnsi="仿宋" w:eastAsia="仿宋" w:cs="仿宋"/>
                <w:kern w:val="0"/>
                <w:sz w:val="24"/>
              </w:rPr>
              <w:t>B组织。</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1）在评标时安排每个供应商进行方案讲解演示。每个供应商时间不超过20分钟，讲解次序以响应文件解密时间先后次序为准，讲解演示人员不超过3人。讲解演示结束后按要求解答</w:t>
            </w:r>
            <w:r>
              <w:rPr>
                <w:rFonts w:hint="eastAsia" w:ascii="仿宋" w:hAnsi="仿宋" w:eastAsia="仿宋" w:cs="仿宋"/>
                <w:kern w:val="0"/>
                <w:sz w:val="24"/>
              </w:rPr>
              <w:t>磋商小组提问。</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2）方案讲解演示可选择以下其中一种方式：</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方式二：交易中心现场讲解演示。现场讲解地点为，讲解演示所用电脑等设备由供应商自备。现场讲解演示人员进场时提供讲解人员名单（加盖公章）及身份证明，否则不得讲解演示。</w:t>
            </w:r>
          </w:p>
          <w:p>
            <w:pPr>
              <w:snapToGrid w:val="0"/>
              <w:spacing w:line="360" w:lineRule="exact"/>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 xml:space="preserve"> 12</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是否允许采购进口产品</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kern w:val="0"/>
                <w:sz w:val="24"/>
              </w:rPr>
            </w:pPr>
            <w:r>
              <w:rPr>
                <w:rFonts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snapToGrid w:val="0"/>
              <w:spacing w:line="360" w:lineRule="exact"/>
              <w:rPr>
                <w:rFonts w:ascii="仿宋" w:hAnsi="仿宋" w:eastAsia="仿宋" w:cs="仿宋"/>
                <w:sz w:val="24"/>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13</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项目属性</w:t>
            </w:r>
          </w:p>
        </w:tc>
        <w:tc>
          <w:tcPr>
            <w:tcW w:w="658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r>
              <w:rPr>
                <w:rFonts w:ascii="Segoe UI Symbol" w:hAnsi="Segoe UI Symbol" w:eastAsia="仿宋" w:cs="Segoe UI Symbol"/>
                <w:kern w:val="0"/>
                <w:sz w:val="24"/>
              </w:rPr>
              <w:t>☐</w:t>
            </w:r>
            <w:r>
              <w:rPr>
                <w:rFonts w:ascii="仿宋" w:hAnsi="仿宋" w:eastAsia="仿宋" w:cs="仿宋"/>
                <w:kern w:val="0"/>
                <w:sz w:val="24"/>
              </w:rPr>
              <w:t>A</w:t>
            </w:r>
            <w:r>
              <w:rPr>
                <w:rFonts w:hint="eastAsia" w:ascii="仿宋" w:hAnsi="仿宋" w:eastAsia="仿宋" w:cs="仿宋"/>
                <w:kern w:val="0"/>
                <w:sz w:val="24"/>
              </w:rPr>
              <w:t>货物类，单一产品或核心产品为：。</w:t>
            </w:r>
          </w:p>
          <w:p>
            <w:pPr>
              <w:snapToGrid w:val="0"/>
              <w:spacing w:line="360" w:lineRule="exact"/>
              <w:rPr>
                <w:rFonts w:ascii="仿宋" w:hAnsi="仿宋" w:eastAsia="仿宋" w:cs="仿宋"/>
                <w:kern w:val="0"/>
                <w:sz w:val="24"/>
              </w:rPr>
            </w:pPr>
            <w:r>
              <w:rPr>
                <w:rFonts w:ascii="仿宋" w:hAnsi="仿宋" w:eastAsia="仿宋" w:cs="仿宋"/>
                <w:kern w:val="0"/>
                <w:sz w:val="24"/>
              </w:rPr>
              <w:sym w:font="Wingdings" w:char="F0FE"/>
            </w:r>
            <w:r>
              <w:rPr>
                <w:rFonts w:ascii="仿宋" w:hAnsi="仿宋" w:eastAsia="仿宋" w:cs="仿宋"/>
                <w:kern w:val="0"/>
                <w:sz w:val="24"/>
              </w:rPr>
              <w:t>B</w:t>
            </w:r>
            <w:r>
              <w:rPr>
                <w:rFonts w:hint="eastAsia" w:ascii="仿宋" w:hAnsi="仿宋" w:eastAsia="仿宋" w:cs="仿宋"/>
                <w:kern w:val="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14</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586" w:type="dxa"/>
            <w:tcBorders>
              <w:top w:val="single" w:color="000000" w:sz="8" w:space="0"/>
              <w:left w:val="single" w:color="000000" w:sz="2" w:space="0"/>
              <w:bottom w:val="single" w:color="000000" w:sz="8" w:space="0"/>
              <w:right w:val="single" w:color="000000" w:sz="8" w:space="0"/>
            </w:tcBorders>
            <w:vAlign w:val="center"/>
          </w:tcPr>
          <w:p>
            <w:pPr>
              <w:pStyle w:val="5"/>
              <w:adjustRightInd w:val="0"/>
              <w:snapToGrid w:val="0"/>
              <w:spacing w:line="360" w:lineRule="exact"/>
              <w:ind w:left="0" w:firstLine="0"/>
              <w:rPr>
                <w:rFonts w:ascii="仿宋" w:eastAsia="仿宋" w:cs="仿宋"/>
                <w:sz w:val="24"/>
                <w:szCs w:val="24"/>
                <w:lang w:val="en-US"/>
              </w:rPr>
            </w:pPr>
            <w:r>
              <w:rPr>
                <w:rFonts w:hint="eastAsia" w:ascii="仿宋" w:eastAsia="仿宋" w:cs="仿宋"/>
                <w:b w:val="0"/>
                <w:bCs w:val="0"/>
                <w:kern w:val="0"/>
                <w:sz w:val="24"/>
                <w:szCs w:val="24"/>
                <w:lang w:val="en-US"/>
              </w:rPr>
              <w:t>本次采购标的为</w:t>
            </w:r>
            <w:r>
              <w:rPr>
                <w:rFonts w:hint="eastAsia" w:ascii="仿宋" w:eastAsia="仿宋" w:cs="仿宋"/>
                <w:b w:val="0"/>
                <w:bCs w:val="0"/>
                <w:kern w:val="0"/>
                <w:sz w:val="24"/>
                <w:szCs w:val="24"/>
                <w:lang w:val="en-US" w:eastAsia="zh-CN"/>
              </w:rPr>
              <w:t>临安区农村建设用地信息调查服务项目</w:t>
            </w:r>
            <w:r>
              <w:rPr>
                <w:rFonts w:hint="eastAsia" w:ascii="仿宋" w:eastAsia="仿宋" w:cs="仿宋"/>
                <w:b w:val="0"/>
                <w:bCs w:val="0"/>
                <w:kern w:val="0"/>
                <w:sz w:val="24"/>
                <w:szCs w:val="24"/>
                <w:lang w:val="en-US"/>
              </w:rPr>
              <w:t>，对应的中小企业划分标准所属行业是：其他未列明行业；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15</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节能产品、环境标志产品</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30" w:type="dxa"/>
            <w:vMerge w:val="restart"/>
            <w:tcBorders>
              <w:top w:val="single" w:color="auto" w:sz="4" w:space="0"/>
              <w:left w:val="single" w:color="000000" w:sz="8"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16</w:t>
            </w:r>
          </w:p>
        </w:tc>
        <w:tc>
          <w:tcPr>
            <w:tcW w:w="2066" w:type="dxa"/>
            <w:vMerge w:val="restart"/>
            <w:tcBorders>
              <w:top w:val="single" w:color="000000" w:sz="8" w:space="0"/>
              <w:left w:val="single" w:color="000000" w:sz="2"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中小企业信用融资</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ind w:firstLine="480" w:firstLineChars="200"/>
              <w:rPr>
                <w:rFonts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30" w:type="dxa"/>
            <w:vMerge w:val="continue"/>
            <w:tcBorders>
              <w:left w:val="single" w:color="000000" w:sz="8" w:space="0"/>
              <w:right w:val="single" w:color="000000" w:sz="2" w:space="0"/>
            </w:tcBorders>
            <w:vAlign w:val="center"/>
          </w:tcPr>
          <w:p>
            <w:pPr>
              <w:snapToGrid w:val="0"/>
              <w:spacing w:line="360" w:lineRule="exact"/>
              <w:ind w:firstLine="480" w:firstLineChars="200"/>
              <w:rPr>
                <w:rFonts w:ascii="仿宋" w:hAnsi="仿宋" w:eastAsia="仿宋" w:cs="仿宋"/>
                <w:sz w:val="24"/>
              </w:rPr>
            </w:pPr>
          </w:p>
        </w:tc>
        <w:tc>
          <w:tcPr>
            <w:tcW w:w="2066" w:type="dxa"/>
            <w:vMerge w:val="continue"/>
            <w:tcBorders>
              <w:left w:val="single" w:color="000000" w:sz="2" w:space="0"/>
              <w:right w:val="single" w:color="000000" w:sz="8" w:space="0"/>
            </w:tcBorders>
            <w:vAlign w:val="center"/>
          </w:tcPr>
          <w:p>
            <w:pPr>
              <w:snapToGrid w:val="0"/>
              <w:spacing w:line="360" w:lineRule="exact"/>
              <w:ind w:firstLine="480" w:firstLineChars="200"/>
              <w:rPr>
                <w:rFonts w:ascii="仿宋" w:hAnsi="仿宋" w:eastAsia="仿宋" w:cs="仿宋"/>
                <w:sz w:val="24"/>
              </w:rPr>
            </w:pP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供应商成交后也可在“政采云”平台申请政采贷：操作路径：登录政采云平台</w:t>
            </w:r>
            <w:r>
              <w:rPr>
                <w:rFonts w:ascii="仿宋" w:hAnsi="仿宋" w:eastAsia="仿宋" w:cs="仿宋"/>
                <w:snapToGrid w:val="0"/>
                <w:kern w:val="28"/>
                <w:sz w:val="24"/>
              </w:rPr>
              <w:t xml:space="preserve"> - </w:t>
            </w:r>
            <w:r>
              <w:rPr>
                <w:rFonts w:hint="eastAsia" w:ascii="仿宋" w:hAnsi="仿宋" w:eastAsia="仿宋" w:cs="仿宋"/>
                <w:snapToGrid w:val="0"/>
                <w:kern w:val="28"/>
                <w:sz w:val="24"/>
              </w:rPr>
              <w:t>金融服务中心</w:t>
            </w:r>
            <w:r>
              <w:rPr>
                <w:rFonts w:ascii="仿宋" w:hAnsi="仿宋" w:eastAsia="仿宋" w:cs="仿宋"/>
                <w:snapToGrid w:val="0"/>
                <w:kern w:val="28"/>
                <w:sz w:val="24"/>
              </w:rPr>
              <w:t xml:space="preserve">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17</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备份响应文件送达地点和签收人员</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ind w:firstLine="480" w:firstLineChars="200"/>
              <w:rPr>
                <w:rFonts w:ascii="仿宋" w:hAnsi="仿宋" w:eastAsia="仿宋" w:cs="仿宋"/>
                <w:b/>
                <w:bCs/>
                <w:snapToGrid w:val="0"/>
                <w:kern w:val="28"/>
                <w:sz w:val="24"/>
              </w:rPr>
            </w:pPr>
            <w:r>
              <w:rPr>
                <w:rFonts w:hint="eastAsia" w:ascii="仿宋" w:hAnsi="仿宋" w:eastAsia="仿宋" w:cs="仿宋"/>
                <w:snapToGrid w:val="0"/>
                <w:kern w:val="28"/>
                <w:sz w:val="24"/>
              </w:rPr>
              <w:t>（</w:t>
            </w:r>
            <w:r>
              <w:rPr>
                <w:rFonts w:ascii="仿宋" w:hAnsi="仿宋" w:eastAsia="仿宋" w:cs="仿宋"/>
                <w:snapToGrid w:val="0"/>
                <w:kern w:val="28"/>
                <w:sz w:val="24"/>
              </w:rPr>
              <w:t>1</w:t>
            </w:r>
            <w:r>
              <w:rPr>
                <w:rFonts w:hint="eastAsia" w:ascii="仿宋" w:hAnsi="仿宋" w:eastAsia="仿宋" w:cs="仿宋"/>
                <w:snapToGrid w:val="0"/>
                <w:kern w:val="28"/>
                <w:sz w:val="24"/>
              </w:rPr>
              <w:t>）“备份磋商响应文件”：密封包装后（邮寄形式）首次响应截止时间前递交一份（邮寄地址：杭州市临安区锦北街道马溪路667号1号楼2楼</w:t>
            </w:r>
            <w:r>
              <w:rPr>
                <w:rFonts w:ascii="仿宋" w:hAnsi="仿宋" w:eastAsia="仿宋" w:cs="仿宋"/>
                <w:snapToGrid w:val="0"/>
                <w:kern w:val="28"/>
                <w:sz w:val="24"/>
              </w:rPr>
              <w:t>）、收件人：</w:t>
            </w:r>
            <w:r>
              <w:rPr>
                <w:rFonts w:hint="eastAsia" w:ascii="仿宋" w:hAnsi="仿宋" w:eastAsia="仿宋" w:cs="仿宋"/>
                <w:snapToGrid w:val="0"/>
                <w:kern w:val="28"/>
                <w:sz w:val="24"/>
              </w:rPr>
              <w:t>马丽</w:t>
            </w:r>
            <w:r>
              <w:rPr>
                <w:rFonts w:ascii="仿宋" w:hAnsi="仿宋" w:eastAsia="仿宋" w:cs="仿宋"/>
                <w:snapToGrid w:val="0"/>
                <w:kern w:val="28"/>
                <w:sz w:val="24"/>
              </w:rPr>
              <w:t>、联系电话：</w:t>
            </w:r>
            <w:r>
              <w:rPr>
                <w:rFonts w:hint="eastAsia" w:ascii="仿宋" w:hAnsi="仿宋" w:eastAsia="仿宋" w:cs="仿宋"/>
                <w:snapToGrid w:val="0"/>
                <w:kern w:val="28"/>
                <w:sz w:val="24"/>
              </w:rPr>
              <w:t>0571-61091202</w:t>
            </w:r>
            <w:r>
              <w:rPr>
                <w:rFonts w:ascii="仿宋" w:hAnsi="仿宋" w:eastAsia="仿宋" w:cs="仿宋"/>
                <w:snapToGrid w:val="0"/>
                <w:kern w:val="28"/>
                <w:sz w:val="24"/>
              </w:rPr>
              <w:t>）。</w:t>
            </w:r>
            <w:r>
              <w:rPr>
                <w:rFonts w:hint="eastAsia" w:ascii="仿宋" w:hAnsi="仿宋" w:eastAsia="仿宋" w:cs="仿宋"/>
                <w:b/>
                <w:bCs/>
                <w:snapToGrid w:val="0"/>
                <w:kern w:val="28"/>
                <w:sz w:val="24"/>
              </w:rPr>
              <w:t>采购人、采购机构不强制或变相强制供应商提交备份磋商响应文件。</w:t>
            </w:r>
          </w:p>
          <w:p>
            <w:pPr>
              <w:snapToGrid w:val="0"/>
              <w:spacing w:line="360" w:lineRule="exact"/>
              <w:ind w:firstLine="480" w:firstLineChars="200"/>
              <w:rPr>
                <w:rFonts w:ascii="仿宋" w:hAnsi="仿宋" w:eastAsia="仿宋" w:cs="仿宋"/>
                <w:sz w:val="24"/>
              </w:rPr>
            </w:pPr>
            <w:r>
              <w:rPr>
                <w:rFonts w:ascii="仿宋" w:hAnsi="仿宋" w:eastAsia="仿宋" w:cs="仿宋"/>
                <w:snapToGrid w:val="0"/>
                <w:kern w:val="28"/>
                <w:sz w:val="24"/>
              </w:rPr>
              <w:t>(</w:t>
            </w:r>
            <w:r>
              <w:rPr>
                <w:rFonts w:hint="eastAsia" w:ascii="仿宋" w:hAnsi="仿宋" w:eastAsia="仿宋" w:cs="仿宋"/>
                <w:snapToGrid w:val="0"/>
                <w:kern w:val="28"/>
                <w:sz w:val="24"/>
              </w:rPr>
              <w:t>2</w:t>
            </w:r>
            <w:r>
              <w:rPr>
                <w:rFonts w:ascii="仿宋" w:hAnsi="仿宋" w:eastAsia="仿宋" w:cs="仿宋"/>
                <w:snapToGrid w:val="0"/>
                <w:kern w:val="28"/>
                <w:sz w:val="24"/>
              </w:rPr>
              <w:t>)第一成交候选人在评标结束后2天内向采购代理机构提供</w:t>
            </w:r>
            <w:r>
              <w:rPr>
                <w:rFonts w:hint="eastAsia" w:ascii="仿宋" w:hAnsi="仿宋" w:eastAsia="仿宋" w:cs="仿宋"/>
                <w:snapToGrid w:val="0"/>
                <w:kern w:val="28"/>
                <w:sz w:val="24"/>
              </w:rPr>
              <w:t>2</w:t>
            </w:r>
            <w:r>
              <w:rPr>
                <w:rFonts w:ascii="仿宋" w:hAnsi="仿宋" w:eastAsia="仿宋" w:cs="仿宋"/>
                <w:snapToGrid w:val="0"/>
                <w:kern w:val="28"/>
                <w:sz w:val="24"/>
              </w:rPr>
              <w:t>套纸质版磋商响应文件。并确保纸质磋商响应文件与最终上传电子加密磋商响应文件一致，因纸质磋商响应文件与电子磋商响应文件不一致产生的一切后果，均由</w:t>
            </w:r>
            <w:r>
              <w:rPr>
                <w:rFonts w:hint="eastAsia" w:ascii="仿宋" w:hAnsi="仿宋" w:eastAsia="仿宋" w:cs="仿宋"/>
                <w:snapToGrid w:val="0"/>
                <w:kern w:val="28"/>
                <w:sz w:val="24"/>
              </w:rPr>
              <w:t>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18</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采购代理服务费</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napToGrid w:val="0"/>
                <w:kern w:val="28"/>
                <w:sz w:val="24"/>
              </w:rPr>
            </w:pPr>
            <w:r>
              <w:rPr>
                <w:rFonts w:hint="eastAsia" w:ascii="仿宋" w:hAnsi="仿宋" w:eastAsia="仿宋" w:cs="仿宋"/>
                <w:kern w:val="0"/>
                <w:sz w:val="24"/>
              </w:rPr>
              <w:t>采购代理服务费按发改价格〔2011〕534号文件、国家发改委计价格〔2002〕1980号文件规定收费标准的80%（最低4000元）由中标人支付，专家评审费另行支付费用在发出中标通知书之前结清。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19</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特别说明</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无</w:t>
            </w:r>
            <w:r>
              <w:rPr>
                <w:rFonts w:hint="eastAsia" w:ascii="仿宋" w:hAnsi="仿宋" w:eastAsia="仿宋" w:cs="仿宋"/>
                <w:b/>
                <w:kern w:val="0"/>
                <w:sz w:val="24"/>
              </w:rPr>
              <w:t>。</w:t>
            </w:r>
          </w:p>
        </w:tc>
      </w:tr>
    </w:tbl>
    <w:p>
      <w:pPr>
        <w:snapToGrid w:val="0"/>
        <w:spacing w:line="360" w:lineRule="auto"/>
        <w:jc w:val="center"/>
        <w:rPr>
          <w:rFonts w:ascii="仿宋" w:hAnsi="仿宋" w:eastAsia="仿宋" w:cs="仿宋"/>
          <w:b/>
          <w:sz w:val="32"/>
          <w:szCs w:val="20"/>
        </w:rPr>
      </w:pPr>
    </w:p>
    <w:bookmarkEnd w:id="10"/>
    <w:p>
      <w:pPr>
        <w:adjustRightInd/>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本采购文件适用于该项目的招标、投标、开标、资格审查及信用信息查询、评标、定标、合同、验收等行为（法律、法规另有规定的，从其规定）。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“采购人”系指竞争性磋商公告中载明的本项目的采购人。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“采购机构”系指竞争性磋商公告中载明的本项目的采购机构。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r>
        <w:rPr>
          <w:rFonts w:hint="eastAsia" w:ascii="仿宋" w:hAnsi="仿宋" w:eastAsia="仿宋" w:cs="仿宋"/>
          <w:kern w:val="0"/>
          <w:szCs w:val="21"/>
        </w:rPr>
        <w:sym w:font="Wingdings" w:char="00FE"/>
      </w:r>
      <w:r>
        <w:rPr>
          <w:rFonts w:hint="eastAsia" w:ascii="仿宋" w:hAnsi="仿宋" w:eastAsia="仿宋" w:cs="仿宋"/>
          <w:sz w:val="24"/>
        </w:rPr>
        <w:t>”系指适用本项目的要求，“</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sdt>
            <w:sdtPr>
              <w:rPr>
                <w:rFonts w:hint="eastAsia" w:ascii="仿宋" w:hAnsi="仿宋" w:eastAsia="仿宋" w:cs="仿宋"/>
                <w:kern w:val="0"/>
                <w:szCs w:val="21"/>
              </w:rPr>
              <w:id w:val="-1828425707"/>
            </w:sdtPr>
            <w:sdtEndPr>
              <w:rPr>
                <w:rFonts w:hint="eastAsia" w:ascii="仿宋" w:hAnsi="仿宋" w:eastAsia="仿宋" w:cs="仿宋"/>
                <w:kern w:val="0"/>
                <w:szCs w:val="21"/>
              </w:rPr>
            </w:sdtEndPr>
            <w:sdtContent>
              <w:r>
                <w:rPr>
                  <w:rFonts w:hint="eastAsia" w:ascii="仿宋" w:hAnsi="仿宋" w:eastAsia="仿宋" w:cs="仿宋"/>
                  <w:kern w:val="0"/>
                  <w:szCs w:val="21"/>
                </w:rPr>
                <w:sym w:font="Wingdings" w:char="00A8"/>
              </w:r>
            </w:sdtContent>
          </w:sdt>
        </w:sdtContent>
      </w:sdt>
      <w:r>
        <w:rPr>
          <w:rFonts w:hint="eastAsia" w:ascii="仿宋" w:hAnsi="仿宋" w:eastAsia="仿宋" w:cs="仿宋"/>
          <w:sz w:val="24"/>
        </w:rPr>
        <w:t>”系指不适用本项目的要求。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240" w:firstLineChars="1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采购人拟采购的产品属于政府强制采购的节能产品品目清单范围的，供应商未按采购文件要求提供国家确定的认证机构出具的、处于有效期之内的节能产品认证证书的，投标无效。</w:t>
      </w:r>
    </w:p>
    <w:p>
      <w:pPr>
        <w:spacing w:line="360" w:lineRule="auto"/>
        <w:rPr>
          <w:rFonts w:ascii="仿宋" w:hAnsi="仿宋" w:eastAsia="仿宋" w:cs="仿宋"/>
          <w:b/>
          <w:bCs/>
          <w:sz w:val="24"/>
        </w:rPr>
      </w:pPr>
      <w:r>
        <w:rPr>
          <w:rFonts w:hint="eastAsia" w:ascii="仿宋" w:hAnsi="仿宋" w:eastAsia="仿宋" w:cs="仿宋"/>
          <w:b/>
          <w:bCs/>
          <w:sz w:val="24"/>
        </w:rPr>
        <w:t>▲ 3.2.2 修缮、装修类项目采购建材的，采购人将绿色建筑和绿色建材性能、指标等作为实质性条件纳入采购文件和合同。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3.3.3对于未预留份额专门面向中小企业的政府采购工程项目，以及预留份额政府采购货物或服务项目中的非预留部分标项，对小型和微型企业的响应报价给予</w:t>
      </w:r>
      <w:r>
        <w:rPr>
          <w:rFonts w:ascii="仿宋" w:hAnsi="仿宋" w:eastAsia="仿宋" w:cs="仿宋"/>
          <w:sz w:val="24"/>
        </w:rPr>
        <w:t>10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ascii="仿宋" w:hAnsi="仿宋" w:eastAsia="仿宋" w:cs="仿宋"/>
          <w:sz w:val="24"/>
        </w:rPr>
        <w:t>3</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4.2.2.1对采购文件提出质疑的，质疑期限为供应商获得采购文件之日或者采购文件公告期限届满之日起计算。</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3"/>
        <w:spacing w:line="360" w:lineRule="auto"/>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3"/>
        <w:spacing w:line="360" w:lineRule="auto"/>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3"/>
        <w:spacing w:line="360" w:lineRule="auto"/>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3"/>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3"/>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3"/>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7"/>
        <w:shd w:val="clear" w:color="auto" w:fill="FFFFFF"/>
        <w:adjustRightInd w:val="0"/>
        <w:snapToGrid w:val="0"/>
        <w:spacing w:before="0" w:beforeAutospacing="0" w:after="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adjustRightInd w:val="0"/>
        <w:snapToGrid w:val="0"/>
        <w:spacing w:before="0" w:beforeAutospacing="0" w:after="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7"/>
        <w:shd w:val="clear" w:color="auto" w:fill="FFFFFF"/>
        <w:adjustRightInd w:val="0"/>
        <w:snapToGrid w:val="0"/>
        <w:spacing w:before="0" w:beforeAutospacing="0" w:after="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87"/>
        <w:shd w:val="clear" w:color="auto" w:fill="FFFFFF"/>
        <w:adjustRightInd w:val="0"/>
        <w:snapToGrid w:val="0"/>
        <w:spacing w:before="0" w:beforeAutospacing="0" w:after="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pPr>
        <w:pStyle w:val="887"/>
        <w:shd w:val="clear" w:color="auto" w:fill="FFFFFF"/>
        <w:adjustRightInd w:val="0"/>
        <w:snapToGrid w:val="0"/>
        <w:spacing w:before="0" w:beforeAutospacing="0" w:after="0" w:afterAutospacing="0" w:line="360" w:lineRule="auto"/>
        <w:ind w:firstLine="4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1"/>
        <w:snapToGrid w:val="0"/>
        <w:spacing w:before="0"/>
        <w:ind w:firstLine="360"/>
        <w:rPr>
          <w:rFonts w:ascii="仿宋" w:hAnsi="仿宋" w:eastAsia="仿宋" w:cs="仿宋"/>
          <w:sz w:val="18"/>
          <w:szCs w:val="18"/>
        </w:rPr>
      </w:pPr>
    </w:p>
    <w:p>
      <w:pPr>
        <w:snapToGrid w:val="0"/>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二、采购文件的构成、澄清、修改</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5．采购文件的构成</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采购文件包括下列文件及附件：</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5.1.1竞争性磋商公告；</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5.1.2供应商须知；</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6. 采购文件的澄清、修改</w:t>
      </w:r>
    </w:p>
    <w:p>
      <w:pPr>
        <w:pStyle w:val="131"/>
        <w:snapToGrid w:val="0"/>
        <w:spacing w:before="0"/>
        <w:ind w:firstLine="480"/>
        <w:rPr>
          <w:rFonts w:ascii="仿宋" w:hAnsi="仿宋" w:eastAsia="仿宋" w:cs="仿宋"/>
        </w:rPr>
      </w:pPr>
      <w:r>
        <w:rPr>
          <w:rFonts w:hint="eastAsia" w:ascii="仿宋" w:hAnsi="仿宋" w:eastAsia="仿宋" w:cs="仿宋"/>
        </w:rPr>
        <w:t>6.1已获取采购文件的潜在供应商，若有问题需要澄清，应于投标截止时间前，以书面形式向采购机构提出。</w:t>
      </w:r>
    </w:p>
    <w:p>
      <w:pPr>
        <w:pStyle w:val="131"/>
        <w:snapToGrid w:val="0"/>
        <w:spacing w:before="0"/>
        <w:ind w:firstLine="480"/>
        <w:rPr>
          <w:rFonts w:ascii="仿宋" w:hAnsi="仿宋" w:eastAsia="仿宋" w:cs="仿宋"/>
        </w:rPr>
      </w:pPr>
      <w:r>
        <w:rPr>
          <w:rFonts w:hint="eastAsia" w:ascii="仿宋" w:hAnsi="仿宋" w:eastAsia="仿宋" w:cs="仿宋"/>
        </w:rPr>
        <w:t>6.2 采购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pStyle w:val="2"/>
        <w:rPr>
          <w:rFonts w:ascii="仿宋" w:hAnsi="仿宋" w:eastAsia="仿宋" w:cs="仿宋"/>
          <w:sz w:val="18"/>
          <w:szCs w:val="18"/>
          <w:lang w:val="en-US"/>
        </w:rPr>
      </w:pP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7. 采购文件的获取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采购人组织潜在供应商现场考察或者召开开标前答疑会的，潜在供应商按第二部分供应商须知前附表的规定参加现场考察或者开标前答疑会。</w:t>
      </w:r>
    </w:p>
    <w:p>
      <w:pPr>
        <w:pStyle w:val="33"/>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10. 响应文件的语言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11. 响应文件的组成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pacing w:line="360" w:lineRule="auto"/>
        <w:ind w:firstLine="720" w:firstLineChars="300"/>
        <w:rPr>
          <w:rFonts w:ascii="仿宋" w:hAnsi="仿宋" w:eastAsia="仿宋" w:cs="仿宋"/>
          <w:b/>
          <w:sz w:val="24"/>
        </w:rPr>
      </w:pPr>
      <w:r>
        <w:rPr>
          <w:rFonts w:hint="eastAsia" w:ascii="仿宋" w:hAnsi="仿宋" w:eastAsia="仿宋" w:cs="仿宋"/>
          <w:sz w:val="24"/>
          <w:szCs w:val="20"/>
        </w:rPr>
        <w:t>▲</w:t>
      </w:r>
      <w:r>
        <w:rPr>
          <w:rFonts w:hint="eastAsia" w:ascii="仿宋" w:hAnsi="仿宋" w:eastAsia="仿宋" w:cs="仿宋"/>
          <w:b/>
          <w:sz w:val="24"/>
        </w:rPr>
        <w:t>响应文件含有采购人不能接受的附加条件的，投标无效；</w:t>
      </w:r>
    </w:p>
    <w:p>
      <w:pPr>
        <w:spacing w:line="360" w:lineRule="auto"/>
        <w:ind w:firstLine="720" w:firstLineChars="300"/>
        <w:rPr>
          <w:rFonts w:ascii="仿宋" w:hAnsi="仿宋" w:eastAsia="仿宋" w:cs="仿宋"/>
          <w:b/>
          <w:sz w:val="24"/>
          <w:szCs w:val="21"/>
        </w:rPr>
      </w:pPr>
      <w:r>
        <w:rPr>
          <w:rFonts w:hint="eastAsia" w:ascii="仿宋" w:hAnsi="仿宋" w:eastAsia="仿宋" w:cs="仿宋"/>
          <w:sz w:val="24"/>
          <w:szCs w:val="20"/>
        </w:rPr>
        <w:t>▲</w:t>
      </w:r>
      <w:r>
        <w:rPr>
          <w:rFonts w:hint="eastAsia" w:ascii="仿宋" w:hAnsi="仿宋" w:eastAsia="仿宋" w:cs="仿宋"/>
          <w:b/>
          <w:sz w:val="24"/>
        </w:rPr>
        <w:t>供应商提供虚假材料投标的，投标无效。</w:t>
      </w:r>
    </w:p>
    <w:p>
      <w:pPr>
        <w:pStyle w:val="13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响应文件的编制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13.响应文件的签署、盖章</w:t>
      </w:r>
    </w:p>
    <w:p>
      <w:pPr>
        <w:pStyle w:val="131"/>
        <w:snapToGrid w:val="0"/>
        <w:spacing w:before="0"/>
        <w:ind w:firstLine="480"/>
        <w:rPr>
          <w:rFonts w:ascii="仿宋" w:hAnsi="仿宋" w:eastAsia="仿宋" w:cs="仿宋"/>
          <w:b/>
        </w:rPr>
      </w:pPr>
      <w:r>
        <w:rPr>
          <w:rFonts w:hint="eastAsia" w:ascii="仿宋" w:hAnsi="仿宋" w:eastAsia="仿宋" w:cs="仿宋"/>
          <w:szCs w:val="24"/>
        </w:rPr>
        <w:t>13.1响应文件按照采购文件第六部分格式要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▲供应商的响应文件未按照采购文件要求签署、盖章的，其投标无效</w:t>
      </w:r>
      <w:r>
        <w:rPr>
          <w:rFonts w:hint="eastAsia" w:ascii="仿宋" w:hAnsi="仿宋" w:eastAsia="仿宋" w:cs="仿宋"/>
          <w:szCs w:val="24"/>
        </w:rPr>
        <w:t>。</w:t>
      </w:r>
    </w:p>
    <w:p>
      <w:pPr>
        <w:pStyle w:val="131"/>
        <w:snapToGrid w:val="0"/>
        <w:spacing w:before="0"/>
        <w:ind w:firstLine="480"/>
        <w:rPr>
          <w:rFonts w:ascii="仿宋" w:hAnsi="仿宋" w:eastAsia="仿宋" w:cs="仿宋"/>
        </w:rPr>
      </w:pPr>
      <w:r>
        <w:rPr>
          <w:rFonts w:hint="eastAsia" w:ascii="仿宋" w:hAnsi="仿宋" w:eastAsia="仿宋" w:cs="仿宋"/>
        </w:rPr>
        <w:t>13.2为确保网上操作合法、有效和安全，供应商应当在投标截止时间前完成在“政府采购云平台”的身份认证，确保在电子投标过程中能够对相关数据电文进行加密和使用电子签名。</w:t>
      </w:r>
    </w:p>
    <w:p>
      <w:pPr>
        <w:pStyle w:val="131"/>
        <w:snapToGrid w:val="0"/>
        <w:spacing w:before="0"/>
        <w:ind w:firstLine="480"/>
        <w:rPr>
          <w:rFonts w:ascii="仿宋" w:hAnsi="仿宋" w:eastAsia="仿宋" w:cs="仿宋"/>
          <w:szCs w:val="24"/>
        </w:rPr>
      </w:pPr>
      <w:r>
        <w:rPr>
          <w:rFonts w:hint="eastAsia" w:ascii="仿宋" w:hAnsi="仿宋" w:eastAsia="仿宋" w:cs="仿宋"/>
        </w:rPr>
        <w:t>13.3采购文件对响应文件签署、盖章的要求适用于电子签名。</w:t>
      </w:r>
    </w:p>
    <w:p>
      <w:pPr>
        <w:pStyle w:val="131"/>
        <w:snapToGrid w:val="0"/>
        <w:spacing w:before="0"/>
        <w:ind w:firstLine="0" w:firstLineChars="0"/>
        <w:rPr>
          <w:rFonts w:ascii="仿宋" w:hAnsi="仿宋" w:eastAsia="仿宋" w:cs="仿宋"/>
          <w:b/>
          <w:szCs w:val="24"/>
        </w:rPr>
      </w:pPr>
      <w:r>
        <w:rPr>
          <w:rFonts w:hint="eastAsia" w:ascii="仿宋" w:hAnsi="仿宋" w:eastAsia="仿宋" w:cs="仿宋"/>
          <w:b/>
          <w:szCs w:val="24"/>
        </w:rPr>
        <w:t>14. 响应文件的提交、补充、修改、撤回</w:t>
      </w:r>
    </w:p>
    <w:p>
      <w:pPr>
        <w:pStyle w:val="131"/>
        <w:snapToGrid w:val="0"/>
        <w:ind w:firstLine="480"/>
        <w:rPr>
          <w:rFonts w:ascii="仿宋" w:hAnsi="仿宋" w:eastAsia="仿宋" w:cs="仿宋"/>
          <w:szCs w:val="24"/>
        </w:rPr>
      </w:pPr>
      <w:r>
        <w:rPr>
          <w:rFonts w:hint="eastAsia" w:ascii="仿宋" w:hAnsi="仿宋" w:eastAsia="仿宋" w:cs="仿宋"/>
          <w:szCs w:val="24"/>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pPr>
        <w:pStyle w:val="131"/>
        <w:snapToGrid w:val="0"/>
        <w:spacing w:before="0"/>
        <w:ind w:firstLine="480"/>
        <w:rPr>
          <w:rFonts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14.2电子交易平台收到响应文件，将妥善保存并即时向供应商发出确认回执通知。在投标截止时间前，除供应商补充、修改或者撤回响应文件外，任何单位和个人不得解密或提取响应文件。</w:t>
      </w:r>
    </w:p>
    <w:p>
      <w:pPr>
        <w:pStyle w:val="131"/>
        <w:spacing w:before="0"/>
        <w:ind w:firstLine="480"/>
        <w:rPr>
          <w:rFonts w:ascii="仿宋" w:hAnsi="仿宋" w:eastAsia="仿宋" w:cs="仿宋"/>
          <w:szCs w:val="24"/>
        </w:rPr>
      </w:pPr>
      <w:r>
        <w:rPr>
          <w:rFonts w:hint="eastAsia" w:ascii="仿宋" w:hAnsi="仿宋" w:eastAsia="仿宋" w:cs="仿宋"/>
          <w:szCs w:val="24"/>
        </w:rPr>
        <w:t>14.3采购人、采购机构可以视情况延长响应文件提交的截止时间。在上述情况下，采购机构与供应商以前在投标截止期方面的全部权利、责任和义务，将适用于延长至新的投标截止期。</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15.备份响应文件</w:t>
      </w:r>
    </w:p>
    <w:p>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15.1供应商在电子交易平台传输递交响应文件后，还可以在投标截止时间前直接提交或者以邮政快递方式递交备份响应文件1份，</w:t>
      </w:r>
      <w:r>
        <w:rPr>
          <w:rFonts w:hint="eastAsia" w:ascii="仿宋" w:hAnsi="仿宋" w:eastAsia="仿宋" w:cs="仿宋"/>
          <w:b/>
          <w:sz w:val="24"/>
          <w:szCs w:val="24"/>
        </w:rPr>
        <w:t>但采购人、采购机构不强制或变相强制供应商提交备份响应文件。</w:t>
      </w:r>
    </w:p>
    <w:p>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15.2备份响应文件须在“政采云投标客户端”制作生成，并储存在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中。备份响应文件应当密封包装并在包装上加盖公章并注明投标项目名称，供应商名称(联合体投标的，包装物封面需注明联合体投标，并注明联合体成员各方的名称和联合协议中约定的牵头人的名称)。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15.3直接提交备份响应文件的，供应商应于投标截止时间前在竞争性磋商公告中载明的开标地点将备份响应文件提交给采购机构，采购机构将拒绝接受逾期送达的备份响应文件。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15.4以邮政快递方式递交备份响应文件的，供应商应先将备份响应文件按要求密封和标记，再进行邮政快递包装后邮寄。备份响应文件须在投标截止时间之前送达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送达时间以签收人签收时间为准。采购机构将拒绝接受逾期送达的备份响应文件。邮寄过程中，电子备份响应文件发生泄露、遗失、损坏或延期送达等情况的，由供应商自行负责。</w:t>
      </w:r>
    </w:p>
    <w:p>
      <w:pPr>
        <w:pStyle w:val="33"/>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w:t>
      </w:r>
      <w:r>
        <w:rPr>
          <w:rFonts w:hint="eastAsia" w:ascii="仿宋" w:hAnsi="仿宋" w:eastAsia="仿宋" w:cs="仿宋"/>
          <w:sz w:val="24"/>
          <w:szCs w:val="20"/>
        </w:rPr>
        <w:t>▲</w:t>
      </w:r>
      <w:r>
        <w:rPr>
          <w:rFonts w:hint="eastAsia" w:ascii="仿宋" w:hAnsi="仿宋" w:eastAsia="仿宋" w:cs="仿宋"/>
          <w:b/>
          <w:sz w:val="24"/>
          <w:szCs w:val="24"/>
        </w:rPr>
        <w:t>供应商仅提交备份响应文件，没有在电子交易平台传输递交响应文件的，投标无效。</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16.响应文件的无效处理</w:t>
      </w:r>
    </w:p>
    <w:p>
      <w:pPr>
        <w:pStyle w:val="25"/>
        <w:spacing w:line="360" w:lineRule="auto"/>
        <w:ind w:firstLine="360" w:firstLineChars="150"/>
        <w:rPr>
          <w:rFonts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诺的投标有效期少于采购文件中载明的投标有效期的，投标无效。</w:t>
      </w:r>
    </w:p>
    <w:p>
      <w:pPr>
        <w:pStyle w:val="131"/>
        <w:spacing w:before="0"/>
        <w:ind w:firstLine="480"/>
        <w:rPr>
          <w:rFonts w:ascii="仿宋" w:hAnsi="仿宋" w:eastAsia="仿宋" w:cs="仿宋"/>
        </w:rPr>
      </w:pPr>
      <w:r>
        <w:rPr>
          <w:rFonts w:hint="eastAsia" w:ascii="仿宋" w:hAnsi="仿宋" w:eastAsia="仿宋" w:cs="仿宋"/>
        </w:rPr>
        <w:t>17.2响应文件合格投递后，自投标截止日期起，在投标有效期内有效。</w:t>
      </w:r>
    </w:p>
    <w:p>
      <w:pPr>
        <w:pStyle w:val="131"/>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17.3在原定投标有效期满之前，如果出现特殊情况，采购机构可以以书面形式通知供应商延长投标有效期。供应商同意延长的，不得要求或被允许修改其响应文件，供应商拒绝延长的，其投标无效。</w:t>
      </w:r>
    </w:p>
    <w:p>
      <w:pPr>
        <w:pStyle w:val="131"/>
        <w:snapToGrid w:val="0"/>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6"/>
        <w:snapToGrid w:val="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56"/>
        <w:snapToGrid w:val="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18.1采购机构按照采购文件规定的时间通过电子交易平台组织开标，所有供应商均应当准时在线参加。供应商不足3家的，不得开标。</w:t>
      </w:r>
    </w:p>
    <w:p>
      <w:pPr>
        <w:pStyle w:val="556"/>
        <w:snapToGrid w:val="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响应文件。采购机构依托电子交易平台发起开始解密指令，供应商按照平台提示和采购文件的规定在半小时内完成在线解密。开启响应文件后，由磋商小组对磋商文件、报价文件的合理性、准确性等进行审查核实，磋商报价不予公布。</w:t>
      </w:r>
    </w:p>
    <w:p>
      <w:pPr>
        <w:pStyle w:val="556"/>
        <w:snapToGrid w:val="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响应文件未按时解密，供应商提供了备份响应文件的，以备份响应文件作为依据，否则视为响应文件撤回。响应文件已按时解密的，备份响应文件自动失效。</w:t>
      </w:r>
    </w:p>
    <w:p>
      <w:pPr>
        <w:widowControl/>
        <w:snapToGrid w:val="0"/>
        <w:spacing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1"/>
        <w:snapToGrid w:val="0"/>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19.1开标后，采购人或采购机构将依法对供应商的资格进行审查。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采购人或采购机构依据法律法规和采购文件的规定，对供应商的基本资格条件、特定资格条件进行审查。</w:t>
      </w:r>
    </w:p>
    <w:p>
      <w:pPr>
        <w:pStyle w:val="131"/>
        <w:spacing w:before="0"/>
        <w:ind w:firstLine="480"/>
        <w:rPr>
          <w:rFonts w:ascii="仿宋" w:hAnsi="仿宋" w:eastAsia="仿宋" w:cs="仿宋"/>
        </w:rPr>
      </w:pPr>
      <w:r>
        <w:rPr>
          <w:rFonts w:hint="eastAsia" w:ascii="仿宋" w:hAnsi="仿宋" w:eastAsia="仿宋" w:cs="仿宋"/>
          <w:kern w:val="0"/>
          <w:szCs w:val="24"/>
        </w:rPr>
        <w:t>19.3供应商未按照采购文件要求提供与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供应商不具备采购文件中规定的资格要求，其投标无效。</w:t>
      </w:r>
    </w:p>
    <w:p>
      <w:pPr>
        <w:pStyle w:val="131"/>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4对未通过资格审查的供应商，采购人或采购机构告知其未通过的原因。</w:t>
      </w:r>
    </w:p>
    <w:p>
      <w:pPr>
        <w:pStyle w:val="131"/>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5合格供应商不足3家的，不再评标。</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20.1信用信息查询渠道及截止时间：采购机构将通过“信用中国”网站(www.creditchina.gov.cn)、中国政府采购网(www.ccgp.gov.cn)渠道查询供应商投标截止时间当天的信用记录。</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五、竞争性磋商程序</w:t>
      </w:r>
    </w:p>
    <w:p>
      <w:pPr>
        <w:pStyle w:val="131"/>
        <w:spacing w:before="0"/>
        <w:ind w:firstLine="480"/>
        <w:rPr>
          <w:rFonts w:ascii="仿宋" w:hAnsi="仿宋" w:eastAsia="仿宋" w:cs="仿宋"/>
          <w:kern w:val="0"/>
          <w:szCs w:val="24"/>
        </w:rPr>
      </w:pPr>
      <w:bookmarkStart w:id="13" w:name="_Toc91899903"/>
      <w:r>
        <w:rPr>
          <w:rFonts w:hint="eastAsia" w:ascii="仿宋" w:hAnsi="仿宋" w:eastAsia="仿宋" w:cs="仿宋"/>
          <w:kern w:val="0"/>
          <w:szCs w:val="24"/>
        </w:rPr>
        <w:t>21.1</w:t>
      </w:r>
      <w:bookmarkStart w:id="14" w:name="_Hlk95479524"/>
      <w:r>
        <w:rPr>
          <w:rFonts w:hint="eastAsia" w:ascii="仿宋" w:hAnsi="仿宋" w:eastAsia="仿宋" w:cs="仿宋"/>
          <w:kern w:val="0"/>
          <w:szCs w:val="24"/>
        </w:rPr>
        <w:t>竞争性磋商小组应当从质量和服务均能满足采购文件实质性响应要求的供应商中，按照评审得分由高到低的顺序推荐成交候选人，并编写评审报告。评审得分相同的，按照最后报价由低到高的顺序推荐。评审得分且最后报价相同的，按照技术指标优劣顺序推荐。</w:t>
      </w:r>
    </w:p>
    <w:bookmarkEnd w:id="14"/>
    <w:p>
      <w:pPr>
        <w:pStyle w:val="131"/>
        <w:snapToGrid w:val="0"/>
        <w:spacing w:before="0"/>
        <w:ind w:firstLine="480"/>
        <w:rPr>
          <w:rFonts w:ascii="仿宋" w:hAnsi="仿宋" w:eastAsia="仿宋" w:cs="仿宋"/>
          <w:kern w:val="0"/>
          <w:szCs w:val="24"/>
        </w:rPr>
      </w:pPr>
      <w:r>
        <w:rPr>
          <w:rFonts w:hint="eastAsia" w:ascii="仿宋" w:hAnsi="仿宋" w:eastAsia="仿宋" w:cs="仿宋"/>
          <w:kern w:val="0"/>
          <w:szCs w:val="24"/>
        </w:rPr>
        <w:t>21.2评审要求。详见采购文件“第四部分”。</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pPr>
        <w:pStyle w:val="25"/>
        <w:spacing w:line="360" w:lineRule="auto"/>
        <w:ind w:left="479" w:hanging="479" w:hangingChars="199"/>
        <w:rPr>
          <w:rFonts w:ascii="仿宋" w:hAnsi="仿宋" w:eastAsia="仿宋" w:cs="仿宋"/>
          <w:b/>
        </w:rPr>
      </w:pPr>
      <w:r>
        <w:rPr>
          <w:rFonts w:hint="eastAsia" w:ascii="仿宋" w:hAnsi="仿宋" w:eastAsia="仿宋" w:cs="仿宋"/>
          <w:b/>
        </w:rPr>
        <w:t>22. 确定成交供应商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仿宋" w:hAnsi="仿宋" w:eastAsia="仿宋" w:cs="仿宋"/>
          <w:b/>
          <w:szCs w:val="24"/>
        </w:rPr>
      </w:pPr>
      <w:r>
        <w:rPr>
          <w:rFonts w:hint="eastAsia" w:ascii="仿宋" w:hAnsi="仿宋" w:eastAsia="仿宋" w:cs="仿宋"/>
          <w:b/>
          <w:szCs w:val="24"/>
        </w:rPr>
        <w:t>23. 成交通知与成交结果公告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23.1自成交供应商确定之日起2个工作日内，采购机构通过电子交易平台向成交供应商发出成交通知书，同时编制发布采购结果公告。采购机构也可以以纸质形式进行成交通知。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成交结果公告内容包括采购人及其委托的采购机构的名称、地址、联系方式，项目名称和项目编号，成交供应商名称、地址和成交金额，主要成交标的的名称、规格型号、数量、单价、服务要求，开标记录、未成交情况说明、成交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5"/>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pStyle w:val="131"/>
        <w:snapToGrid w:val="0"/>
        <w:spacing w:before="0"/>
        <w:ind w:firstLine="480"/>
        <w:rPr>
          <w:rFonts w:hint="eastAsia" w:ascii="仿宋" w:hAnsi="仿宋" w:eastAsia="仿宋" w:cs="仿宋"/>
          <w:sz w:val="24"/>
        </w:rPr>
      </w:pPr>
      <w:r>
        <w:rPr>
          <w:rFonts w:hint="eastAsia" w:ascii="仿宋" w:hAnsi="仿宋" w:eastAsia="仿宋" w:cs="仿宋"/>
          <w:sz w:val="24"/>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31"/>
        <w:snapToGrid w:val="0"/>
        <w:spacing w:before="0"/>
        <w:ind w:firstLine="480"/>
        <w:rPr>
          <w:rFonts w:ascii="仿宋" w:hAnsi="仿宋" w:eastAsia="仿宋" w:cs="仿宋"/>
          <w:kern w:val="0"/>
        </w:rPr>
      </w:pPr>
      <w:r>
        <w:rPr>
          <w:rFonts w:hint="eastAsia" w:ascii="仿宋" w:hAnsi="仿宋" w:eastAsia="仿宋" w:cs="仿宋"/>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1"/>
        <w:snapToGrid w:val="0"/>
        <w:spacing w:before="0"/>
        <w:ind w:firstLine="480"/>
        <w:rPr>
          <w:rFonts w:ascii="仿宋" w:hAnsi="仿宋" w:eastAsia="仿宋" w:cs="仿宋"/>
        </w:rPr>
      </w:pPr>
      <w:r>
        <w:rPr>
          <w:rFonts w:hint="eastAsia" w:ascii="仿宋" w:hAnsi="仿宋" w:eastAsia="仿宋" w:cs="仿宋"/>
        </w:rPr>
        <w:t>25.4成交供应商拒绝与采购人签订合同的，采购人可以按照评审报告推荐的成交候选人名单排序，确定下一候选人为成交供应商，也可以重新开展政府采购活动。</w:t>
      </w:r>
    </w:p>
    <w:p>
      <w:pPr>
        <w:pStyle w:val="131"/>
        <w:snapToGrid w:val="0"/>
        <w:spacing w:before="0" w:after="120"/>
        <w:ind w:firstLine="480"/>
        <w:rPr>
          <w:rFonts w:ascii="仿宋" w:hAnsi="仿宋" w:eastAsia="仿宋" w:cs="仿宋"/>
        </w:rPr>
      </w:pPr>
      <w:r>
        <w:rPr>
          <w:rFonts w:hint="eastAsia" w:ascii="仿宋" w:hAnsi="仿宋" w:eastAsia="仿宋" w:cs="仿宋"/>
        </w:rPr>
        <w:t>25.5采购合同由采购人与成交供应商根据采购文件、响应文件等内容通过政府采购电子交易平台在线签订，自动备案。</w:t>
      </w:r>
    </w:p>
    <w:p>
      <w:pPr>
        <w:pStyle w:val="25"/>
        <w:numPr>
          <w:ilvl w:val="0"/>
          <w:numId w:val="2"/>
        </w:numPr>
        <w:spacing w:line="360" w:lineRule="auto"/>
        <w:ind w:left="479" w:hanging="479" w:hangingChars="199"/>
        <w:rPr>
          <w:rFonts w:hint="eastAsia" w:ascii="仿宋" w:hAnsi="仿宋" w:eastAsia="仿宋" w:cs="仿宋"/>
          <w:b/>
        </w:rPr>
      </w:pPr>
      <w:r>
        <w:rPr>
          <w:rFonts w:hint="eastAsia" w:ascii="仿宋" w:hAnsi="仿宋" w:eastAsia="仿宋" w:cs="仿宋"/>
          <w:b/>
        </w:rPr>
        <w:t>履约保证金</w:t>
      </w:r>
    </w:p>
    <w:p>
      <w:pPr>
        <w:pStyle w:val="131"/>
        <w:snapToGrid w:val="0"/>
        <w:spacing w:before="0" w:after="120"/>
        <w:ind w:firstLine="480"/>
        <w:rPr>
          <w:rFonts w:hint="eastAsia" w:ascii="仿宋" w:hAnsi="仿宋" w:eastAsia="仿宋" w:cs="仿宋"/>
        </w:rPr>
      </w:pPr>
      <w:r>
        <w:rPr>
          <w:rFonts w:hint="eastAsia" w:ascii="仿宋" w:hAnsi="仿宋" w:eastAsia="仿宋" w:cs="仿宋"/>
          <w:lang w:val="en-US" w:eastAsia="zh-CN"/>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项目验收结束后应及时退还。</w:t>
      </w:r>
    </w:p>
    <w:p>
      <w:pPr>
        <w:pStyle w:val="5"/>
        <w:ind w:left="0" w:firstLine="482" w:firstLineChars="200"/>
        <w:rPr>
          <w:rFonts w:hint="eastAsia" w:ascii="仿宋" w:hAnsi="仿宋" w:eastAsia="仿宋" w:cs="仿宋"/>
          <w:kern w:val="0"/>
          <w:sz w:val="24"/>
        </w:rPr>
      </w:pPr>
      <w:r>
        <w:rPr>
          <w:rFonts w:hint="eastAsia" w:ascii="仿宋" w:hAnsi="仿宋" w:eastAsia="仿宋" w:cs="仿宋"/>
          <w:kern w:val="0"/>
          <w:sz w:val="24"/>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pStyle w:val="5"/>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pPr>
        <w:pStyle w:val="131"/>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1"/>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1"/>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1"/>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1"/>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1"/>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1304" w:right="1418" w:bottom="1321" w:left="1418" w:header="851" w:footer="992" w:gutter="0"/>
          <w:cols w:space="720" w:num="1"/>
          <w:titlePg/>
          <w:docGrid w:linePitch="312" w:charSpace="0"/>
        </w:sectPr>
      </w:pPr>
      <w:bookmarkStart w:id="15" w:name="_Hlt74729768"/>
      <w:bookmarkEnd w:id="15"/>
      <w:bookmarkStart w:id="16" w:name="_Hlt74707468"/>
      <w:bookmarkEnd w:id="16"/>
      <w:bookmarkStart w:id="17" w:name="_Hlt68072990"/>
      <w:bookmarkEnd w:id="17"/>
      <w:bookmarkStart w:id="18" w:name="_Hlt68403820"/>
      <w:bookmarkEnd w:id="18"/>
      <w:bookmarkStart w:id="19" w:name="_Hlt75236290"/>
      <w:bookmarkEnd w:id="19"/>
      <w:bookmarkStart w:id="20" w:name="_Hlt74730295"/>
      <w:bookmarkEnd w:id="20"/>
      <w:bookmarkStart w:id="21" w:name="_Hlt68057669"/>
      <w:bookmarkEnd w:id="21"/>
      <w:bookmarkStart w:id="22" w:name="_Hlt74714665"/>
      <w:bookmarkEnd w:id="22"/>
      <w:bookmarkStart w:id="23" w:name="_Hlt75236101"/>
      <w:bookmarkEnd w:id="23"/>
      <w:bookmarkStart w:id="24" w:name="_Hlt68072998"/>
      <w:bookmarkEnd w:id="24"/>
      <w:bookmarkStart w:id="25" w:name="_Hlt75236011"/>
      <w:bookmarkEnd w:id="25"/>
      <w:bookmarkStart w:id="26" w:name="_Hlt68073093"/>
      <w:bookmarkEnd w:id="26"/>
    </w:p>
    <w:bookmarkEnd w:id="11"/>
    <w:bookmarkEnd w:id="12"/>
    <w:p>
      <w:pPr>
        <w:spacing w:line="360" w:lineRule="auto"/>
        <w:jc w:val="center"/>
        <w:outlineLvl w:val="0"/>
        <w:rPr>
          <w:rFonts w:ascii="仿宋" w:hAnsi="仿宋" w:eastAsia="仿宋" w:cs="仿宋"/>
          <w:b/>
          <w:sz w:val="36"/>
          <w:szCs w:val="36"/>
          <w:highlight w:val="none"/>
        </w:rPr>
      </w:pPr>
      <w:bookmarkStart w:id="27" w:name="第四部分"/>
      <w:r>
        <w:rPr>
          <w:rFonts w:hint="eastAsia" w:ascii="仿宋" w:hAnsi="仿宋" w:eastAsia="仿宋" w:cs="仿宋"/>
          <w:b/>
          <w:sz w:val="36"/>
          <w:szCs w:val="36"/>
          <w:highlight w:val="none"/>
        </w:rPr>
        <w:t>第三部分采购需求</w:t>
      </w:r>
    </w:p>
    <w:p>
      <w:pPr>
        <w:rPr>
          <w:highlight w:val="none"/>
        </w:rPr>
      </w:pPr>
    </w:p>
    <w:p>
      <w:pPr>
        <w:widowControl/>
        <w:numPr>
          <w:ilvl w:val="0"/>
          <w:numId w:val="3"/>
        </w:numPr>
        <w:tabs>
          <w:tab w:val="left" w:pos="425"/>
          <w:tab w:val="left" w:pos="927"/>
          <w:tab w:val="clear" w:pos="851"/>
        </w:tabs>
        <w:snapToGrid w:val="0"/>
        <w:spacing w:line="360" w:lineRule="auto"/>
        <w:ind w:left="425" w:hanging="425"/>
        <w:rPr>
          <w:rFonts w:ascii="仿宋" w:hAnsi="仿宋" w:eastAsia="仿宋" w:cs="仿宋"/>
          <w:b/>
          <w:bCs/>
          <w:sz w:val="24"/>
          <w:highlight w:val="none"/>
        </w:rPr>
      </w:pPr>
      <w:bookmarkStart w:id="28" w:name="_Toc31577"/>
      <w:r>
        <w:rPr>
          <w:rFonts w:hint="eastAsia" w:ascii="仿宋" w:hAnsi="仿宋" w:eastAsia="仿宋" w:cs="仿宋"/>
          <w:b/>
          <w:bCs/>
          <w:sz w:val="24"/>
          <w:highlight w:val="none"/>
        </w:rPr>
        <w:t>项目背景</w:t>
      </w:r>
    </w:p>
    <w:p>
      <w:pPr>
        <w:widowControl/>
        <w:tabs>
          <w:tab w:val="left" w:pos="425"/>
          <w:tab w:val="left" w:pos="927"/>
        </w:tabs>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为加快推进临安区乡村单元详细规划编制实施，切实保障乡村地区亟待解决的农民住房用地空间等需求，</w:t>
      </w:r>
      <w:r>
        <w:rPr>
          <w:rFonts w:hint="eastAsia" w:ascii="仿宋" w:hAnsi="仿宋" w:eastAsia="仿宋" w:cs="仿宋"/>
          <w:color w:val="000000"/>
          <w:sz w:val="24"/>
          <w:highlight w:val="none"/>
          <w:lang w:eastAsia="zh-CN"/>
        </w:rPr>
        <w:t>梳理掌握</w:t>
      </w:r>
      <w:r>
        <w:rPr>
          <w:rFonts w:hint="eastAsia" w:ascii="仿宋" w:hAnsi="仿宋" w:eastAsia="仿宋" w:cs="仿宋"/>
          <w:color w:val="000000"/>
          <w:sz w:val="24"/>
          <w:highlight w:val="none"/>
        </w:rPr>
        <w:t>“十四五”全市农村居住空间现状及需求，拟开展临安区农村建设用地信息调查工作。全面摸清临安区农村宅基地数量、布局、权属、利用状况等基础信息，建立农村宅基地数据库，进一步规范农村宅基地管理，同时为深化农村宅基地制度改革试点提供数据支撑，推进宅基地信息化建设。</w:t>
      </w:r>
    </w:p>
    <w:p>
      <w:pPr>
        <w:widowControl/>
        <w:numPr>
          <w:ilvl w:val="0"/>
          <w:numId w:val="3"/>
        </w:numPr>
        <w:tabs>
          <w:tab w:val="left" w:pos="425"/>
          <w:tab w:val="left" w:pos="927"/>
          <w:tab w:val="clear" w:pos="851"/>
        </w:tabs>
        <w:snapToGrid w:val="0"/>
        <w:spacing w:line="360" w:lineRule="auto"/>
        <w:ind w:left="425" w:hanging="425"/>
        <w:rPr>
          <w:rFonts w:ascii="仿宋" w:hAnsi="仿宋" w:eastAsia="仿宋" w:cs="仿宋"/>
          <w:color w:val="000000"/>
          <w:sz w:val="24"/>
          <w:highlight w:val="none"/>
        </w:rPr>
      </w:pPr>
      <w:r>
        <w:rPr>
          <w:rFonts w:hint="eastAsia" w:ascii="仿宋" w:hAnsi="仿宋" w:eastAsia="仿宋" w:cs="仿宋"/>
          <w:b/>
          <w:bCs/>
          <w:sz w:val="24"/>
          <w:highlight w:val="none"/>
        </w:rPr>
        <w:t>工作内容</w:t>
      </w:r>
    </w:p>
    <w:p>
      <w:pPr>
        <w:widowControl/>
        <w:tabs>
          <w:tab w:val="left" w:pos="425"/>
          <w:tab w:val="left" w:pos="927"/>
        </w:tabs>
        <w:snapToGrid w:val="0"/>
        <w:spacing w:line="360" w:lineRule="auto"/>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2.1.</w:t>
      </w:r>
      <w:r>
        <w:rPr>
          <w:rFonts w:hint="eastAsia" w:ascii="仿宋" w:hAnsi="仿宋" w:eastAsia="仿宋" w:cs="仿宋"/>
          <w:color w:val="000000"/>
          <w:sz w:val="24"/>
          <w:highlight w:val="none"/>
        </w:rPr>
        <w:t>调查对象:临安区域范围内所有行政村</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重点调查城镇开发边界外的</w:t>
      </w:r>
      <w:r>
        <w:rPr>
          <w:rFonts w:hint="eastAsia" w:ascii="仿宋" w:hAnsi="仿宋" w:eastAsia="仿宋" w:cs="仿宋"/>
          <w:color w:val="000000"/>
          <w:sz w:val="24"/>
          <w:highlight w:val="none"/>
          <w:lang w:eastAsia="zh-CN"/>
        </w:rPr>
        <w:t>农村建设用地</w:t>
      </w:r>
      <w:r>
        <w:rPr>
          <w:rFonts w:hint="eastAsia" w:ascii="仿宋" w:hAnsi="仿宋" w:eastAsia="仿宋" w:cs="仿宋"/>
          <w:color w:val="000000"/>
          <w:sz w:val="24"/>
          <w:highlight w:val="none"/>
        </w:rPr>
        <w:t>情况。主要围绕乡村宅基地</w:t>
      </w:r>
      <w:r>
        <w:rPr>
          <w:rFonts w:hint="eastAsia" w:ascii="仿宋" w:hAnsi="仿宋" w:eastAsia="仿宋" w:cs="仿宋"/>
          <w:color w:val="000000"/>
          <w:sz w:val="24"/>
          <w:highlight w:val="none"/>
          <w:lang w:eastAsia="zh-CN"/>
        </w:rPr>
        <w:t>等建设用地的现状，村庄公共服务设施现状配置情况，农村社区服务设施用地，农村工矿及仓储用地，以及农业设施建设用地（主要包括种植养殖等）的现状开展调查摸底。</w:t>
      </w:r>
    </w:p>
    <w:p>
      <w:pPr>
        <w:widowControl/>
        <w:tabs>
          <w:tab w:val="left" w:pos="425"/>
          <w:tab w:val="left" w:pos="927"/>
        </w:tabs>
        <w:snapToGrid w:val="0"/>
        <w:spacing w:line="360" w:lineRule="auto"/>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2.2.</w:t>
      </w:r>
      <w:r>
        <w:rPr>
          <w:rFonts w:hint="eastAsia" w:ascii="仿宋" w:hAnsi="仿宋" w:eastAsia="仿宋" w:cs="仿宋"/>
          <w:color w:val="000000"/>
          <w:sz w:val="24"/>
          <w:highlight w:val="none"/>
          <w:lang w:eastAsia="zh-CN"/>
        </w:rPr>
        <w:t>调查方式：以三调成果（</w:t>
      </w:r>
      <w:r>
        <w:rPr>
          <w:rFonts w:hint="eastAsia" w:ascii="仿宋" w:hAnsi="仿宋" w:eastAsia="仿宋" w:cs="仿宋"/>
          <w:color w:val="000000"/>
          <w:sz w:val="24"/>
          <w:highlight w:val="none"/>
          <w:lang w:val="en-US" w:eastAsia="zh-CN"/>
        </w:rPr>
        <w:t>2020年度变更调查</w:t>
      </w:r>
      <w:r>
        <w:rPr>
          <w:rFonts w:hint="eastAsia" w:ascii="仿宋" w:hAnsi="仿宋" w:eastAsia="仿宋" w:cs="仿宋"/>
          <w:color w:val="000000"/>
          <w:sz w:val="24"/>
          <w:highlight w:val="none"/>
          <w:lang w:eastAsia="zh-CN"/>
        </w:rPr>
        <w:t>数据）为工作底图，结合地形图建筑图层，必要时可补充局部区域高清影像数据，借助乡镇级国土空间规划编制工作，清查相关建设用地的土地面积、使用功能等矢量化数据。</w:t>
      </w:r>
    </w:p>
    <w:p>
      <w:pPr>
        <w:widowControl/>
        <w:tabs>
          <w:tab w:val="left" w:pos="425"/>
          <w:tab w:val="left" w:pos="927"/>
        </w:tabs>
        <w:snapToGrid w:val="0"/>
        <w:spacing w:line="360" w:lineRule="auto"/>
        <w:ind w:firstLine="480" w:firstLineChars="200"/>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2.3.调查内容：宅基地现状调查工作包括房屋院落地块的户数、土地面积、使用情况、矢量化数据等。房屋院落图斑编号要与矢量图同步上报，矢量图和调查表的地块编号要一一对应，保证地块编号的唯一性，便于今后数据建库做图数关联，调查后的现状房屋院落图斑要按图斑内和图斑外分两种类型编写，格式详见附表1的填写说明。院落地块土地面积的填写要求：依据地形图建筑图层、影像数据划定的房屋院落地块的土地面积。现状使用情况主要包括：①自住；②空置；③民宿、农家乐；④办公；⑤快递仓库；⑥小卖部、超市；⑦其他经营性用途；⑧非经营性公共服务（如养老、托幼、文体等）。还包括农村社区服务设施用地、农村工矿及仓储用地、农业设施建设用地（主要包括种植养殖等）的现状。</w:t>
      </w:r>
    </w:p>
    <w:p>
      <w:pPr>
        <w:widowControl/>
        <w:numPr>
          <w:ilvl w:val="0"/>
          <w:numId w:val="3"/>
        </w:numPr>
        <w:tabs>
          <w:tab w:val="left" w:pos="425"/>
          <w:tab w:val="left" w:pos="927"/>
          <w:tab w:val="clear" w:pos="851"/>
        </w:tabs>
        <w:snapToGrid w:val="0"/>
        <w:spacing w:line="360" w:lineRule="auto"/>
        <w:ind w:left="425" w:hanging="425"/>
        <w:rPr>
          <w:rFonts w:hint="eastAsia" w:ascii="仿宋" w:hAnsi="仿宋" w:eastAsia="仿宋" w:cs="仿宋"/>
          <w:b/>
          <w:bCs/>
          <w:sz w:val="24"/>
          <w:highlight w:val="none"/>
        </w:rPr>
      </w:pPr>
      <w:r>
        <w:rPr>
          <w:rFonts w:hint="eastAsia" w:ascii="仿宋" w:hAnsi="仿宋" w:eastAsia="仿宋" w:cs="仿宋"/>
          <w:b/>
          <w:bCs/>
          <w:sz w:val="24"/>
          <w:highlight w:val="none"/>
        </w:rPr>
        <w:t>提交成果要求：</w:t>
      </w:r>
    </w:p>
    <w:p>
      <w:pPr>
        <w:spacing w:beforeLines="0" w:afterLines="0" w:line="560" w:lineRule="exact"/>
        <w:ind w:firstLine="480" w:firstLineChars="200"/>
        <w:rPr>
          <w:rFonts w:hint="eastAsia" w:ascii="仿宋" w:hAnsi="仿宋" w:eastAsia="仿宋" w:cs="仿宋"/>
          <w:b w:val="0"/>
          <w:bCs w:val="0"/>
          <w:color w:val="000000"/>
          <w:sz w:val="30"/>
          <w:szCs w:val="30"/>
          <w:highlight w:val="none"/>
          <w:lang w:val="en-US" w:eastAsia="zh-CN"/>
        </w:rPr>
      </w:pPr>
      <w:r>
        <w:rPr>
          <w:rFonts w:hint="eastAsia" w:ascii="仿宋" w:hAnsi="仿宋" w:eastAsia="仿宋" w:cs="仿宋"/>
          <w:color w:val="000000"/>
          <w:sz w:val="24"/>
          <w:highlight w:val="none"/>
          <w:lang w:val="en-US" w:eastAsia="zh-CN"/>
        </w:rPr>
        <w:t>3.1.临安区宅基地现状调查明细表（按逐个宅基地房屋进行填写）；</w:t>
      </w:r>
    </w:p>
    <w:tbl>
      <w:tblPr>
        <w:tblStyle w:val="62"/>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0"/>
        <w:gridCol w:w="975"/>
        <w:gridCol w:w="1048"/>
        <w:gridCol w:w="610"/>
        <w:gridCol w:w="893"/>
        <w:gridCol w:w="682"/>
        <w:gridCol w:w="602"/>
        <w:gridCol w:w="1221"/>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8860" w:type="dxa"/>
            <w:gridSpan w:val="9"/>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临安区宅基地现状调查明细表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8860" w:type="dxa"/>
            <w:gridSpan w:val="9"/>
            <w:tcBorders>
              <w:top w:val="nil"/>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填表单位：                                                            填表时间：                                                    面积单位：平方米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1150"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序号</w:t>
            </w:r>
          </w:p>
        </w:tc>
        <w:tc>
          <w:tcPr>
            <w:tcW w:w="975" w:type="dxa"/>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房屋院落编号</w:t>
            </w:r>
          </w:p>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（基底图斑内）</w:t>
            </w:r>
          </w:p>
        </w:tc>
        <w:tc>
          <w:tcPr>
            <w:tcW w:w="1048" w:type="dxa"/>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房屋院落编号</w:t>
            </w:r>
          </w:p>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（基底图斑外）</w:t>
            </w:r>
          </w:p>
        </w:tc>
        <w:tc>
          <w:tcPr>
            <w:tcW w:w="610" w:type="dxa"/>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行政区</w:t>
            </w:r>
          </w:p>
        </w:tc>
        <w:tc>
          <w:tcPr>
            <w:tcW w:w="893"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乡（镇、街道）名称</w:t>
            </w:r>
          </w:p>
        </w:tc>
        <w:tc>
          <w:tcPr>
            <w:tcW w:w="682" w:type="dxa"/>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行政村名称</w:t>
            </w:r>
          </w:p>
        </w:tc>
        <w:tc>
          <w:tcPr>
            <w:tcW w:w="602" w:type="dxa"/>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户数</w:t>
            </w:r>
          </w:p>
        </w:tc>
        <w:tc>
          <w:tcPr>
            <w:tcW w:w="1221"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院落地块土地面积</w:t>
            </w:r>
          </w:p>
        </w:tc>
        <w:tc>
          <w:tcPr>
            <w:tcW w:w="1679" w:type="dxa"/>
            <w:tcBorders>
              <w:top w:val="single" w:color="000000" w:sz="8"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50"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975" w:type="dxa"/>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048"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610"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893"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682" w:type="dxa"/>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602"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221"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679"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150"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975" w:type="dxa"/>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048"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610"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893"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682" w:type="dxa"/>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602"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221"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679"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150" w:type="dxa"/>
            <w:tcBorders>
              <w:top w:val="single" w:color="000000" w:sz="8"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975" w:type="dxa"/>
            <w:tcBorders>
              <w:top w:val="single" w:color="000000" w:sz="8" w:space="0"/>
              <w:left w:val="single" w:color="000000" w:sz="8"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048" w:type="dxa"/>
            <w:tcBorders>
              <w:top w:val="single" w:color="000000" w:sz="8" w:space="0"/>
              <w:left w:val="nil"/>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610" w:type="dxa"/>
            <w:tcBorders>
              <w:top w:val="single" w:color="000000" w:sz="8" w:space="0"/>
              <w:left w:val="nil"/>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893" w:type="dxa"/>
            <w:tcBorders>
              <w:top w:val="single" w:color="000000" w:sz="8"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682" w:type="dxa"/>
            <w:tcBorders>
              <w:top w:val="single" w:color="000000" w:sz="8" w:space="0"/>
              <w:left w:val="single" w:color="000000" w:sz="8"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602" w:type="dxa"/>
            <w:tcBorders>
              <w:top w:val="single" w:color="000000" w:sz="8" w:space="0"/>
              <w:left w:val="nil"/>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221" w:type="dxa"/>
            <w:tcBorders>
              <w:top w:val="single" w:color="000000" w:sz="8"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679" w:type="dxa"/>
            <w:tcBorders>
              <w:top w:val="single" w:color="000000" w:sz="8"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150" w:type="dxa"/>
            <w:tcBorders>
              <w:top w:val="single" w:color="auto" w:sz="4" w:space="0"/>
              <w:left w:val="single" w:color="auto" w:sz="4" w:space="0"/>
              <w:bottom w:val="nil"/>
              <w:right w:val="nil"/>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填表说明</w:t>
            </w: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1679" w:type="dxa"/>
            <w:tcBorders>
              <w:top w:val="single" w:color="auto" w:sz="4" w:space="0"/>
              <w:left w:val="nil"/>
              <w:bottom w:val="nil"/>
              <w:right w:val="single" w:color="auto" w:sz="4" w:space="0"/>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1" w:hRule="atLeast"/>
        </w:trPr>
        <w:tc>
          <w:tcPr>
            <w:tcW w:w="8860" w:type="dxa"/>
            <w:gridSpan w:val="9"/>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房屋院落图斑编号规则：1、调查基底图斑内的地块，按照“调查基底图斑标识码-四位序号”填写，如：标识码为330111211000105109的基底图斑内共有5幢房屋院落（或单独成户的建筑），依据高清影像划定5个房屋院落地块，第二个所在院落地块编号为：“330111211000105109</w:t>
            </w:r>
            <w:r>
              <w:rPr>
                <w:rFonts w:hint="eastAsia" w:ascii="仿宋" w:hAnsi="仿宋" w:eastAsia="仿宋" w:cs="仿宋"/>
                <w:b w:val="0"/>
                <w:bCs w:val="0"/>
                <w:i w:val="0"/>
                <w:iCs w:val="0"/>
                <w:color w:val="FF0000"/>
                <w:kern w:val="0"/>
                <w:sz w:val="21"/>
                <w:szCs w:val="21"/>
                <w:highlight w:val="none"/>
                <w:u w:val="none"/>
                <w:lang w:val="en-US" w:eastAsia="zh-CN" w:bidi="ar"/>
              </w:rPr>
              <w:t>0002</w:t>
            </w:r>
            <w:r>
              <w:rPr>
                <w:rFonts w:hint="eastAsia" w:ascii="仿宋" w:hAnsi="仿宋" w:eastAsia="仿宋" w:cs="仿宋"/>
                <w:b w:val="0"/>
                <w:bCs w:val="0"/>
                <w:i w:val="0"/>
                <w:iCs w:val="0"/>
                <w:color w:val="000000"/>
                <w:kern w:val="0"/>
                <w:sz w:val="21"/>
                <w:szCs w:val="21"/>
                <w:highlight w:val="none"/>
                <w:u w:val="none"/>
                <w:lang w:val="en-US" w:eastAsia="zh-CN" w:bidi="ar"/>
              </w:rPr>
              <w:t>”；2、调查基底图斑外的地块，统一规则编号，按照“乡镇街道行政区标识码-四位序号”，如：富阳区东洲街道行政区内调查基底图斑外的第2个房屋院落地块，编号为“330111121000000024</w:t>
            </w:r>
            <w:r>
              <w:rPr>
                <w:rFonts w:hint="eastAsia" w:ascii="仿宋" w:hAnsi="仿宋" w:eastAsia="仿宋" w:cs="仿宋"/>
                <w:b w:val="0"/>
                <w:bCs w:val="0"/>
                <w:i w:val="0"/>
                <w:iCs w:val="0"/>
                <w:color w:val="FF0000"/>
                <w:kern w:val="0"/>
                <w:sz w:val="21"/>
                <w:szCs w:val="21"/>
                <w:highlight w:val="none"/>
                <w:u w:val="none"/>
                <w:lang w:val="en-US" w:eastAsia="zh-CN" w:bidi="ar"/>
              </w:rPr>
              <w:t>0002</w:t>
            </w:r>
            <w:r>
              <w:rPr>
                <w:rFonts w:hint="eastAsia" w:ascii="仿宋" w:hAnsi="仿宋" w:eastAsia="仿宋" w:cs="仿宋"/>
                <w:b w:val="0"/>
                <w:bCs w:val="0"/>
                <w:i w:val="0"/>
                <w:iCs w:val="0"/>
                <w:color w:val="000000"/>
                <w:kern w:val="0"/>
                <w:sz w:val="21"/>
                <w:szCs w:val="21"/>
                <w:highlight w:val="none"/>
                <w:u w:val="none"/>
                <w:lang w:val="en-US" w:eastAsia="zh-CN" w:bidi="ar"/>
              </w:rPr>
              <w:t xml:space="preserve">”（调查基底图斑和乡镇街道行政区的唯一标识码以国家下发2020年度国土变更调查成果为依据。）。  </w:t>
            </w:r>
          </w:p>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 xml:space="preserve">    注：所有院落地块编号要与矢量图同步上报。矢量图和调查表的地块编号要一一对应，保证地块编号的唯一性，便于今后入数据库时做图数关联。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8860" w:type="dxa"/>
            <w:gridSpan w:val="9"/>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2.户数：对应每个房屋院落地块的户数。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8860" w:type="dxa"/>
            <w:gridSpan w:val="9"/>
            <w:tcBorders>
              <w:top w:val="nil"/>
              <w:left w:val="single" w:color="auto" w:sz="4" w:space="0"/>
              <w:bottom w:val="nil"/>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3.院落地块土地面积：依据地形图建筑图层、影像数据划定的房屋院落地块的土地面积。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8860" w:type="dxa"/>
            <w:gridSpan w:val="9"/>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4.房屋使用情况：（1）自住；（2）空置；（3）民宿、农家乐；（4）办公；（5）快递仓库；（6）小卖部、超市；（7）其他经营性用途；（8）非经营性公共服务（如养老、托幼、文体等）。</w:t>
            </w:r>
          </w:p>
        </w:tc>
      </w:tr>
    </w:tbl>
    <w:p>
      <w:pPr>
        <w:numPr>
          <w:ilvl w:val="0"/>
          <w:numId w:val="0"/>
        </w:numPr>
        <w:spacing w:beforeLines="0" w:afterLines="0" w:line="560" w:lineRule="exact"/>
        <w:rPr>
          <w:rFonts w:hint="eastAsia" w:ascii="仿宋" w:hAnsi="仿宋" w:eastAsia="仿宋" w:cs="仿宋"/>
          <w:b w:val="0"/>
          <w:bCs w:val="0"/>
          <w:color w:val="000000"/>
          <w:sz w:val="24"/>
          <w:highlight w:val="none"/>
          <w:lang w:val="en-US" w:eastAsia="zh-CN"/>
        </w:rPr>
      </w:pPr>
    </w:p>
    <w:p>
      <w:pPr>
        <w:numPr>
          <w:ilvl w:val="0"/>
          <w:numId w:val="0"/>
        </w:numPr>
        <w:spacing w:beforeLines="0" w:afterLines="0" w:line="560" w:lineRule="exact"/>
        <w:ind w:firstLine="480" w:firstLineChars="200"/>
        <w:rPr>
          <w:rFonts w:hint="eastAsia" w:ascii="仿宋" w:hAnsi="仿宋" w:eastAsia="仿宋" w:cs="仿宋"/>
          <w:b w:val="0"/>
          <w:bCs w:val="0"/>
          <w:color w:val="000000"/>
          <w:sz w:val="24"/>
          <w:highlight w:val="none"/>
          <w:lang w:val="en-US" w:eastAsia="zh-CN"/>
        </w:rPr>
      </w:pPr>
      <w:r>
        <w:rPr>
          <w:rFonts w:hint="eastAsia" w:ascii="仿宋" w:hAnsi="仿宋" w:eastAsia="仿宋" w:cs="仿宋"/>
          <w:color w:val="000000"/>
          <w:sz w:val="24"/>
          <w:highlight w:val="none"/>
          <w:lang w:val="en-US" w:eastAsia="zh-CN"/>
        </w:rPr>
        <w:t>3.2.现状汇总表（根据明细表进行数据汇总的表）；</w:t>
      </w:r>
    </w:p>
    <w:tbl>
      <w:tblPr>
        <w:tblStyle w:val="62"/>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915"/>
        <w:gridCol w:w="780"/>
        <w:gridCol w:w="1155"/>
        <w:gridCol w:w="1209"/>
        <w:gridCol w:w="795"/>
        <w:gridCol w:w="780"/>
        <w:gridCol w:w="1162"/>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910" w:type="dxa"/>
            <w:gridSpan w:val="9"/>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临安区宅基地现状调查汇总表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910" w:type="dxa"/>
            <w:gridSpan w:val="9"/>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填表单位： ××区                         报送时间：                                                      面积单位：平方米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7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行政区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基底图斑数量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基底图斑总面积（公顷）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基底图斑内的调查院落地块土地面积</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基底图斑外的调查院落地块土地面积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属于自住土地面积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属于空置土地面积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属于其他土地面积</w:t>
            </w:r>
          </w:p>
        </w:tc>
        <w:tc>
          <w:tcPr>
            <w:tcW w:w="123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临安区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val="0"/>
                <w:bCs w:val="0"/>
                <w:i w:val="0"/>
                <w:iCs w:val="0"/>
                <w:color w:val="000000"/>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1238"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6" w:type="dxa"/>
            <w:tcBorders>
              <w:top w:val="nil"/>
              <w:left w:val="single" w:color="auto" w:sz="4" w:space="0"/>
              <w:bottom w:val="nil"/>
              <w:right w:val="nil"/>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915" w:type="dxa"/>
            <w:tcBorders>
              <w:top w:val="nil"/>
              <w:left w:val="nil"/>
              <w:bottom w:val="nil"/>
              <w:right w:val="nil"/>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780" w:type="dxa"/>
            <w:tcBorders>
              <w:top w:val="nil"/>
              <w:left w:val="nil"/>
              <w:bottom w:val="nil"/>
              <w:right w:val="nil"/>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1155" w:type="dxa"/>
            <w:tcBorders>
              <w:top w:val="nil"/>
              <w:left w:val="nil"/>
              <w:bottom w:val="nil"/>
              <w:right w:val="nil"/>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1209" w:type="dxa"/>
            <w:tcBorders>
              <w:top w:val="nil"/>
              <w:left w:val="nil"/>
              <w:bottom w:val="nil"/>
              <w:right w:val="nil"/>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795" w:type="dxa"/>
            <w:tcBorders>
              <w:top w:val="nil"/>
              <w:left w:val="nil"/>
              <w:bottom w:val="nil"/>
              <w:right w:val="nil"/>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780" w:type="dxa"/>
            <w:tcBorders>
              <w:top w:val="nil"/>
              <w:left w:val="nil"/>
              <w:bottom w:val="nil"/>
              <w:right w:val="nil"/>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1162" w:type="dxa"/>
            <w:tcBorders>
              <w:top w:val="nil"/>
              <w:left w:val="nil"/>
              <w:bottom w:val="nil"/>
              <w:right w:val="nil"/>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c>
          <w:tcPr>
            <w:tcW w:w="1238" w:type="dxa"/>
            <w:tcBorders>
              <w:top w:val="nil"/>
              <w:left w:val="nil"/>
              <w:bottom w:val="nil"/>
              <w:right w:val="single" w:color="auto" w:sz="4" w:space="0"/>
            </w:tcBorders>
            <w:shd w:val="clear" w:color="auto" w:fill="auto"/>
            <w:noWrap/>
            <w:vAlign w:val="center"/>
          </w:tcPr>
          <w:p>
            <w:pP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10" w:type="dxa"/>
            <w:gridSpan w:val="9"/>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填写说明：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910" w:type="dxa"/>
            <w:gridSpan w:val="9"/>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1.院落地块土地面积：依据影像数据划定的建筑院落地块的土地面积。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10" w:type="dxa"/>
            <w:gridSpan w:val="9"/>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2.属于其他用途：指不作为居住使用，如开民宿、办公等。</w:t>
            </w:r>
          </w:p>
        </w:tc>
      </w:tr>
    </w:tbl>
    <w:p>
      <w:pPr>
        <w:pStyle w:val="5"/>
        <w:numPr>
          <w:ilvl w:val="0"/>
          <w:numId w:val="0"/>
        </w:numPr>
        <w:ind w:leftChars="0"/>
        <w:rPr>
          <w:rFonts w:hint="eastAsia"/>
          <w:b w:val="0"/>
          <w:bCs w:val="0"/>
          <w:highlight w:val="none"/>
          <w:lang w:val="en-US" w:eastAsia="zh-CN"/>
        </w:rPr>
      </w:pPr>
      <w:r>
        <w:rPr>
          <w:rFonts w:hint="eastAsia"/>
          <w:b w:val="0"/>
          <w:bCs w:val="0"/>
          <w:highlight w:val="none"/>
          <w:lang w:val="en-US" w:eastAsia="zh-CN"/>
        </w:rPr>
        <w:t xml:space="preserve">   </w:t>
      </w: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3.3.临安区农村公共服务设施现状配置调查明细表</w:t>
      </w:r>
    </w:p>
    <w:tbl>
      <w:tblPr>
        <w:tblStyle w:val="62"/>
        <w:tblW w:w="9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1372"/>
        <w:gridCol w:w="801"/>
        <w:gridCol w:w="1153"/>
        <w:gridCol w:w="901"/>
        <w:gridCol w:w="1646"/>
        <w:gridCol w:w="2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9200" w:type="dxa"/>
            <w:gridSpan w:val="7"/>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 xml:space="preserve">  临安区农村社区服务设施用地现状调查明细表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9200" w:type="dxa"/>
            <w:gridSpan w:val="7"/>
            <w:tcBorders>
              <w:top w:val="nil"/>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填表单位：                                                            填表时间：                                                    面积单位：平方米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056" w:type="dxa"/>
            <w:tcBorders>
              <w:top w:val="single" w:color="000000" w:sz="8"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序号</w:t>
            </w:r>
          </w:p>
        </w:tc>
        <w:tc>
          <w:tcPr>
            <w:tcW w:w="1372" w:type="dxa"/>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地块编号</w:t>
            </w:r>
          </w:p>
        </w:tc>
        <w:tc>
          <w:tcPr>
            <w:tcW w:w="801" w:type="dxa"/>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行政区</w:t>
            </w:r>
          </w:p>
        </w:tc>
        <w:tc>
          <w:tcPr>
            <w:tcW w:w="1153"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乡（镇、街道）名称</w:t>
            </w:r>
          </w:p>
        </w:tc>
        <w:tc>
          <w:tcPr>
            <w:tcW w:w="901" w:type="dxa"/>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行政村名称</w:t>
            </w:r>
          </w:p>
        </w:tc>
        <w:tc>
          <w:tcPr>
            <w:tcW w:w="1646"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地块土地面积</w:t>
            </w:r>
          </w:p>
        </w:tc>
        <w:tc>
          <w:tcPr>
            <w:tcW w:w="2271" w:type="dxa"/>
            <w:tcBorders>
              <w:top w:val="single" w:color="000000" w:sz="8"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功能用途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056" w:type="dxa"/>
            <w:tcBorders>
              <w:top w:val="single" w:color="000000" w:sz="8" w:space="0"/>
              <w:left w:val="single" w:color="auto"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372"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801"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153"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901" w:type="dxa"/>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646"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2271" w:type="dxa"/>
            <w:tcBorders>
              <w:top w:val="single" w:color="000000" w:sz="8" w:space="0"/>
              <w:left w:val="single" w:color="000000" w:sz="4" w:space="0"/>
              <w:bottom w:val="nil"/>
              <w:right w:val="single" w:color="auto"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056" w:type="dxa"/>
            <w:tcBorders>
              <w:top w:val="single" w:color="000000" w:sz="8" w:space="0"/>
              <w:left w:val="single" w:color="auto"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372"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801"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153"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901" w:type="dxa"/>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646"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2271" w:type="dxa"/>
            <w:tcBorders>
              <w:top w:val="single" w:color="000000" w:sz="8" w:space="0"/>
              <w:left w:val="single" w:color="000000" w:sz="4" w:space="0"/>
              <w:bottom w:val="nil"/>
              <w:right w:val="single" w:color="auto"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2" w:hRule="atLeast"/>
        </w:trPr>
        <w:tc>
          <w:tcPr>
            <w:tcW w:w="1056" w:type="dxa"/>
            <w:tcBorders>
              <w:top w:val="single" w:color="000000" w:sz="8" w:space="0"/>
              <w:left w:val="single" w:color="auto"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372" w:type="dxa"/>
            <w:tcBorders>
              <w:top w:val="single" w:color="000000" w:sz="8" w:space="0"/>
              <w:left w:val="nil"/>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801" w:type="dxa"/>
            <w:tcBorders>
              <w:top w:val="single" w:color="000000" w:sz="8" w:space="0"/>
              <w:left w:val="nil"/>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153" w:type="dxa"/>
            <w:tcBorders>
              <w:top w:val="single" w:color="000000" w:sz="8"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901" w:type="dxa"/>
            <w:tcBorders>
              <w:top w:val="single" w:color="000000" w:sz="8" w:space="0"/>
              <w:left w:val="single" w:color="000000" w:sz="8"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646" w:type="dxa"/>
            <w:tcBorders>
              <w:top w:val="single" w:color="000000" w:sz="8"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2271" w:type="dxa"/>
            <w:tcBorders>
              <w:top w:val="single" w:color="000000" w:sz="8" w:space="0"/>
              <w:left w:val="single" w:color="000000"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1056" w:type="dxa"/>
            <w:tcBorders>
              <w:top w:val="single" w:color="auto" w:sz="4" w:space="0"/>
              <w:left w:val="single" w:color="auto" w:sz="4" w:space="0"/>
              <w:bottom w:val="nil"/>
              <w:right w:val="nil"/>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填表说明</w:t>
            </w: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2271" w:type="dxa"/>
            <w:tcBorders>
              <w:top w:val="single" w:color="auto" w:sz="4" w:space="0"/>
              <w:left w:val="nil"/>
              <w:bottom w:val="nil"/>
              <w:right w:val="single" w:color="auto" w:sz="4" w:space="0"/>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9200" w:type="dxa"/>
            <w:gridSpan w:val="7"/>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1.地块编号规则：1、统一规则编号，按照“乡镇街道行政区标识码-</w:t>
            </w:r>
            <w:r>
              <w:rPr>
                <w:rFonts w:hint="eastAsia" w:ascii="仿宋" w:hAnsi="仿宋" w:eastAsia="仿宋" w:cs="仿宋"/>
                <w:b w:val="0"/>
                <w:bCs w:val="0"/>
                <w:i w:val="0"/>
                <w:iCs w:val="0"/>
                <w:color w:val="FF0000"/>
                <w:kern w:val="0"/>
                <w:sz w:val="21"/>
                <w:szCs w:val="21"/>
                <w:highlight w:val="none"/>
                <w:u w:val="none"/>
                <w:lang w:val="en-US" w:eastAsia="zh-CN" w:bidi="ar"/>
              </w:rPr>
              <w:t>四位序号</w:t>
            </w:r>
            <w:r>
              <w:rPr>
                <w:rFonts w:hint="eastAsia" w:ascii="仿宋" w:hAnsi="仿宋" w:eastAsia="仿宋" w:cs="仿宋"/>
                <w:b w:val="0"/>
                <w:bCs w:val="0"/>
                <w:i w:val="0"/>
                <w:iCs w:val="0"/>
                <w:color w:val="000000"/>
                <w:kern w:val="0"/>
                <w:sz w:val="21"/>
                <w:szCs w:val="21"/>
                <w:highlight w:val="none"/>
                <w:u w:val="none"/>
                <w:lang w:val="en-US" w:eastAsia="zh-CN" w:bidi="ar"/>
              </w:rPr>
              <w:t>”，如：富阳区东洲街道行政区内调查的第2个地块，编号为“330111121000000024</w:t>
            </w:r>
            <w:r>
              <w:rPr>
                <w:rFonts w:hint="eastAsia" w:ascii="仿宋" w:hAnsi="仿宋" w:eastAsia="仿宋" w:cs="仿宋"/>
                <w:b w:val="0"/>
                <w:bCs w:val="0"/>
                <w:i w:val="0"/>
                <w:iCs w:val="0"/>
                <w:color w:val="FF0000"/>
                <w:kern w:val="0"/>
                <w:sz w:val="21"/>
                <w:szCs w:val="21"/>
                <w:highlight w:val="none"/>
                <w:u w:val="none"/>
                <w:lang w:val="en-US" w:eastAsia="zh-CN" w:bidi="ar"/>
              </w:rPr>
              <w:t>0002</w:t>
            </w:r>
            <w:r>
              <w:rPr>
                <w:rFonts w:hint="eastAsia" w:ascii="仿宋" w:hAnsi="仿宋" w:eastAsia="仿宋" w:cs="仿宋"/>
                <w:b w:val="0"/>
                <w:bCs w:val="0"/>
                <w:i w:val="0"/>
                <w:iCs w:val="0"/>
                <w:color w:val="000000"/>
                <w:kern w:val="0"/>
                <w:sz w:val="21"/>
                <w:szCs w:val="21"/>
                <w:highlight w:val="none"/>
                <w:u w:val="none"/>
                <w:lang w:val="en-US" w:eastAsia="zh-CN" w:bidi="ar"/>
              </w:rPr>
              <w:t xml:space="preserve">”（乡镇街道行政区的唯一标识码以国家下发2020年度国土变更调查成果为依据。）。  </w:t>
            </w:r>
          </w:p>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 xml:space="preserve">    注：所有地块编号要与矢量图同步上报。矢量图和调查表的地块编号要一一对应，保证地块编号的唯一性，便于今后入数据库时做图数关联。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9200" w:type="dxa"/>
            <w:gridSpan w:val="7"/>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2.地块土地面积：依据地形图建筑图层、影像数据划定的房屋院落地块或者建筑地块的土地面积。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2" w:hRule="atLeast"/>
        </w:trPr>
        <w:tc>
          <w:tcPr>
            <w:tcW w:w="92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3.功能用途：按照以下功能进行选择，可多选。（1）党群服务中心（村委会、便民服务中心）；（2）综合治理中心（**室、治安联防站）；（3）卫生室；（4）居家养老服务中心；（5）托儿所；（6）综合性文化服务中心（文化礼堂）；（7）多功能活动室（文体活动室）；（8）全民室外健身点（户外运动场地）；（9）邮政、电信、储蓄等代办点（绿色金融服务点、快递服务站、智能公交车站快递柜）；（10）农村电商服务站；（11）防灾避灾场所（防疫工作点、应急避难场所）;（12）公交车站.</w:t>
            </w:r>
          </w:p>
        </w:tc>
      </w:tr>
    </w:tbl>
    <w:p>
      <w:pPr>
        <w:numPr>
          <w:ilvl w:val="0"/>
          <w:numId w:val="0"/>
        </w:numPr>
        <w:ind w:leftChars="200"/>
        <w:rPr>
          <w:rFonts w:hint="default"/>
          <w:b w:val="0"/>
          <w:bCs w:val="0"/>
          <w:highlight w:val="none"/>
          <w:lang w:val="en-US" w:eastAsia="zh-CN"/>
        </w:rPr>
      </w:pP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3.4.临安区农村社区服务设施用地现状调查汇总表</w:t>
      </w:r>
    </w:p>
    <w:tbl>
      <w:tblPr>
        <w:tblStyle w:val="62"/>
        <w:tblpPr w:leftFromText="180" w:rightFromText="180" w:vertAnchor="text" w:horzAnchor="page" w:tblpX="1609" w:tblpY="564"/>
        <w:tblOverlap w:val="never"/>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6"/>
        <w:gridCol w:w="3199"/>
        <w:gridCol w:w="3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8980" w:type="dxa"/>
            <w:gridSpan w:val="3"/>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临安区农村社区服务设施用地现状调查汇总表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980" w:type="dxa"/>
            <w:gridSpan w:val="3"/>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填表单位： ××区              报送时间：                面积单位：平方米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22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行政区</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地块土地面积</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临安区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val="0"/>
                <w:bCs w:val="0"/>
                <w:i w:val="0"/>
                <w:iCs w:val="0"/>
                <w:color w:val="000000"/>
                <w:sz w:val="21"/>
                <w:szCs w:val="21"/>
                <w:highlight w:val="none"/>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r>
    </w:tbl>
    <w:p>
      <w:pPr>
        <w:pStyle w:val="5"/>
        <w:rPr>
          <w:rFonts w:hint="eastAsia"/>
          <w:b w:val="0"/>
          <w:bCs w:val="0"/>
          <w:highlight w:val="none"/>
          <w:lang w:val="en-US" w:eastAsia="zh-CN"/>
        </w:rPr>
      </w:pP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3.5.临安区农村工矿及仓储用地现状调查明细表</w:t>
      </w:r>
    </w:p>
    <w:tbl>
      <w:tblPr>
        <w:tblStyle w:val="62"/>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8"/>
        <w:gridCol w:w="1447"/>
        <w:gridCol w:w="846"/>
        <w:gridCol w:w="1218"/>
        <w:gridCol w:w="950"/>
        <w:gridCol w:w="1737"/>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9100" w:type="dxa"/>
            <w:gridSpan w:val="7"/>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临安区农村工矿及仓储用地现状调查明细表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9100" w:type="dxa"/>
            <w:gridSpan w:val="7"/>
            <w:tcBorders>
              <w:top w:val="nil"/>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填表单位：                                                            填表时间：                                                    面积单位：平方米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1108" w:type="dxa"/>
            <w:tcBorders>
              <w:top w:val="single" w:color="000000" w:sz="8"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序号</w:t>
            </w:r>
          </w:p>
        </w:tc>
        <w:tc>
          <w:tcPr>
            <w:tcW w:w="1447" w:type="dxa"/>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地块编号</w:t>
            </w:r>
          </w:p>
        </w:tc>
        <w:tc>
          <w:tcPr>
            <w:tcW w:w="846" w:type="dxa"/>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行政区</w:t>
            </w:r>
          </w:p>
        </w:tc>
        <w:tc>
          <w:tcPr>
            <w:tcW w:w="1218"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乡（镇、街道）名称</w:t>
            </w:r>
          </w:p>
        </w:tc>
        <w:tc>
          <w:tcPr>
            <w:tcW w:w="950" w:type="dxa"/>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行政村名称</w:t>
            </w:r>
          </w:p>
        </w:tc>
        <w:tc>
          <w:tcPr>
            <w:tcW w:w="1737"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地块土地面积</w:t>
            </w:r>
          </w:p>
        </w:tc>
        <w:tc>
          <w:tcPr>
            <w:tcW w:w="1794" w:type="dxa"/>
            <w:tcBorders>
              <w:top w:val="single" w:color="000000" w:sz="8"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功能用途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108" w:type="dxa"/>
            <w:tcBorders>
              <w:top w:val="single" w:color="000000" w:sz="8" w:space="0"/>
              <w:left w:val="single" w:color="auto"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447"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846"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218"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950" w:type="dxa"/>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737"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794" w:type="dxa"/>
            <w:tcBorders>
              <w:top w:val="single" w:color="000000" w:sz="8" w:space="0"/>
              <w:left w:val="single" w:color="000000" w:sz="4" w:space="0"/>
              <w:bottom w:val="nil"/>
              <w:right w:val="single" w:color="auto"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108" w:type="dxa"/>
            <w:tcBorders>
              <w:top w:val="single" w:color="000000" w:sz="8" w:space="0"/>
              <w:left w:val="single" w:color="auto"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447"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846"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218"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950" w:type="dxa"/>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737"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794" w:type="dxa"/>
            <w:tcBorders>
              <w:top w:val="single" w:color="000000" w:sz="8" w:space="0"/>
              <w:left w:val="single" w:color="000000" w:sz="4" w:space="0"/>
              <w:bottom w:val="nil"/>
              <w:right w:val="single" w:color="auto"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108" w:type="dxa"/>
            <w:tcBorders>
              <w:top w:val="single" w:color="000000" w:sz="8" w:space="0"/>
              <w:left w:val="single" w:color="auto"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447" w:type="dxa"/>
            <w:tcBorders>
              <w:top w:val="single" w:color="000000" w:sz="8" w:space="0"/>
              <w:left w:val="nil"/>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846" w:type="dxa"/>
            <w:tcBorders>
              <w:top w:val="single" w:color="000000" w:sz="8" w:space="0"/>
              <w:left w:val="nil"/>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218" w:type="dxa"/>
            <w:tcBorders>
              <w:top w:val="single" w:color="000000" w:sz="8"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950" w:type="dxa"/>
            <w:tcBorders>
              <w:top w:val="single" w:color="000000" w:sz="8" w:space="0"/>
              <w:left w:val="single" w:color="000000" w:sz="8"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737" w:type="dxa"/>
            <w:tcBorders>
              <w:top w:val="single" w:color="000000" w:sz="8"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794" w:type="dxa"/>
            <w:tcBorders>
              <w:top w:val="single" w:color="000000" w:sz="8" w:space="0"/>
              <w:left w:val="single" w:color="000000"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7" w:hRule="atLeast"/>
        </w:trPr>
        <w:tc>
          <w:tcPr>
            <w:tcW w:w="1108" w:type="dxa"/>
            <w:tcBorders>
              <w:top w:val="single" w:color="auto" w:sz="4" w:space="0"/>
              <w:left w:val="single" w:color="auto" w:sz="4" w:space="0"/>
              <w:bottom w:val="nil"/>
              <w:right w:val="nil"/>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填表说明</w:t>
            </w: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1794" w:type="dxa"/>
            <w:tcBorders>
              <w:top w:val="single" w:color="auto" w:sz="4" w:space="0"/>
              <w:left w:val="nil"/>
              <w:bottom w:val="nil"/>
              <w:right w:val="single" w:color="auto" w:sz="4" w:space="0"/>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9100" w:type="dxa"/>
            <w:gridSpan w:val="7"/>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1.地块编号规则：1、统一规则编号，按照“乡镇街道</w:t>
            </w:r>
            <w:r>
              <w:rPr>
                <w:rFonts w:hint="eastAsia" w:ascii="仿宋" w:hAnsi="仿宋" w:eastAsia="仿宋" w:cs="仿宋"/>
                <w:b w:val="0"/>
                <w:bCs w:val="0"/>
                <w:i w:val="0"/>
                <w:iCs w:val="0"/>
                <w:color w:val="auto"/>
                <w:kern w:val="0"/>
                <w:sz w:val="21"/>
                <w:szCs w:val="21"/>
                <w:highlight w:val="none"/>
                <w:u w:val="none"/>
                <w:lang w:val="en-US" w:eastAsia="zh-CN" w:bidi="ar"/>
              </w:rPr>
              <w:t xml:space="preserve">行政区标识码-四位序号”，如：富阳区东洲街道行政区内调查的第2个地块，编号为“3301111210000000240002”（乡镇街道行政区的唯一标识码以国家下发2020年度国土变更调查成果为依据。）。  </w:t>
            </w:r>
          </w:p>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 xml:space="preserve">    注：所有地块编号要与矢量图同步上报。矢量图和调查表的地块编号要一一对应，保证地块编号的唯一性，便于今后入数据库时做图数关联。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7" w:hRule="atLeast"/>
        </w:trPr>
        <w:tc>
          <w:tcPr>
            <w:tcW w:w="9100" w:type="dxa"/>
            <w:gridSpan w:val="7"/>
            <w:tcBorders>
              <w:top w:val="nil"/>
              <w:left w:val="single" w:color="auto" w:sz="4" w:space="0"/>
              <w:bottom w:val="nil"/>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2.地块土地面积：依据地形图建筑图层、影像数据划定的地块土地面积。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9100" w:type="dxa"/>
            <w:gridSpan w:val="7"/>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3.功能用途：按照以下功能进行选择。（1）工业用地；（2）采矿用地；（3）仓储用地。</w:t>
            </w:r>
          </w:p>
        </w:tc>
      </w:tr>
    </w:tbl>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3.6.临安区农村工矿及仓储用地现状调查汇总表</w:t>
      </w:r>
    </w:p>
    <w:tbl>
      <w:tblPr>
        <w:tblStyle w:val="62"/>
        <w:tblW w:w="91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5"/>
        <w:gridCol w:w="1586"/>
        <w:gridCol w:w="1819"/>
        <w:gridCol w:w="2175"/>
        <w:gridCol w:w="1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116" w:type="dxa"/>
            <w:gridSpan w:val="5"/>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临安区农村工矿及仓储用地现状调查汇总表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16" w:type="dxa"/>
            <w:gridSpan w:val="5"/>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填表单位： ××区              报送时间：                 面积单位：平方米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5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行政区</w:t>
            </w:r>
          </w:p>
        </w:tc>
        <w:tc>
          <w:tcPr>
            <w:tcW w:w="15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地块总土地面积</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工业用地土地面积</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采矿用地土地面积</w:t>
            </w:r>
          </w:p>
        </w:tc>
        <w:tc>
          <w:tcPr>
            <w:tcW w:w="178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仓储用地土地面积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5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临安区</w:t>
            </w:r>
          </w:p>
        </w:tc>
        <w:tc>
          <w:tcPr>
            <w:tcW w:w="1586"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1"/>
                <w:szCs w:val="21"/>
                <w:highlight w:val="none"/>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val="0"/>
                <w:bCs w:val="0"/>
                <w:i w:val="0"/>
                <w:iCs w:val="0"/>
                <w:color w:val="000000"/>
                <w:sz w:val="21"/>
                <w:szCs w:val="21"/>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val="0"/>
                <w:bCs w:val="0"/>
                <w:i w:val="0"/>
                <w:iCs w:val="0"/>
                <w:color w:val="000000"/>
                <w:sz w:val="21"/>
                <w:szCs w:val="21"/>
                <w:highlight w:val="none"/>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r>
    </w:tbl>
    <w:p>
      <w:pPr>
        <w:pStyle w:val="5"/>
        <w:rPr>
          <w:rFonts w:hint="eastAsia"/>
          <w:b w:val="0"/>
          <w:bCs w:val="0"/>
          <w:highlight w:val="none"/>
          <w:lang w:val="en-US" w:eastAsia="zh-CN"/>
        </w:rPr>
      </w:pP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3.7.临安区农业设施建设用地现状调查明细表</w:t>
      </w:r>
    </w:p>
    <w:tbl>
      <w:tblPr>
        <w:tblStyle w:val="62"/>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1362"/>
        <w:gridCol w:w="795"/>
        <w:gridCol w:w="1145"/>
        <w:gridCol w:w="894"/>
        <w:gridCol w:w="1633"/>
        <w:gridCol w:w="2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140" w:type="dxa"/>
            <w:gridSpan w:val="7"/>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临安区农业设施建设用地现状调查明细表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9140" w:type="dxa"/>
            <w:gridSpan w:val="7"/>
            <w:tcBorders>
              <w:top w:val="nil"/>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填表单位：                                                            填表时间：                                                    面积单位：平方米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1056" w:type="dxa"/>
            <w:tcBorders>
              <w:top w:val="single" w:color="000000" w:sz="8"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序号</w:t>
            </w:r>
          </w:p>
        </w:tc>
        <w:tc>
          <w:tcPr>
            <w:tcW w:w="1362" w:type="dxa"/>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地块编号</w:t>
            </w:r>
          </w:p>
        </w:tc>
        <w:tc>
          <w:tcPr>
            <w:tcW w:w="795" w:type="dxa"/>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行政区</w:t>
            </w:r>
          </w:p>
        </w:tc>
        <w:tc>
          <w:tcPr>
            <w:tcW w:w="1145"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乡（镇、街道）名称</w:t>
            </w:r>
          </w:p>
        </w:tc>
        <w:tc>
          <w:tcPr>
            <w:tcW w:w="894" w:type="dxa"/>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行政村名称</w:t>
            </w:r>
          </w:p>
        </w:tc>
        <w:tc>
          <w:tcPr>
            <w:tcW w:w="1633"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地块土地面积</w:t>
            </w:r>
          </w:p>
        </w:tc>
        <w:tc>
          <w:tcPr>
            <w:tcW w:w="2255"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功能用途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056" w:type="dxa"/>
            <w:tcBorders>
              <w:top w:val="single" w:color="000000" w:sz="8" w:space="0"/>
              <w:left w:val="single" w:color="auto"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362"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795"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145"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894" w:type="dxa"/>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633"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2255"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1056" w:type="dxa"/>
            <w:tcBorders>
              <w:top w:val="single" w:color="000000" w:sz="8" w:space="0"/>
              <w:left w:val="single" w:color="auto"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362"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795" w:type="dxa"/>
            <w:tcBorders>
              <w:top w:val="single" w:color="000000" w:sz="8" w:space="0"/>
              <w:left w:val="nil"/>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145"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894" w:type="dxa"/>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633"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2255" w:type="dxa"/>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056" w:type="dxa"/>
            <w:tcBorders>
              <w:top w:val="single" w:color="000000" w:sz="8" w:space="0"/>
              <w:left w:val="single" w:color="auto"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362" w:type="dxa"/>
            <w:tcBorders>
              <w:top w:val="single" w:color="000000" w:sz="8" w:space="0"/>
              <w:left w:val="nil"/>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795" w:type="dxa"/>
            <w:tcBorders>
              <w:top w:val="single" w:color="000000" w:sz="8" w:space="0"/>
              <w:left w:val="nil"/>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145" w:type="dxa"/>
            <w:tcBorders>
              <w:top w:val="single" w:color="000000" w:sz="8"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894" w:type="dxa"/>
            <w:tcBorders>
              <w:top w:val="single" w:color="000000" w:sz="8" w:space="0"/>
              <w:left w:val="single" w:color="000000" w:sz="8"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1633" w:type="dxa"/>
            <w:tcBorders>
              <w:top w:val="single" w:color="000000" w:sz="8"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c>
          <w:tcPr>
            <w:tcW w:w="2255" w:type="dxa"/>
            <w:tcBorders>
              <w:top w:val="single" w:color="000000" w:sz="8"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056" w:type="dxa"/>
            <w:tcBorders>
              <w:top w:val="single" w:color="auto" w:sz="4" w:space="0"/>
              <w:left w:val="single" w:color="auto" w:sz="4" w:space="0"/>
              <w:bottom w:val="nil"/>
              <w:right w:val="nil"/>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填表说明</w:t>
            </w: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0" w:type="auto"/>
            <w:tcBorders>
              <w:top w:val="single" w:color="auto" w:sz="4" w:space="0"/>
              <w:left w:val="nil"/>
              <w:bottom w:val="nil"/>
              <w:right w:val="nil"/>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c>
          <w:tcPr>
            <w:tcW w:w="2255" w:type="dxa"/>
            <w:tcBorders>
              <w:top w:val="single" w:color="auto" w:sz="4" w:space="0"/>
              <w:left w:val="nil"/>
              <w:bottom w:val="nil"/>
              <w:right w:val="single" w:color="auto" w:sz="4" w:space="0"/>
            </w:tcBorders>
            <w:shd w:val="clear" w:color="auto" w:fill="auto"/>
            <w:noWrap/>
            <w:vAlign w:val="bottom"/>
          </w:tcPr>
          <w:p>
            <w:pPr>
              <w:rPr>
                <w:rFonts w:hint="eastAsia" w:ascii="仿宋" w:hAnsi="仿宋" w:eastAsia="仿宋" w:cs="仿宋"/>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trPr>
        <w:tc>
          <w:tcPr>
            <w:tcW w:w="9140" w:type="dxa"/>
            <w:gridSpan w:val="7"/>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1.地块编号规则：1、统一规则编号，按照“乡</w:t>
            </w:r>
            <w:r>
              <w:rPr>
                <w:rFonts w:hint="eastAsia" w:ascii="仿宋" w:hAnsi="仿宋" w:eastAsia="仿宋" w:cs="仿宋"/>
                <w:b w:val="0"/>
                <w:bCs w:val="0"/>
                <w:i w:val="0"/>
                <w:iCs w:val="0"/>
                <w:color w:val="auto"/>
                <w:kern w:val="0"/>
                <w:sz w:val="21"/>
                <w:szCs w:val="21"/>
                <w:highlight w:val="none"/>
                <w:u w:val="none"/>
                <w:lang w:val="en-US" w:eastAsia="zh-CN" w:bidi="ar"/>
              </w:rPr>
              <w:t xml:space="preserve">镇街道行政区标识码-四位序号”，如：富阳区东洲街道行政区内调查的第2个地块，编号为“3301111210000000240002”（乡镇街道行政区的唯一标识码以国家下发2020年度国土变更调查成果为依据。）。  </w:t>
            </w:r>
          </w:p>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bidi="ar"/>
              </w:rPr>
              <w:t xml:space="preserve">    注：所有地块编号要与矢量图同步上报。矢量图和调查表的</w:t>
            </w:r>
            <w:r>
              <w:rPr>
                <w:rFonts w:hint="eastAsia" w:ascii="仿宋" w:hAnsi="仿宋" w:eastAsia="仿宋" w:cs="仿宋"/>
                <w:b w:val="0"/>
                <w:bCs w:val="0"/>
                <w:i w:val="0"/>
                <w:iCs w:val="0"/>
                <w:color w:val="000000"/>
                <w:kern w:val="0"/>
                <w:sz w:val="21"/>
                <w:szCs w:val="21"/>
                <w:highlight w:val="none"/>
                <w:u w:val="none"/>
                <w:lang w:val="en-US" w:eastAsia="zh-CN" w:bidi="ar"/>
              </w:rPr>
              <w:t>地块编号要一一对应，保证地块编号的唯一性，便于今后入数据库时做图数关联。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9140" w:type="dxa"/>
            <w:gridSpan w:val="7"/>
            <w:tcBorders>
              <w:top w:val="nil"/>
              <w:left w:val="single" w:color="auto" w:sz="4" w:space="0"/>
              <w:bottom w:val="nil"/>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2.地块土地面积：依据地形图建筑图层、影像数据划定的地块土地面积。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9140" w:type="dxa"/>
            <w:gridSpan w:val="7"/>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3.功能用途：按照以下功能进行选择。（1）种植设施建设用地；（2）畜禽养殖设施建设用地；（3）水产养殖设施建设用地；</w:t>
            </w:r>
          </w:p>
        </w:tc>
      </w:tr>
    </w:tbl>
    <w:p>
      <w:pPr>
        <w:rPr>
          <w:rFonts w:hint="eastAsia"/>
          <w:b w:val="0"/>
          <w:bCs w:val="0"/>
          <w:highlight w:val="none"/>
          <w:lang w:val="en-US" w:eastAsia="zh-CN"/>
        </w:rPr>
      </w:pPr>
    </w:p>
    <w:p>
      <w:pPr>
        <w:numPr>
          <w:ilvl w:val="0"/>
          <w:numId w:val="0"/>
        </w:numPr>
        <w:spacing w:beforeLines="0" w:afterLines="0" w:line="560" w:lineRule="exact"/>
        <w:ind w:firstLine="480" w:firstLineChars="200"/>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3.8.临安区</w:t>
      </w:r>
      <w:r>
        <w:rPr>
          <w:rFonts w:hint="default" w:ascii="仿宋" w:hAnsi="仿宋" w:eastAsia="仿宋" w:cs="仿宋"/>
          <w:color w:val="000000"/>
          <w:sz w:val="24"/>
          <w:highlight w:val="none"/>
          <w:lang w:val="en-US" w:eastAsia="zh-CN"/>
        </w:rPr>
        <w:t>农业设施建设用地现状调查汇总表</w:t>
      </w:r>
    </w:p>
    <w:tbl>
      <w:tblPr>
        <w:tblStyle w:val="62"/>
        <w:tblpPr w:leftFromText="180" w:rightFromText="180" w:vertAnchor="text" w:horzAnchor="page" w:tblpX="1347" w:tblpY="402"/>
        <w:tblOverlap w:val="never"/>
        <w:tblW w:w="92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5"/>
        <w:gridCol w:w="1676"/>
        <w:gridCol w:w="2006"/>
        <w:gridCol w:w="2100"/>
        <w:gridCol w:w="1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281" w:type="dxa"/>
            <w:gridSpan w:val="5"/>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临安区农业设施建设用地现状调查汇总表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81" w:type="dxa"/>
            <w:gridSpan w:val="5"/>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填表单位： ××区              报送时间：                 面积单位：平方米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0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行政区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地块总土地面积</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种植设施建设用地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畜禽养殖设施建设用地</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水产养殖设施建设用地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0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临安区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val="0"/>
                <w:bCs w:val="0"/>
                <w:i w:val="0"/>
                <w:iCs w:val="0"/>
                <w:color w:val="000000"/>
                <w:sz w:val="21"/>
                <w:szCs w:val="21"/>
                <w:highlight w:val="none"/>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val="0"/>
                <w:bCs w:val="0"/>
                <w:i w:val="0"/>
                <w:iCs w:val="0"/>
                <w:color w:val="000000"/>
                <w:sz w:val="21"/>
                <w:szCs w:val="21"/>
                <w:highlight w:val="none"/>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val="0"/>
                <w:bCs w:val="0"/>
                <w:i w:val="0"/>
                <w:iCs w:val="0"/>
                <w:color w:val="000000"/>
                <w:sz w:val="21"/>
                <w:szCs w:val="21"/>
                <w:highlight w:val="none"/>
                <w:u w:val="non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1"/>
                <w:szCs w:val="21"/>
                <w:highlight w:val="none"/>
                <w:u w:val="none"/>
              </w:rPr>
            </w:pPr>
          </w:p>
        </w:tc>
      </w:tr>
    </w:tbl>
    <w:p>
      <w:pPr>
        <w:pStyle w:val="5"/>
        <w:rPr>
          <w:rFonts w:hint="default"/>
          <w:highlight w:val="none"/>
          <w:lang w:val="en-US" w:eastAsia="zh-CN"/>
        </w:rPr>
      </w:pPr>
    </w:p>
    <w:p>
      <w:pPr>
        <w:rPr>
          <w:rFonts w:hint="default"/>
          <w:highlight w:val="none"/>
          <w:lang w:val="en-US" w:eastAsia="zh-CN"/>
        </w:rPr>
      </w:pP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3.9.分别对应宅基地现状调查明细表、农村公共服务设施现状配置调查明细表、临安区农村工矿及仓储用地现状调查明细表、临安区农业设施建设用地现状调查明细表的每个地块，提供矢量图（原则上以ARCGIS格式为准），每个图斑的编号要和表格内每个地块一一对应。数据成果按照自然资源目录体系编制，并满足临安区自然资源大数据中心数据库入库标准以及国土空间规划一张图管理系统应用要求。</w:t>
      </w:r>
    </w:p>
    <w:p>
      <w:pPr>
        <w:numPr>
          <w:ilvl w:val="0"/>
          <w:numId w:val="0"/>
        </w:numPr>
        <w:spacing w:beforeLines="0" w:afterLines="0" w:line="560" w:lineRule="exact"/>
        <w:ind w:firstLine="480" w:firstLineChars="200"/>
        <w:rPr>
          <w:rFonts w:hint="default" w:ascii="仿宋" w:hAnsi="仿宋" w:eastAsia="仿宋" w:cs="仿宋"/>
          <w:b w:val="0"/>
          <w:bCs w:val="0"/>
          <w:color w:val="000000"/>
          <w:kern w:val="2"/>
          <w:sz w:val="30"/>
          <w:szCs w:val="30"/>
          <w:highlight w:val="none"/>
          <w:lang w:val="en-US" w:eastAsia="zh-CN" w:bidi="ar-SA"/>
        </w:rPr>
      </w:pPr>
      <w:r>
        <w:rPr>
          <w:rFonts w:hint="eastAsia" w:ascii="仿宋" w:hAnsi="仿宋" w:eastAsia="仿宋" w:cs="仿宋"/>
          <w:color w:val="000000"/>
          <w:sz w:val="24"/>
          <w:highlight w:val="none"/>
          <w:lang w:val="en-US" w:eastAsia="zh-CN"/>
        </w:rPr>
        <w:t>3.10.农村居住空间用地保障评估报告：一是行政村现状情况，梳理分析宅基地现状调查基本情况等；二是梳理分析2015年至2021年期间涉及农村宅基地规划许可、确权等情况，以及结合第七次全国人口普查分析人口增长情况等；三是分析农村建房存在的相关问题等；四是提出相关建议。</w:t>
      </w:r>
    </w:p>
    <w:p>
      <w:pPr>
        <w:widowControl/>
        <w:numPr>
          <w:ilvl w:val="0"/>
          <w:numId w:val="3"/>
        </w:numPr>
        <w:tabs>
          <w:tab w:val="left" w:pos="425"/>
          <w:tab w:val="left" w:pos="927"/>
          <w:tab w:val="clear" w:pos="851"/>
        </w:tabs>
        <w:snapToGrid w:val="0"/>
        <w:spacing w:line="360" w:lineRule="auto"/>
        <w:ind w:left="425" w:hanging="425"/>
        <w:rPr>
          <w:rFonts w:ascii="仿宋" w:hAnsi="仿宋" w:eastAsia="仿宋" w:cs="仿宋"/>
          <w:b/>
          <w:bCs/>
          <w:sz w:val="24"/>
          <w:highlight w:val="none"/>
        </w:rPr>
      </w:pPr>
      <w:r>
        <w:rPr>
          <w:rFonts w:hint="eastAsia" w:ascii="仿宋" w:hAnsi="仿宋" w:eastAsia="仿宋" w:cs="仿宋"/>
          <w:b/>
          <w:bCs/>
          <w:sz w:val="24"/>
          <w:highlight w:val="none"/>
        </w:rPr>
        <w:t>成果交付期：</w:t>
      </w:r>
      <w:r>
        <w:rPr>
          <w:rFonts w:hint="eastAsia" w:ascii="仿宋" w:hAnsi="仿宋" w:eastAsia="仿宋" w:cs="仿宋"/>
          <w:sz w:val="24"/>
          <w:highlight w:val="none"/>
        </w:rPr>
        <w:t>合同签订</w:t>
      </w:r>
      <w:r>
        <w:rPr>
          <w:rFonts w:hint="eastAsia" w:ascii="仿宋" w:hAnsi="仿宋" w:eastAsia="仿宋" w:cs="仿宋"/>
          <w:color w:val="auto"/>
          <w:sz w:val="24"/>
          <w:highlight w:val="none"/>
        </w:rPr>
        <w:t>后</w:t>
      </w:r>
      <w:r>
        <w:rPr>
          <w:rFonts w:ascii="仿宋" w:hAnsi="仿宋" w:eastAsia="仿宋" w:cs="仿宋"/>
          <w:color w:val="auto"/>
          <w:sz w:val="24"/>
          <w:highlight w:val="none"/>
        </w:rPr>
        <w:t>45日历</w:t>
      </w:r>
      <w:r>
        <w:rPr>
          <w:rFonts w:ascii="仿宋" w:hAnsi="仿宋" w:eastAsia="仿宋" w:cs="仿宋"/>
          <w:sz w:val="24"/>
          <w:highlight w:val="none"/>
        </w:rPr>
        <w:t>天</w:t>
      </w:r>
      <w:r>
        <w:rPr>
          <w:rFonts w:hint="eastAsia" w:ascii="仿宋" w:hAnsi="仿宋" w:eastAsia="仿宋" w:cs="仿宋"/>
          <w:sz w:val="24"/>
          <w:highlight w:val="none"/>
        </w:rPr>
        <w:t>内完成数据成果上报工作</w:t>
      </w:r>
      <w:r>
        <w:rPr>
          <w:rFonts w:hint="eastAsia" w:ascii="仿宋" w:hAnsi="仿宋" w:eastAsia="仿宋" w:cs="仿宋"/>
          <w:b/>
          <w:bCs/>
          <w:sz w:val="24"/>
          <w:highlight w:val="none"/>
        </w:rPr>
        <w:t>。</w:t>
      </w:r>
    </w:p>
    <w:p>
      <w:pPr>
        <w:widowControl/>
        <w:numPr>
          <w:ilvl w:val="0"/>
          <w:numId w:val="3"/>
        </w:numPr>
        <w:tabs>
          <w:tab w:val="left" w:pos="425"/>
          <w:tab w:val="left" w:pos="927"/>
          <w:tab w:val="clear" w:pos="851"/>
        </w:tabs>
        <w:snapToGrid w:val="0"/>
        <w:spacing w:line="360" w:lineRule="auto"/>
        <w:ind w:left="425" w:hanging="425"/>
        <w:rPr>
          <w:rFonts w:ascii="仿宋" w:hAnsi="仿宋" w:eastAsia="仿宋" w:cs="仿宋"/>
          <w:b/>
          <w:bCs/>
          <w:sz w:val="24"/>
          <w:highlight w:val="none"/>
        </w:rPr>
      </w:pPr>
      <w:r>
        <w:rPr>
          <w:rFonts w:hint="eastAsia" w:ascii="仿宋" w:hAnsi="仿宋" w:eastAsia="仿宋" w:cs="仿宋"/>
          <w:b/>
          <w:bCs/>
          <w:sz w:val="24"/>
          <w:highlight w:val="none"/>
        </w:rPr>
        <w:t>验收、评价方法</w:t>
      </w: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5.1.按国家或行业标准、规定及技术标准等相关要求进行验收,并通过业主验收合格。</w:t>
      </w: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5.2.中标供应商按合同规定提供了符合采购文件要求的成果，并经有关部门验收合格，所有的技术资料和清单已向采购人提交并被接受，验收被视为合格，双方签署验收合格证书。</w:t>
      </w: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5.3.验收合格条件</w:t>
      </w: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1）技术参数和检验时出现的问题已被解决至采购人认可。</w:t>
      </w: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2）已提供了合同规定的全部内容和图件资料。</w:t>
      </w: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3）资料在交付采购人使用前，需经采购人验收合格。</w:t>
      </w: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4）验收时提供完整的技术资料。</w:t>
      </w:r>
    </w:p>
    <w:p>
      <w:pPr>
        <w:widowControl/>
        <w:numPr>
          <w:ilvl w:val="0"/>
          <w:numId w:val="3"/>
        </w:numPr>
        <w:tabs>
          <w:tab w:val="left" w:pos="425"/>
          <w:tab w:val="left" w:pos="927"/>
          <w:tab w:val="clear" w:pos="851"/>
        </w:tabs>
        <w:snapToGrid w:val="0"/>
        <w:spacing w:line="360" w:lineRule="auto"/>
        <w:ind w:left="425" w:hanging="425"/>
        <w:rPr>
          <w:rFonts w:ascii="仿宋" w:hAnsi="仿宋" w:eastAsia="仿宋" w:cs="仿宋"/>
          <w:b/>
          <w:bCs/>
          <w:sz w:val="24"/>
          <w:highlight w:val="none"/>
        </w:rPr>
      </w:pPr>
      <w:r>
        <w:rPr>
          <w:rFonts w:hint="eastAsia" w:ascii="仿宋" w:hAnsi="仿宋" w:eastAsia="仿宋" w:cs="仿宋"/>
          <w:b/>
          <w:bCs/>
          <w:sz w:val="24"/>
          <w:highlight w:val="none"/>
        </w:rPr>
        <w:t>付款方式：</w:t>
      </w:r>
    </w:p>
    <w:bookmarkEnd w:id="28"/>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6.1.供应商签订合同后15天内，采购人支付规划设计费总额的30%；</w:t>
      </w: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6.2.供应商完成阶段性成果（中间成果）经审查通过后15天内，采购人支付规划费总额的40%；</w:t>
      </w: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6.3.供应商完成最终稿，经评审通过后，并将最终工作报告书及图纸资料的全部文本和电子版资料交付采购人后15天内，采购人支付剩余合同价款的30%。</w:t>
      </w:r>
    </w:p>
    <w:p>
      <w:pPr>
        <w:numPr>
          <w:ilvl w:val="0"/>
          <w:numId w:val="0"/>
        </w:numPr>
        <w:spacing w:beforeLines="0" w:afterLines="0" w:line="56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br w:type="page"/>
      </w:r>
    </w:p>
    <w:p>
      <w:pPr>
        <w:rPr>
          <w:highlight w:val="none"/>
        </w:rPr>
      </w:pPr>
    </w:p>
    <w:p>
      <w:pPr>
        <w:numPr>
          <w:ilvl w:val="0"/>
          <w:numId w:val="4"/>
        </w:numPr>
        <w:snapToGrid w:val="0"/>
        <w:spacing w:line="360" w:lineRule="auto"/>
        <w:jc w:val="center"/>
        <w:rPr>
          <w:rFonts w:ascii="仿宋" w:hAnsi="仿宋" w:eastAsia="仿宋" w:cs="仿宋"/>
          <w:b/>
          <w:sz w:val="36"/>
          <w:szCs w:val="36"/>
          <w:highlight w:val="none"/>
        </w:rPr>
      </w:pPr>
      <w:bookmarkStart w:id="29" w:name="_Toc184313253"/>
      <w:bookmarkEnd w:id="29"/>
      <w:bookmarkStart w:id="30" w:name="_Toc184313272"/>
      <w:bookmarkEnd w:id="30"/>
      <w:bookmarkStart w:id="31" w:name="_Toc184312095"/>
      <w:bookmarkEnd w:id="31"/>
      <w:bookmarkStart w:id="32" w:name="_Toc184313278"/>
      <w:bookmarkEnd w:id="32"/>
      <w:bookmarkStart w:id="33" w:name="_Toc184314448"/>
      <w:bookmarkEnd w:id="33"/>
      <w:bookmarkStart w:id="34" w:name="_Toc184310330"/>
      <w:bookmarkEnd w:id="34"/>
      <w:bookmarkStart w:id="35" w:name="_Toc184313304"/>
      <w:bookmarkEnd w:id="35"/>
      <w:bookmarkStart w:id="36" w:name="_Toc184313274"/>
      <w:bookmarkEnd w:id="36"/>
      <w:bookmarkStart w:id="37" w:name="_Toc184314440"/>
      <w:bookmarkEnd w:id="37"/>
      <w:bookmarkStart w:id="38" w:name="_Toc184314451"/>
      <w:bookmarkEnd w:id="38"/>
      <w:bookmarkStart w:id="39" w:name="_Toc184308087"/>
      <w:bookmarkEnd w:id="39"/>
      <w:bookmarkStart w:id="40" w:name="_Toc184308076"/>
      <w:bookmarkEnd w:id="40"/>
      <w:bookmarkStart w:id="41" w:name="_Toc184312106"/>
      <w:bookmarkEnd w:id="41"/>
      <w:bookmarkStart w:id="42" w:name="_Toc184312113"/>
      <w:bookmarkEnd w:id="42"/>
      <w:bookmarkStart w:id="43" w:name="_Toc184314460"/>
      <w:bookmarkEnd w:id="43"/>
      <w:bookmarkStart w:id="44" w:name="_Toc184308036"/>
      <w:bookmarkEnd w:id="44"/>
      <w:bookmarkStart w:id="45" w:name="_Toc184314436"/>
      <w:bookmarkEnd w:id="45"/>
      <w:bookmarkStart w:id="46" w:name="_Toc184314426"/>
      <w:bookmarkEnd w:id="46"/>
      <w:bookmarkStart w:id="47" w:name="_Toc184310315"/>
      <w:bookmarkEnd w:id="47"/>
      <w:bookmarkStart w:id="48" w:name="_Toc184308062"/>
      <w:bookmarkEnd w:id="48"/>
      <w:bookmarkStart w:id="49" w:name="_Toc184310275"/>
      <w:bookmarkEnd w:id="49"/>
      <w:bookmarkStart w:id="50" w:name="_Toc184314437"/>
      <w:bookmarkEnd w:id="50"/>
      <w:bookmarkStart w:id="51" w:name="_Toc184312104"/>
      <w:bookmarkEnd w:id="51"/>
      <w:bookmarkStart w:id="52" w:name="_Toc184312067"/>
      <w:bookmarkEnd w:id="52"/>
      <w:bookmarkStart w:id="53" w:name="_Toc184308047"/>
      <w:bookmarkEnd w:id="53"/>
      <w:bookmarkStart w:id="54" w:name="_Toc184313289"/>
      <w:bookmarkEnd w:id="54"/>
      <w:bookmarkStart w:id="55" w:name="_Toc184313273"/>
      <w:bookmarkEnd w:id="55"/>
      <w:bookmarkStart w:id="56" w:name="_Toc184312137"/>
      <w:bookmarkEnd w:id="56"/>
      <w:bookmarkStart w:id="57" w:name="_Toc184312114"/>
      <w:bookmarkEnd w:id="57"/>
      <w:bookmarkStart w:id="58" w:name="_Toc184313247"/>
      <w:bookmarkEnd w:id="58"/>
      <w:bookmarkStart w:id="59" w:name="_Toc184313285"/>
      <w:bookmarkEnd w:id="59"/>
      <w:bookmarkStart w:id="60" w:name="_Toc184312099"/>
      <w:bookmarkEnd w:id="60"/>
      <w:bookmarkStart w:id="61" w:name="_Toc184312071"/>
      <w:bookmarkEnd w:id="61"/>
      <w:bookmarkStart w:id="62" w:name="_Toc184314445"/>
      <w:bookmarkEnd w:id="62"/>
      <w:bookmarkStart w:id="63" w:name="_Toc184312080"/>
      <w:bookmarkEnd w:id="63"/>
      <w:bookmarkStart w:id="64" w:name="_Toc184314435"/>
      <w:bookmarkEnd w:id="64"/>
      <w:bookmarkStart w:id="65" w:name="_Toc184313302"/>
      <w:bookmarkEnd w:id="65"/>
      <w:bookmarkStart w:id="66" w:name="_Toc184313298"/>
      <w:bookmarkEnd w:id="66"/>
      <w:bookmarkStart w:id="67" w:name="_Toc184314410"/>
      <w:bookmarkEnd w:id="67"/>
      <w:bookmarkStart w:id="68" w:name="_Toc184312088"/>
      <w:bookmarkEnd w:id="68"/>
      <w:bookmarkStart w:id="69" w:name="_Toc184308069"/>
      <w:bookmarkEnd w:id="69"/>
      <w:bookmarkStart w:id="70" w:name="_Toc184312100"/>
      <w:bookmarkEnd w:id="70"/>
      <w:bookmarkStart w:id="71" w:name="_Toc184312108"/>
      <w:bookmarkEnd w:id="71"/>
      <w:bookmarkStart w:id="72" w:name="_Toc184308098"/>
      <w:bookmarkEnd w:id="72"/>
      <w:bookmarkStart w:id="73" w:name="_Toc184314467"/>
      <w:bookmarkEnd w:id="73"/>
      <w:bookmarkStart w:id="74" w:name="_Toc184308096"/>
      <w:bookmarkEnd w:id="74"/>
      <w:bookmarkStart w:id="75" w:name="_Toc184312131"/>
      <w:bookmarkEnd w:id="75"/>
      <w:bookmarkStart w:id="76" w:name="_Toc184308066"/>
      <w:bookmarkEnd w:id="76"/>
      <w:bookmarkStart w:id="77" w:name="_Toc184313283"/>
      <w:bookmarkEnd w:id="77"/>
      <w:bookmarkStart w:id="78" w:name="_Toc184313270"/>
      <w:bookmarkEnd w:id="78"/>
      <w:bookmarkStart w:id="79" w:name="_Toc184310329"/>
      <w:bookmarkEnd w:id="79"/>
      <w:bookmarkStart w:id="80" w:name="_Toc184308079"/>
      <w:bookmarkEnd w:id="80"/>
      <w:bookmarkStart w:id="81" w:name="_Toc184313299"/>
      <w:bookmarkEnd w:id="81"/>
      <w:bookmarkStart w:id="82" w:name="_Toc184310319"/>
      <w:bookmarkEnd w:id="82"/>
      <w:bookmarkStart w:id="83" w:name="_Toc184312081"/>
      <w:bookmarkEnd w:id="83"/>
      <w:bookmarkStart w:id="84" w:name="_Toc184314457"/>
      <w:bookmarkEnd w:id="84"/>
      <w:bookmarkStart w:id="85" w:name="_Toc184313296"/>
      <w:bookmarkEnd w:id="85"/>
      <w:bookmarkStart w:id="86" w:name="_Toc184308093"/>
      <w:bookmarkEnd w:id="86"/>
      <w:bookmarkStart w:id="87" w:name="_Toc184314431"/>
      <w:bookmarkEnd w:id="87"/>
      <w:bookmarkStart w:id="88" w:name="_Toc184308081"/>
      <w:bookmarkEnd w:id="88"/>
      <w:bookmarkStart w:id="89" w:name="_Toc184314444"/>
      <w:bookmarkEnd w:id="89"/>
      <w:bookmarkStart w:id="90" w:name="_Toc184310324"/>
      <w:bookmarkEnd w:id="90"/>
      <w:bookmarkStart w:id="91" w:name="_Toc184314473"/>
      <w:bookmarkEnd w:id="91"/>
      <w:bookmarkStart w:id="92" w:name="_Toc184312102"/>
      <w:bookmarkEnd w:id="92"/>
      <w:bookmarkStart w:id="93" w:name="_Toc184313288"/>
      <w:bookmarkEnd w:id="93"/>
      <w:bookmarkStart w:id="94" w:name="_Toc184314422"/>
      <w:bookmarkEnd w:id="94"/>
      <w:bookmarkStart w:id="95" w:name="_Toc184314434"/>
      <w:bookmarkEnd w:id="95"/>
      <w:bookmarkStart w:id="96" w:name="_Toc184310341"/>
      <w:bookmarkEnd w:id="96"/>
      <w:bookmarkStart w:id="97" w:name="_Toc184308072"/>
      <w:bookmarkEnd w:id="97"/>
      <w:bookmarkStart w:id="98" w:name="_Toc184310305"/>
      <w:bookmarkEnd w:id="98"/>
      <w:bookmarkStart w:id="99" w:name="_Toc184313281"/>
      <w:bookmarkEnd w:id="99"/>
      <w:bookmarkStart w:id="100" w:name="_Toc184308103"/>
      <w:bookmarkEnd w:id="100"/>
      <w:bookmarkStart w:id="101" w:name="_Toc184314412"/>
      <w:bookmarkEnd w:id="101"/>
      <w:bookmarkStart w:id="102" w:name="_Toc184310331"/>
      <w:bookmarkEnd w:id="102"/>
      <w:bookmarkStart w:id="103" w:name="_Toc184310336"/>
      <w:bookmarkEnd w:id="103"/>
      <w:bookmarkStart w:id="104" w:name="_Toc184314476"/>
      <w:bookmarkEnd w:id="104"/>
      <w:bookmarkStart w:id="105" w:name="_Toc184310284"/>
      <w:bookmarkEnd w:id="105"/>
      <w:bookmarkStart w:id="106" w:name="_Toc184314462"/>
      <w:bookmarkEnd w:id="106"/>
      <w:bookmarkStart w:id="107" w:name="_Toc184308052"/>
      <w:bookmarkEnd w:id="107"/>
      <w:bookmarkStart w:id="108" w:name="_Toc184308051"/>
      <w:bookmarkEnd w:id="108"/>
      <w:bookmarkStart w:id="109" w:name="_Toc184312115"/>
      <w:bookmarkEnd w:id="109"/>
      <w:bookmarkStart w:id="110" w:name="_Toc184313257"/>
      <w:bookmarkEnd w:id="110"/>
      <w:bookmarkStart w:id="111" w:name="_Toc184312139"/>
      <w:bookmarkEnd w:id="111"/>
      <w:bookmarkStart w:id="112" w:name="_Toc184310301"/>
      <w:bookmarkEnd w:id="112"/>
      <w:bookmarkStart w:id="113" w:name="_Toc184313310"/>
      <w:bookmarkEnd w:id="113"/>
      <w:bookmarkStart w:id="114" w:name="_Toc184312132"/>
      <w:bookmarkEnd w:id="114"/>
      <w:bookmarkStart w:id="115" w:name="_Toc184312126"/>
      <w:bookmarkEnd w:id="115"/>
      <w:bookmarkStart w:id="116" w:name="_Toc184313265"/>
      <w:bookmarkEnd w:id="116"/>
      <w:bookmarkStart w:id="117" w:name="_Toc184312123"/>
      <w:bookmarkEnd w:id="117"/>
      <w:bookmarkStart w:id="118" w:name="_Toc184308089"/>
      <w:bookmarkEnd w:id="118"/>
      <w:bookmarkStart w:id="119" w:name="_Toc184313267"/>
      <w:bookmarkEnd w:id="119"/>
      <w:bookmarkStart w:id="120" w:name="_Toc184308038"/>
      <w:bookmarkEnd w:id="120"/>
      <w:bookmarkStart w:id="121" w:name="_Toc184313249"/>
      <w:bookmarkEnd w:id="121"/>
      <w:bookmarkStart w:id="122" w:name="_Toc184312105"/>
      <w:bookmarkEnd w:id="122"/>
      <w:bookmarkStart w:id="123" w:name="_Toc184310327"/>
      <w:bookmarkEnd w:id="123"/>
      <w:bookmarkStart w:id="124" w:name="_Toc184310333"/>
      <w:bookmarkEnd w:id="124"/>
      <w:bookmarkStart w:id="125" w:name="_Toc184313250"/>
      <w:bookmarkEnd w:id="125"/>
      <w:bookmarkStart w:id="126" w:name="_Toc184312136"/>
      <w:bookmarkEnd w:id="126"/>
      <w:bookmarkStart w:id="127" w:name="_Toc184313240"/>
      <w:bookmarkEnd w:id="127"/>
      <w:bookmarkStart w:id="128" w:name="_Toc184312135"/>
      <w:bookmarkEnd w:id="128"/>
      <w:bookmarkStart w:id="129" w:name="_Toc184314441"/>
      <w:bookmarkEnd w:id="129"/>
      <w:bookmarkStart w:id="130" w:name="_Toc184313295"/>
      <w:bookmarkEnd w:id="130"/>
      <w:bookmarkStart w:id="131" w:name="_Toc184310283"/>
      <w:bookmarkEnd w:id="131"/>
      <w:bookmarkStart w:id="132" w:name="_Toc184314482"/>
      <w:bookmarkEnd w:id="132"/>
      <w:bookmarkStart w:id="133" w:name="_Toc184312127"/>
      <w:bookmarkEnd w:id="133"/>
      <w:bookmarkStart w:id="134" w:name="_Toc184313268"/>
      <w:bookmarkEnd w:id="134"/>
      <w:bookmarkStart w:id="135" w:name="_Toc184313297"/>
      <w:bookmarkEnd w:id="135"/>
      <w:bookmarkStart w:id="136" w:name="_Toc184313284"/>
      <w:bookmarkEnd w:id="136"/>
      <w:bookmarkStart w:id="137" w:name="_Toc184312107"/>
      <w:bookmarkEnd w:id="137"/>
      <w:bookmarkStart w:id="138" w:name="_Toc184308063"/>
      <w:bookmarkEnd w:id="138"/>
      <w:bookmarkStart w:id="139" w:name="_Toc184308084"/>
      <w:bookmarkEnd w:id="139"/>
      <w:bookmarkStart w:id="140" w:name="_Toc184308057"/>
      <w:bookmarkEnd w:id="140"/>
      <w:bookmarkStart w:id="141" w:name="_Toc184308107"/>
      <w:bookmarkEnd w:id="141"/>
      <w:bookmarkStart w:id="142" w:name="_Toc184313239"/>
      <w:bookmarkEnd w:id="142"/>
      <w:bookmarkStart w:id="143" w:name="_Toc184310304"/>
      <w:bookmarkEnd w:id="143"/>
      <w:bookmarkStart w:id="144" w:name="_Toc184308068"/>
      <w:bookmarkEnd w:id="144"/>
      <w:bookmarkStart w:id="145" w:name="_Toc184310286"/>
      <w:bookmarkEnd w:id="145"/>
      <w:bookmarkStart w:id="146" w:name="_Toc184310328"/>
      <w:bookmarkEnd w:id="146"/>
      <w:bookmarkStart w:id="147" w:name="_Toc184310293"/>
      <w:bookmarkEnd w:id="147"/>
      <w:bookmarkStart w:id="148" w:name="_Toc184310334"/>
      <w:bookmarkEnd w:id="148"/>
      <w:bookmarkStart w:id="149" w:name="_Toc184313248"/>
      <w:bookmarkEnd w:id="149"/>
      <w:bookmarkStart w:id="150" w:name="_Toc184308100"/>
      <w:bookmarkEnd w:id="150"/>
      <w:bookmarkStart w:id="151" w:name="_Toc184314453"/>
      <w:bookmarkEnd w:id="151"/>
      <w:bookmarkStart w:id="152" w:name="_Toc184313238"/>
      <w:bookmarkEnd w:id="152"/>
      <w:bookmarkStart w:id="153" w:name="_Toc184308099"/>
      <w:bookmarkEnd w:id="153"/>
      <w:bookmarkStart w:id="154" w:name="_Toc184313286"/>
      <w:bookmarkEnd w:id="154"/>
      <w:bookmarkStart w:id="155" w:name="_Toc184312118"/>
      <w:bookmarkEnd w:id="155"/>
      <w:bookmarkStart w:id="156" w:name="_Toc184313241"/>
      <w:bookmarkEnd w:id="156"/>
      <w:bookmarkStart w:id="157" w:name="_Toc184308048"/>
      <w:bookmarkEnd w:id="157"/>
      <w:bookmarkStart w:id="158" w:name="_Toc184308071"/>
      <w:bookmarkEnd w:id="158"/>
      <w:bookmarkStart w:id="159" w:name="_Toc184310303"/>
      <w:bookmarkEnd w:id="159"/>
      <w:bookmarkStart w:id="160" w:name="_Toc184312068"/>
      <w:bookmarkEnd w:id="160"/>
      <w:bookmarkStart w:id="161" w:name="_Toc184314463"/>
      <w:bookmarkEnd w:id="161"/>
      <w:bookmarkStart w:id="162" w:name="_Toc184312093"/>
      <w:bookmarkEnd w:id="162"/>
      <w:bookmarkStart w:id="163" w:name="_Toc184314479"/>
      <w:bookmarkEnd w:id="163"/>
      <w:bookmarkStart w:id="164" w:name="_Toc184308102"/>
      <w:bookmarkEnd w:id="164"/>
      <w:bookmarkStart w:id="165" w:name="_Toc184310285"/>
      <w:bookmarkEnd w:id="165"/>
      <w:bookmarkStart w:id="166" w:name="_Toc184314423"/>
      <w:bookmarkEnd w:id="166"/>
      <w:bookmarkStart w:id="167" w:name="_Toc184312103"/>
      <w:bookmarkEnd w:id="167"/>
      <w:bookmarkStart w:id="168" w:name="_Toc184310338"/>
      <w:bookmarkEnd w:id="168"/>
      <w:bookmarkStart w:id="169" w:name="_Toc184314466"/>
      <w:bookmarkEnd w:id="169"/>
      <w:bookmarkStart w:id="170" w:name="_Toc184308085"/>
      <w:bookmarkEnd w:id="170"/>
      <w:bookmarkStart w:id="171" w:name="_Toc184314470"/>
      <w:bookmarkEnd w:id="171"/>
      <w:bookmarkStart w:id="172" w:name="_Toc184313279"/>
      <w:bookmarkEnd w:id="172"/>
      <w:bookmarkStart w:id="173" w:name="_Toc184313258"/>
      <w:bookmarkEnd w:id="173"/>
      <w:bookmarkStart w:id="174" w:name="_Toc184314456"/>
      <w:bookmarkEnd w:id="174"/>
      <w:bookmarkStart w:id="175" w:name="_Toc184308078"/>
      <w:bookmarkEnd w:id="175"/>
      <w:bookmarkStart w:id="176" w:name="_Toc184310337"/>
      <w:bookmarkEnd w:id="176"/>
      <w:bookmarkStart w:id="177" w:name="_Toc184312109"/>
      <w:bookmarkEnd w:id="177"/>
      <w:bookmarkStart w:id="178" w:name="_Toc184308094"/>
      <w:bookmarkEnd w:id="178"/>
      <w:bookmarkStart w:id="179" w:name="_Toc184310277"/>
      <w:bookmarkEnd w:id="179"/>
      <w:bookmarkStart w:id="180" w:name="_Toc184313291"/>
      <w:bookmarkEnd w:id="180"/>
      <w:bookmarkStart w:id="181" w:name="_Toc184310302"/>
      <w:bookmarkEnd w:id="181"/>
      <w:bookmarkStart w:id="182" w:name="_Toc184313252"/>
      <w:bookmarkEnd w:id="182"/>
      <w:bookmarkStart w:id="183" w:name="_Toc184312078"/>
      <w:bookmarkEnd w:id="183"/>
      <w:bookmarkStart w:id="184" w:name="_Toc184310308"/>
      <w:bookmarkEnd w:id="184"/>
      <w:bookmarkStart w:id="185" w:name="_Toc184308086"/>
      <w:bookmarkEnd w:id="185"/>
      <w:bookmarkStart w:id="186" w:name="_Toc184312083"/>
      <w:bookmarkEnd w:id="186"/>
      <w:bookmarkStart w:id="187" w:name="_Toc184312120"/>
      <w:bookmarkEnd w:id="187"/>
      <w:bookmarkStart w:id="188" w:name="_Toc184313308"/>
      <w:bookmarkEnd w:id="188"/>
      <w:bookmarkStart w:id="189" w:name="_Toc184308108"/>
      <w:bookmarkEnd w:id="189"/>
      <w:bookmarkStart w:id="190" w:name="_Toc184312121"/>
      <w:bookmarkEnd w:id="190"/>
      <w:bookmarkStart w:id="191" w:name="_Toc184314468"/>
      <w:bookmarkEnd w:id="191"/>
      <w:bookmarkStart w:id="192" w:name="_Toc184314419"/>
      <w:bookmarkEnd w:id="192"/>
      <w:bookmarkStart w:id="193" w:name="_Toc184313301"/>
      <w:bookmarkEnd w:id="193"/>
      <w:bookmarkStart w:id="194" w:name="_Toc184310294"/>
      <w:bookmarkEnd w:id="194"/>
      <w:bookmarkStart w:id="195" w:name="_Toc184310307"/>
      <w:bookmarkEnd w:id="195"/>
      <w:bookmarkStart w:id="196" w:name="_Toc184312128"/>
      <w:bookmarkEnd w:id="196"/>
      <w:bookmarkStart w:id="197" w:name="_Toc184308097"/>
      <w:bookmarkEnd w:id="197"/>
      <w:bookmarkStart w:id="198" w:name="_Toc184310313"/>
      <w:bookmarkEnd w:id="198"/>
      <w:bookmarkStart w:id="199" w:name="_Toc184313282"/>
      <w:bookmarkEnd w:id="199"/>
      <w:bookmarkStart w:id="200" w:name="_Toc184314480"/>
      <w:bookmarkEnd w:id="200"/>
      <w:bookmarkStart w:id="201" w:name="_Toc184308070"/>
      <w:bookmarkEnd w:id="201"/>
      <w:bookmarkStart w:id="202" w:name="_Toc184308095"/>
      <w:bookmarkEnd w:id="202"/>
      <w:bookmarkStart w:id="203" w:name="_Toc184313290"/>
      <w:bookmarkEnd w:id="203"/>
      <w:bookmarkStart w:id="204" w:name="_Toc184308064"/>
      <w:bookmarkEnd w:id="204"/>
      <w:bookmarkStart w:id="205" w:name="_Toc184312119"/>
      <w:bookmarkEnd w:id="205"/>
      <w:bookmarkStart w:id="206" w:name="_Toc184308041"/>
      <w:bookmarkEnd w:id="206"/>
      <w:bookmarkStart w:id="207" w:name="_Toc184314411"/>
      <w:bookmarkEnd w:id="207"/>
      <w:bookmarkStart w:id="208" w:name="_Toc184308043"/>
      <w:bookmarkEnd w:id="208"/>
      <w:bookmarkStart w:id="209" w:name="_Toc184312074"/>
      <w:bookmarkEnd w:id="209"/>
      <w:bookmarkStart w:id="210" w:name="_Toc184313242"/>
      <w:bookmarkEnd w:id="210"/>
      <w:bookmarkStart w:id="211" w:name="_Toc184310310"/>
      <w:bookmarkEnd w:id="211"/>
      <w:bookmarkStart w:id="212" w:name="_Toc184312097"/>
      <w:bookmarkEnd w:id="212"/>
      <w:bookmarkStart w:id="213" w:name="_Toc184312134"/>
      <w:bookmarkEnd w:id="213"/>
      <w:bookmarkStart w:id="214" w:name="_Toc184310299"/>
      <w:bookmarkEnd w:id="214"/>
      <w:bookmarkStart w:id="215" w:name="_Toc184310343"/>
      <w:bookmarkEnd w:id="215"/>
      <w:bookmarkStart w:id="216" w:name="_Toc184308088"/>
      <w:bookmarkEnd w:id="216"/>
      <w:bookmarkStart w:id="217" w:name="_Toc184313271"/>
      <w:bookmarkEnd w:id="217"/>
      <w:bookmarkStart w:id="218" w:name="_Toc184314425"/>
      <w:bookmarkEnd w:id="218"/>
      <w:bookmarkStart w:id="219" w:name="_Toc184313305"/>
      <w:bookmarkEnd w:id="219"/>
      <w:bookmarkStart w:id="220" w:name="_Toc184314418"/>
      <w:bookmarkEnd w:id="220"/>
      <w:bookmarkStart w:id="221" w:name="_Toc184313276"/>
      <w:bookmarkEnd w:id="221"/>
      <w:bookmarkStart w:id="222" w:name="_Toc184308090"/>
      <w:bookmarkEnd w:id="222"/>
      <w:bookmarkStart w:id="223" w:name="_Toc184314428"/>
      <w:bookmarkEnd w:id="223"/>
      <w:bookmarkStart w:id="224" w:name="_Toc184308058"/>
      <w:bookmarkEnd w:id="224"/>
      <w:bookmarkStart w:id="225" w:name="_Toc184308106"/>
      <w:bookmarkEnd w:id="225"/>
      <w:bookmarkStart w:id="226" w:name="_Toc184314427"/>
      <w:bookmarkEnd w:id="226"/>
      <w:bookmarkStart w:id="227" w:name="_Toc184310325"/>
      <w:bookmarkEnd w:id="227"/>
      <w:bookmarkStart w:id="228" w:name="_Toc184310306"/>
      <w:bookmarkEnd w:id="228"/>
      <w:bookmarkStart w:id="229" w:name="_Toc184314452"/>
      <w:bookmarkEnd w:id="229"/>
      <w:bookmarkStart w:id="230" w:name="_Toc184314481"/>
      <w:bookmarkEnd w:id="230"/>
      <w:bookmarkStart w:id="231" w:name="_Toc184314474"/>
      <w:bookmarkEnd w:id="231"/>
      <w:bookmarkStart w:id="232" w:name="_Toc184313246"/>
      <w:bookmarkEnd w:id="232"/>
      <w:bookmarkStart w:id="233" w:name="_Toc184310323"/>
      <w:bookmarkEnd w:id="233"/>
      <w:bookmarkStart w:id="234" w:name="_Toc184312129"/>
      <w:bookmarkEnd w:id="234"/>
      <w:bookmarkStart w:id="235" w:name="_Toc184310311"/>
      <w:bookmarkEnd w:id="235"/>
      <w:bookmarkStart w:id="236" w:name="_Toc184314477"/>
      <w:bookmarkEnd w:id="236"/>
      <w:bookmarkStart w:id="237" w:name="_Toc184310318"/>
      <w:bookmarkEnd w:id="237"/>
      <w:bookmarkStart w:id="238" w:name="_Toc184314469"/>
      <w:bookmarkEnd w:id="238"/>
      <w:bookmarkStart w:id="239" w:name="_Toc184312077"/>
      <w:bookmarkEnd w:id="239"/>
      <w:bookmarkStart w:id="240" w:name="_Toc184314465"/>
      <w:bookmarkEnd w:id="240"/>
      <w:bookmarkStart w:id="241" w:name="_Toc184314472"/>
      <w:bookmarkEnd w:id="241"/>
      <w:bookmarkStart w:id="242" w:name="_Toc184312082"/>
      <w:bookmarkEnd w:id="242"/>
      <w:bookmarkStart w:id="243" w:name="_Toc184312138"/>
      <w:bookmarkEnd w:id="243"/>
      <w:bookmarkStart w:id="244" w:name="_Toc184314464"/>
      <w:bookmarkEnd w:id="244"/>
      <w:bookmarkStart w:id="245" w:name="_Toc184312130"/>
      <w:bookmarkEnd w:id="245"/>
      <w:bookmarkStart w:id="246" w:name="_Toc184312124"/>
      <w:bookmarkEnd w:id="246"/>
      <w:bookmarkStart w:id="247" w:name="_Toc184308045"/>
      <w:bookmarkEnd w:id="247"/>
      <w:bookmarkStart w:id="248" w:name="_Toc184310326"/>
      <w:bookmarkEnd w:id="248"/>
      <w:bookmarkStart w:id="249" w:name="_Toc184313263"/>
      <w:bookmarkEnd w:id="249"/>
      <w:bookmarkStart w:id="250" w:name="_Toc184312079"/>
      <w:bookmarkEnd w:id="250"/>
      <w:bookmarkStart w:id="251" w:name="_Toc184308060"/>
      <w:bookmarkEnd w:id="251"/>
      <w:bookmarkStart w:id="252" w:name="_Toc184313293"/>
      <w:bookmarkEnd w:id="252"/>
      <w:bookmarkStart w:id="253" w:name="_Toc184312085"/>
      <w:bookmarkEnd w:id="253"/>
      <w:bookmarkStart w:id="254" w:name="_Toc184314446"/>
      <w:bookmarkEnd w:id="254"/>
      <w:bookmarkStart w:id="255" w:name="_Toc184308092"/>
      <w:bookmarkEnd w:id="255"/>
      <w:bookmarkStart w:id="256" w:name="_Toc184312072"/>
      <w:bookmarkEnd w:id="256"/>
      <w:bookmarkStart w:id="257" w:name="_Toc184314443"/>
      <w:bookmarkEnd w:id="257"/>
      <w:bookmarkStart w:id="258" w:name="_Toc184312122"/>
      <w:bookmarkEnd w:id="258"/>
      <w:bookmarkStart w:id="259" w:name="_Toc184310316"/>
      <w:bookmarkEnd w:id="259"/>
      <w:bookmarkStart w:id="260" w:name="_Toc184313261"/>
      <w:bookmarkEnd w:id="260"/>
      <w:bookmarkStart w:id="261" w:name="_Toc184314414"/>
      <w:bookmarkEnd w:id="261"/>
      <w:bookmarkStart w:id="262" w:name="_Toc184314450"/>
      <w:bookmarkEnd w:id="262"/>
      <w:bookmarkStart w:id="263" w:name="_Toc184308046"/>
      <w:bookmarkEnd w:id="263"/>
      <w:bookmarkStart w:id="264" w:name="_Toc184314459"/>
      <w:bookmarkEnd w:id="264"/>
      <w:bookmarkStart w:id="265" w:name="_Toc184310340"/>
      <w:bookmarkEnd w:id="265"/>
      <w:bookmarkStart w:id="266" w:name="_Toc184313256"/>
      <w:bookmarkEnd w:id="266"/>
      <w:bookmarkStart w:id="267" w:name="_Toc184312090"/>
      <w:bookmarkEnd w:id="267"/>
      <w:bookmarkStart w:id="268" w:name="_Toc184313300"/>
      <w:bookmarkEnd w:id="268"/>
      <w:bookmarkStart w:id="269" w:name="_Toc184312086"/>
      <w:bookmarkEnd w:id="269"/>
      <w:bookmarkStart w:id="270" w:name="_Toc184313243"/>
      <w:bookmarkEnd w:id="270"/>
      <w:bookmarkStart w:id="271" w:name="_Toc184312098"/>
      <w:bookmarkEnd w:id="271"/>
      <w:bookmarkStart w:id="272" w:name="_Toc184312091"/>
      <w:bookmarkEnd w:id="272"/>
      <w:bookmarkStart w:id="273" w:name="_Toc184310290"/>
      <w:bookmarkEnd w:id="273"/>
      <w:bookmarkStart w:id="274" w:name="_Toc184314471"/>
      <w:bookmarkEnd w:id="274"/>
      <w:bookmarkStart w:id="275" w:name="_Toc184312092"/>
      <w:bookmarkEnd w:id="275"/>
      <w:bookmarkStart w:id="276" w:name="_Toc184312073"/>
      <w:bookmarkEnd w:id="276"/>
      <w:bookmarkStart w:id="277" w:name="_Toc184314413"/>
      <w:bookmarkEnd w:id="277"/>
      <w:bookmarkStart w:id="278" w:name="_Toc184313287"/>
      <w:bookmarkEnd w:id="278"/>
      <w:bookmarkStart w:id="279" w:name="_Toc184310332"/>
      <w:bookmarkEnd w:id="279"/>
      <w:bookmarkStart w:id="280" w:name="_Toc184314432"/>
      <w:bookmarkEnd w:id="280"/>
      <w:bookmarkStart w:id="281" w:name="_Toc184312101"/>
      <w:bookmarkEnd w:id="281"/>
      <w:bookmarkStart w:id="282" w:name="_Toc184310344"/>
      <w:bookmarkEnd w:id="282"/>
      <w:bookmarkStart w:id="283" w:name="_Toc184314442"/>
      <w:bookmarkEnd w:id="283"/>
      <w:bookmarkStart w:id="284" w:name="_Toc184310288"/>
      <w:bookmarkEnd w:id="284"/>
      <w:bookmarkStart w:id="285" w:name="_Toc184308053"/>
      <w:bookmarkEnd w:id="285"/>
      <w:bookmarkStart w:id="286" w:name="_Toc184312111"/>
      <w:bookmarkEnd w:id="286"/>
      <w:bookmarkStart w:id="287" w:name="_Toc184308037"/>
      <w:bookmarkEnd w:id="287"/>
      <w:bookmarkStart w:id="288" w:name="_Toc184312076"/>
      <w:bookmarkEnd w:id="288"/>
      <w:bookmarkStart w:id="289" w:name="_Toc184312075"/>
      <w:bookmarkEnd w:id="289"/>
      <w:bookmarkStart w:id="290" w:name="_Toc184313294"/>
      <w:bookmarkEnd w:id="290"/>
      <w:bookmarkStart w:id="291" w:name="_Toc184308074"/>
      <w:bookmarkEnd w:id="291"/>
      <w:bookmarkStart w:id="292" w:name="_Toc184313244"/>
      <w:bookmarkEnd w:id="292"/>
      <w:bookmarkStart w:id="293" w:name="_Toc184310321"/>
      <w:bookmarkEnd w:id="293"/>
      <w:bookmarkStart w:id="294" w:name="_Toc184310296"/>
      <w:bookmarkEnd w:id="294"/>
      <w:bookmarkStart w:id="295" w:name="_Toc184308105"/>
      <w:bookmarkEnd w:id="295"/>
      <w:bookmarkStart w:id="296" w:name="_Toc184312133"/>
      <w:bookmarkEnd w:id="296"/>
      <w:bookmarkStart w:id="297" w:name="_Toc184312110"/>
      <w:bookmarkEnd w:id="297"/>
      <w:bookmarkStart w:id="298" w:name="_Toc184310297"/>
      <w:bookmarkEnd w:id="298"/>
      <w:bookmarkStart w:id="299" w:name="_Toc184313264"/>
      <w:bookmarkEnd w:id="299"/>
      <w:bookmarkStart w:id="300" w:name="_Toc184308059"/>
      <w:bookmarkEnd w:id="300"/>
      <w:bookmarkStart w:id="301" w:name="_Toc184314447"/>
      <w:bookmarkEnd w:id="301"/>
      <w:bookmarkStart w:id="302" w:name="_Toc184312094"/>
      <w:bookmarkEnd w:id="302"/>
      <w:bookmarkStart w:id="303" w:name="_Toc184314438"/>
      <w:bookmarkEnd w:id="303"/>
      <w:bookmarkStart w:id="304" w:name="_Toc184312125"/>
      <w:bookmarkEnd w:id="304"/>
      <w:bookmarkStart w:id="305" w:name="_Toc184310312"/>
      <w:bookmarkEnd w:id="305"/>
      <w:bookmarkStart w:id="306" w:name="_Toc184308049"/>
      <w:bookmarkEnd w:id="306"/>
      <w:bookmarkStart w:id="307" w:name="_Toc184314461"/>
      <w:bookmarkEnd w:id="307"/>
      <w:bookmarkStart w:id="308" w:name="_Toc184310281"/>
      <w:bookmarkEnd w:id="308"/>
      <w:bookmarkStart w:id="309" w:name="_Toc184308077"/>
      <w:bookmarkEnd w:id="309"/>
      <w:bookmarkStart w:id="310" w:name="_Toc184314429"/>
      <w:bookmarkEnd w:id="310"/>
      <w:bookmarkStart w:id="311" w:name="_Toc184308073"/>
      <w:bookmarkEnd w:id="311"/>
      <w:bookmarkStart w:id="312" w:name="_Toc184312117"/>
      <w:bookmarkEnd w:id="312"/>
      <w:bookmarkStart w:id="313" w:name="_Toc184313269"/>
      <w:bookmarkEnd w:id="313"/>
      <w:bookmarkStart w:id="314" w:name="_Toc184312070"/>
      <w:bookmarkEnd w:id="314"/>
      <w:bookmarkStart w:id="315" w:name="_Toc184308067"/>
      <w:bookmarkEnd w:id="315"/>
      <w:bookmarkStart w:id="316" w:name="_Toc184310339"/>
      <w:bookmarkEnd w:id="316"/>
      <w:bookmarkStart w:id="317" w:name="_Toc184314433"/>
      <w:bookmarkEnd w:id="317"/>
      <w:bookmarkStart w:id="318" w:name="_Toc184314417"/>
      <w:bookmarkEnd w:id="318"/>
      <w:bookmarkStart w:id="319" w:name="_Toc184310320"/>
      <w:bookmarkEnd w:id="319"/>
      <w:bookmarkStart w:id="320" w:name="_Toc184308050"/>
      <w:bookmarkEnd w:id="320"/>
      <w:bookmarkStart w:id="321" w:name="_Toc184310289"/>
      <w:bookmarkEnd w:id="321"/>
      <w:bookmarkStart w:id="322" w:name="_Toc184313303"/>
      <w:bookmarkEnd w:id="322"/>
      <w:bookmarkStart w:id="323" w:name="_Toc184308065"/>
      <w:bookmarkEnd w:id="323"/>
      <w:bookmarkStart w:id="324" w:name="_Toc184308104"/>
      <w:bookmarkEnd w:id="324"/>
      <w:bookmarkStart w:id="325" w:name="_Toc184313254"/>
      <w:bookmarkEnd w:id="325"/>
      <w:bookmarkStart w:id="326" w:name="_Toc184314439"/>
      <w:bookmarkEnd w:id="326"/>
      <w:bookmarkStart w:id="327" w:name="_Toc184310335"/>
      <w:bookmarkEnd w:id="327"/>
      <w:bookmarkStart w:id="328" w:name="_Toc184314449"/>
      <w:bookmarkEnd w:id="328"/>
      <w:bookmarkStart w:id="329" w:name="_Toc184313260"/>
      <w:bookmarkEnd w:id="329"/>
      <w:bookmarkStart w:id="330" w:name="_Toc184308091"/>
      <w:bookmarkEnd w:id="330"/>
      <w:bookmarkStart w:id="331" w:name="_Toc184313266"/>
      <w:bookmarkEnd w:id="331"/>
      <w:bookmarkStart w:id="332" w:name="_Toc184313255"/>
      <w:bookmarkEnd w:id="332"/>
      <w:bookmarkStart w:id="333" w:name="_Toc184314415"/>
      <w:bookmarkEnd w:id="333"/>
      <w:bookmarkStart w:id="334" w:name="_Toc184310317"/>
      <w:bookmarkEnd w:id="334"/>
      <w:bookmarkStart w:id="335" w:name="_Toc184312116"/>
      <w:bookmarkEnd w:id="335"/>
      <w:bookmarkStart w:id="336" w:name="_Toc184314430"/>
      <w:bookmarkEnd w:id="336"/>
      <w:bookmarkStart w:id="337" w:name="_Toc184310295"/>
      <w:bookmarkEnd w:id="337"/>
      <w:bookmarkStart w:id="338" w:name="_Toc184314420"/>
      <w:bookmarkEnd w:id="338"/>
      <w:bookmarkStart w:id="339" w:name="_Toc184312084"/>
      <w:bookmarkEnd w:id="339"/>
      <w:bookmarkStart w:id="340" w:name="_Toc184313280"/>
      <w:bookmarkEnd w:id="340"/>
      <w:bookmarkStart w:id="341" w:name="_Toc184313245"/>
      <w:bookmarkEnd w:id="341"/>
      <w:bookmarkStart w:id="342" w:name="_Toc184310314"/>
      <w:bookmarkEnd w:id="342"/>
      <w:bookmarkStart w:id="343" w:name="_Toc184310342"/>
      <w:bookmarkEnd w:id="343"/>
      <w:bookmarkStart w:id="344" w:name="_Toc184310272"/>
      <w:bookmarkEnd w:id="344"/>
      <w:bookmarkStart w:id="345" w:name="_Toc184308039"/>
      <w:bookmarkEnd w:id="345"/>
      <w:bookmarkStart w:id="346" w:name="_Toc184310300"/>
      <w:bookmarkEnd w:id="346"/>
      <w:bookmarkStart w:id="347" w:name="_Toc184308040"/>
      <w:bookmarkEnd w:id="347"/>
      <w:bookmarkStart w:id="348" w:name="_Toc184313251"/>
      <w:bookmarkEnd w:id="348"/>
      <w:bookmarkStart w:id="349" w:name="_Toc184310287"/>
      <w:bookmarkEnd w:id="349"/>
      <w:bookmarkStart w:id="350" w:name="_Toc184308055"/>
      <w:bookmarkEnd w:id="350"/>
      <w:bookmarkStart w:id="351" w:name="_Toc184314416"/>
      <w:bookmarkEnd w:id="351"/>
      <w:bookmarkStart w:id="352" w:name="_Toc184313309"/>
      <w:bookmarkEnd w:id="352"/>
      <w:bookmarkStart w:id="353" w:name="_Toc184310291"/>
      <w:bookmarkEnd w:id="353"/>
      <w:bookmarkStart w:id="354" w:name="_Toc184308054"/>
      <w:bookmarkEnd w:id="354"/>
      <w:bookmarkStart w:id="355" w:name="_Toc184308080"/>
      <w:bookmarkEnd w:id="355"/>
      <w:bookmarkStart w:id="356" w:name="_Toc184308075"/>
      <w:bookmarkEnd w:id="356"/>
      <w:bookmarkStart w:id="357" w:name="_Toc184312087"/>
      <w:bookmarkEnd w:id="357"/>
      <w:bookmarkStart w:id="358" w:name="_Toc184308044"/>
      <w:bookmarkEnd w:id="358"/>
      <w:bookmarkStart w:id="359" w:name="_Toc184313292"/>
      <w:bookmarkEnd w:id="359"/>
      <w:bookmarkStart w:id="360" w:name="_Toc184310292"/>
      <w:bookmarkEnd w:id="360"/>
      <w:bookmarkStart w:id="361" w:name="_Toc184310276"/>
      <w:bookmarkEnd w:id="361"/>
      <w:bookmarkStart w:id="362" w:name="_Toc184310322"/>
      <w:bookmarkEnd w:id="362"/>
      <w:bookmarkStart w:id="363" w:name="_Toc184312112"/>
      <w:bookmarkEnd w:id="363"/>
      <w:bookmarkStart w:id="364" w:name="_Toc184314455"/>
      <w:bookmarkEnd w:id="364"/>
      <w:bookmarkStart w:id="365" w:name="_Toc184310274"/>
      <w:bookmarkEnd w:id="365"/>
      <w:bookmarkStart w:id="366" w:name="_Toc184308082"/>
      <w:bookmarkEnd w:id="366"/>
      <w:bookmarkStart w:id="367" w:name="_Toc184313259"/>
      <w:bookmarkEnd w:id="367"/>
      <w:bookmarkStart w:id="368" w:name="_Toc184310279"/>
      <w:bookmarkEnd w:id="368"/>
      <w:bookmarkStart w:id="369" w:name="_Toc184312096"/>
      <w:bookmarkEnd w:id="369"/>
      <w:bookmarkStart w:id="370" w:name="_Toc184310298"/>
      <w:bookmarkEnd w:id="370"/>
      <w:bookmarkStart w:id="371" w:name="_Toc184314424"/>
      <w:bookmarkEnd w:id="371"/>
      <w:bookmarkStart w:id="372" w:name="_Toc184308083"/>
      <w:bookmarkEnd w:id="372"/>
      <w:bookmarkStart w:id="373" w:name="_Toc184310280"/>
      <w:bookmarkEnd w:id="373"/>
      <w:bookmarkStart w:id="374" w:name="_Toc184310273"/>
      <w:bookmarkEnd w:id="374"/>
      <w:bookmarkStart w:id="375" w:name="_Toc184314475"/>
      <w:bookmarkEnd w:id="375"/>
      <w:bookmarkStart w:id="376" w:name="_Toc184308042"/>
      <w:bookmarkEnd w:id="376"/>
      <w:bookmarkStart w:id="377" w:name="_Toc184313262"/>
      <w:bookmarkEnd w:id="377"/>
      <w:bookmarkStart w:id="378" w:name="_Toc184310309"/>
      <w:bookmarkEnd w:id="378"/>
      <w:bookmarkStart w:id="379" w:name="_Toc184312069"/>
      <w:bookmarkEnd w:id="379"/>
      <w:bookmarkStart w:id="380" w:name="_Toc184314421"/>
      <w:bookmarkEnd w:id="380"/>
      <w:bookmarkStart w:id="381" w:name="_Toc184313307"/>
      <w:bookmarkEnd w:id="381"/>
      <w:bookmarkStart w:id="382" w:name="_Toc184312089"/>
      <w:bookmarkEnd w:id="382"/>
      <w:bookmarkStart w:id="383" w:name="_Toc184308056"/>
      <w:bookmarkEnd w:id="383"/>
      <w:bookmarkStart w:id="384" w:name="_Toc184308101"/>
      <w:bookmarkEnd w:id="384"/>
      <w:bookmarkStart w:id="385" w:name="_Toc184308061"/>
      <w:bookmarkEnd w:id="385"/>
      <w:bookmarkStart w:id="386" w:name="_Toc184310282"/>
      <w:bookmarkEnd w:id="386"/>
      <w:bookmarkStart w:id="387" w:name="_Toc184313275"/>
      <w:bookmarkEnd w:id="387"/>
      <w:bookmarkStart w:id="388" w:name="_Toc184314458"/>
      <w:bookmarkEnd w:id="388"/>
      <w:bookmarkStart w:id="389" w:name="_Toc184313277"/>
      <w:bookmarkEnd w:id="389"/>
      <w:bookmarkStart w:id="390" w:name="_Toc184313306"/>
      <w:bookmarkEnd w:id="390"/>
      <w:bookmarkStart w:id="391" w:name="_Toc184310278"/>
      <w:bookmarkEnd w:id="391"/>
      <w:bookmarkStart w:id="392" w:name="_Toc184314454"/>
      <w:bookmarkEnd w:id="392"/>
      <w:bookmarkStart w:id="393" w:name="_Toc184314478"/>
      <w:bookmarkEnd w:id="393"/>
      <w:r>
        <w:rPr>
          <w:rFonts w:hint="eastAsia" w:ascii="仿宋" w:hAnsi="仿宋" w:eastAsia="仿宋" w:cs="仿宋"/>
          <w:b/>
          <w:sz w:val="36"/>
          <w:szCs w:val="36"/>
          <w:highlight w:val="none"/>
        </w:rPr>
        <w:t>评标办法</w:t>
      </w:r>
    </w:p>
    <w:p>
      <w:pPr>
        <w:pStyle w:val="258"/>
        <w:snapToGrid w:val="0"/>
        <w:ind w:left="200" w:firstLine="0" w:firstLineChars="0"/>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评标办法前附表</w:t>
      </w:r>
    </w:p>
    <w:tbl>
      <w:tblPr>
        <w:tblStyle w:val="6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83"/>
        <w:gridCol w:w="1499"/>
        <w:gridCol w:w="5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27" w:type="pct"/>
            <w:vAlign w:val="center"/>
          </w:tcPr>
          <w:p>
            <w:pPr>
              <w:pStyle w:val="258"/>
              <w:pageBreakBefore w:val="0"/>
              <w:widowControl w:val="0"/>
              <w:tabs>
                <w:tab w:val="left" w:pos="1658"/>
              </w:tabs>
              <w:kinsoku/>
              <w:wordWrap/>
              <w:overflowPunct/>
              <w:topLinePunct w:val="0"/>
              <w:autoSpaceDE w:val="0"/>
              <w:autoSpaceDN w:val="0"/>
              <w:bidi w:val="0"/>
              <w:snapToGrid/>
              <w:spacing w:before="123" w:after="100" w:line="360" w:lineRule="exact"/>
              <w:ind w:left="360" w:right="38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评审内容</w:t>
            </w:r>
          </w:p>
        </w:tc>
        <w:tc>
          <w:tcPr>
            <w:tcW w:w="825" w:type="pct"/>
            <w:vAlign w:val="center"/>
          </w:tcPr>
          <w:p>
            <w:pPr>
              <w:pStyle w:val="258"/>
              <w:pageBreakBefore w:val="0"/>
              <w:widowControl w:val="0"/>
              <w:tabs>
                <w:tab w:val="left" w:pos="1658"/>
              </w:tabs>
              <w:kinsoku/>
              <w:wordWrap/>
              <w:overflowPunct/>
              <w:topLinePunct w:val="0"/>
              <w:autoSpaceDE w:val="0"/>
              <w:autoSpaceDN w:val="0"/>
              <w:bidi w:val="0"/>
              <w:snapToGrid/>
              <w:spacing w:before="123" w:after="100" w:line="360" w:lineRule="exact"/>
              <w:ind w:left="360" w:right="38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评审项目</w:t>
            </w:r>
          </w:p>
        </w:tc>
        <w:tc>
          <w:tcPr>
            <w:tcW w:w="3246" w:type="pct"/>
            <w:vAlign w:val="center"/>
          </w:tcPr>
          <w:p>
            <w:pPr>
              <w:pStyle w:val="258"/>
              <w:pageBreakBefore w:val="0"/>
              <w:widowControl w:val="0"/>
              <w:tabs>
                <w:tab w:val="left" w:pos="1658"/>
              </w:tabs>
              <w:kinsoku/>
              <w:wordWrap/>
              <w:overflowPunct/>
              <w:topLinePunct w:val="0"/>
              <w:autoSpaceDE w:val="0"/>
              <w:autoSpaceDN w:val="0"/>
              <w:bidi w:val="0"/>
              <w:snapToGrid/>
              <w:spacing w:before="123" w:after="100" w:line="360" w:lineRule="exact"/>
              <w:ind w:left="360" w:right="380" w:firstLine="48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评分细则及说明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927" w:type="pct"/>
            <w:vMerge w:val="restart"/>
            <w:tcBorders>
              <w:top w:val="single" w:color="auto" w:sz="4" w:space="0"/>
            </w:tcBorders>
            <w:vAlign w:val="center"/>
          </w:tcPr>
          <w:p>
            <w:pPr>
              <w:pStyle w:val="955"/>
              <w:pageBreakBefore w:val="0"/>
              <w:widowControl w:val="0"/>
              <w:kinsoku/>
              <w:wordWrap/>
              <w:overflowPunct/>
              <w:topLinePunct w:val="0"/>
              <w:autoSpaceDE w:val="0"/>
              <w:autoSpaceDN w:val="0"/>
              <w:bidi w:val="0"/>
              <w:snapToGrid/>
              <w:spacing w:before="103" w:after="100" w:line="360" w:lineRule="exact"/>
              <w:ind w:left="360" w:right="36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资信及商务部分</w:t>
            </w:r>
          </w:p>
          <w:p>
            <w:pPr>
              <w:pStyle w:val="955"/>
              <w:pageBreakBefore w:val="0"/>
              <w:widowControl w:val="0"/>
              <w:kinsoku/>
              <w:wordWrap/>
              <w:overflowPunct/>
              <w:topLinePunct w:val="0"/>
              <w:autoSpaceDE w:val="0"/>
              <w:autoSpaceDN w:val="0"/>
              <w:bidi w:val="0"/>
              <w:snapToGrid/>
              <w:spacing w:before="103" w:after="100" w:line="360" w:lineRule="exact"/>
              <w:ind w:left="360" w:right="36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（0-</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分）</w:t>
            </w:r>
          </w:p>
        </w:tc>
        <w:tc>
          <w:tcPr>
            <w:tcW w:w="825" w:type="pct"/>
            <w:tcBorders>
              <w:top w:val="single" w:color="auto" w:sz="4" w:space="0"/>
              <w:bottom w:val="single" w:color="auto" w:sz="4" w:space="0"/>
            </w:tcBorders>
            <w:vAlign w:val="center"/>
          </w:tcPr>
          <w:p>
            <w:pPr>
              <w:pStyle w:val="955"/>
              <w:pageBreakBefore w:val="0"/>
              <w:widowControl w:val="0"/>
              <w:kinsoku/>
              <w:wordWrap/>
              <w:overflowPunct/>
              <w:topLinePunct w:val="0"/>
              <w:autoSpaceDE w:val="0"/>
              <w:autoSpaceDN w:val="0"/>
              <w:bidi w:val="0"/>
              <w:snapToGrid/>
              <w:spacing w:before="103" w:after="100" w:line="360" w:lineRule="exact"/>
              <w:ind w:left="360" w:right="36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综合实力（0-9分）</w:t>
            </w:r>
          </w:p>
        </w:tc>
        <w:tc>
          <w:tcPr>
            <w:tcW w:w="3246" w:type="pct"/>
            <w:tcBorders>
              <w:top w:val="single" w:color="auto" w:sz="4" w:space="0"/>
            </w:tcBorders>
          </w:tcPr>
          <w:p>
            <w:pPr>
              <w:pStyle w:val="258"/>
              <w:pageBreakBefore w:val="0"/>
              <w:widowControl w:val="0"/>
              <w:tabs>
                <w:tab w:val="left" w:pos="1658"/>
              </w:tabs>
              <w:kinsoku/>
              <w:wordWrap/>
              <w:overflowPunct/>
              <w:topLinePunct w:val="0"/>
              <w:autoSpaceDE w:val="0"/>
              <w:autoSpaceDN w:val="0"/>
              <w:bidi w:val="0"/>
              <w:snapToGrid/>
              <w:spacing w:before="123" w:after="100" w:line="360" w:lineRule="exact"/>
              <w:ind w:right="38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1、投标人测绘资质</w:t>
            </w:r>
            <w:r>
              <w:rPr>
                <w:rFonts w:hint="eastAsia" w:ascii="仿宋" w:hAnsi="仿宋" w:eastAsia="仿宋" w:cs="仿宋"/>
                <w:sz w:val="24"/>
                <w:szCs w:val="24"/>
                <w:highlight w:val="none"/>
                <w:lang w:eastAsia="zh-CN"/>
              </w:rPr>
              <w:t>同时</w:t>
            </w:r>
            <w:r>
              <w:rPr>
                <w:rFonts w:hint="eastAsia" w:ascii="仿宋" w:hAnsi="仿宋" w:eastAsia="仿宋" w:cs="仿宋"/>
                <w:sz w:val="24"/>
                <w:szCs w:val="24"/>
                <w:highlight w:val="none"/>
              </w:rPr>
              <w:t>涵盖地理信息系统工程和测绘航空摄影子项的得2分，其余不得分。</w:t>
            </w:r>
          </w:p>
          <w:p>
            <w:pPr>
              <w:pStyle w:val="258"/>
              <w:pageBreakBefore w:val="0"/>
              <w:widowControl w:val="0"/>
              <w:tabs>
                <w:tab w:val="left" w:pos="1658"/>
              </w:tabs>
              <w:kinsoku/>
              <w:wordWrap/>
              <w:overflowPunct/>
              <w:topLinePunct w:val="0"/>
              <w:autoSpaceDE w:val="0"/>
              <w:autoSpaceDN w:val="0"/>
              <w:bidi w:val="0"/>
              <w:snapToGrid/>
              <w:spacing w:before="123" w:after="100" w:line="360" w:lineRule="exact"/>
              <w:ind w:right="38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2、投标人</w:t>
            </w:r>
            <w:r>
              <w:rPr>
                <w:rFonts w:hint="eastAsia" w:ascii="仿宋" w:hAnsi="仿宋" w:eastAsia="仿宋" w:cs="仿宋"/>
                <w:sz w:val="24"/>
                <w:szCs w:val="24"/>
                <w:highlight w:val="none"/>
                <w:lang w:eastAsia="zh-CN"/>
              </w:rPr>
              <w:t>同时</w:t>
            </w:r>
            <w:r>
              <w:rPr>
                <w:rFonts w:hint="eastAsia" w:ascii="仿宋" w:hAnsi="仿宋" w:eastAsia="仿宋" w:cs="仿宋"/>
                <w:sz w:val="24"/>
                <w:szCs w:val="24"/>
                <w:highlight w:val="none"/>
              </w:rPr>
              <w:t>具有不动产调查注册证书和</w:t>
            </w:r>
            <w:r>
              <w:rPr>
                <w:rFonts w:hint="eastAsia" w:ascii="仿宋" w:hAnsi="仿宋" w:eastAsia="仿宋" w:cs="仿宋"/>
                <w:kern w:val="0"/>
                <w:sz w:val="24"/>
                <w:szCs w:val="24"/>
                <w:highlight w:val="none"/>
              </w:rPr>
              <w:t>土地勘测机构注册证书</w:t>
            </w:r>
            <w:r>
              <w:rPr>
                <w:rFonts w:hint="eastAsia" w:ascii="仿宋" w:hAnsi="仿宋" w:eastAsia="仿宋" w:cs="仿宋"/>
                <w:sz w:val="24"/>
                <w:szCs w:val="24"/>
                <w:highlight w:val="none"/>
              </w:rPr>
              <w:t>得2分，其余不得分。</w:t>
            </w:r>
          </w:p>
          <w:p>
            <w:pPr>
              <w:pStyle w:val="258"/>
              <w:pageBreakBefore w:val="0"/>
              <w:widowControl w:val="0"/>
              <w:tabs>
                <w:tab w:val="left" w:pos="1658"/>
              </w:tabs>
              <w:kinsoku/>
              <w:wordWrap/>
              <w:overflowPunct/>
              <w:topLinePunct w:val="0"/>
              <w:autoSpaceDE w:val="0"/>
              <w:autoSpaceDN w:val="0"/>
              <w:bidi w:val="0"/>
              <w:snapToGrid/>
              <w:spacing w:before="123" w:after="100" w:line="360" w:lineRule="exact"/>
              <w:ind w:right="38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3、投标人</w:t>
            </w:r>
            <w:r>
              <w:rPr>
                <w:rFonts w:hint="eastAsia" w:ascii="仿宋" w:hAnsi="仿宋" w:eastAsia="仿宋" w:cs="仿宋"/>
                <w:sz w:val="24"/>
                <w:szCs w:val="24"/>
                <w:highlight w:val="none"/>
                <w:lang w:val="en-US" w:eastAsia="zh-CN"/>
              </w:rPr>
              <w:t>2020年以来取得过</w:t>
            </w:r>
            <w:r>
              <w:rPr>
                <w:rFonts w:hint="eastAsia" w:ascii="仿宋" w:hAnsi="仿宋" w:eastAsia="仿宋" w:cs="仿宋"/>
                <w:sz w:val="24"/>
                <w:szCs w:val="24"/>
                <w:highlight w:val="none"/>
              </w:rPr>
              <w:t>省级自然资源厅颁布的省A级信用测绘资质单位的得2分。</w:t>
            </w:r>
          </w:p>
          <w:p>
            <w:pPr>
              <w:pStyle w:val="258"/>
              <w:pageBreakBefore w:val="0"/>
              <w:widowControl w:val="0"/>
              <w:tabs>
                <w:tab w:val="left" w:pos="1658"/>
              </w:tabs>
              <w:kinsoku/>
              <w:wordWrap/>
              <w:overflowPunct/>
              <w:topLinePunct w:val="0"/>
              <w:autoSpaceDE w:val="0"/>
              <w:autoSpaceDN w:val="0"/>
              <w:bidi w:val="0"/>
              <w:snapToGrid/>
              <w:spacing w:before="123" w:after="100" w:line="360" w:lineRule="exact"/>
              <w:ind w:right="38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4、投标人提供的交通工具车辆（不含租赁）具有10辆及以上的得3分，5（含5辆）-10辆的得2分，5辆以下的1分。</w:t>
            </w:r>
          </w:p>
          <w:p>
            <w:pPr>
              <w:pStyle w:val="258"/>
              <w:pageBreakBefore w:val="0"/>
              <w:widowControl w:val="0"/>
              <w:tabs>
                <w:tab w:val="left" w:pos="1658"/>
              </w:tabs>
              <w:kinsoku/>
              <w:wordWrap/>
              <w:overflowPunct/>
              <w:topLinePunct w:val="0"/>
              <w:autoSpaceDE w:val="0"/>
              <w:autoSpaceDN w:val="0"/>
              <w:bidi w:val="0"/>
              <w:snapToGrid/>
              <w:spacing w:before="123" w:after="100" w:line="360" w:lineRule="exact"/>
              <w:ind w:left="360" w:right="38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（以上须提供相关证书或行驶证等证明材料原件扫描件，未提供不得分）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27" w:type="pct"/>
            <w:vMerge w:val="continue"/>
            <w:tcBorders>
              <w:bottom w:val="single" w:color="auto" w:sz="4" w:space="0"/>
            </w:tcBorders>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lang w:eastAsia="zh-CN"/>
              </w:rPr>
            </w:pPr>
          </w:p>
        </w:tc>
        <w:tc>
          <w:tcPr>
            <w:tcW w:w="825" w:type="pct"/>
            <w:tcBorders>
              <w:top w:val="single" w:color="auto" w:sz="4" w:space="0"/>
              <w:bottom w:val="single" w:color="auto" w:sz="4" w:space="0"/>
            </w:tcBorders>
            <w:vAlign w:val="center"/>
          </w:tcPr>
          <w:p>
            <w:pPr>
              <w:pStyle w:val="955"/>
              <w:pageBreakBefore w:val="0"/>
              <w:widowControl w:val="0"/>
              <w:kinsoku/>
              <w:wordWrap/>
              <w:overflowPunct/>
              <w:topLinePunct w:val="0"/>
              <w:bidi w:val="0"/>
              <w:snapToGrid/>
              <w:spacing w:before="103" w:line="360" w:lineRule="exact"/>
              <w:ind w:left="300"/>
              <w:textAlignment w:val="auto"/>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rPr>
              <w:t>调查与数据整合建库（0-</w:t>
            </w: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highlight w:val="none"/>
                <w:lang w:eastAsia="zh-CN"/>
              </w:rPr>
              <w:t>分</w:t>
            </w:r>
            <w:r>
              <w:rPr>
                <w:rFonts w:hint="eastAsia" w:ascii="仿宋" w:hAnsi="仿宋" w:eastAsia="仿宋" w:cs="仿宋"/>
                <w:color w:val="000000"/>
                <w:sz w:val="24"/>
                <w:szCs w:val="24"/>
                <w:highlight w:val="none"/>
                <w:lang w:eastAsia="zh-CN"/>
              </w:rPr>
              <w:t>）</w:t>
            </w:r>
          </w:p>
        </w:tc>
        <w:tc>
          <w:tcPr>
            <w:tcW w:w="3246" w:type="pct"/>
          </w:tcPr>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b/>
                <w:bCs/>
                <w:color w:val="000000"/>
                <w:sz w:val="24"/>
                <w:szCs w:val="24"/>
                <w:highlight w:val="none"/>
                <w:lang w:eastAsia="zh-CN"/>
              </w:rPr>
              <w:t>调查工作经验：</w:t>
            </w:r>
            <w:r>
              <w:rPr>
                <w:rFonts w:hint="eastAsia" w:ascii="仿宋" w:hAnsi="仿宋" w:eastAsia="仿宋" w:cs="仿宋"/>
                <w:sz w:val="24"/>
                <w:szCs w:val="24"/>
                <w:highlight w:val="none"/>
                <w:lang w:eastAsia="zh-CN"/>
              </w:rPr>
              <w:t xml:space="preserve"> </w:t>
            </w:r>
          </w:p>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eastAsia="zh-CN"/>
              </w:rPr>
              <w:t>1、投标人2018年1月1日（以合同签订时间为准）起承担过区、县级及以上农村宅基地测绘及房屋确权登记调查发证项目</w:t>
            </w:r>
            <w:r>
              <w:rPr>
                <w:rFonts w:hint="eastAsia" w:ascii="仿宋" w:hAnsi="仿宋" w:eastAsia="仿宋" w:cs="仿宋"/>
                <w:sz w:val="24"/>
                <w:szCs w:val="24"/>
                <w:highlight w:val="none"/>
                <w:lang w:val="en-US" w:eastAsia="zh-CN"/>
              </w:rPr>
              <w:t>的</w:t>
            </w:r>
            <w:r>
              <w:rPr>
                <w:rFonts w:hint="eastAsia" w:ascii="仿宋" w:hAnsi="仿宋" w:eastAsia="仿宋" w:cs="仿宋"/>
                <w:color w:val="000000"/>
                <w:sz w:val="24"/>
                <w:szCs w:val="24"/>
                <w:highlight w:val="none"/>
                <w:lang w:eastAsia="zh-CN"/>
              </w:rPr>
              <w:t>得</w:t>
            </w:r>
            <w:r>
              <w:rPr>
                <w:rFonts w:hint="eastAsia" w:ascii="仿宋" w:hAnsi="仿宋" w:eastAsia="仿宋" w:cs="仿宋"/>
                <w:color w:val="000000"/>
                <w:sz w:val="24"/>
                <w:szCs w:val="24"/>
                <w:highlight w:val="none"/>
                <w:lang w:val="en-US" w:eastAsia="zh-CN"/>
              </w:rPr>
              <w:t>0.25</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最高得0.5分</w:t>
            </w:r>
            <w:r>
              <w:rPr>
                <w:rFonts w:hint="eastAsia" w:ascii="仿宋" w:hAnsi="仿宋" w:eastAsia="仿宋" w:cs="仿宋"/>
                <w:color w:val="000000"/>
                <w:sz w:val="24"/>
                <w:szCs w:val="24"/>
                <w:highlight w:val="none"/>
                <w:lang w:eastAsia="zh-CN"/>
              </w:rPr>
              <w:t>；</w:t>
            </w:r>
          </w:p>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2、其他调查经验：投标人</w:t>
            </w:r>
            <w:r>
              <w:rPr>
                <w:rFonts w:hint="eastAsia" w:ascii="仿宋" w:hAnsi="仿宋" w:eastAsia="仿宋" w:cs="仿宋"/>
                <w:sz w:val="24"/>
                <w:szCs w:val="24"/>
                <w:highlight w:val="none"/>
                <w:lang w:eastAsia="zh-CN"/>
              </w:rPr>
              <w:t>2018年1月1日（以合同签订时间为准）</w:t>
            </w:r>
            <w:r>
              <w:rPr>
                <w:rFonts w:hint="eastAsia" w:ascii="仿宋" w:hAnsi="仿宋" w:eastAsia="仿宋" w:cs="仿宋"/>
                <w:color w:val="000000"/>
                <w:sz w:val="24"/>
                <w:szCs w:val="24"/>
                <w:highlight w:val="none"/>
                <w:lang w:eastAsia="zh-CN"/>
              </w:rPr>
              <w:t>承担过</w:t>
            </w:r>
            <w:r>
              <w:rPr>
                <w:rFonts w:hint="eastAsia" w:ascii="仿宋" w:hAnsi="仿宋" w:eastAsia="仿宋" w:cs="仿宋"/>
                <w:sz w:val="24"/>
                <w:szCs w:val="24"/>
                <w:highlight w:val="none"/>
                <w:lang w:eastAsia="zh-CN"/>
              </w:rPr>
              <w:t>区、县级及以上</w:t>
            </w:r>
            <w:r>
              <w:rPr>
                <w:rFonts w:hint="eastAsia" w:ascii="仿宋" w:hAnsi="仿宋" w:eastAsia="仿宋" w:cs="仿宋"/>
                <w:color w:val="000000"/>
                <w:sz w:val="24"/>
                <w:szCs w:val="24"/>
                <w:highlight w:val="none"/>
                <w:lang w:eastAsia="zh-CN"/>
              </w:rPr>
              <w:t>第三次国土调查、年度国土变更调查、存量工业用地三块地调查项目、粮食生产功能区非粮化清查项目每类项目</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lang w:eastAsia="zh-CN"/>
              </w:rPr>
              <w:t>得</w:t>
            </w:r>
            <w:r>
              <w:rPr>
                <w:rFonts w:hint="eastAsia" w:ascii="仿宋" w:hAnsi="仿宋" w:eastAsia="仿宋" w:cs="仿宋"/>
                <w:color w:val="000000"/>
                <w:sz w:val="24"/>
                <w:szCs w:val="24"/>
                <w:highlight w:val="none"/>
                <w:lang w:val="en-US" w:eastAsia="zh-CN"/>
              </w:rPr>
              <w:t>0.25</w:t>
            </w:r>
            <w:r>
              <w:rPr>
                <w:rFonts w:hint="eastAsia" w:ascii="仿宋" w:hAnsi="仿宋" w:eastAsia="仿宋" w:cs="仿宋"/>
                <w:color w:val="000000"/>
                <w:sz w:val="24"/>
                <w:szCs w:val="24"/>
                <w:highlight w:val="none"/>
                <w:lang w:eastAsia="zh-CN"/>
              </w:rPr>
              <w:t>分，最高的</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分。</w:t>
            </w:r>
          </w:p>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24"/>
                <w:szCs w:val="24"/>
                <w:highlight w:val="none"/>
                <w:lang w:eastAsia="zh-CN"/>
              </w:rPr>
              <w:t>数据整合与建库工作经验</w:t>
            </w:r>
            <w:r>
              <w:rPr>
                <w:rFonts w:hint="eastAsia" w:ascii="仿宋" w:hAnsi="仿宋" w:eastAsia="仿宋" w:cs="仿宋"/>
                <w:color w:val="000000"/>
                <w:sz w:val="24"/>
                <w:szCs w:val="24"/>
                <w:highlight w:val="none"/>
                <w:lang w:eastAsia="zh-CN"/>
              </w:rPr>
              <w:t xml:space="preserve">： </w:t>
            </w:r>
          </w:p>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投标人2018年1月1日（以合同签订时间为准）起承担过区、县级及以上城乡建设用地增减挂钩清理检查、农村存量建设用地调查项目等项目数据清理并整合建库项目的每类项目</w:t>
            </w:r>
            <w:r>
              <w:rPr>
                <w:rFonts w:hint="eastAsia" w:ascii="仿宋" w:hAnsi="仿宋" w:eastAsia="仿宋" w:cs="仿宋"/>
                <w:sz w:val="24"/>
                <w:szCs w:val="24"/>
                <w:highlight w:val="none"/>
                <w:lang w:val="en-US" w:eastAsia="zh-CN"/>
              </w:rPr>
              <w:t>得0.25</w:t>
            </w:r>
            <w:r>
              <w:rPr>
                <w:rFonts w:hint="eastAsia" w:ascii="仿宋" w:hAnsi="仿宋" w:eastAsia="仿宋" w:cs="仿宋"/>
                <w:sz w:val="24"/>
                <w:szCs w:val="24"/>
                <w:highlight w:val="none"/>
                <w:lang w:eastAsia="zh-CN"/>
              </w:rPr>
              <w:t>分，最高得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7" w:hRule="atLeast"/>
        </w:trPr>
        <w:tc>
          <w:tcPr>
            <w:tcW w:w="927" w:type="pct"/>
            <w:vMerge w:val="restart"/>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lang w:eastAsia="zh-CN"/>
              </w:rPr>
            </w:pPr>
          </w:p>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技术部分</w:t>
            </w:r>
          </w:p>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69</w:t>
            </w:r>
            <w:r>
              <w:rPr>
                <w:rFonts w:hint="eastAsia" w:ascii="仿宋" w:hAnsi="仿宋" w:eastAsia="仿宋" w:cs="仿宋"/>
                <w:sz w:val="24"/>
                <w:szCs w:val="24"/>
                <w:highlight w:val="none"/>
              </w:rPr>
              <w:t>分）</w:t>
            </w:r>
          </w:p>
        </w:tc>
        <w:tc>
          <w:tcPr>
            <w:tcW w:w="825" w:type="pct"/>
            <w:tcBorders>
              <w:top w:val="single" w:color="auto" w:sz="4" w:space="0"/>
              <w:bottom w:val="single" w:color="auto" w:sz="4" w:space="0"/>
            </w:tcBorders>
            <w:vAlign w:val="center"/>
          </w:tcPr>
          <w:p>
            <w:pPr>
              <w:pStyle w:val="955"/>
              <w:keepNext/>
              <w:keepLines/>
              <w:pageBreakBefore w:val="0"/>
              <w:widowControl w:val="0"/>
              <w:tabs>
                <w:tab w:val="left" w:pos="432"/>
              </w:tabs>
              <w:kinsoku/>
              <w:wordWrap/>
              <w:overflowPunct/>
              <w:topLinePunct w:val="0"/>
              <w:bidi w:val="0"/>
              <w:snapToGrid/>
              <w:spacing w:before="103" w:after="330" w:line="360" w:lineRule="exact"/>
              <w:ind w:left="432" w:hanging="432"/>
              <w:jc w:val="center"/>
              <w:textAlignment w:val="auto"/>
              <w:outlineLvl w:val="0"/>
              <w:rPr>
                <w:rFonts w:hint="eastAsia" w:ascii="仿宋" w:hAnsi="仿宋" w:eastAsia="仿宋" w:cs="仿宋"/>
                <w:sz w:val="24"/>
                <w:szCs w:val="24"/>
                <w:highlight w:val="none"/>
              </w:rPr>
            </w:pPr>
          </w:p>
          <w:p>
            <w:pPr>
              <w:pStyle w:val="955"/>
              <w:keepNext/>
              <w:keepLines/>
              <w:pageBreakBefore w:val="0"/>
              <w:widowControl w:val="0"/>
              <w:tabs>
                <w:tab w:val="left" w:pos="432"/>
              </w:tabs>
              <w:kinsoku/>
              <w:wordWrap/>
              <w:overflowPunct/>
              <w:topLinePunct w:val="0"/>
              <w:bidi w:val="0"/>
              <w:snapToGrid/>
              <w:spacing w:before="103" w:after="330" w:line="360" w:lineRule="exact"/>
              <w:ind w:left="432" w:hanging="432"/>
              <w:jc w:val="center"/>
              <w:textAlignment w:val="auto"/>
              <w:outlineLvl w:val="0"/>
              <w:rPr>
                <w:rFonts w:hint="eastAsia" w:ascii="仿宋" w:hAnsi="仿宋" w:eastAsia="仿宋" w:cs="仿宋"/>
                <w:sz w:val="24"/>
                <w:szCs w:val="24"/>
                <w:highlight w:val="none"/>
              </w:rPr>
            </w:pPr>
          </w:p>
          <w:p>
            <w:pPr>
              <w:pStyle w:val="955"/>
              <w:keepNext/>
              <w:keepLines/>
              <w:pageBreakBefore w:val="0"/>
              <w:widowControl w:val="0"/>
              <w:tabs>
                <w:tab w:val="left" w:pos="432"/>
              </w:tabs>
              <w:kinsoku/>
              <w:wordWrap/>
              <w:overflowPunct/>
              <w:topLinePunct w:val="0"/>
              <w:bidi w:val="0"/>
              <w:snapToGrid/>
              <w:spacing w:before="103" w:after="330" w:line="360" w:lineRule="exact"/>
              <w:ind w:left="432" w:hanging="432"/>
              <w:jc w:val="center"/>
              <w:textAlignment w:val="auto"/>
              <w:outlineLvl w:val="0"/>
              <w:rPr>
                <w:rFonts w:hint="eastAsia" w:ascii="仿宋" w:hAnsi="仿宋" w:eastAsia="仿宋" w:cs="仿宋"/>
                <w:sz w:val="24"/>
                <w:szCs w:val="24"/>
                <w:highlight w:val="none"/>
              </w:rPr>
            </w:pPr>
          </w:p>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项目团队（0-14分）</w:t>
            </w:r>
          </w:p>
          <w:p>
            <w:pPr>
              <w:pStyle w:val="955"/>
              <w:keepNext/>
              <w:keepLines/>
              <w:pageBreakBefore w:val="0"/>
              <w:widowControl w:val="0"/>
              <w:tabs>
                <w:tab w:val="left" w:pos="432"/>
              </w:tabs>
              <w:kinsoku/>
              <w:wordWrap/>
              <w:overflowPunct/>
              <w:topLinePunct w:val="0"/>
              <w:bidi w:val="0"/>
              <w:snapToGrid/>
              <w:spacing w:before="103" w:after="330" w:line="360" w:lineRule="exact"/>
              <w:ind w:left="432" w:hanging="432"/>
              <w:jc w:val="center"/>
              <w:textAlignment w:val="auto"/>
              <w:outlineLvl w:val="0"/>
              <w:rPr>
                <w:rFonts w:hint="eastAsia" w:ascii="仿宋" w:hAnsi="仿宋" w:eastAsia="仿宋" w:cs="仿宋"/>
                <w:sz w:val="24"/>
                <w:szCs w:val="24"/>
                <w:highlight w:val="none"/>
              </w:rPr>
            </w:pPr>
          </w:p>
          <w:p>
            <w:pPr>
              <w:pStyle w:val="955"/>
              <w:keepNext/>
              <w:keepLines/>
              <w:pageBreakBefore w:val="0"/>
              <w:widowControl w:val="0"/>
              <w:tabs>
                <w:tab w:val="left" w:pos="432"/>
              </w:tabs>
              <w:kinsoku/>
              <w:wordWrap/>
              <w:overflowPunct/>
              <w:topLinePunct w:val="0"/>
              <w:bidi w:val="0"/>
              <w:snapToGrid/>
              <w:spacing w:before="103" w:after="330" w:line="360" w:lineRule="exact"/>
              <w:ind w:left="432" w:hanging="432"/>
              <w:jc w:val="center"/>
              <w:textAlignment w:val="auto"/>
              <w:outlineLvl w:val="0"/>
              <w:rPr>
                <w:rFonts w:hint="eastAsia" w:ascii="仿宋" w:hAnsi="仿宋" w:eastAsia="仿宋" w:cs="仿宋"/>
                <w:sz w:val="24"/>
                <w:szCs w:val="24"/>
                <w:highlight w:val="none"/>
              </w:rPr>
            </w:pPr>
          </w:p>
        </w:tc>
        <w:tc>
          <w:tcPr>
            <w:tcW w:w="3246" w:type="pct"/>
            <w:tcBorders>
              <w:top w:val="single" w:color="auto" w:sz="4" w:space="0"/>
            </w:tcBorders>
          </w:tcPr>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人员技术力量</w:t>
            </w:r>
          </w:p>
          <w:p>
            <w:pPr>
              <w:pStyle w:val="955"/>
              <w:pageBreakBefore w:val="0"/>
              <w:widowControl w:val="0"/>
              <w:numPr>
                <w:ilvl w:val="0"/>
                <w:numId w:val="5"/>
              </w:numPr>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投标人拟派项目负责人具有测绘专业高级及以上工程师职称的得2分，具有测绘专业高级及以上工程师职称同时取得注册测绘师资格证书的得4分。</w:t>
            </w:r>
          </w:p>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2.投标人拟派项目技术负责人具有测绘专业高级及以上工程师职称的得2分。</w:t>
            </w:r>
          </w:p>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3.投标人拟投入本项目人员具有测绘类、地理信息工程类中级及以上工程师职称的每人得1分，最高得8分。（项目负责人、技术负责人除外）。</w:t>
            </w:r>
          </w:p>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（以上均须提供相关证书原件扫描件及本单位为其缴纳社保证明原件扫描件，未提供不得分）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27" w:type="pct"/>
            <w:vMerge w:val="continue"/>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lang w:eastAsia="zh-CN"/>
              </w:rPr>
            </w:pPr>
          </w:p>
        </w:tc>
        <w:tc>
          <w:tcPr>
            <w:tcW w:w="825" w:type="pct"/>
            <w:tcBorders>
              <w:top w:val="single" w:color="auto" w:sz="4" w:space="0"/>
              <w:bottom w:val="single" w:color="auto" w:sz="4" w:space="0"/>
            </w:tcBorders>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对项目的理解（0-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3246" w:type="pct"/>
          </w:tcPr>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根据投标人对本项目的理解、认识、剖析，对当地地理、地址等现实情况的熟悉程度等情况</w:t>
            </w:r>
            <w:r>
              <w:rPr>
                <w:rFonts w:hint="eastAsia" w:ascii="仿宋" w:hAnsi="仿宋" w:eastAsia="仿宋" w:cs="仿宋"/>
                <w:sz w:val="24"/>
                <w:szCs w:val="24"/>
                <w:highlight w:val="none"/>
                <w:lang w:val="zh-CN" w:eastAsia="zh-CN"/>
              </w:rPr>
              <w:t>打分</w:t>
            </w:r>
            <w:r>
              <w:rPr>
                <w:rFonts w:hint="eastAsia" w:ascii="仿宋" w:hAnsi="仿宋" w:eastAsia="仿宋" w:cs="仿宋"/>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27" w:type="pct"/>
            <w:vMerge w:val="continue"/>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lang w:eastAsia="zh-CN"/>
              </w:rPr>
            </w:pPr>
          </w:p>
        </w:tc>
        <w:tc>
          <w:tcPr>
            <w:tcW w:w="825" w:type="pct"/>
            <w:tcBorders>
              <w:top w:val="single" w:color="auto" w:sz="4" w:space="0"/>
              <w:bottom w:val="single" w:color="auto" w:sz="4" w:space="0"/>
            </w:tcBorders>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技术方案(15分）</w:t>
            </w:r>
          </w:p>
        </w:tc>
        <w:tc>
          <w:tcPr>
            <w:tcW w:w="3246" w:type="pct"/>
          </w:tcPr>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1.根据投标人采用的技术方法的合理性及先进性等情况</w:t>
            </w:r>
            <w:r>
              <w:rPr>
                <w:rFonts w:hint="eastAsia" w:ascii="仿宋" w:hAnsi="仿宋" w:eastAsia="仿宋" w:cs="仿宋"/>
                <w:sz w:val="24"/>
                <w:szCs w:val="24"/>
                <w:highlight w:val="none"/>
                <w:lang w:val="zh-CN" w:eastAsia="zh-CN"/>
              </w:rPr>
              <w:t>打分</w:t>
            </w:r>
            <w:r>
              <w:rPr>
                <w:rFonts w:hint="eastAsia" w:ascii="仿宋" w:hAnsi="仿宋" w:eastAsia="仿宋" w:cs="仿宋"/>
                <w:sz w:val="24"/>
                <w:szCs w:val="24"/>
                <w:highlight w:val="none"/>
                <w:lang w:eastAsia="zh-CN"/>
              </w:rPr>
              <w:t>（0-10分）；</w:t>
            </w:r>
          </w:p>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2.根据投标人组织方案的合理性、科学性、全面性、可操作性等情况</w:t>
            </w:r>
            <w:r>
              <w:rPr>
                <w:rFonts w:hint="eastAsia" w:ascii="仿宋" w:hAnsi="仿宋" w:eastAsia="仿宋" w:cs="仿宋"/>
                <w:sz w:val="24"/>
                <w:szCs w:val="24"/>
                <w:highlight w:val="none"/>
                <w:lang w:val="zh-CN" w:eastAsia="zh-CN"/>
              </w:rPr>
              <w:t>打分</w:t>
            </w:r>
            <w:r>
              <w:rPr>
                <w:rFonts w:hint="eastAsia" w:ascii="仿宋" w:hAnsi="仿宋" w:eastAsia="仿宋" w:cs="仿宋"/>
                <w:sz w:val="24"/>
                <w:szCs w:val="24"/>
                <w:highlight w:val="none"/>
                <w:lang w:eastAsia="zh-CN"/>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27" w:type="pct"/>
            <w:vMerge w:val="continue"/>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lang w:eastAsia="zh-CN"/>
              </w:rPr>
            </w:pPr>
          </w:p>
        </w:tc>
        <w:tc>
          <w:tcPr>
            <w:tcW w:w="825" w:type="pct"/>
            <w:tcBorders>
              <w:top w:val="single" w:color="auto" w:sz="4" w:space="0"/>
              <w:bottom w:val="single" w:color="auto" w:sz="4" w:space="0"/>
            </w:tcBorders>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实施方案（0-9分）</w:t>
            </w:r>
          </w:p>
        </w:tc>
        <w:tc>
          <w:tcPr>
            <w:tcW w:w="3246" w:type="pct"/>
          </w:tcPr>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1.根据投标人对项目进度安排的合理性</w:t>
            </w:r>
            <w:r>
              <w:rPr>
                <w:rFonts w:hint="eastAsia" w:ascii="仿宋" w:hAnsi="仿宋" w:eastAsia="仿宋" w:cs="仿宋"/>
                <w:sz w:val="24"/>
                <w:szCs w:val="24"/>
                <w:highlight w:val="none"/>
                <w:lang w:val="zh-CN" w:eastAsia="zh-CN"/>
              </w:rPr>
              <w:t>打分</w:t>
            </w:r>
            <w:r>
              <w:rPr>
                <w:rFonts w:hint="eastAsia" w:ascii="仿宋" w:hAnsi="仿宋" w:eastAsia="仿宋" w:cs="仿宋"/>
                <w:sz w:val="24"/>
                <w:szCs w:val="24"/>
                <w:highlight w:val="none"/>
                <w:lang w:eastAsia="zh-CN"/>
              </w:rPr>
              <w:t>（0-3分）；</w:t>
            </w:r>
          </w:p>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2.根据投标人对进度控制的科学合理性</w:t>
            </w:r>
            <w:r>
              <w:rPr>
                <w:rFonts w:hint="eastAsia" w:ascii="仿宋" w:hAnsi="仿宋" w:eastAsia="仿宋" w:cs="仿宋"/>
                <w:sz w:val="24"/>
                <w:szCs w:val="24"/>
                <w:highlight w:val="none"/>
                <w:lang w:val="zh-CN" w:eastAsia="zh-CN"/>
              </w:rPr>
              <w:t>打分</w:t>
            </w:r>
            <w:r>
              <w:rPr>
                <w:rFonts w:hint="eastAsia" w:ascii="仿宋" w:hAnsi="仿宋" w:eastAsia="仿宋" w:cs="仿宋"/>
                <w:sz w:val="24"/>
                <w:szCs w:val="24"/>
                <w:highlight w:val="none"/>
                <w:lang w:eastAsia="zh-CN"/>
              </w:rPr>
              <w:t>（0-3分）；</w:t>
            </w:r>
          </w:p>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3.根据投标人对服务期保障措施的健全性等情况</w:t>
            </w:r>
            <w:r>
              <w:rPr>
                <w:rFonts w:hint="eastAsia" w:ascii="仿宋" w:hAnsi="仿宋" w:eastAsia="仿宋" w:cs="仿宋"/>
                <w:sz w:val="24"/>
                <w:szCs w:val="24"/>
                <w:highlight w:val="none"/>
                <w:lang w:val="zh-CN" w:eastAsia="zh-CN"/>
              </w:rPr>
              <w:t>打分</w:t>
            </w:r>
            <w:r>
              <w:rPr>
                <w:rFonts w:hint="eastAsia" w:ascii="仿宋" w:hAnsi="仿宋" w:eastAsia="仿宋" w:cs="仿宋"/>
                <w:sz w:val="24"/>
                <w:szCs w:val="24"/>
                <w:highlight w:val="none"/>
                <w:lang w:eastAsia="zh-CN"/>
              </w:rPr>
              <w:t>（0-3分）。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27" w:type="pct"/>
            <w:vMerge w:val="continue"/>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lang w:eastAsia="zh-CN"/>
              </w:rPr>
            </w:pPr>
          </w:p>
        </w:tc>
        <w:tc>
          <w:tcPr>
            <w:tcW w:w="825" w:type="pct"/>
            <w:tcBorders>
              <w:top w:val="single" w:color="auto" w:sz="4" w:space="0"/>
              <w:bottom w:val="single" w:color="auto" w:sz="4" w:space="0"/>
            </w:tcBorders>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安全文明措施（0-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3246" w:type="pct"/>
          </w:tcPr>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根据投标人项目实施中的安全技术措施和文明施工测量方法的科学性、合理性等情况</w:t>
            </w:r>
            <w:r>
              <w:rPr>
                <w:rFonts w:hint="eastAsia" w:ascii="仿宋" w:hAnsi="仿宋" w:eastAsia="仿宋" w:cs="仿宋"/>
                <w:sz w:val="24"/>
                <w:szCs w:val="24"/>
                <w:highlight w:val="none"/>
                <w:lang w:val="zh-CN" w:eastAsia="zh-CN"/>
              </w:rPr>
              <w:t>打分</w:t>
            </w:r>
            <w:r>
              <w:rPr>
                <w:rFonts w:hint="eastAsia" w:ascii="仿宋" w:hAnsi="仿宋" w:eastAsia="仿宋" w:cs="仿宋"/>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27" w:type="pct"/>
            <w:vMerge w:val="continue"/>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lang w:eastAsia="zh-CN"/>
              </w:rPr>
            </w:pPr>
          </w:p>
        </w:tc>
        <w:tc>
          <w:tcPr>
            <w:tcW w:w="825" w:type="pct"/>
            <w:tcBorders>
              <w:top w:val="single" w:color="auto" w:sz="4" w:space="0"/>
              <w:bottom w:val="single" w:color="auto" w:sz="4" w:space="0"/>
            </w:tcBorders>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项目质量管控（0-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3246" w:type="pct"/>
          </w:tcPr>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根据投标人项目实施的质量管理组织架构、质量监督体系和质量保证措施，确保服务期和服务质量的承诺等情况</w:t>
            </w:r>
            <w:r>
              <w:rPr>
                <w:rFonts w:hint="eastAsia" w:ascii="仿宋" w:hAnsi="仿宋" w:eastAsia="仿宋" w:cs="仿宋"/>
                <w:sz w:val="24"/>
                <w:szCs w:val="24"/>
                <w:highlight w:val="none"/>
                <w:lang w:val="zh-CN" w:eastAsia="zh-CN"/>
              </w:rPr>
              <w:t>打分</w:t>
            </w:r>
            <w:r>
              <w:rPr>
                <w:rFonts w:hint="eastAsia" w:ascii="仿宋" w:hAnsi="仿宋" w:eastAsia="仿宋" w:cs="仿宋"/>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27" w:type="pct"/>
            <w:vMerge w:val="continue"/>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lang w:eastAsia="zh-CN"/>
              </w:rPr>
            </w:pPr>
          </w:p>
        </w:tc>
        <w:tc>
          <w:tcPr>
            <w:tcW w:w="825" w:type="pct"/>
            <w:tcBorders>
              <w:top w:val="single" w:color="auto" w:sz="4" w:space="0"/>
              <w:bottom w:val="single" w:color="auto" w:sz="4" w:space="0"/>
            </w:tcBorders>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lang w:eastAsia="zh-CN"/>
              </w:rPr>
            </w:pPr>
            <w:bookmarkStart w:id="394" w:name="_Toc92965261"/>
            <w:r>
              <w:rPr>
                <w:rFonts w:hint="eastAsia" w:ascii="仿宋" w:hAnsi="仿宋" w:eastAsia="仿宋" w:cs="仿宋"/>
                <w:sz w:val="24"/>
                <w:szCs w:val="24"/>
                <w:highlight w:val="none"/>
                <w:lang w:eastAsia="zh-CN"/>
              </w:rPr>
              <w:t>数据涉密保护措施</w:t>
            </w:r>
            <w:bookmarkEnd w:id="394"/>
            <w:r>
              <w:rPr>
                <w:rFonts w:hint="eastAsia" w:ascii="仿宋" w:hAnsi="仿宋" w:eastAsia="仿宋" w:cs="仿宋"/>
                <w:sz w:val="24"/>
                <w:szCs w:val="24"/>
                <w:highlight w:val="none"/>
                <w:lang w:eastAsia="zh-CN"/>
              </w:rPr>
              <w:t>（0-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分</w:t>
            </w:r>
          </w:p>
        </w:tc>
        <w:tc>
          <w:tcPr>
            <w:tcW w:w="3246" w:type="pct"/>
          </w:tcPr>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根据投标人提供的项目数据涉密保护方法的科学性、合理性等情况</w:t>
            </w:r>
            <w:r>
              <w:rPr>
                <w:rFonts w:hint="eastAsia" w:ascii="仿宋" w:hAnsi="仿宋" w:eastAsia="仿宋" w:cs="仿宋"/>
                <w:sz w:val="24"/>
                <w:szCs w:val="24"/>
                <w:highlight w:val="none"/>
                <w:lang w:val="zh-CN" w:eastAsia="zh-CN"/>
              </w:rPr>
              <w:t>打分</w:t>
            </w:r>
            <w:r>
              <w:rPr>
                <w:rFonts w:hint="eastAsia" w:ascii="仿宋" w:hAnsi="仿宋" w:eastAsia="仿宋" w:cs="仿宋"/>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27" w:type="pct"/>
            <w:vMerge w:val="continue"/>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lang w:eastAsia="zh-CN"/>
              </w:rPr>
            </w:pPr>
          </w:p>
        </w:tc>
        <w:tc>
          <w:tcPr>
            <w:tcW w:w="825" w:type="pct"/>
            <w:tcBorders>
              <w:top w:val="single" w:color="auto" w:sz="4" w:space="0"/>
              <w:bottom w:val="single" w:color="auto" w:sz="4" w:space="0"/>
            </w:tcBorders>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专业设备（0-2分）</w:t>
            </w:r>
          </w:p>
        </w:tc>
        <w:tc>
          <w:tcPr>
            <w:tcW w:w="3246" w:type="pct"/>
          </w:tcPr>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投标人具有无人机设备同时提供2人及以上同时取得飞行资格证书的得2分；</w:t>
            </w:r>
            <w:r>
              <w:rPr>
                <w:rFonts w:hint="eastAsia" w:ascii="仿宋" w:hAnsi="仿宋" w:eastAsia="仿宋" w:cs="仿宋"/>
                <w:sz w:val="24"/>
                <w:szCs w:val="24"/>
                <w:highlight w:val="none"/>
                <w:lang w:val="zh-CN" w:eastAsia="zh-CN"/>
              </w:rPr>
              <w:t>（须提供购买发票、飞行资格证书及飞行资格证书人员在本单位缴纳社保证明原件扫描件，未提供不得分）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927" w:type="pct"/>
            <w:vMerge w:val="continue"/>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lang w:eastAsia="zh-CN"/>
              </w:rPr>
            </w:pPr>
          </w:p>
        </w:tc>
        <w:tc>
          <w:tcPr>
            <w:tcW w:w="825" w:type="pct"/>
            <w:tcBorders>
              <w:top w:val="single" w:color="auto" w:sz="4" w:space="0"/>
              <w:bottom w:val="single" w:color="auto" w:sz="4" w:space="0"/>
            </w:tcBorders>
            <w:vAlign w:val="center"/>
          </w:tcPr>
          <w:p>
            <w:pPr>
              <w:pStyle w:val="955"/>
              <w:pageBreakBefore w:val="0"/>
              <w:widowControl w:val="0"/>
              <w:kinsoku/>
              <w:wordWrap/>
              <w:overflowPunct/>
              <w:topLinePunct w:val="0"/>
              <w:bidi w:val="0"/>
              <w:snapToGrid/>
              <w:spacing w:before="103"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服务响应能力（0-5分）</w:t>
            </w:r>
          </w:p>
        </w:tc>
        <w:tc>
          <w:tcPr>
            <w:tcW w:w="3246" w:type="pct"/>
          </w:tcPr>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服务响应能力（0-5分）根据投标人的服务响应方案，是否能够提供完善、快速的服务，满足采购单位相关要求，实现“全方位、高品质、快速度”的服务标准等情况打分。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927" w:type="pct"/>
            <w:tcBorders>
              <w:bottom w:val="single" w:color="auto" w:sz="4" w:space="0"/>
            </w:tcBorders>
            <w:vAlign w:val="center"/>
          </w:tcPr>
          <w:p>
            <w:pPr>
              <w:pStyle w:val="955"/>
              <w:pageBreakBefore w:val="0"/>
              <w:widowControl w:val="0"/>
              <w:kinsoku/>
              <w:wordWrap/>
              <w:overflowPunct/>
              <w:topLinePunct w:val="0"/>
              <w:bidi w:val="0"/>
              <w:snapToGrid/>
              <w:spacing w:before="103"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报价</w:t>
            </w:r>
            <w:r>
              <w:rPr>
                <w:rFonts w:hint="eastAsia" w:ascii="仿宋" w:hAnsi="仿宋" w:eastAsia="仿宋" w:cs="仿宋"/>
                <w:sz w:val="24"/>
                <w:szCs w:val="24"/>
                <w:highlight w:val="none"/>
                <w:lang w:val="en-US" w:eastAsia="zh-CN"/>
              </w:rPr>
              <w:t>部分(20分）</w:t>
            </w:r>
          </w:p>
        </w:tc>
        <w:tc>
          <w:tcPr>
            <w:tcW w:w="825" w:type="pct"/>
            <w:tcBorders>
              <w:top w:val="single" w:color="auto" w:sz="4" w:space="0"/>
              <w:bottom w:val="single" w:color="auto" w:sz="4" w:space="0"/>
            </w:tcBorders>
            <w:vAlign w:val="center"/>
          </w:tcPr>
          <w:p>
            <w:pPr>
              <w:pStyle w:val="955"/>
              <w:pageBreakBefore w:val="0"/>
              <w:widowControl w:val="0"/>
              <w:kinsoku/>
              <w:wordWrap/>
              <w:overflowPunct/>
              <w:topLinePunct w:val="0"/>
              <w:bidi w:val="0"/>
              <w:snapToGrid/>
              <w:spacing w:before="103"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报价得分（20分）</w:t>
            </w:r>
          </w:p>
        </w:tc>
        <w:tc>
          <w:tcPr>
            <w:tcW w:w="3246" w:type="pct"/>
          </w:tcPr>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有效投标报价的最低价作为评标基准价，其最低报价为满分；按［投标报价得分=（评标基准价/投标报价）*20］的计算公式计算。</w:t>
            </w:r>
          </w:p>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评标过程中，不得去掉报价中的最高报价和最低报价。</w:t>
            </w:r>
          </w:p>
          <w:p>
            <w:pPr>
              <w:pStyle w:val="955"/>
              <w:pageBreakBefore w:val="0"/>
              <w:widowControl w:val="0"/>
              <w:kinsoku/>
              <w:wordWrap/>
              <w:overflowPunct/>
              <w:topLinePunct w:val="0"/>
              <w:bidi w:val="0"/>
              <w:snapToGrid/>
              <w:spacing w:before="103"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因落实政府采购政策需要进行价格调整的，以调整后的价格计算评标基准价和投标报价。</w:t>
            </w:r>
          </w:p>
        </w:tc>
      </w:tr>
    </w:tbl>
    <w:p>
      <w:pPr>
        <w:pStyle w:val="258"/>
        <w:snapToGrid w:val="0"/>
        <w:ind w:left="200" w:firstLine="0" w:firstLineChars="0"/>
        <w:jc w:val="center"/>
        <w:rPr>
          <w:rFonts w:ascii="仿宋" w:hAnsi="仿宋" w:eastAsia="仿宋" w:cs="仿宋_GB2312"/>
          <w:b/>
          <w:sz w:val="32"/>
          <w:szCs w:val="32"/>
          <w:highlight w:val="yellow"/>
        </w:rPr>
      </w:pPr>
    </w:p>
    <w:p>
      <w:pPr>
        <w:pStyle w:val="258"/>
        <w:snapToGrid w:val="0"/>
        <w:ind w:left="200" w:firstLine="0" w:firstLineChars="0"/>
        <w:rPr>
          <w:rFonts w:ascii="仿宋" w:hAnsi="仿宋" w:eastAsia="仿宋" w:cs="仿宋_GB2312"/>
          <w:b/>
          <w:sz w:val="32"/>
          <w:szCs w:val="20"/>
        </w:rPr>
      </w:pPr>
      <w:r>
        <w:rPr>
          <w:rFonts w:ascii="仿宋" w:hAnsi="仿宋" w:eastAsia="仿宋" w:cs="Arial"/>
          <w:shd w:val="clear" w:color="auto" w:fill="FFFFFF"/>
        </w:rPr>
        <w:t>*</w:t>
      </w:r>
      <w:r>
        <w:rPr>
          <w:rFonts w:hint="eastAsia" w:ascii="仿宋" w:hAnsi="仿宋" w:eastAsia="仿宋" w:cs="仿宋_GB2312"/>
          <w:b/>
        </w:rPr>
        <w:t>备注：</w:t>
      </w:r>
      <w:r>
        <w:rPr>
          <w:rFonts w:hint="eastAsia" w:ascii="仿宋" w:hAnsi="仿宋" w:eastAsia="仿宋" w:cs="仿宋_GB2312"/>
        </w:rPr>
        <w:t>供应商编制响应文件（商务技术文件部分）时，建议按此目录（序号和内容）提供评标标准相应的商务技术资料。</w:t>
      </w:r>
      <w:r>
        <w:rPr>
          <w:rFonts w:ascii="Calibri" w:hAnsi="Calibri" w:eastAsia="仿宋" w:cs="Calibri"/>
        </w:rPr>
        <w:t> </w:t>
      </w:r>
    </w:p>
    <w:p>
      <w:pPr>
        <w:snapToGrid w:val="0"/>
        <w:spacing w:line="360" w:lineRule="auto"/>
        <w:rPr>
          <w:rFonts w:ascii="仿宋" w:hAnsi="仿宋" w:eastAsia="仿宋" w:cs="仿宋"/>
          <w:b/>
          <w:sz w:val="32"/>
        </w:rPr>
      </w:pPr>
      <w:r>
        <w:rPr>
          <w:rFonts w:hint="eastAsia" w:ascii="仿宋" w:hAnsi="仿宋" w:eastAsia="仿宋" w:cs="仿宋"/>
          <w:b/>
          <w:sz w:val="32"/>
        </w:rPr>
        <w:t>一、评标办法</w:t>
      </w:r>
    </w:p>
    <w:p>
      <w:pPr>
        <w:snapToGrid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1.综合评分法。综合评分法，是指响应文件满足采购文件全部实质性要求，且按照评审因素的量化指标评审得分最高的供应商为成交候选人的评审方法。</w:t>
      </w:r>
    </w:p>
    <w:p>
      <w:pPr>
        <w:snapToGrid w:val="0"/>
        <w:spacing w:line="360" w:lineRule="auto"/>
        <w:rPr>
          <w:rFonts w:ascii="仿宋" w:hAnsi="仿宋" w:eastAsia="仿宋" w:cs="仿宋"/>
          <w:b/>
          <w:sz w:val="32"/>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napToGrid w:val="0"/>
        <w:spacing w:line="360" w:lineRule="auto"/>
        <w:outlineLvl w:val="0"/>
        <w:rPr>
          <w:rFonts w:ascii="仿宋" w:hAnsi="仿宋" w:eastAsia="仿宋" w:cs="仿宋"/>
          <w:b/>
          <w:sz w:val="36"/>
          <w:szCs w:val="36"/>
        </w:rPr>
      </w:pPr>
      <w:r>
        <w:rPr>
          <w:rFonts w:hint="eastAsia" w:ascii="仿宋" w:hAnsi="仿宋" w:eastAsia="仿宋" w:cs="仿宋"/>
          <w:b/>
          <w:sz w:val="36"/>
          <w:szCs w:val="36"/>
        </w:rPr>
        <w:t>三、磋商程序</w:t>
      </w:r>
    </w:p>
    <w:p>
      <w:pPr>
        <w:snapToGrid w:val="0"/>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磋商小组应当对符合资格的供应商的响应文件进行符合性审查，以确定其是否满足采购文件的实质性要求。不满足采购文件的实质性要求的，投标无效。</w:t>
      </w:r>
    </w:p>
    <w:p>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3.2与各磋商响应方进行磋商。</w:t>
      </w:r>
    </w:p>
    <w:p>
      <w:pPr>
        <w:tabs>
          <w:tab w:val="left" w:pos="0"/>
        </w:tabs>
        <w:spacing w:line="360" w:lineRule="auto"/>
        <w:ind w:firstLine="480"/>
        <w:rPr>
          <w:rFonts w:ascii="仿宋" w:hAnsi="仿宋" w:eastAsia="仿宋" w:cs="Helvetica"/>
          <w:kern w:val="0"/>
          <w:sz w:val="24"/>
        </w:rPr>
      </w:pPr>
      <w:r>
        <w:rPr>
          <w:rFonts w:hint="eastAsia" w:ascii="仿宋" w:hAnsi="仿宋" w:eastAsia="仿宋" w:cs="仿宋"/>
          <w:kern w:val="0"/>
          <w:sz w:val="24"/>
        </w:rPr>
        <w:t>3.2.1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pPr>
        <w:tabs>
          <w:tab w:val="left" w:pos="0"/>
        </w:tabs>
        <w:spacing w:line="360" w:lineRule="auto"/>
        <w:ind w:firstLine="480"/>
        <w:rPr>
          <w:rFonts w:ascii="仿宋" w:hAnsi="仿宋" w:eastAsia="仿宋" w:cs="Helvetica"/>
          <w:kern w:val="0"/>
          <w:sz w:val="24"/>
        </w:rPr>
      </w:pPr>
      <w:r>
        <w:rPr>
          <w:rFonts w:hint="eastAsia" w:ascii="仿宋" w:hAnsi="仿宋" w:eastAsia="仿宋" w:cs="仿宋"/>
          <w:kern w:val="0"/>
          <w:sz w:val="24"/>
        </w:rPr>
        <w:t>3.2.2</w:t>
      </w:r>
      <w:r>
        <w:rPr>
          <w:rFonts w:hint="eastAsia" w:ascii="仿宋" w:hAnsi="仿宋" w:eastAsia="仿宋" w:cs="Helvetica"/>
          <w:kern w:val="0"/>
          <w:sz w:val="24"/>
        </w:rPr>
        <w:t>经磋商确定采购文件的变动情况。对采购文件作出的实质性变动是采购文件的有效组成部分，磋商小组应当及时以书面形式同时通知所有参加磋商的供应商。</w:t>
      </w:r>
    </w:p>
    <w:p>
      <w:pPr>
        <w:spacing w:line="360" w:lineRule="auto"/>
        <w:ind w:firstLine="470" w:firstLineChars="196"/>
        <w:rPr>
          <w:rFonts w:ascii="仿宋" w:hAnsi="仿宋" w:eastAsia="仿宋" w:cs="Arial"/>
          <w:kern w:val="0"/>
          <w:sz w:val="24"/>
        </w:rPr>
      </w:pPr>
      <w:r>
        <w:rPr>
          <w:rFonts w:hint="eastAsia" w:ascii="仿宋" w:hAnsi="仿宋" w:eastAsia="仿宋" w:cs="仿宋"/>
          <w:kern w:val="0"/>
          <w:sz w:val="24"/>
        </w:rPr>
        <w:t>3</w:t>
      </w:r>
      <w:r>
        <w:rPr>
          <w:rFonts w:ascii="仿宋" w:hAnsi="仿宋" w:eastAsia="仿宋" w:cs="仿宋"/>
          <w:kern w:val="0"/>
          <w:sz w:val="24"/>
        </w:rPr>
        <w:t>.2.3</w:t>
      </w:r>
      <w:r>
        <w:rPr>
          <w:rFonts w:hint="eastAsia" w:ascii="仿宋" w:hAnsi="仿宋" w:eastAsia="仿宋" w:cs="仿宋"/>
          <w:kern w:val="0"/>
          <w:sz w:val="24"/>
        </w:rPr>
        <w:t>磋商小组</w:t>
      </w:r>
      <w:r>
        <w:rPr>
          <w:rFonts w:ascii="仿宋" w:hAnsi="仿宋" w:eastAsia="仿宋" w:cs="Arial"/>
          <w:kern w:val="0"/>
          <w:sz w:val="24"/>
        </w:rPr>
        <w:t>应当按照</w:t>
      </w:r>
      <w:r>
        <w:rPr>
          <w:rFonts w:hint="eastAsia" w:ascii="仿宋" w:hAnsi="仿宋" w:eastAsia="仿宋" w:cs="Arial"/>
          <w:kern w:val="0"/>
          <w:sz w:val="24"/>
        </w:rPr>
        <w:t>采购</w:t>
      </w:r>
      <w:r>
        <w:rPr>
          <w:rFonts w:ascii="仿宋" w:hAnsi="仿宋" w:eastAsia="仿宋" w:cs="Arial"/>
          <w:kern w:val="0"/>
          <w:sz w:val="24"/>
        </w:rPr>
        <w:t>文件中规定的评标方法和标准，对符合性审查合格的投标文件进行商务和技术评估，综合比较与评价。</w:t>
      </w:r>
      <w:r>
        <w:rPr>
          <w:rFonts w:hint="eastAsia" w:ascii="仿宋" w:hAnsi="仿宋" w:eastAsia="仿宋" w:cs="仿宋"/>
          <w:kern w:val="0"/>
          <w:sz w:val="24"/>
        </w:rPr>
        <w:t>磋商小组</w:t>
      </w:r>
      <w:r>
        <w:rPr>
          <w:rFonts w:hint="eastAsia" w:ascii="仿宋" w:hAnsi="仿宋" w:eastAsia="仿宋" w:cs="Arial"/>
          <w:kern w:val="0"/>
          <w:sz w:val="24"/>
        </w:rPr>
        <w:t>各成员应当独立对每个磋商响应方的商务和技术文件进行评价，并汇总商务技术得分情况。</w:t>
      </w:r>
    </w:p>
    <w:p>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3.2.</w:t>
      </w:r>
      <w:r>
        <w:rPr>
          <w:rFonts w:ascii="仿宋" w:hAnsi="仿宋" w:eastAsia="仿宋" w:cs="仿宋"/>
          <w:kern w:val="0"/>
          <w:sz w:val="24"/>
        </w:rPr>
        <w:t>4</w:t>
      </w:r>
      <w:r>
        <w:rPr>
          <w:rFonts w:hint="eastAsia" w:ascii="仿宋" w:hAnsi="仿宋" w:eastAsia="仿宋" w:cs="仿宋"/>
          <w:kern w:val="0"/>
          <w:sz w:val="24"/>
        </w:rPr>
        <w:t>各磋商响应方在本标项全部磋商结束后在规定时间内进行最后报价（供应商需在30分钟内提交最终报价）。</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w:t>
      </w:r>
      <w:r>
        <w:rPr>
          <w:rFonts w:ascii="仿宋" w:hAnsi="仿宋" w:eastAsia="仿宋" w:cs="仿宋"/>
          <w:b/>
          <w:kern w:val="0"/>
          <w:sz w:val="24"/>
        </w:rPr>
        <w:t>3</w:t>
      </w:r>
      <w:r>
        <w:rPr>
          <w:rFonts w:hint="eastAsia" w:ascii="仿宋" w:hAnsi="仿宋" w:eastAsia="仿宋" w:cs="仿宋"/>
          <w:b/>
          <w:kern w:val="0"/>
          <w:sz w:val="24"/>
        </w:rPr>
        <w:t>报价评审。</w:t>
      </w:r>
    </w:p>
    <w:p>
      <w:pPr>
        <w:pStyle w:val="131"/>
        <w:spacing w:before="0"/>
        <w:ind w:firstLine="508" w:firstLineChars="212"/>
        <w:rPr>
          <w:rFonts w:ascii="仿宋" w:hAnsi="仿宋" w:eastAsia="仿宋" w:cs="仿宋"/>
          <w:kern w:val="0"/>
        </w:rPr>
      </w:pPr>
      <w:r>
        <w:rPr>
          <w:rFonts w:hint="eastAsia" w:ascii="仿宋" w:hAnsi="仿宋" w:eastAsia="仿宋" w:cs="仿宋"/>
          <w:kern w:val="0"/>
        </w:rPr>
        <w:t>3.4.1响应文件报价出现前后不一致的，按照下列规定修正：</w:t>
      </w:r>
    </w:p>
    <w:p>
      <w:pPr>
        <w:pStyle w:val="131"/>
        <w:spacing w:before="0"/>
        <w:ind w:firstLine="480"/>
        <w:rPr>
          <w:rFonts w:ascii="仿宋" w:hAnsi="仿宋" w:eastAsia="仿宋" w:cs="仿宋"/>
          <w:kern w:val="0"/>
          <w:szCs w:val="24"/>
        </w:rPr>
      </w:pPr>
      <w:r>
        <w:rPr>
          <w:rFonts w:ascii="仿宋" w:hAnsi="仿宋" w:eastAsia="仿宋" w:cs="仿宋"/>
          <w:kern w:val="0"/>
          <w:szCs w:val="24"/>
        </w:rPr>
        <w:t>3.4.1.1</w:t>
      </w:r>
      <w:r>
        <w:rPr>
          <w:rFonts w:hint="eastAsia" w:ascii="仿宋" w:hAnsi="仿宋" w:eastAsia="仿宋" w:cs="仿宋"/>
          <w:kern w:val="0"/>
          <w:szCs w:val="24"/>
        </w:rPr>
        <w:t>响应文件</w:t>
      </w:r>
      <w:r>
        <w:rPr>
          <w:rFonts w:ascii="仿宋" w:hAnsi="仿宋" w:eastAsia="仿宋" w:cs="仿宋"/>
          <w:kern w:val="0"/>
          <w:szCs w:val="24"/>
        </w:rPr>
        <w:t>中开标一览表(报价表)内容与</w:t>
      </w:r>
      <w:r>
        <w:rPr>
          <w:rFonts w:hint="eastAsia" w:ascii="仿宋" w:hAnsi="仿宋" w:eastAsia="仿宋" w:cs="仿宋"/>
          <w:kern w:val="0"/>
          <w:szCs w:val="24"/>
        </w:rPr>
        <w:t>响应文件</w:t>
      </w:r>
      <w:r>
        <w:rPr>
          <w:rFonts w:ascii="仿宋" w:hAnsi="仿宋" w:eastAsia="仿宋" w:cs="仿宋"/>
          <w:kern w:val="0"/>
          <w:szCs w:val="24"/>
        </w:rPr>
        <w:t>中相应内容不一致的，以开标一览表(报价表)为准;</w:t>
      </w:r>
    </w:p>
    <w:p>
      <w:pPr>
        <w:pStyle w:val="131"/>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1"/>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1"/>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1"/>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响应文件出现不是唯一的、有选择性响应报价的，投标无效。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响应报价超过采购文件中规定的预算金额或者最高限价的，投标无效。</w:t>
      </w:r>
    </w:p>
    <w:p>
      <w:pPr>
        <w:pStyle w:val="131"/>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磋商小组认为供应商的报价明显低于其他通过符合性审查供应商的报价，有可能影响产品质量或者不能诚信履约的，应当要求其在合理的时间内提供书面说明，必要时提交相关证明材料</w:t>
      </w:r>
      <w:r>
        <w:rPr>
          <w:rFonts w:ascii="仿宋" w:hAnsi="仿宋" w:eastAsia="仿宋" w:cs="仿宋"/>
          <w:kern w:val="0"/>
          <w:szCs w:val="24"/>
        </w:rPr>
        <w:t>;</w:t>
      </w:r>
      <w:r>
        <w:rPr>
          <w:rFonts w:hint="eastAsia" w:ascii="仿宋" w:hAnsi="仿宋" w:eastAsia="仿宋" w:cs="仿宋"/>
          <w:kern w:val="0"/>
          <w:szCs w:val="24"/>
        </w:rPr>
        <w:t>供应商</w:t>
      </w:r>
      <w:r>
        <w:rPr>
          <w:rFonts w:ascii="仿宋" w:hAnsi="仿宋" w:eastAsia="仿宋" w:cs="仿宋"/>
          <w:kern w:val="0"/>
          <w:szCs w:val="24"/>
        </w:rPr>
        <w:t>不能证明其报价合理性的，</w:t>
      </w:r>
      <w:r>
        <w:rPr>
          <w:rFonts w:hint="eastAsia" w:ascii="仿宋" w:hAnsi="仿宋" w:eastAsia="仿宋" w:cs="仿宋"/>
          <w:kern w:val="0"/>
          <w:szCs w:val="24"/>
        </w:rPr>
        <w:t>磋商小组</w:t>
      </w:r>
      <w:r>
        <w:rPr>
          <w:rFonts w:ascii="仿宋" w:hAnsi="仿宋" w:eastAsia="仿宋" w:cs="仿宋"/>
          <w:kern w:val="0"/>
          <w:szCs w:val="24"/>
        </w:rPr>
        <w:t>应当将其作为无效投标处理。</w:t>
      </w:r>
    </w:p>
    <w:p>
      <w:pPr>
        <w:pStyle w:val="131"/>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kern w:val="0"/>
          <w:sz w:val="24"/>
        </w:rPr>
      </w:pPr>
      <w:r>
        <w:rPr>
          <w:rFonts w:hint="eastAsia" w:ascii="仿宋" w:hAnsi="仿宋" w:eastAsia="仿宋" w:cs="仿宋"/>
          <w:b/>
          <w:kern w:val="0"/>
          <w:sz w:val="24"/>
        </w:rPr>
        <w:t>3.5排序与推荐。</w:t>
      </w:r>
      <w:r>
        <w:rPr>
          <w:rFonts w:ascii="仿宋" w:hAnsi="仿宋" w:eastAsia="仿宋" w:cs="Arial"/>
          <w:kern w:val="0"/>
          <w:sz w:val="24"/>
        </w:rPr>
        <w:t>采用综合评分法的，</w:t>
      </w:r>
      <w:r>
        <w:rPr>
          <w:rFonts w:hint="eastAsia" w:ascii="仿宋" w:hAnsi="仿宋" w:eastAsia="仿宋" w:cs="Arial"/>
          <w:kern w:val="0"/>
          <w:sz w:val="24"/>
        </w:rPr>
        <w:t>成交</w:t>
      </w:r>
      <w:r>
        <w:rPr>
          <w:rFonts w:ascii="仿宋" w:hAnsi="仿宋" w:eastAsia="仿宋" w:cs="Arial"/>
          <w:kern w:val="0"/>
          <w:sz w:val="24"/>
        </w:rPr>
        <w:t>结果按评审后得分由高到低顺序排列。得分相同的，按</w:t>
      </w:r>
      <w:r>
        <w:rPr>
          <w:rFonts w:hint="eastAsia" w:ascii="仿宋" w:hAnsi="仿宋" w:eastAsia="仿宋" w:cs="Arial"/>
          <w:kern w:val="0"/>
          <w:sz w:val="24"/>
        </w:rPr>
        <w:t>最后</w:t>
      </w:r>
      <w:r>
        <w:rPr>
          <w:rFonts w:ascii="仿宋" w:hAnsi="仿宋" w:eastAsia="仿宋" w:cs="Arial"/>
          <w:kern w:val="0"/>
          <w:sz w:val="24"/>
        </w:rPr>
        <w:t>报价由低到高顺序排列。得分且</w:t>
      </w:r>
      <w:r>
        <w:rPr>
          <w:rFonts w:hint="eastAsia" w:ascii="仿宋" w:hAnsi="仿宋" w:eastAsia="仿宋" w:cs="Arial"/>
          <w:kern w:val="0"/>
          <w:sz w:val="24"/>
        </w:rPr>
        <w:t>最后</w:t>
      </w:r>
      <w:r>
        <w:rPr>
          <w:rFonts w:ascii="仿宋" w:hAnsi="仿宋" w:eastAsia="仿宋" w:cs="Arial"/>
          <w:kern w:val="0"/>
          <w:sz w:val="24"/>
        </w:rPr>
        <w:t>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rPr>
        <w:t>。</w:t>
      </w:r>
    </w:p>
    <w:p>
      <w:pPr>
        <w:snapToGrid w:val="0"/>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磋商小组根据全体磋商小组成员签字的原始评标记录和评标结果编写评标报告。磋商小组成员对需要共同认定的事项存在争议的，应当按照少数服从多数的原则作出结论。持不同意见的磋商小组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1"/>
        <w:spacing w:before="0"/>
        <w:ind w:firstLine="472" w:firstLineChars="196"/>
        <w:rPr>
          <w:rFonts w:ascii="仿宋" w:hAnsi="仿宋" w:eastAsia="仿宋" w:cs="仿宋"/>
          <w:kern w:val="0"/>
          <w:szCs w:val="24"/>
        </w:rPr>
      </w:pPr>
      <w:r>
        <w:rPr>
          <w:rFonts w:hint="eastAsia" w:ascii="仿宋" w:hAnsi="仿宋" w:eastAsia="仿宋" w:cs="仿宋"/>
          <w:b/>
          <w:kern w:val="0"/>
          <w:szCs w:val="24"/>
        </w:rPr>
        <w:t>4.1供应商澄清、说明或者补正。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4.2.2响应文件未按照采购文件要求签署、盖章的；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4.2.4响应文件含有采购人不能接受的附加条件的；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4.2.5响应文件中承诺的投标有效期少于采购文件中载明的投标有效期的；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4.2.6响应文件出现不是唯一的、有选择性响应报价的;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4.2.7响应报价超过采购文件中规定的预算金额或者最高限价的;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4.2.12供应商仅提交备份响应文件，没有在电子交易平台传输递交响应文件的，投标无效；</w:t>
      </w:r>
    </w:p>
    <w:p>
      <w:pPr>
        <w:pStyle w:val="5"/>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响应文件不满足采购文件的其它实质性要求的；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ascii="仿宋" w:hAnsi="仿宋" w:eastAsia="仿宋" w:cs="仿宋"/>
        </w:rPr>
      </w:pPr>
      <w:r>
        <w:rPr>
          <w:rFonts w:hint="eastAsia" w:ascii="仿宋" w:hAnsi="仿宋" w:eastAsia="仿宋" w:cs="仿宋"/>
        </w:rPr>
        <w:t>5.1符合专业条件的供应商或者对采购文件作实质响应的供应商不足3家的；</w:t>
      </w:r>
    </w:p>
    <w:p>
      <w:pPr>
        <w:pStyle w:val="25"/>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pPr>
        <w:pStyle w:val="25"/>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pPr>
        <w:pStyle w:val="25"/>
        <w:snapToGrid w:val="0"/>
        <w:spacing w:line="360" w:lineRule="auto"/>
        <w:ind w:firstLine="590" w:firstLineChars="245"/>
        <w:rPr>
          <w:rFonts w:ascii="仿宋" w:hAnsi="仿宋" w:eastAsia="仿宋" w:cs="仿宋"/>
        </w:rPr>
      </w:pPr>
      <w:r>
        <w:rPr>
          <w:rFonts w:hint="eastAsia" w:ascii="仿宋" w:hAnsi="仿宋" w:eastAsia="仿宋" w:cs="仿宋"/>
          <w:b/>
        </w:rPr>
        <w:t>6.修改采购文件，重新组织采购活动。</w:t>
      </w:r>
      <w:r>
        <w:rPr>
          <w:rFonts w:hint="eastAsia" w:ascii="仿宋" w:hAnsi="仿宋" w:eastAsia="仿宋" w:cs="仿宋"/>
        </w:rPr>
        <w:t>磋商小组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pPr>
        <w:pStyle w:val="25"/>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7"/>
      <w:bookmarkStart w:id="395" w:name="第五部分"/>
      <w:bookmarkStart w:id="396" w:name="_Toc86217003"/>
      <w:r>
        <w:rPr>
          <w:rFonts w:hint="eastAsia" w:ascii="仿宋" w:hAnsi="仿宋" w:eastAsia="仿宋" w:cs="仿宋"/>
          <w:b/>
          <w:sz w:val="36"/>
          <w:szCs w:val="36"/>
        </w:rPr>
        <w:br w:type="page"/>
      </w:r>
    </w:p>
    <w:p>
      <w:pPr>
        <w:spacing w:line="360" w:lineRule="auto"/>
        <w:ind w:left="720" w:leftChars="343" w:firstLine="1084" w:firstLineChars="300"/>
        <w:jc w:val="left"/>
        <w:outlineLvl w:val="0"/>
        <w:rPr>
          <w:rFonts w:ascii="仿宋" w:hAnsi="仿宋" w:eastAsia="仿宋" w:cs="仿宋"/>
          <w:b/>
          <w:bCs/>
          <w:color w:val="000000"/>
          <w:sz w:val="24"/>
        </w:rPr>
      </w:pPr>
      <w:r>
        <w:rPr>
          <w:rFonts w:hint="eastAsia" w:ascii="仿宋" w:hAnsi="仿宋" w:eastAsia="仿宋" w:cs="仿宋"/>
          <w:b/>
          <w:sz w:val="36"/>
          <w:szCs w:val="36"/>
        </w:rPr>
        <w:t>第五部分</w:t>
      </w:r>
      <w:r>
        <w:rPr>
          <w:rFonts w:hint="eastAsia" w:ascii="仿宋" w:hAnsi="仿宋" w:eastAsia="仿宋" w:cs="仿宋"/>
          <w:b/>
          <w:bCs/>
          <w:color w:val="000000"/>
          <w:sz w:val="32"/>
          <w:szCs w:val="32"/>
        </w:rPr>
        <w:t xml:space="preserve"> 合同主要条款</w:t>
      </w:r>
      <w:r>
        <w:rPr>
          <w:rFonts w:hint="eastAsia" w:ascii="仿宋" w:hAnsi="仿宋" w:eastAsia="仿宋" w:cs="仿宋"/>
          <w:b/>
          <w:bCs/>
          <w:color w:val="000000"/>
          <w:sz w:val="24"/>
        </w:rPr>
        <w:t>（</w:t>
      </w:r>
      <w:r>
        <w:rPr>
          <w:rFonts w:hint="eastAsia" w:ascii="仿宋" w:hAnsi="仿宋" w:eastAsia="仿宋" w:cs="仿宋"/>
          <w:b/>
          <w:color w:val="000000"/>
          <w:sz w:val="24"/>
        </w:rPr>
        <w:t>适用于各标项）</w:t>
      </w:r>
    </w:p>
    <w:p>
      <w:pPr>
        <w:snapToGrid w:val="0"/>
        <w:spacing w:line="360" w:lineRule="auto"/>
        <w:ind w:firstLine="1108" w:firstLineChars="345"/>
        <w:rPr>
          <w:rFonts w:ascii="仿宋" w:hAnsi="仿宋" w:eastAsia="仿宋" w:cs="仿宋"/>
          <w:b/>
          <w:color w:val="000000"/>
          <w:sz w:val="32"/>
          <w:szCs w:val="32"/>
        </w:rPr>
      </w:pPr>
      <w:r>
        <w:rPr>
          <w:rFonts w:hint="eastAsia" w:ascii="仿宋" w:hAnsi="仿宋" w:eastAsia="仿宋" w:cs="仿宋"/>
          <w:b/>
          <w:color w:val="000000"/>
          <w:sz w:val="32"/>
          <w:szCs w:val="32"/>
        </w:rPr>
        <w:t xml:space="preserve">           （以最终合同为准）</w:t>
      </w:r>
    </w:p>
    <w:p>
      <w:pPr>
        <w:spacing w:line="360" w:lineRule="auto"/>
        <w:rPr>
          <w:rFonts w:ascii="仿宋_GB2312" w:hAnsi="楷体" w:eastAsia="仿宋_GB2312"/>
          <w:sz w:val="24"/>
          <w:u w:val="single"/>
        </w:rPr>
      </w:pPr>
      <w:r>
        <w:rPr>
          <w:rFonts w:hint="eastAsia" w:ascii="仿宋" w:hAnsi="仿宋" w:eastAsia="仿宋" w:cs="仿宋"/>
          <w:b/>
          <w:color w:val="000000"/>
          <w:sz w:val="32"/>
          <w:szCs w:val="32"/>
        </w:rPr>
        <w:t xml:space="preserve"> </w:t>
      </w:r>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360" w:lineRule="auto"/>
        <w:rPr>
          <w:rFonts w:ascii="仿宋_GB2312" w:hAnsi="楷体" w:eastAsia="仿宋_GB2312"/>
          <w:sz w:val="24"/>
          <w:u w:val="single"/>
        </w:rPr>
      </w:pPr>
    </w:p>
    <w:p>
      <w:pPr>
        <w:pStyle w:val="701"/>
        <w:ind w:leftChars="0" w:firstLine="2826" w:firstLineChars="782"/>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政府采购合同书</w:t>
      </w:r>
    </w:p>
    <w:p>
      <w:pPr>
        <w:pStyle w:val="701"/>
        <w:rPr>
          <w:rFonts w:ascii="仿宋_GB2312" w:hAnsi="楷体" w:eastAsia="仿宋_GB2312"/>
          <w:szCs w:val="24"/>
        </w:rPr>
      </w:pPr>
    </w:p>
    <w:p>
      <w:pPr>
        <w:pStyle w:val="701"/>
        <w:rPr>
          <w:rFonts w:ascii="仿宋_GB2312" w:hAnsi="楷体" w:eastAsia="仿宋_GB2312"/>
          <w:szCs w:val="24"/>
        </w:rPr>
      </w:pP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598"/>
        <w:spacing w:before="120"/>
        <w:rPr>
          <w:rFonts w:hAnsi="楷体"/>
          <w:szCs w:val="24"/>
        </w:rPr>
      </w:pPr>
    </w:p>
    <w:p>
      <w:pPr>
        <w:spacing w:line="360" w:lineRule="auto"/>
        <w:rPr>
          <w:rFonts w:ascii="仿宋_GB2312"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widowControl/>
        <w:adjustRightInd/>
        <w:jc w:val="lef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360" w:lineRule="auto"/>
        <w:ind w:firstLine="562" w:firstLineChars="200"/>
        <w:jc w:val="center"/>
        <w:rPr>
          <w:rFonts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项目进行了采购。经评定，</w:t>
      </w:r>
      <w:r>
        <w:rPr>
          <w:rFonts w:hint="eastAsia" w:ascii="仿宋_GB2312" w:hAnsi="楷体" w:eastAsia="仿宋_GB2312"/>
          <w:sz w:val="24"/>
          <w:u w:val="single"/>
        </w:rPr>
        <w:t xml:space="preserve">   （成交供应商名称）</w:t>
      </w:r>
      <w:r>
        <w:rPr>
          <w:rFonts w:hint="eastAsia" w:ascii="仿宋_GB2312" w:hAnsi="楷体" w:eastAsia="仿宋_GB2312"/>
          <w:sz w:val="24"/>
        </w:rPr>
        <w:t>为该项目成交供应商。现于成交通知书发出之日起三十日内，按照采购文件确定的事项签订本合同。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（成交供应商名称）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ascii="仿宋_GB2312" w:hAnsi="楷体" w:eastAsia="仿宋_GB2312"/>
          <w:b/>
          <w:sz w:val="24"/>
        </w:rPr>
      </w:pPr>
      <w:bookmarkStart w:id="397" w:name="_Toc2232"/>
      <w:bookmarkStart w:id="398" w:name="_Toc24059"/>
      <w:bookmarkStart w:id="399" w:name="_Toc3029"/>
      <w:r>
        <w:rPr>
          <w:rFonts w:hint="eastAsia" w:ascii="仿宋_GB2312" w:hAnsi="楷体" w:eastAsia="仿宋_GB2312"/>
          <w:b/>
          <w:sz w:val="24"/>
        </w:rPr>
        <w:t>1.1 合同组成部分</w:t>
      </w:r>
      <w:bookmarkEnd w:id="397"/>
      <w:bookmarkEnd w:id="398"/>
      <w:bookmarkEnd w:id="399"/>
    </w:p>
    <w:p>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1.1.2 成交通知书；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1.1.3 响应文件及“最后报价”（含澄清或者说明文件）；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1.1.4 磋商文件（含澄清或者修改文件）；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outlineLvl w:val="0"/>
        <w:rPr>
          <w:rFonts w:ascii="仿宋_GB2312" w:hAnsi="楷体" w:eastAsia="仿宋_GB2312"/>
          <w:b/>
          <w:sz w:val="24"/>
        </w:rPr>
      </w:pPr>
      <w:bookmarkStart w:id="400" w:name="_Toc24300"/>
      <w:bookmarkStart w:id="401" w:name="_Toc27126"/>
      <w:bookmarkStart w:id="402" w:name="_Toc21295"/>
      <w:r>
        <w:rPr>
          <w:rFonts w:hint="eastAsia" w:ascii="仿宋_GB2312" w:hAnsi="楷体" w:eastAsia="仿宋_GB2312"/>
          <w:b/>
          <w:sz w:val="24"/>
        </w:rPr>
        <w:t>1.2 标的物</w:t>
      </w:r>
      <w:bookmarkEnd w:id="400"/>
      <w:bookmarkEnd w:id="401"/>
      <w:bookmarkEnd w:id="402"/>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 标的物名称：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1.2.2 标的物数量：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1.2.3 标的物质量：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03" w:name="_Toc21631"/>
      <w:bookmarkStart w:id="404" w:name="_Toc23292"/>
      <w:bookmarkStart w:id="405" w:name="_Toc21551"/>
      <w:r>
        <w:rPr>
          <w:rFonts w:hint="eastAsia" w:ascii="仿宋_GB2312" w:hAnsi="楷体" w:eastAsia="仿宋_GB2312"/>
          <w:b/>
          <w:sz w:val="24"/>
        </w:rPr>
        <w:t>1.3 价款</w:t>
      </w:r>
      <w:bookmarkEnd w:id="403"/>
      <w:bookmarkEnd w:id="404"/>
      <w:bookmarkEnd w:id="405"/>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0"/>
              <w:spacing w:line="360" w:lineRule="auto"/>
              <w:jc w:val="center"/>
              <w:rPr>
                <w:rFonts w:ascii="仿宋_GB2312" w:hAnsi="楷体" w:eastAsia="仿宋_GB2312"/>
                <w:sz w:val="24"/>
                <w:szCs w:val="24"/>
              </w:rPr>
            </w:pPr>
            <w:r>
              <w:rPr>
                <w:rFonts w:hint="eastAsia" w:ascii="仿宋_GB2312" w:hAnsi="楷体" w:eastAsia="仿宋_GB2312"/>
                <w:sz w:val="24"/>
                <w:szCs w:val="24"/>
              </w:rPr>
              <w:t>序号</w:t>
            </w:r>
          </w:p>
        </w:tc>
        <w:tc>
          <w:tcPr>
            <w:tcW w:w="3402" w:type="dxa"/>
            <w:noWrap w:val="0"/>
            <w:vAlign w:val="center"/>
          </w:tcPr>
          <w:p>
            <w:pPr>
              <w:pStyle w:val="320"/>
              <w:spacing w:line="360" w:lineRule="auto"/>
              <w:ind w:firstLine="200"/>
              <w:jc w:val="center"/>
              <w:rPr>
                <w:rFonts w:ascii="仿宋_GB2312" w:hAnsi="楷体" w:eastAsia="仿宋_GB2312"/>
                <w:sz w:val="24"/>
                <w:szCs w:val="24"/>
              </w:rPr>
            </w:pPr>
            <w:r>
              <w:rPr>
                <w:rFonts w:hint="eastAsia" w:ascii="仿宋_GB2312" w:hAnsi="楷体" w:eastAsia="仿宋_GB2312"/>
                <w:sz w:val="24"/>
                <w:szCs w:val="24"/>
              </w:rPr>
              <w:t>分项名称</w:t>
            </w:r>
          </w:p>
        </w:tc>
        <w:tc>
          <w:tcPr>
            <w:tcW w:w="2552" w:type="dxa"/>
            <w:noWrap w:val="0"/>
            <w:vAlign w:val="center"/>
          </w:tcPr>
          <w:p>
            <w:pPr>
              <w:pStyle w:val="320"/>
              <w:spacing w:line="360" w:lineRule="auto"/>
              <w:jc w:val="center"/>
              <w:rPr>
                <w:rFonts w:ascii="仿宋_GB2312" w:hAnsi="楷体" w:eastAsia="仿宋_GB2312"/>
                <w:sz w:val="24"/>
                <w:szCs w:val="24"/>
              </w:rPr>
            </w:pPr>
            <w:r>
              <w:rPr>
                <w:rFonts w:hint="eastAsia" w:ascii="仿宋_GB2312" w:hAnsi="楷体"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0"/>
              <w:spacing w:line="360" w:lineRule="auto"/>
              <w:ind w:firstLine="200"/>
              <w:jc w:val="center"/>
              <w:rPr>
                <w:rFonts w:ascii="仿宋_GB2312" w:hAnsi="楷体" w:eastAsia="仿宋_GB2312"/>
                <w:sz w:val="24"/>
                <w:szCs w:val="24"/>
              </w:rPr>
            </w:pPr>
          </w:p>
        </w:tc>
        <w:tc>
          <w:tcPr>
            <w:tcW w:w="3402" w:type="dxa"/>
            <w:noWrap w:val="0"/>
            <w:vAlign w:val="center"/>
          </w:tcPr>
          <w:p>
            <w:pPr>
              <w:pStyle w:val="320"/>
              <w:spacing w:line="360" w:lineRule="auto"/>
              <w:ind w:firstLine="200"/>
              <w:jc w:val="center"/>
              <w:rPr>
                <w:rFonts w:ascii="仿宋_GB2312" w:hAnsi="楷体" w:eastAsia="仿宋_GB2312"/>
                <w:sz w:val="24"/>
                <w:szCs w:val="24"/>
              </w:rPr>
            </w:pPr>
          </w:p>
        </w:tc>
        <w:tc>
          <w:tcPr>
            <w:tcW w:w="2552" w:type="dxa"/>
            <w:noWrap w:val="0"/>
            <w:vAlign w:val="center"/>
          </w:tcPr>
          <w:p>
            <w:pPr>
              <w:pStyle w:val="320"/>
              <w:spacing w:line="360" w:lineRule="auto"/>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0"/>
              <w:spacing w:line="360" w:lineRule="auto"/>
              <w:ind w:firstLine="200"/>
              <w:jc w:val="center"/>
              <w:rPr>
                <w:rFonts w:ascii="仿宋_GB2312" w:hAnsi="楷体" w:eastAsia="仿宋_GB2312"/>
                <w:sz w:val="24"/>
                <w:szCs w:val="24"/>
              </w:rPr>
            </w:pPr>
          </w:p>
        </w:tc>
        <w:tc>
          <w:tcPr>
            <w:tcW w:w="3402" w:type="dxa"/>
            <w:noWrap w:val="0"/>
            <w:vAlign w:val="center"/>
          </w:tcPr>
          <w:p>
            <w:pPr>
              <w:pStyle w:val="320"/>
              <w:spacing w:line="360" w:lineRule="auto"/>
              <w:ind w:firstLine="200"/>
              <w:jc w:val="center"/>
              <w:rPr>
                <w:rFonts w:ascii="仿宋_GB2312" w:hAnsi="楷体" w:eastAsia="仿宋_GB2312"/>
                <w:sz w:val="24"/>
                <w:szCs w:val="24"/>
              </w:rPr>
            </w:pPr>
          </w:p>
        </w:tc>
        <w:tc>
          <w:tcPr>
            <w:tcW w:w="2552" w:type="dxa"/>
            <w:noWrap w:val="0"/>
            <w:vAlign w:val="center"/>
          </w:tcPr>
          <w:p>
            <w:pPr>
              <w:pStyle w:val="320"/>
              <w:spacing w:line="360" w:lineRule="auto"/>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0"/>
              <w:spacing w:line="360" w:lineRule="auto"/>
              <w:ind w:firstLine="200"/>
              <w:jc w:val="center"/>
              <w:rPr>
                <w:rFonts w:ascii="仿宋_GB2312" w:hAnsi="楷体" w:eastAsia="仿宋_GB2312"/>
                <w:sz w:val="24"/>
                <w:szCs w:val="24"/>
              </w:rPr>
            </w:pPr>
          </w:p>
        </w:tc>
        <w:tc>
          <w:tcPr>
            <w:tcW w:w="3402" w:type="dxa"/>
            <w:noWrap w:val="0"/>
            <w:vAlign w:val="center"/>
          </w:tcPr>
          <w:p>
            <w:pPr>
              <w:pStyle w:val="320"/>
              <w:spacing w:line="360" w:lineRule="auto"/>
              <w:ind w:firstLine="200"/>
              <w:jc w:val="center"/>
              <w:rPr>
                <w:rFonts w:ascii="仿宋_GB2312" w:hAnsi="楷体" w:eastAsia="仿宋_GB2312"/>
                <w:sz w:val="24"/>
                <w:szCs w:val="24"/>
              </w:rPr>
            </w:pPr>
          </w:p>
        </w:tc>
        <w:tc>
          <w:tcPr>
            <w:tcW w:w="2552" w:type="dxa"/>
            <w:noWrap w:val="0"/>
            <w:vAlign w:val="center"/>
          </w:tcPr>
          <w:p>
            <w:pPr>
              <w:pStyle w:val="320"/>
              <w:spacing w:line="360" w:lineRule="auto"/>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320"/>
              <w:spacing w:line="360" w:lineRule="auto"/>
              <w:ind w:firstLine="200"/>
              <w:jc w:val="center"/>
              <w:rPr>
                <w:rFonts w:ascii="仿宋_GB2312" w:hAnsi="楷体" w:eastAsia="仿宋_GB2312"/>
                <w:sz w:val="24"/>
                <w:szCs w:val="24"/>
              </w:rPr>
            </w:pPr>
            <w:r>
              <w:rPr>
                <w:rFonts w:hint="eastAsia" w:ascii="仿宋_GB2312" w:hAnsi="楷体" w:eastAsia="仿宋_GB2312"/>
                <w:sz w:val="24"/>
                <w:szCs w:val="24"/>
              </w:rPr>
              <w:t>总价</w:t>
            </w:r>
          </w:p>
        </w:tc>
        <w:tc>
          <w:tcPr>
            <w:tcW w:w="2552" w:type="dxa"/>
            <w:noWrap w:val="0"/>
            <w:vAlign w:val="center"/>
          </w:tcPr>
          <w:p>
            <w:pPr>
              <w:pStyle w:val="320"/>
              <w:spacing w:line="360" w:lineRule="auto"/>
              <w:ind w:firstLine="200"/>
              <w:jc w:val="center"/>
              <w:rPr>
                <w:rFonts w:ascii="仿宋_GB2312" w:hAnsi="楷体" w:eastAsia="仿宋_GB2312"/>
                <w:sz w:val="24"/>
                <w:szCs w:val="24"/>
              </w:rPr>
            </w:pPr>
          </w:p>
        </w:tc>
      </w:tr>
    </w:tbl>
    <w:p>
      <w:pPr>
        <w:spacing w:line="360" w:lineRule="auto"/>
        <w:ind w:firstLine="482" w:firstLineChars="200"/>
        <w:outlineLvl w:val="0"/>
        <w:rPr>
          <w:rFonts w:ascii="仿宋_GB2312" w:hAnsi="楷体" w:eastAsia="仿宋_GB2312"/>
          <w:b/>
          <w:sz w:val="24"/>
        </w:rPr>
      </w:pPr>
      <w:bookmarkStart w:id="406" w:name="_Toc10340"/>
      <w:bookmarkStart w:id="407" w:name="_Toc1814"/>
      <w:bookmarkStart w:id="408" w:name="_Toc22618"/>
      <w:r>
        <w:rPr>
          <w:rFonts w:hint="eastAsia" w:ascii="仿宋_GB2312" w:hAnsi="楷体" w:eastAsia="仿宋_GB2312"/>
          <w:b/>
          <w:sz w:val="24"/>
        </w:rPr>
        <w:t>1.4 付款方式和发票开具方式</w:t>
      </w:r>
      <w:bookmarkEnd w:id="406"/>
      <w:bookmarkEnd w:id="407"/>
      <w:bookmarkEnd w:id="408"/>
    </w:p>
    <w:p>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分期付款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1.4.3甲方拒绝或迟延支付中小企业款项，乙方可向有关部门投诉   。</w:t>
      </w:r>
    </w:p>
    <w:p>
      <w:pPr>
        <w:spacing w:line="360" w:lineRule="auto"/>
        <w:ind w:firstLine="482" w:firstLineChars="200"/>
        <w:rPr>
          <w:rFonts w:ascii="仿宋_GB2312" w:hAnsi="楷体" w:eastAsia="仿宋_GB2312"/>
          <w:b/>
          <w:sz w:val="24"/>
        </w:rPr>
      </w:pPr>
      <w:bookmarkStart w:id="409" w:name="_Toc32071"/>
      <w:bookmarkStart w:id="410" w:name="_Toc2846"/>
      <w:bookmarkStart w:id="411" w:name="_Toc19304"/>
      <w:r>
        <w:rPr>
          <w:rFonts w:hint="eastAsia" w:ascii="仿宋_GB2312" w:hAnsi="楷体" w:eastAsia="仿宋_GB2312"/>
          <w:b/>
          <w:sz w:val="24"/>
        </w:rPr>
        <w:t>1.5 标的物交付期限、地点和方式</w:t>
      </w:r>
      <w:bookmarkEnd w:id="409"/>
      <w:bookmarkEnd w:id="410"/>
      <w:bookmarkEnd w:id="411"/>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r>
        <w:rPr>
          <w:rFonts w:hint="eastAsia" w:ascii="仿宋_GB2312" w:hAnsi="仿宋" w:eastAsia="仿宋_GB2312"/>
          <w:b/>
          <w:sz w:val="24"/>
          <w:u w:val="single"/>
        </w:rPr>
        <w:t xml:space="preserve">                                    </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12" w:name="_Toc21423"/>
      <w:bookmarkStart w:id="413" w:name="_Toc27250"/>
      <w:bookmarkStart w:id="414" w:name="_Toc19554"/>
      <w:r>
        <w:rPr>
          <w:rFonts w:hint="eastAsia" w:ascii="仿宋_GB2312" w:hAnsi="楷体" w:eastAsia="仿宋_GB2312"/>
          <w:b/>
          <w:sz w:val="24"/>
        </w:rPr>
        <w:t>1.6 违约责任</w:t>
      </w:r>
      <w:bookmarkEnd w:id="412"/>
      <w:bookmarkEnd w:id="413"/>
      <w:bookmarkEnd w:id="414"/>
    </w:p>
    <w:p>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20 </w:t>
      </w:r>
      <w:r>
        <w:rPr>
          <w:rFonts w:hint="eastAsia" w:ascii="仿宋_GB2312" w:hAnsi="楷体" w:eastAsia="仿宋_GB2312"/>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20 </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_GB2312" w:hAnsi="楷体" w:eastAsia="仿宋_GB2312"/>
          <w:b/>
          <w:sz w:val="24"/>
        </w:rPr>
      </w:pPr>
      <w:bookmarkStart w:id="415" w:name="_Toc16021"/>
      <w:bookmarkStart w:id="416" w:name="_Toc28375"/>
      <w:bookmarkStart w:id="417" w:name="_Toc15583"/>
      <w:r>
        <w:rPr>
          <w:rFonts w:hint="eastAsia" w:ascii="仿宋_GB2312" w:hAnsi="楷体" w:eastAsia="仿宋_GB2312"/>
          <w:b/>
          <w:sz w:val="24"/>
        </w:rPr>
        <w:t>1.7 合同争议的解决</w:t>
      </w:r>
      <w:bookmarkEnd w:id="415"/>
      <w:bookmarkEnd w:id="416"/>
      <w:bookmarkEnd w:id="417"/>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1  </w:t>
      </w:r>
      <w:r>
        <w:rPr>
          <w:rFonts w:hint="eastAsia" w:ascii="仿宋_GB2312" w:hAnsi="楷体" w:eastAsia="仿宋_GB2312"/>
          <w:sz w:val="24"/>
        </w:rPr>
        <w:t>种方式解决：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临安区</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spacing w:line="360" w:lineRule="auto"/>
        <w:ind w:firstLine="482" w:firstLineChars="200"/>
        <w:outlineLvl w:val="0"/>
        <w:rPr>
          <w:rFonts w:ascii="仿宋_GB2312" w:hAnsi="楷体" w:eastAsia="仿宋_GB2312"/>
          <w:b/>
          <w:sz w:val="24"/>
        </w:rPr>
      </w:pPr>
      <w:bookmarkStart w:id="418" w:name="_Toc7245"/>
      <w:bookmarkStart w:id="419" w:name="_Toc15322"/>
      <w:bookmarkStart w:id="420" w:name="_Toc11173"/>
      <w:r>
        <w:rPr>
          <w:rFonts w:hint="eastAsia" w:ascii="仿宋_GB2312" w:hAnsi="楷体" w:eastAsia="仿宋_GB2312"/>
          <w:b/>
          <w:sz w:val="24"/>
        </w:rPr>
        <w:t>1.8 合同生效</w:t>
      </w:r>
      <w:bookmarkEnd w:id="418"/>
      <w:bookmarkEnd w:id="419"/>
      <w:bookmarkEnd w:id="420"/>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本合同自双方当事人盖章或者签字时生效。</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甲方：                                   乙方：</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widowControl/>
        <w:adjustRightInd/>
        <w:ind w:firstLine="482"/>
        <w:jc w:val="center"/>
        <w:rPr>
          <w:rFonts w:ascii="仿宋_GB2312" w:hAnsi="楷体" w:eastAsia="仿宋_GB2312"/>
          <w:b/>
          <w:sz w:val="28"/>
          <w:szCs w:val="28"/>
        </w:rPr>
      </w:pPr>
      <w:bookmarkStart w:id="421" w:name="_Toc331685783"/>
      <w:r>
        <w:rPr>
          <w:rFonts w:hint="eastAsia" w:ascii="仿宋_GB2312" w:hAnsi="楷体" w:eastAsia="仿宋_GB2312"/>
          <w:b/>
        </w:rPr>
        <w:br w:type="page"/>
      </w:r>
      <w:r>
        <w:rPr>
          <w:rFonts w:hint="eastAsia" w:ascii="仿宋_GB2312" w:hAnsi="楷体" w:eastAsia="仿宋_GB2312"/>
          <w:b/>
          <w:sz w:val="28"/>
          <w:szCs w:val="28"/>
        </w:rPr>
        <w:t>第二部分 合同一般条款</w:t>
      </w:r>
      <w:bookmarkEnd w:id="421"/>
    </w:p>
    <w:p>
      <w:pPr>
        <w:spacing w:line="360" w:lineRule="auto"/>
        <w:ind w:firstLine="482" w:firstLineChars="200"/>
        <w:outlineLvl w:val="0"/>
        <w:rPr>
          <w:rFonts w:ascii="仿宋_GB2312" w:hAnsi="楷体" w:eastAsia="仿宋_GB2312"/>
          <w:b/>
          <w:sz w:val="24"/>
        </w:rPr>
      </w:pPr>
      <w:bookmarkStart w:id="422" w:name="_Ref467379094"/>
      <w:bookmarkStart w:id="423" w:name="_Ref467379101"/>
      <w:bookmarkStart w:id="424" w:name="_Ref467379205"/>
      <w:bookmarkStart w:id="425" w:name="_Ref467379195"/>
      <w:bookmarkStart w:id="426" w:name="_Ref467379225"/>
      <w:bookmarkStart w:id="427" w:name="_Toc487900349"/>
      <w:bookmarkStart w:id="428" w:name="_Ref467379214"/>
      <w:bookmarkStart w:id="429" w:name="_Toc279701240"/>
      <w:bookmarkStart w:id="430" w:name="_Toc16917"/>
      <w:bookmarkStart w:id="431" w:name="_Toc28763"/>
      <w:bookmarkStart w:id="432" w:name="_Toc19614"/>
      <w:bookmarkStart w:id="433" w:name="_Toc259093669"/>
      <w:bookmarkStart w:id="434" w:name="_Ref467378404"/>
      <w:bookmarkStart w:id="435" w:name="_Ref467378499"/>
      <w:bookmarkStart w:id="436" w:name="_Ref467379109"/>
      <w:bookmarkStart w:id="437" w:name="_Ref467378463"/>
      <w:r>
        <w:rPr>
          <w:rFonts w:hint="eastAsia" w:ascii="仿宋_GB2312" w:hAnsi="楷体" w:eastAsia="仿宋_GB2312"/>
          <w:b/>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“合同”系指采购人和成交供应商签订的载明双方当事人所达成的协议，并包括所有的附件、附录和构成合同的其他文件。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“合同价”系指根据合同约定，成交供应商在完全履行合同义务后，采购人应支付给成交供应商的价格。</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sz w:val="24"/>
        </w:rPr>
      </w:pPr>
      <w:bookmarkStart w:id="438" w:name="_Ref467378840"/>
      <w:r>
        <w:rPr>
          <w:rFonts w:hint="eastAsia" w:ascii="仿宋_GB2312" w:hAnsi="楷体" w:eastAsia="仿宋_GB2312"/>
          <w:sz w:val="24"/>
        </w:rPr>
        <w:t>2.1.4 “甲方”系指与成交供应商签署合同的采购人</w:t>
      </w:r>
      <w:bookmarkEnd w:id="438"/>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sz w:val="24"/>
        </w:rPr>
      </w:pPr>
      <w:bookmarkStart w:id="439" w:name="_Ref467379400"/>
      <w:r>
        <w:rPr>
          <w:rFonts w:hint="eastAsia" w:ascii="仿宋_GB2312" w:hAnsi="楷体" w:eastAsia="仿宋_GB2312"/>
          <w:sz w:val="24"/>
        </w:rPr>
        <w:t>2.1.5 “乙方”系指根据合同约定交付标的物的成交供应商</w:t>
      </w:r>
      <w:bookmarkEnd w:id="439"/>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rPr>
      </w:pPr>
      <w:bookmarkStart w:id="440" w:name="_Ref467379436"/>
      <w:r>
        <w:rPr>
          <w:rFonts w:hint="eastAsia" w:ascii="仿宋_GB2312" w:hAnsi="楷体" w:eastAsia="仿宋_GB2312"/>
          <w:sz w:val="24"/>
        </w:rPr>
        <w:t>2.1.6 “现场”系指合同约定标的物将要运至或者实施或者安装的地点。</w:t>
      </w:r>
      <w:bookmarkEnd w:id="440"/>
    </w:p>
    <w:p>
      <w:pPr>
        <w:spacing w:line="360" w:lineRule="auto"/>
        <w:ind w:firstLine="482" w:firstLineChars="200"/>
        <w:outlineLvl w:val="0"/>
        <w:rPr>
          <w:rFonts w:ascii="仿宋_GB2312" w:hAnsi="楷体" w:eastAsia="仿宋_GB2312"/>
          <w:b/>
          <w:sz w:val="24"/>
        </w:rPr>
      </w:pPr>
      <w:bookmarkStart w:id="441" w:name="_Toc259093670"/>
      <w:bookmarkStart w:id="442" w:name="_Toc13336"/>
      <w:bookmarkStart w:id="443" w:name="_Toc279701241"/>
      <w:bookmarkStart w:id="444" w:name="_Toc487900350"/>
      <w:bookmarkStart w:id="445" w:name="_Toc32504"/>
      <w:bookmarkStart w:id="446" w:name="_Toc27635"/>
      <w:r>
        <w:rPr>
          <w:rFonts w:hint="eastAsia" w:ascii="仿宋_GB2312" w:hAnsi="楷体" w:eastAsia="仿宋_GB2312"/>
          <w:b/>
          <w:sz w:val="24"/>
        </w:rPr>
        <w:t>2.2 技术规范</w:t>
      </w:r>
      <w:bookmarkEnd w:id="441"/>
      <w:bookmarkEnd w:id="442"/>
      <w:bookmarkEnd w:id="443"/>
      <w:bookmarkEnd w:id="444"/>
      <w:bookmarkEnd w:id="445"/>
      <w:bookmarkEnd w:id="446"/>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hAnsi="楷体" w:eastAsia="仿宋_GB2312"/>
          <w:b/>
          <w:sz w:val="24"/>
        </w:rPr>
      </w:pPr>
      <w:bookmarkStart w:id="447" w:name="_Toc259093671"/>
      <w:bookmarkStart w:id="448" w:name="_Toc487900351"/>
      <w:bookmarkStart w:id="449" w:name="_Toc9829"/>
      <w:bookmarkStart w:id="450" w:name="_Toc27853"/>
      <w:bookmarkStart w:id="451" w:name="_Toc31634"/>
      <w:bookmarkStart w:id="452" w:name="_Toc279701242"/>
      <w:r>
        <w:rPr>
          <w:rFonts w:hint="eastAsia" w:ascii="仿宋_GB2312" w:hAnsi="楷体" w:eastAsia="仿宋_GB2312"/>
          <w:b/>
          <w:sz w:val="24"/>
        </w:rPr>
        <w:t>2.3 知识产权</w:t>
      </w:r>
      <w:bookmarkEnd w:id="447"/>
      <w:bookmarkEnd w:id="448"/>
      <w:bookmarkEnd w:id="449"/>
      <w:bookmarkEnd w:id="450"/>
      <w:bookmarkEnd w:id="451"/>
      <w:bookmarkEnd w:id="452"/>
    </w:p>
    <w:p>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53" w:name="_Toc11932"/>
      <w:bookmarkStart w:id="454" w:name="_Toc29149"/>
      <w:bookmarkStart w:id="455" w:name="_Toc4194"/>
      <w:r>
        <w:rPr>
          <w:rFonts w:hint="eastAsia" w:ascii="仿宋_GB2312" w:hAnsi="楷体" w:eastAsia="仿宋_GB2312"/>
          <w:b/>
          <w:sz w:val="24"/>
        </w:rPr>
        <w:t>2.4 包装和装运</w:t>
      </w:r>
      <w:bookmarkEnd w:id="453"/>
      <w:bookmarkEnd w:id="454"/>
      <w:bookmarkEnd w:id="455"/>
    </w:p>
    <w:p>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56" w:name="_Ref467378591"/>
      <w:bookmarkStart w:id="457" w:name="_Ref467379536"/>
      <w:bookmarkStart w:id="458" w:name="_Toc279701245"/>
      <w:bookmarkStart w:id="459" w:name="_Ref467378541"/>
      <w:bookmarkStart w:id="460" w:name="_Ref467379527"/>
      <w:bookmarkStart w:id="461" w:name="_Ref467379542"/>
      <w:bookmarkStart w:id="462" w:name="_Toc259093674"/>
      <w:bookmarkStart w:id="463" w:name="_Toc487900354"/>
      <w:bookmarkStart w:id="464" w:name="_Toc26182"/>
      <w:bookmarkStart w:id="465" w:name="_Toc19074"/>
      <w:bookmarkStart w:id="466" w:name="_Toc30272"/>
      <w:r>
        <w:rPr>
          <w:rFonts w:hint="eastAsia" w:ascii="仿宋_GB2312" w:hAnsi="楷体" w:eastAsia="仿宋_GB2312"/>
          <w:b/>
          <w:sz w:val="24"/>
        </w:rPr>
        <w:t>2.</w:t>
      </w:r>
      <w:bookmarkEnd w:id="456"/>
      <w:bookmarkEnd w:id="457"/>
      <w:bookmarkEnd w:id="458"/>
      <w:bookmarkEnd w:id="459"/>
      <w:bookmarkEnd w:id="460"/>
      <w:bookmarkEnd w:id="461"/>
      <w:bookmarkEnd w:id="462"/>
      <w:bookmarkEnd w:id="463"/>
      <w:r>
        <w:rPr>
          <w:rFonts w:hint="eastAsia" w:ascii="仿宋_GB2312" w:hAnsi="楷体" w:eastAsia="仿宋_GB2312"/>
          <w:b/>
          <w:sz w:val="24"/>
        </w:rPr>
        <w:t>5 履约检查和问题反馈</w:t>
      </w:r>
      <w:bookmarkEnd w:id="464"/>
      <w:bookmarkEnd w:id="465"/>
      <w:bookmarkEnd w:id="466"/>
    </w:p>
    <w:p>
      <w:pPr>
        <w:spacing w:line="360" w:lineRule="auto"/>
        <w:ind w:firstLine="480" w:firstLineChars="200"/>
        <w:rPr>
          <w:rFonts w:ascii="仿宋_GB2312" w:hAnsi="楷体" w:eastAsia="仿宋_GB2312"/>
          <w:sz w:val="24"/>
        </w:rPr>
      </w:pPr>
      <w:bookmarkStart w:id="467" w:name="_Ref467379657"/>
      <w:r>
        <w:rPr>
          <w:rFonts w:hint="eastAsia" w:ascii="仿宋_GB2312" w:hAnsi="楷体" w:eastAsia="仿宋_GB2312"/>
          <w:sz w:val="24"/>
        </w:rPr>
        <w:t>2.5.1</w:t>
      </w:r>
      <w:bookmarkEnd w:id="467"/>
      <w:bookmarkStart w:id="468" w:name="_Toc186431854"/>
      <w:bookmarkStart w:id="469" w:name="_Ref467379793"/>
      <w:bookmarkStart w:id="470" w:name="_Toc487900357"/>
      <w:bookmarkStart w:id="471" w:name="_Ref467379807"/>
      <w:bookmarkStart w:id="472" w:name="_Toc259093676"/>
      <w:bookmarkStart w:id="473" w:name="_Toc27970124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68"/>
      <w:bookmarkStart w:id="474" w:name="_Toc186431855"/>
      <w:r>
        <w:rPr>
          <w:rFonts w:hint="eastAsia" w:ascii="仿宋_GB2312" w:hAnsi="楷体" w:eastAsia="仿宋_GB2312"/>
          <w:sz w:val="24"/>
        </w:rPr>
        <w:t>。</w:t>
      </w:r>
    </w:p>
    <w:bookmarkEnd w:id="474"/>
    <w:p>
      <w:pPr>
        <w:spacing w:line="360" w:lineRule="auto"/>
        <w:ind w:firstLine="482" w:firstLineChars="200"/>
        <w:outlineLvl w:val="0"/>
        <w:rPr>
          <w:rFonts w:ascii="仿宋_GB2312" w:hAnsi="楷体" w:eastAsia="仿宋_GB2312"/>
          <w:b/>
          <w:sz w:val="24"/>
        </w:rPr>
      </w:pPr>
      <w:bookmarkStart w:id="475" w:name="_Toc19219"/>
      <w:bookmarkStart w:id="476" w:name="_Toc7836"/>
      <w:bookmarkStart w:id="477" w:name="_Toc28451"/>
      <w:r>
        <w:rPr>
          <w:rFonts w:hint="eastAsia" w:ascii="仿宋_GB2312" w:hAnsi="楷体" w:eastAsia="仿宋_GB2312"/>
          <w:b/>
          <w:sz w:val="24"/>
        </w:rPr>
        <w:t>2.6 结算方式和付款条件</w:t>
      </w:r>
      <w:bookmarkEnd w:id="469"/>
      <w:bookmarkEnd w:id="470"/>
      <w:bookmarkEnd w:id="471"/>
      <w:bookmarkEnd w:id="472"/>
      <w:bookmarkEnd w:id="473"/>
      <w:bookmarkEnd w:id="475"/>
      <w:bookmarkEnd w:id="476"/>
      <w:bookmarkEnd w:id="477"/>
    </w:p>
    <w:p>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78" w:name="_Toc259093677"/>
      <w:bookmarkStart w:id="479" w:name="_Toc487900358"/>
      <w:bookmarkStart w:id="480" w:name="_Toc279701248"/>
      <w:bookmarkStart w:id="481" w:name="_Ref467379852"/>
      <w:bookmarkStart w:id="482" w:name="_Ref467379923"/>
      <w:bookmarkStart w:id="483" w:name="_Ref467379863"/>
      <w:bookmarkStart w:id="484" w:name="_Toc774"/>
      <w:bookmarkStart w:id="485" w:name="_Toc16110"/>
      <w:bookmarkStart w:id="486" w:name="_Toc3225"/>
      <w:r>
        <w:rPr>
          <w:rFonts w:hint="eastAsia" w:ascii="仿宋_GB2312" w:hAnsi="楷体" w:eastAsia="仿宋_GB2312"/>
          <w:b/>
          <w:sz w:val="24"/>
        </w:rPr>
        <w:t>2.7 技术资料</w:t>
      </w:r>
      <w:bookmarkEnd w:id="478"/>
      <w:bookmarkEnd w:id="479"/>
      <w:bookmarkEnd w:id="480"/>
      <w:bookmarkEnd w:id="481"/>
      <w:bookmarkEnd w:id="482"/>
      <w:bookmarkEnd w:id="483"/>
      <w:r>
        <w:rPr>
          <w:rFonts w:hint="eastAsia" w:ascii="仿宋_GB2312" w:hAnsi="楷体" w:eastAsia="仿宋_GB2312"/>
          <w:b/>
          <w:sz w:val="24"/>
        </w:rPr>
        <w:t>和保密义务</w:t>
      </w:r>
      <w:bookmarkEnd w:id="484"/>
      <w:bookmarkEnd w:id="485"/>
      <w:bookmarkEnd w:id="486"/>
    </w:p>
    <w:p>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_GB2312" w:hAnsi="楷体" w:eastAsia="仿宋_GB2312"/>
          <w:b/>
          <w:sz w:val="24"/>
        </w:rPr>
      </w:pPr>
      <w:bookmarkStart w:id="487" w:name="_Toc7860"/>
      <w:r>
        <w:rPr>
          <w:rFonts w:hint="eastAsia" w:ascii="仿宋_GB2312" w:hAnsi="楷体" w:eastAsia="仿宋_GB2312"/>
          <w:b/>
          <w:sz w:val="24"/>
        </w:rPr>
        <w:t>2.8 质量保证</w:t>
      </w:r>
      <w:bookmarkEnd w:id="487"/>
    </w:p>
    <w:p>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_GB2312" w:hAnsi="楷体" w:eastAsia="仿宋_GB2312"/>
          <w:b/>
          <w:sz w:val="24"/>
        </w:rPr>
      </w:pPr>
      <w:bookmarkStart w:id="488" w:name="_Toc17244"/>
      <w:bookmarkStart w:id="489" w:name="_Toc279701252"/>
      <w:bookmarkStart w:id="490" w:name="_Toc487900362"/>
      <w:bookmarkStart w:id="491" w:name="_Toc259093681"/>
      <w:r>
        <w:rPr>
          <w:rFonts w:hint="eastAsia" w:ascii="仿宋_GB2312" w:hAnsi="楷体" w:eastAsia="仿宋_GB2312"/>
          <w:b/>
          <w:sz w:val="24"/>
        </w:rPr>
        <w:t>2.9 标的物的风险负担</w:t>
      </w:r>
      <w:bookmarkEnd w:id="488"/>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92" w:name="_Toc14055"/>
      <w:r>
        <w:rPr>
          <w:rFonts w:hint="eastAsia" w:ascii="仿宋_GB2312" w:hAnsi="楷体" w:eastAsia="仿宋_GB2312"/>
          <w:b/>
          <w:sz w:val="24"/>
        </w:rPr>
        <w:t>2.10 延迟交货</w:t>
      </w:r>
      <w:bookmarkEnd w:id="489"/>
      <w:bookmarkEnd w:id="490"/>
      <w:bookmarkEnd w:id="491"/>
      <w:bookmarkEnd w:id="492"/>
      <w:r>
        <w:rPr>
          <w:rFonts w:hint="eastAsia" w:ascii="仿宋_GB2312" w:hAnsi="楷体" w:eastAsia="仿宋_GB2312"/>
          <w:b/>
          <w:sz w:val="24"/>
        </w:rPr>
        <w:t>/交付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_GB2312" w:hAnsi="楷体" w:eastAsia="仿宋_GB2312"/>
          <w:b/>
          <w:sz w:val="24"/>
        </w:rPr>
      </w:pPr>
      <w:bookmarkStart w:id="493" w:name="_Toc7502"/>
      <w:bookmarkStart w:id="494" w:name="_Toc259093683"/>
      <w:bookmarkStart w:id="495" w:name="_Ref467378121"/>
      <w:bookmarkStart w:id="496" w:name="_Toc487900364"/>
      <w:bookmarkStart w:id="497" w:name="_Toc279701254"/>
      <w:r>
        <w:rPr>
          <w:rFonts w:hint="eastAsia" w:ascii="仿宋_GB2312" w:hAnsi="楷体" w:eastAsia="仿宋_GB2312"/>
          <w:b/>
          <w:sz w:val="24"/>
        </w:rPr>
        <w:t>2.11 合同变更</w:t>
      </w:r>
      <w:bookmarkEnd w:id="493"/>
    </w:p>
    <w:p>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498" w:name="_Toc259093688"/>
      <w:bookmarkStart w:id="499" w:name="_Toc487900369"/>
      <w:bookmarkStart w:id="500" w:name="_Toc279701259"/>
    </w:p>
    <w:p>
      <w:pPr>
        <w:spacing w:line="360" w:lineRule="auto"/>
        <w:ind w:firstLine="482" w:firstLineChars="200"/>
        <w:outlineLvl w:val="0"/>
        <w:rPr>
          <w:rFonts w:ascii="仿宋_GB2312" w:hAnsi="楷体" w:eastAsia="仿宋_GB2312"/>
          <w:b/>
          <w:sz w:val="24"/>
        </w:rPr>
      </w:pPr>
      <w:bookmarkStart w:id="501" w:name="_Toc10366"/>
      <w:bookmarkStart w:id="502" w:name="_Toc15237"/>
      <w:bookmarkStart w:id="503" w:name="_Toc22955"/>
      <w:r>
        <w:rPr>
          <w:rFonts w:hint="eastAsia" w:ascii="仿宋_GB2312" w:hAnsi="楷体" w:eastAsia="仿宋_GB2312"/>
          <w:b/>
          <w:sz w:val="24"/>
        </w:rPr>
        <w:t>2.12 合同转让</w:t>
      </w:r>
      <w:bookmarkEnd w:id="498"/>
      <w:bookmarkEnd w:id="499"/>
      <w:bookmarkEnd w:id="500"/>
      <w:r>
        <w:rPr>
          <w:rFonts w:hint="eastAsia" w:ascii="仿宋_GB2312" w:hAnsi="楷体" w:eastAsia="仿宋_GB2312"/>
          <w:b/>
          <w:sz w:val="24"/>
        </w:rPr>
        <w:t>和分包</w:t>
      </w:r>
      <w:bookmarkEnd w:id="501"/>
      <w:bookmarkEnd w:id="502"/>
      <w:bookmarkEnd w:id="503"/>
    </w:p>
    <w:p>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_GB2312" w:hAnsi="楷体" w:eastAsia="仿宋_GB2312"/>
          <w:b/>
          <w:sz w:val="24"/>
        </w:rPr>
      </w:pPr>
      <w:bookmarkStart w:id="504" w:name="_Toc16508"/>
      <w:bookmarkStart w:id="505" w:name="_Toc14066"/>
      <w:bookmarkStart w:id="506" w:name="_Toc13566"/>
      <w:r>
        <w:rPr>
          <w:rFonts w:hint="eastAsia" w:ascii="仿宋_GB2312" w:hAnsi="楷体" w:eastAsia="仿宋_GB2312"/>
          <w:b/>
          <w:sz w:val="24"/>
        </w:rPr>
        <w:t>2.13 不可抗力</w:t>
      </w:r>
      <w:bookmarkEnd w:id="504"/>
      <w:bookmarkEnd w:id="505"/>
      <w:bookmarkEnd w:id="506"/>
    </w:p>
    <w:p>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outlineLvl w:val="0"/>
        <w:rPr>
          <w:rFonts w:ascii="仿宋_GB2312" w:hAnsi="楷体" w:eastAsia="仿宋_GB2312"/>
          <w:b/>
          <w:sz w:val="24"/>
        </w:rPr>
      </w:pPr>
      <w:bookmarkStart w:id="507" w:name="_Toc279701255"/>
      <w:bookmarkStart w:id="508" w:name="_Toc30676"/>
      <w:bookmarkStart w:id="509" w:name="_Toc487900365"/>
      <w:bookmarkStart w:id="510" w:name="_Toc689"/>
      <w:bookmarkStart w:id="511" w:name="_Toc259093684"/>
      <w:bookmarkStart w:id="512" w:name="_Toc6969"/>
      <w:r>
        <w:rPr>
          <w:rFonts w:hint="eastAsia" w:ascii="仿宋_GB2312" w:hAnsi="楷体" w:eastAsia="仿宋_GB2312"/>
          <w:b/>
          <w:sz w:val="24"/>
        </w:rPr>
        <w:t>2.14 税费</w:t>
      </w:r>
      <w:bookmarkEnd w:id="507"/>
      <w:bookmarkEnd w:id="508"/>
      <w:bookmarkEnd w:id="509"/>
      <w:bookmarkEnd w:id="510"/>
      <w:bookmarkEnd w:id="511"/>
      <w:bookmarkEnd w:id="512"/>
    </w:p>
    <w:p>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outlineLvl w:val="0"/>
        <w:rPr>
          <w:rFonts w:ascii="仿宋_GB2312" w:hAnsi="楷体" w:eastAsia="仿宋_GB2312"/>
          <w:b/>
          <w:sz w:val="24"/>
        </w:rPr>
      </w:pPr>
      <w:bookmarkStart w:id="513" w:name="_Toc8298"/>
      <w:bookmarkStart w:id="514" w:name="_Toc259093687"/>
      <w:bookmarkStart w:id="515" w:name="_Toc7102"/>
      <w:bookmarkStart w:id="516" w:name="_Toc487900368"/>
      <w:bookmarkStart w:id="517" w:name="_Toc16959"/>
      <w:bookmarkStart w:id="518" w:name="_Toc279701258"/>
      <w:r>
        <w:rPr>
          <w:rFonts w:hint="eastAsia" w:ascii="仿宋_GB2312" w:hAnsi="楷体" w:eastAsia="仿宋_GB2312"/>
          <w:b/>
          <w:sz w:val="24"/>
        </w:rPr>
        <w:t>2.15 乙方破产</w:t>
      </w:r>
      <w:bookmarkEnd w:id="513"/>
      <w:bookmarkEnd w:id="514"/>
      <w:bookmarkEnd w:id="515"/>
      <w:bookmarkEnd w:id="516"/>
      <w:bookmarkEnd w:id="517"/>
      <w:bookmarkEnd w:id="518"/>
    </w:p>
    <w:p>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_GB2312" w:hAnsi="楷体" w:eastAsia="仿宋_GB2312"/>
          <w:b/>
          <w:sz w:val="24"/>
        </w:rPr>
      </w:pPr>
      <w:bookmarkStart w:id="519" w:name="_Toc15387"/>
      <w:bookmarkStart w:id="520" w:name="_Toc29333"/>
      <w:bookmarkStart w:id="521" w:name="_Toc6134"/>
      <w:r>
        <w:rPr>
          <w:rFonts w:hint="eastAsia" w:ascii="仿宋_GB2312" w:hAnsi="楷体" w:eastAsia="仿宋_GB2312"/>
          <w:b/>
          <w:sz w:val="24"/>
        </w:rPr>
        <w:t>2.16 合同中止、终止</w:t>
      </w:r>
      <w:bookmarkEnd w:id="519"/>
      <w:bookmarkEnd w:id="520"/>
      <w:bookmarkEnd w:id="521"/>
    </w:p>
    <w:p>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2.16.3因甲方原因导致变更、中止或终止合同的，甲方应对乙方受到的损失予以赔偿或者补偿。</w:t>
      </w:r>
    </w:p>
    <w:p>
      <w:pPr>
        <w:spacing w:line="360" w:lineRule="auto"/>
        <w:ind w:firstLine="482" w:firstLineChars="200"/>
        <w:rPr>
          <w:rFonts w:ascii="仿宋_GB2312" w:hAnsi="楷体" w:eastAsia="仿宋_GB2312"/>
          <w:b/>
          <w:sz w:val="24"/>
        </w:rPr>
      </w:pPr>
      <w:bookmarkStart w:id="522" w:name="_Toc6596"/>
      <w:bookmarkStart w:id="523" w:name="_Toc14563"/>
      <w:bookmarkStart w:id="524" w:name="_Toc1125"/>
      <w:r>
        <w:rPr>
          <w:rFonts w:hint="eastAsia" w:ascii="仿宋_GB2312" w:hAnsi="楷体" w:eastAsia="仿宋_GB2312"/>
          <w:b/>
          <w:sz w:val="24"/>
        </w:rPr>
        <w:t>2.17 检验和验收</w:t>
      </w:r>
      <w:bookmarkEnd w:id="522"/>
      <w:bookmarkEnd w:id="523"/>
      <w:bookmarkEnd w:id="524"/>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494"/>
    <w:bookmarkEnd w:id="495"/>
    <w:bookmarkEnd w:id="496"/>
    <w:bookmarkEnd w:id="497"/>
    <w:p>
      <w:pPr>
        <w:spacing w:line="360" w:lineRule="auto"/>
        <w:ind w:firstLine="482" w:firstLineChars="200"/>
        <w:outlineLvl w:val="0"/>
        <w:rPr>
          <w:rFonts w:ascii="仿宋_GB2312" w:hAnsi="楷体" w:eastAsia="仿宋_GB2312"/>
          <w:b/>
          <w:sz w:val="24"/>
        </w:rPr>
      </w:pPr>
      <w:bookmarkStart w:id="525" w:name="_Toc279701261"/>
      <w:bookmarkStart w:id="526" w:name="_Toc487900371"/>
      <w:bookmarkStart w:id="527" w:name="_Toc259093690"/>
      <w:bookmarkStart w:id="528" w:name="_Toc11284"/>
      <w:bookmarkStart w:id="529" w:name="_Toc19604"/>
      <w:bookmarkStart w:id="530" w:name="_Toc25182"/>
      <w:r>
        <w:rPr>
          <w:rFonts w:hint="eastAsia" w:ascii="仿宋_GB2312" w:hAnsi="楷体" w:eastAsia="仿宋_GB2312"/>
          <w:b/>
          <w:sz w:val="24"/>
        </w:rPr>
        <w:t>2.18 通知</w:t>
      </w:r>
      <w:bookmarkEnd w:id="525"/>
      <w:bookmarkEnd w:id="526"/>
      <w:bookmarkEnd w:id="527"/>
      <w:r>
        <w:rPr>
          <w:rFonts w:hint="eastAsia" w:ascii="仿宋_GB2312" w:hAnsi="楷体" w:eastAsia="仿宋_GB2312"/>
          <w:b/>
          <w:sz w:val="24"/>
        </w:rPr>
        <w:t>和送达</w:t>
      </w:r>
      <w:bookmarkEnd w:id="528"/>
      <w:bookmarkEnd w:id="529"/>
      <w:bookmarkEnd w:id="530"/>
    </w:p>
    <w:p>
      <w:pPr>
        <w:spacing w:line="360" w:lineRule="auto"/>
        <w:ind w:firstLine="480" w:firstLineChars="200"/>
        <w:rPr>
          <w:rFonts w:ascii="仿宋_GB2312" w:hAnsi="楷体" w:eastAsia="仿宋_GB2312"/>
          <w:sz w:val="24"/>
        </w:rPr>
      </w:pPr>
      <w:bookmarkStart w:id="531" w:name="_Toc3135"/>
      <w:bookmarkStart w:id="532" w:name="_Toc6698"/>
      <w:bookmarkStart w:id="533" w:name="_Toc279701262"/>
      <w:bookmarkStart w:id="534" w:name="_Toc487900372"/>
      <w:bookmarkStart w:id="535" w:name="_Toc259093691"/>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5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531"/>
      <w:bookmarkEnd w:id="532"/>
    </w:p>
    <w:p>
      <w:pPr>
        <w:spacing w:line="360" w:lineRule="auto"/>
        <w:ind w:firstLine="480" w:firstLineChars="200"/>
        <w:rPr>
          <w:rFonts w:ascii="仿宋_GB2312" w:hAnsi="楷体" w:eastAsia="仿宋_GB2312"/>
          <w:sz w:val="24"/>
        </w:rPr>
      </w:pPr>
      <w:bookmarkStart w:id="536" w:name="_Toc23128"/>
      <w:bookmarkStart w:id="537"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pPr>
        <w:spacing w:line="360" w:lineRule="auto"/>
        <w:ind w:firstLine="482" w:firstLineChars="200"/>
        <w:outlineLvl w:val="0"/>
        <w:rPr>
          <w:rFonts w:ascii="仿宋_GB2312" w:hAnsi="楷体" w:eastAsia="仿宋_GB2312"/>
          <w:b/>
          <w:sz w:val="24"/>
        </w:rPr>
      </w:pPr>
      <w:bookmarkStart w:id="538" w:name="_Toc30599"/>
      <w:bookmarkStart w:id="539" w:name="_Toc18540"/>
      <w:bookmarkStart w:id="540" w:name="_Toc4355"/>
      <w:r>
        <w:rPr>
          <w:rFonts w:hint="eastAsia" w:ascii="仿宋_GB2312" w:hAnsi="楷体" w:eastAsia="仿宋_GB2312"/>
          <w:b/>
          <w:sz w:val="24"/>
        </w:rPr>
        <w:t>2.19 计量单位</w:t>
      </w:r>
      <w:bookmarkEnd w:id="533"/>
      <w:bookmarkEnd w:id="534"/>
      <w:bookmarkEnd w:id="535"/>
      <w:bookmarkEnd w:id="538"/>
      <w:bookmarkEnd w:id="539"/>
      <w:bookmarkEnd w:id="540"/>
    </w:p>
    <w:p>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outlineLvl w:val="0"/>
        <w:rPr>
          <w:rFonts w:ascii="仿宋_GB2312" w:hAnsi="楷体" w:eastAsia="仿宋_GB2312"/>
          <w:b/>
          <w:sz w:val="24"/>
        </w:rPr>
      </w:pPr>
      <w:bookmarkStart w:id="541" w:name="_Toc487900373"/>
      <w:bookmarkStart w:id="542" w:name="_Toc12773"/>
      <w:bookmarkStart w:id="543" w:name="_Toc18567"/>
      <w:bookmarkStart w:id="544" w:name="_Toc259093692"/>
      <w:bookmarkStart w:id="545" w:name="_Toc10330"/>
      <w:bookmarkStart w:id="546" w:name="_Toc279701263"/>
      <w:r>
        <w:rPr>
          <w:rFonts w:hint="eastAsia" w:ascii="仿宋_GB2312" w:hAnsi="楷体" w:eastAsia="仿宋_GB2312"/>
          <w:b/>
          <w:sz w:val="24"/>
        </w:rPr>
        <w:t>2.20 合同使用的文字和适用的法律</w:t>
      </w:r>
      <w:bookmarkEnd w:id="541"/>
      <w:bookmarkEnd w:id="542"/>
      <w:bookmarkEnd w:id="543"/>
      <w:bookmarkEnd w:id="544"/>
      <w:bookmarkEnd w:id="545"/>
      <w:bookmarkEnd w:id="546"/>
    </w:p>
    <w:p>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outlineLvl w:val="0"/>
        <w:rPr>
          <w:rFonts w:ascii="仿宋_GB2312" w:hAnsi="楷体" w:eastAsia="仿宋_GB2312"/>
          <w:b/>
          <w:sz w:val="24"/>
        </w:rPr>
      </w:pPr>
      <w:bookmarkStart w:id="547" w:name="_Toc12004"/>
      <w:bookmarkStart w:id="548" w:name="_Toc3148"/>
      <w:bookmarkStart w:id="549" w:name="_Toc16673"/>
      <w:bookmarkStart w:id="550" w:name="_Toc259093693"/>
      <w:bookmarkStart w:id="551" w:name="_Toc279701264"/>
      <w:bookmarkStart w:id="552" w:name="_Toc487900374"/>
      <w:r>
        <w:rPr>
          <w:rFonts w:hint="eastAsia" w:ascii="仿宋_GB2312" w:hAnsi="楷体" w:eastAsia="仿宋_GB2312"/>
          <w:b/>
          <w:sz w:val="24"/>
        </w:rPr>
        <w:t>2.21 履约保证金</w:t>
      </w:r>
      <w:bookmarkEnd w:id="547"/>
      <w:bookmarkEnd w:id="548"/>
      <w:bookmarkEnd w:id="549"/>
      <w:bookmarkEnd w:id="550"/>
      <w:bookmarkEnd w:id="551"/>
    </w:p>
    <w:p>
      <w:pPr>
        <w:spacing w:line="360" w:lineRule="auto"/>
        <w:ind w:firstLine="480" w:firstLineChars="200"/>
        <w:rPr>
          <w:rFonts w:ascii="仿宋_GB2312" w:hAnsi="楷体" w:eastAsia="仿宋_GB2312"/>
          <w:sz w:val="24"/>
        </w:rPr>
      </w:pPr>
      <w:r>
        <w:rPr>
          <w:rFonts w:hint="eastAsia" w:ascii="仿宋_GB2312" w:hAnsi="楷体" w:eastAsia="仿宋_GB2312"/>
          <w:sz w:val="24"/>
        </w:rPr>
        <w:t>2.21.1 采购文件要求乙方提交履约保证金的，乙方</w:t>
      </w:r>
      <w:r>
        <w:rPr>
          <w:rFonts w:hint="eastAsia" w:ascii="仿宋_GB2312" w:hAnsi="仿宋" w:eastAsia="仿宋_GB2312"/>
          <w:kern w:val="0"/>
          <w:sz w:val="24"/>
          <w:lang w:val="zh-CN"/>
        </w:rPr>
        <w:t>应在合同签订后3个工作日内</w:t>
      </w:r>
      <w:r>
        <w:rPr>
          <w:rFonts w:hint="eastAsia" w:ascii="仿宋_GB2312" w:hAnsi="楷体" w:eastAsia="仿宋_GB2312"/>
          <w:sz w:val="24"/>
        </w:rPr>
        <w:t>，以支票、汇票、本票或者金融机构、担保机构出具的保函等非现金形式，提交不超过合同价</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5 </w:t>
      </w:r>
      <w:r>
        <w:rPr>
          <w:rFonts w:hint="eastAsia" w:ascii="仿宋_GB2312" w:hAnsi="楷体" w:eastAsia="仿宋_GB2312"/>
          <w:sz w:val="24"/>
        </w:rPr>
        <w:t>%的履约保证金；</w:t>
      </w:r>
      <w:r>
        <w:rPr>
          <w:rFonts w:ascii="仿宋_GB2312" w:hAnsi="楷体" w:eastAsia="仿宋_GB2312"/>
          <w:sz w:val="24"/>
        </w:rPr>
        <w:t xml:space="preserve"> </w:t>
      </w:r>
    </w:p>
    <w:p>
      <w:pPr>
        <w:spacing w:line="360" w:lineRule="auto"/>
        <w:ind w:firstLine="480" w:firstLineChars="200"/>
        <w:rPr>
          <w:rFonts w:ascii="仿宋_GB2312" w:hAnsi="楷体" w:eastAsia="仿宋_GB2312"/>
          <w:sz w:val="24"/>
        </w:rPr>
      </w:pPr>
      <w:r>
        <w:rPr>
          <w:rFonts w:ascii="仿宋_GB2312" w:hAnsi="楷体" w:eastAsia="仿宋_GB2312"/>
          <w:sz w:val="24"/>
        </w:rPr>
        <w:t xml:space="preserve">2.21.2  </w:t>
      </w:r>
      <w:r>
        <w:rPr>
          <w:rFonts w:hint="eastAsia" w:ascii="仿宋_GB2312" w:hAnsi="楷体" w:eastAsia="仿宋_GB2312"/>
          <w:sz w:val="24"/>
        </w:rPr>
        <w:t>履约保证金在</w:t>
      </w:r>
      <w:r>
        <w:rPr>
          <w:rFonts w:hint="eastAsia" w:ascii="仿宋_GB2312" w:hAnsi="楷体" w:eastAsia="仿宋_GB2312"/>
          <w:sz w:val="24"/>
          <w:u w:val="single"/>
        </w:rPr>
        <w:t>合同有效期</w:t>
      </w:r>
      <w:r>
        <w:rPr>
          <w:rFonts w:hint="eastAsia" w:ascii="仿宋_GB2312" w:hAnsi="楷体" w:eastAsia="仿宋_GB2312"/>
          <w:sz w:val="24"/>
        </w:rPr>
        <w:t>内或者标的物质量保证期内不予退还或者应完全有效</w:t>
      </w:r>
      <w:r>
        <w:rPr>
          <w:rFonts w:hint="eastAsia" w:ascii="仿宋_GB2312" w:hAnsi="仿宋" w:eastAsia="仿宋_GB2312" w:cs="Arial"/>
          <w:snapToGrid w:val="0"/>
          <w:kern w:val="0"/>
          <w:sz w:val="24"/>
        </w:rPr>
        <w:t>。服务期满，通过验收，甲方于收到乙方退还履约保证金申请之日起</w:t>
      </w:r>
      <w:r>
        <w:rPr>
          <w:rFonts w:ascii="仿宋_GB2312" w:hAnsi="仿宋" w:eastAsia="仿宋_GB2312" w:cs="Arial"/>
          <w:snapToGrid w:val="0"/>
          <w:kern w:val="0"/>
          <w:sz w:val="24"/>
          <w:u w:val="single"/>
        </w:rPr>
        <w:t>5</w:t>
      </w:r>
      <w:r>
        <w:rPr>
          <w:rFonts w:hint="eastAsia" w:ascii="仿宋_GB2312" w:hAnsi="仿宋" w:eastAsia="仿宋_GB2312" w:cs="Arial"/>
          <w:snapToGrid w:val="0"/>
          <w:kern w:val="0"/>
          <w:sz w:val="24"/>
        </w:rPr>
        <w:t>个工作日内退还乙方履约保证金。甲方无故逾期退还的，按照每逾期一日支付履约保证金</w:t>
      </w:r>
      <w:r>
        <w:rPr>
          <w:rFonts w:ascii="仿宋_GB2312" w:hAnsi="仿宋" w:eastAsia="仿宋_GB2312" w:cs="Arial"/>
          <w:snapToGrid w:val="0"/>
          <w:kern w:val="0"/>
          <w:sz w:val="24"/>
        </w:rPr>
        <w:t>5‰</w:t>
      </w:r>
      <w:r>
        <w:rPr>
          <w:rFonts w:hint="eastAsia" w:ascii="仿宋_GB2312" w:hAnsi="仿宋" w:eastAsia="仿宋_GB2312" w:cs="Arial"/>
          <w:snapToGrid w:val="0"/>
          <w:kern w:val="0"/>
          <w:sz w:val="24"/>
        </w:rPr>
        <w:t>的额度承担违约责任</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_GB2312" w:hAnsi="仿宋" w:eastAsia="仿宋_GB2312" w:cs="Arial"/>
          <w:snapToGrid w:val="0"/>
          <w:kern w:val="0"/>
          <w:sz w:val="24"/>
        </w:rPr>
      </w:pPr>
      <w:r>
        <w:rPr>
          <w:rFonts w:ascii="仿宋_GB2312" w:hAnsi="楷体" w:eastAsia="仿宋_GB2312"/>
          <w:sz w:val="24"/>
        </w:rPr>
        <w:t>2.21.4</w:t>
      </w:r>
      <w:r>
        <w:rPr>
          <w:rFonts w:hint="eastAsia" w:ascii="仿宋_GB2312" w:hAnsi="楷体" w:eastAsia="仿宋_GB2312"/>
          <w:sz w:val="24"/>
        </w:rPr>
        <w:t>甲方根据杭州市政府采购网公布的供应商履约评价情况减免履约保证金。乙方履约验收评价总分为</w:t>
      </w:r>
      <w:r>
        <w:rPr>
          <w:rFonts w:ascii="仿宋_GB2312" w:hAnsi="楷体" w:eastAsia="仿宋_GB2312"/>
          <w:sz w:val="24"/>
        </w:rPr>
        <w:t>100分的，甲方免收履约保证金；评价总分在90分以上的，收取履约保证金</w:t>
      </w:r>
      <w:r>
        <w:rPr>
          <w:rFonts w:hint="eastAsia" w:ascii="仿宋_GB2312" w:hAnsi="楷体" w:eastAsia="仿宋_GB2312"/>
          <w:sz w:val="24"/>
        </w:rPr>
        <w:t>为</w:t>
      </w:r>
      <w:r>
        <w:rPr>
          <w:rFonts w:ascii="仿宋_GB2312" w:hAnsi="楷体" w:eastAsia="仿宋_GB2312"/>
          <w:sz w:val="24"/>
        </w:rPr>
        <w:t>合同金额2%；评价总分在不满90分或者暂无评分的，收取履约保证金</w:t>
      </w:r>
      <w:r>
        <w:rPr>
          <w:rFonts w:hint="eastAsia" w:ascii="仿宋_GB2312" w:hAnsi="楷体" w:eastAsia="仿宋_GB2312"/>
          <w:sz w:val="24"/>
        </w:rPr>
        <w:t>为</w:t>
      </w:r>
      <w:r>
        <w:rPr>
          <w:rFonts w:ascii="仿宋_GB2312" w:hAnsi="楷体" w:eastAsia="仿宋_GB2312"/>
          <w:sz w:val="24"/>
        </w:rPr>
        <w:t>合同金额</w:t>
      </w:r>
      <w:r>
        <w:rPr>
          <w:rFonts w:hint="eastAsia" w:ascii="仿宋_GB2312" w:hAnsi="楷体" w:eastAsia="仿宋_GB2312"/>
          <w:sz w:val="24"/>
          <w:lang w:val="en-US" w:eastAsia="zh-CN"/>
        </w:rPr>
        <w:t>2.</w:t>
      </w:r>
      <w:r>
        <w:rPr>
          <w:rFonts w:ascii="仿宋_GB2312" w:hAnsi="楷体" w:eastAsia="仿宋_GB2312"/>
          <w:sz w:val="24"/>
        </w:rPr>
        <w:t>5</w:t>
      </w:r>
      <w:r>
        <w:rPr>
          <w:rFonts w:ascii="仿宋" w:hAnsi="仿宋" w:eastAsia="仿宋"/>
          <w:sz w:val="24"/>
        </w:rPr>
        <w:t>%。</w:t>
      </w:r>
    </w:p>
    <w:p>
      <w:pPr>
        <w:spacing w:line="360" w:lineRule="auto"/>
        <w:ind w:firstLine="480"/>
        <w:outlineLvl w:val="0"/>
        <w:rPr>
          <w:rFonts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outlineLvl w:val="0"/>
        <w:rPr>
          <w:rFonts w:ascii="仿宋_GB2312" w:hAnsi="仿宋" w:eastAsia="仿宋_GB2312"/>
          <w:kern w:val="0"/>
          <w:sz w:val="24"/>
          <w:lang w:val="zh-CN"/>
        </w:rPr>
      </w:pPr>
      <w:r>
        <w:rPr>
          <w:rFonts w:hint="eastAsia" w:ascii="仿宋_GB2312" w:hAnsi="仿宋" w:eastAsia="仿宋_GB2312"/>
          <w:kern w:val="0"/>
          <w:sz w:val="24"/>
          <w:lang w:val="zh-CN"/>
        </w:rPr>
        <w:t>2.22.1本合同（□是  □否）为可融资合同，关于中小企业信用融资事项可登陆杭州市政府采购网（http://cg.hzft.gov.cn）“中小企业信用融资”专栏进行查询。</w:t>
      </w:r>
    </w:p>
    <w:p>
      <w:pPr>
        <w:spacing w:line="360" w:lineRule="auto"/>
        <w:ind w:firstLine="480"/>
        <w:outlineLvl w:val="0"/>
        <w:rPr>
          <w:rFonts w:ascii="仿宋_GB2312" w:hAnsi="仿宋" w:eastAsia="仿宋_GB2312"/>
          <w:kern w:val="0"/>
          <w:sz w:val="24"/>
          <w:lang w:val="zh-CN"/>
        </w:rPr>
      </w:pPr>
      <w:r>
        <w:rPr>
          <w:rFonts w:hint="eastAsia" w:ascii="仿宋_GB2312" w:hAnsi="仿宋" w:eastAsia="仿宋_GB2312"/>
          <w:kern w:val="0"/>
          <w:sz w:val="24"/>
          <w:lang w:val="zh-CN"/>
        </w:rPr>
        <w:t>2.22.2</w:t>
      </w:r>
      <w:r>
        <w:rPr>
          <w:rFonts w:ascii="仿宋_GB2312" w:hAnsi="仿宋" w:eastAsia="仿宋_GB2312"/>
          <w:kern w:val="0"/>
          <w:sz w:val="24"/>
          <w:lang w:val="zh-CN"/>
        </w:rPr>
        <w:t>本合同（</w:t>
      </w:r>
      <w:r>
        <w:rPr>
          <w:rFonts w:hint="eastAsia" w:ascii="仿宋_GB2312" w:hAnsi="仿宋" w:eastAsia="仿宋_GB2312"/>
          <w:kern w:val="0"/>
          <w:sz w:val="24"/>
          <w:lang w:val="zh-CN"/>
        </w:rPr>
        <w:t>□</w:t>
      </w:r>
      <w:r>
        <w:rPr>
          <w:rFonts w:ascii="仿宋_GB2312" w:hAnsi="仿宋" w:eastAsia="仿宋_GB2312"/>
          <w:kern w:val="0"/>
          <w:sz w:val="24"/>
          <w:lang w:val="zh-CN"/>
        </w:rPr>
        <w:t xml:space="preserve">是  </w:t>
      </w:r>
      <w:r>
        <w:rPr>
          <w:rFonts w:hint="eastAsia" w:ascii="仿宋_GB2312" w:hAnsi="仿宋" w:eastAsia="仿宋_GB2312"/>
          <w:kern w:val="0"/>
          <w:sz w:val="24"/>
          <w:lang w:val="zh-CN"/>
        </w:rPr>
        <w:t>□否）为中小企业预留合同。</w:t>
      </w:r>
    </w:p>
    <w:bookmarkEnd w:id="552"/>
    <w:p>
      <w:pPr>
        <w:spacing w:line="360" w:lineRule="auto"/>
        <w:ind w:firstLine="482" w:firstLineChars="200"/>
        <w:outlineLvl w:val="0"/>
        <w:rPr>
          <w:rFonts w:ascii="仿宋_GB2312" w:hAnsi="楷体" w:eastAsia="仿宋_GB2312"/>
          <w:b/>
          <w:sz w:val="24"/>
        </w:rPr>
      </w:pPr>
      <w:bookmarkStart w:id="553" w:name="_Toc14001"/>
      <w:bookmarkStart w:id="554" w:name="_Toc6885"/>
      <w:bookmarkStart w:id="555" w:name="_Toc19890"/>
      <w:r>
        <w:rPr>
          <w:rFonts w:hint="eastAsia" w:ascii="仿宋_GB2312" w:hAnsi="楷体" w:eastAsia="仿宋_GB2312"/>
          <w:b/>
          <w:sz w:val="24"/>
        </w:rPr>
        <w:t>2.23 合同份数</w:t>
      </w:r>
      <w:bookmarkEnd w:id="553"/>
      <w:bookmarkEnd w:id="554"/>
      <w:bookmarkEnd w:id="555"/>
    </w:p>
    <w:p>
      <w:pPr>
        <w:spacing w:line="360" w:lineRule="auto"/>
        <w:ind w:firstLine="480" w:firstLineChars="200"/>
        <w:rPr>
          <w:rFonts w:ascii="仿宋_GB2312" w:hAnsi="楷体" w:eastAsia="仿宋_GB2312"/>
          <w:sz w:val="24"/>
        </w:rPr>
      </w:pP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rPr>
        <w:t>份，乙方执</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701"/>
        <w:jc w:val="center"/>
        <w:rPr>
          <w:rFonts w:ascii="仿宋_GB2312" w:hAnsi="楷体" w:eastAsia="仿宋_GB2312"/>
          <w:b/>
          <w:szCs w:val="24"/>
        </w:rPr>
      </w:pPr>
      <w:r>
        <w:rPr>
          <w:rFonts w:hint="eastAsia" w:ascii="仿宋_GB2312" w:hAnsi="楷体" w:eastAsia="仿宋_GB2312"/>
          <w:szCs w:val="24"/>
        </w:rPr>
        <w:br w:type="page"/>
      </w:r>
      <w:bookmarkStart w:id="556" w:name="_Toc331685784"/>
      <w:r>
        <w:rPr>
          <w:rFonts w:hint="eastAsia" w:ascii="仿宋_GB2312" w:hAnsi="楷体" w:eastAsia="仿宋_GB2312"/>
          <w:b/>
          <w:szCs w:val="24"/>
        </w:rPr>
        <w:t xml:space="preserve">第三部分  </w:t>
      </w:r>
      <w:r>
        <w:rPr>
          <w:rFonts w:hint="eastAsia" w:ascii="仿宋_GB2312" w:hAnsi="仿宋" w:eastAsia="仿宋_GB2312"/>
          <w:b/>
        </w:rPr>
        <w:t>※</w:t>
      </w:r>
      <w:r>
        <w:rPr>
          <w:rFonts w:hint="eastAsia" w:ascii="仿宋_GB2312" w:hAnsi="楷体" w:eastAsia="仿宋_GB2312"/>
          <w:b/>
          <w:szCs w:val="24"/>
        </w:rPr>
        <w:t>合同专用条款</w:t>
      </w:r>
      <w:bookmarkEnd w:id="556"/>
    </w:p>
    <w:p>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知识产权归甲方所有。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2.4.1包装和装运专用条款（如果有）：</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2.4.2装运标的物的要求和通知：</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元），采用分期付款方式，具体如下</w:t>
      </w:r>
      <w:r>
        <w:rPr>
          <w:rFonts w:hint="eastAsia" w:ascii="仿宋_GB2312" w:eastAsia="仿宋_GB2312" w:cs="仿宋_GB2312"/>
          <w:kern w:val="0"/>
          <w:sz w:val="24"/>
        </w:rPr>
        <w:t>：</w:t>
      </w:r>
    </w:p>
    <w:p>
      <w:pPr>
        <w:autoSpaceDE w:val="0"/>
        <w:autoSpaceDN w:val="0"/>
        <w:snapToGrid w:val="0"/>
        <w:spacing w:line="360" w:lineRule="auto"/>
        <w:ind w:firstLine="540"/>
        <w:rPr>
          <w:rFonts w:ascii="仿宋_GB2312" w:hAnsi="宋体" w:eastAsia="仿宋_GB2312"/>
          <w:color w:val="000000"/>
          <w:kern w:val="0"/>
          <w:sz w:val="24"/>
          <w:lang w:val="zh-CN"/>
        </w:rPr>
      </w:pPr>
      <w:r>
        <w:rPr>
          <w:rFonts w:hint="eastAsia" w:ascii="仿宋_GB2312" w:hAnsi="宋体" w:eastAsia="仿宋_GB2312"/>
          <w:color w:val="000000"/>
          <w:kern w:val="0"/>
          <w:sz w:val="24"/>
          <w:lang w:val="zh-CN"/>
        </w:rPr>
        <w:t>第一期付款：合同签订</w:t>
      </w:r>
      <w:r>
        <w:rPr>
          <w:rFonts w:hint="eastAsia" w:ascii="仿宋_GB2312" w:hAnsi="宋体" w:eastAsia="仿宋_GB2312"/>
          <w:color w:val="000000"/>
          <w:kern w:val="0"/>
          <w:sz w:val="24"/>
          <w:u w:val="single"/>
        </w:rPr>
        <w:t>10</w:t>
      </w:r>
      <w:r>
        <w:rPr>
          <w:rFonts w:hint="eastAsia" w:ascii="仿宋_GB2312" w:hAnsi="宋体" w:eastAsia="仿宋_GB2312"/>
          <w:color w:val="000000"/>
          <w:kern w:val="0"/>
          <w:sz w:val="24"/>
          <w:lang w:val="zh-CN"/>
        </w:rPr>
        <w:t>个工作日内，甲方支付合同总价</w:t>
      </w:r>
      <w:r>
        <w:rPr>
          <w:rFonts w:hint="eastAsia" w:ascii="仿宋_GB2312" w:hAnsi="宋体" w:eastAsia="仿宋_GB2312"/>
          <w:color w:val="000000"/>
          <w:kern w:val="0"/>
          <w:sz w:val="24"/>
          <w:lang w:val="en-US" w:eastAsia="zh-CN"/>
        </w:rPr>
        <w:t>3</w:t>
      </w:r>
      <w:r>
        <w:rPr>
          <w:rFonts w:hint="eastAsia" w:ascii="仿宋_GB2312" w:hAnsi="宋体" w:eastAsia="仿宋_GB2312"/>
          <w:color w:val="000000"/>
          <w:kern w:val="0"/>
          <w:sz w:val="24"/>
          <w:lang w:val="zh-CN"/>
        </w:rPr>
        <w:t>0%的服务费</w:t>
      </w:r>
      <w:r>
        <w:rPr>
          <w:rFonts w:hint="eastAsia" w:ascii="仿宋_GB2312" w:eastAsia="仿宋_GB2312"/>
          <w:color w:val="000000"/>
          <w:sz w:val="24"/>
        </w:rPr>
        <w:t>结算手续，计人民币</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整</w:t>
      </w:r>
      <w:r>
        <w:rPr>
          <w:rFonts w:hint="eastAsia" w:ascii="仿宋_GB2312" w:hAnsi="宋体" w:eastAsia="仿宋_GB2312"/>
          <w:color w:val="000000"/>
          <w:kern w:val="0"/>
          <w:sz w:val="24"/>
          <w:lang w:val="zh-CN"/>
        </w:rPr>
        <w:t>（￥）。</w:t>
      </w:r>
    </w:p>
    <w:p>
      <w:pPr>
        <w:autoSpaceDE w:val="0"/>
        <w:autoSpaceDN w:val="0"/>
        <w:snapToGrid w:val="0"/>
        <w:spacing w:line="360" w:lineRule="auto"/>
        <w:ind w:firstLine="540"/>
        <w:rPr>
          <w:rFonts w:ascii="仿宋_GB2312" w:hAnsi="宋体" w:eastAsia="仿宋_GB2312"/>
          <w:color w:val="000000"/>
          <w:kern w:val="0"/>
          <w:sz w:val="24"/>
          <w:lang w:val="zh-CN"/>
        </w:rPr>
      </w:pPr>
      <w:r>
        <w:rPr>
          <w:rFonts w:hint="eastAsia" w:ascii="仿宋_GB2312" w:hAnsi="宋体" w:eastAsia="仿宋_GB2312"/>
          <w:color w:val="000000"/>
          <w:kern w:val="0"/>
          <w:sz w:val="24"/>
          <w:lang w:val="zh-CN"/>
        </w:rPr>
        <w:t>第二期付款：</w:t>
      </w:r>
      <w:r>
        <w:rPr>
          <w:rFonts w:hint="eastAsia" w:ascii="仿宋_GB2312" w:hAnsi="宋体" w:eastAsia="仿宋_GB2312"/>
          <w:color w:val="000000"/>
          <w:kern w:val="0"/>
          <w:sz w:val="24"/>
        </w:rPr>
        <w:t>初稿形成后</w:t>
      </w:r>
      <w:r>
        <w:rPr>
          <w:rFonts w:hint="eastAsia" w:ascii="仿宋_GB2312" w:hAnsi="宋体" w:eastAsia="仿宋_GB2312"/>
          <w:color w:val="000000"/>
          <w:kern w:val="0"/>
          <w:sz w:val="24"/>
          <w:u w:val="single"/>
        </w:rPr>
        <w:t>10</w:t>
      </w:r>
      <w:r>
        <w:rPr>
          <w:rFonts w:hint="eastAsia" w:ascii="仿宋_GB2312" w:hAnsi="宋体" w:eastAsia="仿宋_GB2312"/>
          <w:color w:val="000000"/>
          <w:kern w:val="0"/>
          <w:sz w:val="24"/>
          <w:lang w:val="zh-CN"/>
        </w:rPr>
        <w:t>个工作日内</w:t>
      </w:r>
      <w:r>
        <w:rPr>
          <w:rFonts w:hint="eastAsia" w:ascii="仿宋_GB2312" w:hAnsi="宋体" w:eastAsia="仿宋_GB2312"/>
          <w:color w:val="000000"/>
          <w:kern w:val="0"/>
          <w:sz w:val="24"/>
          <w:lang w:eastAsia="zh-CN"/>
        </w:rPr>
        <w:t>，</w:t>
      </w:r>
      <w:r>
        <w:rPr>
          <w:rFonts w:hint="eastAsia" w:ascii="仿宋_GB2312" w:hAnsi="宋体" w:eastAsia="仿宋_GB2312"/>
          <w:color w:val="000000"/>
          <w:kern w:val="0"/>
          <w:sz w:val="24"/>
        </w:rPr>
        <w:t>甲方支付合同总价</w:t>
      </w:r>
      <w:r>
        <w:rPr>
          <w:rFonts w:hint="eastAsia" w:ascii="仿宋_GB2312" w:hAnsi="宋体" w:eastAsia="仿宋_GB2312"/>
          <w:color w:val="000000"/>
          <w:kern w:val="0"/>
          <w:sz w:val="24"/>
          <w:lang w:val="en-US" w:eastAsia="zh-CN"/>
        </w:rPr>
        <w:t>2</w:t>
      </w:r>
      <w:r>
        <w:rPr>
          <w:rFonts w:hint="eastAsia" w:ascii="仿宋_GB2312" w:hAnsi="宋体" w:eastAsia="仿宋_GB2312"/>
          <w:color w:val="000000"/>
          <w:kern w:val="0"/>
          <w:sz w:val="24"/>
        </w:rPr>
        <w:t>0%的</w:t>
      </w:r>
      <w:r>
        <w:rPr>
          <w:rFonts w:hint="eastAsia" w:ascii="仿宋_GB2312" w:hAnsi="宋体" w:eastAsia="仿宋_GB2312"/>
          <w:color w:val="000000"/>
          <w:kern w:val="0"/>
          <w:sz w:val="24"/>
          <w:lang w:val="zh-CN"/>
        </w:rPr>
        <w:t>服务费</w:t>
      </w:r>
      <w:r>
        <w:rPr>
          <w:rFonts w:hint="eastAsia" w:ascii="仿宋_GB2312" w:hAnsi="宋体" w:eastAsia="仿宋_GB2312"/>
          <w:color w:val="000000"/>
          <w:kern w:val="0"/>
          <w:sz w:val="24"/>
        </w:rPr>
        <w:t>结算手续，</w:t>
      </w:r>
      <w:r>
        <w:rPr>
          <w:rFonts w:hint="eastAsia" w:ascii="仿宋_GB2312" w:eastAsia="仿宋_GB2312"/>
          <w:color w:val="000000"/>
          <w:sz w:val="24"/>
        </w:rPr>
        <w:t>计人民币</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整</w:t>
      </w:r>
      <w:r>
        <w:rPr>
          <w:rFonts w:hint="eastAsia" w:ascii="仿宋_GB2312" w:hAnsi="宋体" w:eastAsia="仿宋_GB2312"/>
          <w:color w:val="000000"/>
          <w:kern w:val="0"/>
          <w:sz w:val="24"/>
          <w:lang w:val="zh-CN"/>
        </w:rPr>
        <w:t>（￥</w:t>
      </w:r>
      <w:r>
        <w:rPr>
          <w:rFonts w:hint="eastAsia" w:ascii="仿宋_GB2312" w:hAnsi="宋体" w:eastAsia="仿宋_GB2312"/>
          <w:color w:val="000000"/>
          <w:kern w:val="0"/>
          <w:sz w:val="24"/>
        </w:rPr>
        <w:t xml:space="preserve"> </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元</w:t>
      </w:r>
      <w:r>
        <w:rPr>
          <w:rFonts w:hint="eastAsia" w:ascii="仿宋_GB2312" w:hAnsi="宋体" w:eastAsia="仿宋_GB2312"/>
          <w:color w:val="000000"/>
          <w:kern w:val="0"/>
          <w:sz w:val="24"/>
          <w:lang w:val="zh-CN"/>
        </w:rPr>
        <w:t>）。</w:t>
      </w:r>
    </w:p>
    <w:p>
      <w:pPr>
        <w:autoSpaceDE w:val="0"/>
        <w:autoSpaceDN w:val="0"/>
        <w:snapToGrid w:val="0"/>
        <w:spacing w:line="360" w:lineRule="auto"/>
        <w:ind w:firstLine="540"/>
        <w:rPr>
          <w:rFonts w:ascii="仿宋_GB2312" w:hAnsi="宋体" w:eastAsia="仿宋_GB2312"/>
          <w:color w:val="000000"/>
          <w:kern w:val="0"/>
          <w:sz w:val="24"/>
        </w:rPr>
      </w:pPr>
      <w:r>
        <w:rPr>
          <w:rFonts w:hint="eastAsia" w:ascii="仿宋_GB2312" w:hAnsi="宋体" w:eastAsia="仿宋_GB2312"/>
          <w:color w:val="000000"/>
          <w:kern w:val="0"/>
          <w:sz w:val="24"/>
        </w:rPr>
        <w:t>第三期付款：完成</w:t>
      </w:r>
      <w:r>
        <w:rPr>
          <w:rFonts w:hint="eastAsia" w:ascii="仿宋_GB2312" w:hAnsi="宋体" w:eastAsia="仿宋_GB2312"/>
          <w:color w:val="000000"/>
          <w:kern w:val="0"/>
          <w:sz w:val="24"/>
          <w:lang w:eastAsia="zh-CN"/>
        </w:rPr>
        <w:t>评价</w:t>
      </w:r>
      <w:r>
        <w:rPr>
          <w:rFonts w:hint="eastAsia" w:ascii="仿宋_GB2312" w:hAnsi="宋体" w:eastAsia="仿宋_GB2312"/>
          <w:color w:val="000000"/>
          <w:kern w:val="0"/>
          <w:sz w:val="24"/>
        </w:rPr>
        <w:t>报告</w:t>
      </w:r>
      <w:r>
        <w:rPr>
          <w:rFonts w:hint="eastAsia" w:ascii="仿宋_GB2312" w:hAnsi="宋体" w:eastAsia="仿宋_GB2312"/>
          <w:color w:val="000000"/>
          <w:kern w:val="0"/>
          <w:sz w:val="24"/>
          <w:lang w:eastAsia="zh-CN"/>
        </w:rPr>
        <w:t>终稿</w:t>
      </w:r>
      <w:r>
        <w:rPr>
          <w:rFonts w:hint="eastAsia" w:ascii="仿宋_GB2312" w:hAnsi="宋体" w:eastAsia="仿宋_GB2312"/>
          <w:color w:val="000000"/>
          <w:kern w:val="0"/>
          <w:sz w:val="24"/>
        </w:rPr>
        <w:t>，甲方进行项目最终验收，通过验收后</w:t>
      </w:r>
      <w:r>
        <w:rPr>
          <w:rFonts w:hint="eastAsia" w:ascii="仿宋_GB2312" w:hAnsi="宋体" w:eastAsia="仿宋_GB2312"/>
          <w:color w:val="000000"/>
          <w:kern w:val="0"/>
          <w:sz w:val="24"/>
          <w:u w:val="single"/>
        </w:rPr>
        <w:t>10</w:t>
      </w:r>
      <w:r>
        <w:rPr>
          <w:rFonts w:hint="eastAsia" w:ascii="仿宋_GB2312" w:hAnsi="宋体" w:eastAsia="仿宋_GB2312"/>
          <w:color w:val="000000"/>
          <w:kern w:val="0"/>
          <w:sz w:val="24"/>
          <w:lang w:val="zh-CN"/>
        </w:rPr>
        <w:t>个工作日内</w:t>
      </w:r>
      <w:r>
        <w:rPr>
          <w:rFonts w:hint="eastAsia" w:ascii="仿宋_GB2312" w:hAnsi="宋体" w:eastAsia="仿宋_GB2312"/>
          <w:color w:val="000000"/>
          <w:kern w:val="0"/>
          <w:sz w:val="24"/>
        </w:rPr>
        <w:t>，甲方支付尾款，计人民币</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整</w:t>
      </w:r>
      <w:r>
        <w:rPr>
          <w:rFonts w:hint="eastAsia" w:ascii="仿宋_GB2312" w:hAnsi="宋体" w:eastAsia="仿宋_GB2312"/>
          <w:color w:val="000000"/>
          <w:kern w:val="0"/>
          <w:sz w:val="24"/>
          <w:lang w:val="zh-CN"/>
        </w:rPr>
        <w:t>（￥</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元</w:t>
      </w:r>
      <w:r>
        <w:rPr>
          <w:rFonts w:hint="eastAsia" w:ascii="仿宋_GB2312" w:hAnsi="宋体" w:eastAsia="仿宋_GB2312"/>
          <w:color w:val="000000"/>
          <w:kern w:val="0"/>
          <w:sz w:val="24"/>
          <w:lang w:val="zh-CN"/>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甲方无故逾期支付服务费用的，按照每逾期一日支付本期应支付服务费额度的</w:t>
      </w:r>
      <w:r>
        <w:rPr>
          <w:rFonts w:ascii="仿宋_GB2312" w:hAnsi="仿宋" w:eastAsia="仿宋_GB2312"/>
          <w:sz w:val="24"/>
        </w:rPr>
        <w:t>5‰</w:t>
      </w:r>
      <w:r>
        <w:rPr>
          <w:rFonts w:hint="eastAsia" w:ascii="仿宋_GB2312" w:hAnsi="仿宋" w:eastAsia="仿宋_GB2312"/>
          <w:sz w:val="24"/>
        </w:rPr>
        <w:t>承担违约责任。</w:t>
      </w:r>
    </w:p>
    <w:p>
      <w:pPr>
        <w:autoSpaceDE w:val="0"/>
        <w:autoSpaceDN w:val="0"/>
        <w:snapToGrid w:val="0"/>
        <w:spacing w:line="360" w:lineRule="auto"/>
        <w:ind w:firstLine="540"/>
        <w:rPr>
          <w:rFonts w:ascii="仿宋_GB2312" w:eastAsia="仿宋_GB2312" w:cs="仿宋_GB2312"/>
          <w:kern w:val="0"/>
          <w:sz w:val="24"/>
        </w:rPr>
      </w:pPr>
      <w:r>
        <w:rPr>
          <w:rFonts w:hint="eastAsia" w:ascii="仿宋_GB2312" w:eastAsia="仿宋_GB2312" w:cs="仿宋_GB2312"/>
          <w:kern w:val="0"/>
          <w:sz w:val="24"/>
          <w:lang w:val="zh-CN"/>
        </w:rPr>
        <w:t>乙方支付申请和查询</w:t>
      </w:r>
      <w:r>
        <w:rPr>
          <w:rFonts w:hint="eastAsia" w:ascii="仿宋_GB2312" w:eastAsia="仿宋_GB2312" w:cs="仿宋_GB2312"/>
          <w:kern w:val="0"/>
          <w:sz w:val="24"/>
        </w:rPr>
        <w:t>：</w:t>
      </w:r>
    </w:p>
    <w:p>
      <w:pPr>
        <w:autoSpaceDE w:val="0"/>
        <w:autoSpaceDN w:val="0"/>
        <w:snapToGrid w:val="0"/>
        <w:spacing w:line="360" w:lineRule="auto"/>
        <w:ind w:firstLine="540"/>
        <w:rPr>
          <w:rFonts w:ascii="仿宋_GB2312" w:eastAsia="仿宋_GB2312" w:cs="仿宋_GB2312"/>
          <w:kern w:val="0"/>
          <w:sz w:val="24"/>
          <w:lang w:val="zh-CN"/>
        </w:rPr>
      </w:pPr>
      <w:r>
        <w:rPr>
          <w:rFonts w:hint="eastAsia" w:ascii="仿宋_GB2312" w:eastAsia="仿宋_GB2312" w:cs="仿宋_GB2312"/>
          <w:kern w:val="0"/>
          <w:sz w:val="24"/>
          <w:lang w:val="zh-CN"/>
        </w:rPr>
        <w:t>乙方可以登录</w:t>
      </w:r>
      <w:r>
        <w:rPr>
          <w:rFonts w:hint="eastAsia" w:ascii="仿宋_GB2312" w:eastAsia="仿宋_GB2312" w:cs="仿宋_GB2312"/>
          <w:kern w:val="0"/>
          <w:sz w:val="24"/>
        </w:rPr>
        <w:t>：http://czj.hangzhou.gov.cn/zfcg（</w:t>
      </w:r>
      <w:r>
        <w:rPr>
          <w:rFonts w:hint="eastAsia" w:ascii="仿宋_GB2312" w:eastAsia="仿宋_GB2312" w:cs="仿宋_GB2312"/>
          <w:kern w:val="0"/>
          <w:sz w:val="24"/>
          <w:lang w:val="zh-CN"/>
        </w:rPr>
        <w:t>杭州市政府采购网</w:t>
      </w:r>
      <w:r>
        <w:rPr>
          <w:rFonts w:hint="eastAsia" w:ascii="仿宋_GB2312" w:eastAsia="仿宋_GB2312" w:cs="仿宋_GB2312"/>
          <w:kern w:val="0"/>
          <w:sz w:val="24"/>
        </w:rPr>
        <w:t>），</w:t>
      </w:r>
      <w:r>
        <w:rPr>
          <w:rFonts w:hint="eastAsia" w:ascii="仿宋_GB2312" w:eastAsia="仿宋_GB2312" w:cs="仿宋_GB2312"/>
          <w:kern w:val="0"/>
          <w:sz w:val="24"/>
          <w:lang w:val="zh-CN"/>
        </w:rPr>
        <w:t>在线发起付款申请和提交发票</w:t>
      </w:r>
      <w:r>
        <w:rPr>
          <w:rFonts w:hint="eastAsia" w:ascii="仿宋_GB2312" w:eastAsia="仿宋_GB2312" w:cs="仿宋_GB2312"/>
          <w:kern w:val="0"/>
          <w:sz w:val="24"/>
        </w:rPr>
        <w:t>，</w:t>
      </w:r>
      <w:r>
        <w:rPr>
          <w:rFonts w:hint="eastAsia" w:ascii="仿宋_GB2312" w:eastAsia="仿宋_GB2312" w:cs="仿宋_GB2312"/>
          <w:kern w:val="0"/>
          <w:sz w:val="24"/>
          <w:lang w:val="zh-CN"/>
        </w:rPr>
        <w:t>并可以在线查询支付信息。具体操作指南可以查询该网站文件《杭州市财政局关于进一步加强政府采购信息公开优化营商环境的通知》（杭财采监〔2021〕17号）。</w:t>
      </w:r>
    </w:p>
    <w:p>
      <w:pPr>
        <w:spacing w:line="360" w:lineRule="auto"/>
        <w:ind w:firstLine="480" w:firstLineChars="200"/>
        <w:outlineLvl w:val="0"/>
        <w:rPr>
          <w:rFonts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标的物或者在途标的物或者交付给第一承运人后的标的物毁损、灭失的风险负担：</w:t>
      </w: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15  </w:t>
      </w:r>
      <w:r>
        <w:rPr>
          <w:rFonts w:hint="eastAsia" w:ascii="仿宋_GB2312" w:hAnsi="楷体" w:eastAsia="仿宋_GB2312"/>
          <w:sz w:val="24"/>
        </w:rPr>
        <w:t>日内以书面形式通知对方当事人，并在</w:t>
      </w:r>
      <w:r>
        <w:rPr>
          <w:rFonts w:hint="eastAsia" w:ascii="仿宋_GB2312" w:hAnsi="楷体" w:eastAsia="仿宋_GB2312"/>
          <w:sz w:val="24"/>
          <w:u w:val="single"/>
        </w:rPr>
        <w:t xml:space="preserve">  15  </w:t>
      </w:r>
      <w:r>
        <w:rPr>
          <w:rFonts w:hint="eastAsia" w:ascii="仿宋_GB2312" w:hAnsi="楷体" w:eastAsia="仿宋_GB2312"/>
          <w:sz w:val="24"/>
        </w:rPr>
        <w:t>日内，将有关部门出具的证明文件送达对方当事人。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15 </w:t>
      </w:r>
      <w:r>
        <w:rPr>
          <w:rFonts w:hint="eastAsia" w:ascii="仿宋_GB2312" w:hAnsi="楷体" w:eastAsia="仿宋_GB2312"/>
          <w:sz w:val="24"/>
        </w:rPr>
        <w:t>日内以书面形式变更合同；</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15日   </w:t>
      </w:r>
      <w:r>
        <w:rPr>
          <w:rFonts w:hint="eastAsia" w:ascii="仿宋_GB2312" w:hAnsi="楷体" w:eastAsia="仿宋_GB2312"/>
          <w:sz w:val="24"/>
        </w:rPr>
        <w:t>内组织验收，并可依法邀请相关方参加，验收应出具验收书。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w:t>
      </w:r>
    </w:p>
    <w:p>
      <w:pPr>
        <w:spacing w:line="360" w:lineRule="auto"/>
        <w:ind w:firstLine="480" w:firstLineChars="200"/>
        <w:rPr>
          <w:rFonts w:ascii="仿宋_GB2312" w:hAnsi="楷体" w:eastAsia="仿宋_GB2312"/>
          <w:sz w:val="24"/>
          <w:u w:val="single"/>
        </w:rPr>
      </w:pPr>
      <w:r>
        <w:rPr>
          <w:rFonts w:ascii="仿宋_GB2312" w:hAnsi="楷体" w:eastAsia="仿宋_GB2312"/>
          <w:sz w:val="24"/>
          <w:u w:val="single"/>
        </w:rPr>
        <w:t xml:space="preserve"> </w:t>
      </w: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 xml:space="preserve">                                                                       </w:t>
      </w:r>
    </w:p>
    <w:p>
      <w:pPr>
        <w:spacing w:line="360" w:lineRule="auto"/>
        <w:rPr>
          <w:rFonts w:ascii="仿宋_GB2312" w:hAnsi="仿宋" w:eastAsia="仿宋_GB2312" w:cs="仿宋_GB2312"/>
          <w:sz w:val="24"/>
        </w:rPr>
      </w:pPr>
    </w:p>
    <w:p>
      <w:pPr>
        <w:widowControl/>
        <w:adjustRightInd/>
        <w:jc w:val="left"/>
        <w:rPr>
          <w:rFonts w:ascii="仿宋_GB2312" w:hAnsi="仿宋_GB2312" w:eastAsia="仿宋_GB2312" w:cs="仿宋_GB2312"/>
          <w:b/>
          <w:sz w:val="24"/>
        </w:rPr>
      </w:pPr>
    </w:p>
    <w:p>
      <w:pPr>
        <w:widowControl/>
        <w:adjustRightInd/>
        <w:jc w:val="left"/>
        <w:rPr>
          <w:rFonts w:ascii="仿宋_GB2312" w:hAnsi="仿宋_GB2312" w:eastAsia="仿宋_GB2312" w:cs="仿宋_GB2312"/>
          <w:b/>
          <w:sz w:val="24"/>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rPr>
          <w:rFonts w:hint="eastAsia" w:ascii="仿宋" w:hAnsi="仿宋" w:eastAsia="仿宋" w:cs="仿宋"/>
          <w:b/>
          <w:sz w:val="36"/>
          <w:szCs w:val="20"/>
        </w:rPr>
      </w:pPr>
      <w:r>
        <w:rPr>
          <w:rFonts w:hint="eastAsia" w:ascii="仿宋" w:hAnsi="仿宋" w:eastAsia="仿宋" w:cs="仿宋"/>
          <w:b/>
          <w:sz w:val="36"/>
          <w:szCs w:val="20"/>
        </w:rPr>
        <w:br w:type="page"/>
      </w: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5"/>
      <w:bookmarkEnd w:id="396"/>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杭州市规划和自然资源局临安分局、杭州建设工程造价咨询有限公司：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临安区农村建设用地信息调查服务项目</w:t>
      </w:r>
      <w:r>
        <w:rPr>
          <w:rFonts w:hint="eastAsia" w:ascii="仿宋" w:hAnsi="仿宋" w:eastAsia="仿宋" w:cs="仿宋"/>
          <w:sz w:val="24"/>
        </w:rPr>
        <w:t>【</w:t>
      </w:r>
      <w:r>
        <w:rPr>
          <w:rFonts w:hint="eastAsia" w:ascii="仿宋" w:hAnsi="仿宋" w:eastAsia="仿宋" w:cs="仿宋"/>
          <w:sz w:val="24"/>
          <w:u w:val="single"/>
        </w:rPr>
        <w:t xml:space="preserve">招标编号： </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lang w:val="zh-CN"/>
        </w:rPr>
      </w:pPr>
      <w:r>
        <w:rPr>
          <w:rFonts w:hint="eastAsia" w:ascii="仿宋" w:hAnsi="仿宋" w:eastAsia="仿宋" w:cs="仿宋"/>
          <w:kern w:val="0"/>
          <w:sz w:val="24"/>
          <w:lang w:val="zh-CN"/>
        </w:rPr>
        <w:t>供应商名称(电子签名)</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注：提供法人或者其他组织的营业执照等证明文件原件扫描件</w:t>
      </w: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pStyle w:val="81"/>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（根据竞争性磋商公告本项目的特定资格要求提供相应的材料）</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rPr>
          <w:rFonts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jc w:val="distribute"/>
        <w:rPr>
          <w:rFonts w:ascii="仿宋" w:hAnsi="仿宋" w:eastAsia="仿宋" w:cs="仿宋"/>
          <w:sz w:val="24"/>
        </w:rPr>
      </w:pPr>
      <w:r>
        <w:rPr>
          <w:rFonts w:hint="eastAsia" w:ascii="仿宋" w:hAnsi="仿宋" w:eastAsia="仿宋" w:cs="仿宋"/>
          <w:sz w:val="24"/>
        </w:rPr>
        <w:t>（1）投标函………………………………………………………………………（页码）（2）授权委托书或法定代表人（单位负责人、自然人本人）身份证明……（页码）</w:t>
      </w:r>
    </w:p>
    <w:p>
      <w:pPr>
        <w:snapToGrid w:val="0"/>
        <w:spacing w:line="360" w:lineRule="auto"/>
        <w:ind w:left="479" w:leftChars="228"/>
        <w:jc w:val="distribute"/>
        <w:rPr>
          <w:rFonts w:ascii="仿宋" w:hAnsi="仿宋" w:eastAsia="仿宋" w:cs="仿宋"/>
          <w:sz w:val="24"/>
        </w:rPr>
      </w:pPr>
      <w:r>
        <w:rPr>
          <w:rFonts w:hint="eastAsia" w:ascii="仿宋" w:hAnsi="仿宋" w:eastAsia="仿宋" w:cs="仿宋"/>
          <w:sz w:val="24"/>
        </w:rPr>
        <w:t>（3）联合协议……………………………………………………………………（页码）</w:t>
      </w:r>
    </w:p>
    <w:p>
      <w:pPr>
        <w:snapToGrid w:val="0"/>
        <w:spacing w:line="360" w:lineRule="auto"/>
        <w:ind w:firstLine="480" w:firstLineChars="200"/>
        <w:jc w:val="distribute"/>
        <w:rPr>
          <w:rFonts w:ascii="仿宋" w:hAnsi="仿宋" w:eastAsia="仿宋" w:cs="仿宋"/>
          <w:sz w:val="24"/>
        </w:rPr>
      </w:pPr>
      <w:r>
        <w:rPr>
          <w:rFonts w:hint="eastAsia" w:ascii="仿宋" w:hAnsi="仿宋" w:eastAsia="仿宋" w:cs="仿宋"/>
          <w:sz w:val="24"/>
        </w:rPr>
        <w:t>（4）分包意向协议………………………………………………………………（页码）</w:t>
      </w:r>
    </w:p>
    <w:p>
      <w:pPr>
        <w:snapToGrid w:val="0"/>
        <w:spacing w:line="360" w:lineRule="auto"/>
        <w:ind w:firstLine="480" w:firstLineChars="200"/>
        <w:jc w:val="distribute"/>
        <w:rPr>
          <w:rFonts w:ascii="仿宋" w:hAnsi="仿宋" w:eastAsia="仿宋" w:cs="仿宋"/>
          <w:sz w:val="24"/>
        </w:rPr>
      </w:pPr>
      <w:r>
        <w:rPr>
          <w:rFonts w:hint="eastAsia" w:ascii="仿宋" w:hAnsi="仿宋" w:eastAsia="仿宋" w:cs="仿宋"/>
          <w:sz w:val="24"/>
        </w:rPr>
        <w:t>（5）符合性审查资料……………………………………………………………（页码）</w:t>
      </w:r>
    </w:p>
    <w:p>
      <w:pPr>
        <w:snapToGrid w:val="0"/>
        <w:spacing w:line="360" w:lineRule="auto"/>
        <w:ind w:firstLine="480" w:firstLineChars="200"/>
        <w:jc w:val="distribute"/>
        <w:rPr>
          <w:rFonts w:ascii="仿宋" w:hAnsi="仿宋" w:eastAsia="仿宋" w:cs="仿宋"/>
          <w:sz w:val="24"/>
        </w:rPr>
      </w:pPr>
      <w:r>
        <w:rPr>
          <w:rFonts w:hint="eastAsia" w:ascii="仿宋" w:hAnsi="仿宋" w:eastAsia="仿宋" w:cs="仿宋"/>
          <w:sz w:val="24"/>
        </w:rPr>
        <w:t>（6）商务技术偏离表…………………………… ……………………………（页码）</w:t>
      </w:r>
    </w:p>
    <w:p>
      <w:pPr>
        <w:snapToGrid w:val="0"/>
        <w:spacing w:line="360" w:lineRule="auto"/>
        <w:ind w:firstLine="480" w:firstLineChars="200"/>
        <w:jc w:val="distribute"/>
        <w:rPr>
          <w:rFonts w:ascii="仿宋" w:hAnsi="仿宋" w:eastAsia="仿宋" w:cs="仿宋"/>
          <w:sz w:val="24"/>
        </w:rPr>
      </w:pPr>
      <w:r>
        <w:rPr>
          <w:rFonts w:hint="eastAsia" w:ascii="仿宋" w:hAnsi="仿宋" w:eastAsia="仿宋" w:cs="仿宋"/>
          <w:sz w:val="24"/>
        </w:rPr>
        <w:t>（7）评标标准相应的商务技术资料…………………………………………（页码）</w:t>
      </w:r>
    </w:p>
    <w:p>
      <w:pPr>
        <w:snapToGrid w:val="0"/>
        <w:spacing w:line="360" w:lineRule="auto"/>
        <w:ind w:firstLine="480" w:firstLineChars="200"/>
        <w:jc w:val="distribute"/>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杭州市规划和自然资源局临安分局、杭州建设工程造价咨询有限公司：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临安区农村建设用地信息调查服务项目</w:t>
      </w:r>
      <w:r>
        <w:rPr>
          <w:rFonts w:hint="eastAsia" w:ascii="仿宋" w:hAnsi="仿宋" w:eastAsia="仿宋" w:cs="仿宋"/>
          <w:sz w:val="24"/>
        </w:rPr>
        <w:t>【招标编号： 】招标的有关活动，并对此项目进行投标。为此：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1、我方承诺投标有效期从提交响应文件的截止之日起天（不少于90天）</w:t>
      </w:r>
      <w:r>
        <w:rPr>
          <w:rFonts w:hint="eastAsia" w:ascii="仿宋" w:hAnsi="仿宋" w:eastAsia="仿宋" w:cs="仿宋"/>
        </w:rPr>
        <w:t>，</w:t>
      </w:r>
      <w:r>
        <w:rPr>
          <w:rFonts w:hint="eastAsia" w:ascii="仿宋" w:hAnsi="仿宋" w:eastAsia="仿宋" w:cs="仿宋"/>
          <w:sz w:val="24"/>
        </w:rPr>
        <w:t>本响应文件在投标有效期满之前均具有约束力。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2、我方的响应文件包括以下内容：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3、我方承诺除商务技术偏离表列出的偏离外，我方响应采购文件的全部要求。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4.3按照采购文件要求提交履约保证金；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rPr>
          <w:rFonts w:ascii="仿宋" w:hAnsi="仿宋" w:eastAsia="仿宋" w:cs="仿宋"/>
          <w:sz w:val="24"/>
        </w:rPr>
      </w:pPr>
      <w:r>
        <w:rPr>
          <w:rFonts w:hint="eastAsia" w:ascii="仿宋" w:hAnsi="仿宋" w:eastAsia="仿宋" w:cs="仿宋"/>
          <w:sz w:val="24"/>
        </w:rPr>
        <w:t>供应商名称（电子签名）：</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杭州市规划和自然资源局临安分局、杭州建设工程造价咨询有限公司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lang w:val="zh-CN"/>
        </w:rPr>
        <w:t>临安区农村建设用地信息调查服务项目</w:t>
      </w:r>
      <w:r>
        <w:rPr>
          <w:rFonts w:hint="eastAsia" w:ascii="仿宋" w:hAnsi="仿宋" w:eastAsia="仿宋" w:cs="仿宋"/>
          <w:sz w:val="24"/>
        </w:rPr>
        <w:t>【招标编号：】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附法定代表人及授权委托人的身份证（附身份证正反面原件扫描件，如法人参加，只须提供法人身份证）                                              </w:t>
      </w:r>
    </w:p>
    <w:p>
      <w:pPr>
        <w:snapToGrid w:val="0"/>
        <w:spacing w:line="360" w:lineRule="auto"/>
        <w:ind w:firstLine="6000" w:firstLineChars="2500"/>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杭州市规划和自然资源局临安分局、杭州建设工程造价咨询有限公司：</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lang w:val="zh-CN"/>
        </w:rPr>
        <w:t>临安区农村建设用地信息调查服务项目</w:t>
      </w:r>
      <w:r>
        <w:rPr>
          <w:rFonts w:hint="eastAsia" w:ascii="仿宋" w:hAnsi="仿宋" w:eastAsia="仿宋" w:cs="仿宋"/>
          <w:sz w:val="24"/>
        </w:rPr>
        <w:t>【招标编号：】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pacing w:line="360" w:lineRule="auto"/>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pPr>
        <w:pStyle w:val="14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cs="仿宋"/>
                <w:bCs/>
                <w:sz w:val="24"/>
              </w:rPr>
            </w:pPr>
            <w:r>
              <w:rPr>
                <w:rFonts w:hint="eastAsia" w:ascii="仿宋" w:hAnsi="仿宋" w:eastAsia="仿宋" w:cs="仿宋"/>
                <w:bCs/>
                <w:sz w:val="24"/>
              </w:rPr>
              <w:t>正面：反面：</w:t>
            </w:r>
          </w:p>
          <w:p>
            <w:pPr>
              <w:pStyle w:val="149"/>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供应商名称(电子签名)：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5"/>
      </w:pPr>
    </w:p>
    <w:p>
      <w:pPr>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（以联合体形式投标的，提供联合协议；本项目不接受联合体投标或者供应商不以联合体形式投标的，则不需要提供）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承接的全部工程由小微企业承接，其合同份额占到合同总金额%以上；</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中标后以分包方式履行合同的，提供分包意向协议；采购人不同意分包或者供应商中标后不以分包方式履行合同的，则不需要提供。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（分包供应商名称）承接的工程全部由小微企业承接，</w:t>
      </w:r>
      <w:r>
        <w:rPr>
          <w:rFonts w:hint="eastAsia" w:ascii="仿宋" w:hAnsi="仿宋" w:eastAsia="仿宋" w:cs="仿宋"/>
          <w:kern w:val="0"/>
          <w:sz w:val="24"/>
        </w:rPr>
        <w:t>其合同份额占到合同总金额%以上</w:t>
      </w:r>
      <w:r>
        <w:rPr>
          <w:rFonts w:hint="eastAsia" w:ascii="仿宋" w:hAnsi="仿宋" w:eastAsia="仿宋" w:cs="仿宋"/>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响应文件中的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vAlign w:val="center"/>
          </w:tcPr>
          <w:p>
            <w:pPr>
              <w:rPr>
                <w:rFonts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见响应文件</w:t>
            </w:r>
          </w:p>
          <w:p>
            <w:pPr>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rPr>
                <w:rFonts w:ascii="仿宋" w:hAnsi="仿宋" w:eastAsia="仿宋" w:cs="仿宋"/>
                <w:sz w:val="24"/>
              </w:rPr>
            </w:pPr>
            <w:r>
              <w:rPr>
                <w:rFonts w:ascii="仿宋" w:hAnsi="仿宋" w:eastAsia="仿宋" w:cs="仿宋"/>
                <w:sz w:val="24"/>
              </w:rPr>
              <w:t>2</w:t>
            </w:r>
          </w:p>
        </w:tc>
        <w:tc>
          <w:tcPr>
            <w:tcW w:w="4991" w:type="dxa"/>
            <w:vAlign w:val="center"/>
          </w:tcPr>
          <w:p>
            <w:pPr>
              <w:rPr>
                <w:rFonts w:ascii="仿宋" w:hAnsi="仿宋" w:eastAsia="仿宋" w:cs="仿宋"/>
                <w:sz w:val="24"/>
              </w:rPr>
            </w:pPr>
            <w:r>
              <w:rPr>
                <w:rFonts w:hint="eastAsia" w:ascii="仿宋" w:hAnsi="仿宋" w:eastAsia="仿宋" w:cs="仿宋"/>
                <w:sz w:val="24"/>
              </w:rPr>
              <w:t>响应文件中承诺的投标有效期不少于采购文件中载明的投标有效期。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vAlign w:val="center"/>
          </w:tcPr>
          <w:p>
            <w:pPr>
              <w:rPr>
                <w:rFonts w:ascii="仿宋" w:hAnsi="仿宋" w:eastAsia="仿宋" w:cs="仿宋"/>
              </w:rPr>
            </w:pPr>
            <w:r>
              <w:rPr>
                <w:rFonts w:hint="eastAsia" w:ascii="仿宋" w:hAnsi="仿宋" w:eastAsia="仿宋" w:cs="仿宋"/>
                <w:sz w:val="24"/>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rPr>
                <w:rFonts w:ascii="仿宋" w:hAnsi="仿宋" w:eastAsia="仿宋" w:cs="仿宋"/>
                <w:sz w:val="24"/>
              </w:rPr>
            </w:pPr>
            <w:r>
              <w:rPr>
                <w:rFonts w:ascii="仿宋" w:hAnsi="仿宋" w:eastAsia="仿宋" w:cs="仿宋"/>
                <w:sz w:val="24"/>
              </w:rPr>
              <w:t>3</w:t>
            </w:r>
          </w:p>
        </w:tc>
        <w:tc>
          <w:tcPr>
            <w:tcW w:w="4991" w:type="dxa"/>
            <w:vAlign w:val="center"/>
          </w:tcPr>
          <w:p>
            <w:pPr>
              <w:rPr>
                <w:rFonts w:ascii="仿宋" w:hAnsi="仿宋" w:eastAsia="仿宋" w:cs="仿宋"/>
                <w:sz w:val="24"/>
              </w:rPr>
            </w:pPr>
            <w:r>
              <w:rPr>
                <w:rFonts w:hint="eastAsia" w:ascii="仿宋" w:hAnsi="仿宋" w:eastAsia="仿宋" w:cs="仿宋"/>
                <w:sz w:val="24"/>
              </w:rPr>
              <w:t>响应文件满足采购文件的其它实质性要求。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采购文件其它实质性要求相应的材料（“▲”系指实质性要求条款，采购文件无其它实质性要求的，无需提供）</w:t>
            </w:r>
          </w:p>
        </w:tc>
        <w:tc>
          <w:tcPr>
            <w:tcW w:w="1418" w:type="dxa"/>
            <w:vAlign w:val="center"/>
          </w:tcPr>
          <w:p>
            <w:pPr>
              <w:rPr>
                <w:rFonts w:ascii="仿宋" w:hAnsi="仿宋" w:eastAsia="仿宋" w:cs="仿宋"/>
              </w:rPr>
            </w:pPr>
            <w:r>
              <w:rPr>
                <w:rFonts w:hint="eastAsia" w:ascii="仿宋" w:hAnsi="仿宋" w:eastAsia="仿宋" w:cs="仿宋"/>
                <w:sz w:val="24"/>
              </w:rPr>
              <w:t>见响应文件第页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3"/>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650"/>
        <w:gridCol w:w="351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50"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3650" w:type="dxa"/>
            <w:vAlign w:val="center"/>
          </w:tcPr>
          <w:p>
            <w:pPr>
              <w:jc w:val="center"/>
              <w:rPr>
                <w:rFonts w:ascii="仿宋" w:hAnsi="仿宋" w:eastAsia="仿宋" w:cs="仿宋"/>
                <w:b/>
                <w:bCs/>
                <w:sz w:val="24"/>
              </w:rPr>
            </w:pPr>
            <w:r>
              <w:rPr>
                <w:rFonts w:hint="eastAsia" w:ascii="仿宋" w:hAnsi="仿宋" w:eastAsia="仿宋" w:cs="仿宋"/>
                <w:b/>
                <w:bCs/>
                <w:sz w:val="24"/>
              </w:rPr>
              <w:t>采购文件章节及具体内容</w:t>
            </w:r>
          </w:p>
        </w:tc>
        <w:tc>
          <w:tcPr>
            <w:tcW w:w="3514" w:type="dxa"/>
            <w:vAlign w:val="center"/>
          </w:tcPr>
          <w:p>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64" w:type="dxa"/>
            <w:vAlign w:val="center"/>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50"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3650" w:type="dxa"/>
            <w:vAlign w:val="center"/>
          </w:tcPr>
          <w:p>
            <w:pPr>
              <w:jc w:val="center"/>
              <w:rPr>
                <w:rFonts w:ascii="仿宋" w:hAnsi="仿宋" w:eastAsia="仿宋" w:cs="仿宋"/>
                <w:b/>
                <w:kern w:val="0"/>
                <w:sz w:val="32"/>
                <w:szCs w:val="32"/>
              </w:rPr>
            </w:pPr>
          </w:p>
        </w:tc>
        <w:tc>
          <w:tcPr>
            <w:tcW w:w="3514" w:type="dxa"/>
            <w:vAlign w:val="center"/>
          </w:tcPr>
          <w:p>
            <w:pPr>
              <w:jc w:val="center"/>
              <w:rPr>
                <w:rFonts w:ascii="仿宋" w:hAnsi="仿宋" w:eastAsia="仿宋" w:cs="仿宋"/>
                <w:b/>
                <w:kern w:val="0"/>
                <w:sz w:val="32"/>
                <w:szCs w:val="32"/>
              </w:rPr>
            </w:pPr>
          </w:p>
        </w:tc>
        <w:tc>
          <w:tcPr>
            <w:tcW w:w="1264" w:type="dxa"/>
            <w:vAlign w:val="center"/>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50"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3650" w:type="dxa"/>
            <w:vAlign w:val="center"/>
          </w:tcPr>
          <w:p>
            <w:pPr>
              <w:jc w:val="center"/>
              <w:rPr>
                <w:rFonts w:ascii="仿宋" w:hAnsi="仿宋" w:eastAsia="仿宋" w:cs="仿宋"/>
                <w:b/>
                <w:kern w:val="0"/>
                <w:sz w:val="32"/>
                <w:szCs w:val="32"/>
              </w:rPr>
            </w:pPr>
          </w:p>
        </w:tc>
        <w:tc>
          <w:tcPr>
            <w:tcW w:w="3514" w:type="dxa"/>
            <w:vAlign w:val="center"/>
          </w:tcPr>
          <w:p>
            <w:pPr>
              <w:jc w:val="center"/>
              <w:rPr>
                <w:rFonts w:ascii="仿宋" w:hAnsi="仿宋" w:eastAsia="仿宋" w:cs="仿宋"/>
                <w:b/>
                <w:kern w:val="0"/>
                <w:sz w:val="32"/>
                <w:szCs w:val="32"/>
              </w:rPr>
            </w:pPr>
          </w:p>
        </w:tc>
        <w:tc>
          <w:tcPr>
            <w:tcW w:w="1264" w:type="dxa"/>
            <w:vAlign w:val="center"/>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50" w:type="dxa"/>
            <w:vAlign w:val="center"/>
          </w:tcPr>
          <w:p>
            <w:pPr>
              <w:jc w:val="center"/>
              <w:rPr>
                <w:rFonts w:ascii="仿宋" w:hAnsi="仿宋" w:eastAsia="仿宋" w:cs="仿宋"/>
                <w:kern w:val="0"/>
                <w:sz w:val="24"/>
              </w:rPr>
            </w:pPr>
            <w:r>
              <w:rPr>
                <w:rFonts w:hint="eastAsia" w:ascii="仿宋" w:hAnsi="仿宋" w:eastAsia="仿宋" w:cs="仿宋"/>
                <w:kern w:val="0"/>
                <w:sz w:val="24"/>
              </w:rPr>
              <w:t>……</w:t>
            </w:r>
          </w:p>
        </w:tc>
        <w:tc>
          <w:tcPr>
            <w:tcW w:w="3650" w:type="dxa"/>
            <w:vAlign w:val="center"/>
          </w:tcPr>
          <w:p>
            <w:pPr>
              <w:jc w:val="center"/>
              <w:rPr>
                <w:rFonts w:ascii="仿宋" w:hAnsi="仿宋" w:eastAsia="仿宋" w:cs="仿宋"/>
                <w:b/>
                <w:kern w:val="0"/>
                <w:sz w:val="32"/>
                <w:szCs w:val="32"/>
              </w:rPr>
            </w:pPr>
          </w:p>
        </w:tc>
        <w:tc>
          <w:tcPr>
            <w:tcW w:w="3514" w:type="dxa"/>
            <w:vAlign w:val="center"/>
          </w:tcPr>
          <w:p>
            <w:pPr>
              <w:jc w:val="center"/>
              <w:rPr>
                <w:rFonts w:ascii="仿宋" w:hAnsi="仿宋" w:eastAsia="仿宋" w:cs="仿宋"/>
                <w:b/>
                <w:kern w:val="0"/>
                <w:sz w:val="32"/>
                <w:szCs w:val="32"/>
              </w:rPr>
            </w:pPr>
          </w:p>
        </w:tc>
        <w:tc>
          <w:tcPr>
            <w:tcW w:w="1264" w:type="dxa"/>
            <w:vAlign w:val="center"/>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left"/>
        <w:rPr>
          <w:rFonts w:ascii="仿宋" w:hAnsi="仿宋" w:eastAsia="仿宋" w:cs="仿宋"/>
          <w:b/>
          <w:kern w:val="0"/>
          <w:sz w:val="32"/>
          <w:szCs w:val="32"/>
        </w:rPr>
      </w:pPr>
      <w:r>
        <w:rPr>
          <w:rFonts w:ascii="仿宋" w:hAnsi="仿宋" w:eastAsia="仿宋" w:cs="仿宋"/>
          <w:b/>
          <w:kern w:val="0"/>
          <w:sz w:val="32"/>
          <w:szCs w:val="32"/>
        </w:rPr>
        <w:br w:type="page"/>
      </w:r>
    </w:p>
    <w:p>
      <w:pPr>
        <w:pStyle w:val="5"/>
        <w:jc w:val="center"/>
        <w:rPr>
          <w:rFonts w:ascii="仿宋" w:eastAsia="仿宋" w:cs="仿宋"/>
          <w:bCs w:val="0"/>
          <w:kern w:val="0"/>
          <w:lang w:val="en-US"/>
        </w:rPr>
      </w:pPr>
      <w:r>
        <w:rPr>
          <w:rFonts w:hint="eastAsia" w:ascii="仿宋" w:eastAsia="仿宋" w:cs="仿宋"/>
          <w:bCs w:val="0"/>
          <w:kern w:val="0"/>
          <w:lang w:val="en-US"/>
        </w:rPr>
        <w:t>七、评标标准相应的商务技术资料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杭州市规划和自然资源局临安分局、杭州建设工程造价咨询有限公司：</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）中小企业声明函（如有）………………………………………………………（页码）</w:t>
      </w: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pStyle w:val="690"/>
        <w:snapToGrid w:val="0"/>
        <w:spacing w:before="120" w:after="120"/>
        <w:ind w:firstLine="640"/>
        <w:rPr>
          <w:rFonts w:ascii="仿宋" w:hAnsi="仿宋" w:eastAsia="仿宋" w:cs="仿宋"/>
          <w:kern w:val="2"/>
          <w:sz w:val="32"/>
          <w:szCs w:val="32"/>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pPr>
      <w:bookmarkStart w:id="557" w:name="_Toc94189567"/>
      <w:bookmarkStart w:id="558" w:name="_Toc94189324"/>
    </w:p>
    <w:p>
      <w:pPr>
        <w:pStyle w:val="690"/>
        <w:snapToGrid w:val="0"/>
        <w:spacing w:before="120" w:after="120"/>
        <w:ind w:firstLine="640"/>
        <w:jc w:val="center"/>
        <w:rPr>
          <w:rFonts w:ascii="仿宋" w:hAnsi="仿宋" w:eastAsia="仿宋" w:cs="仿宋"/>
          <w:kern w:val="2"/>
          <w:sz w:val="32"/>
          <w:szCs w:val="32"/>
        </w:rPr>
      </w:pPr>
      <w:r>
        <w:rPr>
          <w:rFonts w:hint="eastAsia" w:ascii="仿宋" w:hAnsi="仿宋" w:eastAsia="仿宋" w:cs="仿宋"/>
          <w:kern w:val="2"/>
          <w:sz w:val="32"/>
          <w:szCs w:val="32"/>
        </w:rPr>
        <w:t>一、开标一览表（报价表）</w:t>
      </w:r>
      <w:bookmarkEnd w:id="557"/>
      <w:bookmarkEnd w:id="558"/>
    </w:p>
    <w:p>
      <w:pPr>
        <w:snapToGrid w:val="0"/>
        <w:spacing w:line="360" w:lineRule="auto"/>
        <w:rPr>
          <w:rFonts w:ascii="仿宋" w:hAnsi="仿宋" w:eastAsia="仿宋" w:cs="仿宋"/>
          <w:kern w:val="0"/>
          <w:sz w:val="24"/>
        </w:rPr>
      </w:pPr>
      <w:r>
        <w:rPr>
          <w:rFonts w:hint="eastAsia" w:ascii="仿宋" w:hAnsi="仿宋" w:eastAsia="仿宋" w:cs="仿宋"/>
          <w:sz w:val="24"/>
        </w:rPr>
        <w:t>杭州市规划和自然资源局临安分局、杭州建设工程造价咨询有限公司</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按你方采购文件要求，我们，本响应文件签字方，谨此向你方发出要约如下：如你方接受本磋商响应，我方承诺按照如下开标一览表（报价表）的价格完成</w:t>
      </w:r>
      <w:r>
        <w:rPr>
          <w:rFonts w:hint="eastAsia" w:ascii="仿宋" w:hAnsi="仿宋" w:eastAsia="仿宋" w:cs="仿宋"/>
          <w:kern w:val="0"/>
          <w:sz w:val="24"/>
          <w:u w:val="single"/>
          <w:lang w:val="zh-CN"/>
        </w:rPr>
        <w:t>临安区农村建设用地信息调查服务项目</w:t>
      </w:r>
      <w:r>
        <w:rPr>
          <w:rFonts w:hint="eastAsia" w:ascii="仿宋" w:hAnsi="仿宋" w:eastAsia="仿宋" w:cs="仿宋"/>
          <w:kern w:val="0"/>
          <w:sz w:val="24"/>
          <w:lang w:val="zh-CN"/>
        </w:rPr>
        <w:t>【招标编号：】的实施。</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708"/>
        <w:gridCol w:w="1985"/>
        <w:gridCol w:w="1559"/>
        <w:gridCol w:w="1559"/>
        <w:gridCol w:w="1985"/>
        <w:gridCol w:w="3257"/>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668"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序号</w:t>
            </w:r>
          </w:p>
        </w:tc>
        <w:tc>
          <w:tcPr>
            <w:tcW w:w="1708"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名称</w:t>
            </w:r>
          </w:p>
        </w:tc>
        <w:tc>
          <w:tcPr>
            <w:tcW w:w="1985"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具体服务</w:t>
            </w:r>
          </w:p>
        </w:tc>
        <w:tc>
          <w:tcPr>
            <w:tcW w:w="1559" w:type="dxa"/>
            <w:vAlign w:val="center"/>
          </w:tcPr>
          <w:p>
            <w:pPr>
              <w:spacing w:line="360" w:lineRule="auto"/>
              <w:jc w:val="center"/>
              <w:rPr>
                <w:rFonts w:ascii="仿宋" w:hAnsi="仿宋" w:eastAsia="仿宋" w:cs="仿宋_GB2312"/>
                <w:b/>
                <w:sz w:val="24"/>
              </w:rPr>
            </w:pPr>
            <w:r>
              <w:rPr>
                <w:rFonts w:hint="eastAsia" w:ascii="仿宋" w:hAnsi="仿宋" w:eastAsia="仿宋"/>
                <w:b/>
                <w:sz w:val="24"/>
              </w:rPr>
              <w:t>数量</w:t>
            </w:r>
          </w:p>
        </w:tc>
        <w:tc>
          <w:tcPr>
            <w:tcW w:w="1559"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单位</w:t>
            </w:r>
          </w:p>
        </w:tc>
        <w:tc>
          <w:tcPr>
            <w:tcW w:w="1985" w:type="dxa"/>
            <w:vAlign w:val="center"/>
          </w:tcPr>
          <w:p>
            <w:pPr>
              <w:spacing w:line="360" w:lineRule="auto"/>
              <w:jc w:val="center"/>
              <w:rPr>
                <w:rFonts w:ascii="仿宋" w:hAnsi="仿宋" w:eastAsia="仿宋"/>
                <w:b/>
                <w:sz w:val="24"/>
              </w:rPr>
            </w:pPr>
            <w:r>
              <w:rPr>
                <w:rFonts w:hint="eastAsia" w:ascii="仿宋" w:hAnsi="仿宋" w:eastAsia="仿宋"/>
                <w:b/>
                <w:sz w:val="24"/>
              </w:rPr>
              <w:t>单价</w:t>
            </w:r>
          </w:p>
          <w:p>
            <w:pPr>
              <w:spacing w:line="360" w:lineRule="auto"/>
              <w:jc w:val="center"/>
              <w:rPr>
                <w:rFonts w:ascii="仿宋" w:hAnsi="仿宋" w:eastAsia="仿宋"/>
                <w:b/>
                <w:sz w:val="24"/>
              </w:rPr>
            </w:pPr>
            <w:r>
              <w:rPr>
                <w:rFonts w:hint="eastAsia" w:ascii="仿宋" w:hAnsi="仿宋" w:eastAsia="仿宋"/>
                <w:b/>
                <w:sz w:val="24"/>
              </w:rPr>
              <w:t>（元）</w:t>
            </w:r>
          </w:p>
        </w:tc>
        <w:tc>
          <w:tcPr>
            <w:tcW w:w="3257" w:type="dxa"/>
            <w:vAlign w:val="center"/>
          </w:tcPr>
          <w:p>
            <w:pPr>
              <w:spacing w:line="360" w:lineRule="auto"/>
              <w:jc w:val="center"/>
              <w:rPr>
                <w:rFonts w:ascii="仿宋" w:hAnsi="仿宋" w:eastAsia="仿宋"/>
                <w:b/>
                <w:sz w:val="24"/>
              </w:rPr>
            </w:pPr>
            <w:r>
              <w:rPr>
                <w:rFonts w:hint="eastAsia" w:ascii="仿宋" w:hAnsi="仿宋" w:eastAsia="仿宋"/>
                <w:b/>
                <w:sz w:val="24"/>
              </w:rPr>
              <w:t>总价</w:t>
            </w:r>
          </w:p>
          <w:p>
            <w:pPr>
              <w:spacing w:line="360" w:lineRule="auto"/>
              <w:jc w:val="center"/>
              <w:rPr>
                <w:rFonts w:ascii="仿宋" w:hAnsi="仿宋" w:eastAsia="仿宋" w:cs="仿宋_GB2312"/>
                <w:b/>
                <w:sz w:val="24"/>
              </w:rPr>
            </w:pPr>
            <w:r>
              <w:rPr>
                <w:rFonts w:hint="eastAsia" w:ascii="仿宋" w:hAnsi="仿宋" w:eastAsia="仿宋"/>
                <w:b/>
                <w:sz w:val="24"/>
              </w:rPr>
              <w:t>（元）</w:t>
            </w:r>
          </w:p>
        </w:tc>
        <w:tc>
          <w:tcPr>
            <w:tcW w:w="1773" w:type="dxa"/>
            <w:vAlign w:val="center"/>
          </w:tcPr>
          <w:p>
            <w:pPr>
              <w:spacing w:line="360" w:lineRule="auto"/>
              <w:jc w:val="center"/>
              <w:rPr>
                <w:rFonts w:ascii="仿宋" w:hAnsi="仿宋" w:eastAsia="仿宋"/>
                <w:b/>
                <w:sz w:val="24"/>
              </w:rPr>
            </w:pPr>
          </w:p>
          <w:p>
            <w:pPr>
              <w:spacing w:line="360" w:lineRule="auto"/>
              <w:jc w:val="center"/>
              <w:rPr>
                <w:rFonts w:ascii="仿宋" w:hAnsi="仿宋" w:eastAsia="仿宋" w:cs="仿宋_GB2312"/>
                <w:b/>
                <w:sz w:val="24"/>
              </w:rPr>
            </w:pPr>
            <w:r>
              <w:rPr>
                <w:rFonts w:hint="eastAsia" w:ascii="仿宋" w:hAnsi="仿宋" w:eastAsia="仿宋"/>
                <w:b/>
                <w:sz w:val="24"/>
              </w:rPr>
              <w:t>服务期限</w:t>
            </w:r>
          </w:p>
          <w:p>
            <w:pPr>
              <w:spacing w:line="360" w:lineRule="auto"/>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68" w:type="dxa"/>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708" w:type="dxa"/>
            <w:vAlign w:val="center"/>
          </w:tcPr>
          <w:p>
            <w:pPr>
              <w:ind w:right="-220" w:rightChars="-105" w:firstLine="360" w:firstLineChars="150"/>
              <w:rPr>
                <w:rFonts w:ascii="仿宋" w:hAnsi="仿宋" w:eastAsia="仿宋" w:cs="楷体"/>
                <w:color w:val="000000"/>
                <w:sz w:val="24"/>
              </w:rPr>
            </w:pPr>
          </w:p>
        </w:tc>
        <w:tc>
          <w:tcPr>
            <w:tcW w:w="1985" w:type="dxa"/>
            <w:vAlign w:val="center"/>
          </w:tcPr>
          <w:p>
            <w:pPr>
              <w:snapToGrid w:val="0"/>
              <w:spacing w:line="360" w:lineRule="auto"/>
              <w:jc w:val="center"/>
              <w:rPr>
                <w:rFonts w:ascii="仿宋" w:hAnsi="仿宋" w:eastAsia="仿宋" w:cs="仿宋_GB2312"/>
                <w:sz w:val="24"/>
              </w:rPr>
            </w:pPr>
          </w:p>
        </w:tc>
        <w:tc>
          <w:tcPr>
            <w:tcW w:w="1559" w:type="dxa"/>
            <w:vAlign w:val="center"/>
          </w:tcPr>
          <w:p>
            <w:pPr>
              <w:jc w:val="center"/>
              <w:rPr>
                <w:rFonts w:ascii="仿宋" w:hAnsi="仿宋" w:eastAsia="仿宋" w:cs="楷体"/>
                <w:color w:val="000000"/>
                <w:sz w:val="24"/>
              </w:rPr>
            </w:pPr>
          </w:p>
        </w:tc>
        <w:tc>
          <w:tcPr>
            <w:tcW w:w="1559" w:type="dxa"/>
            <w:vAlign w:val="center"/>
          </w:tcPr>
          <w:p>
            <w:pPr>
              <w:jc w:val="center"/>
              <w:rPr>
                <w:rFonts w:ascii="仿宋" w:hAnsi="仿宋" w:eastAsia="仿宋" w:cs="楷体"/>
                <w:color w:val="000000"/>
                <w:sz w:val="24"/>
              </w:rPr>
            </w:pPr>
          </w:p>
        </w:tc>
        <w:tc>
          <w:tcPr>
            <w:tcW w:w="1985" w:type="dxa"/>
            <w:vAlign w:val="center"/>
          </w:tcPr>
          <w:p>
            <w:pPr>
              <w:snapToGrid w:val="0"/>
              <w:spacing w:line="360" w:lineRule="auto"/>
              <w:jc w:val="center"/>
              <w:rPr>
                <w:rFonts w:ascii="仿宋" w:hAnsi="仿宋" w:eastAsia="仿宋" w:cs="仿宋"/>
                <w:kern w:val="0"/>
                <w:sz w:val="24"/>
              </w:rPr>
            </w:pPr>
          </w:p>
        </w:tc>
        <w:tc>
          <w:tcPr>
            <w:tcW w:w="3257" w:type="dxa"/>
            <w:vAlign w:val="center"/>
          </w:tcPr>
          <w:p>
            <w:pPr>
              <w:spacing w:line="360" w:lineRule="auto"/>
              <w:jc w:val="center"/>
              <w:rPr>
                <w:rFonts w:ascii="仿宋" w:hAnsi="仿宋" w:eastAsia="仿宋" w:cs="仿宋_GB2312"/>
                <w:sz w:val="24"/>
              </w:rPr>
            </w:pPr>
          </w:p>
        </w:tc>
        <w:tc>
          <w:tcPr>
            <w:tcW w:w="1773" w:type="dxa"/>
            <w:vMerge w:val="restart"/>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68" w:type="dxa"/>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708" w:type="dxa"/>
            <w:vAlign w:val="center"/>
          </w:tcPr>
          <w:p>
            <w:pPr>
              <w:jc w:val="center"/>
              <w:rPr>
                <w:rFonts w:ascii="仿宋" w:hAnsi="仿宋" w:eastAsia="仿宋" w:cs="楷体"/>
                <w:color w:val="000000"/>
                <w:sz w:val="24"/>
              </w:rPr>
            </w:pPr>
          </w:p>
        </w:tc>
        <w:tc>
          <w:tcPr>
            <w:tcW w:w="1985" w:type="dxa"/>
            <w:vAlign w:val="center"/>
          </w:tcPr>
          <w:p>
            <w:pPr>
              <w:snapToGrid w:val="0"/>
              <w:spacing w:line="360" w:lineRule="auto"/>
              <w:jc w:val="center"/>
              <w:rPr>
                <w:rFonts w:ascii="仿宋" w:hAnsi="仿宋" w:eastAsia="仿宋" w:cs="仿宋_GB2312"/>
                <w:sz w:val="24"/>
              </w:rPr>
            </w:pPr>
          </w:p>
        </w:tc>
        <w:tc>
          <w:tcPr>
            <w:tcW w:w="1559" w:type="dxa"/>
            <w:vAlign w:val="center"/>
          </w:tcPr>
          <w:p>
            <w:pPr>
              <w:jc w:val="center"/>
              <w:rPr>
                <w:rFonts w:ascii="仿宋" w:hAnsi="仿宋" w:eastAsia="仿宋" w:cs="楷体"/>
                <w:color w:val="000000"/>
                <w:sz w:val="24"/>
              </w:rPr>
            </w:pPr>
          </w:p>
        </w:tc>
        <w:tc>
          <w:tcPr>
            <w:tcW w:w="1559" w:type="dxa"/>
            <w:vAlign w:val="center"/>
          </w:tcPr>
          <w:p>
            <w:pPr>
              <w:jc w:val="center"/>
              <w:rPr>
                <w:rFonts w:ascii="仿宋" w:hAnsi="仿宋" w:eastAsia="仿宋" w:cs="楷体"/>
                <w:color w:val="000000"/>
                <w:sz w:val="24"/>
              </w:rPr>
            </w:pPr>
          </w:p>
        </w:tc>
        <w:tc>
          <w:tcPr>
            <w:tcW w:w="1985" w:type="dxa"/>
            <w:vAlign w:val="center"/>
          </w:tcPr>
          <w:p>
            <w:pPr>
              <w:snapToGrid w:val="0"/>
              <w:spacing w:line="360" w:lineRule="auto"/>
              <w:jc w:val="center"/>
              <w:rPr>
                <w:rFonts w:ascii="仿宋" w:hAnsi="仿宋" w:eastAsia="仿宋" w:cs="仿宋"/>
                <w:kern w:val="0"/>
                <w:sz w:val="24"/>
              </w:rPr>
            </w:pPr>
          </w:p>
        </w:tc>
        <w:tc>
          <w:tcPr>
            <w:tcW w:w="3257" w:type="dxa"/>
            <w:vAlign w:val="center"/>
          </w:tcPr>
          <w:p>
            <w:pPr>
              <w:spacing w:line="360" w:lineRule="auto"/>
              <w:jc w:val="center"/>
              <w:rPr>
                <w:rFonts w:ascii="仿宋" w:hAnsi="仿宋" w:eastAsia="仿宋" w:cs="仿宋_GB2312"/>
                <w:sz w:val="24"/>
              </w:rPr>
            </w:pPr>
          </w:p>
        </w:tc>
        <w:tc>
          <w:tcPr>
            <w:tcW w:w="1773" w:type="dxa"/>
            <w:vMerge w:val="continue"/>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68" w:type="dxa"/>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708" w:type="dxa"/>
            <w:vAlign w:val="center"/>
          </w:tcPr>
          <w:p>
            <w:pPr>
              <w:ind w:right="-220" w:rightChars="-105"/>
              <w:jc w:val="center"/>
              <w:rPr>
                <w:rFonts w:ascii="仿宋" w:hAnsi="仿宋" w:eastAsia="仿宋" w:cs="楷体"/>
                <w:color w:val="000000"/>
                <w:sz w:val="24"/>
              </w:rPr>
            </w:pPr>
          </w:p>
        </w:tc>
        <w:tc>
          <w:tcPr>
            <w:tcW w:w="1985" w:type="dxa"/>
            <w:vAlign w:val="center"/>
          </w:tcPr>
          <w:p>
            <w:pPr>
              <w:snapToGrid w:val="0"/>
              <w:spacing w:line="360" w:lineRule="auto"/>
              <w:jc w:val="center"/>
              <w:rPr>
                <w:rFonts w:ascii="仿宋" w:hAnsi="仿宋" w:eastAsia="仿宋" w:cs="仿宋_GB2312"/>
                <w:sz w:val="24"/>
              </w:rPr>
            </w:pPr>
          </w:p>
        </w:tc>
        <w:tc>
          <w:tcPr>
            <w:tcW w:w="1559" w:type="dxa"/>
            <w:vAlign w:val="center"/>
          </w:tcPr>
          <w:p>
            <w:pPr>
              <w:jc w:val="center"/>
              <w:rPr>
                <w:rFonts w:ascii="仿宋" w:hAnsi="仿宋" w:eastAsia="仿宋" w:cs="楷体"/>
                <w:color w:val="000000"/>
                <w:sz w:val="24"/>
              </w:rPr>
            </w:pPr>
          </w:p>
        </w:tc>
        <w:tc>
          <w:tcPr>
            <w:tcW w:w="1559" w:type="dxa"/>
            <w:vAlign w:val="center"/>
          </w:tcPr>
          <w:p>
            <w:pPr>
              <w:jc w:val="center"/>
              <w:rPr>
                <w:rFonts w:ascii="仿宋" w:hAnsi="仿宋" w:eastAsia="仿宋" w:cs="楷体"/>
                <w:color w:val="000000"/>
                <w:sz w:val="24"/>
              </w:rPr>
            </w:pPr>
          </w:p>
        </w:tc>
        <w:tc>
          <w:tcPr>
            <w:tcW w:w="1985" w:type="dxa"/>
            <w:vAlign w:val="center"/>
          </w:tcPr>
          <w:p>
            <w:pPr>
              <w:snapToGrid w:val="0"/>
              <w:spacing w:line="360" w:lineRule="auto"/>
              <w:jc w:val="center"/>
              <w:rPr>
                <w:rFonts w:ascii="仿宋" w:hAnsi="仿宋" w:eastAsia="仿宋" w:cs="仿宋"/>
                <w:kern w:val="0"/>
                <w:sz w:val="24"/>
              </w:rPr>
            </w:pPr>
          </w:p>
        </w:tc>
        <w:tc>
          <w:tcPr>
            <w:tcW w:w="3257" w:type="dxa"/>
            <w:vAlign w:val="center"/>
          </w:tcPr>
          <w:p>
            <w:pPr>
              <w:spacing w:line="360" w:lineRule="auto"/>
              <w:jc w:val="center"/>
              <w:rPr>
                <w:rFonts w:ascii="仿宋" w:hAnsi="仿宋" w:eastAsia="仿宋" w:cs="仿宋_GB2312"/>
                <w:sz w:val="24"/>
              </w:rPr>
            </w:pPr>
          </w:p>
        </w:tc>
        <w:tc>
          <w:tcPr>
            <w:tcW w:w="1773" w:type="dxa"/>
            <w:vMerge w:val="continue"/>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68" w:type="dxa"/>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708" w:type="dxa"/>
            <w:vAlign w:val="center"/>
          </w:tcPr>
          <w:p>
            <w:pPr>
              <w:spacing w:line="440" w:lineRule="exact"/>
              <w:jc w:val="center"/>
              <w:rPr>
                <w:rFonts w:ascii="仿宋" w:hAnsi="仿宋" w:eastAsia="仿宋" w:cs="楷体"/>
                <w:color w:val="000000"/>
                <w:sz w:val="24"/>
              </w:rPr>
            </w:pPr>
          </w:p>
        </w:tc>
        <w:tc>
          <w:tcPr>
            <w:tcW w:w="1985" w:type="dxa"/>
            <w:vAlign w:val="center"/>
          </w:tcPr>
          <w:p>
            <w:pPr>
              <w:snapToGrid w:val="0"/>
              <w:spacing w:line="360" w:lineRule="auto"/>
              <w:jc w:val="center"/>
              <w:rPr>
                <w:rFonts w:ascii="仿宋" w:hAnsi="仿宋" w:eastAsia="仿宋" w:cs="仿宋_GB2312"/>
                <w:sz w:val="24"/>
              </w:rPr>
            </w:pPr>
          </w:p>
        </w:tc>
        <w:tc>
          <w:tcPr>
            <w:tcW w:w="1559" w:type="dxa"/>
            <w:vAlign w:val="center"/>
          </w:tcPr>
          <w:p>
            <w:pPr>
              <w:jc w:val="center"/>
              <w:rPr>
                <w:rFonts w:ascii="仿宋" w:hAnsi="仿宋" w:eastAsia="仿宋" w:cs="楷体"/>
                <w:color w:val="000000"/>
                <w:sz w:val="24"/>
              </w:rPr>
            </w:pPr>
          </w:p>
        </w:tc>
        <w:tc>
          <w:tcPr>
            <w:tcW w:w="1559" w:type="dxa"/>
            <w:vAlign w:val="center"/>
          </w:tcPr>
          <w:p>
            <w:pPr>
              <w:jc w:val="center"/>
              <w:rPr>
                <w:rFonts w:ascii="仿宋" w:hAnsi="仿宋" w:eastAsia="仿宋" w:cs="楷体"/>
                <w:color w:val="000000"/>
                <w:sz w:val="24"/>
              </w:rPr>
            </w:pPr>
          </w:p>
        </w:tc>
        <w:tc>
          <w:tcPr>
            <w:tcW w:w="1985" w:type="dxa"/>
            <w:vAlign w:val="center"/>
          </w:tcPr>
          <w:p>
            <w:pPr>
              <w:snapToGrid w:val="0"/>
              <w:spacing w:line="360" w:lineRule="auto"/>
              <w:jc w:val="center"/>
              <w:rPr>
                <w:rFonts w:ascii="仿宋" w:hAnsi="仿宋" w:eastAsia="仿宋" w:cs="仿宋"/>
                <w:kern w:val="0"/>
                <w:sz w:val="24"/>
              </w:rPr>
            </w:pPr>
          </w:p>
        </w:tc>
        <w:tc>
          <w:tcPr>
            <w:tcW w:w="3257" w:type="dxa"/>
            <w:vAlign w:val="center"/>
          </w:tcPr>
          <w:p>
            <w:pPr>
              <w:spacing w:line="360" w:lineRule="auto"/>
              <w:jc w:val="center"/>
              <w:rPr>
                <w:rFonts w:ascii="仿宋" w:hAnsi="仿宋" w:eastAsia="仿宋" w:cs="仿宋_GB2312"/>
                <w:sz w:val="24"/>
              </w:rPr>
            </w:pPr>
          </w:p>
        </w:tc>
        <w:tc>
          <w:tcPr>
            <w:tcW w:w="1773" w:type="dxa"/>
            <w:vMerge w:val="continue"/>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68" w:type="dxa"/>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8796" w:type="dxa"/>
            <w:gridSpan w:val="5"/>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总报价</w:t>
            </w:r>
          </w:p>
        </w:tc>
        <w:tc>
          <w:tcPr>
            <w:tcW w:w="3257" w:type="dxa"/>
            <w:vAlign w:val="center"/>
          </w:tcPr>
          <w:p>
            <w:pPr>
              <w:spacing w:line="360" w:lineRule="auto"/>
              <w:jc w:val="center"/>
              <w:rPr>
                <w:rFonts w:ascii="仿宋" w:hAnsi="仿宋" w:eastAsia="仿宋" w:cs="仿宋_GB2312"/>
                <w:sz w:val="24"/>
              </w:rPr>
            </w:pPr>
            <w:r>
              <w:rPr>
                <w:rFonts w:ascii="仿宋" w:hAnsi="仿宋" w:eastAsia="仿宋" w:cs="仿宋_GB2312"/>
                <w:sz w:val="24"/>
              </w:rPr>
              <w:t>小写：</w:t>
            </w:r>
            <w:r>
              <w:rPr>
                <w:rFonts w:hint="eastAsia" w:ascii="仿宋" w:hAnsi="仿宋" w:eastAsia="仿宋" w:cs="仿宋_GB2312"/>
                <w:sz w:val="24"/>
              </w:rPr>
              <w:t xml:space="preserve">   元（大写：    元）</w:t>
            </w:r>
          </w:p>
        </w:tc>
        <w:tc>
          <w:tcPr>
            <w:tcW w:w="1773" w:type="dxa"/>
            <w:vMerge w:val="continue"/>
            <w:vAlign w:val="center"/>
          </w:tcPr>
          <w:p>
            <w:pPr>
              <w:spacing w:line="360" w:lineRule="auto"/>
              <w:jc w:val="center"/>
              <w:rPr>
                <w:rFonts w:ascii="仿宋" w:hAnsi="仿宋" w:eastAsia="仿宋" w:cs="仿宋_GB2312"/>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r>
        <w:rPr>
          <w:rFonts w:hint="eastAsia" w:ascii="仿宋" w:hAnsi="仿宋" w:eastAsia="仿宋" w:cs="仿宋"/>
          <w:sz w:val="24"/>
        </w:rPr>
        <w:t>：</w:t>
      </w:r>
      <w:r>
        <w:rPr>
          <w:rFonts w:hint="eastAsia" w:ascii="仿宋" w:hAnsi="仿宋" w:eastAsia="仿宋" w:cs="仿宋"/>
          <w:b/>
          <w:sz w:val="24"/>
        </w:rPr>
        <w:t>本项目</w:t>
      </w:r>
      <w:r>
        <w:rPr>
          <w:rFonts w:hint="eastAsia" w:ascii="仿宋" w:hAnsi="仿宋" w:eastAsia="仿宋" w:cs="仿宋"/>
          <w:b/>
          <w:bCs/>
          <w:sz w:val="24"/>
        </w:rPr>
        <w:t>按合同单价及实际发生数量结算支付且不超过合同总价</w:t>
      </w:r>
      <w:r>
        <w:rPr>
          <w:rFonts w:hint="eastAsia" w:ascii="仿宋" w:hAnsi="仿宋" w:eastAsia="仿宋" w:cs="仿宋"/>
          <w:b/>
          <w:sz w:val="24"/>
        </w:rPr>
        <w:t>。</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1、供应商需按本表格式填写，不得自行更改。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、特别提示：采购机构将对项目名称和项目编号，成交供应商名称、地址和成交金额，主要成交标的的名称、规格型号、数量、单价、服务要求等予以公示。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采购文件中列明的可享受中小企业扶持政策的供应商，请填写中小企业声明函。注：供应商提供的中小企业声明函内容不实的，属于提供虚假材料谋取成交、成交，依照《中华人民共和国政府采购法》等国家有关规定追究相应责任。</w:t>
      </w:r>
    </w:p>
    <w:p>
      <w:pPr>
        <w:rPr>
          <w:rFonts w:ascii="仿宋" w:hAnsi="仿宋" w:eastAsia="仿宋" w:cs="仿宋"/>
          <w:b/>
          <w:kern w:val="0"/>
          <w:sz w:val="24"/>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sectPr>
          <w:pgSz w:w="16838" w:h="11906" w:orient="landscape"/>
          <w:pgMar w:top="1418" w:right="1247" w:bottom="1418" w:left="1276" w:header="851" w:footer="992" w:gutter="0"/>
          <w:cols w:space="720" w:num="1"/>
          <w:titlePg/>
          <w:docGrid w:linePitch="312" w:charSpace="0"/>
        </w:sectPr>
      </w:pPr>
    </w:p>
    <w:p>
      <w:pPr>
        <w:pStyle w:val="690"/>
        <w:snapToGrid w:val="0"/>
        <w:spacing w:before="120" w:after="120"/>
        <w:ind w:firstLine="640"/>
        <w:jc w:val="center"/>
        <w:rPr>
          <w:rFonts w:ascii="仿宋" w:hAnsi="仿宋" w:eastAsia="仿宋" w:cs="仿宋"/>
          <w:kern w:val="2"/>
          <w:sz w:val="32"/>
          <w:szCs w:val="32"/>
        </w:rPr>
      </w:pPr>
      <w:r>
        <w:rPr>
          <w:rFonts w:hint="eastAsia" w:ascii="仿宋" w:hAnsi="仿宋" w:eastAsia="仿宋" w:cs="仿宋"/>
          <w:kern w:val="2"/>
          <w:sz w:val="32"/>
          <w:szCs w:val="32"/>
        </w:rPr>
        <w:t>二、中小企业声明函</w:t>
      </w:r>
    </w:p>
    <w:p>
      <w:pPr>
        <w:pStyle w:val="690"/>
        <w:snapToGrid w:val="0"/>
        <w:spacing w:before="120" w:after="120"/>
        <w:ind w:firstLine="640"/>
        <w:jc w:val="center"/>
        <w:rPr>
          <w:rFonts w:ascii="仿宋" w:hAnsi="仿宋" w:eastAsia="仿宋" w:cs="仿宋"/>
          <w:kern w:val="2"/>
          <w:sz w:val="32"/>
          <w:szCs w:val="32"/>
        </w:rPr>
      </w:pPr>
      <w:r>
        <w:rPr>
          <w:rFonts w:hint="eastAsia" w:ascii="仿宋" w:hAnsi="仿宋" w:eastAsia="仿宋" w:cs="仿宋"/>
          <w:kern w:val="2"/>
          <w:sz w:val="32"/>
          <w:szCs w:val="32"/>
        </w:rPr>
        <w:t>（如有格式见附件5）</w:t>
      </w: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5"/>
        <w:numPr>
          <w:ilvl w:val="255"/>
          <w:numId w:val="0"/>
        </w:numPr>
        <w:ind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pPr>
        <w:pStyle w:val="5"/>
        <w:numPr>
          <w:ilvl w:val="255"/>
          <w:numId w:val="0"/>
        </w:numPr>
        <w:ind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559" w:name="_Toc465665161"/>
      <w:r>
        <w:rPr>
          <w:rFonts w:hint="eastAsia" w:ascii="仿宋" w:hAnsi="仿宋" w:eastAsia="仿宋" w:cs="仿宋"/>
        </w:rPr>
        <w:t>附件</w:t>
      </w:r>
      <w:bookmarkEnd w:id="559"/>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60" w:name="OLE_LINK13"/>
      <w:bookmarkStart w:id="561" w:name="OLE_LINK14"/>
      <w:r>
        <w:rPr>
          <w:rFonts w:hint="eastAsia" w:ascii="仿宋" w:hAnsi="仿宋" w:eastAsia="仿宋" w:cs="仿宋"/>
          <w:b/>
          <w:spacing w:val="6"/>
          <w:sz w:val="32"/>
          <w:szCs w:val="32"/>
        </w:rPr>
        <w:t>残疾人福利性单位声明函</w:t>
      </w:r>
    </w:p>
    <w:bookmarkEnd w:id="560"/>
    <w:bookmarkEnd w:id="561"/>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供应商名称（电子签名）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napToGrid w:val="0"/>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napToGrid w:val="0"/>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br w:type="page"/>
      </w:r>
    </w:p>
    <w:p>
      <w:pPr>
        <w:pStyle w:val="2"/>
        <w:rPr>
          <w:rFonts w:ascii="仿宋" w:hAnsi="仿宋" w:eastAsia="仿宋" w:cs="仿宋"/>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pPr>
        <w:spacing w:line="360" w:lineRule="auto"/>
        <w:rPr>
          <w:rFonts w:ascii="仿宋" w:hAnsi="仿宋" w:eastAsia="仿宋" w:cs="仿宋"/>
          <w:sz w:val="24"/>
          <w:u w:val="dotted"/>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pStyle w:val="2"/>
        <w:rPr>
          <w:rFonts w:ascii="仿宋" w:hAnsi="仿宋" w:eastAsia="仿宋" w:cs="仿宋"/>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pStyle w:val="81"/>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供应商（法定名称章）：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供应商法定名称章（印模）供应商“XX专用章”（印模）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rPr>
          <w:rFonts w:ascii="仿宋" w:hAnsi="仿宋" w:eastAsia="仿宋" w:cs="仿宋"/>
          <w:sz w:val="24"/>
        </w:rPr>
      </w:pPr>
      <w:r>
        <w:rPr>
          <w:rFonts w:hint="eastAsia" w:ascii="仿宋" w:hAnsi="仿宋" w:eastAsia="仿宋" w:cs="仿宋"/>
          <w:sz w:val="24"/>
        </w:rPr>
        <w:br w:type="page"/>
      </w:r>
    </w:p>
    <w:p>
      <w:pPr>
        <w:pStyle w:val="79"/>
        <w:ind w:firstLine="460"/>
      </w:pPr>
    </w:p>
    <w:p>
      <w:pPr>
        <w:pStyle w:val="2"/>
        <w:rPr>
          <w:rFonts w:ascii="仿宋" w:hAnsi="仿宋" w:eastAsia="仿宋" w:cs="仿宋"/>
          <w:b/>
          <w:bCs/>
          <w:sz w:val="32"/>
          <w:szCs w:val="32"/>
          <w:lang w:val="en-US"/>
        </w:rPr>
      </w:pPr>
      <w:r>
        <w:rPr>
          <w:rFonts w:hint="eastAsia" w:ascii="仿宋" w:hAnsi="仿宋" w:eastAsia="仿宋" w:cs="仿宋"/>
          <w:b/>
          <w:bCs/>
          <w:sz w:val="32"/>
          <w:szCs w:val="32"/>
          <w:lang w:val="en-US"/>
        </w:rPr>
        <w:t>附件6（开标记录开启后，请将此附件填写完整发送至邮箱：617044846@qq.com）：</w:t>
      </w:r>
    </w:p>
    <w:p>
      <w:pPr>
        <w:pStyle w:val="2"/>
        <w:jc w:val="center"/>
        <w:rPr>
          <w:rFonts w:ascii="仿宋" w:hAnsi="仿宋" w:eastAsia="仿宋" w:cs="仿宋"/>
          <w:b/>
          <w:bCs/>
          <w:sz w:val="32"/>
          <w:szCs w:val="32"/>
        </w:rPr>
      </w:pPr>
      <w:r>
        <w:rPr>
          <w:rFonts w:hint="eastAsia" w:ascii="仿宋" w:hAnsi="仿宋" w:eastAsia="仿宋" w:cs="仿宋"/>
          <w:b/>
          <w:bCs/>
          <w:sz w:val="32"/>
          <w:szCs w:val="32"/>
        </w:rPr>
        <w:t>政府采购活动现场确认声明书</w:t>
      </w:r>
    </w:p>
    <w:p>
      <w:pPr>
        <w:pStyle w:val="2"/>
        <w:spacing w:line="360" w:lineRule="exact"/>
        <w:rPr>
          <w:rFonts w:ascii="仿宋" w:hAnsi="仿宋" w:eastAsia="仿宋" w:cs="仿宋"/>
          <w:szCs w:val="24"/>
        </w:rPr>
      </w:pPr>
      <w:r>
        <w:rPr>
          <w:rFonts w:hint="eastAsia" w:ascii="仿宋" w:hAnsi="仿宋" w:eastAsia="仿宋" w:cs="仿宋"/>
          <w:szCs w:val="24"/>
        </w:rPr>
        <w:t>杭州建设工程造价咨询有限公司：</w:t>
      </w:r>
    </w:p>
    <w:p>
      <w:pPr>
        <w:pStyle w:val="2"/>
        <w:spacing w:line="360" w:lineRule="exact"/>
        <w:ind w:firstLine="480" w:firstLineChars="200"/>
        <w:rPr>
          <w:rFonts w:ascii="仿宋" w:hAnsi="仿宋" w:eastAsia="仿宋" w:cs="仿宋"/>
          <w:szCs w:val="24"/>
        </w:rPr>
      </w:pPr>
      <w:r>
        <w:rPr>
          <w:rFonts w:hint="eastAsia" w:ascii="仿宋" w:hAnsi="仿宋" w:eastAsia="仿宋" w:cs="仿宋"/>
          <w:szCs w:val="24"/>
        </w:rPr>
        <w:t xml:space="preserve">本人 ____________（授权代表姓名），经由______________________________（单位） ____________ （法定代表人姓名）合法授权参加项目名称：（编号：）政府采购活动。经与本单位法人代表（负责人）联系确认，现就有关公平竞争事项郑重声明如下: </w:t>
      </w:r>
    </w:p>
    <w:p>
      <w:pPr>
        <w:pStyle w:val="2"/>
        <w:spacing w:line="360" w:lineRule="exact"/>
        <w:rPr>
          <w:rFonts w:ascii="仿宋" w:hAnsi="仿宋" w:eastAsia="仿宋" w:cs="仿宋"/>
          <w:szCs w:val="24"/>
        </w:rPr>
      </w:pPr>
      <w:r>
        <w:rPr>
          <w:rFonts w:hint="eastAsia" w:ascii="仿宋" w:hAnsi="仿宋" w:eastAsia="仿宋" w:cs="仿宋"/>
          <w:szCs w:val="24"/>
        </w:rPr>
        <w:t>一、本单位与采购人之间</w:t>
      </w:r>
      <w:r>
        <w:rPr>
          <w:rFonts w:hint="eastAsia" w:ascii="仿宋" w:hAnsi="仿宋" w:eastAsia="仿宋" w:cs="仿宋"/>
          <w:szCs w:val="24"/>
        </w:rPr>
        <w:sym w:font="Wingdings 2" w:char="00A3"/>
      </w:r>
      <w:r>
        <w:rPr>
          <w:rFonts w:hint="eastAsia" w:ascii="仿宋" w:hAnsi="仿宋" w:eastAsia="仿宋" w:cs="仿宋"/>
          <w:szCs w:val="24"/>
        </w:rPr>
        <w:t>不存在利害关系</w:t>
      </w:r>
      <w:r>
        <w:rPr>
          <w:rFonts w:hint="eastAsia" w:ascii="仿宋" w:hAnsi="仿宋" w:eastAsia="仿宋" w:cs="仿宋"/>
          <w:szCs w:val="24"/>
        </w:rPr>
        <w:sym w:font="Wingdings 2" w:char="00A3"/>
      </w:r>
      <w:r>
        <w:rPr>
          <w:rFonts w:hint="eastAsia" w:ascii="仿宋" w:hAnsi="仿宋" w:eastAsia="仿宋" w:cs="仿宋"/>
          <w:szCs w:val="24"/>
        </w:rPr>
        <w:t>存在下列利害关系:</w:t>
      </w:r>
    </w:p>
    <w:p>
      <w:pPr>
        <w:pStyle w:val="2"/>
        <w:numPr>
          <w:ilvl w:val="0"/>
          <w:numId w:val="6"/>
        </w:numPr>
        <w:spacing w:line="360" w:lineRule="exact"/>
        <w:rPr>
          <w:rFonts w:ascii="仿宋" w:hAnsi="仿宋" w:eastAsia="仿宋" w:cs="仿宋"/>
          <w:szCs w:val="24"/>
        </w:rPr>
      </w:pPr>
      <w:r>
        <w:rPr>
          <w:rFonts w:hint="eastAsia" w:ascii="仿宋" w:hAnsi="仿宋" w:eastAsia="仿宋" w:cs="仿宋"/>
          <w:szCs w:val="24"/>
        </w:rPr>
        <w:t>投资关系 B．行政隶属关系 C．业务指导关系</w:t>
      </w:r>
    </w:p>
    <w:p>
      <w:pPr>
        <w:pStyle w:val="2"/>
        <w:spacing w:line="360" w:lineRule="exact"/>
        <w:ind w:left="120"/>
        <w:rPr>
          <w:rFonts w:ascii="仿宋" w:hAnsi="仿宋" w:eastAsia="仿宋" w:cs="仿宋"/>
          <w:szCs w:val="24"/>
        </w:rPr>
      </w:pPr>
      <w:r>
        <w:rPr>
          <w:rFonts w:hint="eastAsia" w:ascii="仿宋" w:hAnsi="仿宋" w:eastAsia="仿宋" w:cs="仿宋"/>
          <w:szCs w:val="24"/>
        </w:rPr>
        <w:t>D．其他可能影响采购公正的利害关系（如有，请如实说明）。</w:t>
      </w:r>
    </w:p>
    <w:p>
      <w:pPr>
        <w:pStyle w:val="2"/>
        <w:spacing w:line="360" w:lineRule="exact"/>
        <w:rPr>
          <w:rFonts w:ascii="仿宋" w:hAnsi="仿宋" w:eastAsia="仿宋" w:cs="仿宋"/>
          <w:szCs w:val="24"/>
        </w:rPr>
      </w:pPr>
      <w:r>
        <w:rPr>
          <w:rFonts w:hint="eastAsia" w:ascii="仿宋" w:hAnsi="仿宋" w:eastAsia="仿宋" w:cs="仿宋"/>
          <w:szCs w:val="24"/>
        </w:rPr>
        <w:t>二、现己清楚知道参加本项目采购活动的其他所有供应商名称，本单位</w:t>
      </w:r>
    </w:p>
    <w:p>
      <w:pPr>
        <w:pStyle w:val="2"/>
        <w:spacing w:line="360" w:lineRule="exact"/>
        <w:ind w:firstLine="480" w:firstLineChars="200"/>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与其他所有供应商之间均不存在利害关系</w:t>
      </w:r>
    </w:p>
    <w:p>
      <w:pPr>
        <w:pStyle w:val="2"/>
        <w:spacing w:line="360" w:lineRule="exact"/>
        <w:ind w:firstLine="480" w:firstLineChars="200"/>
        <w:rPr>
          <w:rFonts w:ascii="仿宋" w:hAnsi="仿宋" w:eastAsia="仿宋" w:cs="仿宋"/>
          <w:szCs w:val="24"/>
        </w:rPr>
      </w:pPr>
      <w:r>
        <w:rPr>
          <w:rFonts w:hint="eastAsia" w:ascii="仿宋" w:hAnsi="仿宋" w:eastAsia="仿宋" w:cs="仿宋"/>
          <w:szCs w:val="24"/>
        </w:rPr>
        <w:sym w:font="Wingdings 2" w:char="00A3"/>
      </w:r>
      <w:r>
        <w:rPr>
          <w:rFonts w:hint="eastAsia" w:ascii="仿宋" w:hAnsi="仿宋" w:eastAsia="仿宋" w:cs="仿宋"/>
          <w:szCs w:val="24"/>
        </w:rPr>
        <w:t xml:space="preserve">与______________（供应商名称）之间存在下列利害关系: </w:t>
      </w:r>
    </w:p>
    <w:p>
      <w:pPr>
        <w:pStyle w:val="2"/>
        <w:spacing w:line="360" w:lineRule="exact"/>
        <w:rPr>
          <w:rFonts w:ascii="仿宋" w:hAnsi="仿宋" w:eastAsia="仿宋" w:cs="仿宋"/>
          <w:szCs w:val="24"/>
        </w:rPr>
      </w:pPr>
      <w:r>
        <w:rPr>
          <w:rFonts w:hint="eastAsia" w:ascii="仿宋" w:hAnsi="仿宋" w:eastAsia="仿宋" w:cs="仿宋"/>
          <w:szCs w:val="24"/>
        </w:rPr>
        <w:t xml:space="preserve">A．法定代表人或负责人或实际控制人是同一人 </w:t>
      </w:r>
    </w:p>
    <w:p>
      <w:pPr>
        <w:pStyle w:val="2"/>
        <w:spacing w:line="360" w:lineRule="exact"/>
        <w:rPr>
          <w:rFonts w:ascii="仿宋" w:hAnsi="仿宋" w:eastAsia="仿宋" w:cs="仿宋"/>
          <w:szCs w:val="24"/>
        </w:rPr>
      </w:pPr>
      <w:r>
        <w:rPr>
          <w:rFonts w:hint="eastAsia" w:ascii="仿宋" w:hAnsi="仿宋" w:eastAsia="仿宋" w:cs="仿宋"/>
          <w:szCs w:val="24"/>
        </w:rPr>
        <w:t xml:space="preserve">B．法定代表人或负责人或实际控制人是夫妻关系 </w:t>
      </w:r>
    </w:p>
    <w:p>
      <w:pPr>
        <w:pStyle w:val="2"/>
        <w:spacing w:line="360" w:lineRule="exact"/>
        <w:rPr>
          <w:rFonts w:ascii="仿宋" w:hAnsi="仿宋" w:eastAsia="仿宋" w:cs="仿宋"/>
          <w:szCs w:val="24"/>
        </w:rPr>
      </w:pPr>
      <w:r>
        <w:rPr>
          <w:rFonts w:hint="eastAsia" w:ascii="仿宋" w:hAnsi="仿宋" w:eastAsia="仿宋" w:cs="仿宋"/>
          <w:szCs w:val="24"/>
        </w:rPr>
        <w:t xml:space="preserve">C．法定代表人或负责人或实际控制人是直系血亲关系 </w:t>
      </w:r>
    </w:p>
    <w:p>
      <w:pPr>
        <w:pStyle w:val="2"/>
        <w:spacing w:line="360" w:lineRule="exact"/>
        <w:rPr>
          <w:rFonts w:ascii="仿宋" w:hAnsi="仿宋" w:eastAsia="仿宋" w:cs="仿宋"/>
          <w:szCs w:val="24"/>
        </w:rPr>
      </w:pPr>
      <w:r>
        <w:rPr>
          <w:rFonts w:hint="eastAsia" w:ascii="仿宋" w:hAnsi="仿宋" w:eastAsia="仿宋" w:cs="仿宋"/>
          <w:szCs w:val="24"/>
        </w:rPr>
        <w:t xml:space="preserve">D．法定代表人或负责人或实际控制人存在三代以内旁系血亲关系 </w:t>
      </w:r>
    </w:p>
    <w:p>
      <w:pPr>
        <w:pStyle w:val="2"/>
        <w:spacing w:line="360" w:lineRule="exact"/>
        <w:rPr>
          <w:rFonts w:ascii="仿宋" w:hAnsi="仿宋" w:eastAsia="仿宋" w:cs="仿宋"/>
          <w:szCs w:val="24"/>
        </w:rPr>
      </w:pPr>
      <w:r>
        <w:rPr>
          <w:rFonts w:hint="eastAsia" w:ascii="仿宋" w:hAnsi="仿宋" w:eastAsia="仿宋" w:cs="仿宋"/>
          <w:szCs w:val="24"/>
        </w:rPr>
        <w:t xml:space="preserve">E．法定代表人或负责人或实际控制人存在近姻亲关系 </w:t>
      </w:r>
    </w:p>
    <w:p>
      <w:pPr>
        <w:pStyle w:val="2"/>
        <w:spacing w:line="360" w:lineRule="exact"/>
        <w:rPr>
          <w:rFonts w:ascii="仿宋" w:hAnsi="仿宋" w:eastAsia="仿宋" w:cs="仿宋"/>
          <w:szCs w:val="24"/>
        </w:rPr>
      </w:pPr>
      <w:r>
        <w:rPr>
          <w:rFonts w:hint="eastAsia" w:ascii="仿宋" w:hAnsi="仿宋" w:eastAsia="仿宋" w:cs="仿宋"/>
          <w:szCs w:val="24"/>
        </w:rPr>
        <w:t xml:space="preserve">F．法定代表人或负责人或实际控制人存在股份控制或实际控制关系 </w:t>
      </w:r>
    </w:p>
    <w:p>
      <w:pPr>
        <w:pStyle w:val="2"/>
        <w:spacing w:line="360" w:lineRule="exact"/>
        <w:rPr>
          <w:rFonts w:ascii="仿宋" w:hAnsi="仿宋" w:eastAsia="仿宋" w:cs="仿宋"/>
          <w:szCs w:val="24"/>
        </w:rPr>
      </w:pPr>
      <w:r>
        <w:rPr>
          <w:rFonts w:hint="eastAsia" w:ascii="仿宋" w:hAnsi="仿宋" w:eastAsia="仿宋" w:cs="仿宋"/>
          <w:szCs w:val="24"/>
        </w:rPr>
        <w:t xml:space="preserve">G．存在共同直接或间接投资设立子公司、联营企业和合营企业情况 </w:t>
      </w:r>
    </w:p>
    <w:p>
      <w:pPr>
        <w:pStyle w:val="2"/>
        <w:spacing w:line="360" w:lineRule="exact"/>
        <w:rPr>
          <w:rFonts w:ascii="仿宋" w:hAnsi="仿宋" w:eastAsia="仿宋" w:cs="仿宋"/>
          <w:szCs w:val="24"/>
        </w:rPr>
      </w:pPr>
      <w:r>
        <w:rPr>
          <w:rFonts w:hint="eastAsia" w:ascii="仿宋" w:hAnsi="仿宋" w:eastAsia="仿宋" w:cs="仿宋"/>
          <w:szCs w:val="24"/>
        </w:rPr>
        <w:t xml:space="preserve">H．存在分级代理或代销关系、同一生产制造商关系、管理关系、重要业务（占主营业务收入 50 ％以上）或重要财务 往来关系（如融资）等其他实质性控制关系 </w:t>
      </w:r>
    </w:p>
    <w:p>
      <w:pPr>
        <w:pStyle w:val="2"/>
        <w:spacing w:line="360" w:lineRule="exact"/>
        <w:rPr>
          <w:rFonts w:ascii="仿宋" w:hAnsi="仿宋" w:eastAsia="仿宋" w:cs="仿宋"/>
          <w:szCs w:val="24"/>
        </w:rPr>
      </w:pPr>
      <w:r>
        <w:rPr>
          <w:rFonts w:hint="eastAsia" w:ascii="仿宋" w:hAnsi="仿宋" w:eastAsia="仿宋" w:cs="仿宋"/>
          <w:szCs w:val="24"/>
        </w:rPr>
        <w:t xml:space="preserve">I．其他利害关系情况 ________________________________________。 </w:t>
      </w:r>
    </w:p>
    <w:p>
      <w:pPr>
        <w:pStyle w:val="2"/>
        <w:spacing w:line="360" w:lineRule="exact"/>
        <w:rPr>
          <w:rFonts w:ascii="仿宋" w:hAnsi="仿宋" w:eastAsia="仿宋" w:cs="仿宋"/>
          <w:szCs w:val="24"/>
        </w:rPr>
      </w:pPr>
      <w:r>
        <w:rPr>
          <w:rFonts w:hint="eastAsia" w:ascii="仿宋" w:hAnsi="仿宋" w:eastAsia="仿宋" w:cs="仿宋"/>
          <w:szCs w:val="24"/>
        </w:rPr>
        <w:t xml:space="preserve">三、现己清楚知道并严格遵守政府采购法律法规。 </w:t>
      </w:r>
    </w:p>
    <w:p>
      <w:pPr>
        <w:pStyle w:val="2"/>
        <w:spacing w:line="360" w:lineRule="exact"/>
        <w:rPr>
          <w:rFonts w:ascii="仿宋" w:hAnsi="仿宋" w:eastAsia="仿宋" w:cs="仿宋"/>
          <w:szCs w:val="24"/>
        </w:rPr>
      </w:pPr>
      <w:r>
        <w:rPr>
          <w:rFonts w:hint="eastAsia" w:ascii="仿宋" w:hAnsi="仿宋" w:eastAsia="仿宋" w:cs="仿宋"/>
          <w:szCs w:val="24"/>
        </w:rPr>
        <w:t xml:space="preserve">四、我发现 ____________________供应商之间存在或可能存在上述第二条第 ____________项利害关系。 </w:t>
      </w:r>
    </w:p>
    <w:p>
      <w:pPr>
        <w:pStyle w:val="2"/>
        <w:spacing w:line="360" w:lineRule="exact"/>
        <w:ind w:firstLine="5760" w:firstLineChars="2400"/>
        <w:rPr>
          <w:rFonts w:ascii="仿宋" w:hAnsi="仿宋" w:eastAsia="仿宋" w:cs="仿宋"/>
          <w:szCs w:val="24"/>
        </w:rPr>
      </w:pPr>
      <w:r>
        <w:rPr>
          <w:rFonts w:hint="eastAsia" w:ascii="仿宋" w:hAnsi="仿宋" w:eastAsia="仿宋" w:cs="仿宋"/>
          <w:szCs w:val="24"/>
        </w:rPr>
        <w:t>供应商</w:t>
      </w:r>
      <w:r>
        <w:rPr>
          <w:rFonts w:hint="eastAsia" w:ascii="仿宋" w:hAnsi="仿宋" w:eastAsia="仿宋" w:cs="仿宋"/>
          <w:kern w:val="0"/>
        </w:rPr>
        <w:t>名称（签章）：</w:t>
      </w:r>
    </w:p>
    <w:p>
      <w:pPr>
        <w:pStyle w:val="2"/>
        <w:spacing w:line="360" w:lineRule="exact"/>
        <w:ind w:firstLine="5760" w:firstLineChars="2400"/>
        <w:rPr>
          <w:rFonts w:ascii="仿宋" w:hAnsi="仿宋" w:eastAsia="仿宋" w:cs="仿宋"/>
          <w:szCs w:val="24"/>
        </w:rPr>
      </w:pPr>
      <w:r>
        <w:rPr>
          <w:rFonts w:hint="eastAsia" w:ascii="仿宋" w:hAnsi="仿宋" w:eastAsia="仿宋" w:cs="仿宋"/>
          <w:szCs w:val="24"/>
        </w:rPr>
        <w:t>供应商代表</w:t>
      </w:r>
      <w:r>
        <w:rPr>
          <w:rFonts w:hint="eastAsia" w:ascii="仿宋" w:hAnsi="仿宋" w:eastAsia="仿宋" w:cs="仿宋"/>
          <w:szCs w:val="24"/>
          <w:lang w:val="en-US"/>
        </w:rPr>
        <w:t>(</w:t>
      </w:r>
      <w:r>
        <w:rPr>
          <w:rFonts w:hint="eastAsia" w:ascii="仿宋" w:hAnsi="仿宋" w:eastAsia="仿宋" w:cs="仿宋"/>
          <w:szCs w:val="24"/>
        </w:rPr>
        <w:t>签名</w:t>
      </w:r>
      <w:r>
        <w:rPr>
          <w:rFonts w:hint="eastAsia" w:ascii="仿宋" w:hAnsi="仿宋" w:eastAsia="仿宋" w:cs="仿宋"/>
          <w:szCs w:val="24"/>
          <w:lang w:val="en-US"/>
        </w:rPr>
        <w:t>)</w:t>
      </w:r>
      <w:r>
        <w:rPr>
          <w:rFonts w:hint="eastAsia" w:ascii="仿宋" w:hAnsi="仿宋" w:eastAsia="仿宋" w:cs="仿宋"/>
          <w:szCs w:val="24"/>
        </w:rPr>
        <w:t xml:space="preserve">: </w:t>
      </w:r>
    </w:p>
    <w:p>
      <w:pPr>
        <w:pStyle w:val="2"/>
        <w:spacing w:line="360" w:lineRule="exact"/>
        <w:ind w:firstLine="5760" w:firstLineChars="2400"/>
        <w:rPr>
          <w:rFonts w:ascii="仿宋" w:hAnsi="仿宋" w:eastAsia="仿宋" w:cs="仿宋"/>
          <w:b/>
          <w:spacing w:val="6"/>
          <w:sz w:val="32"/>
          <w:szCs w:val="32"/>
        </w:rPr>
      </w:pPr>
      <w:r>
        <w:rPr>
          <w:rFonts w:hint="eastAsia" w:ascii="仿宋" w:hAnsi="仿宋" w:eastAsia="仿宋" w:cs="仿宋"/>
          <w:szCs w:val="24"/>
        </w:rPr>
        <w:t>年月日</w:t>
      </w:r>
    </w:p>
    <w:p>
      <w:pPr>
        <w:pStyle w:val="4"/>
      </w:pPr>
    </w:p>
    <w:p>
      <w:pPr>
        <w:spacing w:line="360" w:lineRule="auto"/>
        <w:rPr>
          <w:rFonts w:ascii="仿宋" w:hAnsi="仿宋" w:eastAsia="仿宋" w:cs="仿宋"/>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62" w:name="_Toc36110187"/>
    <w:bookmarkStart w:id="563" w:name="_Toc131845147"/>
    <w:bookmarkStart w:id="564" w:name="_Toc164085800"/>
    <w:bookmarkStart w:id="565" w:name="_Toc91899912"/>
    <w:r>
      <w:rPr>
        <w:rFonts w:hint="eastAsia" w:ascii="仿宋_GB2312" w:eastAsia="仿宋_GB2312"/>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p>
  <w:p>
    <w:pPr>
      <w:pStyle w:val="4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rPr>
        <w:rFonts w:ascii="仿宋_GB2312"/>
        <w:b/>
        <w:i/>
        <w:u w:val="single"/>
      </w:rPr>
    </w:pPr>
    <w:r>
      <w:t></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D6ED5"/>
    <w:multiLevelType w:val="singleLevel"/>
    <w:tmpl w:val="8B2D6ED5"/>
    <w:lvl w:ilvl="0" w:tentative="0">
      <w:start w:val="1"/>
      <w:numFmt w:val="decimal"/>
      <w:lvlText w:val="%1."/>
      <w:lvlJc w:val="left"/>
      <w:pPr>
        <w:tabs>
          <w:tab w:val="left" w:pos="312"/>
        </w:tabs>
      </w:pPr>
    </w:lvl>
  </w:abstractNum>
  <w:abstractNum w:abstractNumId="1">
    <w:nsid w:val="A9CE1BB5"/>
    <w:multiLevelType w:val="singleLevel"/>
    <w:tmpl w:val="A9CE1BB5"/>
    <w:lvl w:ilvl="0" w:tentative="0">
      <w:start w:val="26"/>
      <w:numFmt w:val="decimal"/>
      <w:suff w:val="space"/>
      <w:lvlText w:val="%1."/>
      <w:lvlJc w:val="left"/>
    </w:lvl>
  </w:abstractNum>
  <w:abstractNum w:abstractNumId="2">
    <w:nsid w:val="BACEC1E5"/>
    <w:multiLevelType w:val="singleLevel"/>
    <w:tmpl w:val="BACEC1E5"/>
    <w:lvl w:ilvl="0" w:tentative="0">
      <w:start w:val="6"/>
      <w:numFmt w:val="chineseCounting"/>
      <w:suff w:val="nothing"/>
      <w:lvlText w:val="%1、"/>
      <w:lvlJc w:val="left"/>
      <w:rPr>
        <w:rFonts w:hint="eastAsia"/>
      </w:rPr>
    </w:lvl>
  </w:abstractNum>
  <w:abstractNum w:abstractNumId="3">
    <w:nsid w:val="BE78F817"/>
    <w:multiLevelType w:val="singleLevel"/>
    <w:tmpl w:val="BE78F817"/>
    <w:lvl w:ilvl="0" w:tentative="0">
      <w:start w:val="4"/>
      <w:numFmt w:val="chineseCounting"/>
      <w:suff w:val="space"/>
      <w:lvlText w:val="第%1部分"/>
      <w:lvlJc w:val="left"/>
      <w:rPr>
        <w:rFonts w:hint="eastAsia"/>
      </w:rPr>
    </w:lvl>
  </w:abstractNum>
  <w:abstractNum w:abstractNumId="4">
    <w:nsid w:val="0A060BBE"/>
    <w:multiLevelType w:val="singleLevel"/>
    <w:tmpl w:val="0A060BBE"/>
    <w:lvl w:ilvl="0" w:tentative="0">
      <w:start w:val="1"/>
      <w:numFmt w:val="upperLetter"/>
      <w:suff w:val="nothing"/>
      <w:lvlText w:val="%1．"/>
      <w:lvlJc w:val="left"/>
      <w:pPr>
        <w:ind w:left="120" w:firstLine="0"/>
      </w:pPr>
    </w:lvl>
  </w:abstractNum>
  <w:abstractNum w:abstractNumId="5">
    <w:nsid w:val="27291909"/>
    <w:multiLevelType w:val="multilevel"/>
    <w:tmpl w:val="27291909"/>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color w:val="auto"/>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A60"/>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8C"/>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19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9BE"/>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C5C"/>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C3C"/>
    <w:rsid w:val="000E5FF9"/>
    <w:rsid w:val="000E6AE1"/>
    <w:rsid w:val="000E7142"/>
    <w:rsid w:val="000E7632"/>
    <w:rsid w:val="000E7737"/>
    <w:rsid w:val="000E7739"/>
    <w:rsid w:val="000E77EE"/>
    <w:rsid w:val="000F0E1A"/>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BE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19"/>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2B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810"/>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763"/>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1BF"/>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3FD7"/>
    <w:rsid w:val="0020449A"/>
    <w:rsid w:val="00204E9B"/>
    <w:rsid w:val="00205298"/>
    <w:rsid w:val="002055C0"/>
    <w:rsid w:val="0020569E"/>
    <w:rsid w:val="00205C1B"/>
    <w:rsid w:val="00206698"/>
    <w:rsid w:val="00206736"/>
    <w:rsid w:val="00206C88"/>
    <w:rsid w:val="00207C3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D7"/>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04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533"/>
    <w:rsid w:val="0026470B"/>
    <w:rsid w:val="0026486D"/>
    <w:rsid w:val="002648E1"/>
    <w:rsid w:val="00264C4B"/>
    <w:rsid w:val="00264ED0"/>
    <w:rsid w:val="00265346"/>
    <w:rsid w:val="00266045"/>
    <w:rsid w:val="002660C3"/>
    <w:rsid w:val="00266500"/>
    <w:rsid w:val="00266C21"/>
    <w:rsid w:val="00266DE1"/>
    <w:rsid w:val="00267A92"/>
    <w:rsid w:val="00267E43"/>
    <w:rsid w:val="00270282"/>
    <w:rsid w:val="00270780"/>
    <w:rsid w:val="00270CF6"/>
    <w:rsid w:val="00271097"/>
    <w:rsid w:val="00271773"/>
    <w:rsid w:val="00271C53"/>
    <w:rsid w:val="0027244F"/>
    <w:rsid w:val="00272910"/>
    <w:rsid w:val="00272BAE"/>
    <w:rsid w:val="00273052"/>
    <w:rsid w:val="002739CE"/>
    <w:rsid w:val="00273C5F"/>
    <w:rsid w:val="002741D4"/>
    <w:rsid w:val="002743AC"/>
    <w:rsid w:val="0027499D"/>
    <w:rsid w:val="0027506A"/>
    <w:rsid w:val="002751CA"/>
    <w:rsid w:val="0027544D"/>
    <w:rsid w:val="00277196"/>
    <w:rsid w:val="002775ED"/>
    <w:rsid w:val="002778AB"/>
    <w:rsid w:val="002802A5"/>
    <w:rsid w:val="00280CFB"/>
    <w:rsid w:val="00280D24"/>
    <w:rsid w:val="002815C4"/>
    <w:rsid w:val="00281BCB"/>
    <w:rsid w:val="00281C76"/>
    <w:rsid w:val="0028316D"/>
    <w:rsid w:val="00283296"/>
    <w:rsid w:val="002838FF"/>
    <w:rsid w:val="0028508C"/>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6D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941"/>
    <w:rsid w:val="00321DB7"/>
    <w:rsid w:val="00321E7A"/>
    <w:rsid w:val="0032226D"/>
    <w:rsid w:val="003235E6"/>
    <w:rsid w:val="00324038"/>
    <w:rsid w:val="00324951"/>
    <w:rsid w:val="003249F6"/>
    <w:rsid w:val="00324B2F"/>
    <w:rsid w:val="00325FCC"/>
    <w:rsid w:val="00326106"/>
    <w:rsid w:val="00326497"/>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8D9"/>
    <w:rsid w:val="003519CD"/>
    <w:rsid w:val="00351A3A"/>
    <w:rsid w:val="0035455F"/>
    <w:rsid w:val="00355D75"/>
    <w:rsid w:val="00355D8F"/>
    <w:rsid w:val="00356A73"/>
    <w:rsid w:val="00356FF0"/>
    <w:rsid w:val="003577EF"/>
    <w:rsid w:val="00357A60"/>
    <w:rsid w:val="00360304"/>
    <w:rsid w:val="00360A78"/>
    <w:rsid w:val="00361750"/>
    <w:rsid w:val="00362D68"/>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649"/>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BA5"/>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1EF0"/>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BBB"/>
    <w:rsid w:val="003E20F7"/>
    <w:rsid w:val="003E322B"/>
    <w:rsid w:val="003E336A"/>
    <w:rsid w:val="003E3E2F"/>
    <w:rsid w:val="003E4048"/>
    <w:rsid w:val="003E4CE5"/>
    <w:rsid w:val="003E604C"/>
    <w:rsid w:val="003E60DA"/>
    <w:rsid w:val="003E6870"/>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00"/>
    <w:rsid w:val="00414909"/>
    <w:rsid w:val="00415034"/>
    <w:rsid w:val="00415B1A"/>
    <w:rsid w:val="00415DFD"/>
    <w:rsid w:val="00416208"/>
    <w:rsid w:val="0041690F"/>
    <w:rsid w:val="004169D3"/>
    <w:rsid w:val="00416C2B"/>
    <w:rsid w:val="00416D41"/>
    <w:rsid w:val="00416E70"/>
    <w:rsid w:val="00417264"/>
    <w:rsid w:val="004203EC"/>
    <w:rsid w:val="004210C0"/>
    <w:rsid w:val="004211DD"/>
    <w:rsid w:val="00421762"/>
    <w:rsid w:val="00421D4B"/>
    <w:rsid w:val="00421ED8"/>
    <w:rsid w:val="0042272A"/>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718"/>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163"/>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337"/>
    <w:rsid w:val="0046240D"/>
    <w:rsid w:val="00462898"/>
    <w:rsid w:val="00462D84"/>
    <w:rsid w:val="00463208"/>
    <w:rsid w:val="00463576"/>
    <w:rsid w:val="004636D6"/>
    <w:rsid w:val="0046399D"/>
    <w:rsid w:val="00463EA4"/>
    <w:rsid w:val="00465A21"/>
    <w:rsid w:val="00465DE5"/>
    <w:rsid w:val="00466223"/>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02A"/>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4DD"/>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AAF"/>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9C7"/>
    <w:rsid w:val="0050790B"/>
    <w:rsid w:val="00507FDF"/>
    <w:rsid w:val="0051037C"/>
    <w:rsid w:val="0051050F"/>
    <w:rsid w:val="0051058B"/>
    <w:rsid w:val="00510DDC"/>
    <w:rsid w:val="00511166"/>
    <w:rsid w:val="00512217"/>
    <w:rsid w:val="00512459"/>
    <w:rsid w:val="005131A2"/>
    <w:rsid w:val="005137E4"/>
    <w:rsid w:val="00513BB9"/>
    <w:rsid w:val="00514246"/>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C46"/>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76E"/>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74A"/>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5A8"/>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28"/>
    <w:rsid w:val="00665F61"/>
    <w:rsid w:val="006661E8"/>
    <w:rsid w:val="00666424"/>
    <w:rsid w:val="0066676C"/>
    <w:rsid w:val="006673B9"/>
    <w:rsid w:val="0066790C"/>
    <w:rsid w:val="00667FF0"/>
    <w:rsid w:val="00670C7C"/>
    <w:rsid w:val="00671480"/>
    <w:rsid w:val="006717E7"/>
    <w:rsid w:val="00671FD5"/>
    <w:rsid w:val="006720BC"/>
    <w:rsid w:val="00672906"/>
    <w:rsid w:val="00672C73"/>
    <w:rsid w:val="006739D8"/>
    <w:rsid w:val="00673B64"/>
    <w:rsid w:val="006753AC"/>
    <w:rsid w:val="00675430"/>
    <w:rsid w:val="006755F0"/>
    <w:rsid w:val="00675749"/>
    <w:rsid w:val="006759FE"/>
    <w:rsid w:val="00677106"/>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49"/>
    <w:rsid w:val="006B2823"/>
    <w:rsid w:val="006B29DC"/>
    <w:rsid w:val="006B2F60"/>
    <w:rsid w:val="006B33DB"/>
    <w:rsid w:val="006B3669"/>
    <w:rsid w:val="006B36E5"/>
    <w:rsid w:val="006B3D00"/>
    <w:rsid w:val="006B4CF8"/>
    <w:rsid w:val="006B506B"/>
    <w:rsid w:val="006B50EA"/>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D1C"/>
    <w:rsid w:val="006D43C1"/>
    <w:rsid w:val="006D5399"/>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6A"/>
    <w:rsid w:val="006E3CF3"/>
    <w:rsid w:val="006E41ED"/>
    <w:rsid w:val="006E4667"/>
    <w:rsid w:val="006E46B7"/>
    <w:rsid w:val="006E475A"/>
    <w:rsid w:val="006E486D"/>
    <w:rsid w:val="006E4880"/>
    <w:rsid w:val="006E48BB"/>
    <w:rsid w:val="006E727B"/>
    <w:rsid w:val="006E76C8"/>
    <w:rsid w:val="006E7A92"/>
    <w:rsid w:val="006F01FF"/>
    <w:rsid w:val="006F0CB2"/>
    <w:rsid w:val="006F0DB8"/>
    <w:rsid w:val="006F1DE9"/>
    <w:rsid w:val="006F2046"/>
    <w:rsid w:val="006F2F59"/>
    <w:rsid w:val="006F311E"/>
    <w:rsid w:val="006F3442"/>
    <w:rsid w:val="006F36A5"/>
    <w:rsid w:val="006F41F4"/>
    <w:rsid w:val="006F4576"/>
    <w:rsid w:val="006F5750"/>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784"/>
    <w:rsid w:val="0071604D"/>
    <w:rsid w:val="00716C67"/>
    <w:rsid w:val="007170AB"/>
    <w:rsid w:val="0071779C"/>
    <w:rsid w:val="00717808"/>
    <w:rsid w:val="007208A7"/>
    <w:rsid w:val="00720B6A"/>
    <w:rsid w:val="007210F6"/>
    <w:rsid w:val="0072123C"/>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BB9"/>
    <w:rsid w:val="00725D6A"/>
    <w:rsid w:val="007263A2"/>
    <w:rsid w:val="007266B9"/>
    <w:rsid w:val="00727351"/>
    <w:rsid w:val="00727AC5"/>
    <w:rsid w:val="00727C65"/>
    <w:rsid w:val="007300F0"/>
    <w:rsid w:val="00730904"/>
    <w:rsid w:val="00731928"/>
    <w:rsid w:val="00731EDE"/>
    <w:rsid w:val="0073245C"/>
    <w:rsid w:val="00732493"/>
    <w:rsid w:val="00732FE9"/>
    <w:rsid w:val="00733772"/>
    <w:rsid w:val="00733A43"/>
    <w:rsid w:val="00733AE4"/>
    <w:rsid w:val="00733D5F"/>
    <w:rsid w:val="007347F7"/>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EB7"/>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185"/>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89A"/>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D87"/>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A0D"/>
    <w:rsid w:val="008465B4"/>
    <w:rsid w:val="008465CF"/>
    <w:rsid w:val="00846D25"/>
    <w:rsid w:val="008470BC"/>
    <w:rsid w:val="00850013"/>
    <w:rsid w:val="008500DD"/>
    <w:rsid w:val="00850A0A"/>
    <w:rsid w:val="00850A94"/>
    <w:rsid w:val="00851E96"/>
    <w:rsid w:val="00851F1C"/>
    <w:rsid w:val="00852FA5"/>
    <w:rsid w:val="00853F7D"/>
    <w:rsid w:val="0085517F"/>
    <w:rsid w:val="00855356"/>
    <w:rsid w:val="0085562D"/>
    <w:rsid w:val="00855A78"/>
    <w:rsid w:val="00856154"/>
    <w:rsid w:val="00856286"/>
    <w:rsid w:val="0085657E"/>
    <w:rsid w:val="0085679A"/>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122"/>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49C"/>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6D6"/>
    <w:rsid w:val="00912850"/>
    <w:rsid w:val="009128B8"/>
    <w:rsid w:val="0091472C"/>
    <w:rsid w:val="00914DC9"/>
    <w:rsid w:val="00915351"/>
    <w:rsid w:val="00915679"/>
    <w:rsid w:val="009159C2"/>
    <w:rsid w:val="0091627F"/>
    <w:rsid w:val="00916E45"/>
    <w:rsid w:val="0092077A"/>
    <w:rsid w:val="00920DC0"/>
    <w:rsid w:val="009219F3"/>
    <w:rsid w:val="0092206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593"/>
    <w:rsid w:val="00942F8E"/>
    <w:rsid w:val="00943543"/>
    <w:rsid w:val="009441DB"/>
    <w:rsid w:val="00944834"/>
    <w:rsid w:val="009459CD"/>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CF3"/>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D85"/>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A1E"/>
    <w:rsid w:val="009B2731"/>
    <w:rsid w:val="009B2DCF"/>
    <w:rsid w:val="009B39D8"/>
    <w:rsid w:val="009B3D38"/>
    <w:rsid w:val="009B4368"/>
    <w:rsid w:val="009B4D4C"/>
    <w:rsid w:val="009B558E"/>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ADC"/>
    <w:rsid w:val="009D4207"/>
    <w:rsid w:val="009D4E4A"/>
    <w:rsid w:val="009D5130"/>
    <w:rsid w:val="009D53D1"/>
    <w:rsid w:val="009D53FB"/>
    <w:rsid w:val="009D562D"/>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045"/>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3BB"/>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5A9"/>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D43"/>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2B0"/>
    <w:rsid w:val="00A86EED"/>
    <w:rsid w:val="00A8733A"/>
    <w:rsid w:val="00A90962"/>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9BC"/>
    <w:rsid w:val="00AB3BBB"/>
    <w:rsid w:val="00AB408C"/>
    <w:rsid w:val="00AB43AF"/>
    <w:rsid w:val="00AB4E41"/>
    <w:rsid w:val="00AB5EB1"/>
    <w:rsid w:val="00AB6003"/>
    <w:rsid w:val="00AB759A"/>
    <w:rsid w:val="00AB7675"/>
    <w:rsid w:val="00AB7B06"/>
    <w:rsid w:val="00AB7EAA"/>
    <w:rsid w:val="00AC0432"/>
    <w:rsid w:val="00AC0770"/>
    <w:rsid w:val="00AC1683"/>
    <w:rsid w:val="00AC1D82"/>
    <w:rsid w:val="00AC1E0D"/>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149"/>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4AA"/>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27E"/>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905"/>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060"/>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03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6E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4AB"/>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365"/>
    <w:rsid w:val="00BD5624"/>
    <w:rsid w:val="00BD587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0B6"/>
    <w:rsid w:val="00C0234A"/>
    <w:rsid w:val="00C0247B"/>
    <w:rsid w:val="00C0378E"/>
    <w:rsid w:val="00C0427A"/>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6C"/>
    <w:rsid w:val="00C16C90"/>
    <w:rsid w:val="00C17AB5"/>
    <w:rsid w:val="00C20051"/>
    <w:rsid w:val="00C20B6C"/>
    <w:rsid w:val="00C20B86"/>
    <w:rsid w:val="00C20DF5"/>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B93"/>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D64"/>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EEC"/>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AB3"/>
    <w:rsid w:val="00C73DE0"/>
    <w:rsid w:val="00C74609"/>
    <w:rsid w:val="00C749AB"/>
    <w:rsid w:val="00C75A8F"/>
    <w:rsid w:val="00C76129"/>
    <w:rsid w:val="00C76C0C"/>
    <w:rsid w:val="00C76FFC"/>
    <w:rsid w:val="00C774E0"/>
    <w:rsid w:val="00C776BA"/>
    <w:rsid w:val="00C7791E"/>
    <w:rsid w:val="00C81716"/>
    <w:rsid w:val="00C83083"/>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7B"/>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922"/>
    <w:rsid w:val="00CD4E50"/>
    <w:rsid w:val="00CD57CB"/>
    <w:rsid w:val="00CD64E1"/>
    <w:rsid w:val="00CD66BA"/>
    <w:rsid w:val="00CD699D"/>
    <w:rsid w:val="00CD6BA3"/>
    <w:rsid w:val="00CD70DB"/>
    <w:rsid w:val="00CD7544"/>
    <w:rsid w:val="00CD78D4"/>
    <w:rsid w:val="00CE0697"/>
    <w:rsid w:val="00CE14CB"/>
    <w:rsid w:val="00CE1555"/>
    <w:rsid w:val="00CE2E2E"/>
    <w:rsid w:val="00CE3A51"/>
    <w:rsid w:val="00CE41BD"/>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0C08"/>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01F"/>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24"/>
    <w:rsid w:val="00D83C80"/>
    <w:rsid w:val="00D83DE9"/>
    <w:rsid w:val="00D83F5B"/>
    <w:rsid w:val="00D85FDE"/>
    <w:rsid w:val="00D8665E"/>
    <w:rsid w:val="00D869C1"/>
    <w:rsid w:val="00D86EC6"/>
    <w:rsid w:val="00D87418"/>
    <w:rsid w:val="00D87A39"/>
    <w:rsid w:val="00D87FE6"/>
    <w:rsid w:val="00D90210"/>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194"/>
    <w:rsid w:val="00DA4A61"/>
    <w:rsid w:val="00DA5AFE"/>
    <w:rsid w:val="00DA61AB"/>
    <w:rsid w:val="00DA61CD"/>
    <w:rsid w:val="00DA6EE2"/>
    <w:rsid w:val="00DA718A"/>
    <w:rsid w:val="00DA7473"/>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295"/>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E4E"/>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C85"/>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5E8"/>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660"/>
    <w:rsid w:val="00E95900"/>
    <w:rsid w:val="00E95C2A"/>
    <w:rsid w:val="00E961CB"/>
    <w:rsid w:val="00E963BC"/>
    <w:rsid w:val="00E966A6"/>
    <w:rsid w:val="00E96E91"/>
    <w:rsid w:val="00E9751D"/>
    <w:rsid w:val="00E97DC6"/>
    <w:rsid w:val="00E97F7A"/>
    <w:rsid w:val="00EA0010"/>
    <w:rsid w:val="00EA0143"/>
    <w:rsid w:val="00EA089B"/>
    <w:rsid w:val="00EA1ACC"/>
    <w:rsid w:val="00EA240D"/>
    <w:rsid w:val="00EA29F6"/>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CEF"/>
    <w:rsid w:val="00EB71C9"/>
    <w:rsid w:val="00EB763E"/>
    <w:rsid w:val="00EB7B67"/>
    <w:rsid w:val="00EB7D9D"/>
    <w:rsid w:val="00EC07F1"/>
    <w:rsid w:val="00EC1E8A"/>
    <w:rsid w:val="00EC328C"/>
    <w:rsid w:val="00EC32F5"/>
    <w:rsid w:val="00EC3852"/>
    <w:rsid w:val="00EC3FA9"/>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94"/>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F5B"/>
    <w:rsid w:val="00F0187E"/>
    <w:rsid w:val="00F01BE6"/>
    <w:rsid w:val="00F01F75"/>
    <w:rsid w:val="00F0217A"/>
    <w:rsid w:val="00F026D3"/>
    <w:rsid w:val="00F027E8"/>
    <w:rsid w:val="00F0287D"/>
    <w:rsid w:val="00F03395"/>
    <w:rsid w:val="00F034E6"/>
    <w:rsid w:val="00F03E4C"/>
    <w:rsid w:val="00F04D19"/>
    <w:rsid w:val="00F050A3"/>
    <w:rsid w:val="00F06340"/>
    <w:rsid w:val="00F06621"/>
    <w:rsid w:val="00F0665D"/>
    <w:rsid w:val="00F06D42"/>
    <w:rsid w:val="00F07134"/>
    <w:rsid w:val="00F0724D"/>
    <w:rsid w:val="00F072FB"/>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98"/>
    <w:rsid w:val="00F303BC"/>
    <w:rsid w:val="00F30472"/>
    <w:rsid w:val="00F31052"/>
    <w:rsid w:val="00F318A1"/>
    <w:rsid w:val="00F31CF5"/>
    <w:rsid w:val="00F3265C"/>
    <w:rsid w:val="00F327F0"/>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B60"/>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C0A"/>
    <w:rsid w:val="00FE4F80"/>
    <w:rsid w:val="00FE570E"/>
    <w:rsid w:val="00FE6870"/>
    <w:rsid w:val="00FE713E"/>
    <w:rsid w:val="00FE7877"/>
    <w:rsid w:val="00FE7B71"/>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3FC6"/>
    <w:rsid w:val="011F6449"/>
    <w:rsid w:val="01236AFB"/>
    <w:rsid w:val="01673CF1"/>
    <w:rsid w:val="019F7441"/>
    <w:rsid w:val="01B37585"/>
    <w:rsid w:val="01D55165"/>
    <w:rsid w:val="01DF6BF8"/>
    <w:rsid w:val="01E60465"/>
    <w:rsid w:val="01EC2C57"/>
    <w:rsid w:val="01F10F75"/>
    <w:rsid w:val="02652D58"/>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E3807"/>
    <w:rsid w:val="048F763B"/>
    <w:rsid w:val="049F330E"/>
    <w:rsid w:val="04AA775C"/>
    <w:rsid w:val="04AF1889"/>
    <w:rsid w:val="04F66F48"/>
    <w:rsid w:val="05251E14"/>
    <w:rsid w:val="05A16594"/>
    <w:rsid w:val="05A7762D"/>
    <w:rsid w:val="05B22FD4"/>
    <w:rsid w:val="060E5941"/>
    <w:rsid w:val="06110FAF"/>
    <w:rsid w:val="063164EB"/>
    <w:rsid w:val="06493CA7"/>
    <w:rsid w:val="065A6178"/>
    <w:rsid w:val="066F1CF3"/>
    <w:rsid w:val="06917A19"/>
    <w:rsid w:val="06930BB8"/>
    <w:rsid w:val="071B2266"/>
    <w:rsid w:val="07245D42"/>
    <w:rsid w:val="072639A0"/>
    <w:rsid w:val="07264C62"/>
    <w:rsid w:val="0779354C"/>
    <w:rsid w:val="07B85AE9"/>
    <w:rsid w:val="07DD1C50"/>
    <w:rsid w:val="08061376"/>
    <w:rsid w:val="0817778D"/>
    <w:rsid w:val="08392BD5"/>
    <w:rsid w:val="08452D77"/>
    <w:rsid w:val="086401F8"/>
    <w:rsid w:val="08751CAA"/>
    <w:rsid w:val="087E4C40"/>
    <w:rsid w:val="08D66AD6"/>
    <w:rsid w:val="08DA33A3"/>
    <w:rsid w:val="08E469AA"/>
    <w:rsid w:val="08E80F13"/>
    <w:rsid w:val="09047D11"/>
    <w:rsid w:val="09182109"/>
    <w:rsid w:val="09335624"/>
    <w:rsid w:val="0935611C"/>
    <w:rsid w:val="0944690F"/>
    <w:rsid w:val="09535675"/>
    <w:rsid w:val="095F057D"/>
    <w:rsid w:val="09642282"/>
    <w:rsid w:val="09733572"/>
    <w:rsid w:val="09772C16"/>
    <w:rsid w:val="098353B5"/>
    <w:rsid w:val="098C0F19"/>
    <w:rsid w:val="09A92330"/>
    <w:rsid w:val="09B01C8A"/>
    <w:rsid w:val="09B06B87"/>
    <w:rsid w:val="09C13146"/>
    <w:rsid w:val="09E04166"/>
    <w:rsid w:val="0A1C0718"/>
    <w:rsid w:val="0A3E7710"/>
    <w:rsid w:val="0A5B7E63"/>
    <w:rsid w:val="0A8B2AD7"/>
    <w:rsid w:val="0AA374A5"/>
    <w:rsid w:val="0AAB7649"/>
    <w:rsid w:val="0ABC5606"/>
    <w:rsid w:val="0ADC0917"/>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1B3983"/>
    <w:rsid w:val="0D4A7419"/>
    <w:rsid w:val="0D827401"/>
    <w:rsid w:val="0D84094E"/>
    <w:rsid w:val="0D8A00E9"/>
    <w:rsid w:val="0D8D589E"/>
    <w:rsid w:val="0DA01C73"/>
    <w:rsid w:val="0DBE2876"/>
    <w:rsid w:val="0DCB0424"/>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05582"/>
    <w:rsid w:val="0F816ACD"/>
    <w:rsid w:val="0F9832DB"/>
    <w:rsid w:val="0FBF3FD2"/>
    <w:rsid w:val="0FBF7FF3"/>
    <w:rsid w:val="0FEE6542"/>
    <w:rsid w:val="10503395"/>
    <w:rsid w:val="10646583"/>
    <w:rsid w:val="107D4B15"/>
    <w:rsid w:val="108A3C80"/>
    <w:rsid w:val="10C26171"/>
    <w:rsid w:val="10EA1EE2"/>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95DDF"/>
    <w:rsid w:val="13E743F2"/>
    <w:rsid w:val="140425A2"/>
    <w:rsid w:val="141008D8"/>
    <w:rsid w:val="14125FE6"/>
    <w:rsid w:val="143C5501"/>
    <w:rsid w:val="145D6FB8"/>
    <w:rsid w:val="146D271E"/>
    <w:rsid w:val="14982588"/>
    <w:rsid w:val="149A5AD9"/>
    <w:rsid w:val="14A7619D"/>
    <w:rsid w:val="14BB5F83"/>
    <w:rsid w:val="150536C3"/>
    <w:rsid w:val="150C1963"/>
    <w:rsid w:val="151447A0"/>
    <w:rsid w:val="154A6454"/>
    <w:rsid w:val="1568787A"/>
    <w:rsid w:val="15731373"/>
    <w:rsid w:val="15762120"/>
    <w:rsid w:val="159E525E"/>
    <w:rsid w:val="16A8729C"/>
    <w:rsid w:val="16B33777"/>
    <w:rsid w:val="16BC70A7"/>
    <w:rsid w:val="16C6339E"/>
    <w:rsid w:val="172F2D79"/>
    <w:rsid w:val="17557BEF"/>
    <w:rsid w:val="17637A95"/>
    <w:rsid w:val="17B56DFC"/>
    <w:rsid w:val="17D349C1"/>
    <w:rsid w:val="18155B81"/>
    <w:rsid w:val="1830729E"/>
    <w:rsid w:val="1870062C"/>
    <w:rsid w:val="18817102"/>
    <w:rsid w:val="18830A15"/>
    <w:rsid w:val="18852B28"/>
    <w:rsid w:val="188B5321"/>
    <w:rsid w:val="191C2E55"/>
    <w:rsid w:val="19641045"/>
    <w:rsid w:val="19932372"/>
    <w:rsid w:val="19A20DD5"/>
    <w:rsid w:val="19AE03F1"/>
    <w:rsid w:val="19ED42A1"/>
    <w:rsid w:val="1A071A03"/>
    <w:rsid w:val="1A1F16AE"/>
    <w:rsid w:val="1A3B5C77"/>
    <w:rsid w:val="1A984BAD"/>
    <w:rsid w:val="1AB8220E"/>
    <w:rsid w:val="1AE4166C"/>
    <w:rsid w:val="1AF06CFB"/>
    <w:rsid w:val="1AF11B8D"/>
    <w:rsid w:val="1B11359C"/>
    <w:rsid w:val="1B2A271F"/>
    <w:rsid w:val="1B447A21"/>
    <w:rsid w:val="1B530544"/>
    <w:rsid w:val="1B713184"/>
    <w:rsid w:val="1B7849A5"/>
    <w:rsid w:val="1BA209CF"/>
    <w:rsid w:val="1BB4777D"/>
    <w:rsid w:val="1BD75AB8"/>
    <w:rsid w:val="1C0459C2"/>
    <w:rsid w:val="1C1B3B4A"/>
    <w:rsid w:val="1C88086E"/>
    <w:rsid w:val="1C8E5CB2"/>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B73E24"/>
    <w:rsid w:val="1EFB7610"/>
    <w:rsid w:val="1F0A0FF3"/>
    <w:rsid w:val="1F5771FF"/>
    <w:rsid w:val="1F8D5BBF"/>
    <w:rsid w:val="1FE868A9"/>
    <w:rsid w:val="20034907"/>
    <w:rsid w:val="20173E4B"/>
    <w:rsid w:val="204E48BC"/>
    <w:rsid w:val="208921B3"/>
    <w:rsid w:val="20973DEB"/>
    <w:rsid w:val="20B26522"/>
    <w:rsid w:val="20B44310"/>
    <w:rsid w:val="20E341E2"/>
    <w:rsid w:val="20F85394"/>
    <w:rsid w:val="211116EB"/>
    <w:rsid w:val="216133FC"/>
    <w:rsid w:val="216C10B6"/>
    <w:rsid w:val="21D56769"/>
    <w:rsid w:val="21E52EF3"/>
    <w:rsid w:val="21EC227A"/>
    <w:rsid w:val="21F901D7"/>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02993"/>
    <w:rsid w:val="258B00E2"/>
    <w:rsid w:val="25A917A6"/>
    <w:rsid w:val="25B10872"/>
    <w:rsid w:val="25BE27CC"/>
    <w:rsid w:val="25F74A5C"/>
    <w:rsid w:val="2619634A"/>
    <w:rsid w:val="2628662C"/>
    <w:rsid w:val="262D45DE"/>
    <w:rsid w:val="264A7253"/>
    <w:rsid w:val="26A53EF9"/>
    <w:rsid w:val="26A94201"/>
    <w:rsid w:val="26AC274F"/>
    <w:rsid w:val="27044A29"/>
    <w:rsid w:val="271D34C8"/>
    <w:rsid w:val="276142BF"/>
    <w:rsid w:val="27783712"/>
    <w:rsid w:val="27907362"/>
    <w:rsid w:val="28021C21"/>
    <w:rsid w:val="28333E1D"/>
    <w:rsid w:val="28454BD6"/>
    <w:rsid w:val="28455253"/>
    <w:rsid w:val="28551971"/>
    <w:rsid w:val="285B1C53"/>
    <w:rsid w:val="28722A91"/>
    <w:rsid w:val="288E2583"/>
    <w:rsid w:val="289F7086"/>
    <w:rsid w:val="28C32028"/>
    <w:rsid w:val="28CC490F"/>
    <w:rsid w:val="28DE40AA"/>
    <w:rsid w:val="29345E77"/>
    <w:rsid w:val="294C65AD"/>
    <w:rsid w:val="29806583"/>
    <w:rsid w:val="2988399E"/>
    <w:rsid w:val="298B3C4C"/>
    <w:rsid w:val="29F26D24"/>
    <w:rsid w:val="2A0F2BC8"/>
    <w:rsid w:val="2A15033F"/>
    <w:rsid w:val="2A1662C1"/>
    <w:rsid w:val="2A1C7367"/>
    <w:rsid w:val="2A2815FA"/>
    <w:rsid w:val="2A5F3C1F"/>
    <w:rsid w:val="2A6D6092"/>
    <w:rsid w:val="2A7D76B4"/>
    <w:rsid w:val="2B16017E"/>
    <w:rsid w:val="2B437463"/>
    <w:rsid w:val="2B7807EE"/>
    <w:rsid w:val="2BBF00EC"/>
    <w:rsid w:val="2BC37CFD"/>
    <w:rsid w:val="2BD5237F"/>
    <w:rsid w:val="2BE536CE"/>
    <w:rsid w:val="2BE758D9"/>
    <w:rsid w:val="2C09049E"/>
    <w:rsid w:val="2C0A653C"/>
    <w:rsid w:val="2C191F85"/>
    <w:rsid w:val="2C3D5164"/>
    <w:rsid w:val="2CA70830"/>
    <w:rsid w:val="2CE82D6F"/>
    <w:rsid w:val="2D343236"/>
    <w:rsid w:val="2DD15014"/>
    <w:rsid w:val="2DF72DE4"/>
    <w:rsid w:val="2E0220AF"/>
    <w:rsid w:val="2E4A5917"/>
    <w:rsid w:val="2E4B082A"/>
    <w:rsid w:val="2E5D4E86"/>
    <w:rsid w:val="2E5D790B"/>
    <w:rsid w:val="2E9A3C18"/>
    <w:rsid w:val="2EBB0FEE"/>
    <w:rsid w:val="2EC63002"/>
    <w:rsid w:val="2F0A6B38"/>
    <w:rsid w:val="2F603E32"/>
    <w:rsid w:val="2F6718B0"/>
    <w:rsid w:val="2F76199A"/>
    <w:rsid w:val="2F946CCB"/>
    <w:rsid w:val="2FD25781"/>
    <w:rsid w:val="2FFD7934"/>
    <w:rsid w:val="301E514D"/>
    <w:rsid w:val="30733ACD"/>
    <w:rsid w:val="308C3862"/>
    <w:rsid w:val="309379D8"/>
    <w:rsid w:val="30A270F7"/>
    <w:rsid w:val="30C76C54"/>
    <w:rsid w:val="30CE47FD"/>
    <w:rsid w:val="30DF1478"/>
    <w:rsid w:val="30EC586F"/>
    <w:rsid w:val="318E651B"/>
    <w:rsid w:val="319C6071"/>
    <w:rsid w:val="31AC537E"/>
    <w:rsid w:val="31BC7B2B"/>
    <w:rsid w:val="31E3679B"/>
    <w:rsid w:val="31E732FD"/>
    <w:rsid w:val="324E3C27"/>
    <w:rsid w:val="32517576"/>
    <w:rsid w:val="325364CE"/>
    <w:rsid w:val="32821B23"/>
    <w:rsid w:val="32BE5C2C"/>
    <w:rsid w:val="32FB6478"/>
    <w:rsid w:val="33263B3F"/>
    <w:rsid w:val="3334629E"/>
    <w:rsid w:val="336963EB"/>
    <w:rsid w:val="33721096"/>
    <w:rsid w:val="33816EEB"/>
    <w:rsid w:val="33983B4C"/>
    <w:rsid w:val="33AD62E0"/>
    <w:rsid w:val="33B05412"/>
    <w:rsid w:val="33EB55CD"/>
    <w:rsid w:val="33EC4C02"/>
    <w:rsid w:val="340D2360"/>
    <w:rsid w:val="3410665D"/>
    <w:rsid w:val="34211214"/>
    <w:rsid w:val="342E63AB"/>
    <w:rsid w:val="34950E68"/>
    <w:rsid w:val="34986E94"/>
    <w:rsid w:val="34AF62C9"/>
    <w:rsid w:val="34CB4388"/>
    <w:rsid w:val="34FA6E12"/>
    <w:rsid w:val="35274F3E"/>
    <w:rsid w:val="354F5F3C"/>
    <w:rsid w:val="35525780"/>
    <w:rsid w:val="358D5588"/>
    <w:rsid w:val="35D72186"/>
    <w:rsid w:val="36090114"/>
    <w:rsid w:val="363A3B40"/>
    <w:rsid w:val="365302AE"/>
    <w:rsid w:val="36607A0A"/>
    <w:rsid w:val="36634F72"/>
    <w:rsid w:val="366E227C"/>
    <w:rsid w:val="366F2E0D"/>
    <w:rsid w:val="367B6A5C"/>
    <w:rsid w:val="36A74ADA"/>
    <w:rsid w:val="36AD60D5"/>
    <w:rsid w:val="36B224F9"/>
    <w:rsid w:val="36EC0CC9"/>
    <w:rsid w:val="37174D32"/>
    <w:rsid w:val="373F410B"/>
    <w:rsid w:val="37936580"/>
    <w:rsid w:val="37EE7094"/>
    <w:rsid w:val="38296C89"/>
    <w:rsid w:val="383002EB"/>
    <w:rsid w:val="38586797"/>
    <w:rsid w:val="38BC0149"/>
    <w:rsid w:val="38CB679F"/>
    <w:rsid w:val="38D87D1C"/>
    <w:rsid w:val="39336F47"/>
    <w:rsid w:val="39636459"/>
    <w:rsid w:val="396B7F6C"/>
    <w:rsid w:val="39B417A9"/>
    <w:rsid w:val="39D91930"/>
    <w:rsid w:val="39FC5695"/>
    <w:rsid w:val="3A006D8E"/>
    <w:rsid w:val="3A3651E5"/>
    <w:rsid w:val="3A744481"/>
    <w:rsid w:val="3A8C7BEF"/>
    <w:rsid w:val="3A906246"/>
    <w:rsid w:val="3AB44E70"/>
    <w:rsid w:val="3AE1551B"/>
    <w:rsid w:val="3B2349B7"/>
    <w:rsid w:val="3B616CFF"/>
    <w:rsid w:val="3B6259F6"/>
    <w:rsid w:val="3B976654"/>
    <w:rsid w:val="3BC01EFC"/>
    <w:rsid w:val="3BCA54DA"/>
    <w:rsid w:val="3BCA786A"/>
    <w:rsid w:val="3BD31E2F"/>
    <w:rsid w:val="3BF15831"/>
    <w:rsid w:val="3C105946"/>
    <w:rsid w:val="3C471448"/>
    <w:rsid w:val="3C5A7582"/>
    <w:rsid w:val="3C5F759A"/>
    <w:rsid w:val="3C6C525A"/>
    <w:rsid w:val="3C8F2C85"/>
    <w:rsid w:val="3CB1123B"/>
    <w:rsid w:val="3CCE23CB"/>
    <w:rsid w:val="3CD17D17"/>
    <w:rsid w:val="3D3C7F39"/>
    <w:rsid w:val="3D440F09"/>
    <w:rsid w:val="3D4504A0"/>
    <w:rsid w:val="3D8734BB"/>
    <w:rsid w:val="3D9A11D4"/>
    <w:rsid w:val="3DA16D89"/>
    <w:rsid w:val="3DA364BE"/>
    <w:rsid w:val="3DD65B20"/>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A4D21"/>
    <w:rsid w:val="3F2F0234"/>
    <w:rsid w:val="3F6363FE"/>
    <w:rsid w:val="3F756B8F"/>
    <w:rsid w:val="3F7D72A3"/>
    <w:rsid w:val="3F811AAE"/>
    <w:rsid w:val="3F95482B"/>
    <w:rsid w:val="3FB05980"/>
    <w:rsid w:val="4019356B"/>
    <w:rsid w:val="40520D87"/>
    <w:rsid w:val="40592157"/>
    <w:rsid w:val="406E1CAE"/>
    <w:rsid w:val="40A0133A"/>
    <w:rsid w:val="40C31A53"/>
    <w:rsid w:val="40DA0D7C"/>
    <w:rsid w:val="40E20013"/>
    <w:rsid w:val="40FF545D"/>
    <w:rsid w:val="410067C8"/>
    <w:rsid w:val="418F0D2A"/>
    <w:rsid w:val="41D01505"/>
    <w:rsid w:val="42474939"/>
    <w:rsid w:val="424C3C57"/>
    <w:rsid w:val="42613FF3"/>
    <w:rsid w:val="42660D96"/>
    <w:rsid w:val="426B7DA4"/>
    <w:rsid w:val="428667D2"/>
    <w:rsid w:val="42CD1CE0"/>
    <w:rsid w:val="42CF68A3"/>
    <w:rsid w:val="42E1381E"/>
    <w:rsid w:val="42ED6459"/>
    <w:rsid w:val="42FE58DD"/>
    <w:rsid w:val="43174B3D"/>
    <w:rsid w:val="434B790E"/>
    <w:rsid w:val="4360274F"/>
    <w:rsid w:val="43977AB6"/>
    <w:rsid w:val="43A3342B"/>
    <w:rsid w:val="43C77C27"/>
    <w:rsid w:val="43DE09EE"/>
    <w:rsid w:val="43F02BFA"/>
    <w:rsid w:val="44002FAD"/>
    <w:rsid w:val="4463366A"/>
    <w:rsid w:val="447C69FA"/>
    <w:rsid w:val="449101DD"/>
    <w:rsid w:val="44DE1391"/>
    <w:rsid w:val="44E73C4D"/>
    <w:rsid w:val="451B225C"/>
    <w:rsid w:val="452410C9"/>
    <w:rsid w:val="45317DFB"/>
    <w:rsid w:val="456D3CE4"/>
    <w:rsid w:val="4579042C"/>
    <w:rsid w:val="457F0571"/>
    <w:rsid w:val="45851176"/>
    <w:rsid w:val="45B90BE1"/>
    <w:rsid w:val="45C63B94"/>
    <w:rsid w:val="460E7DA5"/>
    <w:rsid w:val="46422483"/>
    <w:rsid w:val="4659254A"/>
    <w:rsid w:val="465B0637"/>
    <w:rsid w:val="465E3F0D"/>
    <w:rsid w:val="466A16E6"/>
    <w:rsid w:val="46893F2B"/>
    <w:rsid w:val="46C4686E"/>
    <w:rsid w:val="471F7720"/>
    <w:rsid w:val="47347438"/>
    <w:rsid w:val="473D0597"/>
    <w:rsid w:val="477B778F"/>
    <w:rsid w:val="478203EC"/>
    <w:rsid w:val="47AF5738"/>
    <w:rsid w:val="47B025FA"/>
    <w:rsid w:val="4809698F"/>
    <w:rsid w:val="4811697D"/>
    <w:rsid w:val="487A3E25"/>
    <w:rsid w:val="488B5503"/>
    <w:rsid w:val="48937E21"/>
    <w:rsid w:val="489A0361"/>
    <w:rsid w:val="48B94FF3"/>
    <w:rsid w:val="48E1714C"/>
    <w:rsid w:val="48E37AAB"/>
    <w:rsid w:val="48FD4B4C"/>
    <w:rsid w:val="490A68E0"/>
    <w:rsid w:val="491055FE"/>
    <w:rsid w:val="49373B9B"/>
    <w:rsid w:val="495F5B3E"/>
    <w:rsid w:val="496F77D7"/>
    <w:rsid w:val="497654FD"/>
    <w:rsid w:val="49B64211"/>
    <w:rsid w:val="49F6167F"/>
    <w:rsid w:val="4A064FA0"/>
    <w:rsid w:val="4A16615C"/>
    <w:rsid w:val="4A25631D"/>
    <w:rsid w:val="4A4424D7"/>
    <w:rsid w:val="4A9F0191"/>
    <w:rsid w:val="4AB82D0F"/>
    <w:rsid w:val="4AEB7664"/>
    <w:rsid w:val="4AFD7C19"/>
    <w:rsid w:val="4B0567D1"/>
    <w:rsid w:val="4B236AAE"/>
    <w:rsid w:val="4B707271"/>
    <w:rsid w:val="4B767531"/>
    <w:rsid w:val="4B9739F7"/>
    <w:rsid w:val="4BAE2F31"/>
    <w:rsid w:val="4BE551A5"/>
    <w:rsid w:val="4BEE2503"/>
    <w:rsid w:val="4BF841D5"/>
    <w:rsid w:val="4C15710C"/>
    <w:rsid w:val="4C245A30"/>
    <w:rsid w:val="4C400292"/>
    <w:rsid w:val="4C7E2D0B"/>
    <w:rsid w:val="4CAD39C5"/>
    <w:rsid w:val="4CB6685F"/>
    <w:rsid w:val="4CC367FE"/>
    <w:rsid w:val="4D036847"/>
    <w:rsid w:val="4D077F3C"/>
    <w:rsid w:val="4D123355"/>
    <w:rsid w:val="4D2A3B31"/>
    <w:rsid w:val="4D312C52"/>
    <w:rsid w:val="4D5C3245"/>
    <w:rsid w:val="4D905305"/>
    <w:rsid w:val="4D964A72"/>
    <w:rsid w:val="4D9C1254"/>
    <w:rsid w:val="4DA30115"/>
    <w:rsid w:val="4DBE7B98"/>
    <w:rsid w:val="4E241889"/>
    <w:rsid w:val="4E793892"/>
    <w:rsid w:val="4E7F257E"/>
    <w:rsid w:val="4E800872"/>
    <w:rsid w:val="4E862447"/>
    <w:rsid w:val="4EC569ED"/>
    <w:rsid w:val="4ED50EA1"/>
    <w:rsid w:val="4EDD1C25"/>
    <w:rsid w:val="4EEC050C"/>
    <w:rsid w:val="4F104EC3"/>
    <w:rsid w:val="4F1563F5"/>
    <w:rsid w:val="4F47354A"/>
    <w:rsid w:val="4F667119"/>
    <w:rsid w:val="4F911C54"/>
    <w:rsid w:val="4FE625E0"/>
    <w:rsid w:val="501F7A39"/>
    <w:rsid w:val="5021480F"/>
    <w:rsid w:val="50962ECB"/>
    <w:rsid w:val="50A42E38"/>
    <w:rsid w:val="50A4577F"/>
    <w:rsid w:val="50B73D1F"/>
    <w:rsid w:val="50BD5BC9"/>
    <w:rsid w:val="50BF5A81"/>
    <w:rsid w:val="50C11EEE"/>
    <w:rsid w:val="50E97CFC"/>
    <w:rsid w:val="50FA4028"/>
    <w:rsid w:val="510D65B7"/>
    <w:rsid w:val="511157AB"/>
    <w:rsid w:val="5142540C"/>
    <w:rsid w:val="518832C8"/>
    <w:rsid w:val="51A0432A"/>
    <w:rsid w:val="51A86090"/>
    <w:rsid w:val="51B7396D"/>
    <w:rsid w:val="51D60CDC"/>
    <w:rsid w:val="51E75F1A"/>
    <w:rsid w:val="522E4CC3"/>
    <w:rsid w:val="524209CA"/>
    <w:rsid w:val="5244713B"/>
    <w:rsid w:val="52615633"/>
    <w:rsid w:val="52977FD4"/>
    <w:rsid w:val="52A25790"/>
    <w:rsid w:val="52A96B6F"/>
    <w:rsid w:val="52B45975"/>
    <w:rsid w:val="52D94AA4"/>
    <w:rsid w:val="52EA3A62"/>
    <w:rsid w:val="52F50BB8"/>
    <w:rsid w:val="53097272"/>
    <w:rsid w:val="53517793"/>
    <w:rsid w:val="53544462"/>
    <w:rsid w:val="5397158E"/>
    <w:rsid w:val="54013861"/>
    <w:rsid w:val="54487265"/>
    <w:rsid w:val="544D6070"/>
    <w:rsid w:val="54605E1E"/>
    <w:rsid w:val="547152AB"/>
    <w:rsid w:val="54B3506A"/>
    <w:rsid w:val="54CA0D16"/>
    <w:rsid w:val="54DD4057"/>
    <w:rsid w:val="54DF7BFF"/>
    <w:rsid w:val="54E7490F"/>
    <w:rsid w:val="550764A4"/>
    <w:rsid w:val="550B2BF6"/>
    <w:rsid w:val="55214EB5"/>
    <w:rsid w:val="55364EFD"/>
    <w:rsid w:val="555D4828"/>
    <w:rsid w:val="557A4C8B"/>
    <w:rsid w:val="558931E1"/>
    <w:rsid w:val="55923347"/>
    <w:rsid w:val="55925180"/>
    <w:rsid w:val="55983B1B"/>
    <w:rsid w:val="55A8376B"/>
    <w:rsid w:val="55D65B5E"/>
    <w:rsid w:val="55DC29B6"/>
    <w:rsid w:val="55DD4241"/>
    <w:rsid w:val="56290384"/>
    <w:rsid w:val="566B6D1E"/>
    <w:rsid w:val="57032A2C"/>
    <w:rsid w:val="570F5219"/>
    <w:rsid w:val="572F2597"/>
    <w:rsid w:val="57482A8C"/>
    <w:rsid w:val="575D12B5"/>
    <w:rsid w:val="57604773"/>
    <w:rsid w:val="57610A87"/>
    <w:rsid w:val="577B1140"/>
    <w:rsid w:val="577B7F21"/>
    <w:rsid w:val="577F181B"/>
    <w:rsid w:val="57921984"/>
    <w:rsid w:val="579737F0"/>
    <w:rsid w:val="57AB7B30"/>
    <w:rsid w:val="57AF5251"/>
    <w:rsid w:val="57B26373"/>
    <w:rsid w:val="57B63F04"/>
    <w:rsid w:val="57CD20C2"/>
    <w:rsid w:val="57D675AB"/>
    <w:rsid w:val="57D95FDD"/>
    <w:rsid w:val="580F0E29"/>
    <w:rsid w:val="58917D2F"/>
    <w:rsid w:val="5894085C"/>
    <w:rsid w:val="58AE4F0C"/>
    <w:rsid w:val="58B85899"/>
    <w:rsid w:val="58E363A9"/>
    <w:rsid w:val="595E1678"/>
    <w:rsid w:val="596542B3"/>
    <w:rsid w:val="59657925"/>
    <w:rsid w:val="596D5BD4"/>
    <w:rsid w:val="597E3DD8"/>
    <w:rsid w:val="59E84D83"/>
    <w:rsid w:val="59E92304"/>
    <w:rsid w:val="59EA2FBD"/>
    <w:rsid w:val="59F80043"/>
    <w:rsid w:val="5A0031AA"/>
    <w:rsid w:val="5A09252F"/>
    <w:rsid w:val="5A0B2778"/>
    <w:rsid w:val="5A226AEF"/>
    <w:rsid w:val="5A250FC9"/>
    <w:rsid w:val="5A2A7C7B"/>
    <w:rsid w:val="5A3E2560"/>
    <w:rsid w:val="5A5D3B6E"/>
    <w:rsid w:val="5A637A76"/>
    <w:rsid w:val="5A6D33BA"/>
    <w:rsid w:val="5A792B1F"/>
    <w:rsid w:val="5A874767"/>
    <w:rsid w:val="5AAD6F28"/>
    <w:rsid w:val="5AC13C66"/>
    <w:rsid w:val="5AD63A24"/>
    <w:rsid w:val="5B2E1A1D"/>
    <w:rsid w:val="5B683908"/>
    <w:rsid w:val="5B843A1C"/>
    <w:rsid w:val="5B873E3F"/>
    <w:rsid w:val="5B8D4F11"/>
    <w:rsid w:val="5C02690E"/>
    <w:rsid w:val="5C196DA7"/>
    <w:rsid w:val="5C2A048C"/>
    <w:rsid w:val="5C80234E"/>
    <w:rsid w:val="5C8A680C"/>
    <w:rsid w:val="5C9E1733"/>
    <w:rsid w:val="5CD65823"/>
    <w:rsid w:val="5D0B76FA"/>
    <w:rsid w:val="5D0C4701"/>
    <w:rsid w:val="5D0F0395"/>
    <w:rsid w:val="5D221076"/>
    <w:rsid w:val="5D397964"/>
    <w:rsid w:val="5D5A391C"/>
    <w:rsid w:val="5D5F10C0"/>
    <w:rsid w:val="5D891B7B"/>
    <w:rsid w:val="5DAD38EE"/>
    <w:rsid w:val="5DC36987"/>
    <w:rsid w:val="5E006862"/>
    <w:rsid w:val="5E0207B9"/>
    <w:rsid w:val="5E1834A1"/>
    <w:rsid w:val="5E261785"/>
    <w:rsid w:val="5E4A7017"/>
    <w:rsid w:val="5E546588"/>
    <w:rsid w:val="5E552BBA"/>
    <w:rsid w:val="5E611C10"/>
    <w:rsid w:val="5EB6652D"/>
    <w:rsid w:val="5ED4433C"/>
    <w:rsid w:val="5EFC7377"/>
    <w:rsid w:val="5F06174D"/>
    <w:rsid w:val="5F3A3602"/>
    <w:rsid w:val="5F6277C6"/>
    <w:rsid w:val="5F6D0B1D"/>
    <w:rsid w:val="5F8D0B82"/>
    <w:rsid w:val="5FCC5339"/>
    <w:rsid w:val="5FE34A5B"/>
    <w:rsid w:val="5FFE1E36"/>
    <w:rsid w:val="60232584"/>
    <w:rsid w:val="603C698D"/>
    <w:rsid w:val="607330CE"/>
    <w:rsid w:val="60825176"/>
    <w:rsid w:val="609F2AC4"/>
    <w:rsid w:val="60FA2EE8"/>
    <w:rsid w:val="61054A27"/>
    <w:rsid w:val="610A52BC"/>
    <w:rsid w:val="611D2366"/>
    <w:rsid w:val="61421856"/>
    <w:rsid w:val="615227C4"/>
    <w:rsid w:val="61601CD1"/>
    <w:rsid w:val="61654E3F"/>
    <w:rsid w:val="6182292A"/>
    <w:rsid w:val="619F7F92"/>
    <w:rsid w:val="61F94C26"/>
    <w:rsid w:val="62000E56"/>
    <w:rsid w:val="624266CA"/>
    <w:rsid w:val="624F3E49"/>
    <w:rsid w:val="62614A02"/>
    <w:rsid w:val="62632286"/>
    <w:rsid w:val="62885958"/>
    <w:rsid w:val="62F40B65"/>
    <w:rsid w:val="62FC2CFE"/>
    <w:rsid w:val="63024505"/>
    <w:rsid w:val="63442359"/>
    <w:rsid w:val="635B1DB5"/>
    <w:rsid w:val="63711FED"/>
    <w:rsid w:val="63880DDC"/>
    <w:rsid w:val="638D750D"/>
    <w:rsid w:val="63A973D3"/>
    <w:rsid w:val="63AC6CC0"/>
    <w:rsid w:val="64055776"/>
    <w:rsid w:val="64240056"/>
    <w:rsid w:val="643E143A"/>
    <w:rsid w:val="646B362A"/>
    <w:rsid w:val="648B6EEF"/>
    <w:rsid w:val="64C158BF"/>
    <w:rsid w:val="64CE2EAA"/>
    <w:rsid w:val="64FA4321"/>
    <w:rsid w:val="65071890"/>
    <w:rsid w:val="653C3090"/>
    <w:rsid w:val="65854376"/>
    <w:rsid w:val="658767BE"/>
    <w:rsid w:val="65892531"/>
    <w:rsid w:val="65901886"/>
    <w:rsid w:val="66195831"/>
    <w:rsid w:val="661C78B6"/>
    <w:rsid w:val="662E75B1"/>
    <w:rsid w:val="66342C2E"/>
    <w:rsid w:val="663E784C"/>
    <w:rsid w:val="668B6A45"/>
    <w:rsid w:val="66976C44"/>
    <w:rsid w:val="66CE2067"/>
    <w:rsid w:val="66DC2E4F"/>
    <w:rsid w:val="672F3F24"/>
    <w:rsid w:val="673E055F"/>
    <w:rsid w:val="67551CE3"/>
    <w:rsid w:val="67810B05"/>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28E3"/>
    <w:rsid w:val="693E15D3"/>
    <w:rsid w:val="69627681"/>
    <w:rsid w:val="6977531D"/>
    <w:rsid w:val="69CA524E"/>
    <w:rsid w:val="69CC2BFF"/>
    <w:rsid w:val="69FD55B8"/>
    <w:rsid w:val="6A075CF8"/>
    <w:rsid w:val="6A0B1C62"/>
    <w:rsid w:val="6A117B1A"/>
    <w:rsid w:val="6A2406C8"/>
    <w:rsid w:val="6A473977"/>
    <w:rsid w:val="6ADE0BD1"/>
    <w:rsid w:val="6AE96859"/>
    <w:rsid w:val="6B147746"/>
    <w:rsid w:val="6B24787C"/>
    <w:rsid w:val="6B461089"/>
    <w:rsid w:val="6B573233"/>
    <w:rsid w:val="6B5B6274"/>
    <w:rsid w:val="6B684D03"/>
    <w:rsid w:val="6B935D53"/>
    <w:rsid w:val="6BCF2245"/>
    <w:rsid w:val="6C191267"/>
    <w:rsid w:val="6C196F71"/>
    <w:rsid w:val="6C226FCB"/>
    <w:rsid w:val="6C31226F"/>
    <w:rsid w:val="6C552F0B"/>
    <w:rsid w:val="6C6B0AB0"/>
    <w:rsid w:val="6C8C67B7"/>
    <w:rsid w:val="6C9D744C"/>
    <w:rsid w:val="6CB73196"/>
    <w:rsid w:val="6CC22541"/>
    <w:rsid w:val="6CF2150C"/>
    <w:rsid w:val="6D167928"/>
    <w:rsid w:val="6D26299B"/>
    <w:rsid w:val="6D4772EC"/>
    <w:rsid w:val="6D4D34B0"/>
    <w:rsid w:val="6D9078AF"/>
    <w:rsid w:val="6DAA3FEF"/>
    <w:rsid w:val="6DC0172B"/>
    <w:rsid w:val="6DCB690C"/>
    <w:rsid w:val="6DD41A5B"/>
    <w:rsid w:val="6DF43C2E"/>
    <w:rsid w:val="6DF51CA3"/>
    <w:rsid w:val="6E4B7568"/>
    <w:rsid w:val="6E6E50BE"/>
    <w:rsid w:val="6E8335BD"/>
    <w:rsid w:val="6E8E12EF"/>
    <w:rsid w:val="6E972936"/>
    <w:rsid w:val="6ED446C5"/>
    <w:rsid w:val="6EFE750B"/>
    <w:rsid w:val="6F2A7D94"/>
    <w:rsid w:val="6F2F0E9E"/>
    <w:rsid w:val="6F7D69D1"/>
    <w:rsid w:val="6F8331F1"/>
    <w:rsid w:val="6FAE1A09"/>
    <w:rsid w:val="6FD75BF8"/>
    <w:rsid w:val="707723D0"/>
    <w:rsid w:val="70BA1D43"/>
    <w:rsid w:val="70F5661B"/>
    <w:rsid w:val="71360107"/>
    <w:rsid w:val="713B688E"/>
    <w:rsid w:val="714C3F5C"/>
    <w:rsid w:val="71D43752"/>
    <w:rsid w:val="71D71E40"/>
    <w:rsid w:val="71F1796A"/>
    <w:rsid w:val="72044F4C"/>
    <w:rsid w:val="72154626"/>
    <w:rsid w:val="72262B5D"/>
    <w:rsid w:val="72283FF7"/>
    <w:rsid w:val="722E7212"/>
    <w:rsid w:val="723A0474"/>
    <w:rsid w:val="725923E4"/>
    <w:rsid w:val="72864BF7"/>
    <w:rsid w:val="728E38BC"/>
    <w:rsid w:val="729023FC"/>
    <w:rsid w:val="72F62E89"/>
    <w:rsid w:val="73347FE8"/>
    <w:rsid w:val="73796EA2"/>
    <w:rsid w:val="73C0646E"/>
    <w:rsid w:val="73E025F5"/>
    <w:rsid w:val="740C0EEF"/>
    <w:rsid w:val="74106EF3"/>
    <w:rsid w:val="742222F5"/>
    <w:rsid w:val="742A729A"/>
    <w:rsid w:val="74476126"/>
    <w:rsid w:val="74706664"/>
    <w:rsid w:val="747F3682"/>
    <w:rsid w:val="749C4185"/>
    <w:rsid w:val="75067759"/>
    <w:rsid w:val="75104791"/>
    <w:rsid w:val="752E6DCD"/>
    <w:rsid w:val="7531567E"/>
    <w:rsid w:val="7551380D"/>
    <w:rsid w:val="75600BE5"/>
    <w:rsid w:val="7564475C"/>
    <w:rsid w:val="7583797F"/>
    <w:rsid w:val="75C250B6"/>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8163B"/>
    <w:rsid w:val="77521091"/>
    <w:rsid w:val="777F31F2"/>
    <w:rsid w:val="77D1700D"/>
    <w:rsid w:val="77EC04CC"/>
    <w:rsid w:val="78775729"/>
    <w:rsid w:val="787D7EFA"/>
    <w:rsid w:val="78896FDA"/>
    <w:rsid w:val="78A42DB0"/>
    <w:rsid w:val="78A656AB"/>
    <w:rsid w:val="78B2245C"/>
    <w:rsid w:val="78CF6711"/>
    <w:rsid w:val="78E172CC"/>
    <w:rsid w:val="78EA1D1F"/>
    <w:rsid w:val="7904172F"/>
    <w:rsid w:val="790F7E27"/>
    <w:rsid w:val="792A231A"/>
    <w:rsid w:val="79316829"/>
    <w:rsid w:val="794762A8"/>
    <w:rsid w:val="797E66A9"/>
    <w:rsid w:val="79A97383"/>
    <w:rsid w:val="79E27E8B"/>
    <w:rsid w:val="79E77ADE"/>
    <w:rsid w:val="79F850CE"/>
    <w:rsid w:val="79FD443C"/>
    <w:rsid w:val="7A1D1975"/>
    <w:rsid w:val="7A3E5150"/>
    <w:rsid w:val="7A4670D6"/>
    <w:rsid w:val="7A534B63"/>
    <w:rsid w:val="7A615382"/>
    <w:rsid w:val="7A67303B"/>
    <w:rsid w:val="7AAB1D04"/>
    <w:rsid w:val="7ABA4368"/>
    <w:rsid w:val="7ABE7EEB"/>
    <w:rsid w:val="7AD05746"/>
    <w:rsid w:val="7B166879"/>
    <w:rsid w:val="7B257FFD"/>
    <w:rsid w:val="7B343476"/>
    <w:rsid w:val="7B5A2978"/>
    <w:rsid w:val="7B5A7E4C"/>
    <w:rsid w:val="7B667AF9"/>
    <w:rsid w:val="7B7468F8"/>
    <w:rsid w:val="7B997DB0"/>
    <w:rsid w:val="7BA02793"/>
    <w:rsid w:val="7BE32C51"/>
    <w:rsid w:val="7BEE0103"/>
    <w:rsid w:val="7C0A0FE4"/>
    <w:rsid w:val="7C0F4BB0"/>
    <w:rsid w:val="7C254906"/>
    <w:rsid w:val="7C590818"/>
    <w:rsid w:val="7C7C10F6"/>
    <w:rsid w:val="7C853BEA"/>
    <w:rsid w:val="7C881368"/>
    <w:rsid w:val="7CD75400"/>
    <w:rsid w:val="7CD82038"/>
    <w:rsid w:val="7CE27788"/>
    <w:rsid w:val="7D0C32F1"/>
    <w:rsid w:val="7D0F408D"/>
    <w:rsid w:val="7D491C6C"/>
    <w:rsid w:val="7D5429C0"/>
    <w:rsid w:val="7D6E6D43"/>
    <w:rsid w:val="7DA324E5"/>
    <w:rsid w:val="7DB57A34"/>
    <w:rsid w:val="7DD258E1"/>
    <w:rsid w:val="7DE60973"/>
    <w:rsid w:val="7DEF0916"/>
    <w:rsid w:val="7E1E5218"/>
    <w:rsid w:val="7E370FE0"/>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1"/>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5"/>
    <w:qFormat/>
    <w:uiPriority w:val="0"/>
    <w:rPr>
      <w:rFonts w:ascii="宋体" w:hAnsi="Courier New" w:cs="Arial"/>
      <w:snapToGrid w:val="0"/>
      <w:szCs w:val="21"/>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表格文字"/>
    <w:basedOn w:val="33"/>
    <w:next w:val="2"/>
    <w:qFormat/>
    <w:uiPriority w:val="0"/>
    <w:pPr>
      <w:adjustRightInd/>
      <w:ind w:firstLine="200" w:firstLineChars="200"/>
    </w:pPr>
    <w:rPr>
      <w:rFonts w:ascii="Arial" w:hAnsi="Arial"/>
      <w:spacing w:val="-5"/>
      <w:kern w:val="0"/>
      <w:sz w:val="24"/>
      <w:szCs w:val="20"/>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首行缩进"/>
    <w:basedOn w:val="1"/>
    <w:qFormat/>
    <w:uiPriority w:val="0"/>
    <w:pPr>
      <w:spacing w:line="360" w:lineRule="auto"/>
      <w:ind w:firstLine="480" w:firstLineChars="200"/>
    </w:pPr>
    <w:rPr>
      <w:rFonts w:ascii="宋体"/>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99"/>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basedOn w:val="69"/>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9"/>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99"/>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正文文字"/>
    <w:basedOn w:val="1"/>
    <w:qFormat/>
    <w:uiPriority w:val="0"/>
    <w:pPr>
      <w:widowControl/>
      <w:adjustRightInd/>
      <w:spacing w:line="952" w:lineRule="atLeast"/>
      <w:ind w:firstLine="419"/>
      <w:textAlignment w:val="baseline"/>
    </w:pPr>
    <w:rPr>
      <w:b/>
      <w:color w:val="000000"/>
      <w:kern w:val="0"/>
      <w:sz w:val="44"/>
      <w:szCs w:val="20"/>
      <w:u w:color="000000"/>
    </w:rPr>
  </w:style>
  <w:style w:type="paragraph" w:customStyle="1" w:styleId="963">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964">
    <w:name w:val="Unresolved Mention"/>
    <w:basedOn w:val="69"/>
    <w:semiHidden/>
    <w:unhideWhenUsed/>
    <w:qFormat/>
    <w:uiPriority w:val="99"/>
    <w:rPr>
      <w:color w:val="605E5C"/>
      <w:shd w:val="clear" w:color="auto" w:fill="E1DFDD"/>
    </w:rPr>
  </w:style>
  <w:style w:type="paragraph" w:customStyle="1" w:styleId="965">
    <w:name w:val="No Spacing1"/>
    <w:qFormat/>
    <w:uiPriority w:val="0"/>
    <w:rPr>
      <w:rFonts w:ascii="Times New Roman" w:hAnsi="Times New Roman" w:eastAsia="??" w:cs="宋体"/>
      <w:sz w:val="22"/>
      <w:szCs w:val="22"/>
      <w:lang w:val="en-US" w:eastAsia="en-US" w:bidi="ar-SA"/>
    </w:rPr>
  </w:style>
  <w:style w:type="character" w:customStyle="1" w:styleId="966">
    <w:name w:val="bjh-p"/>
    <w:basedOn w:val="69"/>
    <w:qFormat/>
    <w:uiPriority w:val="0"/>
  </w:style>
  <w:style w:type="character" w:customStyle="1" w:styleId="967">
    <w:name w:val="NormalCharacter"/>
    <w:qFormat/>
    <w:uiPriority w:val="0"/>
    <w:rPr>
      <w:rFonts w:ascii="仿宋_GB2312" w:eastAsia="仿宋_GB2312"/>
      <w:b/>
      <w:sz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numbering.xml" Type="http://schemas.openxmlformats.org/officeDocument/2006/relationships/numbering"/><Relationship Id="rId24" Target="../customXml/item2.xml" Type="http://schemas.openxmlformats.org/officeDocument/2006/relationships/customXml"/><Relationship Id="rId25"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EDBD1E-78FF-49F8-944A-68000668C3B8}">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75</Pages>
  <Words>36976</Words>
  <Characters>39427</Characters>
  <Lines>234</Lines>
  <Paragraphs>66</Paragraphs>
  <TotalTime>17</TotalTime>
  <ScaleCrop>false</ScaleCrop>
  <LinksUpToDate>false</LinksUpToDate>
  <CharactersWithSpaces>42405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2022-04-08T06:17:00Z</dcterms:created>
  <dc:creator>Administrator</dc:creator>
  <cp:lastModifiedBy>Administrator</cp:lastModifiedBy>
  <cp:lastPrinted>2022-04-15T08:47:00Z</cp:lastPrinted>
  <dcterms:modified xsi:type="dcterms:W3CDTF">2022-05-18T08:45:10Z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FAC10E17D3C042ADBBD9BD5E0933F020</vt:lpwstr>
  </property>
</Properties>
</file>