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杭州市临安区农村历史建筑保护维修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lang w:eastAsia="zh-CN"/>
        </w:rPr>
        <w:t>项目监理</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竞争性磋商采购文件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lang w:val="en-US" w:eastAsia="zh-CN"/>
        </w:rPr>
        <w:t>临[2022]269号</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p>
    <w:p>
      <w:pPr>
        <w:snapToGrid w:val="0"/>
        <w:spacing w:line="360" w:lineRule="auto"/>
        <w:jc w:val="center"/>
        <w:rPr>
          <w:rFonts w:ascii="仿宋" w:hAnsi="仿宋" w:eastAsia="仿宋" w:cs="仿宋"/>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杭州市临安区文化和广电旅游体育局</w:t>
      </w:r>
    </w:p>
    <w:p>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r>
        <w:rPr>
          <w:rFonts w:hint="eastAsia" w:ascii="仿宋" w:hAnsi="仿宋" w:eastAsia="仿宋" w:cs="仿宋"/>
          <w:sz w:val="32"/>
          <w:szCs w:val="32"/>
        </w:rPr>
        <w:t>：</w:t>
      </w:r>
      <w:r>
        <w:rPr>
          <w:rFonts w:hint="eastAsia" w:ascii="仿宋" w:hAnsi="仿宋" w:eastAsia="仿宋" w:cs="仿宋"/>
          <w:sz w:val="32"/>
          <w:szCs w:val="32"/>
          <w:lang w:eastAsia="zh-CN"/>
        </w:rPr>
        <w:t>杭州建设工程造价咨询有限公司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十四</w:t>
      </w:r>
      <w:r>
        <w:rPr>
          <w:rFonts w:hint="eastAsia" w:ascii="仿宋" w:hAnsi="仿宋" w:eastAsia="仿宋" w:cs="仿宋"/>
          <w:bCs/>
          <w:sz w:val="32"/>
          <w:szCs w:val="32"/>
        </w:rPr>
        <w:t>日</w:t>
      </w:r>
    </w:p>
    <w:p>
      <w:pPr>
        <w:spacing w:line="360" w:lineRule="auto"/>
        <w:jc w:val="center"/>
        <w:rPr>
          <w:rFonts w:ascii="仿宋" w:hAnsi="仿宋" w:eastAsia="仿宋" w:cs="仿宋"/>
          <w:sz w:val="24"/>
        </w:rPr>
        <w:sectPr>
          <w:headerReference r:id="rId4" w:type="first"/>
          <w:headerReference r:id="rId3" w:type="default"/>
          <w:footerReference r:id="rId5" w:type="even"/>
          <w:pgSz w:w="11906" w:h="16838"/>
          <w:pgMar w:top="1304" w:right="1418" w:bottom="1321" w:left="1418" w:header="851" w:footer="992" w:gutter="0"/>
          <w:cols w:space="720" w:num="1"/>
          <w:titlePg/>
          <w:docGrid w:linePitch="312" w:charSpace="0"/>
        </w:sectPr>
      </w:pPr>
    </w:p>
    <w:p>
      <w:pPr>
        <w:pStyle w:val="3"/>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第一部分竞争性磋商公告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杭州市临安区农村历史建筑保护维修项目监理</w:t>
      </w:r>
      <w:r>
        <w:rPr>
          <w:rFonts w:hint="eastAsia" w:ascii="仿宋" w:hAnsi="仿宋" w:eastAsia="仿宋" w:cs="仿宋"/>
          <w:sz w:val="24"/>
        </w:rPr>
        <w:t>招标项目的潜在供应商应在政采云平台（</w:t>
      </w:r>
      <w:r>
        <w:fldChar w:fldCharType="begin"/>
      </w:r>
      <w:r>
        <w:instrText xml:space="preserve"> HYPERLINK "https://www.zcygov.cn/）获取（下载）采购文件，并于2022年2月27日09点30分00秒" </w:instrText>
      </w:r>
      <w:r>
        <w:fldChar w:fldCharType="separate"/>
      </w:r>
      <w:r>
        <w:rPr>
          <w:rStyle w:val="76"/>
          <w:rFonts w:hint="eastAsia" w:ascii="仿宋" w:hAnsi="仿宋" w:eastAsia="仿宋" w:cs="仿宋"/>
          <w:snapToGrid/>
          <w:kern w:val="2"/>
          <w:sz w:val="24"/>
          <w:szCs w:val="24"/>
        </w:rPr>
        <w:t>https://www.zcygov.cn/）获取（下载）采购文件，并于2022年</w:t>
      </w:r>
      <w:r>
        <w:rPr>
          <w:rStyle w:val="76"/>
          <w:rFonts w:hint="eastAsia" w:ascii="仿宋" w:hAnsi="仿宋" w:eastAsia="仿宋" w:cs="仿宋"/>
          <w:snapToGrid/>
          <w:kern w:val="2"/>
          <w:sz w:val="24"/>
          <w:szCs w:val="24"/>
          <w:lang w:val="en-US" w:eastAsia="zh-CN"/>
        </w:rPr>
        <w:t>4</w:t>
      </w:r>
      <w:r>
        <w:rPr>
          <w:rStyle w:val="76"/>
          <w:rFonts w:hint="eastAsia" w:ascii="仿宋" w:hAnsi="仿宋" w:eastAsia="仿宋" w:cs="仿宋"/>
          <w:snapToGrid/>
          <w:kern w:val="2"/>
          <w:sz w:val="24"/>
          <w:szCs w:val="24"/>
        </w:rPr>
        <w:t>月</w:t>
      </w:r>
      <w:r>
        <w:rPr>
          <w:rStyle w:val="76"/>
          <w:rFonts w:hint="eastAsia" w:ascii="仿宋" w:hAnsi="仿宋" w:eastAsia="仿宋" w:cs="仿宋"/>
          <w:snapToGrid/>
          <w:kern w:val="2"/>
          <w:sz w:val="24"/>
          <w:szCs w:val="24"/>
          <w:lang w:val="en-US" w:eastAsia="zh-CN"/>
        </w:rPr>
        <w:t>24</w:t>
      </w:r>
      <w:r>
        <w:rPr>
          <w:rStyle w:val="76"/>
          <w:rFonts w:hint="eastAsia" w:ascii="仿宋" w:hAnsi="仿宋" w:eastAsia="仿宋" w:cs="仿宋"/>
          <w:snapToGrid/>
          <w:kern w:val="2"/>
          <w:sz w:val="24"/>
          <w:szCs w:val="24"/>
        </w:rPr>
        <w:t>日</w:t>
      </w:r>
      <w:r>
        <w:rPr>
          <w:rStyle w:val="76"/>
          <w:rFonts w:hint="eastAsia" w:ascii="仿宋" w:hAnsi="仿宋" w:eastAsia="仿宋" w:cs="仿宋"/>
          <w:snapToGrid/>
          <w:kern w:val="2"/>
          <w:sz w:val="24"/>
          <w:szCs w:val="24"/>
          <w:lang w:val="en-US" w:eastAsia="zh-CN"/>
        </w:rPr>
        <w:t>14</w:t>
      </w:r>
      <w:r>
        <w:rPr>
          <w:rStyle w:val="76"/>
          <w:rFonts w:hint="eastAsia" w:ascii="仿宋" w:hAnsi="仿宋" w:eastAsia="仿宋" w:cs="仿宋"/>
          <w:snapToGrid/>
          <w:kern w:val="2"/>
          <w:sz w:val="24"/>
          <w:szCs w:val="24"/>
        </w:rPr>
        <w:t>点</w:t>
      </w:r>
      <w:r>
        <w:rPr>
          <w:rStyle w:val="76"/>
          <w:rFonts w:hint="eastAsia" w:ascii="仿宋" w:hAnsi="仿宋" w:eastAsia="仿宋" w:cs="仿宋"/>
          <w:snapToGrid/>
          <w:kern w:val="2"/>
          <w:sz w:val="24"/>
          <w:szCs w:val="24"/>
          <w:lang w:val="en-US" w:eastAsia="zh-CN"/>
        </w:rPr>
        <w:t>00</w:t>
      </w:r>
      <w:r>
        <w:rPr>
          <w:rStyle w:val="76"/>
          <w:rFonts w:hint="eastAsia" w:ascii="仿宋" w:hAnsi="仿宋" w:eastAsia="仿宋" w:cs="仿宋"/>
          <w:snapToGrid/>
          <w:kern w:val="2"/>
          <w:sz w:val="24"/>
          <w:szCs w:val="24"/>
        </w:rPr>
        <w:t>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递交（上传）响应文件。</w:t>
      </w:r>
    </w:p>
    <w:p>
      <w:pPr>
        <w:snapToGrid w:val="0"/>
        <w:spacing w:line="360" w:lineRule="auto"/>
        <w:rPr>
          <w:rFonts w:ascii="仿宋" w:hAnsi="仿宋" w:eastAsia="仿宋" w:cs="仿宋"/>
          <w:b/>
          <w:sz w:val="24"/>
        </w:rPr>
      </w:pPr>
      <w:r>
        <w:rPr>
          <w:rFonts w:hint="eastAsia" w:ascii="仿宋" w:hAnsi="仿宋" w:eastAsia="仿宋" w:cs="仿宋"/>
          <w:b/>
          <w:sz w:val="24"/>
        </w:rPr>
        <w:t>一、项目基本情况</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项目编号：</w:t>
      </w:r>
      <w:r>
        <w:rPr>
          <w:rFonts w:hint="eastAsia" w:ascii="仿宋" w:hAnsi="仿宋" w:eastAsia="仿宋" w:cs="仿宋"/>
          <w:b/>
          <w:sz w:val="24"/>
          <w:lang w:val="en-US" w:eastAsia="zh-CN"/>
        </w:rPr>
        <w:t>临[2022]269号</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b/>
          <w:sz w:val="24"/>
          <w:lang w:eastAsia="zh-CN"/>
        </w:rPr>
        <w:t>杭州市临安区农村历史建筑保护维修项目监理</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采购方式：竞争性磋商</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预算总金额：</w:t>
      </w:r>
      <w:r>
        <w:rPr>
          <w:rFonts w:hint="eastAsia" w:ascii="仿宋" w:hAnsi="仿宋" w:eastAsia="仿宋" w:cs="仿宋"/>
          <w:b/>
          <w:sz w:val="24"/>
          <w:lang w:val="en-US" w:eastAsia="zh-CN"/>
        </w:rPr>
        <w:t>350000</w:t>
      </w:r>
      <w:r>
        <w:rPr>
          <w:rFonts w:hint="eastAsia" w:ascii="仿宋" w:hAnsi="仿宋" w:eastAsia="仿宋" w:cs="仿宋"/>
          <w:b/>
          <w:sz w:val="24"/>
        </w:rPr>
        <w:t>元</w:t>
      </w:r>
      <w:r>
        <w:rPr>
          <w:rFonts w:hint="eastAsia" w:ascii="仿宋" w:hAnsi="仿宋" w:eastAsia="仿宋" w:cs="仿宋"/>
          <w:b/>
          <w:sz w:val="24"/>
          <w:lang w:val="en-US" w:eastAsia="zh-CN"/>
        </w:rPr>
        <w:t xml:space="preserve"> </w:t>
      </w:r>
      <w:r>
        <w:rPr>
          <w:rFonts w:hint="eastAsia" w:ascii="仿宋" w:hAnsi="仿宋" w:eastAsia="仿宋" w:cs="仿宋"/>
          <w:b/>
          <w:sz w:val="24"/>
        </w:rPr>
        <w:t>；</w:t>
      </w:r>
    </w:p>
    <w:p>
      <w:pPr>
        <w:pStyle w:val="4"/>
        <w:rPr>
          <w:rFonts w:hint="default" w:eastAsia="仿宋"/>
          <w:lang w:val="en-US" w:eastAsia="zh-CN"/>
        </w:rPr>
      </w:pPr>
      <w:r>
        <w:rPr>
          <w:rFonts w:hint="eastAsia" w:ascii="仿宋" w:eastAsia="仿宋" w:cs="仿宋"/>
          <w:b/>
          <w:sz w:val="24"/>
          <w:lang w:val="en-US" w:eastAsia="zh-CN"/>
        </w:rPr>
        <w:t xml:space="preserve">    最高限价：350000元 。</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采购需求：</w:t>
      </w:r>
      <w:r>
        <w:rPr>
          <w:rFonts w:hint="eastAsia" w:ascii="仿宋" w:hAnsi="仿宋" w:eastAsia="仿宋" w:cs="仿宋"/>
          <w:b/>
          <w:sz w:val="24"/>
          <w:lang w:eastAsia="zh-CN"/>
        </w:rPr>
        <w:t>杭州市临安区农村历史建筑保护维修项目监理</w:t>
      </w:r>
      <w:r>
        <w:rPr>
          <w:rFonts w:hint="eastAsia" w:ascii="仿宋" w:hAnsi="仿宋" w:eastAsia="仿宋" w:cs="仿宋"/>
          <w:b/>
          <w:sz w:val="24"/>
        </w:rPr>
        <w:t xml:space="preserve">，具体内容和相关要求详见招标文件“第三部分采购需求”。  </w:t>
      </w:r>
    </w:p>
    <w:p>
      <w:pPr>
        <w:pStyle w:val="130"/>
        <w:snapToGrid w:val="0"/>
        <w:spacing w:before="0"/>
        <w:ind w:firstLine="482"/>
        <w:outlineLvl w:val="2"/>
        <w:rPr>
          <w:rFonts w:hint="eastAsia" w:ascii="仿宋" w:hAnsi="仿宋" w:eastAsia="仿宋" w:cs="仿宋"/>
          <w:b/>
          <w:szCs w:val="24"/>
        </w:rPr>
      </w:pPr>
      <w:r>
        <w:rPr>
          <w:rFonts w:hint="eastAsia" w:ascii="仿宋" w:hAnsi="仿宋" w:eastAsia="仿宋" w:cs="仿宋"/>
          <w:b/>
          <w:sz w:val="24"/>
        </w:rPr>
        <w:t xml:space="preserve">简要规格描述或项目基本概况介绍、用途：具体内容和相关要求详见招标文件“第三部分采购需求”。  </w:t>
      </w:r>
    </w:p>
    <w:p>
      <w:pPr>
        <w:pStyle w:val="130"/>
        <w:snapToGrid w:val="0"/>
        <w:spacing w:before="0"/>
        <w:ind w:firstLine="482"/>
        <w:outlineLvl w:val="2"/>
        <w:rPr>
          <w:rFonts w:hint="eastAsia" w:ascii="仿宋" w:hAnsi="仿宋" w:eastAsia="仿宋" w:cs="仿宋"/>
          <w:szCs w:val="24"/>
          <w:lang w:eastAsia="zh-CN"/>
        </w:rPr>
      </w:pPr>
      <w:r>
        <w:rPr>
          <w:rFonts w:hint="eastAsia" w:ascii="仿宋" w:hAnsi="仿宋" w:eastAsia="仿宋" w:cs="仿宋"/>
          <w:b/>
          <w:szCs w:val="24"/>
        </w:rPr>
        <w:t>合同履约期限</w:t>
      </w:r>
      <w:r>
        <w:rPr>
          <w:rFonts w:hint="eastAsia" w:ascii="仿宋" w:hAnsi="仿宋" w:eastAsia="仿宋" w:cs="仿宋"/>
          <w:b/>
          <w:szCs w:val="24"/>
          <w:lang w:eastAsia="zh-CN"/>
        </w:rPr>
        <w:t>：202</w:t>
      </w:r>
      <w:r>
        <w:rPr>
          <w:rFonts w:hint="eastAsia" w:ascii="仿宋" w:hAnsi="仿宋" w:eastAsia="仿宋" w:cs="仿宋"/>
          <w:b/>
          <w:szCs w:val="24"/>
          <w:lang w:val="en-US" w:eastAsia="zh-CN"/>
        </w:rPr>
        <w:t>2</w:t>
      </w:r>
      <w:r>
        <w:rPr>
          <w:rFonts w:hint="eastAsia" w:ascii="仿宋" w:hAnsi="仿宋" w:eastAsia="仿宋" w:cs="仿宋"/>
          <w:b/>
          <w:szCs w:val="24"/>
          <w:lang w:eastAsia="zh-CN"/>
        </w:rPr>
        <w:t>年度</w:t>
      </w:r>
      <w:r>
        <w:rPr>
          <w:rFonts w:hint="eastAsia" w:ascii="仿宋" w:hAnsi="仿宋" w:eastAsia="仿宋" w:cs="仿宋"/>
          <w:szCs w:val="24"/>
          <w:u w:val="none"/>
          <w:lang w:eastAsia="zh-CN"/>
        </w:rPr>
        <w:t>。</w:t>
      </w:r>
    </w:p>
    <w:p>
      <w:pPr>
        <w:pStyle w:val="16"/>
        <w:spacing w:line="360" w:lineRule="auto"/>
        <w:ind w:firstLine="480"/>
        <w:rPr>
          <w:rFonts w:ascii="仿宋" w:hAnsi="仿宋" w:eastAsia="仿宋" w:cs="仿宋"/>
          <w:b/>
          <w:sz w:val="24"/>
          <w:szCs w:val="24"/>
        </w:rPr>
      </w:pPr>
      <w:r>
        <w:rPr>
          <w:rFonts w:hint="eastAsia" w:ascii="仿宋" w:hAnsi="仿宋" w:eastAsia="仿宋" w:cs="仿宋"/>
          <w:b/>
          <w:color w:val="auto"/>
          <w:sz w:val="24"/>
          <w:szCs w:val="24"/>
        </w:rPr>
        <w:t>本项目接受联合体投标：否</w:t>
      </w:r>
      <w:r>
        <w:rPr>
          <w:rFonts w:hint="eastAsia" w:ascii="仿宋" w:hAnsi="仿宋" w:eastAsia="仿宋" w:cs="仿宋"/>
          <w:color w:val="auto"/>
          <w:kern w:val="0"/>
          <w:sz w:val="24"/>
          <w:szCs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w:t>
      </w:r>
      <w:r>
        <w:rPr>
          <w:rFonts w:hint="eastAsia" w:ascii="仿宋" w:hAnsi="仿宋" w:eastAsia="仿宋" w:cs="仿宋"/>
          <w:snapToGrid w:val="0"/>
          <w:kern w:val="28"/>
          <w:sz w:val="24"/>
          <w:u w:val="single"/>
        </w:rPr>
        <w:t>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kern w:val="28"/>
          <w:sz w:val="24"/>
        </w:rPr>
        <w:t>；</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 xml:space="preserve">    2.落实政府采购政策需满足的资格要求：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sdtPr>
              <w:rPr>
                <w:rFonts w:hint="eastAsia" w:ascii="仿宋" w:hAnsi="仿宋" w:eastAsia="仿宋" w:cs="仿宋"/>
                <w:kern w:val="0"/>
                <w:sz w:val="24"/>
              </w:rPr>
              <w:id w:val="1429389454"/>
            </w:sdtPr>
            <w:sdtEndPr>
              <w:rPr>
                <w:rFonts w:hint="eastAsia" w:ascii="仿宋" w:hAnsi="仿宋" w:eastAsia="仿宋" w:cs="仿宋"/>
                <w:kern w:val="0"/>
                <w:sz w:val="24"/>
              </w:rPr>
            </w:sdtEndPr>
            <w:sdtContent>
              <w:sdt>
                <w:sdtPr>
                  <w:rPr>
                    <w:rFonts w:hint="eastAsia" w:ascii="仿宋" w:hAnsi="仿宋" w:eastAsia="仿宋" w:cs="仿宋"/>
                    <w:kern w:val="0"/>
                    <w:sz w:val="24"/>
                  </w:rPr>
                  <w:id w:val="1429389454"/>
                  <w:showingPlcHdr/>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sdtContent>
          </w:sdt>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sdt>
            <w:sdtPr>
              <w:rPr>
                <w:rFonts w:hint="eastAsia" w:ascii="仿宋" w:hAnsi="仿宋" w:eastAsia="仿宋" w:cs="仿宋"/>
                <w:kern w:val="0"/>
                <w:sz w:val="24"/>
              </w:rPr>
              <w:id w:val="-560177546"/>
            </w:sdtPr>
            <w:sdtEndPr>
              <w:rPr>
                <w:rFonts w:hint="eastAsia" w:ascii="仿宋" w:hAnsi="仿宋" w:eastAsia="仿宋" w:cs="仿宋"/>
                <w:kern w:val="0"/>
                <w:sz w:val="24"/>
              </w:rPr>
            </w:sdtEndPr>
            <w:sdtContent>
              <w:sdt>
                <w:sdtPr>
                  <w:rPr>
                    <w:rFonts w:hint="eastAsia" w:ascii="仿宋" w:hAnsi="仿宋" w:eastAsia="仿宋" w:cs="仿宋"/>
                    <w:kern w:val="0"/>
                    <w:sz w:val="24"/>
                  </w:rPr>
                  <w:id w:val="1429389454"/>
                </w:sdtPr>
                <w:sdtEndPr>
                  <w:rPr>
                    <w:rFonts w:hint="eastAsia" w:ascii="仿宋" w:hAnsi="仿宋" w:eastAsia="仿宋" w:cs="仿宋"/>
                    <w:kern w:val="0"/>
                    <w:sz w:val="24"/>
                  </w:rPr>
                </w:sdtEndPr>
                <w:sdtContent>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3.本项目的特定资格要求：</w:t>
      </w:r>
      <w:r>
        <w:rPr>
          <w:rFonts w:hint="eastAsia" w:ascii="仿宋" w:hAnsi="仿宋" w:eastAsia="仿宋" w:cs="仿宋"/>
          <w:b/>
          <w:bCs/>
          <w:sz w:val="24"/>
          <w:lang w:val="en-US" w:eastAsia="zh-CN"/>
        </w:rPr>
        <w:t>①投标人具备文物保护工程监理乙级及以上资质；省外企业须经省住建厅备案（省内企业不作要求）</w:t>
      </w:r>
    </w:p>
    <w:p>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②拟投入的项目总监具有中级及以上职称证书并具备全国文物局颁发的业务培训证书。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三、获取（下载）采购文件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ascii="仿宋" w:hAnsi="仿宋" w:eastAsia="仿宋" w:cs="仿宋"/>
          <w:sz w:val="24"/>
        </w:rPr>
        <w:t>/</w:t>
      </w:r>
      <w:r>
        <w:rPr>
          <w:rFonts w:hint="eastAsia" w:ascii="仿宋" w:hAnsi="仿宋" w:eastAsia="仿宋" w:cs="仿宋"/>
          <w:sz w:val="24"/>
        </w:rPr>
        <w:t>至2022年</w:t>
      </w:r>
      <w:r>
        <w:rPr>
          <w:rFonts w:hint="eastAsia" w:ascii="仿宋" w:hAnsi="仿宋" w:eastAsia="仿宋" w:cs="仿宋"/>
          <w:sz w:val="24"/>
          <w:lang w:val="en-US" w:eastAsia="zh-CN"/>
        </w:rPr>
        <w:t>4</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通过“浙江政府采购网”在线获取（采购公告下方选取“潜在供应商”处“获取采购文件”），不提供纸制版采购文件；供应商只有在“浙江政府采购网”完成获取采购文件申请并下载了采购文件后才视作依法获取采购文件；通过本公告下方“游客，浏览采购文件”下载的采购文件仅供浏览，不视作依法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w:t>
      </w:r>
      <w:r>
        <w:rPr>
          <w:rStyle w:val="70"/>
          <w:rFonts w:hint="eastAsia" w:ascii="仿宋" w:hAnsi="仿宋" w:eastAsia="仿宋" w:cs="仿宋"/>
          <w:color w:val="000000"/>
          <w:sz w:val="24"/>
        </w:rPr>
        <w:t>响应文件提交（上传）</w:t>
      </w:r>
    </w:p>
    <w:p>
      <w:pPr>
        <w:spacing w:line="360" w:lineRule="auto"/>
        <w:ind w:firstLine="482" w:firstLineChars="200"/>
        <w:rPr>
          <w:rFonts w:ascii="仿宋" w:hAnsi="仿宋" w:eastAsia="仿宋" w:cs="仿宋"/>
          <w:sz w:val="24"/>
        </w:rPr>
      </w:pPr>
      <w:r>
        <w:rPr>
          <w:rFonts w:hint="eastAsia" w:ascii="仿宋" w:hAnsi="仿宋" w:eastAsia="仿宋" w:cs="仿宋"/>
          <w:b/>
          <w:sz w:val="24"/>
        </w:rPr>
        <w:t>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 xml:space="preserve">点 </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rPr>
          <w:rFonts w:ascii="仿宋" w:hAnsi="仿宋" w:eastAsia="仿宋" w:cs="仿宋"/>
          <w:b/>
          <w:sz w:val="24"/>
        </w:rPr>
      </w:pPr>
      <w:r>
        <w:rPr>
          <w:rFonts w:hint="eastAsia" w:ascii="仿宋" w:hAnsi="仿宋" w:eastAsia="仿宋" w:cs="仿宋"/>
          <w:b/>
          <w:sz w:val="24"/>
        </w:rPr>
        <w:t>五、响应文件开启</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采购意向公开链接</w:t>
      </w:r>
    </w:p>
    <w:tbl>
      <w:tblPr>
        <w:tblStyle w:val="62"/>
        <w:tblW w:w="23685" w:type="dxa"/>
        <w:tblCellSpacing w:w="15" w:type="dxa"/>
        <w:tblInd w:w="0" w:type="dxa"/>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513"/>
        <w:gridCol w:w="1172"/>
      </w:tblGrid>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tcMar>
              <w:top w:w="105" w:type="dxa"/>
              <w:left w:w="240" w:type="dxa"/>
              <w:bottom w:w="105" w:type="dxa"/>
              <w:right w:w="2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left"/>
              <w:textAlignment w:val="top"/>
              <w:rPr>
                <w:rFonts w:hint="eastAsia" w:ascii="仿宋" w:hAnsi="仿宋" w:eastAsia="仿宋" w:cs="仿宋"/>
                <w:sz w:val="24"/>
                <w:lang w:bidi="ar"/>
              </w:rPr>
            </w:pPr>
            <w:r>
              <w:rPr>
                <w:rFonts w:hint="eastAsia" w:ascii="仿宋" w:hAnsi="仿宋" w:eastAsia="仿宋" w:cs="仿宋"/>
                <w:sz w:val="24"/>
                <w:lang w:bidi="ar"/>
              </w:rPr>
              <w:fldChar w:fldCharType="begin"/>
            </w:r>
            <w:r>
              <w:rPr>
                <w:rFonts w:hint="eastAsia" w:ascii="仿宋" w:hAnsi="仿宋" w:eastAsia="仿宋" w:cs="仿宋"/>
                <w:sz w:val="24"/>
                <w:lang w:bidi="ar"/>
              </w:rPr>
              <w:instrText xml:space="preserve"> HYPERLINK "https://zfcg.czt.zj.gov.cn/innerUsed_noticeDetails/index.html?noticeId" </w:instrText>
            </w:r>
            <w:r>
              <w:rPr>
                <w:rFonts w:hint="eastAsia" w:ascii="仿宋" w:hAnsi="仿宋" w:eastAsia="仿宋" w:cs="仿宋"/>
                <w:sz w:val="24"/>
                <w:lang w:bidi="ar"/>
              </w:rPr>
              <w:fldChar w:fldCharType="separate"/>
            </w:r>
            <w:r>
              <w:rPr>
                <w:rStyle w:val="76"/>
                <w:rFonts w:hint="eastAsia" w:ascii="仿宋" w:hAnsi="仿宋" w:eastAsia="仿宋" w:cs="仿宋"/>
                <w:sz w:val="24"/>
                <w:lang w:bidi="ar"/>
              </w:rPr>
              <w:t>https://zfcg.czt.zj.gov.cn/innerUsed_noticeDetails/index.html?noticeId</w:t>
            </w:r>
            <w:r>
              <w:rPr>
                <w:rFonts w:hint="eastAsia" w:ascii="仿宋" w:hAnsi="仿宋" w:eastAsia="仿宋" w:cs="仿宋"/>
                <w:sz w:val="24"/>
                <w:lang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left"/>
              <w:textAlignment w:val="top"/>
              <w:rPr>
                <w:rFonts w:ascii="微软雅黑" w:hAnsi="微软雅黑" w:eastAsia="微软雅黑" w:cs="微软雅黑"/>
                <w:i w:val="0"/>
                <w:iCs w:val="0"/>
                <w:caps w:val="0"/>
                <w:color w:val="333333"/>
                <w:spacing w:val="0"/>
                <w:sz w:val="21"/>
                <w:szCs w:val="21"/>
              </w:rPr>
            </w:pPr>
            <w:r>
              <w:rPr>
                <w:rFonts w:hint="eastAsia" w:ascii="仿宋" w:hAnsi="仿宋" w:eastAsia="仿宋" w:cs="仿宋"/>
                <w:sz w:val="24"/>
                <w:lang w:bidi="ar"/>
              </w:rPr>
              <w:t>=8518696&amp;utm=web-government-front.49399a16.0.0.adb5ede0b70a11ec82f0b1d2bb5f225b</w:t>
            </w:r>
          </w:p>
        </w:tc>
        <w:tc>
          <w:tcPr>
            <w:tcW w:w="0" w:type="auto"/>
            <w:tcBorders>
              <w:bottom w:val="single" w:color="E8E8E8" w:sz="6" w:space="0"/>
              <w:right w:val="single" w:color="E8E8E8" w:sz="6" w:space="0"/>
            </w:tcBorders>
            <w:shd w:val="clear" w:color="auto" w:fill="FFFFFF"/>
            <w:tcMar>
              <w:top w:w="105" w:type="dxa"/>
              <w:left w:w="240" w:type="dxa"/>
              <w:bottom w:w="105" w:type="dxa"/>
              <w:right w:w="240" w:type="dxa"/>
            </w:tcMar>
            <w:vAlign w:val="center"/>
          </w:tcPr>
          <w:p>
            <w:pPr>
              <w:jc w:val="left"/>
              <w:rPr>
                <w:rFonts w:hint="eastAsia" w:ascii="微软雅黑" w:hAnsi="微软雅黑" w:eastAsia="微软雅黑" w:cs="微软雅黑"/>
                <w:i w:val="0"/>
                <w:iCs w:val="0"/>
                <w:caps w:val="0"/>
                <w:color w:val="333333"/>
                <w:spacing w:val="0"/>
                <w:sz w:val="21"/>
                <w:szCs w:val="21"/>
              </w:rPr>
            </w:pPr>
          </w:p>
        </w:tc>
      </w:tr>
    </w:tbl>
    <w:p>
      <w:pPr>
        <w:keepNext w:val="0"/>
        <w:keepLines w:val="0"/>
        <w:widowControl/>
        <w:suppressLineNumbers w:val="0"/>
        <w:jc w:val="left"/>
      </w:pPr>
    </w:p>
    <w:p>
      <w:pPr>
        <w:spacing w:line="360" w:lineRule="auto"/>
        <w:rPr>
          <w:rFonts w:ascii="仿宋" w:hAnsi="仿宋" w:eastAsia="仿宋" w:cs="仿宋"/>
          <w:sz w:val="24"/>
        </w:rPr>
      </w:pPr>
      <w:r>
        <w:rPr>
          <w:rFonts w:hint="eastAsia" w:ascii="仿宋" w:hAnsi="仿宋" w:eastAsia="仿宋" w:cs="仿宋"/>
          <w:b/>
          <w:sz w:val="24"/>
        </w:rPr>
        <w:t>七、公告期限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自本公告发布之日起3个工作日。</w:t>
      </w:r>
    </w:p>
    <w:p>
      <w:pPr>
        <w:spacing w:line="360" w:lineRule="auto"/>
        <w:rPr>
          <w:rFonts w:ascii="仿宋" w:hAnsi="仿宋" w:eastAsia="仿宋" w:cs="仿宋"/>
          <w:b/>
          <w:sz w:val="24"/>
        </w:rPr>
      </w:pPr>
      <w:r>
        <w:rPr>
          <w:rFonts w:hint="eastAsia" w:ascii="仿宋" w:hAnsi="仿宋" w:eastAsia="仿宋" w:cs="仿宋"/>
          <w:b/>
          <w:sz w:val="24"/>
        </w:rPr>
        <w:t>八、其他补充事宜</w:t>
      </w:r>
    </w:p>
    <w:p>
      <w:pPr>
        <w:spacing w:line="360" w:lineRule="auto"/>
        <w:rPr>
          <w:rFonts w:hint="eastAsia" w:ascii="仿宋_GB2312" w:hAnsi="仿宋" w:eastAsia="仿宋_GB2312"/>
          <w:sz w:val="24"/>
        </w:rPr>
      </w:pPr>
      <w:bookmarkStart w:id="543" w:name="_GoBack"/>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eastAsia"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_GB2312" w:hAnsi="仿宋" w:eastAsia="仿宋_GB2312"/>
          <w:sz w:val="24"/>
        </w:rPr>
      </w:pPr>
      <w:r>
        <w:rPr>
          <w:rFonts w:hint="eastAsia" w:ascii="仿宋_GB2312" w:hAnsi="仿宋" w:eastAsia="仿宋_GB2312"/>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b/>
          <w:sz w:val="24"/>
        </w:rPr>
      </w:pPr>
      <w:r>
        <w:rPr>
          <w:rFonts w:hint="eastAsia" w:ascii="仿宋_GB2312" w:hAnsi="仿宋" w:eastAsia="仿宋_GB2312"/>
          <w:sz w:val="24"/>
        </w:rPr>
        <w:t xml:space="preserve">    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 </w:t>
      </w:r>
      <w:bookmarkEnd w:id="543"/>
      <w:r>
        <w:rPr>
          <w:rFonts w:hint="eastAsia" w:ascii="仿宋_GB2312" w:hAnsi="仿宋" w:eastAsia="仿宋_GB2312"/>
          <w:sz w:val="24"/>
        </w:rPr>
        <w:t xml:space="preserve"> </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杭州市临安区文化和广电旅游体育局</w:t>
      </w:r>
    </w:p>
    <w:p>
      <w:pPr>
        <w:spacing w:line="360" w:lineRule="auto"/>
        <w:ind w:firstLine="480"/>
        <w:rPr>
          <w:rFonts w:hint="eastAsia" w:ascii="仿宋" w:hAnsi="仿宋" w:eastAsia="仿宋" w:cs="仿宋"/>
          <w:sz w:val="24"/>
        </w:rPr>
      </w:pPr>
      <w:r>
        <w:rPr>
          <w:rFonts w:hint="eastAsia" w:ascii="仿宋" w:hAnsi="仿宋" w:eastAsia="仿宋" w:cs="仿宋"/>
          <w:sz w:val="24"/>
        </w:rPr>
        <w:t>地    址：杭州市临安区锦城街道</w:t>
      </w:r>
      <w:r>
        <w:rPr>
          <w:rFonts w:hint="eastAsia" w:ascii="仿宋" w:hAnsi="仿宋" w:eastAsia="仿宋" w:cs="仿宋"/>
          <w:sz w:val="24"/>
          <w:lang w:val="en-US" w:eastAsia="zh-CN"/>
        </w:rPr>
        <w:t>钱王街28</w:t>
      </w:r>
      <w:r>
        <w:rPr>
          <w:rFonts w:hint="eastAsia" w:ascii="仿宋" w:hAnsi="仿宋" w:eastAsia="仿宋" w:cs="仿宋"/>
          <w:sz w:val="24"/>
        </w:rPr>
        <w:t>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项目联系人（询问）：陈卫玉</w:t>
      </w:r>
      <w:r>
        <w:rPr>
          <w:rFonts w:hint="eastAsia" w:ascii="仿宋" w:hAnsi="仿宋" w:eastAsia="仿宋" w:cs="仿宋"/>
          <w:sz w:val="24"/>
          <w:lang w:val="en-US" w:eastAsia="zh-CN"/>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项目联系方式（询问）：0571-63734569</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质疑联系人：卞建新</w:t>
      </w:r>
      <w:r>
        <w:rPr>
          <w:rFonts w:hint="eastAsia" w:ascii="仿宋" w:hAnsi="仿宋" w:eastAsia="仿宋" w:cs="仿宋"/>
          <w:sz w:val="24"/>
          <w:lang w:val="en-US" w:eastAsia="zh-CN"/>
        </w:rPr>
        <w:t xml:space="preserve">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质疑联系方式：0571-63715189</w:t>
      </w:r>
      <w:r>
        <w:rPr>
          <w:rFonts w:hint="eastAsia" w:ascii="仿宋" w:hAnsi="仿宋" w:eastAsia="仿宋" w:cs="仿宋"/>
          <w:sz w:val="24"/>
          <w:lang w:val="en-US" w:eastAsia="zh-CN"/>
        </w:rPr>
        <w:t xml:space="preserve"> </w:t>
      </w:r>
    </w:p>
    <w:p>
      <w:pPr>
        <w:pStyle w:val="59"/>
        <w:snapToGrid w:val="0"/>
        <w:spacing w:before="0" w:beforeAutospacing="0" w:after="0" w:afterAutospacing="0" w:line="360" w:lineRule="auto"/>
        <w:ind w:firstLine="480" w:firstLineChars="200"/>
        <w:jc w:val="both"/>
        <w:rPr>
          <w:rFonts w:ascii="仿宋" w:hAnsi="仿宋" w:eastAsia="仿宋" w:cs="仿宋"/>
        </w:rPr>
      </w:pPr>
      <w:r>
        <w:rPr>
          <w:rFonts w:ascii="仿宋" w:hAnsi="仿宋" w:eastAsia="仿宋" w:cs="仿宋"/>
        </w:rPr>
        <w:t>2.采购代理机构信息</w:t>
      </w:r>
    </w:p>
    <w:p>
      <w:pPr>
        <w:pStyle w:val="59"/>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名称：杭州建设工程造价咨询有限公司</w:t>
      </w:r>
    </w:p>
    <w:p>
      <w:pPr>
        <w:pStyle w:val="59"/>
        <w:snapToGrid w:val="0"/>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 xml:space="preserve">地址：杭州市临安区锦北街道马溪路667号1号楼2楼  </w:t>
      </w:r>
    </w:p>
    <w:p>
      <w:pPr>
        <w:pStyle w:val="59"/>
        <w:snapToGrid w:val="0"/>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传真：</w:t>
      </w:r>
      <w:r>
        <w:rPr>
          <w:rFonts w:ascii="仿宋" w:hAnsi="仿宋" w:eastAsia="仿宋" w:cs="仿宋"/>
        </w:rPr>
        <w:t>/</w:t>
      </w:r>
    </w:p>
    <w:p>
      <w:pPr>
        <w:pStyle w:val="59"/>
        <w:snapToGrid w:val="0"/>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项目联系人（询问）：马丽</w:t>
      </w:r>
    </w:p>
    <w:p>
      <w:pPr>
        <w:pStyle w:val="59"/>
        <w:snapToGrid w:val="0"/>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项目联系方式（询问）：0571-61091202</w:t>
      </w:r>
    </w:p>
    <w:p>
      <w:pPr>
        <w:pStyle w:val="59"/>
        <w:snapToGrid w:val="0"/>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 xml:space="preserve">质疑联系人：陈浩伟  </w:t>
      </w:r>
    </w:p>
    <w:p>
      <w:pPr>
        <w:pStyle w:val="59"/>
        <w:snapToGrid w:val="0"/>
        <w:spacing w:before="0" w:beforeAutospacing="0" w:after="0" w:afterAutospacing="0" w:line="360" w:lineRule="auto"/>
        <w:ind w:firstLine="480" w:firstLineChars="200"/>
        <w:jc w:val="both"/>
        <w:rPr>
          <w:rFonts w:hint="eastAsia" w:ascii="仿宋" w:hAnsi="仿宋" w:eastAsia="仿宋" w:cs="仿宋"/>
        </w:rPr>
      </w:pPr>
      <w:r>
        <w:rPr>
          <w:rFonts w:hint="eastAsia" w:ascii="仿宋" w:hAnsi="仿宋" w:eastAsia="仿宋" w:cs="仿宋"/>
        </w:rPr>
        <w:t>质疑联系方式：0571-63806616</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名称：杭州市临安区财政局政府采购监督管理科          </w:t>
      </w:r>
    </w:p>
    <w:p>
      <w:pPr>
        <w:spacing w:line="360" w:lineRule="auto"/>
        <w:ind w:firstLine="480" w:firstLineChars="200"/>
        <w:rPr>
          <w:rFonts w:ascii="仿宋" w:hAnsi="仿宋" w:eastAsia="仿宋" w:cs="仿宋"/>
          <w:sz w:val="24"/>
        </w:rPr>
      </w:pPr>
      <w:r>
        <w:rPr>
          <w:rFonts w:hint="eastAsia" w:ascii="仿宋" w:hAnsi="仿宋" w:eastAsia="仿宋" w:cs="仿宋"/>
          <w:sz w:val="24"/>
        </w:rPr>
        <w:t>地址：杭州市临安区锦北街道科技大道4398号市民中心4号楼B座1129            </w:t>
      </w:r>
    </w:p>
    <w:p>
      <w:pPr>
        <w:spacing w:line="360" w:lineRule="auto"/>
        <w:ind w:firstLine="480" w:firstLineChars="200"/>
        <w:rPr>
          <w:rFonts w:ascii="仿宋" w:hAnsi="仿宋" w:eastAsia="仿宋" w:cs="仿宋"/>
          <w:sz w:val="24"/>
        </w:rPr>
      </w:pPr>
      <w:r>
        <w:rPr>
          <w:rFonts w:hint="eastAsia" w:ascii="仿宋" w:hAnsi="仿宋" w:eastAsia="仿宋" w:cs="仿宋"/>
          <w:sz w:val="24"/>
        </w:rPr>
        <w:t>传真：0571-61073953          </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 ：喻伟建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监督投诉电话：0571-61073953</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7"/>
      <w:r>
        <w:rPr>
          <w:rFonts w:hint="eastAsia" w:ascii="仿宋" w:hAnsi="仿宋" w:eastAsia="仿宋" w:cs="仿宋"/>
          <w:b/>
          <w:sz w:val="36"/>
          <w:szCs w:val="20"/>
        </w:rPr>
        <w:t>供应商须知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9282" w:type="dxa"/>
        <w:tblInd w:w="-1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0"/>
        <w:gridCol w:w="2066"/>
        <w:gridCol w:w="6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序号</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事项</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30" w:type="dxa"/>
            <w:tcBorders>
              <w:bottom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w:t>
            </w:r>
          </w:p>
        </w:tc>
        <w:tc>
          <w:tcPr>
            <w:tcW w:w="2066" w:type="dxa"/>
            <w:tcBorders>
              <w:bottom w:val="single" w:color="auto" w:sz="4" w:space="0"/>
            </w:tcBorders>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项目名称</w:t>
            </w:r>
          </w:p>
        </w:tc>
        <w:tc>
          <w:tcPr>
            <w:tcW w:w="6586" w:type="dxa"/>
            <w:tcBorders>
              <w:bottom w:val="single" w:color="auto" w:sz="4" w:space="0"/>
            </w:tcBorders>
            <w:vAlign w:val="center"/>
          </w:tcPr>
          <w:p>
            <w:pPr>
              <w:snapToGrid w:val="0"/>
              <w:spacing w:line="360" w:lineRule="exact"/>
              <w:ind w:firstLine="240" w:firstLineChars="100"/>
              <w:rPr>
                <w:rFonts w:hint="eastAsia" w:ascii="仿宋" w:hAnsi="仿宋" w:eastAsia="仿宋" w:cs="仿宋"/>
                <w:sz w:val="24"/>
                <w:lang w:eastAsia="zh-CN"/>
              </w:rPr>
            </w:pPr>
            <w:r>
              <w:rPr>
                <w:rFonts w:hint="eastAsia" w:ascii="仿宋" w:hAnsi="仿宋" w:eastAsia="仿宋" w:cs="仿宋"/>
                <w:sz w:val="24"/>
                <w:lang w:eastAsia="zh-CN"/>
              </w:rPr>
              <w:t>杭州市临安区农村历史建筑保护维修项目监理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2</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项目实施地点</w:t>
            </w:r>
          </w:p>
        </w:tc>
        <w:tc>
          <w:tcPr>
            <w:tcW w:w="6586" w:type="dxa"/>
            <w:vAlign w:val="center"/>
          </w:tcPr>
          <w:p>
            <w:pPr>
              <w:pStyle w:val="34"/>
              <w:snapToGrid w:val="0"/>
              <w:spacing w:line="360" w:lineRule="exact"/>
              <w:ind w:firstLine="240" w:firstLineChars="100"/>
              <w:rPr>
                <w:rFonts w:ascii="仿宋" w:hAnsi="仿宋" w:eastAsia="仿宋" w:cs="仿宋"/>
                <w:snapToGrid/>
                <w:sz w:val="24"/>
                <w:szCs w:val="24"/>
              </w:rPr>
            </w:pPr>
            <w:r>
              <w:rPr>
                <w:rFonts w:hint="eastAsia" w:ascii="仿宋" w:hAnsi="仿宋" w:eastAsia="仿宋" w:cs="仿宋"/>
                <w:snapToGrid/>
                <w:sz w:val="24"/>
                <w:szCs w:val="24"/>
                <w:lang w:eastAsia="zh-CN"/>
              </w:rPr>
              <w:t>临安区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3</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资金来源</w:t>
            </w:r>
          </w:p>
        </w:tc>
        <w:tc>
          <w:tcPr>
            <w:tcW w:w="6586" w:type="dxa"/>
            <w:vAlign w:val="center"/>
          </w:tcPr>
          <w:p>
            <w:pPr>
              <w:snapToGrid w:val="0"/>
              <w:spacing w:line="360" w:lineRule="exact"/>
              <w:ind w:firstLine="240" w:firstLineChars="100"/>
              <w:rPr>
                <w:rFonts w:ascii="仿宋" w:hAnsi="仿宋" w:eastAsia="仿宋" w:cs="仿宋"/>
                <w:sz w:val="24"/>
              </w:rPr>
            </w:pPr>
            <w:r>
              <w:rPr>
                <w:rFonts w:hint="eastAsia" w:ascii="仿宋" w:hAnsi="仿宋" w:eastAsia="仿宋" w:cs="仿宋"/>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4</w:t>
            </w:r>
          </w:p>
        </w:tc>
        <w:tc>
          <w:tcPr>
            <w:tcW w:w="2066" w:type="dxa"/>
            <w:vAlign w:val="center"/>
          </w:tcPr>
          <w:p>
            <w:pPr>
              <w:snapToGrid w:val="0"/>
              <w:spacing w:line="360" w:lineRule="exact"/>
              <w:jc w:val="center"/>
              <w:rPr>
                <w:rFonts w:ascii="仿宋" w:hAnsi="仿宋" w:eastAsia="仿宋" w:cs="仿宋"/>
                <w:sz w:val="24"/>
                <w:lang w:val="zh-CN"/>
              </w:rPr>
            </w:pPr>
            <w:r>
              <w:rPr>
                <w:rFonts w:hint="eastAsia" w:ascii="仿宋" w:hAnsi="仿宋" w:eastAsia="仿宋" w:cs="仿宋"/>
                <w:sz w:val="24"/>
                <w:lang w:val="zh-CN"/>
              </w:rPr>
              <w:t>项目内容</w:t>
            </w:r>
          </w:p>
        </w:tc>
        <w:tc>
          <w:tcPr>
            <w:tcW w:w="6586" w:type="dxa"/>
            <w:vAlign w:val="center"/>
          </w:tcPr>
          <w:p>
            <w:pPr>
              <w:pStyle w:val="34"/>
              <w:snapToGrid w:val="0"/>
              <w:spacing w:line="360" w:lineRule="exact"/>
              <w:ind w:firstLine="240" w:firstLineChars="100"/>
              <w:rPr>
                <w:rFonts w:hint="eastAsia" w:ascii="仿宋" w:hAnsi="仿宋" w:eastAsia="仿宋" w:cs="仿宋"/>
                <w:snapToGrid/>
                <w:sz w:val="24"/>
                <w:szCs w:val="24"/>
                <w:lang w:eastAsia="zh-CN"/>
              </w:rPr>
            </w:pPr>
            <w:r>
              <w:rPr>
                <w:rFonts w:hint="eastAsia" w:ascii="仿宋" w:hAnsi="仿宋" w:eastAsia="仿宋" w:cs="仿宋"/>
                <w:sz w:val="24"/>
                <w:lang w:eastAsia="zh-CN"/>
              </w:rPr>
              <w:t>杭州市临安区农村历史建筑保护维修项目监理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630" w:type="dxa"/>
            <w:vAlign w:val="center"/>
          </w:tcPr>
          <w:p>
            <w:pPr>
              <w:snapToGrid w:val="0"/>
              <w:spacing w:line="360" w:lineRule="exact"/>
              <w:jc w:val="center"/>
              <w:rPr>
                <w:rFonts w:ascii="仿宋" w:hAnsi="仿宋" w:eastAsia="仿宋" w:cs="仿宋"/>
                <w:sz w:val="24"/>
              </w:rPr>
            </w:pPr>
            <w:r>
              <w:rPr>
                <w:rFonts w:ascii="仿宋" w:hAnsi="仿宋" w:eastAsia="仿宋" w:cs="仿宋"/>
                <w:sz w:val="24"/>
              </w:rPr>
              <w:t>5</w:t>
            </w:r>
          </w:p>
        </w:tc>
        <w:tc>
          <w:tcPr>
            <w:tcW w:w="2066" w:type="dxa"/>
            <w:vAlign w:val="center"/>
          </w:tcPr>
          <w:p>
            <w:pPr>
              <w:snapToGrid w:val="0"/>
              <w:spacing w:line="360" w:lineRule="exact"/>
              <w:jc w:val="center"/>
              <w:rPr>
                <w:rFonts w:ascii="仿宋" w:hAnsi="仿宋" w:eastAsia="仿宋" w:cs="仿宋"/>
                <w:sz w:val="24"/>
              </w:rPr>
            </w:pPr>
            <w:r>
              <w:rPr>
                <w:rFonts w:hint="eastAsia" w:ascii="仿宋" w:hAnsi="仿宋" w:eastAsia="仿宋" w:cs="仿宋"/>
                <w:sz w:val="24"/>
              </w:rPr>
              <w:t>服务期</w:t>
            </w:r>
          </w:p>
        </w:tc>
        <w:tc>
          <w:tcPr>
            <w:tcW w:w="6586" w:type="dxa"/>
            <w:vAlign w:val="center"/>
          </w:tcPr>
          <w:p>
            <w:pPr>
              <w:snapToGrid w:val="0"/>
              <w:ind w:firstLine="240" w:firstLineChars="100"/>
              <w:rPr>
                <w:rFonts w:hint="default" w:ascii="仿宋" w:hAnsi="仿宋" w:eastAsia="仿宋" w:cs="仿宋"/>
                <w:sz w:val="24"/>
                <w:lang w:val="en-US" w:eastAsia="zh-CN"/>
              </w:rPr>
            </w:pPr>
            <w:r>
              <w:rPr>
                <w:rFonts w:hint="eastAsia" w:ascii="仿宋" w:hAnsi="仿宋" w:eastAsia="仿宋" w:cs="仿宋"/>
                <w:b w:val="0"/>
                <w:snapToGrid w:val="0"/>
                <w:sz w:val="24"/>
                <w:szCs w:val="21"/>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6</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报价要求</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kern w:val="0"/>
                <w:sz w:val="24"/>
                <w:lang w:val="zh-CN"/>
              </w:rPr>
            </w:pPr>
            <w:r>
              <w:rPr>
                <w:rFonts w:hint="eastAsia" w:ascii="仿宋" w:hAnsi="仿宋" w:eastAsia="仿宋"/>
                <w:kern w:val="0"/>
                <w:sz w:val="24"/>
                <w:lang w:val="zh-CN"/>
              </w:rPr>
              <w:t>本项目采购总预算：</w:t>
            </w:r>
            <w:r>
              <w:rPr>
                <w:rFonts w:hint="eastAsia" w:ascii="仿宋" w:hAnsi="仿宋" w:eastAsia="仿宋"/>
                <w:kern w:val="0"/>
                <w:sz w:val="24"/>
                <w:lang w:val="en-US" w:eastAsia="zh-CN"/>
              </w:rPr>
              <w:t>350000</w:t>
            </w:r>
            <w:r>
              <w:rPr>
                <w:rFonts w:hint="eastAsia" w:ascii="仿宋" w:hAnsi="仿宋" w:eastAsia="仿宋"/>
                <w:kern w:val="0"/>
                <w:sz w:val="24"/>
                <w:lang w:val="zh-CN"/>
              </w:rPr>
              <w:t>元，最高限价</w:t>
            </w:r>
            <w:r>
              <w:rPr>
                <w:rFonts w:hint="eastAsia" w:ascii="仿宋" w:hAnsi="仿宋" w:eastAsia="仿宋"/>
                <w:kern w:val="0"/>
                <w:sz w:val="24"/>
                <w:lang w:val="zh-CN" w:eastAsia="zh-CN"/>
              </w:rPr>
              <w:t>为</w:t>
            </w:r>
            <w:r>
              <w:rPr>
                <w:rFonts w:hint="eastAsia" w:ascii="仿宋" w:hAnsi="仿宋" w:eastAsia="仿宋" w:cs="Times New Roman"/>
                <w:bCs w:val="0"/>
                <w:kern w:val="0"/>
                <w:sz w:val="24"/>
                <w:lang w:val="zh-CN" w:eastAsia="zh-CN"/>
              </w:rPr>
              <w:t>维修项目施工中标合同价的 2.</w:t>
            </w:r>
            <w:r>
              <w:rPr>
                <w:rFonts w:hint="eastAsia" w:ascii="仿宋" w:hAnsi="仿宋" w:eastAsia="仿宋" w:cs="Times New Roman"/>
                <w:bCs w:val="0"/>
                <w:kern w:val="0"/>
                <w:sz w:val="24"/>
                <w:lang w:val="en-US" w:eastAsia="zh-CN"/>
              </w:rPr>
              <w:t>33</w:t>
            </w:r>
            <w:r>
              <w:rPr>
                <w:rFonts w:hint="eastAsia" w:ascii="仿宋" w:hAnsi="仿宋" w:eastAsia="仿宋" w:cs="Times New Roman"/>
                <w:bCs w:val="0"/>
                <w:kern w:val="0"/>
                <w:sz w:val="24"/>
                <w:lang w:val="zh-CN" w:eastAsia="zh-CN"/>
              </w:rPr>
              <w:t>%</w:t>
            </w:r>
            <w:r>
              <w:rPr>
                <w:rFonts w:hint="eastAsia" w:ascii="仿宋" w:hAnsi="仿宋" w:eastAsia="仿宋"/>
                <w:kern w:val="0"/>
                <w:sz w:val="24"/>
                <w:lang w:val="zh-CN"/>
              </w:rPr>
              <w:t>。</w:t>
            </w:r>
          </w:p>
          <w:p>
            <w:pPr>
              <w:snapToGrid w:val="0"/>
              <w:spacing w:line="360" w:lineRule="auto"/>
              <w:jc w:val="left"/>
              <w:rPr>
                <w:rFonts w:hint="eastAsia" w:ascii="仿宋" w:hAnsi="仿宋" w:eastAsia="仿宋"/>
                <w:kern w:val="0"/>
                <w:sz w:val="24"/>
                <w:lang w:val="zh-CN"/>
              </w:rPr>
            </w:pPr>
            <w:r>
              <w:rPr>
                <w:rFonts w:hint="eastAsia" w:ascii="仿宋" w:hAnsi="仿宋" w:eastAsia="仿宋"/>
                <w:kern w:val="0"/>
                <w:sz w:val="24"/>
                <w:lang w:val="zh-CN"/>
              </w:rPr>
              <w:t>▲投标人针对本项目的投标报价不得超过最高限价，否则其投标无效。</w:t>
            </w:r>
          </w:p>
          <w:p>
            <w:pPr>
              <w:snapToGrid w:val="0"/>
              <w:spacing w:line="360" w:lineRule="auto"/>
              <w:jc w:val="left"/>
              <w:rPr>
                <w:rFonts w:hint="eastAsia" w:ascii="仿宋" w:hAnsi="仿宋" w:eastAsia="仿宋"/>
                <w:kern w:val="0"/>
                <w:sz w:val="24"/>
                <w:lang w:val="zh-CN"/>
              </w:rPr>
            </w:pPr>
            <w:r>
              <w:rPr>
                <w:rFonts w:hint="eastAsia" w:ascii="仿宋" w:hAnsi="仿宋" w:eastAsia="仿宋"/>
                <w:kern w:val="0"/>
                <w:sz w:val="24"/>
                <w:lang w:val="zh-CN"/>
              </w:rPr>
              <w:t>报价是中标的一个重要因素，但不是中标的唯一依据。</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响应报价出现下列情形的，投标无效：</w:t>
            </w:r>
          </w:p>
          <w:p>
            <w:pPr>
              <w:snapToGrid w:val="0"/>
              <w:spacing w:line="360" w:lineRule="exact"/>
              <w:jc w:val="left"/>
              <w:rPr>
                <w:rFonts w:ascii="仿宋" w:hAnsi="仿宋" w:eastAsia="仿宋" w:cs="仿宋"/>
                <w:b/>
                <w:kern w:val="0"/>
                <w:sz w:val="24"/>
                <w:lang w:val="zh-CN"/>
              </w:rPr>
            </w:pPr>
            <w:r>
              <w:rPr>
                <w:rFonts w:ascii="仿宋" w:hAnsi="仿宋" w:eastAsia="仿宋" w:cs="仿宋"/>
                <w:b/>
                <w:kern w:val="0"/>
                <w:sz w:val="24"/>
                <w:lang w:val="zh-CN"/>
              </w:rPr>
              <w:t>1、响应文件出现不是唯一的、有选择性响应报价的；</w:t>
            </w:r>
          </w:p>
          <w:p>
            <w:pPr>
              <w:snapToGrid w:val="0"/>
              <w:spacing w:line="360" w:lineRule="exact"/>
              <w:jc w:val="left"/>
              <w:rPr>
                <w:rFonts w:ascii="仿宋" w:hAnsi="仿宋" w:eastAsia="仿宋" w:cs="仿宋"/>
                <w:kern w:val="0"/>
                <w:sz w:val="24"/>
                <w:lang w:val="zh-CN"/>
              </w:rPr>
            </w:pPr>
            <w:r>
              <w:rPr>
                <w:rFonts w:ascii="仿宋" w:hAnsi="仿宋" w:eastAsia="仿宋" w:cs="仿宋"/>
                <w:b/>
                <w:kern w:val="0"/>
                <w:sz w:val="24"/>
                <w:lang w:val="zh-CN"/>
              </w:rPr>
              <w:t>2、响应报价超过采购文件中规定的预算金额或者最高限价的;</w:t>
            </w:r>
          </w:p>
          <w:p>
            <w:pPr>
              <w:snapToGrid w:val="0"/>
              <w:spacing w:line="360" w:lineRule="exact"/>
              <w:rPr>
                <w:rFonts w:ascii="仿宋" w:hAnsi="仿宋" w:eastAsia="仿宋" w:cs="仿宋"/>
                <w:b/>
                <w:sz w:val="24"/>
              </w:rPr>
            </w:pPr>
            <w:r>
              <w:rPr>
                <w:rFonts w:ascii="仿宋" w:hAnsi="仿宋" w:eastAsia="仿宋" w:cs="仿宋"/>
                <w:b/>
                <w:kern w:val="0"/>
                <w:sz w:val="24"/>
              </w:rPr>
              <w:t>3、报价明显低于其他通过符合性审查供应商的报价，有可能影响产品质量或者不能诚信履约的，未能按要求提供书面说明或</w:t>
            </w:r>
            <w:r>
              <w:rPr>
                <w:rFonts w:hint="eastAsia" w:ascii="仿宋" w:hAnsi="仿宋" w:eastAsia="仿宋" w:cs="仿宋"/>
                <w:b/>
                <w:kern w:val="0"/>
                <w:sz w:val="24"/>
              </w:rPr>
              <w:t>者提交相关证明材料证明其报价合理性的</w:t>
            </w:r>
            <w:r>
              <w:rPr>
                <w:rFonts w:ascii="仿宋" w:hAnsi="仿宋" w:eastAsia="仿宋" w:cs="仿宋"/>
                <w:b/>
                <w:sz w:val="24"/>
              </w:rPr>
              <w:t>;</w:t>
            </w:r>
          </w:p>
          <w:p>
            <w:pPr>
              <w:snapToGrid w:val="0"/>
              <w:spacing w:line="360" w:lineRule="exact"/>
              <w:rPr>
                <w:rFonts w:ascii="仿宋" w:hAnsi="仿宋" w:eastAsia="仿宋" w:cs="仿宋"/>
                <w:sz w:val="24"/>
              </w:rPr>
            </w:pPr>
            <w:r>
              <w:rPr>
                <w:rFonts w:ascii="仿宋" w:hAnsi="仿宋" w:eastAsia="仿宋" w:cs="仿宋"/>
                <w:b/>
                <w:kern w:val="0"/>
                <w:sz w:val="24"/>
              </w:rPr>
              <w:t>4、供应商对根据修正原则修正后的报价不确认的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7</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 xml:space="preserve"> A</w:t>
            </w:r>
            <w:r>
              <w:rPr>
                <w:rFonts w:hint="eastAsia" w:ascii="仿宋" w:hAnsi="仿宋" w:eastAsia="仿宋" w:cs="仿宋"/>
                <w:sz w:val="24"/>
              </w:rPr>
              <w:t>同意将非主体、非关键性的工作分包。</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r>
              <w:rPr>
                <w:rFonts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30"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8</w:t>
            </w:r>
          </w:p>
        </w:tc>
        <w:tc>
          <w:tcPr>
            <w:tcW w:w="2066" w:type="dxa"/>
            <w:vMerge w:val="restart"/>
            <w:tcBorders>
              <w:top w:val="single" w:color="000000" w:sz="8" w:space="0"/>
              <w:left w:val="single" w:color="auto" w:sz="4"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586"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1）资格证明文件：见采购文件第二部分11.1。</w:t>
            </w:r>
          </w:p>
          <w:p>
            <w:pPr>
              <w:snapToGrid w:val="0"/>
              <w:spacing w:line="360" w:lineRule="exact"/>
              <w:rPr>
                <w:rFonts w:ascii="仿宋" w:hAnsi="仿宋" w:eastAsia="仿宋" w:cs="仿宋"/>
                <w:snapToGrid w:val="0"/>
                <w:kern w:val="0"/>
                <w:sz w:val="24"/>
              </w:rPr>
            </w:pPr>
            <w:r>
              <w:rPr>
                <w:rFonts w:hint="eastAsia" w:ascii="仿宋" w:hAnsi="仿宋" w:eastAsia="仿宋" w:cs="仿宋"/>
                <w:kern w:val="0"/>
                <w:sz w:val="24"/>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rPr>
        <w:tc>
          <w:tcPr>
            <w:tcW w:w="630"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p>
        </w:tc>
        <w:tc>
          <w:tcPr>
            <w:tcW w:w="2066" w:type="dxa"/>
            <w:vMerge w:val="continue"/>
            <w:tcBorders>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p>
        </w:tc>
        <w:tc>
          <w:tcPr>
            <w:tcW w:w="6586"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2）资信证明文件：根据采购文件第四部分评标</w:t>
            </w:r>
            <w:r>
              <w:rPr>
                <w:rFonts w:hint="eastAsia" w:ascii="仿宋" w:hAnsi="仿宋" w:eastAsia="仿宋" w:cs="仿宋"/>
                <w:sz w:val="24"/>
              </w:rPr>
              <w:t>办法提供。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9</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r>
              <w:rPr>
                <w:rFonts w:ascii="仿宋" w:hAnsi="仿宋" w:eastAsia="仿宋" w:cs="仿宋"/>
                <w:kern w:val="0"/>
                <w:sz w:val="24"/>
              </w:rPr>
              <w:t>A</w:t>
            </w:r>
            <w:r>
              <w:rPr>
                <w:rFonts w:hint="eastAsia" w:ascii="仿宋" w:hAnsi="仿宋" w:eastAsia="仿宋" w:cs="仿宋"/>
                <w:sz w:val="24"/>
              </w:rPr>
              <w:t>不组织。</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B组织，</w:t>
            </w:r>
            <w:r>
              <w:rPr>
                <w:rFonts w:hint="eastAsia" w:ascii="仿宋" w:hAnsi="仿宋" w:eastAsia="仿宋" w:cs="仿宋"/>
                <w:sz w:val="24"/>
              </w:rPr>
              <w:t>时间：</w:t>
            </w:r>
            <w:r>
              <w:rPr>
                <w:rFonts w:ascii="仿宋" w:hAnsi="仿宋" w:eastAsia="仿宋" w:cs="仿宋"/>
                <w:sz w:val="24"/>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10</w:t>
            </w:r>
          </w:p>
        </w:tc>
        <w:tc>
          <w:tcPr>
            <w:tcW w:w="206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样品提供</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sdt>
                  <w:sdtPr>
                    <w:rPr>
                      <w:rFonts w:hint="eastAsia" w:ascii="仿宋" w:hAnsi="仿宋" w:eastAsia="仿宋" w:cs="仿宋"/>
                      <w:kern w:val="0"/>
                      <w:sz w:val="24"/>
                    </w:rPr>
                    <w:id w:val="-1426415208"/>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sdtContent>
            </w:sdt>
            <w:r>
              <w:rPr>
                <w:rFonts w:ascii="仿宋" w:hAnsi="仿宋" w:eastAsia="仿宋" w:cs="仿宋"/>
                <w:kern w:val="0"/>
                <w:sz w:val="24"/>
              </w:rPr>
              <w:t>A</w:t>
            </w:r>
            <w:r>
              <w:rPr>
                <w:rFonts w:hint="eastAsia" w:ascii="仿宋" w:hAnsi="仿宋" w:eastAsia="仿宋" w:cs="仿宋"/>
                <w:sz w:val="24"/>
              </w:rPr>
              <w:t>不要求提供。</w:t>
            </w:r>
          </w:p>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B要求提供，</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napToGrid w:val="0"/>
              <w:spacing w:line="36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napToGrid w:val="0"/>
              <w:spacing w:line="360" w:lineRule="exact"/>
              <w:rPr>
                <w:rFonts w:ascii="仿宋" w:hAnsi="仿宋" w:eastAsia="仿宋" w:cs="仿宋"/>
                <w:sz w:val="24"/>
              </w:rPr>
            </w:pPr>
            <w:r>
              <w:rPr>
                <w:rFonts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360" w:lineRule="exact"/>
              <w:rPr>
                <w:rFonts w:ascii="仿宋" w:hAnsi="仿宋" w:eastAsia="仿宋" w:cs="仿宋"/>
                <w:b/>
                <w:sz w:val="24"/>
              </w:rPr>
            </w:pPr>
            <w:r>
              <w:rPr>
                <w:rFonts w:hint="eastAsia" w:ascii="仿宋" w:hAnsi="仿宋" w:eastAsia="仿宋" w:cs="仿宋"/>
                <w:sz w:val="24"/>
              </w:rPr>
              <w:t>（</w:t>
            </w:r>
            <w:r>
              <w:rPr>
                <w:rFonts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11</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
                <w:sz w:val="24"/>
              </w:rPr>
              <w:t>方案讲解演示</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316918849"/>
                  </w:sdtPr>
                  <w:sdtEndPr>
                    <w:rPr>
                      <w:rFonts w:hint="eastAsia" w:ascii="仿宋" w:hAnsi="仿宋" w:eastAsia="仿宋" w:cs="仿宋"/>
                      <w:kern w:val="0"/>
                      <w:sz w:val="24"/>
                    </w:rPr>
                  </w:sdtEndPr>
                  <w:sdtContent>
                    <w:r>
                      <w:rPr>
                        <w:rFonts w:ascii="仿宋" w:hAnsi="仿宋" w:eastAsia="仿宋" w:cs="仿宋"/>
                        <w:kern w:val="0"/>
                        <w:sz w:val="24"/>
                      </w:rPr>
                      <w:sym w:font="Wingdings" w:char="F0FE"/>
                    </w:r>
                  </w:sdtContent>
                </w:sdt>
              </w:sdtContent>
            </w:sdt>
            <w:r>
              <w:rPr>
                <w:rFonts w:ascii="仿宋" w:hAnsi="仿宋" w:eastAsia="仿宋" w:cs="仿宋"/>
                <w:kern w:val="0"/>
                <w:sz w:val="24"/>
              </w:rPr>
              <w:t>A</w:t>
            </w:r>
            <w:r>
              <w:rPr>
                <w:rFonts w:hint="eastAsia" w:ascii="仿宋" w:hAnsi="仿宋" w:eastAsia="仿宋" w:cs="仿宋"/>
                <w:sz w:val="24"/>
              </w:rPr>
              <w:t>不组织。</w:t>
            </w:r>
          </w:p>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ascii="仿宋" w:hAnsi="仿宋" w:eastAsia="仿宋" w:cs="仿宋"/>
                <w:kern w:val="0"/>
                <w:sz w:val="24"/>
              </w:rPr>
              <w:t>B组织。</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1）在评标时安排每个供应商进行方案讲解演示。每个供应商时间不超过20分钟，讲解次序以响应文件解密时间先后次序为准，讲解演示人员不超过3人。讲解演示结束后按要求解答</w:t>
            </w:r>
            <w:r>
              <w:rPr>
                <w:rFonts w:hint="eastAsia" w:ascii="仿宋" w:hAnsi="仿宋" w:eastAsia="仿宋" w:cs="仿宋"/>
                <w:kern w:val="0"/>
                <w:sz w:val="24"/>
              </w:rPr>
              <w:t>磋商小组提问。</w:t>
            </w:r>
          </w:p>
          <w:p>
            <w:pPr>
              <w:snapToGrid w:val="0"/>
              <w:spacing w:line="360" w:lineRule="exact"/>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2）方案讲解演示可选择以下其中一种方式：</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方式二：交易中心现场讲解演示。现场讲解地点为，讲解演示所用电脑等设备由供应商自备。现场讲解演示人员进场时提供讲解人员名单（加盖公章）及身份证明，否则不得讲解演示。</w:t>
            </w:r>
          </w:p>
          <w:p>
            <w:pPr>
              <w:snapToGrid w:val="0"/>
              <w:spacing w:line="360" w:lineRule="exact"/>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 xml:space="preserve"> 12</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kern w:val="0"/>
                <w:sz w:val="24"/>
              </w:rPr>
            </w:pPr>
            <w:r>
              <w:rPr>
                <w:rFonts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napToGrid w:val="0"/>
              <w:spacing w:line="360" w:lineRule="exact"/>
              <w:rPr>
                <w:rFonts w:ascii="仿宋" w:hAnsi="仿宋" w:eastAsia="仿宋" w:cs="仿宋"/>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13</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项目属性</w:t>
            </w:r>
          </w:p>
        </w:tc>
        <w:tc>
          <w:tcPr>
            <w:tcW w:w="658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ascii="Segoe UI Symbol" w:hAnsi="Segoe UI Symbol" w:eastAsia="仿宋" w:cs="Segoe UI Symbol"/>
                <w:kern w:val="0"/>
                <w:sz w:val="24"/>
              </w:rPr>
              <w:t>☐</w:t>
            </w:r>
            <w:r>
              <w:rPr>
                <w:rFonts w:ascii="仿宋" w:hAnsi="仿宋" w:eastAsia="仿宋" w:cs="仿宋"/>
                <w:kern w:val="0"/>
                <w:sz w:val="24"/>
              </w:rPr>
              <w:t>A</w:t>
            </w:r>
            <w:r>
              <w:rPr>
                <w:rFonts w:hint="eastAsia" w:ascii="仿宋" w:hAnsi="仿宋" w:eastAsia="仿宋" w:cs="仿宋"/>
                <w:kern w:val="0"/>
                <w:sz w:val="24"/>
              </w:rPr>
              <w:t>货物类，单一产品或核心产品为：。</w:t>
            </w:r>
          </w:p>
          <w:p>
            <w:pPr>
              <w:snapToGrid w:val="0"/>
              <w:spacing w:line="360" w:lineRule="exact"/>
              <w:rPr>
                <w:rFonts w:ascii="仿宋" w:hAnsi="仿宋" w:eastAsia="仿宋" w:cs="仿宋"/>
                <w:kern w:val="0"/>
                <w:sz w:val="24"/>
              </w:rPr>
            </w:pPr>
            <w:r>
              <w:rPr>
                <w:rFonts w:ascii="仿宋" w:hAnsi="仿宋" w:eastAsia="仿宋" w:cs="仿宋"/>
                <w:kern w:val="0"/>
                <w:sz w:val="24"/>
              </w:rPr>
              <w:sym w:font="Wingdings" w:char="F0FE"/>
            </w:r>
            <w:r>
              <w:rPr>
                <w:rFonts w:ascii="仿宋" w:hAnsi="仿宋" w:eastAsia="仿宋" w:cs="仿宋"/>
                <w:kern w:val="0"/>
                <w:sz w:val="24"/>
              </w:rPr>
              <w:t>B</w:t>
            </w:r>
            <w:r>
              <w:rPr>
                <w:rFonts w:hint="eastAsia" w:ascii="仿宋" w:hAnsi="仿宋" w:eastAsia="仿宋" w:cs="仿宋"/>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14</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586" w:type="dxa"/>
            <w:tcBorders>
              <w:top w:val="single" w:color="000000" w:sz="8" w:space="0"/>
              <w:left w:val="single" w:color="000000" w:sz="2" w:space="0"/>
              <w:bottom w:val="single" w:color="000000" w:sz="8" w:space="0"/>
              <w:right w:val="single" w:color="000000" w:sz="8" w:space="0"/>
            </w:tcBorders>
            <w:vAlign w:val="center"/>
          </w:tcPr>
          <w:p>
            <w:pPr>
              <w:pStyle w:val="4"/>
              <w:adjustRightInd w:val="0"/>
              <w:snapToGrid w:val="0"/>
              <w:spacing w:line="360" w:lineRule="exact"/>
              <w:ind w:left="0" w:firstLine="0"/>
              <w:rPr>
                <w:rFonts w:ascii="仿宋" w:eastAsia="仿宋" w:cs="仿宋"/>
                <w:sz w:val="24"/>
                <w:szCs w:val="24"/>
                <w:lang w:val="en-US"/>
              </w:rPr>
            </w:pPr>
            <w:r>
              <w:rPr>
                <w:rFonts w:hint="eastAsia" w:ascii="仿宋" w:eastAsia="仿宋" w:cs="仿宋"/>
                <w:b w:val="0"/>
                <w:bCs w:val="0"/>
                <w:kern w:val="0"/>
                <w:sz w:val="24"/>
                <w:szCs w:val="24"/>
                <w:lang w:val="en-US"/>
              </w:rPr>
              <w:t>本次采购标的为</w:t>
            </w:r>
            <w:r>
              <w:rPr>
                <w:rFonts w:hint="eastAsia" w:ascii="仿宋" w:eastAsia="仿宋" w:cs="仿宋"/>
                <w:b w:val="0"/>
                <w:bCs w:val="0"/>
                <w:kern w:val="0"/>
                <w:sz w:val="24"/>
                <w:szCs w:val="24"/>
                <w:lang w:val="en-US" w:eastAsia="zh-CN"/>
              </w:rPr>
              <w:t>杭州市临安区农村历史建筑保护维修项目监理</w:t>
            </w:r>
            <w:r>
              <w:rPr>
                <w:rFonts w:hint="eastAsia" w:ascii="仿宋" w:eastAsia="仿宋" w:cs="仿宋"/>
                <w:b w:val="0"/>
                <w:bCs w:val="0"/>
                <w:kern w:val="0"/>
                <w:sz w:val="24"/>
                <w:szCs w:val="24"/>
                <w:lang w:val="en-US"/>
              </w:rPr>
              <w:t>服务采购，对应的中小企业划分标准所属行业是：其他未列明行业；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15</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30" w:type="dxa"/>
            <w:vMerge w:val="restart"/>
            <w:tcBorders>
              <w:top w:val="single" w:color="auto" w:sz="4" w:space="0"/>
              <w:left w:val="single" w:color="000000" w:sz="8"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16</w:t>
            </w:r>
          </w:p>
        </w:tc>
        <w:tc>
          <w:tcPr>
            <w:tcW w:w="2066" w:type="dxa"/>
            <w:vMerge w:val="restart"/>
            <w:tcBorders>
              <w:top w:val="single" w:color="000000" w:sz="8" w:space="0"/>
              <w:left w:val="single" w:color="000000" w:sz="2"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中小企业信用融资</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30" w:type="dxa"/>
            <w:vMerge w:val="continue"/>
            <w:tcBorders>
              <w:left w:val="single" w:color="000000" w:sz="8" w:space="0"/>
              <w:right w:val="single" w:color="000000" w:sz="2" w:space="0"/>
            </w:tcBorders>
            <w:vAlign w:val="center"/>
          </w:tcPr>
          <w:p>
            <w:pPr>
              <w:snapToGrid w:val="0"/>
              <w:spacing w:line="360" w:lineRule="exact"/>
              <w:ind w:firstLine="480" w:firstLineChars="200"/>
              <w:rPr>
                <w:rFonts w:ascii="仿宋" w:hAnsi="仿宋" w:eastAsia="仿宋" w:cs="仿宋"/>
                <w:sz w:val="24"/>
              </w:rPr>
            </w:pPr>
          </w:p>
        </w:tc>
        <w:tc>
          <w:tcPr>
            <w:tcW w:w="2066" w:type="dxa"/>
            <w:vMerge w:val="continue"/>
            <w:tcBorders>
              <w:left w:val="single" w:color="000000" w:sz="2" w:space="0"/>
              <w:right w:val="single" w:color="000000" w:sz="8" w:space="0"/>
            </w:tcBorders>
            <w:vAlign w:val="center"/>
          </w:tcPr>
          <w:p>
            <w:pPr>
              <w:snapToGrid w:val="0"/>
              <w:spacing w:line="360" w:lineRule="exact"/>
              <w:ind w:firstLine="480" w:firstLineChars="200"/>
              <w:rPr>
                <w:rFonts w:ascii="仿宋" w:hAnsi="仿宋" w:eastAsia="仿宋" w:cs="仿宋"/>
                <w:sz w:val="24"/>
              </w:rPr>
            </w:pP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供应商成交后也可在“政采云”平台申请政采贷：操作路径：登录政采云平台</w:t>
            </w:r>
            <w:r>
              <w:rPr>
                <w:rFonts w:ascii="仿宋" w:hAnsi="仿宋" w:eastAsia="仿宋" w:cs="仿宋"/>
                <w:snapToGrid w:val="0"/>
                <w:kern w:val="28"/>
                <w:sz w:val="24"/>
              </w:rPr>
              <w:t xml:space="preserve"> - </w:t>
            </w:r>
            <w:r>
              <w:rPr>
                <w:rFonts w:hint="eastAsia" w:ascii="仿宋" w:hAnsi="仿宋" w:eastAsia="仿宋" w:cs="仿宋"/>
                <w:snapToGrid w:val="0"/>
                <w:kern w:val="28"/>
                <w:sz w:val="24"/>
              </w:rPr>
              <w:t>金融服务中心</w:t>
            </w:r>
            <w:r>
              <w:rPr>
                <w:rFonts w:ascii="仿宋" w:hAnsi="仿宋" w:eastAsia="仿宋" w:cs="仿宋"/>
                <w:snapToGrid w:val="0"/>
                <w:kern w:val="28"/>
                <w:sz w:val="24"/>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17</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备份响应文件送达地点和签收人员</w:t>
            </w:r>
            <w:r>
              <w:rPr>
                <w:rFonts w:ascii="仿宋" w:hAnsi="仿宋" w:eastAsia="仿宋" w:cs="仿宋"/>
                <w:b/>
                <w:sz w:val="24"/>
              </w:rPr>
              <w:t xml:space="preserve"> </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ind w:firstLine="480" w:firstLineChars="200"/>
              <w:rPr>
                <w:rFonts w:ascii="仿宋" w:hAnsi="仿宋" w:eastAsia="仿宋" w:cs="仿宋"/>
                <w:b/>
                <w:bCs/>
                <w:snapToGrid w:val="0"/>
                <w:kern w:val="28"/>
                <w:sz w:val="24"/>
              </w:rPr>
            </w:pPr>
            <w:r>
              <w:rPr>
                <w:rFonts w:hint="eastAsia" w:ascii="仿宋" w:hAnsi="仿宋" w:eastAsia="仿宋" w:cs="仿宋"/>
                <w:snapToGrid w:val="0"/>
                <w:kern w:val="28"/>
                <w:sz w:val="24"/>
              </w:rPr>
              <w:t>（</w:t>
            </w:r>
            <w:r>
              <w:rPr>
                <w:rFonts w:ascii="仿宋" w:hAnsi="仿宋" w:eastAsia="仿宋" w:cs="仿宋"/>
                <w:snapToGrid w:val="0"/>
                <w:kern w:val="28"/>
                <w:sz w:val="24"/>
              </w:rPr>
              <w:t>1</w:t>
            </w:r>
            <w:r>
              <w:rPr>
                <w:rFonts w:hint="eastAsia" w:ascii="仿宋" w:hAnsi="仿宋" w:eastAsia="仿宋" w:cs="仿宋"/>
                <w:snapToGrid w:val="0"/>
                <w:kern w:val="28"/>
                <w:sz w:val="24"/>
              </w:rPr>
              <w:t>）“备份磋商响应文件”：密封包装后（邮寄形式）首次响应截止时间前递交一份（邮寄地址：杭州市</w:t>
            </w:r>
            <w:r>
              <w:rPr>
                <w:rFonts w:hint="eastAsia" w:ascii="仿宋" w:hAnsi="仿宋" w:eastAsia="仿宋" w:cs="仿宋"/>
                <w:snapToGrid w:val="0"/>
                <w:kern w:val="28"/>
                <w:sz w:val="24"/>
                <w:lang w:eastAsia="zh-CN"/>
              </w:rPr>
              <w:t>临安区锦北街道马溪路</w:t>
            </w:r>
            <w:r>
              <w:rPr>
                <w:rFonts w:hint="eastAsia" w:ascii="仿宋" w:hAnsi="仿宋" w:eastAsia="仿宋" w:cs="仿宋"/>
                <w:snapToGrid w:val="0"/>
                <w:kern w:val="28"/>
                <w:sz w:val="24"/>
                <w:lang w:val="en-US" w:eastAsia="zh-CN"/>
              </w:rPr>
              <w:t>667号1号楼2楼</w:t>
            </w:r>
            <w:r>
              <w:rPr>
                <w:rFonts w:ascii="仿宋" w:hAnsi="仿宋" w:eastAsia="仿宋" w:cs="仿宋"/>
                <w:snapToGrid w:val="0"/>
                <w:kern w:val="28"/>
                <w:sz w:val="24"/>
              </w:rPr>
              <w:t>）、收件人：</w:t>
            </w:r>
            <w:r>
              <w:rPr>
                <w:rFonts w:hint="eastAsia" w:ascii="仿宋" w:hAnsi="仿宋" w:eastAsia="仿宋" w:cs="仿宋"/>
                <w:snapToGrid w:val="0"/>
                <w:kern w:val="28"/>
                <w:sz w:val="24"/>
                <w:lang w:eastAsia="zh-CN"/>
              </w:rPr>
              <w:t>马丽</w:t>
            </w:r>
            <w:r>
              <w:rPr>
                <w:rFonts w:ascii="仿宋" w:hAnsi="仿宋" w:eastAsia="仿宋" w:cs="仿宋"/>
                <w:snapToGrid w:val="0"/>
                <w:kern w:val="28"/>
                <w:sz w:val="24"/>
              </w:rPr>
              <w:t>、联系电话：</w:t>
            </w:r>
            <w:r>
              <w:rPr>
                <w:rFonts w:hint="eastAsia" w:ascii="仿宋" w:hAnsi="仿宋" w:eastAsia="仿宋" w:cs="仿宋"/>
                <w:snapToGrid w:val="0"/>
                <w:kern w:val="28"/>
                <w:sz w:val="24"/>
                <w:lang w:val="en-US" w:eastAsia="zh-CN"/>
              </w:rPr>
              <w:t>0571-61091202</w:t>
            </w:r>
            <w:r>
              <w:rPr>
                <w:rFonts w:ascii="仿宋" w:hAnsi="仿宋" w:eastAsia="仿宋" w:cs="仿宋"/>
                <w:snapToGrid w:val="0"/>
                <w:kern w:val="28"/>
                <w:sz w:val="24"/>
              </w:rPr>
              <w:t>）。</w:t>
            </w:r>
            <w:r>
              <w:rPr>
                <w:rFonts w:hint="eastAsia" w:ascii="仿宋" w:hAnsi="仿宋" w:eastAsia="仿宋" w:cs="仿宋"/>
                <w:b/>
                <w:bCs/>
                <w:snapToGrid w:val="0"/>
                <w:kern w:val="28"/>
                <w:sz w:val="24"/>
              </w:rPr>
              <w:t>采购人、采购机构不强制或变相强制供应商提交备份磋商响应文件。</w:t>
            </w:r>
          </w:p>
          <w:p>
            <w:pPr>
              <w:snapToGrid w:val="0"/>
              <w:spacing w:line="360" w:lineRule="exact"/>
              <w:ind w:firstLine="480" w:firstLineChars="200"/>
              <w:rPr>
                <w:rFonts w:ascii="仿宋" w:hAnsi="仿宋" w:eastAsia="仿宋" w:cs="仿宋"/>
                <w:sz w:val="24"/>
              </w:rPr>
            </w:pPr>
            <w:r>
              <w:rPr>
                <w:rFonts w:ascii="仿宋" w:hAnsi="仿宋" w:eastAsia="仿宋" w:cs="仿宋"/>
                <w:snapToGrid w:val="0"/>
                <w:kern w:val="28"/>
                <w:sz w:val="24"/>
              </w:rPr>
              <w:t>(</w:t>
            </w:r>
            <w:r>
              <w:rPr>
                <w:rFonts w:hint="eastAsia" w:ascii="仿宋" w:hAnsi="仿宋" w:eastAsia="仿宋" w:cs="仿宋"/>
                <w:snapToGrid w:val="0"/>
                <w:kern w:val="28"/>
                <w:sz w:val="24"/>
                <w:lang w:val="en-US" w:eastAsia="zh-CN"/>
              </w:rPr>
              <w:t>2</w:t>
            </w:r>
            <w:r>
              <w:rPr>
                <w:rFonts w:ascii="仿宋" w:hAnsi="仿宋" w:eastAsia="仿宋" w:cs="仿宋"/>
                <w:snapToGrid w:val="0"/>
                <w:kern w:val="28"/>
                <w:sz w:val="24"/>
              </w:rPr>
              <w:t>)第一成交候选人在评标结束后2天内向采购代理机构提供</w:t>
            </w:r>
            <w:r>
              <w:rPr>
                <w:rFonts w:hint="eastAsia" w:ascii="仿宋" w:hAnsi="仿宋" w:eastAsia="仿宋" w:cs="仿宋"/>
                <w:snapToGrid w:val="0"/>
                <w:kern w:val="28"/>
                <w:sz w:val="24"/>
                <w:lang w:val="en-US" w:eastAsia="zh-CN"/>
              </w:rPr>
              <w:t>2</w:t>
            </w:r>
            <w:r>
              <w:rPr>
                <w:rFonts w:ascii="仿宋" w:hAnsi="仿宋" w:eastAsia="仿宋" w:cs="仿宋"/>
                <w:snapToGrid w:val="0"/>
                <w:kern w:val="28"/>
                <w:sz w:val="24"/>
              </w:rPr>
              <w:t>套纸质版磋商响应文件。并确保纸质磋商响应文件与最终上传电子加密磋商响应文件一致，因纸质磋商响应文件与电子磋商响应文件不一致产生的一切后果，均由</w:t>
            </w:r>
            <w:r>
              <w:rPr>
                <w:rFonts w:hint="eastAsia" w:ascii="仿宋" w:hAnsi="仿宋" w:eastAsia="仿宋" w:cs="仿宋"/>
                <w:snapToGrid w:val="0"/>
                <w:kern w:val="28"/>
                <w:sz w:val="24"/>
              </w:rPr>
              <w:t>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18</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采购代理服务费</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napToGrid w:val="0"/>
                <w:kern w:val="28"/>
                <w:sz w:val="24"/>
              </w:rPr>
            </w:pPr>
            <w:r>
              <w:rPr>
                <w:rFonts w:hint="eastAsia" w:ascii="仿宋" w:hAnsi="仿宋" w:eastAsia="仿宋" w:cs="仿宋"/>
                <w:kern w:val="0"/>
                <w:sz w:val="24"/>
              </w:rPr>
              <w:t>采购代理服务费按发改价格〔2011〕534号文件、国家发改委计价格〔2002〕1980号文件规定收费标准的80%（最低 3000元）由中标人支付，专家评审费另行支付费用在发出中标通知书之前结清。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sz w:val="24"/>
              </w:rPr>
            </w:pPr>
            <w:r>
              <w:rPr>
                <w:rFonts w:ascii="仿宋" w:hAnsi="仿宋" w:eastAsia="仿宋" w:cs="仿宋"/>
                <w:sz w:val="24"/>
              </w:rPr>
              <w:t>19</w:t>
            </w:r>
          </w:p>
        </w:tc>
        <w:tc>
          <w:tcPr>
            <w:tcW w:w="20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特别说明</w:t>
            </w:r>
          </w:p>
        </w:tc>
        <w:tc>
          <w:tcPr>
            <w:tcW w:w="65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tbl>
    <w:p>
      <w:pPr>
        <w:snapToGrid w:val="0"/>
        <w:spacing w:line="360" w:lineRule="auto"/>
        <w:jc w:val="center"/>
        <w:rPr>
          <w:rFonts w:ascii="仿宋" w:hAnsi="仿宋" w:eastAsia="仿宋" w:cs="仿宋"/>
          <w:b/>
          <w:sz w:val="32"/>
          <w:szCs w:val="20"/>
        </w:rPr>
      </w:pPr>
    </w:p>
    <w:bookmarkEnd w:id="9"/>
    <w:p>
      <w:pPr>
        <w:adjustRightInd/>
        <w:spacing w:line="240" w:lineRule="auto"/>
        <w:ind w:firstLine="0" w:firstLineChars="0"/>
        <w:outlineLvl w:val="9"/>
        <w:rPr>
          <w:rFonts w:hint="eastAsia"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本采购文件适用于该项目的招标、投标、开标、资格审查及信用信息查询、评标、定标、合同、验收等行为（法律、法规另有规定的，从其规定）。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“采购人”系指竞争性磋商公告中载明的本项目的采购人。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“采购机构”系指竞争性磋商公告中载明的本项目的采购机构。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pStyle w:val="130"/>
        <w:pageBreakBefore w:val="0"/>
        <w:widowControl w:val="0"/>
        <w:kinsoku/>
        <w:wordWrap/>
        <w:overflowPunct/>
        <w:topLinePunct w:val="0"/>
        <w:bidi w:val="0"/>
        <w:snapToGrid/>
        <w:spacing w:before="0" w:beforeLines="0" w:line="360" w:lineRule="auto"/>
        <w:ind w:firstLine="48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rPr>
        <w:t xml:space="preserve">2.7 </w:t>
      </w:r>
      <w:r>
        <w:rPr>
          <w:rFonts w:hint="eastAsia" w:ascii="仿宋" w:hAnsi="仿宋" w:eastAsia="仿宋" w:cs="仿宋"/>
          <w:sz w:val="24"/>
          <w:szCs w:val="24"/>
          <w:lang w:val="en-US" w:eastAsia="zh-CN"/>
        </w:rPr>
        <w:t>“▲”系指实质性要求条款，“★”系产品采购项目中单一产品或核心产品，“☐”系指适用本项目的要求，“</w:t>
      </w:r>
      <w:r>
        <w:rPr>
          <w:rFonts w:hint="eastAsia" w:ascii="仿宋" w:hAnsi="仿宋" w:eastAsia="仿宋" w:cs="仿宋"/>
          <w:sz w:val="24"/>
          <w:szCs w:val="24"/>
          <w:vertAlign w:val="baseline"/>
          <w:lang w:val="en-US" w:eastAsia="zh-CN"/>
        </w:rPr>
        <w:sym w:font="Wingdings 2" w:char="0052"/>
      </w:r>
      <w:r>
        <w:rPr>
          <w:rFonts w:hint="eastAsia" w:ascii="仿宋" w:hAnsi="仿宋" w:eastAsia="仿宋" w:cs="仿宋"/>
          <w:sz w:val="24"/>
          <w:szCs w:val="24"/>
          <w:lang w:val="en-US" w:eastAsia="zh-CN"/>
        </w:rPr>
        <w:t>”系指不适用本项目的要求。</w:t>
      </w:r>
    </w:p>
    <w:p>
      <w:pPr>
        <w:spacing w:line="360" w:lineRule="auto"/>
        <w:ind w:firstLine="482" w:firstLineChars="2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240" w:firstLineChars="1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采购人拟采购的产品属于政府强制采购的节能产品品目清单范围的，供应商未按采购文件要求提供国家确定的认证机构出具的、处于有效期之内的节能产品认证证书的，投标无效。</w:t>
      </w:r>
    </w:p>
    <w:p>
      <w:pPr>
        <w:spacing w:line="360" w:lineRule="auto"/>
        <w:rPr>
          <w:rFonts w:ascii="仿宋" w:hAnsi="仿宋" w:eastAsia="仿宋" w:cs="仿宋"/>
          <w:b/>
          <w:bCs/>
          <w:sz w:val="24"/>
        </w:rPr>
      </w:pPr>
      <w:r>
        <w:rPr>
          <w:rFonts w:hint="eastAsia" w:ascii="仿宋" w:hAnsi="仿宋" w:eastAsia="仿宋" w:cs="仿宋"/>
          <w:b/>
          <w:bCs/>
          <w:sz w:val="24"/>
        </w:rPr>
        <w:t>▲ 3.2.2 修缮、装修类项目采购建材的，采购人将绿色建筑和绿色建材性能、指标等作为实质性条件纳入采购文件和合同。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3.3.3对于未预留份额专门面向中小企业的政府采购工程项目，以及预留份额政府采购货物或服务项目中的非预留部分标项，对小型和微型企业的响应报价给予</w:t>
      </w:r>
      <w:r>
        <w:rPr>
          <w:rFonts w:ascii="仿宋" w:hAnsi="仿宋" w:eastAsia="仿宋" w:cs="仿宋"/>
          <w:sz w:val="24"/>
        </w:rPr>
        <w:t>10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ascii="仿宋" w:hAnsi="仿宋" w:eastAsia="仿宋" w:cs="仿宋"/>
          <w:sz w:val="24"/>
        </w:rPr>
        <w:t>3</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4.2.2.1对采购文件提出质疑的，质疑期限为供应商获得采购文件之日或者采购文件公告期限届满之日起计算。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7"/>
        <w:shd w:val="clear" w:color="auto" w:fill="FFFFFF"/>
        <w:adjustRightInd w:val="0"/>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7"/>
        <w:shd w:val="clear" w:color="auto" w:fill="FFFFFF"/>
        <w:adjustRightInd w:val="0"/>
        <w:snapToGrid w:val="0"/>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7"/>
        <w:shd w:val="clear" w:color="auto" w:fill="FFFFFF"/>
        <w:adjustRightInd w:val="0"/>
        <w:snapToGrid w:val="0"/>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7"/>
        <w:shd w:val="clear" w:color="auto" w:fill="FFFFFF"/>
        <w:adjustRightInd w:val="0"/>
        <w:snapToGrid w:val="0"/>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ascii="仿宋" w:hAnsi="仿宋" w:eastAsia="仿宋" w:cs="仿宋"/>
          <w:sz w:val="18"/>
          <w:szCs w:val="18"/>
        </w:rPr>
      </w:pPr>
    </w:p>
    <w:p>
      <w:pPr>
        <w:snapToGrid w:val="0"/>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二、采购文件的构成、澄清、修改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5．采购文件的构成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采购文件包括下列文件及附件：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5.1.1竞争性磋商公告；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5.1.2供应商须知；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采购文件的澄清、修改</w:t>
      </w:r>
    </w:p>
    <w:p>
      <w:pPr>
        <w:pStyle w:val="130"/>
        <w:snapToGrid w:val="0"/>
        <w:spacing w:before="0"/>
        <w:ind w:firstLine="480"/>
        <w:rPr>
          <w:rFonts w:ascii="仿宋" w:hAnsi="仿宋" w:eastAsia="仿宋" w:cs="仿宋"/>
        </w:rPr>
      </w:pPr>
      <w:r>
        <w:rPr>
          <w:rFonts w:hint="eastAsia" w:ascii="仿宋" w:hAnsi="仿宋" w:eastAsia="仿宋" w:cs="仿宋"/>
        </w:rPr>
        <w:t>6.1已获取采购文件的潜在供应商，若有问题需要澄清，应于投标截止时间前，以书面形式向采购机构提出。</w:t>
      </w:r>
    </w:p>
    <w:p>
      <w:pPr>
        <w:pStyle w:val="130"/>
        <w:snapToGrid w:val="0"/>
        <w:spacing w:before="0"/>
        <w:ind w:firstLine="480"/>
        <w:rPr>
          <w:rFonts w:ascii="仿宋" w:hAnsi="仿宋" w:eastAsia="仿宋" w:cs="仿宋"/>
        </w:rPr>
      </w:pPr>
      <w:r>
        <w:rPr>
          <w:rFonts w:hint="eastAsia" w:ascii="仿宋" w:hAnsi="仿宋" w:eastAsia="仿宋" w:cs="仿宋"/>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pStyle w:val="24"/>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采购文件的获取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采购人组织潜在供应商现场考察或者召开开标前答疑会的，潜在供应商按第二部分供应商须知前附表的规定参加现场考察或者开标前答疑会。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响应文件的语言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响应文件的组成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0" w:firstLineChars="300"/>
        <w:rPr>
          <w:rFonts w:ascii="仿宋" w:hAnsi="仿宋" w:eastAsia="仿宋" w:cs="仿宋"/>
          <w:b/>
          <w:sz w:val="24"/>
        </w:rPr>
      </w:pPr>
      <w:r>
        <w:rPr>
          <w:rFonts w:hint="eastAsia" w:ascii="仿宋" w:hAnsi="仿宋" w:eastAsia="仿宋" w:cs="仿宋"/>
          <w:sz w:val="24"/>
          <w:szCs w:val="20"/>
        </w:rPr>
        <w:t>▲</w:t>
      </w:r>
      <w:r>
        <w:rPr>
          <w:rFonts w:hint="eastAsia" w:ascii="仿宋" w:hAnsi="仿宋" w:eastAsia="仿宋" w:cs="仿宋"/>
          <w:b/>
          <w:sz w:val="24"/>
        </w:rPr>
        <w:t>响应文件含有采购人不能接受的附加条件的，投标无效；</w:t>
      </w:r>
    </w:p>
    <w:p>
      <w:pPr>
        <w:spacing w:line="360" w:lineRule="auto"/>
        <w:ind w:firstLine="720" w:firstLineChars="300"/>
        <w:rPr>
          <w:rFonts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rPr>
        <w:t>供应商提供虚假材料投标的，投标无效。</w:t>
      </w:r>
    </w:p>
    <w:p>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13.响应文件的签署、盖章</w:t>
      </w:r>
    </w:p>
    <w:p>
      <w:pPr>
        <w:pStyle w:val="130"/>
        <w:snapToGrid w:val="0"/>
        <w:spacing w:before="0"/>
        <w:ind w:firstLine="480"/>
        <w:rPr>
          <w:rFonts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▲供应商的响应文件未按照采购文件要求签署、盖章的，其投标无效</w:t>
      </w:r>
      <w:r>
        <w:rPr>
          <w:rFonts w:hint="eastAsia" w:ascii="仿宋" w:hAnsi="仿宋" w:eastAsia="仿宋" w:cs="仿宋"/>
          <w:szCs w:val="24"/>
        </w:rPr>
        <w:t>。</w:t>
      </w:r>
    </w:p>
    <w:p>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szCs w:val="24"/>
        </w:rPr>
      </w:pPr>
      <w:r>
        <w:rPr>
          <w:rFonts w:hint="eastAsia" w:ascii="仿宋" w:hAnsi="仿宋" w:eastAsia="仿宋" w:cs="仿宋"/>
        </w:rPr>
        <w:t>13.3采购文件对响应文件签署、盖章的要求适用于电子签名。</w:t>
      </w:r>
    </w:p>
    <w:p>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14. 响应文件的提交、补充、修改、撤回</w:t>
      </w:r>
    </w:p>
    <w:p>
      <w:pPr>
        <w:pStyle w:val="130"/>
        <w:snapToGrid w:val="0"/>
        <w:ind w:firstLine="480"/>
        <w:rPr>
          <w:rFonts w:ascii="仿宋" w:hAnsi="仿宋" w:eastAsia="仿宋" w:cs="仿宋"/>
          <w:szCs w:val="24"/>
        </w:rPr>
      </w:pPr>
      <w:r>
        <w:rPr>
          <w:rFonts w:hint="eastAsia" w:ascii="仿宋" w:hAnsi="仿宋" w:eastAsia="仿宋" w:cs="仿宋"/>
          <w:szCs w:val="24"/>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0"/>
        <w:snapToGrid w:val="0"/>
        <w:spacing w:before="0"/>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14.2电子交易平台收到响应文件，将妥善保存并即时向供应商发出确认回执通知。在投标截止时间前，除供应商补充、修改或者撤回响应文件外，任何单位和个人不得解密或提取响应文件。</w:t>
      </w:r>
    </w:p>
    <w:p>
      <w:pPr>
        <w:pStyle w:val="130"/>
        <w:spacing w:before="0"/>
        <w:ind w:firstLine="480"/>
        <w:rPr>
          <w:rFonts w:ascii="仿宋" w:hAnsi="仿宋" w:eastAsia="仿宋" w:cs="仿宋"/>
          <w:szCs w:val="24"/>
        </w:rPr>
      </w:pPr>
      <w:r>
        <w:rPr>
          <w:rFonts w:hint="eastAsia" w:ascii="仿宋" w:hAnsi="仿宋" w:eastAsia="仿宋" w:cs="仿宋"/>
          <w:szCs w:val="24"/>
        </w:rPr>
        <w:t>14.3采购人、采购机构可以视情况延长响应文件提交的截止时间。在上述情况下，采购机构与供应商以前在投标截止期方面的全部权利、责任和义务，将适用于延长至新的投标截止期。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15.备份响应文件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15.1供应商在电子交易平台传输递交响应文件后，还可以在投标截止时间前直接提交或者以邮政快递方式递交备份响应文件1份，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15.2备份响应文件须在“政采云投标客户端”制作生成，并储存在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中。备份响应文件应当密封包装并在包装上加盖公章并注明投标项目名称，供应商名称(联合体投标的，包装物封面需注明联合体投标，并注明联合体成员各方的名称和联合协议中约定的牵头人的名称)。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15.3直接提交备份响应文件的，供应商应于投标截止时间前在竞争性磋商公告中载明的开标地点将备份响应文件提交给采购机构，采购机构将拒绝接受逾期送达的备份响应文件。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15.4以邮政快递方式递交备份响应文件的，供应商应先将备份响应文件按要求密封和标记，再进行邮政快递包装后邮寄。备份响应文件须在投标截止时间之前送达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送达时间以签收人签收时间为准。采购机构将拒绝接受逾期送达的备份响应文件。邮寄过程中，电子备份响应文件发生泄露、遗失、损坏或延期送达等情况的，由供应商自行负责。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w:t>
      </w:r>
      <w:r>
        <w:rPr>
          <w:rFonts w:hint="eastAsia" w:ascii="仿宋" w:hAnsi="仿宋" w:eastAsia="仿宋" w:cs="仿宋"/>
          <w:sz w:val="24"/>
          <w:szCs w:val="20"/>
        </w:rPr>
        <w:t>▲</w:t>
      </w:r>
      <w:r>
        <w:rPr>
          <w:rFonts w:hint="eastAsia" w:ascii="仿宋" w:hAnsi="仿宋" w:eastAsia="仿宋" w:cs="仿宋"/>
          <w:b/>
          <w:sz w:val="24"/>
          <w:szCs w:val="24"/>
        </w:rPr>
        <w:t>供应商仅提交备份响应文件，没有在电子交易平台传输递交响应文件的，投标无效。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16.响应文件的无效处理</w:t>
      </w:r>
    </w:p>
    <w:p>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诺的投标有效期少于采购文件中载明的投标有效期的，投标无效。</w:t>
      </w:r>
    </w:p>
    <w:p>
      <w:pPr>
        <w:pStyle w:val="130"/>
        <w:spacing w:before="0"/>
        <w:ind w:firstLine="480"/>
        <w:rPr>
          <w:rFonts w:ascii="仿宋" w:hAnsi="仿宋" w:eastAsia="仿宋" w:cs="仿宋"/>
        </w:rPr>
      </w:pPr>
      <w:r>
        <w:rPr>
          <w:rFonts w:hint="eastAsia" w:ascii="仿宋" w:hAnsi="仿宋" w:eastAsia="仿宋" w:cs="仿宋"/>
        </w:rPr>
        <w:t>17.2响应文件合格投递后，自投标截止日期起，在投标有效期内有效。</w:t>
      </w:r>
    </w:p>
    <w:p>
      <w:pPr>
        <w:pStyle w:val="13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17.3在原定投标有效期满之前，如果出现特殊情况，采购机构可以以书面形式通知供应商延长投标有效期。供应商同意延长的，不得要求或被允许修改其响应文件，供应商拒绝延长的，其投标无效。</w:t>
      </w:r>
    </w:p>
    <w:p>
      <w:pPr>
        <w:pStyle w:val="130"/>
        <w:snapToGrid w:val="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6"/>
        <w:snapToGrid w:val="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6"/>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18.1采购机构按照采购文件规定的时间通过电子交易平台组织开标，所有供应商均应当准时在线参加。供应商不足3家的，不得开标。</w:t>
      </w:r>
    </w:p>
    <w:p>
      <w:pPr>
        <w:pStyle w:val="556"/>
        <w:snapToGrid w:val="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响应文件。采购机构依托电子交易平台发起开始解密指令，供应商按照平台提示和采购文件的规定在半小时内完成在线解密。开启响应文件后，由磋商小组对磋商文件、报价文件的合理性、准确性等进行审查核实，磋商报价不予公布。</w:t>
      </w:r>
    </w:p>
    <w:p>
      <w:pPr>
        <w:pStyle w:val="556"/>
        <w:snapToGrid w:val="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响应文件未按时解密，供应商提供了备份响应文件的，以备份响应文件作为依据，否则视为响应文件撤回。响应文件已按时解密的，备份响应文件自动失效。</w:t>
      </w:r>
    </w:p>
    <w:p>
      <w:pPr>
        <w:widowControl/>
        <w:snapToGrid w:val="0"/>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0"/>
        <w:snapToGrid w:val="0"/>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19.1开标后，采购人或采购机构将依法对供应商的资格进行审查。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采购人或采购机构依据法律法规和采购文件的规定，对供应商的基本资格条件、特定资格条件进行审查。</w:t>
      </w:r>
    </w:p>
    <w:p>
      <w:pPr>
        <w:pStyle w:val="130"/>
        <w:spacing w:before="0"/>
        <w:ind w:firstLine="480"/>
        <w:rPr>
          <w:rFonts w:ascii="仿宋" w:hAnsi="仿宋" w:eastAsia="仿宋" w:cs="仿宋"/>
        </w:rPr>
      </w:pPr>
      <w:r>
        <w:rPr>
          <w:rFonts w:hint="eastAsia" w:ascii="仿宋" w:hAnsi="仿宋" w:eastAsia="仿宋" w:cs="仿宋"/>
          <w:kern w:val="0"/>
          <w:szCs w:val="24"/>
        </w:rPr>
        <w:t>19.3供应商未按照采购文件要求提供与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供应商不具备采购文件中规定的资格要求，其投标无效。</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4对未通过资格审查的供应商，采购人或采购机构告知其未通过的原因。</w:t>
      </w:r>
    </w:p>
    <w:p>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5合格供应商不足3家的，不再评标。</w:t>
      </w:r>
    </w:p>
    <w:p>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20.1信用信息查询渠道及截止时间：采购机构将通过“信用中国”网站(www.creditchina.gov.cn)、中国政府采购网(www.ccgp.gov.cn)渠道查询供应商投标截止时间当天的信用记录。</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五、竞争性磋商程序</w:t>
      </w:r>
    </w:p>
    <w:p>
      <w:pPr>
        <w:pStyle w:val="130"/>
        <w:spacing w:before="0"/>
        <w:ind w:firstLine="480"/>
        <w:rPr>
          <w:rFonts w:ascii="仿宋" w:hAnsi="仿宋" w:eastAsia="仿宋" w:cs="仿宋"/>
          <w:kern w:val="0"/>
          <w:szCs w:val="24"/>
        </w:rPr>
      </w:pPr>
      <w:bookmarkStart w:id="12" w:name="_Toc91899903"/>
      <w:r>
        <w:rPr>
          <w:rFonts w:hint="eastAsia" w:ascii="仿宋" w:hAnsi="仿宋" w:eastAsia="仿宋" w:cs="仿宋"/>
          <w:kern w:val="0"/>
          <w:szCs w:val="24"/>
        </w:rPr>
        <w:t>21.1</w:t>
      </w:r>
      <w:bookmarkStart w:id="13" w:name="_Hlk95479524"/>
      <w:r>
        <w:rPr>
          <w:rFonts w:hint="eastAsia" w:ascii="仿宋" w:hAnsi="仿宋" w:eastAsia="仿宋" w:cs="仿宋"/>
          <w:kern w:val="0"/>
          <w:szCs w:val="24"/>
        </w:rPr>
        <w:t>竞争性磋商小组应当从质量和服务均能满足采购文件实质性响应要求的供应商中，按照评审得分由高到低的顺序推荐成交候选人，并编写评审报告。评审得分相同的，按照最后报价由低到高的顺序推荐。评审得分且最后报价相同的，按照技术指标优劣顺序推荐。</w:t>
      </w:r>
    </w:p>
    <w:bookmarkEnd w:id="13"/>
    <w:p>
      <w:pPr>
        <w:pStyle w:val="130"/>
        <w:snapToGrid w:val="0"/>
        <w:spacing w:before="0"/>
        <w:ind w:firstLine="480"/>
        <w:rPr>
          <w:rFonts w:ascii="仿宋" w:hAnsi="仿宋" w:eastAsia="仿宋" w:cs="仿宋"/>
          <w:kern w:val="0"/>
          <w:szCs w:val="24"/>
        </w:rPr>
      </w:pPr>
      <w:r>
        <w:rPr>
          <w:rFonts w:hint="eastAsia" w:ascii="仿宋" w:hAnsi="仿宋" w:eastAsia="仿宋" w:cs="仿宋"/>
          <w:kern w:val="0"/>
          <w:szCs w:val="24"/>
        </w:rPr>
        <w:t>21.2评审要求。详见采购文件“第四部分”。</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5"/>
        <w:spacing w:line="360" w:lineRule="auto"/>
        <w:ind w:left="479" w:hanging="479" w:hangingChars="199"/>
        <w:rPr>
          <w:rFonts w:ascii="仿宋" w:hAnsi="仿宋" w:eastAsia="仿宋" w:cs="仿宋"/>
          <w:b/>
        </w:rPr>
      </w:pPr>
      <w:r>
        <w:rPr>
          <w:rFonts w:hint="eastAsia" w:ascii="仿宋" w:hAnsi="仿宋" w:eastAsia="仿宋" w:cs="仿宋"/>
          <w:b/>
        </w:rPr>
        <w:t>22. 确定成交供应商</w:t>
      </w:r>
    </w:p>
    <w:p>
      <w:pPr>
        <w:pStyle w:val="130"/>
        <w:snapToGrid w:val="0"/>
        <w:spacing w:before="0"/>
        <w:ind w:firstLine="480" w:firstLineChars="20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成交通知与成交结果公告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23.1自成交供应商确定之日起2个工作日内，采购机构通过电子交易平台向成交供应商发出成交通知书，同时编制发布采购结果公告。采购机构也可以以纸质形式进行成交通知。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成交结果公告内容包括采购人及其委托的采购机构的名称、地址、联系方式，项目名称和项目编号，成交供应商名称、地址和成交金额，主要成交标的的名称、规格型号、数量、单价、服务要求，开标记录、未成交情况说明、成交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rPr>
      </w:pPr>
      <w:r>
        <w:rPr>
          <w:rFonts w:hint="eastAsia" w:ascii="仿宋" w:hAnsi="仿宋" w:eastAsia="仿宋" w:cs="仿宋"/>
        </w:rPr>
        <w:t>25.4成交供应商拒绝与采购人签订合同的，采购人可以按照评审报告推荐的成交候选人名单排序，确定下一候选人为成交供应商，也可以重新开展政府采购活动。</w:t>
      </w:r>
    </w:p>
    <w:p>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25.5采购合同由采购人与成交供应商根据采购文件、响应文件等内容通过政府采购电子交易平台在线签订，自动备案。</w:t>
      </w:r>
    </w:p>
    <w:p>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pStyle w:val="4"/>
        <w:ind w:left="0" w:firstLine="482" w:firstLineChars="200"/>
        <w:rPr>
          <w:rFonts w:hint="eastAsia" w:ascii="仿宋" w:eastAsia="仿宋" w:cs="仿宋"/>
          <w:b w:val="0"/>
          <w:bCs w:val="0"/>
          <w:snapToGrid w:val="0"/>
          <w:kern w:val="28"/>
          <w:sz w:val="24"/>
        </w:rPr>
      </w:pPr>
      <w:r>
        <w:rPr>
          <w:rFonts w:hint="eastAsia" w:ascii="仿宋" w:hAnsi="仿宋" w:eastAsia="仿宋" w:cs="仿宋"/>
          <w:kern w:val="0"/>
          <w:sz w:val="24"/>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0"/>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s="仿宋"/>
          <w:kern w:val="0"/>
          <w:sz w:val="24"/>
        </w:rPr>
        <w:sectPr>
          <w:footerReference r:id="rId7" w:type="first"/>
          <w:footerReference r:id="rId6" w:type="default"/>
          <w:pgSz w:w="11906" w:h="16838"/>
          <w:pgMar w:top="1304" w:right="1418" w:bottom="1321" w:left="1418" w:header="851" w:footer="992" w:gutter="0"/>
          <w:pgNumType w:fmt="decimal" w:start="1"/>
          <w:cols w:space="720" w:num="1"/>
          <w:titlePg/>
          <w:docGrid w:linePitch="312" w:charSpace="0"/>
        </w:sectPr>
      </w:pPr>
      <w:bookmarkStart w:id="14" w:name="_Hlt75236101"/>
      <w:bookmarkEnd w:id="14"/>
      <w:bookmarkStart w:id="15" w:name="_Hlt75236011"/>
      <w:bookmarkEnd w:id="15"/>
      <w:bookmarkStart w:id="16" w:name="_Hlt75236290"/>
      <w:bookmarkEnd w:id="16"/>
      <w:bookmarkStart w:id="17" w:name="_Hlt74729768"/>
      <w:bookmarkEnd w:id="17"/>
      <w:bookmarkStart w:id="18" w:name="_Hlt68403820"/>
      <w:bookmarkEnd w:id="18"/>
      <w:bookmarkStart w:id="19" w:name="_Hlt68073093"/>
      <w:bookmarkEnd w:id="19"/>
      <w:bookmarkStart w:id="20" w:name="_Hlt68057669"/>
      <w:bookmarkEnd w:id="20"/>
      <w:bookmarkStart w:id="21" w:name="_Hlt74730295"/>
      <w:bookmarkEnd w:id="21"/>
      <w:bookmarkStart w:id="22" w:name="_Hlt68072990"/>
      <w:bookmarkEnd w:id="22"/>
      <w:bookmarkStart w:id="23" w:name="_Hlt74714665"/>
      <w:bookmarkEnd w:id="23"/>
      <w:bookmarkStart w:id="24" w:name="_Hlt68072998"/>
      <w:bookmarkEnd w:id="24"/>
      <w:bookmarkStart w:id="25" w:name="_Hlt74707468"/>
      <w:bookmarkEnd w:id="25"/>
    </w:p>
    <w:bookmarkEnd w:id="10"/>
    <w:bookmarkEnd w:id="11"/>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根据临政发[2011]62号文件《临安市人民政府关于加强农村历史建筑保护管理的实施意</w:t>
      </w:r>
      <w:r>
        <w:rPr>
          <w:rFonts w:hint="eastAsia" w:ascii="仿宋" w:hAnsi="仿宋" w:eastAsia="仿宋" w:cs="仿宋"/>
          <w:sz w:val="24"/>
          <w:highlight w:val="none"/>
        </w:rPr>
        <w:t>见》，本次拟对</w:t>
      </w:r>
      <w:r>
        <w:rPr>
          <w:rFonts w:hint="eastAsia" w:ascii="仿宋" w:hAnsi="仿宋" w:eastAsia="仿宋" w:cs="仿宋"/>
          <w:sz w:val="24"/>
          <w:highlight w:val="none"/>
          <w:lang w:eastAsia="zh-CN"/>
        </w:rPr>
        <w:t>（</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w:t>
      </w:r>
      <w:r>
        <w:rPr>
          <w:rFonts w:hint="eastAsia" w:ascii="仿宋" w:hAnsi="仿宋" w:eastAsia="仿宋" w:cs="仿宋"/>
          <w:sz w:val="24"/>
          <w:highlight w:val="none"/>
          <w:lang w:eastAsia="zh-CN"/>
        </w:rPr>
        <w:t>）杭州市临安区农村历史建筑保护维修项目监理</w:t>
      </w:r>
      <w:r>
        <w:rPr>
          <w:rFonts w:hint="eastAsia" w:ascii="仿宋" w:hAnsi="仿宋" w:eastAsia="仿宋" w:cs="仿宋"/>
          <w:sz w:val="24"/>
          <w:highlight w:val="none"/>
        </w:rPr>
        <w:t>标选1家监理单位</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监</w:t>
      </w:r>
      <w:r>
        <w:rPr>
          <w:rFonts w:hint="eastAsia" w:ascii="仿宋" w:hAnsi="仿宋" w:eastAsia="仿宋" w:cs="仿宋"/>
          <w:sz w:val="24"/>
        </w:rPr>
        <w:t>理范围为施工图纸范围内（含视情况另行增加的工程）的所有施工监理，包括施工前期、施工阶段和质量保修期内的监理服务。</w:t>
      </w:r>
    </w:p>
    <w:p>
      <w:pPr>
        <w:jc w:val="left"/>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一、项目内容</w:t>
      </w:r>
    </w:p>
    <w:tbl>
      <w:tblPr>
        <w:tblStyle w:val="62"/>
        <w:tblW w:w="9620" w:type="dxa"/>
        <w:tblInd w:w="0" w:type="dxa"/>
        <w:tblLayout w:type="fixed"/>
        <w:tblCellMar>
          <w:top w:w="0" w:type="dxa"/>
          <w:left w:w="0" w:type="dxa"/>
          <w:bottom w:w="0" w:type="dxa"/>
          <w:right w:w="0" w:type="dxa"/>
        </w:tblCellMar>
      </w:tblPr>
      <w:tblGrid>
        <w:gridCol w:w="473"/>
        <w:gridCol w:w="1462"/>
        <w:gridCol w:w="1275"/>
        <w:gridCol w:w="1575"/>
        <w:gridCol w:w="915"/>
        <w:gridCol w:w="918"/>
        <w:gridCol w:w="1065"/>
        <w:gridCol w:w="1937"/>
      </w:tblGrid>
      <w:tr>
        <w:tblPrEx>
          <w:tblCellMar>
            <w:top w:w="0" w:type="dxa"/>
            <w:left w:w="0" w:type="dxa"/>
            <w:bottom w:w="0" w:type="dxa"/>
            <w:right w:w="0" w:type="dxa"/>
          </w:tblCellMar>
        </w:tblPrEx>
        <w:trPr>
          <w:trHeight w:val="829" w:hRule="atLeast"/>
        </w:trPr>
        <w:tc>
          <w:tcPr>
            <w:tcW w:w="9620" w:type="dxa"/>
            <w:gridSpan w:val="8"/>
            <w:tcBorders>
              <w:top w:val="nil"/>
              <w:left w:val="nil"/>
              <w:bottom w:val="nil"/>
              <w:right w:val="nil"/>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b/>
                <w:bCs/>
                <w:sz w:val="24"/>
                <w:szCs w:val="24"/>
              </w:rPr>
              <w:t>20</w:t>
            </w:r>
            <w:r>
              <w:rPr>
                <w:rFonts w:hint="eastAsia" w:ascii="仿宋" w:hAnsi="仿宋" w:eastAsia="仿宋" w:cs="仿宋"/>
                <w:b/>
                <w:bCs/>
                <w:sz w:val="24"/>
                <w:szCs w:val="24"/>
                <w:lang w:eastAsia="zh-CN"/>
              </w:rPr>
              <w:t>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年度历史建筑维修监理项目表</w:t>
            </w:r>
          </w:p>
        </w:tc>
      </w:tr>
      <w:tr>
        <w:tblPrEx>
          <w:tblCellMar>
            <w:top w:w="0" w:type="dxa"/>
            <w:left w:w="0" w:type="dxa"/>
            <w:bottom w:w="0" w:type="dxa"/>
            <w:right w:w="0" w:type="dxa"/>
          </w:tblCellMar>
        </w:tblPrEx>
        <w:trPr>
          <w:trHeight w:val="877"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名称</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级别（性质）</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地点</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总投资</w:t>
            </w:r>
            <w:r>
              <w:rPr>
                <w:rFonts w:hint="eastAsia" w:ascii="仿宋" w:hAnsi="仿宋" w:eastAsia="仿宋" w:cs="仿宋"/>
                <w:sz w:val="24"/>
              </w:rPr>
              <w:t>(万元)</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申请补助资金</w:t>
            </w:r>
            <w:r>
              <w:rPr>
                <w:rFonts w:hint="eastAsia" w:ascii="仿宋" w:hAnsi="仿宋" w:eastAsia="仿宋" w:cs="仿宋"/>
                <w:sz w:val="24"/>
              </w:rPr>
              <w:t>（万元）</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地方配套资金</w:t>
            </w:r>
            <w:r>
              <w:rPr>
                <w:rFonts w:hint="eastAsia" w:ascii="仿宋" w:hAnsi="仿宋" w:eastAsia="仿宋" w:cs="仿宋"/>
                <w:sz w:val="24"/>
              </w:rPr>
              <w:t>（万元）</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建设</w:t>
            </w:r>
            <w:r>
              <w:rPr>
                <w:rFonts w:hint="eastAsia" w:ascii="仿宋" w:hAnsi="仿宋" w:eastAsia="仿宋" w:cs="仿宋"/>
                <w:sz w:val="24"/>
              </w:rPr>
              <w:t>内容</w:t>
            </w:r>
          </w:p>
        </w:tc>
      </w:tr>
      <w:tr>
        <w:tblPrEx>
          <w:tblCellMar>
            <w:top w:w="0" w:type="dxa"/>
            <w:left w:w="0" w:type="dxa"/>
            <w:bottom w:w="0" w:type="dxa"/>
            <w:right w:w="0" w:type="dxa"/>
          </w:tblCellMar>
        </w:tblPrEx>
        <w:trPr>
          <w:trHeight w:val="1252"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婆留井、石像生</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全国重点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锦城街道</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40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40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修复井圈，保养维护石像生</w:t>
            </w:r>
          </w:p>
        </w:tc>
      </w:tr>
      <w:tr>
        <w:tblPrEx>
          <w:tblCellMar>
            <w:top w:w="0" w:type="dxa"/>
            <w:left w:w="0" w:type="dxa"/>
            <w:bottom w:w="0" w:type="dxa"/>
            <w:right w:w="0"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望锦亭、芙蓉亭等</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国宝附属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锦城街道太庙山</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整体修缮，整治环境</w:t>
            </w:r>
          </w:p>
        </w:tc>
      </w:tr>
      <w:tr>
        <w:tblPrEx>
          <w:tblCellMar>
            <w:top w:w="0" w:type="dxa"/>
            <w:left w:w="0" w:type="dxa"/>
            <w:bottom w:w="0" w:type="dxa"/>
            <w:right w:w="0" w:type="dxa"/>
          </w:tblCellMar>
        </w:tblPrEx>
        <w:trPr>
          <w:trHeight w:val="1252"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新溪桥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市保单位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锦城街道</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桥护栏损坏，桥墩有损，桥路面破损，恢复步行桥</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金头古桥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文保点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锦城街道钱王铺村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修复桥面破裂塌陷石板和倒塌栏杆，清除桥面杂草灌木</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独山桥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 xml:space="preserve">文保点  </w:t>
            </w:r>
            <w:r>
              <w:rPr>
                <w:rFonts w:hint="eastAsia" w:ascii="仿宋" w:hAnsi="仿宋" w:eastAsia="仿宋" w:cs="仿宋"/>
                <w:sz w:val="24"/>
              </w:rPr>
              <w:t xml:space="preserve">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锦城街道泥山湾村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修复桥面及墩柱，整治外围区域</w:t>
            </w:r>
          </w:p>
        </w:tc>
      </w:tr>
      <w:tr>
        <w:tblPrEx>
          <w:tblCellMar>
            <w:top w:w="0" w:type="dxa"/>
            <w:left w:w="0" w:type="dxa"/>
            <w:bottom w:w="0" w:type="dxa"/>
            <w:right w:w="0" w:type="dxa"/>
          </w:tblCellMar>
        </w:tblPrEx>
        <w:trPr>
          <w:trHeight w:val="967"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周志明民居（新四军活动旧址）</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市保单位</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锦南街道横岭村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旧瓦更换, 并做防水设施，改装窗台，二楼地面更换木板，电线套管，墙面粉刷</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7</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罗氏宗祠</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 xml:space="preserve">文保点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锦南街道上畔村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做防水设施，瓦片重整，北面墙面维修, 电线套管，进口门洞及大门重建</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崂山村四合院建筑</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一般保护对象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玲珑街道崂山村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整体修缮恢复四合院的形制</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逸逸村名族小学</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 xml:space="preserve">一般保护对象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於潜镇逸逸村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民族日报旧址</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省保单位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於潜镇鹤村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w:t>
            </w:r>
          </w:p>
        </w:tc>
      </w:tr>
      <w:tr>
        <w:tblPrEx>
          <w:tblCellMar>
            <w:top w:w="0" w:type="dxa"/>
            <w:left w:w="0" w:type="dxa"/>
            <w:bottom w:w="0" w:type="dxa"/>
            <w:right w:w="0" w:type="dxa"/>
          </w:tblCellMar>
        </w:tblPrEx>
        <w:trPr>
          <w:trHeight w:val="1252"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后葛村上村27号</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历史建筑</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昌化镇后葛村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100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12</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市溪桥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文保点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昌化镇东街村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整体修缮，整治环境</w:t>
            </w:r>
          </w:p>
        </w:tc>
      </w:tr>
      <w:tr>
        <w:tblPrEx>
          <w:tblCellMar>
            <w:top w:w="0" w:type="dxa"/>
            <w:left w:w="0" w:type="dxa"/>
            <w:bottom w:w="0" w:type="dxa"/>
            <w:right w:w="0" w:type="dxa"/>
          </w:tblCellMar>
        </w:tblPrEx>
        <w:trPr>
          <w:trHeight w:val="967"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13</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印石坞万安桥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三普登录点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昌化镇九龙村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10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西侧桥墩和东侧桥基修复，铺装桥面</w:t>
            </w:r>
          </w:p>
        </w:tc>
      </w:tr>
      <w:tr>
        <w:tblPrEx>
          <w:tblCellMar>
            <w:top w:w="0" w:type="dxa"/>
            <w:left w:w="0" w:type="dxa"/>
            <w:bottom w:w="0" w:type="dxa"/>
            <w:right w:w="0" w:type="dxa"/>
          </w:tblCellMar>
        </w:tblPrEx>
        <w:trPr>
          <w:trHeight w:val="967"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14</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众济桥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三普登录点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昌化镇虞溪村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桥面条石填充，更换台阶，修补缺口</w:t>
            </w:r>
          </w:p>
        </w:tc>
      </w:tr>
      <w:tr>
        <w:tblPrEx>
          <w:tblCellMar>
            <w:top w:w="0" w:type="dxa"/>
            <w:left w:w="0" w:type="dxa"/>
            <w:bottom w:w="0" w:type="dxa"/>
            <w:right w:w="0" w:type="dxa"/>
          </w:tblCellMar>
        </w:tblPrEx>
        <w:trPr>
          <w:trHeight w:val="967"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15</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邵氏香火堂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文保点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龙岗镇国石村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25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25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更换堂上小青瓦，防漏维护，墙面修葺</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16</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郑普华古民居</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一般保护对象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河桥镇秀溪村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160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17</w:t>
            </w:r>
          </w:p>
        </w:tc>
        <w:tc>
          <w:tcPr>
            <w:tcW w:w="1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胡氏祖茔</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文保点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湍口镇童家村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20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10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整体修缮，阻止墓葬前倾</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18</w:t>
            </w: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湍口油坊</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文保点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端口镇湍口村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35</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17</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17</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整体翻修，局部加固，电线套管</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19</w:t>
            </w: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永安桥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市保单位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清凉峰镇杨溪村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25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修复西侧引桥</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20</w:t>
            </w: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孝子祠</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 xml:space="preserve">省保单位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清凉峰镇杨溪村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60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30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30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消防设施设置及保养维护</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21</w:t>
            </w: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陈家祠堂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 xml:space="preserve">省保单位 </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清凉峰镇胡门村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60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30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30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保养维护工程（屋面局部翻漏）</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22</w:t>
            </w: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万家香火堂</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lang w:val="en-US" w:eastAsia="zh-CN"/>
              </w:rPr>
              <w:t>三普登录点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清凉峰镇马啸村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w:t>
            </w:r>
          </w:p>
        </w:tc>
      </w:tr>
      <w:tr>
        <w:tblPrEx>
          <w:tblCellMar>
            <w:top w:w="0" w:type="dxa"/>
            <w:left w:w="0" w:type="dxa"/>
            <w:bottom w:w="0" w:type="dxa"/>
            <w:right w:w="0" w:type="dxa"/>
          </w:tblCellMar>
        </w:tblPrEx>
        <w:trPr>
          <w:trHeight w:val="863"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23</w:t>
            </w: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卫阳桥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文保点</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岛石镇上许村</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80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40</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rPr>
            </w:pPr>
            <w:r>
              <w:rPr>
                <w:rFonts w:hint="eastAsia" w:ascii="仿宋" w:hAnsi="仿宋" w:eastAsia="仿宋" w:cs="仿宋"/>
                <w:sz w:val="24"/>
                <w:lang w:val="en-US" w:eastAsia="zh-CN"/>
              </w:rPr>
              <w:t>40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整体修缮</w:t>
            </w:r>
          </w:p>
        </w:tc>
      </w:tr>
      <w:tr>
        <w:tblPrEx>
          <w:tblCellMar>
            <w:top w:w="0" w:type="dxa"/>
            <w:left w:w="0" w:type="dxa"/>
            <w:bottom w:w="0" w:type="dxa"/>
            <w:right w:w="0" w:type="dxa"/>
          </w:tblCellMar>
        </w:tblPrEx>
        <w:trPr>
          <w:trHeight w:val="508"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1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合计</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1530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764</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764</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sz w:val="24"/>
              </w:rPr>
            </w:pPr>
          </w:p>
        </w:tc>
      </w:tr>
    </w:tbl>
    <w:p>
      <w:pPr>
        <w:rPr>
          <w:rFonts w:hint="eastAsia" w:ascii="仿宋" w:hAnsi="仿宋" w:eastAsia="仿宋" w:cs="仿宋"/>
          <w:b/>
          <w:sz w:val="24"/>
        </w:rPr>
      </w:pPr>
    </w:p>
    <w:p>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二、服务要求</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1、监理单位须</w:t>
      </w:r>
      <w:r>
        <w:rPr>
          <w:rFonts w:hint="eastAsia" w:ascii="仿宋" w:hAnsi="仿宋" w:eastAsia="仿宋" w:cs="仿宋"/>
          <w:sz w:val="24"/>
          <w:highlight w:val="none"/>
        </w:rPr>
        <w:t>具有</w:t>
      </w:r>
      <w:r>
        <w:rPr>
          <w:rFonts w:hint="eastAsia" w:ascii="仿宋" w:hAnsi="仿宋" w:eastAsia="仿宋" w:cs="仿宋"/>
          <w:sz w:val="24"/>
          <w:highlight w:val="none"/>
          <w:lang w:val="en-US" w:eastAsia="zh-CN"/>
        </w:rPr>
        <w:t>文物保护工程监理乙级及以上资质</w:t>
      </w:r>
      <w:r>
        <w:rPr>
          <w:rFonts w:hint="eastAsia" w:ascii="仿宋" w:hAnsi="仿宋" w:eastAsia="仿宋" w:cs="仿宋"/>
          <w:sz w:val="24"/>
        </w:rPr>
        <w:t xml:space="preserve">及相应的服务能力。 </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2、投标单位中标后，若采购人要求监理单位提供服务，监理单位未能按时到场提供服务的，采购人将取消该监理单位的中标资格，给采购人造成损失的，由该监理单位承担。</w:t>
      </w:r>
    </w:p>
    <w:p>
      <w:pPr>
        <w:keepNext w:val="0"/>
        <w:keepLines w:val="0"/>
        <w:pageBreakBefore w:val="0"/>
        <w:widowControl w:val="0"/>
        <w:kinsoku/>
        <w:wordWrap/>
        <w:overflowPunct/>
        <w:topLinePunct w:val="0"/>
        <w:bidi w:val="0"/>
        <w:snapToGrid/>
        <w:spacing w:line="400" w:lineRule="exact"/>
        <w:ind w:right="-128" w:rightChars="-61" w:firstLine="480" w:firstLineChars="200"/>
        <w:textAlignment w:val="auto"/>
        <w:rPr>
          <w:rFonts w:hint="eastAsia" w:ascii="仿宋" w:hAnsi="仿宋" w:eastAsia="仿宋" w:cs="仿宋"/>
          <w:sz w:val="24"/>
        </w:rPr>
      </w:pPr>
      <w:r>
        <w:rPr>
          <w:rFonts w:hint="eastAsia" w:ascii="仿宋" w:hAnsi="仿宋" w:eastAsia="仿宋" w:cs="仿宋"/>
          <w:sz w:val="24"/>
        </w:rPr>
        <w:t>若本次中标的单位在实际项目实施过程中存在服务质量达不到采购人或相关部门要求的，将取消其中标资格，该单位的名额将由采购单位在候补名单中确定或另行采购确定。</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3、进度控制目标：施工工期控制在施工总进度计划工期内。</w:t>
      </w:r>
    </w:p>
    <w:p>
      <w:pPr>
        <w:keepNext w:val="0"/>
        <w:keepLines w:val="0"/>
        <w:pageBreakBefore w:val="0"/>
        <w:widowControl w:val="0"/>
        <w:kinsoku/>
        <w:wordWrap/>
        <w:overflowPunct/>
        <w:topLinePunct w:val="0"/>
        <w:bidi w:val="0"/>
        <w:snapToGrid/>
        <w:spacing w:line="400" w:lineRule="exact"/>
        <w:ind w:right="88" w:rightChars="42" w:firstLine="480" w:firstLineChars="200"/>
        <w:textAlignment w:val="auto"/>
        <w:rPr>
          <w:rFonts w:hint="eastAsia" w:ascii="仿宋" w:hAnsi="仿宋" w:eastAsia="仿宋" w:cs="仿宋"/>
          <w:sz w:val="24"/>
        </w:rPr>
      </w:pPr>
      <w:r>
        <w:rPr>
          <w:rFonts w:hint="eastAsia" w:ascii="仿宋" w:hAnsi="仿宋" w:eastAsia="仿宋" w:cs="仿宋"/>
          <w:sz w:val="24"/>
        </w:rPr>
        <w:t>4、投资控制目标：工程竣工结算必须控制在批准的预算计划内，监理过程中不能发生因监理人原因产生的索赔。</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5、安全生产监督管理目标：督促施工单位安全施工，保障无重大安全责任事故。</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对工程施工期的投资、质量和建设工期采用科学的方法和手段进行控制，以及本工程建设施工合同的管理、安全监督、文明施工、信息管理，协调有关单位之间的关系，向招标人提交完整的监理档案资料，参与工程的交工和竣工验收。</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7、中标单位合理安排项目责任人，落实项目工程师（资格证书）报采购单位备案。</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8、根据工程实施进度和采购人的要求，对每一个项目进行跟踪监理，确保项目监理到位率。</w:t>
      </w:r>
    </w:p>
    <w:p>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三、服务期及付款</w:t>
      </w:r>
    </w:p>
    <w:p>
      <w:pPr>
        <w:keepNext w:val="0"/>
        <w:keepLines w:val="0"/>
        <w:pageBreakBefore w:val="0"/>
        <w:widowControl w:val="0"/>
        <w:kinsoku/>
        <w:wordWrap/>
        <w:overflowPunct/>
        <w:topLinePunct w:val="0"/>
        <w:bidi w:val="0"/>
        <w:snapToGrid/>
        <w:spacing w:line="400" w:lineRule="exact"/>
        <w:ind w:right="0" w:rightChars="0" w:firstLine="240" w:firstLineChars="100"/>
        <w:textAlignment w:val="auto"/>
        <w:rPr>
          <w:rFonts w:hint="eastAsia" w:ascii="仿宋" w:hAnsi="仿宋" w:eastAsia="仿宋" w:cs="仿宋"/>
          <w:sz w:val="24"/>
        </w:rPr>
      </w:pPr>
      <w:r>
        <w:rPr>
          <w:rFonts w:hint="eastAsia" w:ascii="仿宋" w:hAnsi="仿宋" w:eastAsia="仿宋" w:cs="仿宋"/>
          <w:sz w:val="24"/>
        </w:rPr>
        <w:t>（1）参加项目服务的监理单位应派遣项目小组，小组成员应具有相应的专业技术资格。因业务需要增加或变更小组成员时，其名单须事先征得采购人同意。采购人将根据项目服务情况，要求监理单位更换不符合要求的人员。</w:t>
      </w:r>
    </w:p>
    <w:p>
      <w:pPr>
        <w:keepNext w:val="0"/>
        <w:keepLines w:val="0"/>
        <w:pageBreakBefore w:val="0"/>
        <w:widowControl w:val="0"/>
        <w:kinsoku/>
        <w:wordWrap/>
        <w:overflowPunct/>
        <w:topLinePunct w:val="0"/>
        <w:bidi w:val="0"/>
        <w:snapToGrid/>
        <w:spacing w:line="400" w:lineRule="exact"/>
        <w:ind w:right="10" w:rightChars="0" w:firstLine="240" w:firstLineChars="100"/>
        <w:textAlignment w:val="auto"/>
        <w:rPr>
          <w:rFonts w:hint="eastAsia" w:ascii="仿宋" w:hAnsi="仿宋" w:eastAsia="仿宋" w:cs="仿宋"/>
          <w:sz w:val="24"/>
        </w:rPr>
      </w:pPr>
      <w:r>
        <w:rPr>
          <w:rFonts w:hint="eastAsia" w:ascii="仿宋" w:hAnsi="仿宋" w:eastAsia="仿宋" w:cs="仿宋"/>
          <w:sz w:val="24"/>
        </w:rPr>
        <w:t>（2）未经采购人同意，监理单位不得私自将本项目转交给第三方，否则将作违约处理，采购人有权撤销合同拒付服务费用，且该监理单位还要承担给采购人造成的损失。</w:t>
      </w:r>
    </w:p>
    <w:p>
      <w:pPr>
        <w:keepNext w:val="0"/>
        <w:keepLines w:val="0"/>
        <w:pageBreakBefore w:val="0"/>
        <w:widowControl w:val="0"/>
        <w:kinsoku/>
        <w:wordWrap/>
        <w:overflowPunct/>
        <w:topLinePunct w:val="0"/>
        <w:bidi w:val="0"/>
        <w:snapToGrid/>
        <w:spacing w:line="400" w:lineRule="exact"/>
        <w:ind w:right="229" w:rightChars="109" w:firstLine="240" w:firstLineChars="100"/>
        <w:textAlignment w:val="auto"/>
        <w:rPr>
          <w:rFonts w:hint="eastAsia" w:ascii="仿宋" w:hAnsi="仿宋" w:eastAsia="仿宋" w:cs="仿宋"/>
          <w:sz w:val="24"/>
        </w:rPr>
      </w:pPr>
      <w:r>
        <w:rPr>
          <w:rFonts w:hint="eastAsia" w:ascii="仿宋" w:hAnsi="仿宋" w:eastAsia="仿宋" w:cs="仿宋"/>
          <w:sz w:val="24"/>
        </w:rPr>
        <w:t>（3）本项目服务期限为中标公告生效日起至项目竣工日止。具体项目监理服务期限为：相应项目施工工期+保修期。在工程质量保修期内，监理单位应承担相应的义务和责任。施工前期阶段、工程结算及决算审计期间均提供免费的服务。监理质量要求同施工质量要求。</w:t>
      </w:r>
    </w:p>
    <w:p>
      <w:pPr>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仿宋" w:hAnsi="仿宋" w:eastAsia="仿宋" w:cs="仿宋"/>
          <w:sz w:val="24"/>
        </w:rPr>
      </w:pPr>
      <w:r>
        <w:rPr>
          <w:rFonts w:hint="eastAsia" w:ascii="仿宋" w:hAnsi="仿宋" w:eastAsia="仿宋" w:cs="仿宋"/>
          <w:sz w:val="24"/>
        </w:rPr>
        <w:t>（4）付款方式：在单个项目施工完成并经验收合格后，且监理单位已按合同约定提交经采购人确认的有关监理资料后在一定期限内由采购方支付费用，按合同约定 1个项目一结算，累计集中结付。服务费用由采购人负责支付，监理单位凭发票等要求的资料到采购人处结算。</w:t>
      </w:r>
    </w:p>
    <w:p>
      <w:pPr>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仿宋" w:hAnsi="仿宋" w:eastAsia="仿宋" w:cs="仿宋"/>
          <w:sz w:val="24"/>
        </w:rPr>
      </w:pPr>
      <w:r>
        <w:rPr>
          <w:rFonts w:hint="eastAsia" w:ascii="仿宋" w:hAnsi="仿宋" w:eastAsia="仿宋" w:cs="仿宋"/>
          <w:sz w:val="24"/>
        </w:rPr>
        <w:t>（5）本项目 202</w:t>
      </w:r>
      <w:r>
        <w:rPr>
          <w:rFonts w:hint="eastAsia" w:ascii="仿宋" w:hAnsi="仿宋" w:eastAsia="仿宋" w:cs="仿宋"/>
          <w:sz w:val="24"/>
          <w:lang w:val="en-US" w:eastAsia="zh-CN"/>
        </w:rPr>
        <w:t>2</w:t>
      </w:r>
      <w:r>
        <w:rPr>
          <w:rFonts w:hint="eastAsia" w:ascii="仿宋" w:hAnsi="仿宋" w:eastAsia="仿宋" w:cs="仿宋"/>
          <w:sz w:val="24"/>
        </w:rPr>
        <w:t>年度初定为 23 个项目，实际项目数量按实确定，采用中标制，选聘 1 家监理单位签署委托协议。</w:t>
      </w:r>
    </w:p>
    <w:p>
      <w:pPr>
        <w:keepNext w:val="0"/>
        <w:keepLines w:val="0"/>
        <w:pageBreakBefore w:val="0"/>
        <w:widowControl w:val="0"/>
        <w:kinsoku/>
        <w:wordWrap/>
        <w:overflowPunct/>
        <w:topLinePunct w:val="0"/>
        <w:autoSpaceDE w:val="0"/>
        <w:autoSpaceDN w:val="0"/>
        <w:bidi w:val="0"/>
        <w:adjustRightInd w:val="0"/>
        <w:snapToGrid/>
        <w:spacing w:line="400" w:lineRule="exact"/>
        <w:ind w:left="10" w:leftChars="5" w:firstLine="408" w:firstLineChars="170"/>
        <w:jc w:val="left"/>
        <w:textAlignment w:val="auto"/>
        <w:rPr>
          <w:rFonts w:hint="eastAsia" w:ascii="宋体" w:cs="宋体"/>
          <w:color w:val="000000"/>
          <w:kern w:val="0"/>
          <w:sz w:val="24"/>
        </w:rPr>
      </w:pPr>
    </w:p>
    <w:p>
      <w:r>
        <w:br w:type="page"/>
      </w:r>
    </w:p>
    <w:p/>
    <w:p>
      <w:pPr>
        <w:numPr>
          <w:ilvl w:val="0"/>
          <w:numId w:val="2"/>
        </w:numPr>
        <w:snapToGrid w:val="0"/>
        <w:spacing w:line="360" w:lineRule="auto"/>
        <w:jc w:val="center"/>
        <w:rPr>
          <w:rFonts w:ascii="仿宋" w:hAnsi="仿宋" w:eastAsia="仿宋" w:cs="仿宋"/>
          <w:b/>
          <w:sz w:val="36"/>
          <w:szCs w:val="36"/>
        </w:rPr>
      </w:pPr>
      <w:bookmarkStart w:id="27" w:name="_Toc184314442"/>
      <w:bookmarkEnd w:id="27"/>
      <w:bookmarkStart w:id="28" w:name="_Toc184310341"/>
      <w:bookmarkEnd w:id="28"/>
      <w:bookmarkStart w:id="29" w:name="_Toc184313281"/>
      <w:bookmarkEnd w:id="29"/>
      <w:bookmarkStart w:id="30" w:name="_Toc184310331"/>
      <w:bookmarkEnd w:id="30"/>
      <w:bookmarkStart w:id="31" w:name="_Toc184308068"/>
      <w:bookmarkEnd w:id="31"/>
      <w:bookmarkStart w:id="32" w:name="_Toc184312132"/>
      <w:bookmarkEnd w:id="32"/>
      <w:bookmarkStart w:id="33" w:name="_Toc184314423"/>
      <w:bookmarkEnd w:id="33"/>
      <w:bookmarkStart w:id="34" w:name="_Toc184310328"/>
      <w:bookmarkEnd w:id="34"/>
      <w:bookmarkStart w:id="35" w:name="_Toc184310273"/>
      <w:bookmarkEnd w:id="35"/>
      <w:bookmarkStart w:id="36" w:name="_Toc184310319"/>
      <w:bookmarkEnd w:id="36"/>
      <w:bookmarkStart w:id="37" w:name="_Toc184308098"/>
      <w:bookmarkEnd w:id="37"/>
      <w:bookmarkStart w:id="38" w:name="_Toc184313252"/>
      <w:bookmarkEnd w:id="38"/>
      <w:bookmarkStart w:id="39" w:name="_Toc184314410"/>
      <w:bookmarkEnd w:id="39"/>
      <w:bookmarkStart w:id="40" w:name="_Toc184310306"/>
      <w:bookmarkEnd w:id="40"/>
      <w:bookmarkStart w:id="41" w:name="_Toc184313302"/>
      <w:bookmarkEnd w:id="41"/>
      <w:bookmarkStart w:id="42" w:name="_Toc184314441"/>
      <w:bookmarkEnd w:id="42"/>
      <w:bookmarkStart w:id="43" w:name="_Toc184314462"/>
      <w:bookmarkEnd w:id="43"/>
      <w:bookmarkStart w:id="44" w:name="_Toc184313294"/>
      <w:bookmarkEnd w:id="44"/>
      <w:bookmarkStart w:id="45" w:name="_Toc184312080"/>
      <w:bookmarkEnd w:id="45"/>
      <w:bookmarkStart w:id="46" w:name="_Toc184308086"/>
      <w:bookmarkEnd w:id="46"/>
      <w:bookmarkStart w:id="47" w:name="_Toc184312107"/>
      <w:bookmarkEnd w:id="47"/>
      <w:bookmarkStart w:id="48" w:name="_Toc184312113"/>
      <w:bookmarkEnd w:id="48"/>
      <w:bookmarkStart w:id="49" w:name="_Toc184312102"/>
      <w:bookmarkEnd w:id="49"/>
      <w:bookmarkStart w:id="50" w:name="_Toc184314453"/>
      <w:bookmarkEnd w:id="50"/>
      <w:bookmarkStart w:id="51" w:name="_Toc184312088"/>
      <w:bookmarkEnd w:id="51"/>
      <w:bookmarkStart w:id="52" w:name="_Toc184310310"/>
      <w:bookmarkEnd w:id="52"/>
      <w:bookmarkStart w:id="53" w:name="_Toc184308057"/>
      <w:bookmarkEnd w:id="53"/>
      <w:bookmarkStart w:id="54" w:name="_Toc184313285"/>
      <w:bookmarkEnd w:id="54"/>
      <w:bookmarkStart w:id="55" w:name="_Toc184312114"/>
      <w:bookmarkEnd w:id="55"/>
      <w:bookmarkStart w:id="56" w:name="_Toc184312137"/>
      <w:bookmarkEnd w:id="56"/>
      <w:bookmarkStart w:id="57" w:name="_Toc184310305"/>
      <w:bookmarkEnd w:id="57"/>
      <w:bookmarkStart w:id="58" w:name="_Toc184308060"/>
      <w:bookmarkEnd w:id="58"/>
      <w:bookmarkStart w:id="59" w:name="_Toc184312091"/>
      <w:bookmarkEnd w:id="59"/>
      <w:bookmarkStart w:id="60" w:name="_Toc184313255"/>
      <w:bookmarkEnd w:id="60"/>
      <w:bookmarkStart w:id="61" w:name="_Toc184314440"/>
      <w:bookmarkEnd w:id="61"/>
      <w:bookmarkStart w:id="62" w:name="_Toc184308100"/>
      <w:bookmarkEnd w:id="62"/>
      <w:bookmarkStart w:id="63" w:name="_Toc184308092"/>
      <w:bookmarkEnd w:id="63"/>
      <w:bookmarkStart w:id="64" w:name="_Toc184308108"/>
      <w:bookmarkEnd w:id="64"/>
      <w:bookmarkStart w:id="65" w:name="_Toc184308095"/>
      <w:bookmarkEnd w:id="65"/>
      <w:bookmarkStart w:id="66" w:name="_Toc184310315"/>
      <w:bookmarkEnd w:id="66"/>
      <w:bookmarkStart w:id="67" w:name="_Toc184314444"/>
      <w:bookmarkEnd w:id="67"/>
      <w:bookmarkStart w:id="68" w:name="_Toc184310326"/>
      <w:bookmarkEnd w:id="68"/>
      <w:bookmarkStart w:id="69" w:name="_Toc184310291"/>
      <w:bookmarkEnd w:id="69"/>
      <w:bookmarkStart w:id="70" w:name="_Toc184308063"/>
      <w:bookmarkEnd w:id="70"/>
      <w:bookmarkStart w:id="71" w:name="_Toc184312068"/>
      <w:bookmarkEnd w:id="71"/>
      <w:bookmarkStart w:id="72" w:name="_Toc184313274"/>
      <w:bookmarkEnd w:id="72"/>
      <w:bookmarkStart w:id="73" w:name="_Toc184313295"/>
      <w:bookmarkEnd w:id="73"/>
      <w:bookmarkStart w:id="74" w:name="_Toc184312139"/>
      <w:bookmarkEnd w:id="74"/>
      <w:bookmarkStart w:id="75" w:name="_Toc184312096"/>
      <w:bookmarkEnd w:id="75"/>
      <w:bookmarkStart w:id="76" w:name="_Toc184310336"/>
      <w:bookmarkEnd w:id="76"/>
      <w:bookmarkStart w:id="77" w:name="_Toc184313297"/>
      <w:bookmarkEnd w:id="77"/>
      <w:bookmarkStart w:id="78" w:name="_Toc184308087"/>
      <w:bookmarkEnd w:id="78"/>
      <w:bookmarkStart w:id="79" w:name="_Toc184312093"/>
      <w:bookmarkEnd w:id="79"/>
      <w:bookmarkStart w:id="80" w:name="_Toc184313241"/>
      <w:bookmarkEnd w:id="80"/>
      <w:bookmarkStart w:id="81" w:name="_Toc184310318"/>
      <w:bookmarkEnd w:id="81"/>
      <w:bookmarkStart w:id="82" w:name="_Toc184308071"/>
      <w:bookmarkEnd w:id="82"/>
      <w:bookmarkStart w:id="83" w:name="_Toc184308093"/>
      <w:bookmarkEnd w:id="83"/>
      <w:bookmarkStart w:id="84" w:name="_Toc184308103"/>
      <w:bookmarkEnd w:id="84"/>
      <w:bookmarkStart w:id="85" w:name="_Toc184312095"/>
      <w:bookmarkEnd w:id="85"/>
      <w:bookmarkStart w:id="86" w:name="_Toc184310343"/>
      <w:bookmarkEnd w:id="86"/>
      <w:bookmarkStart w:id="87" w:name="_Toc184310324"/>
      <w:bookmarkEnd w:id="87"/>
      <w:bookmarkStart w:id="88" w:name="_Toc184314476"/>
      <w:bookmarkEnd w:id="88"/>
      <w:bookmarkStart w:id="89" w:name="_Toc184312105"/>
      <w:bookmarkEnd w:id="89"/>
      <w:bookmarkStart w:id="90" w:name="_Toc184310309"/>
      <w:bookmarkEnd w:id="90"/>
      <w:bookmarkStart w:id="91" w:name="_Toc184310311"/>
      <w:bookmarkEnd w:id="91"/>
      <w:bookmarkStart w:id="92" w:name="_Toc184313238"/>
      <w:bookmarkEnd w:id="92"/>
      <w:bookmarkStart w:id="93" w:name="_Toc184308079"/>
      <w:bookmarkEnd w:id="93"/>
      <w:bookmarkStart w:id="94" w:name="_Toc184312136"/>
      <w:bookmarkEnd w:id="94"/>
      <w:bookmarkStart w:id="95" w:name="_Toc184308058"/>
      <w:bookmarkEnd w:id="95"/>
      <w:bookmarkStart w:id="96" w:name="_Toc184310293"/>
      <w:bookmarkEnd w:id="96"/>
      <w:bookmarkStart w:id="97" w:name="_Toc184310275"/>
      <w:bookmarkEnd w:id="97"/>
      <w:bookmarkStart w:id="98" w:name="_Toc184313240"/>
      <w:bookmarkEnd w:id="98"/>
      <w:bookmarkStart w:id="99" w:name="_Toc184312078"/>
      <w:bookmarkEnd w:id="99"/>
      <w:bookmarkStart w:id="100" w:name="_Toc184308083"/>
      <w:bookmarkEnd w:id="100"/>
      <w:bookmarkStart w:id="101" w:name="_Toc184314464"/>
      <w:bookmarkEnd w:id="101"/>
      <w:bookmarkStart w:id="102" w:name="_Toc184313275"/>
      <w:bookmarkEnd w:id="102"/>
      <w:bookmarkStart w:id="103" w:name="_Toc184312115"/>
      <w:bookmarkEnd w:id="103"/>
      <w:bookmarkStart w:id="104" w:name="_Toc184313268"/>
      <w:bookmarkEnd w:id="104"/>
      <w:bookmarkStart w:id="105" w:name="_Toc184310308"/>
      <w:bookmarkEnd w:id="105"/>
      <w:bookmarkStart w:id="106" w:name="_Toc184312126"/>
      <w:bookmarkEnd w:id="106"/>
      <w:bookmarkStart w:id="107" w:name="_Toc184308078"/>
      <w:bookmarkEnd w:id="107"/>
      <w:bookmarkStart w:id="108" w:name="_Toc184313291"/>
      <w:bookmarkEnd w:id="108"/>
      <w:bookmarkStart w:id="109" w:name="_Toc184310298"/>
      <w:bookmarkEnd w:id="109"/>
      <w:bookmarkStart w:id="110" w:name="_Toc184314475"/>
      <w:bookmarkEnd w:id="110"/>
      <w:bookmarkStart w:id="111" w:name="_Toc184312101"/>
      <w:bookmarkEnd w:id="111"/>
      <w:bookmarkStart w:id="112" w:name="_Toc184310337"/>
      <w:bookmarkEnd w:id="112"/>
      <w:bookmarkStart w:id="113" w:name="_Toc184314439"/>
      <w:bookmarkEnd w:id="113"/>
      <w:bookmarkStart w:id="114" w:name="_Toc184308081"/>
      <w:bookmarkEnd w:id="114"/>
      <w:bookmarkStart w:id="115" w:name="_Toc184313279"/>
      <w:bookmarkEnd w:id="115"/>
      <w:bookmarkStart w:id="116" w:name="_Toc184313308"/>
      <w:bookmarkEnd w:id="116"/>
      <w:bookmarkStart w:id="117" w:name="_Toc184308052"/>
      <w:bookmarkEnd w:id="117"/>
      <w:bookmarkStart w:id="118" w:name="_Toc184312098"/>
      <w:bookmarkEnd w:id="118"/>
      <w:bookmarkStart w:id="119" w:name="_Toc184312087"/>
      <w:bookmarkEnd w:id="119"/>
      <w:bookmarkStart w:id="120" w:name="_Toc184314452"/>
      <w:bookmarkEnd w:id="120"/>
      <w:bookmarkStart w:id="121" w:name="_Toc184314482"/>
      <w:bookmarkEnd w:id="121"/>
      <w:bookmarkStart w:id="122" w:name="_Toc184308051"/>
      <w:bookmarkEnd w:id="122"/>
      <w:bookmarkStart w:id="123" w:name="_Toc184313264"/>
      <w:bookmarkEnd w:id="123"/>
      <w:bookmarkStart w:id="124" w:name="_Toc184313272"/>
      <w:bookmarkEnd w:id="124"/>
      <w:bookmarkStart w:id="125" w:name="_Toc184312071"/>
      <w:bookmarkEnd w:id="125"/>
      <w:bookmarkStart w:id="126" w:name="_Toc184312117"/>
      <w:bookmarkEnd w:id="126"/>
      <w:bookmarkStart w:id="127" w:name="_Toc184314459"/>
      <w:bookmarkEnd w:id="127"/>
      <w:bookmarkStart w:id="128" w:name="_Toc184312116"/>
      <w:bookmarkEnd w:id="128"/>
      <w:bookmarkStart w:id="129" w:name="_Toc184312069"/>
      <w:bookmarkEnd w:id="129"/>
      <w:bookmarkStart w:id="130" w:name="_Toc184314472"/>
      <w:bookmarkEnd w:id="130"/>
      <w:bookmarkStart w:id="131" w:name="_Toc184314429"/>
      <w:bookmarkEnd w:id="131"/>
      <w:bookmarkStart w:id="132" w:name="_Toc184308037"/>
      <w:bookmarkEnd w:id="132"/>
      <w:bookmarkStart w:id="133" w:name="_Toc184310274"/>
      <w:bookmarkEnd w:id="133"/>
      <w:bookmarkStart w:id="134" w:name="_Toc184308044"/>
      <w:bookmarkEnd w:id="134"/>
      <w:bookmarkStart w:id="135" w:name="_Toc184312112"/>
      <w:bookmarkEnd w:id="135"/>
      <w:bookmarkStart w:id="136" w:name="_Toc184308074"/>
      <w:bookmarkEnd w:id="136"/>
      <w:bookmarkStart w:id="137" w:name="_Toc184312073"/>
      <w:bookmarkEnd w:id="137"/>
      <w:bookmarkStart w:id="138" w:name="_Toc184310295"/>
      <w:bookmarkEnd w:id="138"/>
      <w:bookmarkStart w:id="139" w:name="_Toc184308104"/>
      <w:bookmarkEnd w:id="139"/>
      <w:bookmarkStart w:id="140" w:name="_Toc184308067"/>
      <w:bookmarkEnd w:id="140"/>
      <w:bookmarkStart w:id="141" w:name="_Toc184308039"/>
      <w:bookmarkEnd w:id="141"/>
      <w:bookmarkStart w:id="142" w:name="_Toc184308054"/>
      <w:bookmarkEnd w:id="142"/>
      <w:bookmarkStart w:id="143" w:name="_Toc184310321"/>
      <w:bookmarkEnd w:id="143"/>
      <w:bookmarkStart w:id="144" w:name="_Toc184310288"/>
      <w:bookmarkEnd w:id="144"/>
      <w:bookmarkStart w:id="145" w:name="_Toc184313300"/>
      <w:bookmarkEnd w:id="145"/>
      <w:bookmarkStart w:id="146" w:name="_Toc184312129"/>
      <w:bookmarkEnd w:id="146"/>
      <w:bookmarkStart w:id="147" w:name="_Toc184313258"/>
      <w:bookmarkEnd w:id="147"/>
      <w:bookmarkStart w:id="148" w:name="_Toc184314480"/>
      <w:bookmarkEnd w:id="148"/>
      <w:bookmarkStart w:id="149" w:name="_Toc184310292"/>
      <w:bookmarkEnd w:id="149"/>
      <w:bookmarkStart w:id="150" w:name="_Toc184313309"/>
      <w:bookmarkEnd w:id="150"/>
      <w:bookmarkStart w:id="151" w:name="_Toc184312134"/>
      <w:bookmarkEnd w:id="151"/>
      <w:bookmarkStart w:id="152" w:name="_Toc184312077"/>
      <w:bookmarkEnd w:id="152"/>
      <w:bookmarkStart w:id="153" w:name="_Toc184312111"/>
      <w:bookmarkEnd w:id="153"/>
      <w:bookmarkStart w:id="154" w:name="_Toc184314411"/>
      <w:bookmarkEnd w:id="154"/>
      <w:bookmarkStart w:id="155" w:name="_Toc184312086"/>
      <w:bookmarkEnd w:id="155"/>
      <w:bookmarkStart w:id="156" w:name="_Toc184310272"/>
      <w:bookmarkEnd w:id="156"/>
      <w:bookmarkStart w:id="157" w:name="_Toc184314435"/>
      <w:bookmarkEnd w:id="157"/>
      <w:bookmarkStart w:id="158" w:name="_Toc184313253"/>
      <w:bookmarkEnd w:id="158"/>
      <w:bookmarkStart w:id="159" w:name="_Toc184310316"/>
      <w:bookmarkEnd w:id="159"/>
      <w:bookmarkStart w:id="160" w:name="_Toc184314458"/>
      <w:bookmarkEnd w:id="160"/>
      <w:bookmarkStart w:id="161" w:name="_Toc184308080"/>
      <w:bookmarkEnd w:id="161"/>
      <w:bookmarkStart w:id="162" w:name="_Toc184308056"/>
      <w:bookmarkEnd w:id="162"/>
      <w:bookmarkStart w:id="163" w:name="_Toc184314450"/>
      <w:bookmarkEnd w:id="163"/>
      <w:bookmarkStart w:id="164" w:name="_Toc184310312"/>
      <w:bookmarkEnd w:id="164"/>
      <w:bookmarkStart w:id="165" w:name="_Toc184310280"/>
      <w:bookmarkEnd w:id="165"/>
      <w:bookmarkStart w:id="166" w:name="_Toc184310281"/>
      <w:bookmarkEnd w:id="166"/>
      <w:bookmarkStart w:id="167" w:name="_Toc184310289"/>
      <w:bookmarkEnd w:id="167"/>
      <w:bookmarkStart w:id="168" w:name="_Toc184310279"/>
      <w:bookmarkEnd w:id="168"/>
      <w:bookmarkStart w:id="169" w:name="_Toc184312085"/>
      <w:bookmarkEnd w:id="169"/>
      <w:bookmarkStart w:id="170" w:name="_Toc184312075"/>
      <w:bookmarkEnd w:id="170"/>
      <w:bookmarkStart w:id="171" w:name="_Toc184308066"/>
      <w:bookmarkEnd w:id="171"/>
      <w:bookmarkStart w:id="172" w:name="_Toc184313287"/>
      <w:bookmarkEnd w:id="172"/>
      <w:bookmarkStart w:id="173" w:name="_Toc184314415"/>
      <w:bookmarkEnd w:id="173"/>
      <w:bookmarkStart w:id="174" w:name="_Toc184313305"/>
      <w:bookmarkEnd w:id="174"/>
      <w:bookmarkStart w:id="175" w:name="_Toc184314474"/>
      <w:bookmarkEnd w:id="175"/>
      <w:bookmarkStart w:id="176" w:name="_Toc184314478"/>
      <w:bookmarkEnd w:id="176"/>
      <w:bookmarkStart w:id="177" w:name="_Toc184308040"/>
      <w:bookmarkEnd w:id="177"/>
      <w:bookmarkStart w:id="178" w:name="_Toc184312094"/>
      <w:bookmarkEnd w:id="178"/>
      <w:bookmarkStart w:id="179" w:name="_Toc184314413"/>
      <w:bookmarkEnd w:id="179"/>
      <w:bookmarkStart w:id="180" w:name="_Toc184310297"/>
      <w:bookmarkEnd w:id="180"/>
      <w:bookmarkStart w:id="181" w:name="_Toc184308049"/>
      <w:bookmarkEnd w:id="181"/>
      <w:bookmarkStart w:id="182" w:name="_Toc184313246"/>
      <w:bookmarkEnd w:id="182"/>
      <w:bookmarkStart w:id="183" w:name="_Toc184312089"/>
      <w:bookmarkEnd w:id="183"/>
      <w:bookmarkStart w:id="184" w:name="_Toc184308091"/>
      <w:bookmarkEnd w:id="184"/>
      <w:bookmarkStart w:id="185" w:name="_Toc184314449"/>
      <w:bookmarkEnd w:id="185"/>
      <w:bookmarkStart w:id="186" w:name="_Toc184310340"/>
      <w:bookmarkEnd w:id="186"/>
      <w:bookmarkStart w:id="187" w:name="_Toc184313262"/>
      <w:bookmarkEnd w:id="187"/>
      <w:bookmarkStart w:id="188" w:name="_Toc184312082"/>
      <w:bookmarkEnd w:id="188"/>
      <w:bookmarkStart w:id="189" w:name="_Toc184308041"/>
      <w:bookmarkEnd w:id="189"/>
      <w:bookmarkStart w:id="190" w:name="_Toc184314414"/>
      <w:bookmarkEnd w:id="190"/>
      <w:bookmarkStart w:id="191" w:name="_Toc184313245"/>
      <w:bookmarkEnd w:id="191"/>
      <w:bookmarkStart w:id="192" w:name="_Toc184310342"/>
      <w:bookmarkEnd w:id="192"/>
      <w:bookmarkStart w:id="193" w:name="_Toc184308106"/>
      <w:bookmarkEnd w:id="193"/>
      <w:bookmarkStart w:id="194" w:name="_Toc184310290"/>
      <w:bookmarkEnd w:id="194"/>
      <w:bookmarkStart w:id="195" w:name="_Toc184313304"/>
      <w:bookmarkEnd w:id="195"/>
      <w:bookmarkStart w:id="196" w:name="_Toc184313243"/>
      <w:bookmarkEnd w:id="196"/>
      <w:bookmarkStart w:id="197" w:name="_Toc184308042"/>
      <w:bookmarkEnd w:id="197"/>
      <w:bookmarkStart w:id="198" w:name="_Toc184313306"/>
      <w:bookmarkEnd w:id="198"/>
      <w:bookmarkStart w:id="199" w:name="_Toc184312119"/>
      <w:bookmarkEnd w:id="199"/>
      <w:bookmarkStart w:id="200" w:name="_Toc184312067"/>
      <w:bookmarkEnd w:id="200"/>
      <w:bookmarkStart w:id="201" w:name="_Toc184308050"/>
      <w:bookmarkEnd w:id="201"/>
      <w:bookmarkStart w:id="202" w:name="_Toc184310294"/>
      <w:bookmarkEnd w:id="202"/>
      <w:bookmarkStart w:id="203" w:name="_Toc184313261"/>
      <w:bookmarkEnd w:id="203"/>
      <w:bookmarkStart w:id="204" w:name="_Toc184312070"/>
      <w:bookmarkEnd w:id="204"/>
      <w:bookmarkStart w:id="205" w:name="_Toc184313256"/>
      <w:bookmarkEnd w:id="205"/>
      <w:bookmarkStart w:id="206" w:name="_Toc184313260"/>
      <w:bookmarkEnd w:id="206"/>
      <w:bookmarkStart w:id="207" w:name="_Toc184313277"/>
      <w:bookmarkEnd w:id="207"/>
      <w:bookmarkStart w:id="208" w:name="_Toc184314481"/>
      <w:bookmarkEnd w:id="208"/>
      <w:bookmarkStart w:id="209" w:name="_Toc184310335"/>
      <w:bookmarkEnd w:id="209"/>
      <w:bookmarkStart w:id="210" w:name="_Toc184310314"/>
      <w:bookmarkEnd w:id="210"/>
      <w:bookmarkStart w:id="211" w:name="_Toc184313282"/>
      <w:bookmarkEnd w:id="211"/>
      <w:bookmarkStart w:id="212" w:name="_Toc184310334"/>
      <w:bookmarkEnd w:id="212"/>
      <w:bookmarkStart w:id="213" w:name="_Toc184310276"/>
      <w:bookmarkEnd w:id="213"/>
      <w:bookmarkStart w:id="214" w:name="_Toc184312122"/>
      <w:bookmarkEnd w:id="214"/>
      <w:bookmarkStart w:id="215" w:name="_Toc184313290"/>
      <w:bookmarkEnd w:id="215"/>
      <w:bookmarkStart w:id="216" w:name="_Toc184310317"/>
      <w:bookmarkEnd w:id="216"/>
      <w:bookmarkStart w:id="217" w:name="_Toc184314428"/>
      <w:bookmarkEnd w:id="217"/>
      <w:bookmarkStart w:id="218" w:name="_Toc184312121"/>
      <w:bookmarkEnd w:id="218"/>
      <w:bookmarkStart w:id="219" w:name="_Toc184308043"/>
      <w:bookmarkEnd w:id="219"/>
      <w:bookmarkStart w:id="220" w:name="_Toc184312120"/>
      <w:bookmarkEnd w:id="220"/>
      <w:bookmarkStart w:id="221" w:name="_Toc184314416"/>
      <w:bookmarkEnd w:id="221"/>
      <w:bookmarkStart w:id="222" w:name="_Toc184310277"/>
      <w:bookmarkEnd w:id="222"/>
      <w:bookmarkStart w:id="223" w:name="_Toc184313280"/>
      <w:bookmarkEnd w:id="223"/>
      <w:bookmarkStart w:id="224" w:name="_Toc184310325"/>
      <w:bookmarkEnd w:id="224"/>
      <w:bookmarkStart w:id="225" w:name="_Toc184308089"/>
      <w:bookmarkEnd w:id="225"/>
      <w:bookmarkStart w:id="226" w:name="_Toc184312109"/>
      <w:bookmarkEnd w:id="226"/>
      <w:bookmarkStart w:id="227" w:name="_Toc184313250"/>
      <w:bookmarkEnd w:id="227"/>
      <w:bookmarkStart w:id="228" w:name="_Toc184314471"/>
      <w:bookmarkEnd w:id="228"/>
      <w:bookmarkStart w:id="229" w:name="_Toc184313263"/>
      <w:bookmarkEnd w:id="229"/>
      <w:bookmarkStart w:id="230" w:name="_Toc184314424"/>
      <w:bookmarkEnd w:id="230"/>
      <w:bookmarkStart w:id="231" w:name="_Toc184308090"/>
      <w:bookmarkEnd w:id="231"/>
      <w:bookmarkStart w:id="232" w:name="_Toc184310332"/>
      <w:bookmarkEnd w:id="232"/>
      <w:bookmarkStart w:id="233" w:name="_Toc184308076"/>
      <w:bookmarkEnd w:id="233"/>
      <w:bookmarkStart w:id="234" w:name="_Toc184308038"/>
      <w:bookmarkEnd w:id="234"/>
      <w:bookmarkStart w:id="235" w:name="_Toc184310344"/>
      <w:bookmarkEnd w:id="235"/>
      <w:bookmarkStart w:id="236" w:name="_Toc184314456"/>
      <w:bookmarkEnd w:id="236"/>
      <w:bookmarkStart w:id="237" w:name="_Toc184314433"/>
      <w:bookmarkEnd w:id="237"/>
      <w:bookmarkStart w:id="238" w:name="_Toc184312092"/>
      <w:bookmarkEnd w:id="238"/>
      <w:bookmarkStart w:id="239" w:name="_Toc184310322"/>
      <w:bookmarkEnd w:id="239"/>
      <w:bookmarkStart w:id="240" w:name="_Toc184312133"/>
      <w:bookmarkEnd w:id="240"/>
      <w:bookmarkStart w:id="241" w:name="_Toc184308097"/>
      <w:bookmarkEnd w:id="241"/>
      <w:bookmarkStart w:id="242" w:name="_Toc184314468"/>
      <w:bookmarkEnd w:id="242"/>
      <w:bookmarkStart w:id="243" w:name="_Toc184310286"/>
      <w:bookmarkEnd w:id="243"/>
      <w:bookmarkStart w:id="244" w:name="_Toc184310320"/>
      <w:bookmarkEnd w:id="244"/>
      <w:bookmarkStart w:id="245" w:name="_Toc184310339"/>
      <w:bookmarkEnd w:id="245"/>
      <w:bookmarkStart w:id="246" w:name="_Toc184314412"/>
      <w:bookmarkEnd w:id="246"/>
      <w:bookmarkStart w:id="247" w:name="_Toc184308053"/>
      <w:bookmarkEnd w:id="247"/>
      <w:bookmarkStart w:id="248" w:name="_Toc184312125"/>
      <w:bookmarkEnd w:id="248"/>
      <w:bookmarkStart w:id="249" w:name="_Toc184313244"/>
      <w:bookmarkEnd w:id="249"/>
      <w:bookmarkStart w:id="250" w:name="_Toc184310307"/>
      <w:bookmarkEnd w:id="250"/>
      <w:bookmarkStart w:id="251" w:name="_Toc184314466"/>
      <w:bookmarkEnd w:id="251"/>
      <w:bookmarkStart w:id="252" w:name="_Toc184308105"/>
      <w:bookmarkEnd w:id="252"/>
      <w:bookmarkStart w:id="253" w:name="_Toc184312072"/>
      <w:bookmarkEnd w:id="253"/>
      <w:bookmarkStart w:id="254" w:name="_Toc184313271"/>
      <w:bookmarkEnd w:id="254"/>
      <w:bookmarkStart w:id="255" w:name="_Toc184312110"/>
      <w:bookmarkEnd w:id="255"/>
      <w:bookmarkStart w:id="256" w:name="_Toc184312076"/>
      <w:bookmarkEnd w:id="256"/>
      <w:bookmarkStart w:id="257" w:name="_Toc184308088"/>
      <w:bookmarkEnd w:id="257"/>
      <w:bookmarkStart w:id="258" w:name="_Toc184314420"/>
      <w:bookmarkEnd w:id="258"/>
      <w:bookmarkStart w:id="259" w:name="_Toc184308062"/>
      <w:bookmarkEnd w:id="259"/>
      <w:bookmarkStart w:id="260" w:name="_Toc184313278"/>
      <w:bookmarkEnd w:id="260"/>
      <w:bookmarkStart w:id="261" w:name="_Toc184314461"/>
      <w:bookmarkEnd w:id="261"/>
      <w:bookmarkStart w:id="262" w:name="_Toc184310333"/>
      <w:bookmarkEnd w:id="262"/>
      <w:bookmarkStart w:id="263" w:name="_Toc184310296"/>
      <w:bookmarkEnd w:id="263"/>
      <w:bookmarkStart w:id="264" w:name="_Toc184314422"/>
      <w:bookmarkEnd w:id="264"/>
      <w:bookmarkStart w:id="265" w:name="_Toc184313299"/>
      <w:bookmarkEnd w:id="265"/>
      <w:bookmarkStart w:id="266" w:name="_Toc184308107"/>
      <w:bookmarkEnd w:id="266"/>
      <w:bookmarkStart w:id="267" w:name="_Toc184314438"/>
      <w:bookmarkEnd w:id="267"/>
      <w:bookmarkStart w:id="268" w:name="_Toc184308096"/>
      <w:bookmarkEnd w:id="268"/>
      <w:bookmarkStart w:id="269" w:name="_Toc184310278"/>
      <w:bookmarkEnd w:id="269"/>
      <w:bookmarkStart w:id="270" w:name="_Toc184314419"/>
      <w:bookmarkEnd w:id="270"/>
      <w:bookmarkStart w:id="271" w:name="_Toc184313265"/>
      <w:bookmarkEnd w:id="271"/>
      <w:bookmarkStart w:id="272" w:name="_Toc184310329"/>
      <w:bookmarkEnd w:id="272"/>
      <w:bookmarkStart w:id="273" w:name="_Toc184312074"/>
      <w:bookmarkEnd w:id="273"/>
      <w:bookmarkStart w:id="274" w:name="_Toc184314477"/>
      <w:bookmarkEnd w:id="274"/>
      <w:bookmarkStart w:id="275" w:name="_Toc184308085"/>
      <w:bookmarkEnd w:id="275"/>
      <w:bookmarkStart w:id="276" w:name="_Toc184312123"/>
      <w:bookmarkEnd w:id="276"/>
      <w:bookmarkStart w:id="277" w:name="_Toc184312108"/>
      <w:bookmarkEnd w:id="277"/>
      <w:bookmarkStart w:id="278" w:name="_Toc184313286"/>
      <w:bookmarkEnd w:id="278"/>
      <w:bookmarkStart w:id="279" w:name="_Toc184308045"/>
      <w:bookmarkEnd w:id="279"/>
      <w:bookmarkStart w:id="280" w:name="_Toc184313276"/>
      <w:bookmarkEnd w:id="280"/>
      <w:bookmarkStart w:id="281" w:name="_Toc184313242"/>
      <w:bookmarkEnd w:id="281"/>
      <w:bookmarkStart w:id="282" w:name="_Toc184308070"/>
      <w:bookmarkEnd w:id="282"/>
      <w:bookmarkStart w:id="283" w:name="_Toc184314467"/>
      <w:bookmarkEnd w:id="283"/>
      <w:bookmarkStart w:id="284" w:name="_Toc184313248"/>
      <w:bookmarkEnd w:id="284"/>
      <w:bookmarkStart w:id="285" w:name="_Toc184314427"/>
      <w:bookmarkEnd w:id="285"/>
      <w:bookmarkStart w:id="286" w:name="_Toc184310283"/>
      <w:bookmarkEnd w:id="286"/>
      <w:bookmarkStart w:id="287" w:name="_Toc184314425"/>
      <w:bookmarkEnd w:id="287"/>
      <w:bookmarkStart w:id="288" w:name="_Toc184314479"/>
      <w:bookmarkEnd w:id="288"/>
      <w:bookmarkStart w:id="289" w:name="_Toc184310330"/>
      <w:bookmarkEnd w:id="289"/>
      <w:bookmarkStart w:id="290" w:name="_Toc184313284"/>
      <w:bookmarkEnd w:id="290"/>
      <w:bookmarkStart w:id="291" w:name="_Toc184314470"/>
      <w:bookmarkEnd w:id="291"/>
      <w:bookmarkStart w:id="292" w:name="_Toc184312128"/>
      <w:bookmarkEnd w:id="292"/>
      <w:bookmarkStart w:id="293" w:name="_Toc184314457"/>
      <w:bookmarkEnd w:id="293"/>
      <w:bookmarkStart w:id="294" w:name="_Toc184314418"/>
      <w:bookmarkEnd w:id="294"/>
      <w:bookmarkStart w:id="295" w:name="_Toc184314417"/>
      <w:bookmarkEnd w:id="295"/>
      <w:bookmarkStart w:id="296" w:name="_Toc184312100"/>
      <w:bookmarkEnd w:id="296"/>
      <w:bookmarkStart w:id="297" w:name="_Toc184310299"/>
      <w:bookmarkEnd w:id="297"/>
      <w:bookmarkStart w:id="298" w:name="_Toc184313310"/>
      <w:bookmarkEnd w:id="298"/>
      <w:bookmarkStart w:id="299" w:name="_Toc184308059"/>
      <w:bookmarkEnd w:id="299"/>
      <w:bookmarkStart w:id="300" w:name="_Toc184312079"/>
      <w:bookmarkEnd w:id="300"/>
      <w:bookmarkStart w:id="301" w:name="_Toc184310304"/>
      <w:bookmarkEnd w:id="301"/>
      <w:bookmarkStart w:id="302" w:name="_Toc184313301"/>
      <w:bookmarkEnd w:id="302"/>
      <w:bookmarkStart w:id="303" w:name="_Toc184314445"/>
      <w:bookmarkEnd w:id="303"/>
      <w:bookmarkStart w:id="304" w:name="_Toc184312131"/>
      <w:bookmarkEnd w:id="304"/>
      <w:bookmarkStart w:id="305" w:name="_Toc184313288"/>
      <w:bookmarkEnd w:id="305"/>
      <w:bookmarkStart w:id="306" w:name="_Toc184314465"/>
      <w:bookmarkEnd w:id="306"/>
      <w:bookmarkStart w:id="307" w:name="_Toc184312130"/>
      <w:bookmarkEnd w:id="307"/>
      <w:bookmarkStart w:id="308" w:name="_Toc184314463"/>
      <w:bookmarkEnd w:id="308"/>
      <w:bookmarkStart w:id="309" w:name="_Toc184314437"/>
      <w:bookmarkEnd w:id="309"/>
      <w:bookmarkStart w:id="310" w:name="_Toc184313270"/>
      <w:bookmarkEnd w:id="310"/>
      <w:bookmarkStart w:id="311" w:name="_Toc184308073"/>
      <w:bookmarkEnd w:id="311"/>
      <w:bookmarkStart w:id="312" w:name="_Toc184310287"/>
      <w:bookmarkEnd w:id="312"/>
      <w:bookmarkStart w:id="313" w:name="_Toc184308075"/>
      <w:bookmarkEnd w:id="313"/>
      <w:bookmarkStart w:id="314" w:name="_Toc184310338"/>
      <w:bookmarkEnd w:id="314"/>
      <w:bookmarkStart w:id="315" w:name="_Toc184313289"/>
      <w:bookmarkEnd w:id="315"/>
      <w:bookmarkStart w:id="316" w:name="_Toc184314469"/>
      <w:bookmarkEnd w:id="316"/>
      <w:bookmarkStart w:id="317" w:name="_Toc184313298"/>
      <w:bookmarkEnd w:id="317"/>
      <w:bookmarkStart w:id="318" w:name="_Toc184310313"/>
      <w:bookmarkEnd w:id="318"/>
      <w:bookmarkStart w:id="319" w:name="_Toc184312118"/>
      <w:bookmarkEnd w:id="319"/>
      <w:bookmarkStart w:id="320" w:name="_Toc184308099"/>
      <w:bookmarkEnd w:id="320"/>
      <w:bookmarkStart w:id="321" w:name="_Toc184312081"/>
      <w:bookmarkEnd w:id="321"/>
      <w:bookmarkStart w:id="322" w:name="_Toc184308072"/>
      <w:bookmarkEnd w:id="322"/>
      <w:bookmarkStart w:id="323" w:name="_Toc184314421"/>
      <w:bookmarkEnd w:id="323"/>
      <w:bookmarkStart w:id="324" w:name="_Toc184313307"/>
      <w:bookmarkEnd w:id="324"/>
      <w:bookmarkStart w:id="325" w:name="_Toc184312124"/>
      <w:bookmarkEnd w:id="325"/>
      <w:bookmarkStart w:id="326" w:name="_Toc184313247"/>
      <w:bookmarkEnd w:id="326"/>
      <w:bookmarkStart w:id="327" w:name="_Toc184314443"/>
      <w:bookmarkEnd w:id="327"/>
      <w:bookmarkStart w:id="328" w:name="_Toc184312127"/>
      <w:bookmarkEnd w:id="328"/>
      <w:bookmarkStart w:id="329" w:name="_Toc184314448"/>
      <w:bookmarkEnd w:id="329"/>
      <w:bookmarkStart w:id="330" w:name="_Toc184312138"/>
      <w:bookmarkEnd w:id="330"/>
      <w:bookmarkStart w:id="331" w:name="_Toc184308046"/>
      <w:bookmarkEnd w:id="331"/>
      <w:bookmarkStart w:id="332" w:name="_Toc184314446"/>
      <w:bookmarkEnd w:id="332"/>
      <w:bookmarkStart w:id="333" w:name="_Toc184308047"/>
      <w:bookmarkEnd w:id="333"/>
      <w:bookmarkStart w:id="334" w:name="_Toc184314473"/>
      <w:bookmarkEnd w:id="334"/>
      <w:bookmarkStart w:id="335" w:name="_Toc184308077"/>
      <w:bookmarkEnd w:id="335"/>
      <w:bookmarkStart w:id="336" w:name="_Toc184313293"/>
      <w:bookmarkEnd w:id="336"/>
      <w:bookmarkStart w:id="337" w:name="_Toc184310323"/>
      <w:bookmarkEnd w:id="337"/>
      <w:bookmarkStart w:id="338" w:name="_Toc184312090"/>
      <w:bookmarkEnd w:id="338"/>
      <w:bookmarkStart w:id="339" w:name="_Toc184310301"/>
      <w:bookmarkEnd w:id="339"/>
      <w:bookmarkStart w:id="340" w:name="_Toc184308094"/>
      <w:bookmarkEnd w:id="340"/>
      <w:bookmarkStart w:id="341" w:name="_Toc184313296"/>
      <w:bookmarkEnd w:id="341"/>
      <w:bookmarkStart w:id="342" w:name="_Toc184314434"/>
      <w:bookmarkEnd w:id="342"/>
      <w:bookmarkStart w:id="343" w:name="_Toc184314447"/>
      <w:bookmarkEnd w:id="343"/>
      <w:bookmarkStart w:id="344" w:name="_Toc184313303"/>
      <w:bookmarkEnd w:id="344"/>
      <w:bookmarkStart w:id="345" w:name="_Toc184312103"/>
      <w:bookmarkEnd w:id="345"/>
      <w:bookmarkStart w:id="346" w:name="_Toc184314460"/>
      <w:bookmarkEnd w:id="346"/>
      <w:bookmarkStart w:id="347" w:name="_Toc184308036"/>
      <w:bookmarkEnd w:id="347"/>
      <w:bookmarkStart w:id="348" w:name="_Toc184313266"/>
      <w:bookmarkEnd w:id="348"/>
      <w:bookmarkStart w:id="349" w:name="_Toc184312099"/>
      <w:bookmarkEnd w:id="349"/>
      <w:bookmarkStart w:id="350" w:name="_Toc184308055"/>
      <w:bookmarkEnd w:id="350"/>
      <w:bookmarkStart w:id="351" w:name="_Toc184312106"/>
      <w:bookmarkEnd w:id="351"/>
      <w:bookmarkStart w:id="352" w:name="_Toc184312083"/>
      <w:bookmarkEnd w:id="352"/>
      <w:bookmarkStart w:id="353" w:name="_Toc184313249"/>
      <w:bookmarkEnd w:id="353"/>
      <w:bookmarkStart w:id="354" w:name="_Toc184314431"/>
      <w:bookmarkEnd w:id="354"/>
      <w:bookmarkStart w:id="355" w:name="_Toc184310284"/>
      <w:bookmarkEnd w:id="355"/>
      <w:bookmarkStart w:id="356" w:name="_Toc184312097"/>
      <w:bookmarkEnd w:id="356"/>
      <w:bookmarkStart w:id="357" w:name="_Toc184310303"/>
      <w:bookmarkEnd w:id="357"/>
      <w:bookmarkStart w:id="358" w:name="_Toc184313273"/>
      <w:bookmarkEnd w:id="358"/>
      <w:bookmarkStart w:id="359" w:name="_Toc184308065"/>
      <w:bookmarkEnd w:id="359"/>
      <w:bookmarkStart w:id="360" w:name="_Toc184308101"/>
      <w:bookmarkEnd w:id="360"/>
      <w:bookmarkStart w:id="361" w:name="_Toc184310285"/>
      <w:bookmarkEnd w:id="361"/>
      <w:bookmarkStart w:id="362" w:name="_Toc184314455"/>
      <w:bookmarkEnd w:id="362"/>
      <w:bookmarkStart w:id="363" w:name="_Toc184314454"/>
      <w:bookmarkEnd w:id="363"/>
      <w:bookmarkStart w:id="364" w:name="_Toc184314432"/>
      <w:bookmarkEnd w:id="364"/>
      <w:bookmarkStart w:id="365" w:name="_Toc184312084"/>
      <w:bookmarkEnd w:id="365"/>
      <w:bookmarkStart w:id="366" w:name="_Toc184308064"/>
      <w:bookmarkEnd w:id="366"/>
      <w:bookmarkStart w:id="367" w:name="_Toc184308082"/>
      <w:bookmarkEnd w:id="367"/>
      <w:bookmarkStart w:id="368" w:name="_Toc184308069"/>
      <w:bookmarkEnd w:id="368"/>
      <w:bookmarkStart w:id="369" w:name="_Toc184313283"/>
      <w:bookmarkEnd w:id="369"/>
      <w:bookmarkStart w:id="370" w:name="_Toc184308084"/>
      <w:bookmarkEnd w:id="370"/>
      <w:bookmarkStart w:id="371" w:name="_Toc184312104"/>
      <w:bookmarkEnd w:id="371"/>
      <w:bookmarkStart w:id="372" w:name="_Toc184313269"/>
      <w:bookmarkEnd w:id="372"/>
      <w:bookmarkStart w:id="373" w:name="_Toc184313259"/>
      <w:bookmarkEnd w:id="373"/>
      <w:bookmarkStart w:id="374" w:name="_Toc184308061"/>
      <w:bookmarkEnd w:id="374"/>
      <w:bookmarkStart w:id="375" w:name="_Toc184308048"/>
      <w:bookmarkEnd w:id="375"/>
      <w:bookmarkStart w:id="376" w:name="_Toc184313251"/>
      <w:bookmarkEnd w:id="376"/>
      <w:bookmarkStart w:id="377" w:name="_Toc184310300"/>
      <w:bookmarkEnd w:id="377"/>
      <w:bookmarkStart w:id="378" w:name="_Toc184314436"/>
      <w:bookmarkEnd w:id="378"/>
      <w:bookmarkStart w:id="379" w:name="_Toc184312135"/>
      <w:bookmarkEnd w:id="379"/>
      <w:bookmarkStart w:id="380" w:name="_Toc184313254"/>
      <w:bookmarkEnd w:id="380"/>
      <w:bookmarkStart w:id="381" w:name="_Toc184310302"/>
      <w:bookmarkEnd w:id="381"/>
      <w:bookmarkStart w:id="382" w:name="_Toc184314451"/>
      <w:bookmarkEnd w:id="382"/>
      <w:bookmarkStart w:id="383" w:name="_Toc184308102"/>
      <w:bookmarkEnd w:id="383"/>
      <w:bookmarkStart w:id="384" w:name="_Toc184313292"/>
      <w:bookmarkEnd w:id="384"/>
      <w:bookmarkStart w:id="385" w:name="_Toc184314426"/>
      <w:bookmarkEnd w:id="385"/>
      <w:bookmarkStart w:id="386" w:name="_Toc184314430"/>
      <w:bookmarkEnd w:id="386"/>
      <w:bookmarkStart w:id="387" w:name="_Toc184313239"/>
      <w:bookmarkEnd w:id="387"/>
      <w:bookmarkStart w:id="388" w:name="_Toc184313267"/>
      <w:bookmarkEnd w:id="388"/>
      <w:bookmarkStart w:id="389" w:name="_Toc184310282"/>
      <w:bookmarkEnd w:id="389"/>
      <w:bookmarkStart w:id="390" w:name="_Toc184310327"/>
      <w:bookmarkEnd w:id="390"/>
      <w:bookmarkStart w:id="391" w:name="_Toc184313257"/>
      <w:bookmarkEnd w:id="391"/>
      <w:r>
        <w:rPr>
          <w:rFonts w:hint="eastAsia" w:ascii="仿宋" w:hAnsi="仿宋" w:eastAsia="仿宋" w:cs="仿宋"/>
          <w:b/>
          <w:sz w:val="36"/>
          <w:szCs w:val="36"/>
        </w:rPr>
        <w:t>评标办法</w:t>
      </w:r>
    </w:p>
    <w:p>
      <w:pPr>
        <w:pStyle w:val="257"/>
        <w:snapToGrid w:val="0"/>
        <w:ind w:left="200" w:firstLine="0" w:firstLineChars="0"/>
        <w:jc w:val="center"/>
        <w:rPr>
          <w:rFonts w:hint="eastAsia" w:ascii="仿宋" w:hAnsi="仿宋" w:eastAsia="仿宋" w:cs="仿宋_GB2312"/>
          <w:b/>
          <w:sz w:val="32"/>
          <w:szCs w:val="32"/>
        </w:rPr>
      </w:pPr>
      <w:r>
        <w:rPr>
          <w:rFonts w:hint="eastAsia" w:ascii="仿宋" w:hAnsi="仿宋" w:eastAsia="仿宋" w:cs="仿宋_GB2312"/>
          <w:b/>
          <w:sz w:val="32"/>
          <w:szCs w:val="32"/>
        </w:rPr>
        <w:t>评标办法前附表</w:t>
      </w:r>
    </w:p>
    <w:tbl>
      <w:tblPr>
        <w:tblStyle w:val="968"/>
        <w:tblW w:w="100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1722"/>
        <w:gridCol w:w="6271"/>
        <w:gridCol w:w="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755" w:type="dxa"/>
            <w:gridSpan w:val="2"/>
            <w:tcBorders>
              <w:top w:val="single" w:color="000000" w:sz="4" w:space="0"/>
              <w:left w:val="single" w:color="000000" w:sz="10" w:space="0"/>
            </w:tcBorders>
          </w:tcPr>
          <w:p>
            <w:pPr>
              <w:spacing w:before="119" w:line="185" w:lineRule="auto"/>
              <w:ind w:firstLine="89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评审内容</w:t>
            </w:r>
          </w:p>
        </w:tc>
        <w:tc>
          <w:tcPr>
            <w:tcW w:w="6271" w:type="dxa"/>
            <w:tcBorders>
              <w:top w:val="single" w:color="000000" w:sz="4" w:space="0"/>
            </w:tcBorders>
          </w:tcPr>
          <w:p>
            <w:pPr>
              <w:spacing w:before="119" w:line="185" w:lineRule="auto"/>
              <w:ind w:firstLine="265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评分标准</w:t>
            </w:r>
          </w:p>
        </w:tc>
        <w:tc>
          <w:tcPr>
            <w:tcW w:w="976" w:type="dxa"/>
            <w:tcBorders>
              <w:top w:val="single" w:color="000000" w:sz="10" w:space="0"/>
              <w:right w:val="single" w:color="000000" w:sz="4" w:space="0"/>
            </w:tcBorders>
          </w:tcPr>
          <w:p>
            <w:pPr>
              <w:spacing w:before="119" w:line="185" w:lineRule="auto"/>
              <w:ind w:firstLine="247"/>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033" w:type="dxa"/>
            <w:vMerge w:val="restart"/>
            <w:tcBorders>
              <w:left w:val="single" w:color="000000" w:sz="4" w:space="0"/>
              <w:bottom w:val="nil"/>
            </w:tcBorders>
          </w:tcPr>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line="242" w:lineRule="auto"/>
              <w:rPr>
                <w:rFonts w:hint="eastAsia" w:ascii="仿宋" w:hAnsi="仿宋" w:eastAsia="仿宋" w:cs="仿宋"/>
                <w:sz w:val="24"/>
                <w:highlight w:val="none"/>
              </w:rPr>
            </w:pPr>
          </w:p>
          <w:p>
            <w:pPr>
              <w:spacing w:before="78" w:line="185" w:lineRule="auto"/>
              <w:ind w:firstLine="292"/>
              <w:rPr>
                <w:rFonts w:hint="default" w:ascii="仿宋" w:hAnsi="仿宋" w:eastAsia="仿宋" w:cs="仿宋"/>
                <w:sz w:val="24"/>
                <w:szCs w:val="24"/>
                <w:highlight w:val="none"/>
                <w:lang w:val="en-US" w:eastAsia="zh-CN"/>
              </w:rPr>
            </w:pPr>
            <w:r>
              <w:rPr>
                <w:rFonts w:hint="eastAsia" w:ascii="仿宋" w:hAnsi="仿宋" w:eastAsia="仿宋" w:cs="仿宋"/>
                <w:spacing w:val="-10"/>
                <w:sz w:val="24"/>
                <w:szCs w:val="24"/>
                <w:highlight w:val="none"/>
              </w:rPr>
              <w:t>资信</w:t>
            </w:r>
            <w:r>
              <w:rPr>
                <w:rFonts w:hint="eastAsia" w:ascii="仿宋" w:hAnsi="仿宋" w:eastAsia="仿宋" w:cs="仿宋"/>
                <w:spacing w:val="-10"/>
                <w:sz w:val="24"/>
                <w:szCs w:val="24"/>
                <w:highlight w:val="none"/>
                <w:lang w:eastAsia="zh-CN"/>
              </w:rPr>
              <w:t>（</w:t>
            </w:r>
            <w:r>
              <w:rPr>
                <w:rFonts w:hint="eastAsia" w:ascii="仿宋" w:hAnsi="仿宋" w:eastAsia="仿宋" w:cs="仿宋"/>
                <w:spacing w:val="-10"/>
                <w:sz w:val="24"/>
                <w:szCs w:val="24"/>
                <w:highlight w:val="none"/>
                <w:lang w:val="en-US" w:eastAsia="zh-CN"/>
              </w:rPr>
              <w:t>17分）</w:t>
            </w:r>
          </w:p>
        </w:tc>
        <w:tc>
          <w:tcPr>
            <w:tcW w:w="1722" w:type="dxa"/>
          </w:tcPr>
          <w:p>
            <w:pPr>
              <w:spacing w:line="257" w:lineRule="auto"/>
              <w:rPr>
                <w:rFonts w:hint="eastAsia" w:ascii="仿宋" w:hAnsi="仿宋" w:eastAsia="仿宋" w:cs="仿宋"/>
                <w:sz w:val="24"/>
                <w:highlight w:val="none"/>
              </w:rPr>
            </w:pPr>
          </w:p>
          <w:p>
            <w:pPr>
              <w:spacing w:before="68" w:line="184" w:lineRule="auto"/>
              <w:ind w:firstLine="439"/>
              <w:rPr>
                <w:rFonts w:hint="eastAsia" w:ascii="仿宋" w:hAnsi="仿宋" w:eastAsia="仿宋" w:cs="仿宋"/>
                <w:sz w:val="24"/>
                <w:highlight w:val="none"/>
              </w:rPr>
            </w:pPr>
            <w:r>
              <w:rPr>
                <w:rFonts w:hint="eastAsia" w:ascii="仿宋" w:hAnsi="仿宋" w:eastAsia="仿宋" w:cs="仿宋"/>
                <w:spacing w:val="-3"/>
                <w:sz w:val="24"/>
                <w:highlight w:val="none"/>
              </w:rPr>
              <w:t>综合实力</w:t>
            </w:r>
          </w:p>
        </w:tc>
        <w:tc>
          <w:tcPr>
            <w:tcW w:w="6271" w:type="dxa"/>
          </w:tcPr>
          <w:p>
            <w:pPr>
              <w:spacing w:before="53" w:line="221" w:lineRule="auto"/>
              <w:ind w:left="105" w:right="85" w:firstLine="4"/>
              <w:rPr>
                <w:rFonts w:hint="eastAsia" w:ascii="仿宋" w:hAnsi="仿宋" w:eastAsia="仿宋" w:cs="仿宋"/>
                <w:sz w:val="24"/>
                <w:highlight w:val="none"/>
              </w:rPr>
            </w:pPr>
            <w:r>
              <w:rPr>
                <w:rFonts w:hint="eastAsia" w:ascii="仿宋" w:hAnsi="仿宋" w:eastAsia="仿宋" w:cs="仿宋"/>
                <w:spacing w:val="-2"/>
                <w:sz w:val="24"/>
                <w:highlight w:val="none"/>
              </w:rPr>
              <w:t>供应商具备有效的质量管理体系认证证书、环境管理体系认证证书、职业健康管理体系认证证书的，每个得1分，最多得3分。</w:t>
            </w:r>
          </w:p>
        </w:tc>
        <w:tc>
          <w:tcPr>
            <w:tcW w:w="976" w:type="dxa"/>
            <w:tcBorders>
              <w:right w:val="single" w:color="000000" w:sz="4" w:space="0"/>
            </w:tcBorders>
          </w:tcPr>
          <w:p>
            <w:pPr>
              <w:spacing w:line="257" w:lineRule="auto"/>
              <w:rPr>
                <w:rFonts w:hint="eastAsia" w:ascii="仿宋" w:hAnsi="仿宋" w:eastAsia="仿宋" w:cs="仿宋"/>
                <w:sz w:val="24"/>
                <w:highlight w:val="none"/>
              </w:rPr>
            </w:pPr>
          </w:p>
          <w:p>
            <w:pPr>
              <w:spacing w:before="68" w:line="184" w:lineRule="auto"/>
              <w:ind w:firstLine="194"/>
              <w:rPr>
                <w:rFonts w:hint="eastAsia" w:ascii="仿宋" w:hAnsi="仿宋" w:eastAsia="仿宋" w:cs="仿宋"/>
                <w:sz w:val="24"/>
                <w:highlight w:val="none"/>
              </w:rPr>
            </w:pPr>
            <w:r>
              <w:rPr>
                <w:rFonts w:hint="eastAsia" w:ascii="仿宋" w:hAnsi="仿宋" w:eastAsia="仿宋" w:cs="仿宋"/>
                <w:spacing w:val="-3"/>
                <w:sz w:val="24"/>
                <w:highlight w:val="none"/>
              </w:rPr>
              <w:t>0-</w:t>
            </w:r>
            <w:r>
              <w:rPr>
                <w:rFonts w:hint="eastAsia" w:ascii="仿宋" w:hAnsi="仿宋" w:eastAsia="仿宋" w:cs="仿宋"/>
                <w:spacing w:val="-3"/>
                <w:sz w:val="24"/>
                <w:highlight w:val="none"/>
                <w:lang w:val="en-US" w:eastAsia="zh-CN"/>
              </w:rPr>
              <w:t>3</w:t>
            </w:r>
            <w:r>
              <w:rPr>
                <w:rFonts w:hint="eastAsia" w:ascii="仿宋" w:hAnsi="仿宋" w:eastAsia="仿宋" w:cs="仿宋"/>
                <w:spacing w:val="-3"/>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033" w:type="dxa"/>
            <w:vMerge w:val="continue"/>
            <w:tcBorders>
              <w:top w:val="nil"/>
              <w:left w:val="single" w:color="000000" w:sz="4" w:space="0"/>
              <w:bottom w:val="nil"/>
            </w:tcBorders>
          </w:tcPr>
          <w:p>
            <w:pPr>
              <w:rPr>
                <w:rFonts w:hint="eastAsia" w:ascii="仿宋" w:hAnsi="仿宋" w:eastAsia="仿宋" w:cs="仿宋"/>
                <w:sz w:val="24"/>
                <w:highlight w:val="none"/>
              </w:rPr>
            </w:pPr>
          </w:p>
        </w:tc>
        <w:tc>
          <w:tcPr>
            <w:tcW w:w="1722" w:type="dxa"/>
          </w:tcPr>
          <w:p>
            <w:pPr>
              <w:spacing w:before="233" w:line="184" w:lineRule="auto"/>
              <w:ind w:firstLine="335"/>
              <w:rPr>
                <w:rFonts w:hint="eastAsia" w:ascii="仿宋" w:hAnsi="仿宋" w:eastAsia="仿宋" w:cs="仿宋"/>
                <w:sz w:val="24"/>
                <w:highlight w:val="none"/>
              </w:rPr>
            </w:pPr>
            <w:r>
              <w:rPr>
                <w:rFonts w:hint="eastAsia" w:ascii="仿宋" w:hAnsi="仿宋" w:eastAsia="仿宋" w:cs="仿宋"/>
                <w:spacing w:val="-3"/>
                <w:sz w:val="24"/>
                <w:highlight w:val="none"/>
              </w:rPr>
              <w:t>荣誉、奖项</w:t>
            </w:r>
          </w:p>
        </w:tc>
        <w:tc>
          <w:tcPr>
            <w:tcW w:w="6271" w:type="dxa"/>
          </w:tcPr>
          <w:p>
            <w:pPr>
              <w:spacing w:before="62" w:line="241" w:lineRule="auto"/>
              <w:ind w:left="122" w:right="100" w:hanging="13"/>
              <w:rPr>
                <w:rFonts w:hint="eastAsia" w:ascii="仿宋" w:hAnsi="仿宋" w:eastAsia="仿宋" w:cs="仿宋"/>
                <w:sz w:val="24"/>
                <w:highlight w:val="none"/>
              </w:rPr>
            </w:pPr>
            <w:r>
              <w:rPr>
                <w:rFonts w:hint="eastAsia" w:ascii="仿宋" w:hAnsi="仿宋" w:eastAsia="仿宋" w:cs="仿宋"/>
                <w:spacing w:val="-4"/>
                <w:sz w:val="24"/>
                <w:highlight w:val="none"/>
              </w:rPr>
              <w:t>投标人2017年以来监理过的文物保护工程获得过奖项、荣誉的，1个得</w:t>
            </w:r>
            <w:r>
              <w:rPr>
                <w:rFonts w:hint="eastAsia" w:ascii="仿宋" w:hAnsi="仿宋" w:eastAsia="仿宋" w:cs="仿宋"/>
                <w:spacing w:val="-2"/>
                <w:sz w:val="24"/>
                <w:highlight w:val="none"/>
              </w:rPr>
              <w:t>1分，最高得</w:t>
            </w:r>
            <w:r>
              <w:rPr>
                <w:rFonts w:hint="eastAsia" w:ascii="仿宋" w:hAnsi="仿宋" w:eastAsia="仿宋" w:cs="仿宋"/>
                <w:spacing w:val="-2"/>
                <w:sz w:val="24"/>
                <w:highlight w:val="none"/>
                <w:lang w:val="en-US" w:eastAsia="zh-CN"/>
              </w:rPr>
              <w:t>3</w:t>
            </w:r>
            <w:r>
              <w:rPr>
                <w:rFonts w:hint="eastAsia" w:ascii="仿宋" w:hAnsi="仿宋" w:eastAsia="仿宋" w:cs="仿宋"/>
                <w:spacing w:val="-2"/>
                <w:sz w:val="24"/>
                <w:highlight w:val="none"/>
              </w:rPr>
              <w:t>分。（提供获奖证书复印件并加盖公章）</w:t>
            </w:r>
          </w:p>
        </w:tc>
        <w:tc>
          <w:tcPr>
            <w:tcW w:w="976" w:type="dxa"/>
            <w:tcBorders>
              <w:right w:val="single" w:color="000000" w:sz="4" w:space="0"/>
            </w:tcBorders>
          </w:tcPr>
          <w:p>
            <w:pPr>
              <w:spacing w:before="233" w:line="184" w:lineRule="auto"/>
              <w:ind w:firstLine="194"/>
              <w:rPr>
                <w:rFonts w:hint="eastAsia" w:ascii="仿宋" w:hAnsi="仿宋" w:eastAsia="仿宋" w:cs="仿宋"/>
                <w:sz w:val="24"/>
                <w:highlight w:val="none"/>
              </w:rPr>
            </w:pPr>
            <w:r>
              <w:rPr>
                <w:rFonts w:hint="eastAsia" w:ascii="仿宋" w:hAnsi="仿宋" w:eastAsia="仿宋" w:cs="仿宋"/>
                <w:spacing w:val="-3"/>
                <w:sz w:val="24"/>
                <w:highlight w:val="none"/>
              </w:rPr>
              <w:t>0-</w:t>
            </w:r>
            <w:r>
              <w:rPr>
                <w:rFonts w:hint="eastAsia" w:ascii="仿宋" w:hAnsi="仿宋" w:eastAsia="仿宋" w:cs="仿宋"/>
                <w:spacing w:val="-3"/>
                <w:sz w:val="24"/>
                <w:highlight w:val="none"/>
                <w:lang w:val="en-US" w:eastAsia="zh-CN"/>
              </w:rPr>
              <w:t>3</w:t>
            </w:r>
            <w:r>
              <w:rPr>
                <w:rFonts w:hint="eastAsia" w:ascii="仿宋" w:hAnsi="仿宋" w:eastAsia="仿宋" w:cs="仿宋"/>
                <w:spacing w:val="-3"/>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33" w:type="dxa"/>
            <w:vMerge w:val="continue"/>
            <w:tcBorders>
              <w:top w:val="nil"/>
              <w:left w:val="single" w:color="000000" w:sz="4" w:space="0"/>
              <w:bottom w:val="nil"/>
            </w:tcBorders>
          </w:tcPr>
          <w:p>
            <w:pPr>
              <w:rPr>
                <w:rFonts w:hint="eastAsia" w:ascii="仿宋" w:hAnsi="仿宋" w:eastAsia="仿宋" w:cs="仿宋"/>
                <w:sz w:val="24"/>
                <w:highlight w:val="none"/>
              </w:rPr>
            </w:pPr>
          </w:p>
        </w:tc>
        <w:tc>
          <w:tcPr>
            <w:tcW w:w="1722" w:type="dxa"/>
          </w:tcPr>
          <w:p>
            <w:pPr>
              <w:spacing w:before="251" w:line="184" w:lineRule="auto"/>
              <w:ind w:firstLine="436"/>
              <w:rPr>
                <w:rFonts w:hint="eastAsia" w:ascii="仿宋" w:hAnsi="仿宋" w:eastAsia="仿宋" w:cs="仿宋"/>
                <w:sz w:val="24"/>
                <w:highlight w:val="none"/>
              </w:rPr>
            </w:pPr>
            <w:r>
              <w:rPr>
                <w:rFonts w:hint="eastAsia" w:ascii="仿宋" w:hAnsi="仿宋" w:eastAsia="仿宋" w:cs="仿宋"/>
                <w:spacing w:val="-2"/>
                <w:sz w:val="24"/>
                <w:highlight w:val="none"/>
              </w:rPr>
              <w:t>类似业绩</w:t>
            </w:r>
          </w:p>
        </w:tc>
        <w:tc>
          <w:tcPr>
            <w:tcW w:w="6271" w:type="dxa"/>
          </w:tcPr>
          <w:p>
            <w:pPr>
              <w:spacing w:before="84" w:line="238" w:lineRule="auto"/>
              <w:ind w:left="109" w:right="101"/>
              <w:rPr>
                <w:rFonts w:hint="eastAsia" w:ascii="仿宋" w:hAnsi="仿宋" w:eastAsia="仿宋" w:cs="仿宋"/>
                <w:sz w:val="24"/>
                <w:highlight w:val="none"/>
              </w:rPr>
            </w:pPr>
            <w:r>
              <w:rPr>
                <w:rFonts w:hint="eastAsia" w:ascii="仿宋" w:hAnsi="仿宋" w:eastAsia="仿宋" w:cs="仿宋"/>
                <w:spacing w:val="-7"/>
                <w:sz w:val="24"/>
                <w:highlight w:val="none"/>
              </w:rPr>
              <w:t>投标人2017年以来承担过类似监理项目的，每个得1分，最高得</w:t>
            </w:r>
            <w:r>
              <w:rPr>
                <w:rFonts w:hint="eastAsia" w:ascii="仿宋" w:hAnsi="仿宋" w:eastAsia="仿宋" w:cs="仿宋"/>
                <w:spacing w:val="-7"/>
                <w:sz w:val="24"/>
                <w:highlight w:val="none"/>
                <w:lang w:val="en-US" w:eastAsia="zh-CN"/>
              </w:rPr>
              <w:t>2</w:t>
            </w:r>
            <w:r>
              <w:rPr>
                <w:rFonts w:hint="eastAsia" w:ascii="仿宋" w:hAnsi="仿宋" w:eastAsia="仿宋" w:cs="仿宋"/>
                <w:sz w:val="24"/>
                <w:highlight w:val="none"/>
              </w:rPr>
              <w:t>分。（提供中标通知书或合同复印件并加盖公章）</w:t>
            </w:r>
          </w:p>
        </w:tc>
        <w:tc>
          <w:tcPr>
            <w:tcW w:w="976" w:type="dxa"/>
            <w:tcBorders>
              <w:right w:val="single" w:color="000000" w:sz="4" w:space="0"/>
            </w:tcBorders>
          </w:tcPr>
          <w:p>
            <w:pPr>
              <w:spacing w:before="251" w:line="184" w:lineRule="auto"/>
              <w:ind w:firstLine="194"/>
              <w:rPr>
                <w:rFonts w:hint="eastAsia" w:ascii="仿宋" w:hAnsi="仿宋" w:eastAsia="仿宋" w:cs="仿宋"/>
                <w:sz w:val="24"/>
                <w:highlight w:val="none"/>
              </w:rPr>
            </w:pPr>
            <w:r>
              <w:rPr>
                <w:rFonts w:hint="eastAsia" w:ascii="仿宋" w:hAnsi="仿宋" w:eastAsia="仿宋" w:cs="仿宋"/>
                <w:spacing w:val="-3"/>
                <w:sz w:val="24"/>
                <w:highlight w:val="none"/>
              </w:rPr>
              <w:t>0-</w:t>
            </w:r>
            <w:r>
              <w:rPr>
                <w:rFonts w:hint="eastAsia" w:ascii="仿宋" w:hAnsi="仿宋" w:eastAsia="仿宋" w:cs="仿宋"/>
                <w:spacing w:val="-3"/>
                <w:sz w:val="24"/>
                <w:highlight w:val="none"/>
                <w:lang w:val="en-US" w:eastAsia="zh-CN"/>
              </w:rPr>
              <w:t>2</w:t>
            </w:r>
            <w:r>
              <w:rPr>
                <w:rFonts w:hint="eastAsia" w:ascii="仿宋" w:hAnsi="仿宋" w:eastAsia="仿宋" w:cs="仿宋"/>
                <w:spacing w:val="-3"/>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3" w:hRule="atLeast"/>
        </w:trPr>
        <w:tc>
          <w:tcPr>
            <w:tcW w:w="1033" w:type="dxa"/>
            <w:vMerge w:val="continue"/>
            <w:tcBorders>
              <w:top w:val="nil"/>
              <w:left w:val="single" w:color="000000" w:sz="4" w:space="0"/>
              <w:bottom w:val="nil"/>
            </w:tcBorders>
          </w:tcPr>
          <w:p>
            <w:pPr>
              <w:rPr>
                <w:rFonts w:hint="eastAsia" w:ascii="仿宋" w:hAnsi="仿宋" w:eastAsia="仿宋" w:cs="仿宋"/>
                <w:sz w:val="24"/>
                <w:highlight w:val="none"/>
              </w:rPr>
            </w:pPr>
          </w:p>
        </w:tc>
        <w:tc>
          <w:tcPr>
            <w:tcW w:w="1722" w:type="dxa"/>
          </w:tcPr>
          <w:p>
            <w:pPr>
              <w:spacing w:line="253" w:lineRule="auto"/>
              <w:rPr>
                <w:rFonts w:hint="eastAsia" w:ascii="仿宋" w:hAnsi="仿宋" w:eastAsia="仿宋" w:cs="仿宋"/>
                <w:sz w:val="24"/>
                <w:highlight w:val="none"/>
              </w:rPr>
            </w:pPr>
          </w:p>
          <w:p>
            <w:pPr>
              <w:spacing w:line="253" w:lineRule="auto"/>
              <w:rPr>
                <w:rFonts w:hint="eastAsia" w:ascii="仿宋" w:hAnsi="仿宋" w:eastAsia="仿宋" w:cs="仿宋"/>
                <w:sz w:val="24"/>
                <w:highlight w:val="none"/>
              </w:rPr>
            </w:pPr>
          </w:p>
          <w:p>
            <w:pPr>
              <w:spacing w:line="253" w:lineRule="auto"/>
              <w:rPr>
                <w:rFonts w:hint="eastAsia" w:ascii="仿宋" w:hAnsi="仿宋" w:eastAsia="仿宋" w:cs="仿宋"/>
                <w:sz w:val="24"/>
                <w:highlight w:val="none"/>
              </w:rPr>
            </w:pPr>
          </w:p>
          <w:p>
            <w:pPr>
              <w:spacing w:line="253" w:lineRule="auto"/>
              <w:rPr>
                <w:rFonts w:hint="eastAsia" w:ascii="仿宋" w:hAnsi="仿宋" w:eastAsia="仿宋" w:cs="仿宋"/>
                <w:sz w:val="24"/>
                <w:highlight w:val="none"/>
              </w:rPr>
            </w:pPr>
          </w:p>
          <w:p>
            <w:pPr>
              <w:spacing w:line="253" w:lineRule="auto"/>
              <w:rPr>
                <w:rFonts w:hint="eastAsia" w:ascii="仿宋" w:hAnsi="仿宋" w:eastAsia="仿宋" w:cs="仿宋"/>
                <w:sz w:val="24"/>
                <w:highlight w:val="none"/>
              </w:rPr>
            </w:pPr>
          </w:p>
          <w:p>
            <w:pPr>
              <w:spacing w:before="220" w:line="184" w:lineRule="auto"/>
              <w:ind w:firstLine="0"/>
              <w:rPr>
                <w:rFonts w:hint="eastAsia" w:ascii="仿宋" w:hAnsi="仿宋" w:eastAsia="仿宋" w:cs="仿宋"/>
                <w:spacing w:val="-2"/>
                <w:sz w:val="24"/>
                <w:highlight w:val="none"/>
              </w:rPr>
            </w:pPr>
            <w:r>
              <w:rPr>
                <w:rFonts w:hint="eastAsia" w:ascii="仿宋" w:hAnsi="仿宋" w:eastAsia="仿宋" w:cs="仿宋"/>
                <w:spacing w:val="-2"/>
                <w:sz w:val="24"/>
                <w:highlight w:val="none"/>
              </w:rPr>
              <w:t>人员配备情况</w:t>
            </w:r>
          </w:p>
          <w:p>
            <w:pPr>
              <w:spacing w:before="220" w:line="184" w:lineRule="auto"/>
              <w:ind w:firstLine="331"/>
              <w:rPr>
                <w:rFonts w:hint="eastAsia" w:ascii="仿宋" w:hAnsi="仿宋" w:eastAsia="仿宋" w:cs="仿宋"/>
                <w:sz w:val="24"/>
                <w:highlight w:val="none"/>
              </w:rPr>
            </w:pPr>
          </w:p>
          <w:p>
            <w:pPr>
              <w:spacing w:before="247" w:line="184" w:lineRule="auto"/>
              <w:ind w:firstLine="312"/>
              <w:rPr>
                <w:rFonts w:hint="eastAsia" w:ascii="仿宋" w:hAnsi="仿宋" w:eastAsia="仿宋" w:cs="仿宋"/>
                <w:sz w:val="24"/>
                <w:highlight w:val="none"/>
              </w:rPr>
            </w:pPr>
          </w:p>
        </w:tc>
        <w:tc>
          <w:tcPr>
            <w:tcW w:w="6271" w:type="dxa"/>
          </w:tcPr>
          <w:p>
            <w:pPr>
              <w:spacing w:before="50" w:line="211" w:lineRule="auto"/>
              <w:ind w:left="109" w:right="102" w:firstLine="0"/>
              <w:rPr>
                <w:rFonts w:hint="eastAsia" w:ascii="仿宋" w:hAnsi="仿宋" w:eastAsia="仿宋" w:cs="仿宋"/>
                <w:spacing w:val="-3"/>
                <w:sz w:val="24"/>
                <w:highlight w:val="none"/>
              </w:rPr>
            </w:pPr>
            <w:r>
              <w:rPr>
                <w:rFonts w:hint="eastAsia" w:ascii="仿宋" w:hAnsi="仿宋" w:eastAsia="仿宋" w:cs="仿宋"/>
                <w:spacing w:val="-4"/>
                <w:sz w:val="24"/>
                <w:highlight w:val="none"/>
                <w:lang w:val="en-US" w:eastAsia="zh-CN"/>
              </w:rPr>
              <w:t>1、</w:t>
            </w:r>
            <w:r>
              <w:rPr>
                <w:rFonts w:hint="eastAsia" w:ascii="仿宋" w:hAnsi="仿宋" w:eastAsia="仿宋" w:cs="仿宋"/>
                <w:spacing w:val="-4"/>
                <w:sz w:val="24"/>
                <w:highlight w:val="none"/>
              </w:rPr>
              <w:t>拟派项目总监取得国家注册监理工程师资格证书的得3分，省</w:t>
            </w:r>
            <w:r>
              <w:rPr>
                <w:rFonts w:hint="eastAsia" w:ascii="仿宋" w:hAnsi="仿宋" w:eastAsia="仿宋" w:cs="仿宋"/>
                <w:spacing w:val="-3"/>
                <w:sz w:val="24"/>
                <w:highlight w:val="none"/>
              </w:rPr>
              <w:t>级注册的得1分，无不得分。（提供相关证书复印件并加盖公章）</w:t>
            </w:r>
          </w:p>
          <w:p>
            <w:pPr>
              <w:spacing w:before="50" w:line="211" w:lineRule="auto"/>
              <w:ind w:left="109" w:right="102" w:firstLine="0"/>
              <w:rPr>
                <w:rFonts w:hint="eastAsia" w:ascii="仿宋" w:hAnsi="仿宋" w:eastAsia="仿宋" w:cs="仿宋"/>
                <w:sz w:val="24"/>
                <w:highlight w:val="none"/>
              </w:rPr>
            </w:pPr>
            <w:r>
              <w:rPr>
                <w:rFonts w:hint="eastAsia" w:ascii="仿宋" w:hAnsi="仿宋" w:eastAsia="仿宋" w:cs="仿宋"/>
                <w:spacing w:val="-1"/>
                <w:sz w:val="24"/>
                <w:highlight w:val="none"/>
              </w:rPr>
              <w:t>2、拟派项目总监2017年以来获得过</w:t>
            </w:r>
            <w:r>
              <w:rPr>
                <w:rFonts w:hint="eastAsia" w:ascii="仿宋" w:hAnsi="仿宋" w:eastAsia="仿宋" w:cs="仿宋"/>
                <w:spacing w:val="-4"/>
                <w:sz w:val="24"/>
                <w:highlight w:val="none"/>
              </w:rPr>
              <w:t>文物保护工程奖项</w:t>
            </w:r>
            <w:r>
              <w:rPr>
                <w:rFonts w:hint="eastAsia" w:ascii="仿宋" w:hAnsi="仿宋" w:eastAsia="仿宋" w:cs="仿宋"/>
                <w:spacing w:val="-1"/>
                <w:sz w:val="24"/>
                <w:highlight w:val="none"/>
              </w:rPr>
              <w:t>、荣誉的，</w:t>
            </w:r>
            <w:r>
              <w:rPr>
                <w:rFonts w:hint="eastAsia" w:ascii="仿宋" w:hAnsi="仿宋" w:eastAsia="仿宋" w:cs="仿宋"/>
                <w:spacing w:val="-2"/>
                <w:sz w:val="24"/>
                <w:highlight w:val="none"/>
              </w:rPr>
              <w:t>1个得1分，最高得3分，无不得分。（提供相关证书复印件并</w:t>
            </w:r>
            <w:r>
              <w:rPr>
                <w:rFonts w:hint="eastAsia" w:ascii="仿宋" w:hAnsi="仿宋" w:eastAsia="仿宋" w:cs="仿宋"/>
                <w:spacing w:val="-1"/>
                <w:sz w:val="24"/>
                <w:highlight w:val="none"/>
              </w:rPr>
              <w:t>加盖公章）</w:t>
            </w:r>
          </w:p>
          <w:p>
            <w:pPr>
              <w:spacing w:before="50" w:line="211" w:lineRule="auto"/>
              <w:ind w:left="109" w:right="102" w:firstLine="0"/>
              <w:rPr>
                <w:rFonts w:hint="eastAsia" w:ascii="仿宋" w:hAnsi="仿宋" w:eastAsia="仿宋" w:cs="仿宋"/>
                <w:sz w:val="24"/>
                <w:highlight w:val="none"/>
              </w:rPr>
            </w:pPr>
            <w:r>
              <w:rPr>
                <w:rFonts w:hint="eastAsia" w:ascii="仿宋" w:hAnsi="仿宋" w:eastAsia="仿宋" w:cs="仿宋"/>
                <w:spacing w:val="-2"/>
                <w:sz w:val="24"/>
                <w:highlight w:val="none"/>
                <w:lang w:val="en-US" w:eastAsia="zh-CN"/>
              </w:rPr>
              <w:t>3</w:t>
            </w:r>
            <w:r>
              <w:rPr>
                <w:rFonts w:hint="eastAsia" w:ascii="仿宋" w:hAnsi="仿宋" w:eastAsia="仿宋" w:cs="仿宋"/>
                <w:spacing w:val="-2"/>
                <w:sz w:val="24"/>
                <w:highlight w:val="none"/>
              </w:rPr>
              <w:t>、投入本项目主要监理人员（</w:t>
            </w:r>
            <w:r>
              <w:rPr>
                <w:rFonts w:hint="eastAsia" w:ascii="仿宋" w:hAnsi="仿宋" w:eastAsia="仿宋" w:cs="仿宋"/>
                <w:spacing w:val="-2"/>
                <w:sz w:val="24"/>
                <w:highlight w:val="none"/>
                <w:lang w:val="en-US" w:eastAsia="zh-CN"/>
              </w:rPr>
              <w:t>3</w:t>
            </w:r>
            <w:r>
              <w:rPr>
                <w:rFonts w:hint="eastAsia" w:ascii="仿宋" w:hAnsi="仿宋" w:eastAsia="仿宋" w:cs="仿宋"/>
                <w:spacing w:val="-2"/>
                <w:sz w:val="24"/>
                <w:highlight w:val="none"/>
              </w:rPr>
              <w:t>分</w:t>
            </w:r>
            <w:r>
              <w:rPr>
                <w:rFonts w:hint="eastAsia" w:ascii="仿宋" w:hAnsi="仿宋" w:eastAsia="仿宋" w:cs="仿宋"/>
                <w:spacing w:val="-59"/>
                <w:sz w:val="24"/>
                <w:highlight w:val="none"/>
              </w:rPr>
              <w:t>）：</w:t>
            </w:r>
          </w:p>
          <w:p>
            <w:pPr>
              <w:spacing w:before="50" w:line="211" w:lineRule="auto"/>
              <w:ind w:left="109" w:right="102" w:firstLine="0"/>
              <w:rPr>
                <w:rFonts w:hint="eastAsia" w:ascii="仿宋" w:hAnsi="仿宋" w:eastAsia="仿宋" w:cs="仿宋"/>
                <w:sz w:val="24"/>
                <w:highlight w:val="none"/>
              </w:rPr>
            </w:pPr>
            <w:r>
              <w:rPr>
                <w:rFonts w:hint="eastAsia" w:ascii="仿宋" w:hAnsi="仿宋" w:eastAsia="仿宋" w:cs="仿宋"/>
                <w:spacing w:val="-5"/>
                <w:sz w:val="24"/>
                <w:highlight w:val="none"/>
              </w:rPr>
              <w:t>主要监理人员（总监除外）具有全国文物局颁发的业务培训证书同时具</w:t>
            </w:r>
            <w:r>
              <w:rPr>
                <w:rFonts w:hint="eastAsia" w:ascii="仿宋" w:hAnsi="仿宋" w:eastAsia="仿宋" w:cs="仿宋"/>
                <w:spacing w:val="-1"/>
                <w:sz w:val="24"/>
                <w:highlight w:val="none"/>
              </w:rPr>
              <w:t>有省级文物主管部门颁发的监理岗位证书的每1人得1分，最高得3分。（提供培训证书及岗位证书复印件并加盖公章）</w:t>
            </w:r>
          </w:p>
        </w:tc>
        <w:tc>
          <w:tcPr>
            <w:tcW w:w="976" w:type="dxa"/>
            <w:tcBorders>
              <w:right w:val="single" w:color="000000" w:sz="4" w:space="0"/>
            </w:tcBorders>
          </w:tcPr>
          <w:p>
            <w:pPr>
              <w:spacing w:line="279" w:lineRule="auto"/>
              <w:rPr>
                <w:rFonts w:hint="eastAsia" w:ascii="仿宋" w:hAnsi="仿宋" w:eastAsia="仿宋" w:cs="仿宋"/>
                <w:sz w:val="24"/>
                <w:highlight w:val="none"/>
              </w:rPr>
            </w:pPr>
          </w:p>
          <w:p>
            <w:pPr>
              <w:spacing w:line="279" w:lineRule="auto"/>
              <w:rPr>
                <w:rFonts w:hint="eastAsia" w:ascii="仿宋" w:hAnsi="仿宋" w:eastAsia="仿宋" w:cs="仿宋"/>
                <w:sz w:val="24"/>
                <w:highlight w:val="none"/>
              </w:rPr>
            </w:pPr>
          </w:p>
          <w:p>
            <w:pPr>
              <w:spacing w:line="279" w:lineRule="auto"/>
              <w:rPr>
                <w:rFonts w:hint="eastAsia" w:ascii="仿宋" w:hAnsi="仿宋" w:eastAsia="仿宋" w:cs="仿宋"/>
                <w:sz w:val="24"/>
                <w:highlight w:val="none"/>
              </w:rPr>
            </w:pPr>
          </w:p>
          <w:p>
            <w:pPr>
              <w:spacing w:line="279" w:lineRule="auto"/>
              <w:rPr>
                <w:rFonts w:hint="eastAsia" w:ascii="仿宋" w:hAnsi="仿宋" w:eastAsia="仿宋" w:cs="仿宋"/>
                <w:sz w:val="24"/>
                <w:highlight w:val="none"/>
              </w:rPr>
            </w:pPr>
          </w:p>
          <w:p>
            <w:pPr>
              <w:spacing w:line="280" w:lineRule="auto"/>
              <w:rPr>
                <w:rFonts w:hint="eastAsia" w:ascii="仿宋" w:hAnsi="仿宋" w:eastAsia="仿宋" w:cs="仿宋"/>
                <w:sz w:val="24"/>
                <w:highlight w:val="none"/>
              </w:rPr>
            </w:pPr>
          </w:p>
          <w:p>
            <w:pPr>
              <w:spacing w:line="280" w:lineRule="auto"/>
              <w:rPr>
                <w:rFonts w:hint="eastAsia" w:ascii="仿宋" w:hAnsi="仿宋" w:eastAsia="仿宋" w:cs="仿宋"/>
                <w:sz w:val="24"/>
                <w:highlight w:val="none"/>
              </w:rPr>
            </w:pPr>
          </w:p>
          <w:p>
            <w:pPr>
              <w:spacing w:before="68" w:line="184" w:lineRule="auto"/>
              <w:ind w:firstLine="144"/>
              <w:rPr>
                <w:rFonts w:hint="eastAsia" w:ascii="仿宋" w:hAnsi="仿宋" w:eastAsia="仿宋" w:cs="仿宋"/>
                <w:spacing w:val="-2"/>
                <w:sz w:val="24"/>
                <w:highlight w:val="none"/>
              </w:rPr>
            </w:pPr>
            <w:r>
              <w:rPr>
                <w:rFonts w:hint="eastAsia" w:ascii="仿宋" w:hAnsi="仿宋" w:eastAsia="仿宋" w:cs="仿宋"/>
                <w:spacing w:val="-2"/>
                <w:sz w:val="24"/>
                <w:highlight w:val="none"/>
              </w:rPr>
              <w:t>0-</w:t>
            </w:r>
            <w:r>
              <w:rPr>
                <w:rFonts w:hint="eastAsia" w:ascii="仿宋" w:hAnsi="仿宋" w:eastAsia="仿宋" w:cs="仿宋"/>
                <w:spacing w:val="-2"/>
                <w:sz w:val="24"/>
                <w:highlight w:val="none"/>
                <w:lang w:val="en-US" w:eastAsia="zh-CN"/>
              </w:rPr>
              <w:t>9</w:t>
            </w:r>
            <w:r>
              <w:rPr>
                <w:rFonts w:hint="eastAsia" w:ascii="仿宋" w:hAnsi="仿宋" w:eastAsia="仿宋" w:cs="仿宋"/>
                <w:spacing w:val="-2"/>
                <w:sz w:val="24"/>
                <w:highlight w:val="none"/>
              </w:rPr>
              <w:t>分</w:t>
            </w:r>
          </w:p>
          <w:p>
            <w:pPr>
              <w:spacing w:before="220" w:line="184" w:lineRule="auto"/>
              <w:ind w:firstLine="194"/>
              <w:rPr>
                <w:rFonts w:hint="eastAsia" w:ascii="仿宋" w:hAnsi="仿宋" w:eastAsia="仿宋" w:cs="仿宋"/>
                <w:sz w:val="24"/>
                <w:highlight w:val="none"/>
              </w:rPr>
            </w:pPr>
          </w:p>
          <w:p>
            <w:pPr>
              <w:spacing w:before="247" w:line="184" w:lineRule="auto"/>
              <w:ind w:firstLine="194"/>
              <w:rPr>
                <w:rFonts w:hint="eastAsia" w:ascii="仿宋" w:hAnsi="仿宋" w:eastAsia="仿宋" w:cs="仿宋"/>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33" w:type="dxa"/>
            <w:vMerge w:val="restart"/>
            <w:tcBorders>
              <w:left w:val="single" w:color="000000" w:sz="10" w:space="0"/>
              <w:bottom w:val="nil"/>
            </w:tcBorders>
          </w:tcPr>
          <w:p>
            <w:pPr>
              <w:spacing w:line="263" w:lineRule="auto"/>
              <w:rPr>
                <w:rFonts w:hint="eastAsia" w:ascii="仿宋" w:hAnsi="仿宋" w:eastAsia="仿宋" w:cs="仿宋"/>
                <w:sz w:val="24"/>
                <w:highlight w:val="none"/>
              </w:rPr>
            </w:pPr>
          </w:p>
          <w:p>
            <w:pPr>
              <w:spacing w:line="263" w:lineRule="auto"/>
              <w:rPr>
                <w:rFonts w:hint="eastAsia" w:ascii="仿宋" w:hAnsi="仿宋" w:eastAsia="仿宋" w:cs="仿宋"/>
                <w:sz w:val="24"/>
                <w:highlight w:val="none"/>
              </w:rPr>
            </w:pPr>
          </w:p>
          <w:p>
            <w:pPr>
              <w:spacing w:line="263" w:lineRule="auto"/>
              <w:rPr>
                <w:rFonts w:hint="eastAsia" w:ascii="仿宋" w:hAnsi="仿宋" w:eastAsia="仿宋" w:cs="仿宋"/>
                <w:sz w:val="24"/>
                <w:highlight w:val="none"/>
              </w:rPr>
            </w:pPr>
          </w:p>
          <w:p>
            <w:pPr>
              <w:spacing w:line="264" w:lineRule="auto"/>
              <w:rPr>
                <w:rFonts w:hint="eastAsia" w:ascii="仿宋" w:hAnsi="仿宋" w:eastAsia="仿宋" w:cs="仿宋"/>
                <w:sz w:val="24"/>
                <w:highlight w:val="none"/>
              </w:rPr>
            </w:pPr>
          </w:p>
          <w:p>
            <w:pPr>
              <w:spacing w:line="264" w:lineRule="auto"/>
              <w:rPr>
                <w:rFonts w:hint="eastAsia" w:ascii="仿宋" w:hAnsi="仿宋" w:eastAsia="仿宋" w:cs="仿宋"/>
                <w:sz w:val="24"/>
                <w:highlight w:val="none"/>
              </w:rPr>
            </w:pPr>
          </w:p>
          <w:p>
            <w:pPr>
              <w:spacing w:line="264" w:lineRule="auto"/>
              <w:rPr>
                <w:rFonts w:hint="eastAsia" w:ascii="仿宋" w:hAnsi="仿宋" w:eastAsia="仿宋" w:cs="仿宋"/>
                <w:sz w:val="24"/>
                <w:highlight w:val="none"/>
              </w:rPr>
            </w:pPr>
          </w:p>
          <w:p>
            <w:pPr>
              <w:spacing w:before="78" w:line="185" w:lineRule="auto"/>
              <w:ind w:firstLine="276"/>
              <w:rPr>
                <w:rFonts w:hint="default" w:ascii="仿宋" w:hAnsi="仿宋" w:eastAsia="仿宋" w:cs="仿宋"/>
                <w:sz w:val="24"/>
                <w:szCs w:val="24"/>
                <w:highlight w:val="none"/>
                <w:lang w:val="en-US" w:eastAsia="zh-CN"/>
              </w:rPr>
            </w:pPr>
            <w:r>
              <w:rPr>
                <w:rFonts w:hint="eastAsia" w:ascii="仿宋" w:hAnsi="仿宋" w:eastAsia="仿宋" w:cs="仿宋"/>
                <w:spacing w:val="-6"/>
                <w:sz w:val="24"/>
                <w:szCs w:val="24"/>
                <w:highlight w:val="none"/>
              </w:rPr>
              <w:t>技术</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lang w:val="en-US" w:eastAsia="zh-CN"/>
              </w:rPr>
              <w:t>63分）</w:t>
            </w:r>
          </w:p>
        </w:tc>
        <w:tc>
          <w:tcPr>
            <w:tcW w:w="1722" w:type="dxa"/>
            <w:vMerge w:val="restart"/>
          </w:tcPr>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p>
          <w:p>
            <w:pPr>
              <w:pStyle w:val="34"/>
              <w:widowControl/>
              <w:adjustRightInd w:val="0"/>
              <w:snapToGrid w:val="0"/>
              <w:spacing w:line="240" w:lineRule="exact"/>
              <w:ind w:firstLine="452" w:firstLineChars="200"/>
              <w:jc w:val="center"/>
              <w:rPr>
                <w:rFonts w:hint="eastAsia" w:ascii="仿宋" w:hAnsi="仿宋" w:eastAsia="仿宋" w:cs="仿宋"/>
                <w:snapToGrid/>
                <w:spacing w:val="-7"/>
                <w:sz w:val="24"/>
                <w:szCs w:val="24"/>
                <w:highlight w:val="none"/>
                <w:lang w:val="en-US" w:eastAsia="zh-CN"/>
              </w:rPr>
            </w:pPr>
            <w:r>
              <w:rPr>
                <w:rFonts w:hint="eastAsia" w:ascii="仿宋" w:hAnsi="仿宋" w:eastAsia="仿宋" w:cs="仿宋"/>
                <w:snapToGrid/>
                <w:spacing w:val="-7"/>
                <w:sz w:val="24"/>
                <w:szCs w:val="24"/>
                <w:highlight w:val="none"/>
                <w:lang w:val="en-US" w:eastAsia="zh-CN"/>
              </w:rPr>
              <w:t>监理大纲</w:t>
            </w:r>
          </w:p>
          <w:p>
            <w:pPr>
              <w:spacing w:before="254" w:line="184" w:lineRule="auto"/>
              <w:ind w:firstLine="542"/>
              <w:rPr>
                <w:rFonts w:hint="eastAsia" w:ascii="仿宋" w:hAnsi="仿宋" w:eastAsia="仿宋" w:cs="仿宋"/>
                <w:spacing w:val="-7"/>
                <w:sz w:val="24"/>
                <w:highlight w:val="none"/>
              </w:rPr>
            </w:pPr>
          </w:p>
        </w:tc>
        <w:tc>
          <w:tcPr>
            <w:tcW w:w="6271" w:type="dxa"/>
          </w:tcPr>
          <w:p>
            <w:pPr>
              <w:spacing w:before="127" w:line="238" w:lineRule="auto"/>
              <w:ind w:left="106" w:right="102" w:hanging="1"/>
              <w:rPr>
                <w:rFonts w:hint="eastAsia" w:ascii="仿宋" w:hAnsi="仿宋" w:eastAsia="仿宋" w:cs="仿宋"/>
                <w:spacing w:val="-7"/>
                <w:sz w:val="24"/>
                <w:highlight w:val="none"/>
              </w:rPr>
            </w:pPr>
            <w:r>
              <w:rPr>
                <w:rFonts w:hint="eastAsia" w:ascii="仿宋" w:hAnsi="仿宋" w:eastAsia="仿宋" w:cs="仿宋"/>
                <w:spacing w:val="-7"/>
                <w:sz w:val="24"/>
                <w:highlight w:val="none"/>
              </w:rPr>
              <w:t>根据监理工作范围、内容、目标描述是否正确。</w:t>
            </w:r>
          </w:p>
          <w:p>
            <w:pPr>
              <w:spacing w:before="127" w:line="238" w:lineRule="auto"/>
              <w:ind w:left="106" w:right="102" w:hanging="1"/>
              <w:rPr>
                <w:rFonts w:hint="eastAsia" w:ascii="仿宋" w:hAnsi="仿宋" w:eastAsia="仿宋" w:cs="仿宋"/>
                <w:spacing w:val="-7"/>
                <w:sz w:val="24"/>
                <w:highlight w:val="none"/>
              </w:rPr>
            </w:pPr>
            <w:r>
              <w:rPr>
                <w:rFonts w:hint="eastAsia" w:ascii="仿宋" w:hAnsi="仿宋" w:eastAsia="仿宋" w:cs="仿宋"/>
                <w:spacing w:val="-7"/>
                <w:sz w:val="24"/>
                <w:highlight w:val="none"/>
              </w:rPr>
              <w:t>①大纲编制内容完善、层次分明、措施齐全、风险分析合理得10～7分；</w:t>
            </w:r>
          </w:p>
          <w:p>
            <w:pPr>
              <w:spacing w:before="127" w:line="238" w:lineRule="auto"/>
              <w:ind w:left="106" w:right="102" w:hanging="1"/>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②基本满足监理需要的，得7～6分；</w:t>
            </w:r>
          </w:p>
          <w:p>
            <w:pPr>
              <w:spacing w:before="127" w:line="238" w:lineRule="auto"/>
              <w:ind w:left="106" w:right="102" w:hanging="1"/>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③存在明显不合理或不足的，得6～5分，</w:t>
            </w:r>
          </w:p>
          <w:p>
            <w:pPr>
              <w:spacing w:before="127" w:line="238" w:lineRule="auto"/>
              <w:ind w:left="106" w:right="102" w:hanging="1"/>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297" w:line="184" w:lineRule="auto"/>
              <w:ind w:firstLine="194"/>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eastAsia="zh-CN"/>
              </w:rPr>
              <w:t>1</w:t>
            </w:r>
            <w:r>
              <w:rPr>
                <w:rFonts w:hint="eastAsia" w:ascii="仿宋" w:hAnsi="仿宋" w:eastAsia="仿宋" w:cs="仿宋"/>
                <w:spacing w:val="-7"/>
                <w:sz w:val="24"/>
                <w:highlight w:val="none"/>
                <w:lang w:val="en-US" w:eastAsia="zh-CN"/>
              </w:rPr>
              <w:t>0</w:t>
            </w:r>
            <w:r>
              <w:rPr>
                <w:rFonts w:hint="eastAsia" w:ascii="仿宋" w:hAnsi="仿宋" w:eastAsia="仿宋" w:cs="仿宋"/>
                <w:spacing w:val="-7"/>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3" w:type="dxa"/>
            <w:vMerge w:val="continue"/>
            <w:tcBorders>
              <w:top w:val="nil"/>
              <w:left w:val="single" w:color="000000" w:sz="10" w:space="0"/>
              <w:bottom w:val="nil"/>
            </w:tcBorders>
          </w:tcPr>
          <w:p>
            <w:pPr>
              <w:rPr>
                <w:rFonts w:hint="eastAsia" w:ascii="仿宋" w:hAnsi="仿宋" w:eastAsia="仿宋" w:cs="仿宋"/>
                <w:sz w:val="24"/>
                <w:highlight w:val="none"/>
              </w:rPr>
            </w:pPr>
          </w:p>
        </w:tc>
        <w:tc>
          <w:tcPr>
            <w:tcW w:w="1722" w:type="dxa"/>
            <w:vMerge w:val="continue"/>
          </w:tcPr>
          <w:p>
            <w:pPr>
              <w:spacing w:before="84" w:line="238" w:lineRule="auto"/>
              <w:ind w:left="109" w:right="101" w:firstLine="0"/>
              <w:rPr>
                <w:rFonts w:hint="eastAsia" w:ascii="仿宋" w:hAnsi="仿宋" w:eastAsia="仿宋" w:cs="仿宋"/>
                <w:spacing w:val="-7"/>
                <w:sz w:val="24"/>
                <w:highlight w:val="none"/>
              </w:rPr>
            </w:pPr>
          </w:p>
        </w:tc>
        <w:tc>
          <w:tcPr>
            <w:tcW w:w="6271" w:type="dxa"/>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质量控制的保证措施是否科学、合理。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①质量控制的程序、措施和质量保证体系：程序规范、措施有力、质量控制点设置合理、完全满足监理需要的，得</w:t>
            </w:r>
            <w:r>
              <w:rPr>
                <w:rFonts w:hint="eastAsia" w:ascii="仿宋" w:hAnsi="仿宋" w:eastAsia="仿宋" w:cs="仿宋"/>
                <w:spacing w:val="-7"/>
                <w:sz w:val="24"/>
                <w:highlight w:val="none"/>
                <w:lang w:eastAsia="zh-CN"/>
              </w:rPr>
              <w:t>1</w:t>
            </w:r>
            <w:r>
              <w:rPr>
                <w:rFonts w:hint="eastAsia" w:ascii="仿宋" w:hAnsi="仿宋" w:eastAsia="仿宋" w:cs="仿宋"/>
                <w:spacing w:val="-7"/>
                <w:sz w:val="24"/>
                <w:highlight w:val="none"/>
                <w:lang w:val="en-US" w:eastAsia="zh-CN"/>
              </w:rPr>
              <w:t>0</w:t>
            </w:r>
            <w:r>
              <w:rPr>
                <w:rFonts w:hint="eastAsia" w:ascii="仿宋" w:hAnsi="仿宋" w:eastAsia="仿宋" w:cs="仿宋"/>
                <w:spacing w:val="-7"/>
                <w:sz w:val="24"/>
                <w:highlight w:val="none"/>
              </w:rPr>
              <w:t>～7分；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②基本满足监理需要的，得7～5分；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③存在明显不合理或不足的，得5～4分；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eastAsia="zh-CN"/>
              </w:rPr>
              <w:t>1</w:t>
            </w:r>
            <w:r>
              <w:rPr>
                <w:rFonts w:hint="eastAsia" w:ascii="仿宋" w:hAnsi="仿宋" w:eastAsia="仿宋" w:cs="仿宋"/>
                <w:spacing w:val="-7"/>
                <w:sz w:val="24"/>
                <w:highlight w:val="none"/>
                <w:lang w:val="en-US" w:eastAsia="zh-CN"/>
              </w:rPr>
              <w:t>0</w:t>
            </w:r>
            <w:r>
              <w:rPr>
                <w:rFonts w:hint="eastAsia" w:ascii="仿宋" w:hAnsi="仿宋" w:eastAsia="仿宋" w:cs="仿宋"/>
                <w:spacing w:val="-7"/>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33" w:type="dxa"/>
            <w:vMerge w:val="continue"/>
            <w:tcBorders>
              <w:top w:val="nil"/>
              <w:left w:val="single" w:color="000000" w:sz="10" w:space="0"/>
              <w:bottom w:val="nil"/>
            </w:tcBorders>
          </w:tcPr>
          <w:p>
            <w:pPr>
              <w:rPr>
                <w:rFonts w:hint="eastAsia" w:ascii="仿宋" w:hAnsi="仿宋" w:eastAsia="仿宋" w:cs="仿宋"/>
                <w:sz w:val="24"/>
                <w:highlight w:val="none"/>
              </w:rPr>
            </w:pPr>
          </w:p>
        </w:tc>
        <w:tc>
          <w:tcPr>
            <w:tcW w:w="1722" w:type="dxa"/>
            <w:vMerge w:val="continue"/>
          </w:tcPr>
          <w:p>
            <w:pPr>
              <w:spacing w:before="84" w:line="238" w:lineRule="auto"/>
              <w:ind w:left="109" w:right="101" w:firstLine="0"/>
              <w:rPr>
                <w:rFonts w:hint="eastAsia" w:ascii="仿宋" w:hAnsi="仿宋" w:eastAsia="仿宋" w:cs="仿宋"/>
                <w:spacing w:val="-7"/>
                <w:sz w:val="24"/>
                <w:highlight w:val="none"/>
              </w:rPr>
            </w:pPr>
          </w:p>
        </w:tc>
        <w:tc>
          <w:tcPr>
            <w:tcW w:w="6271" w:type="dxa"/>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施工进度控制手段是否细致详尽。</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①科学合理、完全满足监理需要的，得10～7分；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②基本满足监理需要的，得7～5分；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③存在明显不合理或不足的，得5～4分；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eastAsia="zh-CN"/>
              </w:rPr>
              <w:t>1</w:t>
            </w:r>
            <w:r>
              <w:rPr>
                <w:rFonts w:hint="eastAsia" w:ascii="仿宋" w:hAnsi="仿宋" w:eastAsia="仿宋" w:cs="仿宋"/>
                <w:spacing w:val="-7"/>
                <w:sz w:val="24"/>
                <w:highlight w:val="none"/>
                <w:lang w:val="en-US" w:eastAsia="zh-CN"/>
              </w:rPr>
              <w:t>0</w:t>
            </w:r>
            <w:r>
              <w:rPr>
                <w:rFonts w:hint="eastAsia" w:ascii="仿宋" w:hAnsi="仿宋" w:eastAsia="仿宋" w:cs="仿宋"/>
                <w:spacing w:val="-7"/>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33" w:type="dxa"/>
            <w:vMerge w:val="continue"/>
            <w:tcBorders>
              <w:top w:val="nil"/>
              <w:left w:val="single" w:color="000000" w:sz="10" w:space="0"/>
              <w:bottom w:val="nil"/>
            </w:tcBorders>
          </w:tcPr>
          <w:p>
            <w:pPr>
              <w:rPr>
                <w:rFonts w:hint="eastAsia" w:ascii="仿宋" w:hAnsi="仿宋" w:eastAsia="仿宋" w:cs="仿宋"/>
                <w:sz w:val="24"/>
                <w:highlight w:val="none"/>
              </w:rPr>
            </w:pPr>
          </w:p>
        </w:tc>
        <w:tc>
          <w:tcPr>
            <w:tcW w:w="1722" w:type="dxa"/>
            <w:vMerge w:val="continue"/>
          </w:tcPr>
          <w:p>
            <w:pPr>
              <w:spacing w:before="84" w:line="238" w:lineRule="auto"/>
              <w:ind w:left="109" w:right="101" w:firstLine="0"/>
              <w:rPr>
                <w:rFonts w:hint="eastAsia" w:ascii="仿宋" w:hAnsi="仿宋" w:eastAsia="仿宋" w:cs="仿宋"/>
                <w:spacing w:val="-7"/>
                <w:sz w:val="24"/>
                <w:highlight w:val="none"/>
              </w:rPr>
            </w:pPr>
          </w:p>
        </w:tc>
        <w:tc>
          <w:tcPr>
            <w:tcW w:w="6271" w:type="dxa"/>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根据合同管理措施是否合理、可行。</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①合同方案可行、措施有力，科学合理、完全满足监理需要的得</w:t>
            </w:r>
            <w:r>
              <w:rPr>
                <w:rFonts w:hint="eastAsia" w:ascii="仿宋" w:hAnsi="仿宋" w:eastAsia="仿宋" w:cs="仿宋"/>
                <w:spacing w:val="-7"/>
                <w:sz w:val="24"/>
                <w:highlight w:val="none"/>
                <w:lang w:eastAsia="zh-CN"/>
              </w:rPr>
              <w:t>9</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eastAsia="zh-CN"/>
              </w:rPr>
              <w:t>7</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w:t>
            </w:r>
            <w:r>
              <w:rPr>
                <w:rFonts w:hint="eastAsia" w:ascii="仿宋" w:hAnsi="仿宋" w:eastAsia="仿宋" w:cs="仿宋"/>
                <w:spacing w:val="-7"/>
                <w:sz w:val="24"/>
                <w:highlight w:val="none"/>
                <w:lang w:eastAsia="zh-CN"/>
              </w:rPr>
              <w:t>7</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eastAsia="zh-CN"/>
              </w:rPr>
              <w:t>5</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w:t>
            </w:r>
            <w:r>
              <w:rPr>
                <w:rFonts w:hint="eastAsia" w:ascii="仿宋" w:hAnsi="仿宋" w:eastAsia="仿宋" w:cs="仿宋"/>
                <w:spacing w:val="-7"/>
                <w:sz w:val="24"/>
                <w:highlight w:val="none"/>
                <w:lang w:eastAsia="zh-CN"/>
              </w:rPr>
              <w:t>5</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eastAsia="zh-CN"/>
              </w:rPr>
              <w:t>3</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eastAsia="zh-CN"/>
              </w:rPr>
              <w:t>9</w:t>
            </w:r>
            <w:r>
              <w:rPr>
                <w:rFonts w:hint="eastAsia" w:ascii="仿宋" w:hAnsi="仿宋" w:eastAsia="仿宋" w:cs="仿宋"/>
                <w:spacing w:val="-7"/>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33" w:type="dxa"/>
            <w:vMerge w:val="continue"/>
            <w:tcBorders>
              <w:top w:val="nil"/>
              <w:left w:val="single" w:color="000000" w:sz="10" w:space="0"/>
              <w:bottom w:val="nil"/>
            </w:tcBorders>
          </w:tcPr>
          <w:p>
            <w:pPr>
              <w:rPr>
                <w:rFonts w:hint="eastAsia" w:ascii="仿宋" w:hAnsi="仿宋" w:eastAsia="仿宋" w:cs="仿宋"/>
                <w:sz w:val="24"/>
                <w:highlight w:val="none"/>
              </w:rPr>
            </w:pPr>
          </w:p>
        </w:tc>
        <w:tc>
          <w:tcPr>
            <w:tcW w:w="1722" w:type="dxa"/>
            <w:vMerge w:val="continue"/>
          </w:tcPr>
          <w:p>
            <w:pPr>
              <w:spacing w:before="84" w:line="238" w:lineRule="auto"/>
              <w:ind w:left="109" w:right="101" w:firstLine="0"/>
              <w:rPr>
                <w:rFonts w:hint="eastAsia" w:ascii="仿宋" w:hAnsi="仿宋" w:eastAsia="仿宋" w:cs="仿宋"/>
                <w:spacing w:val="-7"/>
                <w:sz w:val="24"/>
                <w:highlight w:val="none"/>
              </w:rPr>
            </w:pPr>
          </w:p>
        </w:tc>
        <w:tc>
          <w:tcPr>
            <w:tcW w:w="6271" w:type="dxa"/>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根据安全生产管理职责、制度是否合理、可行。</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①安全生产管理方案科学合理、完全满足监理需要的，得6～5分；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②基本满足监理需要的，得5～4分；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③存在明显不合理或不足的，得4～3分，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eastAsia="zh-CN"/>
              </w:rPr>
              <w:t>6</w:t>
            </w:r>
            <w:r>
              <w:rPr>
                <w:rFonts w:hint="eastAsia" w:ascii="仿宋" w:hAnsi="仿宋" w:eastAsia="仿宋" w:cs="仿宋"/>
                <w:spacing w:val="-7"/>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33" w:type="dxa"/>
            <w:vMerge w:val="continue"/>
            <w:tcBorders>
              <w:top w:val="nil"/>
              <w:left w:val="single" w:color="000000" w:sz="10" w:space="0"/>
              <w:bottom w:val="nil"/>
            </w:tcBorders>
          </w:tcPr>
          <w:p>
            <w:pPr>
              <w:rPr>
                <w:rFonts w:hint="eastAsia" w:ascii="仿宋" w:hAnsi="仿宋" w:eastAsia="仿宋" w:cs="仿宋"/>
                <w:sz w:val="24"/>
                <w:highlight w:val="none"/>
              </w:rPr>
            </w:pPr>
          </w:p>
        </w:tc>
        <w:tc>
          <w:tcPr>
            <w:tcW w:w="1722" w:type="dxa"/>
            <w:vMerge w:val="continue"/>
          </w:tcPr>
          <w:p>
            <w:pPr>
              <w:spacing w:before="84" w:line="238" w:lineRule="auto"/>
              <w:ind w:left="109" w:right="101" w:firstLine="0"/>
              <w:rPr>
                <w:rFonts w:hint="eastAsia" w:ascii="仿宋" w:hAnsi="仿宋" w:eastAsia="仿宋" w:cs="仿宋"/>
                <w:spacing w:val="-7"/>
                <w:sz w:val="24"/>
                <w:highlight w:val="none"/>
              </w:rPr>
            </w:pPr>
          </w:p>
        </w:tc>
        <w:tc>
          <w:tcPr>
            <w:tcW w:w="6271" w:type="dxa"/>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据监理工作制度是否合理、可行（包括服务方案中对廉政制度建设内容是否能有效避免廉政问题，提出的措施是否有针对性和可操作性等进行评分，由评委酌情打分。）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①监理工作制度科学合理、完全满足监理需要的，得</w:t>
            </w:r>
            <w:r>
              <w:rPr>
                <w:rFonts w:hint="eastAsia" w:ascii="仿宋" w:hAnsi="仿宋" w:eastAsia="仿宋" w:cs="仿宋"/>
                <w:spacing w:val="-7"/>
                <w:sz w:val="24"/>
                <w:highlight w:val="none"/>
                <w:lang w:val="en-US" w:eastAsia="zh-CN"/>
              </w:rPr>
              <w:t>6</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5</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w:t>
            </w:r>
            <w:r>
              <w:rPr>
                <w:rFonts w:hint="eastAsia" w:ascii="仿宋" w:hAnsi="仿宋" w:eastAsia="仿宋" w:cs="仿宋"/>
                <w:spacing w:val="-7"/>
                <w:sz w:val="24"/>
                <w:highlight w:val="none"/>
                <w:lang w:val="en-US" w:eastAsia="zh-CN"/>
              </w:rPr>
              <w:t>5</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4</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w:t>
            </w:r>
            <w:r>
              <w:rPr>
                <w:rFonts w:hint="eastAsia" w:ascii="仿宋" w:hAnsi="仿宋" w:eastAsia="仿宋" w:cs="仿宋"/>
                <w:spacing w:val="-7"/>
                <w:sz w:val="24"/>
                <w:highlight w:val="none"/>
                <w:lang w:val="en-US" w:eastAsia="zh-CN"/>
              </w:rPr>
              <w:t>4</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3</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val="en-US" w:eastAsia="zh-CN"/>
              </w:rPr>
              <w:t>6</w:t>
            </w:r>
            <w:r>
              <w:rPr>
                <w:rFonts w:hint="eastAsia" w:ascii="仿宋" w:hAnsi="仿宋" w:eastAsia="仿宋" w:cs="仿宋"/>
                <w:spacing w:val="-7"/>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33" w:type="dxa"/>
            <w:vMerge w:val="continue"/>
            <w:tcBorders>
              <w:top w:val="nil"/>
              <w:left w:val="single" w:color="000000" w:sz="10" w:space="0"/>
              <w:bottom w:val="nil"/>
            </w:tcBorders>
          </w:tcPr>
          <w:p>
            <w:pPr>
              <w:rPr>
                <w:rFonts w:hint="eastAsia" w:ascii="仿宋" w:hAnsi="仿宋" w:eastAsia="仿宋" w:cs="仿宋"/>
                <w:sz w:val="24"/>
                <w:highlight w:val="none"/>
              </w:rPr>
            </w:pPr>
          </w:p>
        </w:tc>
        <w:tc>
          <w:tcPr>
            <w:tcW w:w="1722" w:type="dxa"/>
            <w:vMerge w:val="continue"/>
          </w:tcPr>
          <w:p>
            <w:pPr>
              <w:spacing w:before="84" w:line="238" w:lineRule="auto"/>
              <w:ind w:left="109" w:right="101" w:firstLine="0"/>
              <w:rPr>
                <w:rFonts w:hint="eastAsia" w:ascii="仿宋" w:hAnsi="仿宋" w:eastAsia="仿宋" w:cs="仿宋"/>
                <w:spacing w:val="-7"/>
                <w:sz w:val="24"/>
                <w:highlight w:val="none"/>
              </w:rPr>
            </w:pPr>
          </w:p>
        </w:tc>
        <w:tc>
          <w:tcPr>
            <w:tcW w:w="6271" w:type="dxa"/>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根据对设计、施工、监理的合理化建议。</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①建议科学合理、完全满足监理需要的，得</w:t>
            </w:r>
            <w:r>
              <w:rPr>
                <w:rFonts w:hint="eastAsia" w:ascii="仿宋" w:hAnsi="仿宋" w:eastAsia="仿宋" w:cs="仿宋"/>
                <w:spacing w:val="-7"/>
                <w:sz w:val="24"/>
                <w:highlight w:val="none"/>
                <w:lang w:val="en-US" w:eastAsia="zh-CN"/>
              </w:rPr>
              <w:t>6</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5</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w:t>
            </w:r>
            <w:r>
              <w:rPr>
                <w:rFonts w:hint="eastAsia" w:ascii="仿宋" w:hAnsi="仿宋" w:eastAsia="仿宋" w:cs="仿宋"/>
                <w:spacing w:val="-7"/>
                <w:sz w:val="24"/>
                <w:highlight w:val="none"/>
                <w:lang w:val="en-US" w:eastAsia="zh-CN"/>
              </w:rPr>
              <w:t>5</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4</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w:t>
            </w:r>
            <w:r>
              <w:rPr>
                <w:rFonts w:hint="eastAsia" w:ascii="仿宋" w:hAnsi="仿宋" w:eastAsia="仿宋" w:cs="仿宋"/>
                <w:spacing w:val="-7"/>
                <w:sz w:val="24"/>
                <w:highlight w:val="none"/>
                <w:lang w:val="en-US" w:eastAsia="zh-CN"/>
              </w:rPr>
              <w:t>4</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3</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val="en-US" w:eastAsia="zh-CN"/>
              </w:rPr>
              <w:t>6</w:t>
            </w:r>
            <w:r>
              <w:rPr>
                <w:rFonts w:hint="eastAsia" w:ascii="仿宋" w:hAnsi="仿宋" w:eastAsia="仿宋" w:cs="仿宋"/>
                <w:spacing w:val="-7"/>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33" w:type="dxa"/>
            <w:vMerge w:val="continue"/>
            <w:tcBorders>
              <w:top w:val="nil"/>
              <w:left w:val="single" w:color="000000" w:sz="10" w:space="0"/>
              <w:bottom w:val="nil"/>
            </w:tcBorders>
          </w:tcPr>
          <w:p>
            <w:pPr>
              <w:rPr>
                <w:rFonts w:hint="eastAsia" w:ascii="仿宋" w:hAnsi="仿宋" w:eastAsia="仿宋" w:cs="仿宋"/>
                <w:sz w:val="24"/>
                <w:highlight w:val="none"/>
              </w:rPr>
            </w:pPr>
          </w:p>
        </w:tc>
        <w:tc>
          <w:tcPr>
            <w:tcW w:w="1722" w:type="dxa"/>
            <w:vMerge w:val="continue"/>
          </w:tcPr>
          <w:p>
            <w:pPr>
              <w:spacing w:before="84" w:line="238" w:lineRule="auto"/>
              <w:ind w:left="109" w:right="101" w:firstLine="0"/>
              <w:rPr>
                <w:rFonts w:hint="eastAsia" w:ascii="仿宋" w:hAnsi="仿宋" w:eastAsia="仿宋" w:cs="仿宋"/>
                <w:spacing w:val="-7"/>
                <w:sz w:val="24"/>
                <w:highlight w:val="none"/>
              </w:rPr>
            </w:pPr>
          </w:p>
        </w:tc>
        <w:tc>
          <w:tcPr>
            <w:tcW w:w="6271" w:type="dxa"/>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根据监理项目所投入的检测仪器设备的先进性、可靠性以及针对不同项目情况所投设备的合理性进行综合比较评分；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①科学合理、完全满足监理需要的，得</w:t>
            </w:r>
            <w:r>
              <w:rPr>
                <w:rFonts w:hint="eastAsia" w:ascii="仿宋" w:hAnsi="仿宋" w:eastAsia="仿宋" w:cs="仿宋"/>
                <w:spacing w:val="-7"/>
                <w:sz w:val="24"/>
                <w:highlight w:val="none"/>
                <w:lang w:val="en-US" w:eastAsia="zh-CN"/>
              </w:rPr>
              <w:t>6</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5</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②基本满足监理需要的，得</w:t>
            </w:r>
            <w:r>
              <w:rPr>
                <w:rFonts w:hint="eastAsia" w:ascii="仿宋" w:hAnsi="仿宋" w:eastAsia="仿宋" w:cs="仿宋"/>
                <w:spacing w:val="-7"/>
                <w:sz w:val="24"/>
                <w:highlight w:val="none"/>
                <w:lang w:val="en-US" w:eastAsia="zh-CN"/>
              </w:rPr>
              <w:t>5</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4</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③存在明显不合理或不足的，得</w:t>
            </w:r>
            <w:r>
              <w:rPr>
                <w:rFonts w:hint="eastAsia" w:ascii="仿宋" w:hAnsi="仿宋" w:eastAsia="仿宋" w:cs="仿宋"/>
                <w:spacing w:val="-7"/>
                <w:sz w:val="24"/>
                <w:highlight w:val="none"/>
                <w:lang w:val="en-US" w:eastAsia="zh-CN"/>
              </w:rPr>
              <w:t>4</w:t>
            </w:r>
            <w:r>
              <w:rPr>
                <w:rFonts w:hint="eastAsia" w:ascii="仿宋" w:hAnsi="仿宋" w:eastAsia="仿宋" w:cs="仿宋"/>
                <w:spacing w:val="-7"/>
                <w:sz w:val="24"/>
                <w:highlight w:val="none"/>
              </w:rPr>
              <w:t>～</w:t>
            </w:r>
            <w:r>
              <w:rPr>
                <w:rFonts w:hint="eastAsia" w:ascii="仿宋" w:hAnsi="仿宋" w:eastAsia="仿宋" w:cs="仿宋"/>
                <w:spacing w:val="-7"/>
                <w:sz w:val="24"/>
                <w:highlight w:val="none"/>
                <w:lang w:val="en-US" w:eastAsia="zh-CN"/>
              </w:rPr>
              <w:t>3</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④缺项的得0分。</w:t>
            </w:r>
          </w:p>
        </w:tc>
        <w:tc>
          <w:tcPr>
            <w:tcW w:w="976" w:type="dxa"/>
            <w:tcBorders>
              <w:right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0-</w:t>
            </w:r>
            <w:r>
              <w:rPr>
                <w:rFonts w:hint="eastAsia" w:ascii="仿宋" w:hAnsi="仿宋" w:eastAsia="仿宋" w:cs="仿宋"/>
                <w:spacing w:val="-7"/>
                <w:sz w:val="24"/>
                <w:highlight w:val="none"/>
                <w:lang w:val="en-US" w:eastAsia="zh-CN"/>
              </w:rPr>
              <w:t>6</w:t>
            </w:r>
            <w:r>
              <w:rPr>
                <w:rFonts w:hint="eastAsia" w:ascii="仿宋" w:hAnsi="仿宋" w:eastAsia="仿宋" w:cs="仿宋"/>
                <w:spacing w:val="-7"/>
                <w:sz w:val="24"/>
                <w:highlight w:val="none"/>
              </w:rPr>
              <w:t>分</w:t>
            </w:r>
          </w:p>
          <w:p>
            <w:pPr>
              <w:spacing w:before="84" w:line="238" w:lineRule="auto"/>
              <w:ind w:left="109" w:right="101" w:firstLine="0"/>
              <w:rPr>
                <w:rFonts w:hint="eastAsia" w:ascii="仿宋" w:hAnsi="仿宋" w:eastAsia="仿宋" w:cs="仿宋"/>
                <w:spacing w:val="-7"/>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33" w:type="dxa"/>
            <w:tcBorders>
              <w:top w:val="nil"/>
              <w:left w:val="single" w:color="000000" w:sz="10" w:space="0"/>
              <w:bottom w:val="single" w:color="000000" w:sz="4" w:space="0"/>
            </w:tcBorders>
          </w:tcPr>
          <w:p>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报价（20分）</w:t>
            </w:r>
          </w:p>
        </w:tc>
        <w:tc>
          <w:tcPr>
            <w:tcW w:w="1722" w:type="dxa"/>
            <w:tcBorders>
              <w:bottom w:val="single" w:color="000000" w:sz="4" w:space="0"/>
            </w:tcBorders>
          </w:tcPr>
          <w:p>
            <w:pPr>
              <w:spacing w:before="84" w:line="238" w:lineRule="auto"/>
              <w:ind w:left="109" w:right="101" w:firstLine="0"/>
              <w:rPr>
                <w:rFonts w:hint="eastAsia" w:ascii="仿宋" w:hAnsi="仿宋" w:eastAsia="仿宋" w:cs="仿宋"/>
                <w:spacing w:val="-7"/>
                <w:sz w:val="24"/>
                <w:highlight w:val="none"/>
                <w:lang w:val="en-US" w:eastAsia="zh-CN"/>
              </w:rPr>
            </w:pPr>
            <w:r>
              <w:rPr>
                <w:rFonts w:hint="eastAsia" w:ascii="仿宋" w:hAnsi="仿宋" w:eastAsia="仿宋" w:cs="仿宋"/>
                <w:spacing w:val="-7"/>
                <w:sz w:val="24"/>
                <w:highlight w:val="none"/>
                <w:lang w:val="en-US" w:eastAsia="zh-CN"/>
              </w:rPr>
              <w:t>报价分</w:t>
            </w:r>
          </w:p>
        </w:tc>
        <w:tc>
          <w:tcPr>
            <w:tcW w:w="6271" w:type="dxa"/>
            <w:tcBorders>
              <w:bottom w:val="single" w:color="000000" w:sz="4" w:space="0"/>
            </w:tcBorders>
          </w:tcPr>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即满足磋商文件要求且最终报价最低的磋商供应商的价格作为磋商基准价，其报价得满分。其他磋商供应商的价格分统一按照下列公式计算：</w:t>
            </w:r>
          </w:p>
          <w:p>
            <w:pPr>
              <w:spacing w:before="84" w:line="238" w:lineRule="auto"/>
              <w:ind w:left="109" w:right="101" w:firstLine="0"/>
              <w:rPr>
                <w:rFonts w:hint="eastAsia" w:ascii="仿宋" w:hAnsi="仿宋" w:eastAsia="仿宋" w:cs="仿宋"/>
                <w:spacing w:val="-7"/>
                <w:sz w:val="24"/>
                <w:highlight w:val="none"/>
              </w:rPr>
            </w:pPr>
            <w:r>
              <w:rPr>
                <w:rFonts w:hint="eastAsia" w:ascii="仿宋" w:hAnsi="仿宋" w:eastAsia="仿宋" w:cs="仿宋"/>
                <w:spacing w:val="-7"/>
                <w:sz w:val="24"/>
                <w:highlight w:val="none"/>
              </w:rPr>
              <w:t>磋商报价得分=(磋商基准价／最后磋商报价)×2</w:t>
            </w:r>
            <w:r>
              <w:rPr>
                <w:rFonts w:hint="eastAsia" w:ascii="仿宋" w:hAnsi="仿宋" w:eastAsia="仿宋" w:cs="仿宋"/>
                <w:spacing w:val="-7"/>
                <w:sz w:val="24"/>
                <w:highlight w:val="none"/>
                <w:lang w:eastAsia="zh-CN"/>
              </w:rPr>
              <w:t>0</w:t>
            </w:r>
            <w:r>
              <w:rPr>
                <w:rFonts w:hint="eastAsia" w:ascii="仿宋" w:hAnsi="仿宋" w:eastAsia="仿宋" w:cs="仿宋"/>
                <w:spacing w:val="-7"/>
                <w:sz w:val="24"/>
                <w:highlight w:val="none"/>
              </w:rPr>
              <w:t>%×100 。</w:t>
            </w:r>
          </w:p>
        </w:tc>
        <w:tc>
          <w:tcPr>
            <w:tcW w:w="976" w:type="dxa"/>
            <w:tcBorders>
              <w:bottom w:val="single" w:color="000000" w:sz="4" w:space="0"/>
              <w:right w:val="single" w:color="000000" w:sz="4" w:space="0"/>
            </w:tcBorders>
          </w:tcPr>
          <w:p>
            <w:pPr>
              <w:spacing w:before="84" w:line="238" w:lineRule="auto"/>
              <w:ind w:left="109" w:right="101" w:firstLine="0"/>
              <w:rPr>
                <w:rFonts w:hint="eastAsia" w:ascii="仿宋" w:hAnsi="仿宋" w:eastAsia="仿宋" w:cs="仿宋"/>
                <w:spacing w:val="-7"/>
                <w:sz w:val="24"/>
                <w:highlight w:val="none"/>
                <w:lang w:val="en-US" w:eastAsia="zh-CN"/>
              </w:rPr>
            </w:pPr>
            <w:r>
              <w:rPr>
                <w:rFonts w:hint="eastAsia" w:ascii="仿宋" w:hAnsi="仿宋" w:eastAsia="仿宋" w:cs="仿宋"/>
                <w:spacing w:val="-7"/>
                <w:sz w:val="24"/>
                <w:highlight w:val="none"/>
                <w:lang w:val="en-US" w:eastAsia="zh-CN"/>
              </w:rPr>
              <w:t>0-20分</w:t>
            </w:r>
          </w:p>
        </w:tc>
      </w:tr>
    </w:tbl>
    <w:p>
      <w:pPr>
        <w:pStyle w:val="257"/>
        <w:snapToGrid w:val="0"/>
        <w:ind w:left="200" w:firstLine="0" w:firstLineChars="0"/>
        <w:jc w:val="center"/>
        <w:rPr>
          <w:rFonts w:hint="eastAsia" w:ascii="仿宋" w:hAnsi="仿宋" w:eastAsia="仿宋" w:cs="仿宋_GB2312"/>
          <w:b/>
          <w:sz w:val="32"/>
          <w:szCs w:val="32"/>
        </w:rPr>
      </w:pPr>
    </w:p>
    <w:p>
      <w:pPr>
        <w:pStyle w:val="257"/>
        <w:snapToGrid w:val="0"/>
        <w:ind w:left="200" w:firstLine="0" w:firstLineChars="0"/>
        <w:rPr>
          <w:rFonts w:ascii="仿宋" w:hAnsi="仿宋" w:eastAsia="仿宋" w:cs="仿宋_GB2312"/>
          <w:b/>
          <w:sz w:val="32"/>
          <w:szCs w:val="20"/>
        </w:rPr>
      </w:pPr>
      <w:r>
        <w:rPr>
          <w:rFonts w:ascii="Calibri" w:hAnsi="Calibri" w:eastAsia="仿宋" w:cs="Calibri"/>
          <w:shd w:val="clear" w:color="auto" w:fill="FFFFFF"/>
        </w:rPr>
        <w:t> </w:t>
      </w:r>
      <w:r>
        <w:rPr>
          <w:rFonts w:ascii="仿宋" w:hAnsi="仿宋" w:eastAsia="仿宋" w:cs="Arial"/>
          <w:shd w:val="clear" w:color="auto" w:fill="FFFFFF"/>
        </w:rPr>
        <w:t>*</w:t>
      </w:r>
      <w:r>
        <w:rPr>
          <w:rFonts w:hint="eastAsia" w:ascii="仿宋" w:hAnsi="仿宋" w:eastAsia="仿宋" w:cs="仿宋_GB2312"/>
          <w:b/>
        </w:rPr>
        <w:t>备注：</w:t>
      </w:r>
      <w:r>
        <w:rPr>
          <w:rFonts w:hint="eastAsia" w:ascii="仿宋" w:hAnsi="仿宋" w:eastAsia="仿宋" w:cs="仿宋_GB2312"/>
        </w:rPr>
        <w:t>供应商编制响应文件（商务技术文件部分）时，建议按此目录（序号和内容）提供评标标准相应的商务技术资料。</w:t>
      </w:r>
      <w:r>
        <w:rPr>
          <w:rFonts w:ascii="Calibri" w:hAnsi="Calibri" w:eastAsia="仿宋" w:cs="Calibri"/>
        </w:rPr>
        <w:t> </w:t>
      </w:r>
    </w:p>
    <w:p>
      <w:pPr>
        <w:snapToGrid w:val="0"/>
        <w:spacing w:line="360" w:lineRule="auto"/>
        <w:rPr>
          <w:rFonts w:ascii="仿宋" w:hAnsi="仿宋" w:eastAsia="仿宋" w:cs="仿宋"/>
          <w:b/>
          <w:sz w:val="32"/>
        </w:rPr>
      </w:pPr>
      <w:r>
        <w:rPr>
          <w:rFonts w:hint="eastAsia" w:ascii="仿宋" w:hAnsi="仿宋" w:eastAsia="仿宋" w:cs="仿宋"/>
          <w:b/>
          <w:sz w:val="32"/>
        </w:rPr>
        <w:t>一、评标办法</w:t>
      </w:r>
    </w:p>
    <w:p>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1.综合评分法。综合评分法，是指响应文件满足采购文件全部实质性要求，且按照评审因素的量化指标评审得分最高的供应商为成交候选人的评审方法。</w:t>
      </w:r>
    </w:p>
    <w:p>
      <w:pPr>
        <w:snapToGrid w:val="0"/>
        <w:spacing w:line="360" w:lineRule="auto"/>
        <w:rPr>
          <w:rFonts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napToGrid w:val="0"/>
        <w:spacing w:line="360" w:lineRule="auto"/>
        <w:outlineLvl w:val="0"/>
        <w:rPr>
          <w:rFonts w:ascii="仿宋" w:hAnsi="仿宋" w:eastAsia="仿宋" w:cs="仿宋"/>
          <w:b/>
          <w:sz w:val="36"/>
          <w:szCs w:val="36"/>
        </w:rPr>
      </w:pPr>
      <w:r>
        <w:rPr>
          <w:rFonts w:hint="eastAsia" w:ascii="仿宋" w:hAnsi="仿宋" w:eastAsia="仿宋" w:cs="仿宋"/>
          <w:b/>
          <w:sz w:val="36"/>
          <w:szCs w:val="36"/>
        </w:rPr>
        <w:t>三、磋商程序</w:t>
      </w:r>
    </w:p>
    <w:p>
      <w:pPr>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磋商小组应当对符合资格的供应商的响应文件进行符合性审查，以确定其是否满足采购文件的实质性要求。不满足采购文件的实质性要求的，投标无效。</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3.2与各磋商响应方进行磋商。</w:t>
      </w:r>
    </w:p>
    <w:p>
      <w:pPr>
        <w:tabs>
          <w:tab w:val="left" w:pos="0"/>
        </w:tabs>
        <w:spacing w:line="360" w:lineRule="auto"/>
        <w:ind w:firstLine="480"/>
        <w:rPr>
          <w:rFonts w:ascii="仿宋" w:hAnsi="仿宋" w:eastAsia="仿宋" w:cs="Helvetica"/>
          <w:kern w:val="0"/>
          <w:sz w:val="24"/>
        </w:rPr>
      </w:pPr>
      <w:r>
        <w:rPr>
          <w:rFonts w:hint="eastAsia" w:ascii="仿宋" w:hAnsi="仿宋" w:eastAsia="仿宋" w:cs="仿宋"/>
          <w:kern w:val="0"/>
          <w:sz w:val="24"/>
        </w:rPr>
        <w:t>3.2.1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tabs>
          <w:tab w:val="left" w:pos="0"/>
        </w:tabs>
        <w:spacing w:line="360" w:lineRule="auto"/>
        <w:ind w:firstLine="480"/>
        <w:rPr>
          <w:rFonts w:ascii="仿宋" w:hAnsi="仿宋" w:eastAsia="仿宋" w:cs="Helvetica"/>
          <w:kern w:val="0"/>
          <w:sz w:val="24"/>
        </w:rPr>
      </w:pPr>
      <w:r>
        <w:rPr>
          <w:rFonts w:hint="eastAsia" w:ascii="仿宋" w:hAnsi="仿宋" w:eastAsia="仿宋" w:cs="仿宋"/>
          <w:kern w:val="0"/>
          <w:sz w:val="24"/>
        </w:rPr>
        <w:t>3.2.2</w:t>
      </w:r>
      <w:r>
        <w:rPr>
          <w:rFonts w:hint="eastAsia" w:ascii="仿宋" w:hAnsi="仿宋" w:eastAsia="仿宋" w:cs="Helvetica"/>
          <w:kern w:val="0"/>
          <w:sz w:val="24"/>
        </w:rPr>
        <w:t>经磋商确定采购文件的变动情况。对采购文件作出的实质性变动是采购文件的有效组成部分，磋商小组应当及时以书面形式同时通知所有参加磋商的供应商。</w:t>
      </w:r>
    </w:p>
    <w:p>
      <w:pPr>
        <w:spacing w:line="360" w:lineRule="auto"/>
        <w:ind w:firstLine="470" w:firstLineChars="196"/>
        <w:rPr>
          <w:rFonts w:ascii="仿宋" w:hAnsi="仿宋" w:eastAsia="仿宋" w:cs="Arial"/>
          <w:kern w:val="0"/>
          <w:sz w:val="24"/>
        </w:rPr>
      </w:pPr>
      <w:r>
        <w:rPr>
          <w:rFonts w:hint="eastAsia" w:ascii="仿宋" w:hAnsi="仿宋" w:eastAsia="仿宋" w:cs="仿宋"/>
          <w:kern w:val="0"/>
          <w:sz w:val="24"/>
        </w:rPr>
        <w:t>3</w:t>
      </w:r>
      <w:r>
        <w:rPr>
          <w:rFonts w:ascii="仿宋" w:hAnsi="仿宋" w:eastAsia="仿宋" w:cs="仿宋"/>
          <w:kern w:val="0"/>
          <w:sz w:val="24"/>
        </w:rPr>
        <w:t>.2.3</w:t>
      </w:r>
      <w:r>
        <w:rPr>
          <w:rFonts w:hint="eastAsia" w:ascii="仿宋" w:hAnsi="仿宋" w:eastAsia="仿宋" w:cs="仿宋"/>
          <w:kern w:val="0"/>
          <w:sz w:val="24"/>
        </w:rPr>
        <w:t>磋商小组</w:t>
      </w:r>
      <w:r>
        <w:rPr>
          <w:rFonts w:ascii="仿宋" w:hAnsi="仿宋" w:eastAsia="仿宋" w:cs="Arial"/>
          <w:kern w:val="0"/>
          <w:sz w:val="24"/>
        </w:rPr>
        <w:t>应当按照</w:t>
      </w:r>
      <w:r>
        <w:rPr>
          <w:rFonts w:hint="eastAsia" w:ascii="仿宋" w:hAnsi="仿宋" w:eastAsia="仿宋" w:cs="Arial"/>
          <w:kern w:val="0"/>
          <w:sz w:val="24"/>
        </w:rPr>
        <w:t>采购</w:t>
      </w:r>
      <w:r>
        <w:rPr>
          <w:rFonts w:ascii="仿宋" w:hAnsi="仿宋" w:eastAsia="仿宋" w:cs="Arial"/>
          <w:kern w:val="0"/>
          <w:sz w:val="24"/>
        </w:rPr>
        <w:t>文件中规定的评标方法和标准，对符合性审查合格的投标文件进行商务和技术评估，综合比较与评价。</w:t>
      </w:r>
      <w:r>
        <w:rPr>
          <w:rFonts w:hint="eastAsia" w:ascii="仿宋" w:hAnsi="仿宋" w:eastAsia="仿宋" w:cs="仿宋"/>
          <w:kern w:val="0"/>
          <w:sz w:val="24"/>
        </w:rPr>
        <w:t>磋商小组</w:t>
      </w:r>
      <w:r>
        <w:rPr>
          <w:rFonts w:hint="eastAsia" w:ascii="仿宋" w:hAnsi="仿宋" w:eastAsia="仿宋" w:cs="Arial"/>
          <w:kern w:val="0"/>
          <w:sz w:val="24"/>
        </w:rPr>
        <w:t>各成员应当独立对每个磋商响应方的商务和技术文件进行评价，并汇总商务技术得分情况。</w:t>
      </w:r>
    </w:p>
    <w:p>
      <w:pPr>
        <w:snapToGrid w:val="0"/>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3.2.</w:t>
      </w:r>
      <w:r>
        <w:rPr>
          <w:rFonts w:ascii="仿宋" w:hAnsi="仿宋" w:eastAsia="仿宋" w:cs="仿宋"/>
          <w:kern w:val="0"/>
          <w:sz w:val="24"/>
        </w:rPr>
        <w:t>4</w:t>
      </w:r>
      <w:r>
        <w:rPr>
          <w:rFonts w:hint="eastAsia" w:ascii="仿宋" w:hAnsi="仿宋" w:eastAsia="仿宋" w:cs="仿宋"/>
          <w:kern w:val="0"/>
          <w:sz w:val="24"/>
        </w:rPr>
        <w:t>各磋商响应方在本标项全部磋商结束后在规定时间内进行最后报价（供应商需在30分钟内提交最终报价）。</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w:t>
      </w:r>
      <w:r>
        <w:rPr>
          <w:rFonts w:ascii="仿宋" w:hAnsi="仿宋" w:eastAsia="仿宋" w:cs="仿宋"/>
          <w:b/>
          <w:kern w:val="0"/>
          <w:sz w:val="24"/>
        </w:rPr>
        <w:t>3</w:t>
      </w:r>
      <w:r>
        <w:rPr>
          <w:rFonts w:hint="eastAsia" w:ascii="仿宋" w:hAnsi="仿宋" w:eastAsia="仿宋" w:cs="仿宋"/>
          <w:b/>
          <w:kern w:val="0"/>
          <w:sz w:val="24"/>
        </w:rPr>
        <w:t>报价评审。</w:t>
      </w:r>
    </w:p>
    <w:p>
      <w:pPr>
        <w:pStyle w:val="130"/>
        <w:spacing w:before="0"/>
        <w:ind w:firstLine="508" w:firstLineChars="212"/>
        <w:rPr>
          <w:rFonts w:ascii="仿宋" w:hAnsi="仿宋" w:eastAsia="仿宋" w:cs="仿宋"/>
          <w:kern w:val="0"/>
        </w:rPr>
      </w:pPr>
      <w:r>
        <w:rPr>
          <w:rFonts w:hint="eastAsia" w:ascii="仿宋" w:hAnsi="仿宋" w:eastAsia="仿宋" w:cs="仿宋"/>
          <w:kern w:val="0"/>
        </w:rPr>
        <w:t>3.4.1响应文件报价出现前后不一致的，按照下列规定修正：</w:t>
      </w:r>
    </w:p>
    <w:p>
      <w:pPr>
        <w:pStyle w:val="130"/>
        <w:spacing w:before="0"/>
        <w:ind w:firstLine="480"/>
        <w:rPr>
          <w:rFonts w:ascii="仿宋" w:hAnsi="仿宋" w:eastAsia="仿宋" w:cs="仿宋"/>
          <w:kern w:val="0"/>
          <w:szCs w:val="24"/>
        </w:rPr>
      </w:pPr>
      <w:r>
        <w:rPr>
          <w:rFonts w:ascii="仿宋" w:hAnsi="仿宋" w:eastAsia="仿宋" w:cs="仿宋"/>
          <w:kern w:val="0"/>
          <w:szCs w:val="24"/>
        </w:rPr>
        <w:t>3.4.1.1</w:t>
      </w:r>
      <w:r>
        <w:rPr>
          <w:rFonts w:hint="eastAsia" w:ascii="仿宋" w:hAnsi="仿宋" w:eastAsia="仿宋" w:cs="仿宋"/>
          <w:kern w:val="0"/>
          <w:szCs w:val="24"/>
        </w:rPr>
        <w:t>响应文件</w:t>
      </w:r>
      <w:r>
        <w:rPr>
          <w:rFonts w:ascii="仿宋" w:hAnsi="仿宋" w:eastAsia="仿宋" w:cs="仿宋"/>
          <w:kern w:val="0"/>
          <w:szCs w:val="24"/>
        </w:rPr>
        <w:t>中开标一览表(报价表)内容与</w:t>
      </w:r>
      <w:r>
        <w:rPr>
          <w:rFonts w:hint="eastAsia" w:ascii="仿宋" w:hAnsi="仿宋" w:eastAsia="仿宋" w:cs="仿宋"/>
          <w:kern w:val="0"/>
          <w:szCs w:val="24"/>
        </w:rPr>
        <w:t>响应文件</w:t>
      </w:r>
      <w:r>
        <w:rPr>
          <w:rFonts w:ascii="仿宋" w:hAnsi="仿宋" w:eastAsia="仿宋" w:cs="仿宋"/>
          <w:kern w:val="0"/>
          <w:szCs w:val="24"/>
        </w:rPr>
        <w:t>中相应内容不一致的，以开标一览表(报价表)为准;</w:t>
      </w:r>
    </w:p>
    <w:p>
      <w:pPr>
        <w:pStyle w:val="130"/>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0"/>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0"/>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0"/>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响应文件出现不是唯一的、有选择性响应报价的，投标无效。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响应报价超过采购文件中规定的预算金额或者最高限价的，投标无效。</w:t>
      </w:r>
    </w:p>
    <w:p>
      <w:pPr>
        <w:pStyle w:val="130"/>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磋商小组认为供应商的报价明显低于其他通过符合性审查供应商的报价，有可能影响产品质量或者不能诚信履约的，应当要求其在合理的时间内提供书面说明，必要时提交相关证明材料</w:t>
      </w:r>
      <w:r>
        <w:rPr>
          <w:rFonts w:ascii="仿宋" w:hAnsi="仿宋" w:eastAsia="仿宋" w:cs="仿宋"/>
          <w:kern w:val="0"/>
          <w:szCs w:val="24"/>
        </w:rPr>
        <w:t>;</w:t>
      </w:r>
      <w:r>
        <w:rPr>
          <w:rFonts w:hint="eastAsia" w:ascii="仿宋" w:hAnsi="仿宋" w:eastAsia="仿宋" w:cs="仿宋"/>
          <w:kern w:val="0"/>
          <w:szCs w:val="24"/>
        </w:rPr>
        <w:t>供应商</w:t>
      </w:r>
      <w:r>
        <w:rPr>
          <w:rFonts w:ascii="仿宋" w:hAnsi="仿宋" w:eastAsia="仿宋" w:cs="仿宋"/>
          <w:kern w:val="0"/>
          <w:szCs w:val="24"/>
        </w:rPr>
        <w:t>不能证明其报价合理性的，</w:t>
      </w:r>
      <w:r>
        <w:rPr>
          <w:rFonts w:hint="eastAsia" w:ascii="仿宋" w:hAnsi="仿宋" w:eastAsia="仿宋" w:cs="仿宋"/>
          <w:kern w:val="0"/>
          <w:szCs w:val="24"/>
        </w:rPr>
        <w:t>磋商小组</w:t>
      </w:r>
      <w:r>
        <w:rPr>
          <w:rFonts w:ascii="仿宋" w:hAnsi="仿宋" w:eastAsia="仿宋" w:cs="仿宋"/>
          <w:kern w:val="0"/>
          <w:szCs w:val="24"/>
        </w:rPr>
        <w:t>应当将其作为无效投标处理。</w:t>
      </w:r>
    </w:p>
    <w:p>
      <w:pPr>
        <w:pStyle w:val="130"/>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hint="eastAsia" w:ascii="仿宋" w:hAnsi="仿宋" w:eastAsia="仿宋" w:cs="仿宋"/>
          <w:b/>
          <w:kern w:val="0"/>
          <w:sz w:val="24"/>
        </w:rPr>
        <w:t>3.5排序与推荐。</w:t>
      </w:r>
      <w:r>
        <w:rPr>
          <w:rFonts w:ascii="仿宋" w:hAnsi="仿宋" w:eastAsia="仿宋" w:cs="Arial"/>
          <w:kern w:val="0"/>
          <w:sz w:val="24"/>
        </w:rPr>
        <w:t>采用综合评分法的，</w:t>
      </w:r>
      <w:r>
        <w:rPr>
          <w:rFonts w:hint="eastAsia" w:ascii="仿宋" w:hAnsi="仿宋" w:eastAsia="仿宋" w:cs="Arial"/>
          <w:kern w:val="0"/>
          <w:sz w:val="24"/>
        </w:rPr>
        <w:t>成交</w:t>
      </w:r>
      <w:r>
        <w:rPr>
          <w:rFonts w:ascii="仿宋" w:hAnsi="仿宋" w:eastAsia="仿宋" w:cs="Arial"/>
          <w:kern w:val="0"/>
          <w:sz w:val="24"/>
        </w:rPr>
        <w:t>结果按评审后得分由高到低顺序排列。得分相同的，按</w:t>
      </w:r>
      <w:r>
        <w:rPr>
          <w:rFonts w:hint="eastAsia" w:ascii="仿宋" w:hAnsi="仿宋" w:eastAsia="仿宋" w:cs="Arial"/>
          <w:kern w:val="0"/>
          <w:sz w:val="24"/>
        </w:rPr>
        <w:t>最后</w:t>
      </w:r>
      <w:r>
        <w:rPr>
          <w:rFonts w:ascii="仿宋" w:hAnsi="仿宋" w:eastAsia="仿宋" w:cs="Arial"/>
          <w:kern w:val="0"/>
          <w:sz w:val="24"/>
        </w:rPr>
        <w:t>报价由低到高顺序排列。得分且</w:t>
      </w:r>
      <w:r>
        <w:rPr>
          <w:rFonts w:hint="eastAsia" w:ascii="仿宋" w:hAnsi="仿宋" w:eastAsia="仿宋" w:cs="Arial"/>
          <w:kern w:val="0"/>
          <w:sz w:val="24"/>
        </w:rPr>
        <w:t>最后</w:t>
      </w:r>
      <w:r>
        <w:rPr>
          <w:rFonts w:ascii="仿宋" w:hAnsi="仿宋" w:eastAsia="仿宋" w:cs="Arial"/>
          <w:kern w:val="0"/>
          <w:sz w:val="24"/>
        </w:rPr>
        <w:t>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p>
    <w:p>
      <w:pPr>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磋商小组根据全体磋商小组成员签字的原始评标记录和评标结果编写评标报告。磋商小组成员对需要共同认定的事项存在争议的，应当按照少数服从多数的原则作出结论。持不同意见的磋商小组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4.2.2响应文件未按照采购文件要求签署、盖章的；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4.2.4响应文件含有采购人不能接受的附加条件的；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4.2.5响应文件中承诺的投标有效期少于采购文件中载明的投标有效期的；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4.2.6响应文件出现不是唯一的、有选择性响应报价的;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4.2.7响应报价超过采购文件中规定的预算金额或者最高限价的;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4.2.12供应商仅提交备份响应文件，没有在电子交易平台传输递交响应文件的，投标无效；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响应文件不满足采购文件的其它实质性要求的；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ascii="仿宋" w:hAnsi="仿宋" w:eastAsia="仿宋" w:cs="仿宋"/>
        </w:rPr>
      </w:pPr>
      <w:r>
        <w:rPr>
          <w:rFonts w:hint="eastAsia" w:ascii="仿宋" w:hAnsi="仿宋" w:eastAsia="仿宋" w:cs="仿宋"/>
        </w:rPr>
        <w:t>5.1符合专业条件的供应商或者对采购文件作实质响应的供应商不足3家的；</w:t>
      </w:r>
    </w:p>
    <w:p>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6.修改采购文件，重新组织采购活动。</w:t>
      </w:r>
      <w:r>
        <w:rPr>
          <w:rFonts w:hint="eastAsia" w:ascii="仿宋" w:hAnsi="仿宋" w:eastAsia="仿宋" w:cs="仿宋"/>
        </w:rPr>
        <w:t>磋商小组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r>
        <w:rPr>
          <w:rFonts w:hint="eastAsia" w:ascii="仿宋" w:hAnsi="仿宋" w:eastAsia="仿宋" w:cs="仿宋"/>
          <w:lang w:eastAsia="zh-CN"/>
        </w:rPr>
        <w:t>。</w:t>
      </w:r>
      <w:bookmarkEnd w:id="26"/>
      <w:bookmarkStart w:id="392" w:name="第五部分"/>
      <w:bookmarkStart w:id="393" w:name="_Toc86217003"/>
      <w:r>
        <w:rPr>
          <w:rFonts w:hint="eastAsia" w:ascii="仿宋" w:hAnsi="仿宋" w:eastAsia="仿宋" w:cs="仿宋"/>
          <w:b/>
          <w:sz w:val="36"/>
          <w:szCs w:val="36"/>
        </w:rPr>
        <w:br w:type="page"/>
      </w:r>
    </w:p>
    <w:p>
      <w:pPr>
        <w:pageBreakBefore w:val="0"/>
        <w:shd w:val="clear"/>
        <w:snapToGrid/>
        <w:spacing w:line="360" w:lineRule="auto"/>
        <w:ind w:left="720" w:leftChars="343" w:firstLine="1084" w:firstLineChars="300"/>
        <w:jc w:val="left"/>
        <w:outlineLvl w:val="0"/>
        <w:rPr>
          <w:rFonts w:hint="eastAsia" w:ascii="仿宋" w:hAnsi="仿宋" w:eastAsia="仿宋" w:cs="仿宋"/>
          <w:b/>
          <w:bCs/>
          <w:color w:val="000000"/>
          <w:sz w:val="24"/>
          <w:szCs w:val="24"/>
        </w:rPr>
      </w:pPr>
      <w:r>
        <w:rPr>
          <w:rFonts w:hint="eastAsia" w:ascii="仿宋" w:hAnsi="仿宋" w:eastAsia="仿宋" w:cs="仿宋"/>
          <w:b/>
          <w:sz w:val="36"/>
          <w:szCs w:val="36"/>
        </w:rPr>
        <w:t>第五部分</w:t>
      </w:r>
      <w:r>
        <w:rPr>
          <w:rFonts w:hint="eastAsia" w:ascii="仿宋" w:hAnsi="仿宋" w:eastAsia="仿宋" w:cs="仿宋"/>
          <w:b/>
          <w:bCs/>
          <w:color w:val="000000"/>
          <w:sz w:val="32"/>
          <w:szCs w:val="32"/>
        </w:rPr>
        <w:t xml:space="preserve"> 合同主要条款</w:t>
      </w:r>
      <w:r>
        <w:rPr>
          <w:rFonts w:hint="eastAsia" w:ascii="仿宋" w:hAnsi="仿宋" w:eastAsia="仿宋" w:cs="仿宋"/>
          <w:b/>
          <w:bCs/>
          <w:color w:val="000000"/>
          <w:sz w:val="24"/>
          <w:szCs w:val="24"/>
          <w:lang w:eastAsia="zh-CN"/>
        </w:rPr>
        <w:t>（</w:t>
      </w:r>
      <w:r>
        <w:rPr>
          <w:rFonts w:hint="eastAsia" w:ascii="仿宋" w:hAnsi="仿宋" w:eastAsia="仿宋" w:cs="仿宋"/>
          <w:b/>
          <w:color w:val="000000"/>
          <w:sz w:val="24"/>
          <w:szCs w:val="24"/>
          <w:lang w:eastAsia="zh-CN"/>
        </w:rPr>
        <w:t>适用于</w:t>
      </w:r>
      <w:r>
        <w:rPr>
          <w:rFonts w:hint="eastAsia" w:ascii="仿宋" w:hAnsi="仿宋" w:eastAsia="仿宋" w:cs="仿宋"/>
          <w:b/>
          <w:color w:val="000000"/>
          <w:sz w:val="24"/>
          <w:szCs w:val="24"/>
          <w:lang w:val="en-US" w:eastAsia="zh-CN"/>
        </w:rPr>
        <w:t>各标项</w:t>
      </w:r>
      <w:r>
        <w:rPr>
          <w:rFonts w:hint="eastAsia" w:ascii="仿宋" w:hAnsi="仿宋" w:eastAsia="仿宋" w:cs="仿宋"/>
          <w:b/>
          <w:color w:val="000000"/>
          <w:sz w:val="24"/>
          <w:szCs w:val="24"/>
          <w:lang w:eastAsia="zh-CN"/>
        </w:rPr>
        <w:t>）</w:t>
      </w:r>
    </w:p>
    <w:p>
      <w:pPr>
        <w:snapToGrid w:val="0"/>
        <w:spacing w:line="360" w:lineRule="auto"/>
        <w:ind w:firstLine="1108" w:firstLineChars="345"/>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（以最终合同为准）</w:t>
      </w:r>
    </w:p>
    <w:p>
      <w:pPr>
        <w:spacing w:before="0"/>
        <w:ind w:left="1149" w:right="1188" w:firstLine="0"/>
        <w:jc w:val="center"/>
        <w:rPr>
          <w:rFonts w:hint="eastAsia" w:ascii="仿宋" w:hAnsi="仿宋" w:eastAsia="仿宋" w:cs="仿宋"/>
          <w:b/>
          <w:sz w:val="32"/>
          <w:szCs w:val="32"/>
        </w:rPr>
      </w:pPr>
      <w:r>
        <w:rPr>
          <w:rFonts w:hint="eastAsia" w:ascii="仿宋" w:hAnsi="仿宋" w:eastAsia="仿宋" w:cs="仿宋"/>
          <w:b/>
          <w:sz w:val="32"/>
          <w:szCs w:val="32"/>
        </w:rPr>
        <w:t>建设工程监理合同</w:t>
      </w:r>
    </w:p>
    <w:p>
      <w:pPr>
        <w:spacing w:before="270"/>
        <w:ind w:left="1151" w:right="1188" w:firstLine="0"/>
        <w:jc w:val="center"/>
        <w:rPr>
          <w:rFonts w:hint="eastAsia" w:ascii="仿宋" w:hAnsi="仿宋" w:eastAsia="仿宋" w:cs="仿宋"/>
          <w:b/>
          <w:sz w:val="32"/>
          <w:szCs w:val="32"/>
        </w:rPr>
      </w:pPr>
      <w:r>
        <w:rPr>
          <w:rFonts w:hint="eastAsia" w:ascii="仿宋" w:hAnsi="仿宋" w:eastAsia="仿宋" w:cs="仿宋"/>
          <w:b/>
          <w:sz w:val="32"/>
          <w:szCs w:val="32"/>
        </w:rPr>
        <w:t>（示范文本）</w:t>
      </w: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pStyle w:val="24"/>
        <w:rPr>
          <w:rFonts w:hint="eastAsia" w:ascii="仿宋" w:hAnsi="仿宋" w:eastAsia="仿宋" w:cs="仿宋"/>
          <w:b/>
          <w:sz w:val="32"/>
          <w:szCs w:val="32"/>
        </w:rPr>
      </w:pPr>
    </w:p>
    <w:p>
      <w:pPr>
        <w:spacing w:before="222"/>
        <w:ind w:left="1159" w:right="880" w:firstLine="0"/>
        <w:jc w:val="center"/>
        <w:rPr>
          <w:rFonts w:hint="eastAsia" w:ascii="仿宋" w:hAnsi="仿宋" w:eastAsia="仿宋" w:cs="仿宋"/>
          <w:b/>
          <w:sz w:val="32"/>
          <w:szCs w:val="32"/>
        </w:rPr>
      </w:pPr>
      <w:r>
        <w:rPr>
          <w:rFonts w:hint="eastAsia" w:ascii="仿宋" w:hAnsi="仿宋" w:eastAsia="仿宋" w:cs="仿宋"/>
          <w:b/>
          <w:sz w:val="32"/>
          <w:szCs w:val="32"/>
        </w:rPr>
        <w:t>住房和城乡建设部</w:t>
      </w:r>
    </w:p>
    <w:p>
      <w:pPr>
        <w:spacing w:before="214"/>
        <w:ind w:left="0" w:right="1783" w:firstLine="0"/>
        <w:jc w:val="right"/>
        <w:rPr>
          <w:rFonts w:hint="eastAsia" w:ascii="仿宋" w:hAnsi="仿宋" w:eastAsia="仿宋" w:cs="仿宋"/>
          <w:b/>
          <w:sz w:val="32"/>
          <w:szCs w:val="32"/>
        </w:rPr>
      </w:pPr>
      <w:r>
        <w:rPr>
          <w:rFonts w:hint="eastAsia" w:ascii="仿宋" w:hAnsi="仿宋" w:eastAsia="仿宋" w:cs="仿宋"/>
          <w:b/>
          <w:w w:val="95"/>
          <w:sz w:val="32"/>
          <w:szCs w:val="32"/>
        </w:rPr>
        <w:t>制定</w:t>
      </w:r>
    </w:p>
    <w:p>
      <w:pPr>
        <w:spacing w:before="214"/>
        <w:ind w:left="1159" w:right="717" w:firstLine="0"/>
        <w:jc w:val="center"/>
        <w:rPr>
          <w:rFonts w:hint="eastAsia" w:ascii="仿宋" w:hAnsi="仿宋" w:eastAsia="仿宋" w:cs="仿宋"/>
          <w:b/>
          <w:sz w:val="32"/>
          <w:szCs w:val="32"/>
        </w:rPr>
      </w:pPr>
      <w:r>
        <w:rPr>
          <w:rFonts w:hint="eastAsia" w:ascii="仿宋" w:hAnsi="仿宋" w:eastAsia="仿宋" w:cs="仿宋"/>
          <w:b/>
          <w:sz w:val="32"/>
          <w:szCs w:val="32"/>
        </w:rPr>
        <w:t>国家工商行政管理总局</w:t>
      </w:r>
    </w:p>
    <w:p>
      <w:pPr>
        <w:spacing w:after="0"/>
        <w:jc w:val="center"/>
        <w:rPr>
          <w:rFonts w:hint="eastAsia" w:ascii="仿宋" w:hAnsi="仿宋" w:eastAsia="仿宋" w:cs="仿宋"/>
          <w:sz w:val="32"/>
          <w:szCs w:val="32"/>
        </w:rPr>
        <w:sectPr>
          <w:footerReference r:id="rId8" w:type="default"/>
          <w:pgSz w:w="11910" w:h="16840"/>
          <w:pgMar w:top="1440" w:right="1080" w:bottom="1440" w:left="1080" w:header="1191" w:footer="1007" w:gutter="0"/>
          <w:cols w:space="720" w:num="1"/>
        </w:sectPr>
      </w:pPr>
    </w:p>
    <w:p>
      <w:pPr>
        <w:tabs>
          <w:tab w:val="left" w:pos="3120"/>
        </w:tabs>
        <w:spacing w:line="360" w:lineRule="auto"/>
        <w:jc w:val="center"/>
        <w:rPr>
          <w:rFonts w:hint="eastAsia" w:ascii="仿宋" w:hAnsi="仿宋" w:eastAsia="仿宋" w:cs="仿宋"/>
          <w:b/>
          <w:sz w:val="24"/>
          <w:szCs w:val="24"/>
          <w:lang w:eastAsia="zh-CN"/>
        </w:rPr>
      </w:pPr>
    </w:p>
    <w:p>
      <w:pPr>
        <w:tabs>
          <w:tab w:val="left" w:pos="3120"/>
        </w:tabs>
        <w:spacing w:line="360" w:lineRule="auto"/>
        <w:jc w:val="center"/>
        <w:rPr>
          <w:rFonts w:hint="eastAsia" w:ascii="仿宋" w:hAnsi="仿宋" w:eastAsia="仿宋" w:cs="仿宋"/>
          <w:b/>
          <w:bCs/>
          <w:sz w:val="24"/>
          <w:szCs w:val="24"/>
        </w:rPr>
      </w:pPr>
      <w:r>
        <w:rPr>
          <w:rFonts w:hint="eastAsia" w:ascii="仿宋" w:hAnsi="仿宋" w:eastAsia="仿宋" w:cs="仿宋"/>
          <w:b/>
          <w:sz w:val="24"/>
          <w:szCs w:val="24"/>
          <w:lang w:eastAsia="zh-CN"/>
        </w:rPr>
        <w:t>第一部分</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协议书</w:t>
      </w:r>
    </w:p>
    <w:p>
      <w:pPr>
        <w:snapToGrid w:val="0"/>
        <w:spacing w:line="360" w:lineRule="auto"/>
        <w:ind w:firstLine="602" w:firstLineChars="250"/>
        <w:rPr>
          <w:rFonts w:hint="eastAsia" w:ascii="仿宋" w:hAnsi="仿宋" w:eastAsia="仿宋" w:cs="仿宋"/>
          <w:b/>
          <w:sz w:val="24"/>
          <w:szCs w:val="24"/>
        </w:rPr>
      </w:pPr>
    </w:p>
    <w:p>
      <w:pPr>
        <w:snapToGrid w:val="0"/>
        <w:spacing w:line="3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委托单位（全称）：</w:t>
      </w:r>
      <w:r>
        <w:rPr>
          <w:rFonts w:hint="eastAsia" w:ascii="仿宋" w:hAnsi="仿宋" w:eastAsia="仿宋" w:cs="仿宋"/>
          <w:b/>
          <w:sz w:val="24"/>
          <w:szCs w:val="24"/>
          <w:u w:val="none"/>
        </w:rPr>
        <w:t xml:space="preserve">                 </w:t>
      </w:r>
      <w:r>
        <w:rPr>
          <w:rFonts w:hint="eastAsia" w:ascii="仿宋" w:hAnsi="仿宋" w:eastAsia="仿宋" w:cs="仿宋"/>
          <w:b/>
          <w:sz w:val="24"/>
          <w:szCs w:val="24"/>
        </w:rPr>
        <w:t xml:space="preserve">  </w:t>
      </w:r>
    </w:p>
    <w:p>
      <w:pPr>
        <w:snapToGrid w:val="0"/>
        <w:spacing w:line="3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监理单位（全称）：</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u w:val="single"/>
        </w:rPr>
        <w:t xml:space="preserve">  </w:t>
      </w:r>
    </w:p>
    <w:p>
      <w:pPr>
        <w:snapToGrid w:val="0"/>
        <w:spacing w:line="380" w:lineRule="exact"/>
        <w:ind w:firstLine="480" w:firstLineChars="200"/>
        <w:rPr>
          <w:rFonts w:hint="eastAsia" w:ascii="仿宋" w:hAnsi="仿宋" w:eastAsia="仿宋" w:cs="仿宋"/>
          <w:sz w:val="24"/>
          <w:szCs w:val="24"/>
        </w:rPr>
      </w:pPr>
    </w:p>
    <w:p>
      <w:pPr>
        <w:snapToGrid w:val="0"/>
        <w:spacing w:line="3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根据《中华人民共和国合同法》、《中华人民共和国建筑法》及其他有关法律、法规，遵循平等、自愿、公平和诚信的原则，双方就下述工程委托监理与相关服务事项协商一致，订立本合同。</w:t>
      </w:r>
    </w:p>
    <w:p>
      <w:pPr>
        <w:spacing w:line="380" w:lineRule="exact"/>
        <w:ind w:firstLine="477" w:firstLineChars="198"/>
        <w:outlineLvl w:val="0"/>
        <w:rPr>
          <w:rFonts w:hint="eastAsia" w:ascii="仿宋" w:hAnsi="仿宋" w:eastAsia="仿宋" w:cs="仿宋"/>
          <w:b/>
          <w:sz w:val="24"/>
          <w:szCs w:val="24"/>
        </w:rPr>
      </w:pPr>
      <w:bookmarkStart w:id="394" w:name="_Toc338705881"/>
      <w:bookmarkStart w:id="395" w:name="_Toc337659712"/>
      <w:bookmarkStart w:id="396" w:name="_Toc337456988"/>
      <w:bookmarkStart w:id="397" w:name="_Toc337454925"/>
      <w:bookmarkStart w:id="398" w:name="_Toc337474349"/>
      <w:bookmarkStart w:id="399" w:name="_Toc337474430"/>
      <w:bookmarkStart w:id="400" w:name="_Toc1794"/>
      <w:bookmarkStart w:id="401" w:name="_Toc336617604"/>
      <w:bookmarkStart w:id="402" w:name="_Toc337478704"/>
      <w:bookmarkStart w:id="403" w:name="_Toc337659636"/>
      <w:bookmarkStart w:id="404" w:name="_Toc337463004"/>
      <w:bookmarkStart w:id="405" w:name="_Toc337986834"/>
      <w:r>
        <w:rPr>
          <w:rFonts w:hint="eastAsia" w:ascii="仿宋" w:hAnsi="仿宋" w:eastAsia="仿宋" w:cs="仿宋"/>
          <w:b/>
          <w:sz w:val="24"/>
          <w:szCs w:val="24"/>
        </w:rPr>
        <w:t>一、工程概况</w:t>
      </w:r>
      <w:bookmarkEnd w:id="394"/>
      <w:bookmarkEnd w:id="395"/>
      <w:bookmarkEnd w:id="396"/>
      <w:bookmarkEnd w:id="397"/>
      <w:bookmarkEnd w:id="398"/>
      <w:bookmarkEnd w:id="399"/>
      <w:bookmarkEnd w:id="400"/>
      <w:bookmarkEnd w:id="401"/>
      <w:bookmarkEnd w:id="402"/>
      <w:bookmarkEnd w:id="403"/>
      <w:bookmarkEnd w:id="404"/>
      <w:bookmarkEnd w:id="405"/>
    </w:p>
    <w:p>
      <w:pPr>
        <w:keepNext w:val="0"/>
        <w:keepLines w:val="0"/>
        <w:pageBreakBefore w:val="0"/>
        <w:widowControl w:val="0"/>
        <w:kinsoku/>
        <w:wordWrap/>
        <w:overflowPunct/>
        <w:topLinePunct w:val="0"/>
        <w:autoSpaceDE/>
        <w:autoSpaceDN/>
        <w:bidi w:val="0"/>
        <w:adjustRightInd/>
        <w:snapToGrid w:val="0"/>
        <w:spacing w:line="360" w:lineRule="exact"/>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1. 工程名称：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75" w:firstLineChars="198"/>
        <w:textAlignment w:val="auto"/>
        <w:rPr>
          <w:rFonts w:hint="eastAsia" w:ascii="仿宋" w:hAnsi="仿宋" w:eastAsia="仿宋" w:cs="仿宋"/>
          <w:sz w:val="24"/>
          <w:szCs w:val="24"/>
        </w:rPr>
      </w:pPr>
      <w:r>
        <w:rPr>
          <w:rFonts w:hint="eastAsia" w:ascii="仿宋" w:hAnsi="仿宋" w:eastAsia="仿宋" w:cs="仿宋"/>
          <w:sz w:val="24"/>
          <w:szCs w:val="24"/>
        </w:rPr>
        <w:t>2. 工程地点：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           </w:t>
      </w:r>
      <w:r>
        <w:rPr>
          <w:rFonts w:hint="eastAsia" w:ascii="仿宋" w:hAnsi="仿宋" w:eastAsia="仿宋" w:cs="仿宋"/>
          <w:i w:val="0"/>
          <w:iCs w:val="0"/>
          <w:sz w:val="24"/>
          <w:szCs w:val="24"/>
          <w:u w:val="none"/>
        </w:rPr>
        <w:t xml:space="preserve">     </w:t>
      </w:r>
    </w:p>
    <w:p>
      <w:pPr>
        <w:pStyle w:val="24"/>
        <w:keepNext w:val="0"/>
        <w:keepLines w:val="0"/>
        <w:pageBreakBefore w:val="0"/>
        <w:widowControl w:val="0"/>
        <w:kinsoku/>
        <w:wordWrap/>
        <w:overflowPunct/>
        <w:topLinePunct w:val="0"/>
        <w:autoSpaceDE w:val="0"/>
        <w:autoSpaceDN w:val="0"/>
        <w:bidi w:val="0"/>
        <w:adjustRightInd/>
        <w:snapToGrid/>
        <w:spacing w:before="132" w:line="360" w:lineRule="exact"/>
        <w:ind w:right="90" w:rightChars="43" w:firstLine="480" w:firstLineChars="200"/>
        <w:textAlignment w:val="auto"/>
        <w:rPr>
          <w:rFonts w:hint="eastAsia" w:ascii="仿宋" w:hAnsi="仿宋" w:eastAsia="仿宋" w:cs="仿宋"/>
          <w:szCs w:val="24"/>
          <w:u w:val="single"/>
          <w:lang w:val="en-US" w:eastAsia="zh-CN"/>
        </w:rPr>
      </w:pPr>
      <w:r>
        <w:rPr>
          <w:rFonts w:hint="eastAsia" w:ascii="仿宋" w:hAnsi="仿宋" w:eastAsia="仿宋" w:cs="仿宋"/>
          <w:kern w:val="2"/>
          <w:sz w:val="24"/>
          <w:szCs w:val="24"/>
          <w:lang w:val="en-US" w:eastAsia="zh-CN" w:bidi="ar-SA"/>
        </w:rPr>
        <w:t>3. 工程规模：</w:t>
      </w:r>
    </w:p>
    <w:p>
      <w:pPr>
        <w:keepNext w:val="0"/>
        <w:keepLines w:val="0"/>
        <w:pageBreakBefore w:val="0"/>
        <w:widowControl w:val="0"/>
        <w:kinsoku/>
        <w:wordWrap/>
        <w:overflowPunct/>
        <w:topLinePunct w:val="0"/>
        <w:bidi w:val="0"/>
        <w:adjustRightInd/>
        <w:snapToGrid w:val="0"/>
        <w:spacing w:line="360" w:lineRule="exact"/>
        <w:ind w:firstLine="475" w:firstLineChars="198"/>
        <w:textAlignment w:val="auto"/>
        <w:rPr>
          <w:rFonts w:hint="eastAsia" w:ascii="仿宋" w:hAnsi="仿宋" w:eastAsia="仿宋" w:cs="仿宋"/>
          <w:sz w:val="24"/>
          <w:szCs w:val="24"/>
          <w:u w:val="single"/>
        </w:rPr>
      </w:pPr>
      <w:r>
        <w:rPr>
          <w:rFonts w:hint="eastAsia" w:ascii="仿宋" w:hAnsi="仿宋" w:eastAsia="仿宋" w:cs="仿宋"/>
          <w:sz w:val="24"/>
          <w:szCs w:val="24"/>
        </w:rPr>
        <w:t>4. 工程概算投资额：</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                               </w:t>
      </w:r>
    </w:p>
    <w:p>
      <w:pPr>
        <w:snapToGrid w:val="0"/>
        <w:spacing w:line="380" w:lineRule="exact"/>
        <w:ind w:firstLine="475" w:firstLineChars="198"/>
        <w:rPr>
          <w:rFonts w:hint="eastAsia" w:ascii="仿宋" w:hAnsi="仿宋" w:eastAsia="仿宋" w:cs="仿宋"/>
          <w:sz w:val="24"/>
          <w:szCs w:val="24"/>
          <w:u w:val="single"/>
        </w:rPr>
      </w:pPr>
      <w:r>
        <w:rPr>
          <w:rFonts w:hint="eastAsia" w:ascii="仿宋" w:hAnsi="仿宋" w:eastAsia="仿宋" w:cs="仿宋"/>
          <w:sz w:val="24"/>
          <w:szCs w:val="24"/>
        </w:rPr>
        <w:t>5. 本次监理范围：</w:t>
      </w:r>
      <w:r>
        <w:rPr>
          <w:rFonts w:hint="eastAsia" w:ascii="仿宋" w:hAnsi="仿宋" w:eastAsia="仿宋" w:cs="仿宋"/>
          <w:sz w:val="24"/>
          <w:szCs w:val="24"/>
          <w:u w:val="single"/>
        </w:rPr>
        <w:t xml:space="preserve">   </w:t>
      </w:r>
      <w:r>
        <w:rPr>
          <w:rFonts w:hint="eastAsia" w:ascii="仿宋" w:hAnsi="仿宋" w:eastAsia="仿宋" w:cs="仿宋"/>
          <w:bCs/>
          <w:spacing w:val="-3"/>
          <w:sz w:val="24"/>
          <w:szCs w:val="24"/>
          <w:u w:val="single"/>
        </w:rPr>
        <w:t>本工程施工图纸范围内的所有施工监理</w:t>
      </w:r>
      <w:r>
        <w:rPr>
          <w:rFonts w:hint="eastAsia" w:ascii="仿宋" w:hAnsi="仿宋" w:eastAsia="仿宋" w:cs="仿宋"/>
          <w:spacing w:val="-4"/>
          <w:sz w:val="24"/>
          <w:szCs w:val="24"/>
          <w:u w:val="single"/>
        </w:rPr>
        <w:t>，包括施工前期、施工阶段和</w:t>
      </w:r>
      <w:r>
        <w:rPr>
          <w:rFonts w:hint="eastAsia" w:ascii="仿宋" w:hAnsi="仿宋" w:eastAsia="仿宋" w:cs="仿宋"/>
          <w:bCs/>
          <w:sz w:val="24"/>
          <w:szCs w:val="24"/>
          <w:u w:val="single"/>
        </w:rPr>
        <w:t>质量保修期内</w:t>
      </w:r>
      <w:r>
        <w:rPr>
          <w:rFonts w:hint="eastAsia" w:ascii="仿宋" w:hAnsi="仿宋" w:eastAsia="仿宋" w:cs="仿宋"/>
          <w:spacing w:val="-4"/>
          <w:sz w:val="24"/>
          <w:szCs w:val="24"/>
          <w:u w:val="single"/>
        </w:rPr>
        <w:t>的监理服务。</w:t>
      </w:r>
      <w:r>
        <w:rPr>
          <w:rFonts w:hint="eastAsia" w:ascii="仿宋" w:hAnsi="仿宋" w:eastAsia="仿宋" w:cs="仿宋"/>
          <w:sz w:val="24"/>
          <w:szCs w:val="24"/>
          <w:u w:val="none"/>
        </w:rPr>
        <w:t xml:space="preserve">                                          </w:t>
      </w:r>
    </w:p>
    <w:p>
      <w:pPr>
        <w:snapToGrid w:val="0"/>
        <w:spacing w:line="380" w:lineRule="exact"/>
        <w:ind w:firstLine="475" w:firstLineChars="198"/>
        <w:rPr>
          <w:rFonts w:hint="eastAsia" w:ascii="仿宋" w:hAnsi="仿宋" w:eastAsia="仿宋" w:cs="仿宋"/>
          <w:sz w:val="24"/>
          <w:szCs w:val="24"/>
          <w:u w:val="none"/>
        </w:rPr>
      </w:pPr>
      <w:r>
        <w:rPr>
          <w:rFonts w:hint="eastAsia" w:ascii="仿宋" w:hAnsi="仿宋" w:eastAsia="仿宋" w:cs="仿宋"/>
          <w:sz w:val="24"/>
          <w:szCs w:val="24"/>
        </w:rPr>
        <w:t>5.本次监理范围内施工预算价或合同价：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                                </w:t>
      </w:r>
    </w:p>
    <w:p>
      <w:pPr>
        <w:spacing w:line="380" w:lineRule="exact"/>
        <w:ind w:firstLine="477" w:firstLineChars="198"/>
        <w:rPr>
          <w:rFonts w:hint="eastAsia" w:ascii="仿宋" w:hAnsi="仿宋" w:eastAsia="仿宋" w:cs="仿宋"/>
          <w:b/>
          <w:sz w:val="24"/>
          <w:szCs w:val="24"/>
          <w:u w:val="none"/>
        </w:rPr>
      </w:pPr>
      <w:r>
        <w:rPr>
          <w:rFonts w:hint="eastAsia" w:ascii="仿宋" w:hAnsi="仿宋" w:eastAsia="仿宋" w:cs="仿宋"/>
          <w:b/>
          <w:sz w:val="24"/>
          <w:szCs w:val="24"/>
          <w:u w:val="none"/>
        </w:rPr>
        <w:t>二、词语限定</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协议书中相关词语的含义与通用条件中的定义与解释相同。</w:t>
      </w:r>
    </w:p>
    <w:p>
      <w:pPr>
        <w:spacing w:line="380" w:lineRule="exact"/>
        <w:ind w:firstLine="477" w:firstLineChars="198"/>
        <w:outlineLvl w:val="0"/>
        <w:rPr>
          <w:rFonts w:hint="eastAsia" w:ascii="仿宋" w:hAnsi="仿宋" w:eastAsia="仿宋" w:cs="仿宋"/>
          <w:b/>
          <w:sz w:val="24"/>
          <w:szCs w:val="24"/>
        </w:rPr>
      </w:pPr>
      <w:bookmarkStart w:id="406" w:name="_Toc336617605"/>
      <w:bookmarkStart w:id="407" w:name="_Toc337463005"/>
      <w:bookmarkStart w:id="408" w:name="_Toc337474431"/>
      <w:bookmarkStart w:id="409" w:name="_Toc337478705"/>
      <w:bookmarkStart w:id="410" w:name="_Toc338705882"/>
      <w:bookmarkStart w:id="411" w:name="_Toc337659637"/>
      <w:bookmarkStart w:id="412" w:name="_Toc337659713"/>
      <w:bookmarkStart w:id="413" w:name="_Toc337986835"/>
      <w:bookmarkStart w:id="414" w:name="_Toc337456989"/>
      <w:bookmarkStart w:id="415" w:name="_Toc337454926"/>
      <w:bookmarkStart w:id="416" w:name="_Toc32158"/>
      <w:bookmarkStart w:id="417" w:name="_Toc337474350"/>
      <w:r>
        <w:rPr>
          <w:rFonts w:hint="eastAsia" w:ascii="仿宋" w:hAnsi="仿宋" w:eastAsia="仿宋" w:cs="仿宋"/>
          <w:b/>
          <w:sz w:val="24"/>
          <w:szCs w:val="24"/>
        </w:rPr>
        <w:t>三、组成本合同的文件</w:t>
      </w:r>
      <w:bookmarkEnd w:id="406"/>
      <w:bookmarkEnd w:id="407"/>
      <w:bookmarkEnd w:id="408"/>
      <w:bookmarkEnd w:id="409"/>
      <w:bookmarkEnd w:id="410"/>
      <w:bookmarkEnd w:id="411"/>
      <w:bookmarkEnd w:id="412"/>
      <w:bookmarkEnd w:id="413"/>
      <w:bookmarkEnd w:id="414"/>
      <w:bookmarkEnd w:id="415"/>
      <w:bookmarkEnd w:id="416"/>
      <w:bookmarkEnd w:id="417"/>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1. 协议书；</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2. 中标通知书；</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3. 投标文件；</w:t>
      </w:r>
    </w:p>
    <w:p>
      <w:pPr>
        <w:snapToGrid w:val="0"/>
        <w:spacing w:line="38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 专用条件；</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5. 通用条件；</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6. 附录，即：</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附录A  相关服务的范围和内容</w:t>
      </w:r>
    </w:p>
    <w:p>
      <w:pPr>
        <w:snapToGrid w:val="0"/>
        <w:spacing w:line="3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附录B  委托人派遣的人员和提供的</w:t>
      </w:r>
      <w:r>
        <w:rPr>
          <w:rFonts w:hint="eastAsia" w:ascii="仿宋" w:hAnsi="仿宋" w:eastAsia="仿宋" w:cs="仿宋"/>
          <w:bCs/>
          <w:sz w:val="24"/>
          <w:szCs w:val="24"/>
        </w:rPr>
        <w:t>房屋、资料</w:t>
      </w:r>
      <w:r>
        <w:rPr>
          <w:rFonts w:hint="eastAsia" w:ascii="仿宋" w:hAnsi="仿宋" w:eastAsia="仿宋" w:cs="仿宋"/>
          <w:sz w:val="24"/>
          <w:szCs w:val="24"/>
        </w:rPr>
        <w:t>、设备</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本合同签订后，双方依法签订的补充协议也是本合同文件的组成部分。</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7. 招标文件。</w:t>
      </w:r>
    </w:p>
    <w:p>
      <w:pPr>
        <w:spacing w:line="380" w:lineRule="exact"/>
        <w:ind w:firstLine="477" w:firstLineChars="198"/>
        <w:outlineLvl w:val="0"/>
        <w:rPr>
          <w:rFonts w:hint="eastAsia" w:ascii="仿宋" w:hAnsi="仿宋" w:eastAsia="仿宋" w:cs="仿宋"/>
          <w:b/>
          <w:sz w:val="24"/>
          <w:szCs w:val="24"/>
        </w:rPr>
      </w:pPr>
      <w:bookmarkStart w:id="418" w:name="_Toc337454927"/>
      <w:bookmarkStart w:id="419" w:name="_Toc338705883"/>
      <w:bookmarkStart w:id="420" w:name="_Toc337474432"/>
      <w:bookmarkStart w:id="421" w:name="_Toc337659714"/>
      <w:bookmarkStart w:id="422" w:name="_Toc337463006"/>
      <w:bookmarkStart w:id="423" w:name="_Toc28223"/>
      <w:bookmarkStart w:id="424" w:name="_Toc337659638"/>
      <w:bookmarkStart w:id="425" w:name="_Toc337456990"/>
      <w:bookmarkStart w:id="426" w:name="_Toc337474351"/>
      <w:bookmarkStart w:id="427" w:name="_Toc337986836"/>
      <w:bookmarkStart w:id="428" w:name="_Toc337478706"/>
      <w:bookmarkStart w:id="429" w:name="_Toc336617606"/>
      <w:r>
        <w:rPr>
          <w:rFonts w:hint="eastAsia" w:ascii="仿宋" w:hAnsi="仿宋" w:eastAsia="仿宋" w:cs="仿宋"/>
          <w:b/>
          <w:sz w:val="24"/>
          <w:szCs w:val="24"/>
        </w:rPr>
        <w:t>四、总监理工程师</w:t>
      </w:r>
      <w:bookmarkEnd w:id="418"/>
      <w:bookmarkEnd w:id="419"/>
      <w:bookmarkEnd w:id="420"/>
      <w:bookmarkEnd w:id="421"/>
      <w:bookmarkEnd w:id="422"/>
      <w:bookmarkEnd w:id="423"/>
      <w:bookmarkEnd w:id="424"/>
      <w:bookmarkEnd w:id="425"/>
      <w:bookmarkEnd w:id="426"/>
      <w:bookmarkEnd w:id="427"/>
      <w:bookmarkEnd w:id="428"/>
      <w:bookmarkEnd w:id="429"/>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总监理工程师姓名：</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，注册号：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numPr>
          <w:ilvl w:val="0"/>
          <w:numId w:val="3"/>
        </w:numPr>
        <w:spacing w:line="380" w:lineRule="exact"/>
        <w:ind w:firstLine="477" w:firstLineChars="198"/>
        <w:outlineLvl w:val="0"/>
        <w:rPr>
          <w:rFonts w:hint="eastAsia" w:ascii="仿宋" w:hAnsi="仿宋" w:eastAsia="仿宋" w:cs="仿宋"/>
          <w:b/>
          <w:sz w:val="24"/>
          <w:szCs w:val="24"/>
        </w:rPr>
      </w:pPr>
      <w:bookmarkStart w:id="430" w:name="_Toc337478707"/>
      <w:bookmarkStart w:id="431" w:name="_Toc337659639"/>
      <w:bookmarkStart w:id="432" w:name="_Toc337474352"/>
      <w:bookmarkStart w:id="433" w:name="_Toc337456991"/>
      <w:bookmarkStart w:id="434" w:name="_Toc338705884"/>
      <w:bookmarkStart w:id="435" w:name="_Toc337474433"/>
      <w:bookmarkStart w:id="436" w:name="_Toc337986837"/>
      <w:bookmarkStart w:id="437" w:name="_Toc337463007"/>
      <w:bookmarkStart w:id="438" w:name="_Toc2351"/>
      <w:bookmarkStart w:id="439" w:name="_Toc337454928"/>
      <w:bookmarkStart w:id="440" w:name="_Toc336617607"/>
      <w:bookmarkStart w:id="441" w:name="_Toc337659715"/>
      <w:r>
        <w:rPr>
          <w:rFonts w:hint="eastAsia" w:ascii="仿宋" w:hAnsi="仿宋" w:eastAsia="仿宋" w:cs="仿宋"/>
          <w:b/>
          <w:sz w:val="24"/>
          <w:szCs w:val="24"/>
        </w:rPr>
        <w:t>签约酬金</w:t>
      </w:r>
      <w:bookmarkEnd w:id="430"/>
      <w:bookmarkEnd w:id="431"/>
      <w:bookmarkEnd w:id="432"/>
      <w:bookmarkEnd w:id="433"/>
      <w:bookmarkEnd w:id="434"/>
      <w:bookmarkEnd w:id="435"/>
      <w:bookmarkEnd w:id="436"/>
      <w:bookmarkEnd w:id="437"/>
      <w:bookmarkEnd w:id="438"/>
      <w:bookmarkEnd w:id="439"/>
      <w:bookmarkEnd w:id="440"/>
      <w:bookmarkEnd w:id="441"/>
    </w:p>
    <w:p>
      <w:pPr>
        <w:numPr>
          <w:ilvl w:val="0"/>
          <w:numId w:val="0"/>
        </w:numPr>
        <w:spacing w:line="380" w:lineRule="exact"/>
        <w:ind w:firstLine="482" w:firstLineChars="200"/>
        <w:outlineLvl w:val="0"/>
        <w:rPr>
          <w:rFonts w:hint="eastAsia" w:ascii="仿宋" w:hAnsi="仿宋" w:eastAsia="仿宋" w:cs="仿宋"/>
          <w:sz w:val="24"/>
          <w:szCs w:val="24"/>
        </w:rPr>
      </w:pPr>
      <w:r>
        <w:rPr>
          <w:rFonts w:hint="eastAsia" w:ascii="仿宋" w:hAnsi="仿宋" w:eastAsia="仿宋" w:cs="仿宋"/>
          <w:b/>
          <w:bCs w:val="0"/>
          <w:kern w:val="2"/>
          <w:sz w:val="24"/>
          <w:szCs w:val="24"/>
          <w:lang w:val="en-US" w:eastAsia="zh-CN" w:bidi="ar-SA"/>
        </w:rPr>
        <w:t xml:space="preserve">签约酬金（费率）：工程造价的   </w:t>
      </w:r>
      <w:r>
        <w:rPr>
          <w:rFonts w:hint="eastAsia" w:ascii="仿宋" w:hAnsi="仿宋" w:eastAsia="仿宋" w:cs="仿宋"/>
          <w:b/>
          <w:bCs w:val="0"/>
          <w:kern w:val="2"/>
          <w:sz w:val="24"/>
          <w:szCs w:val="24"/>
          <w:lang w:val="en-US" w:eastAsia="zh-CN" w:bidi="ar-SA"/>
        </w:rPr>
        <w:tab/>
      </w:r>
      <w:r>
        <w:rPr>
          <w:rFonts w:hint="eastAsia" w:ascii="仿宋" w:hAnsi="仿宋" w:eastAsia="仿宋" w:cs="仿宋"/>
          <w:b/>
          <w:bCs w:val="0"/>
          <w:kern w:val="2"/>
          <w:sz w:val="24"/>
          <w:szCs w:val="24"/>
          <w:lang w:val="en-US" w:eastAsia="zh-CN" w:bidi="ar-SA"/>
        </w:rPr>
        <w:t>%，监理费根据工程造价按实调整，费率不变。</w:t>
      </w:r>
    </w:p>
    <w:p>
      <w:pPr>
        <w:spacing w:line="380" w:lineRule="exact"/>
        <w:ind w:firstLine="477" w:firstLineChars="198"/>
        <w:outlineLvl w:val="0"/>
        <w:rPr>
          <w:rFonts w:hint="eastAsia" w:ascii="仿宋" w:hAnsi="仿宋" w:eastAsia="仿宋" w:cs="仿宋"/>
          <w:b/>
          <w:sz w:val="24"/>
          <w:szCs w:val="24"/>
        </w:rPr>
      </w:pPr>
      <w:bookmarkStart w:id="442" w:name="_Toc337478708"/>
      <w:bookmarkStart w:id="443" w:name="_Toc337454929"/>
      <w:bookmarkStart w:id="444" w:name="_Toc338705885"/>
      <w:bookmarkStart w:id="445" w:name="_Toc336617608"/>
      <w:bookmarkStart w:id="446" w:name="_Toc337474353"/>
      <w:bookmarkStart w:id="447" w:name="_Toc29529"/>
      <w:bookmarkStart w:id="448" w:name="_Toc337456992"/>
      <w:bookmarkStart w:id="449" w:name="_Toc337659716"/>
      <w:bookmarkStart w:id="450" w:name="_Toc337659640"/>
      <w:bookmarkStart w:id="451" w:name="_Toc337474434"/>
      <w:bookmarkStart w:id="452" w:name="_Toc337463008"/>
      <w:bookmarkStart w:id="453" w:name="_Toc337986838"/>
      <w:r>
        <w:rPr>
          <w:rFonts w:hint="eastAsia" w:ascii="仿宋" w:hAnsi="仿宋" w:eastAsia="仿宋" w:cs="仿宋"/>
          <w:b/>
          <w:sz w:val="24"/>
          <w:szCs w:val="24"/>
        </w:rPr>
        <w:t>六、期限</w:t>
      </w:r>
      <w:bookmarkEnd w:id="442"/>
      <w:bookmarkEnd w:id="443"/>
      <w:bookmarkEnd w:id="444"/>
      <w:bookmarkEnd w:id="445"/>
      <w:bookmarkEnd w:id="446"/>
      <w:bookmarkEnd w:id="447"/>
      <w:bookmarkEnd w:id="448"/>
      <w:bookmarkEnd w:id="449"/>
      <w:bookmarkEnd w:id="450"/>
      <w:bookmarkEnd w:id="451"/>
      <w:bookmarkEnd w:id="452"/>
      <w:bookmarkEnd w:id="453"/>
    </w:p>
    <w:p>
      <w:pPr>
        <w:snapToGrid w:val="0"/>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 监理期限：</w:t>
      </w:r>
      <w:r>
        <w:rPr>
          <w:rFonts w:hint="eastAsia" w:ascii="仿宋" w:hAnsi="仿宋" w:eastAsia="仿宋" w:cs="仿宋"/>
          <w:b/>
          <w:bCs/>
          <w:color w:val="FF0000"/>
          <w:spacing w:val="-3"/>
          <w:sz w:val="24"/>
          <w:szCs w:val="24"/>
        </w:rPr>
        <w:t>施工工期+保修服务期24个月。</w:t>
      </w:r>
    </w:p>
    <w:p>
      <w:pPr>
        <w:snapToGrid w:val="0"/>
        <w:spacing w:line="380" w:lineRule="exact"/>
        <w:ind w:firstLine="468" w:firstLineChars="200"/>
        <w:rPr>
          <w:rFonts w:hint="eastAsia" w:ascii="仿宋" w:hAnsi="仿宋" w:eastAsia="仿宋" w:cs="仿宋"/>
          <w:bCs/>
          <w:spacing w:val="-3"/>
          <w:sz w:val="24"/>
          <w:szCs w:val="24"/>
        </w:rPr>
      </w:pPr>
      <w:r>
        <w:rPr>
          <w:rFonts w:hint="eastAsia" w:ascii="仿宋" w:hAnsi="仿宋" w:eastAsia="仿宋" w:cs="仿宋"/>
          <w:bCs/>
          <w:spacing w:val="-3"/>
          <w:sz w:val="24"/>
          <w:szCs w:val="24"/>
        </w:rPr>
        <w:t>①本工程监理服务期：</w:t>
      </w:r>
      <w:r>
        <w:rPr>
          <w:rFonts w:hint="eastAsia" w:ascii="仿宋" w:hAnsi="仿宋" w:eastAsia="仿宋" w:cs="仿宋"/>
          <w:b w:val="0"/>
          <w:bCs w:val="0"/>
          <w:color w:val="auto"/>
          <w:spacing w:val="-3"/>
          <w:sz w:val="24"/>
          <w:szCs w:val="24"/>
        </w:rPr>
        <w:t>施工工期+保修服务期24个月。</w:t>
      </w:r>
      <w:r>
        <w:rPr>
          <w:rFonts w:hint="eastAsia" w:ascii="仿宋" w:hAnsi="仿宋" w:eastAsia="仿宋" w:cs="仿宋"/>
          <w:bCs/>
          <w:spacing w:val="-3"/>
          <w:sz w:val="24"/>
          <w:szCs w:val="24"/>
        </w:rPr>
        <w:t>（由于非监理方原因导致工程施工暂停1个月以上的，监理服务暂停，之后至重新开工期间不计入监理服务期，不予计费。）监理服务期以开工报告为起始点，在工程质量保修期内，监理单位应承担相应的义务和责任。保修服务期24个月。</w:t>
      </w:r>
    </w:p>
    <w:p>
      <w:pPr>
        <w:snapToGrid w:val="0"/>
        <w:spacing w:line="380" w:lineRule="exact"/>
        <w:ind w:firstLine="468" w:firstLineChars="200"/>
        <w:rPr>
          <w:rFonts w:hint="eastAsia" w:ascii="仿宋" w:hAnsi="仿宋" w:eastAsia="仿宋" w:cs="仿宋"/>
          <w:bCs/>
          <w:spacing w:val="-3"/>
          <w:sz w:val="24"/>
          <w:szCs w:val="24"/>
        </w:rPr>
      </w:pPr>
      <w:r>
        <w:rPr>
          <w:rFonts w:hint="eastAsia" w:ascii="仿宋" w:hAnsi="仿宋" w:eastAsia="仿宋" w:cs="仿宋"/>
          <w:bCs/>
          <w:spacing w:val="-3"/>
          <w:sz w:val="24"/>
          <w:szCs w:val="24"/>
        </w:rPr>
        <w:t>②施工前期阶段、工程结算及决算审计期间均提供免费的服务。</w:t>
      </w:r>
    </w:p>
    <w:p>
      <w:pPr>
        <w:snapToGrid w:val="0"/>
        <w:spacing w:line="380" w:lineRule="exact"/>
        <w:ind w:firstLine="468" w:firstLineChars="200"/>
        <w:rPr>
          <w:rFonts w:hint="eastAsia" w:ascii="仿宋" w:hAnsi="仿宋" w:eastAsia="仿宋" w:cs="仿宋"/>
          <w:bCs/>
          <w:spacing w:val="-3"/>
          <w:sz w:val="24"/>
          <w:szCs w:val="24"/>
        </w:rPr>
      </w:pPr>
      <w:r>
        <w:rPr>
          <w:rFonts w:hint="eastAsia" w:ascii="仿宋" w:hAnsi="仿宋" w:eastAsia="仿宋" w:cs="仿宋"/>
          <w:bCs/>
          <w:spacing w:val="-3"/>
          <w:sz w:val="24"/>
          <w:szCs w:val="24"/>
        </w:rPr>
        <w:t>2. 相关服务期限：</w:t>
      </w:r>
    </w:p>
    <w:p>
      <w:pPr>
        <w:snapToGrid w:val="0"/>
        <w:spacing w:line="380" w:lineRule="exact"/>
        <w:ind w:firstLine="468" w:firstLineChars="200"/>
        <w:rPr>
          <w:rFonts w:hint="eastAsia" w:ascii="仿宋" w:hAnsi="仿宋" w:eastAsia="仿宋" w:cs="仿宋"/>
          <w:bCs/>
          <w:spacing w:val="-3"/>
          <w:sz w:val="24"/>
          <w:szCs w:val="24"/>
        </w:rPr>
      </w:pPr>
      <w:r>
        <w:rPr>
          <w:rFonts w:hint="eastAsia" w:ascii="仿宋" w:hAnsi="仿宋" w:eastAsia="仿宋" w:cs="仿宋"/>
          <w:bCs/>
          <w:spacing w:val="-3"/>
          <w:sz w:val="24"/>
          <w:szCs w:val="24"/>
        </w:rPr>
        <w:t>（1）勘察阶段服务期限自     年   月   日始，至     年   月   日止。</w:t>
      </w:r>
    </w:p>
    <w:p>
      <w:pPr>
        <w:snapToGrid w:val="0"/>
        <w:spacing w:line="380" w:lineRule="exact"/>
        <w:ind w:firstLine="468" w:firstLineChars="200"/>
        <w:rPr>
          <w:rFonts w:hint="eastAsia" w:ascii="仿宋" w:hAnsi="仿宋" w:eastAsia="仿宋" w:cs="仿宋"/>
          <w:bCs/>
          <w:spacing w:val="-3"/>
          <w:sz w:val="24"/>
          <w:szCs w:val="24"/>
        </w:rPr>
      </w:pPr>
      <w:r>
        <w:rPr>
          <w:rFonts w:hint="eastAsia" w:ascii="仿宋" w:hAnsi="仿宋" w:eastAsia="仿宋" w:cs="仿宋"/>
          <w:bCs/>
          <w:spacing w:val="-3"/>
          <w:sz w:val="24"/>
          <w:szCs w:val="24"/>
        </w:rPr>
        <w:t>（2）设计阶段服务期限自     年   月   日始，至     年   月   日止。</w:t>
      </w:r>
    </w:p>
    <w:p>
      <w:pPr>
        <w:snapToGrid w:val="0"/>
        <w:spacing w:line="380" w:lineRule="exact"/>
        <w:ind w:firstLine="468" w:firstLineChars="200"/>
        <w:rPr>
          <w:rFonts w:hint="eastAsia" w:ascii="仿宋" w:hAnsi="仿宋" w:eastAsia="仿宋" w:cs="仿宋"/>
          <w:bCs/>
          <w:spacing w:val="-3"/>
          <w:sz w:val="24"/>
          <w:szCs w:val="24"/>
        </w:rPr>
      </w:pPr>
      <w:r>
        <w:rPr>
          <w:rFonts w:hint="eastAsia" w:ascii="仿宋" w:hAnsi="仿宋" w:eastAsia="仿宋" w:cs="仿宋"/>
          <w:bCs/>
          <w:spacing w:val="-3"/>
          <w:sz w:val="24"/>
          <w:szCs w:val="24"/>
        </w:rPr>
        <w:t xml:space="preserve">（3）保修阶段服务期限自     年  </w:t>
      </w:r>
      <w:r>
        <w:rPr>
          <w:rFonts w:hint="eastAsia" w:ascii="仿宋" w:hAnsi="仿宋" w:eastAsia="仿宋" w:cs="仿宋"/>
          <w:bCs/>
          <w:spacing w:val="-3"/>
          <w:sz w:val="24"/>
          <w:szCs w:val="24"/>
          <w:lang w:val="en-US" w:eastAsia="zh-CN"/>
        </w:rPr>
        <w:t xml:space="preserve"> </w:t>
      </w:r>
      <w:r>
        <w:rPr>
          <w:rFonts w:hint="eastAsia" w:ascii="仿宋" w:hAnsi="仿宋" w:eastAsia="仿宋" w:cs="仿宋"/>
          <w:bCs/>
          <w:spacing w:val="-3"/>
          <w:sz w:val="24"/>
          <w:szCs w:val="24"/>
        </w:rPr>
        <w:t xml:space="preserve">月  </w:t>
      </w:r>
      <w:r>
        <w:rPr>
          <w:rFonts w:hint="eastAsia" w:ascii="仿宋" w:hAnsi="仿宋" w:eastAsia="仿宋" w:cs="仿宋"/>
          <w:bCs/>
          <w:spacing w:val="-3"/>
          <w:sz w:val="24"/>
          <w:szCs w:val="24"/>
          <w:lang w:val="en-US" w:eastAsia="zh-CN"/>
        </w:rPr>
        <w:t xml:space="preserve"> </w:t>
      </w:r>
      <w:r>
        <w:rPr>
          <w:rFonts w:hint="eastAsia" w:ascii="仿宋" w:hAnsi="仿宋" w:eastAsia="仿宋" w:cs="仿宋"/>
          <w:bCs/>
          <w:spacing w:val="-3"/>
          <w:sz w:val="24"/>
          <w:szCs w:val="24"/>
        </w:rPr>
        <w:t>日始，至     年   月   日止。</w:t>
      </w:r>
    </w:p>
    <w:p>
      <w:pPr>
        <w:snapToGrid w:val="0"/>
        <w:spacing w:line="380" w:lineRule="exact"/>
        <w:ind w:firstLine="468" w:firstLineChars="200"/>
        <w:rPr>
          <w:rFonts w:hint="eastAsia" w:ascii="仿宋" w:hAnsi="仿宋" w:eastAsia="仿宋" w:cs="仿宋"/>
          <w:bCs/>
          <w:spacing w:val="-3"/>
          <w:sz w:val="24"/>
          <w:szCs w:val="24"/>
        </w:rPr>
      </w:pPr>
      <w:r>
        <w:rPr>
          <w:rFonts w:hint="eastAsia" w:ascii="仿宋" w:hAnsi="仿宋" w:eastAsia="仿宋" w:cs="仿宋"/>
          <w:bCs/>
          <w:spacing w:val="-3"/>
          <w:sz w:val="24"/>
          <w:szCs w:val="24"/>
        </w:rPr>
        <w:t xml:space="preserve">（4）其他相关服务期限自     年  </w:t>
      </w:r>
      <w:r>
        <w:rPr>
          <w:rFonts w:hint="eastAsia" w:ascii="仿宋" w:hAnsi="仿宋" w:eastAsia="仿宋" w:cs="仿宋"/>
          <w:bCs/>
          <w:spacing w:val="-3"/>
          <w:sz w:val="24"/>
          <w:szCs w:val="24"/>
          <w:lang w:val="en-US" w:eastAsia="zh-CN"/>
        </w:rPr>
        <w:t xml:space="preserve"> </w:t>
      </w:r>
      <w:r>
        <w:rPr>
          <w:rFonts w:hint="eastAsia" w:ascii="仿宋" w:hAnsi="仿宋" w:eastAsia="仿宋" w:cs="仿宋"/>
          <w:bCs/>
          <w:spacing w:val="-3"/>
          <w:sz w:val="24"/>
          <w:szCs w:val="24"/>
        </w:rPr>
        <w:t xml:space="preserve">月  </w:t>
      </w:r>
      <w:r>
        <w:rPr>
          <w:rFonts w:hint="eastAsia" w:ascii="仿宋" w:hAnsi="仿宋" w:eastAsia="仿宋" w:cs="仿宋"/>
          <w:bCs/>
          <w:spacing w:val="-3"/>
          <w:sz w:val="24"/>
          <w:szCs w:val="24"/>
          <w:lang w:val="en-US" w:eastAsia="zh-CN"/>
        </w:rPr>
        <w:t xml:space="preserve"> </w:t>
      </w:r>
      <w:r>
        <w:rPr>
          <w:rFonts w:hint="eastAsia" w:ascii="仿宋" w:hAnsi="仿宋" w:eastAsia="仿宋" w:cs="仿宋"/>
          <w:bCs/>
          <w:spacing w:val="-3"/>
          <w:sz w:val="24"/>
          <w:szCs w:val="24"/>
        </w:rPr>
        <w:t>日始，至     年   月   日止。</w:t>
      </w:r>
    </w:p>
    <w:p>
      <w:pPr>
        <w:spacing w:line="380" w:lineRule="exact"/>
        <w:ind w:firstLine="477" w:firstLineChars="198"/>
        <w:outlineLvl w:val="0"/>
        <w:rPr>
          <w:rFonts w:hint="eastAsia" w:ascii="仿宋" w:hAnsi="仿宋" w:eastAsia="仿宋" w:cs="仿宋"/>
          <w:b/>
          <w:sz w:val="24"/>
          <w:szCs w:val="24"/>
        </w:rPr>
      </w:pPr>
      <w:bookmarkStart w:id="454" w:name="_Toc336617609"/>
      <w:bookmarkStart w:id="455" w:name="_Toc337474435"/>
      <w:bookmarkStart w:id="456" w:name="_Toc337456993"/>
      <w:bookmarkStart w:id="457" w:name="_Toc337478709"/>
      <w:bookmarkStart w:id="458" w:name="_Toc337463009"/>
      <w:bookmarkStart w:id="459" w:name="_Toc337659641"/>
      <w:bookmarkStart w:id="460" w:name="_Toc337474354"/>
      <w:bookmarkStart w:id="461" w:name="_Toc337986839"/>
      <w:bookmarkStart w:id="462" w:name="_Toc338705886"/>
      <w:bookmarkStart w:id="463" w:name="_Toc16281"/>
      <w:bookmarkStart w:id="464" w:name="_Toc337659717"/>
      <w:bookmarkStart w:id="465" w:name="_Toc337454930"/>
      <w:r>
        <w:rPr>
          <w:rFonts w:hint="eastAsia" w:ascii="仿宋" w:hAnsi="仿宋" w:eastAsia="仿宋" w:cs="仿宋"/>
          <w:b/>
          <w:sz w:val="24"/>
          <w:szCs w:val="24"/>
        </w:rPr>
        <w:t>七、双方承诺</w:t>
      </w:r>
      <w:bookmarkEnd w:id="454"/>
      <w:bookmarkEnd w:id="455"/>
      <w:bookmarkEnd w:id="456"/>
      <w:bookmarkEnd w:id="457"/>
      <w:bookmarkEnd w:id="458"/>
      <w:bookmarkEnd w:id="459"/>
      <w:bookmarkEnd w:id="460"/>
      <w:bookmarkEnd w:id="461"/>
      <w:bookmarkEnd w:id="462"/>
      <w:bookmarkEnd w:id="463"/>
      <w:bookmarkEnd w:id="464"/>
      <w:bookmarkEnd w:id="465"/>
    </w:p>
    <w:p>
      <w:pPr>
        <w:spacing w:line="380" w:lineRule="exact"/>
        <w:ind w:firstLine="475" w:firstLineChars="198"/>
        <w:outlineLvl w:val="0"/>
        <w:rPr>
          <w:rFonts w:hint="eastAsia" w:ascii="仿宋" w:hAnsi="仿宋" w:eastAsia="仿宋" w:cs="仿宋"/>
          <w:b/>
          <w:sz w:val="24"/>
          <w:szCs w:val="24"/>
        </w:rPr>
      </w:pPr>
      <w:bookmarkStart w:id="466" w:name="_Toc337478710"/>
      <w:bookmarkStart w:id="467" w:name="_Toc337454931"/>
      <w:bookmarkStart w:id="468" w:name="_Toc336617610"/>
      <w:bookmarkStart w:id="469" w:name="_Toc337986840"/>
      <w:bookmarkStart w:id="470" w:name="_Toc18318"/>
      <w:bookmarkStart w:id="471" w:name="_Toc337456994"/>
      <w:bookmarkStart w:id="472" w:name="_Toc338705887"/>
      <w:bookmarkStart w:id="473" w:name="_Toc337463010"/>
      <w:bookmarkStart w:id="474" w:name="_Toc337659642"/>
      <w:bookmarkStart w:id="475" w:name="_Toc337659718"/>
      <w:bookmarkStart w:id="476" w:name="_Toc337474436"/>
      <w:bookmarkStart w:id="477" w:name="_Toc337474355"/>
      <w:r>
        <w:rPr>
          <w:rFonts w:hint="eastAsia" w:ascii="仿宋" w:hAnsi="仿宋" w:eastAsia="仿宋" w:cs="仿宋"/>
          <w:sz w:val="24"/>
          <w:szCs w:val="24"/>
        </w:rPr>
        <w:t>1. 监理人向委托人承诺，按照本合同约定提供监理与相关服务。</w:t>
      </w:r>
      <w:bookmarkEnd w:id="466"/>
      <w:bookmarkEnd w:id="467"/>
      <w:bookmarkEnd w:id="468"/>
      <w:bookmarkEnd w:id="469"/>
      <w:bookmarkEnd w:id="470"/>
      <w:bookmarkEnd w:id="471"/>
      <w:bookmarkEnd w:id="472"/>
      <w:bookmarkEnd w:id="473"/>
      <w:bookmarkEnd w:id="474"/>
      <w:bookmarkEnd w:id="475"/>
      <w:bookmarkEnd w:id="476"/>
      <w:bookmarkEnd w:id="477"/>
    </w:p>
    <w:p>
      <w:pPr>
        <w:spacing w:line="380" w:lineRule="exact"/>
        <w:ind w:firstLine="475" w:firstLineChars="198"/>
        <w:outlineLvl w:val="0"/>
        <w:rPr>
          <w:rFonts w:hint="eastAsia" w:ascii="仿宋" w:hAnsi="仿宋" w:eastAsia="仿宋" w:cs="仿宋"/>
          <w:sz w:val="24"/>
          <w:szCs w:val="24"/>
        </w:rPr>
      </w:pPr>
      <w:bookmarkStart w:id="478" w:name="_Toc337659643"/>
      <w:bookmarkStart w:id="479" w:name="_Toc337478711"/>
      <w:bookmarkStart w:id="480" w:name="_Toc337456995"/>
      <w:bookmarkStart w:id="481" w:name="_Toc337463011"/>
      <w:bookmarkStart w:id="482" w:name="_Toc337986841"/>
      <w:bookmarkStart w:id="483" w:name="_Toc338705888"/>
      <w:bookmarkStart w:id="484" w:name="_Toc337454932"/>
      <w:bookmarkStart w:id="485" w:name="_Toc337474437"/>
      <w:bookmarkStart w:id="486" w:name="_Toc337474356"/>
      <w:bookmarkStart w:id="487" w:name="_Toc337659719"/>
      <w:bookmarkStart w:id="488" w:name="_Toc704"/>
      <w:bookmarkStart w:id="489" w:name="_Toc336617611"/>
      <w:r>
        <w:rPr>
          <w:rFonts w:hint="eastAsia" w:ascii="仿宋" w:hAnsi="仿宋" w:eastAsia="仿宋" w:cs="仿宋"/>
          <w:sz w:val="24"/>
          <w:szCs w:val="24"/>
        </w:rPr>
        <w:t>2. 委托人向监理人承诺，按照本合同约定派遣相应的人员，提供</w:t>
      </w:r>
      <w:r>
        <w:rPr>
          <w:rFonts w:hint="eastAsia" w:ascii="仿宋" w:hAnsi="仿宋" w:eastAsia="仿宋" w:cs="仿宋"/>
          <w:bCs/>
          <w:sz w:val="24"/>
          <w:szCs w:val="24"/>
        </w:rPr>
        <w:t>房屋、资料</w:t>
      </w:r>
      <w:r>
        <w:rPr>
          <w:rFonts w:hint="eastAsia" w:ascii="仿宋" w:hAnsi="仿宋" w:eastAsia="仿宋" w:cs="仿宋"/>
          <w:sz w:val="24"/>
          <w:szCs w:val="24"/>
        </w:rPr>
        <w:t>、设备，并按本合同约定支付酬金。</w:t>
      </w:r>
      <w:bookmarkEnd w:id="478"/>
      <w:bookmarkEnd w:id="479"/>
      <w:bookmarkEnd w:id="480"/>
      <w:bookmarkEnd w:id="481"/>
      <w:bookmarkEnd w:id="482"/>
      <w:bookmarkEnd w:id="483"/>
      <w:bookmarkEnd w:id="484"/>
      <w:bookmarkEnd w:id="485"/>
      <w:bookmarkEnd w:id="486"/>
      <w:bookmarkEnd w:id="487"/>
      <w:bookmarkEnd w:id="488"/>
      <w:bookmarkEnd w:id="489"/>
    </w:p>
    <w:p>
      <w:pPr>
        <w:spacing w:line="380" w:lineRule="exact"/>
        <w:ind w:firstLine="477" w:firstLineChars="198"/>
        <w:outlineLvl w:val="0"/>
        <w:rPr>
          <w:rFonts w:hint="eastAsia" w:ascii="仿宋" w:hAnsi="仿宋" w:eastAsia="仿宋" w:cs="仿宋"/>
          <w:b/>
          <w:sz w:val="24"/>
          <w:szCs w:val="24"/>
        </w:rPr>
      </w:pPr>
      <w:bookmarkStart w:id="490" w:name="_Toc337454933"/>
      <w:bookmarkStart w:id="491" w:name="_Toc337463012"/>
      <w:bookmarkStart w:id="492" w:name="_Toc337659644"/>
      <w:bookmarkStart w:id="493" w:name="_Toc337478712"/>
      <w:bookmarkStart w:id="494" w:name="_Toc19556"/>
      <w:bookmarkStart w:id="495" w:name="_Toc338705889"/>
      <w:bookmarkStart w:id="496" w:name="_Toc337474357"/>
      <w:bookmarkStart w:id="497" w:name="_Toc337456996"/>
      <w:bookmarkStart w:id="498" w:name="_Toc337986842"/>
      <w:bookmarkStart w:id="499" w:name="_Toc337474438"/>
      <w:bookmarkStart w:id="500" w:name="_Toc337659720"/>
      <w:bookmarkStart w:id="501" w:name="_Toc336617612"/>
      <w:r>
        <w:rPr>
          <w:rFonts w:hint="eastAsia" w:ascii="仿宋" w:hAnsi="仿宋" w:eastAsia="仿宋" w:cs="仿宋"/>
          <w:b/>
          <w:sz w:val="24"/>
          <w:szCs w:val="24"/>
        </w:rPr>
        <w:t>八、合同订立</w:t>
      </w:r>
      <w:bookmarkEnd w:id="490"/>
      <w:bookmarkEnd w:id="491"/>
      <w:bookmarkEnd w:id="492"/>
      <w:bookmarkEnd w:id="493"/>
      <w:bookmarkEnd w:id="494"/>
      <w:bookmarkEnd w:id="495"/>
      <w:bookmarkEnd w:id="496"/>
      <w:bookmarkEnd w:id="497"/>
      <w:bookmarkEnd w:id="498"/>
      <w:bookmarkEnd w:id="499"/>
      <w:bookmarkEnd w:id="500"/>
      <w:bookmarkEnd w:id="501"/>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1. 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2. 订立地点：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8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 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份，具有同等法律效力，双方各执</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snapToGrid w:val="0"/>
        <w:spacing w:line="380" w:lineRule="exact"/>
        <w:ind w:firstLine="470" w:firstLineChars="196"/>
        <w:rPr>
          <w:rFonts w:hint="eastAsia" w:ascii="仿宋" w:hAnsi="仿宋" w:eastAsia="仿宋" w:cs="仿宋"/>
          <w:sz w:val="24"/>
          <w:szCs w:val="24"/>
        </w:rPr>
      </w:pP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委 托 人：</w:t>
      </w:r>
      <w:r>
        <w:rPr>
          <w:rFonts w:hint="eastAsia" w:ascii="仿宋" w:hAnsi="仿宋" w:eastAsia="仿宋" w:cs="仿宋"/>
          <w:sz w:val="24"/>
          <w:szCs w:val="24"/>
          <w:u w:val="single"/>
        </w:rPr>
        <w:t xml:space="preserve">  （盖单位公章）   </w:t>
      </w:r>
      <w:r>
        <w:rPr>
          <w:rFonts w:hint="eastAsia" w:ascii="仿宋" w:hAnsi="仿宋" w:eastAsia="仿宋" w:cs="仿宋"/>
          <w:sz w:val="24"/>
          <w:szCs w:val="24"/>
        </w:rPr>
        <w:t xml:space="preserve">    监 理 人：</w:t>
      </w:r>
      <w:r>
        <w:rPr>
          <w:rFonts w:hint="eastAsia" w:ascii="仿宋" w:hAnsi="仿宋" w:eastAsia="仿宋" w:cs="仿宋"/>
          <w:sz w:val="24"/>
          <w:szCs w:val="24"/>
          <w:u w:val="single"/>
        </w:rPr>
        <w:t xml:space="preserve">   （盖单位公章）    </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住    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住    所：</w:t>
      </w:r>
      <w:r>
        <w:rPr>
          <w:rFonts w:hint="eastAsia" w:ascii="仿宋" w:hAnsi="仿宋" w:eastAsia="仿宋" w:cs="仿宋"/>
          <w:sz w:val="24"/>
          <w:szCs w:val="24"/>
          <w:u w:val="single"/>
        </w:rPr>
        <w:t xml:space="preserve">                     </w:t>
      </w:r>
    </w:p>
    <w:p>
      <w:pPr>
        <w:snapToGrid w:val="0"/>
        <w:spacing w:line="3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法定代表人或其授权               法定代表人或其授权</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的代理人：</w:t>
      </w:r>
      <w:r>
        <w:rPr>
          <w:rFonts w:hint="eastAsia" w:ascii="仿宋" w:hAnsi="仿宋" w:eastAsia="仿宋" w:cs="仿宋"/>
          <w:sz w:val="24"/>
          <w:szCs w:val="24"/>
          <w:u w:val="single"/>
        </w:rPr>
        <w:t xml:space="preserve">     （签字）      </w:t>
      </w:r>
      <w:r>
        <w:rPr>
          <w:rFonts w:hint="eastAsia" w:ascii="仿宋" w:hAnsi="仿宋" w:eastAsia="仿宋" w:cs="仿宋"/>
          <w:sz w:val="24"/>
          <w:szCs w:val="24"/>
        </w:rPr>
        <w:t xml:space="preserve">    的代理人：</w:t>
      </w:r>
      <w:r>
        <w:rPr>
          <w:rFonts w:hint="eastAsia" w:ascii="仿宋" w:hAnsi="仿宋" w:eastAsia="仿宋" w:cs="仿宋"/>
          <w:sz w:val="24"/>
          <w:szCs w:val="24"/>
          <w:u w:val="single"/>
        </w:rPr>
        <w:t xml:space="preserve">      （签字）       </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开户银行：</w:t>
      </w:r>
      <w:r>
        <w:rPr>
          <w:rFonts w:hint="eastAsia" w:ascii="仿宋" w:hAnsi="仿宋" w:eastAsia="仿宋" w:cs="仿宋"/>
          <w:sz w:val="24"/>
          <w:szCs w:val="24"/>
          <w:u w:val="single"/>
        </w:rPr>
        <w:t xml:space="preserve">                     </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账    号：</w:t>
      </w:r>
      <w:r>
        <w:rPr>
          <w:rFonts w:hint="eastAsia" w:ascii="仿宋" w:hAnsi="仿宋" w:eastAsia="仿宋" w:cs="仿宋"/>
          <w:sz w:val="24"/>
          <w:szCs w:val="24"/>
          <w:u w:val="single"/>
        </w:rPr>
        <w:t xml:space="preserve">                     </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    话：</w:t>
      </w:r>
      <w:r>
        <w:rPr>
          <w:rFonts w:hint="eastAsia" w:ascii="仿宋" w:hAnsi="仿宋" w:eastAsia="仿宋" w:cs="仿宋"/>
          <w:sz w:val="24"/>
          <w:szCs w:val="24"/>
          <w:u w:val="single"/>
        </w:rPr>
        <w:t xml:space="preserve">                     </w:t>
      </w:r>
    </w:p>
    <w:p>
      <w:pPr>
        <w:snapToGrid w:val="0"/>
        <w:spacing w:line="38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传    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    真：</w:t>
      </w:r>
      <w:r>
        <w:rPr>
          <w:rFonts w:hint="eastAsia" w:ascii="仿宋" w:hAnsi="仿宋" w:eastAsia="仿宋" w:cs="仿宋"/>
          <w:sz w:val="24"/>
          <w:szCs w:val="24"/>
          <w:u w:val="single"/>
        </w:rPr>
        <w:t xml:space="preserve">                     </w:t>
      </w:r>
    </w:p>
    <w:p>
      <w:pPr>
        <w:snapToGrid w:val="0"/>
        <w:spacing w:line="380" w:lineRule="exact"/>
        <w:ind w:firstLine="475" w:firstLineChars="198"/>
        <w:rPr>
          <w:rFonts w:hint="eastAsia" w:ascii="仿宋" w:hAnsi="仿宋" w:eastAsia="仿宋" w:cs="仿宋"/>
          <w:sz w:val="24"/>
          <w:szCs w:val="24"/>
          <w:u w:val="single"/>
        </w:rPr>
      </w:pP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电子邮箱：</w:t>
      </w:r>
      <w:r>
        <w:rPr>
          <w:rFonts w:hint="eastAsia" w:ascii="仿宋" w:hAnsi="仿宋" w:eastAsia="仿宋" w:cs="仿宋"/>
          <w:sz w:val="24"/>
          <w:szCs w:val="24"/>
          <w:u w:val="single"/>
        </w:rPr>
        <w:t xml:space="preserve"> </w:t>
      </w:r>
    </w:p>
    <w:p>
      <w:pPr>
        <w:snapToGrid w:val="0"/>
        <w:spacing w:line="380" w:lineRule="exact"/>
        <w:ind w:firstLine="475" w:firstLineChars="198"/>
        <w:rPr>
          <w:rFonts w:hint="eastAsia" w:ascii="仿宋" w:hAnsi="仿宋" w:eastAsia="仿宋" w:cs="仿宋"/>
          <w:sz w:val="24"/>
          <w:szCs w:val="24"/>
          <w:u w:val="single"/>
        </w:rPr>
      </w:pPr>
    </w:p>
    <w:p>
      <w:pPr>
        <w:snapToGrid w:val="0"/>
        <w:spacing w:line="380" w:lineRule="exact"/>
        <w:ind w:firstLine="475" w:firstLineChars="198"/>
        <w:rPr>
          <w:rFonts w:hint="eastAsia" w:ascii="仿宋" w:hAnsi="仿宋" w:eastAsia="仿宋" w:cs="仿宋"/>
          <w:sz w:val="24"/>
          <w:szCs w:val="24"/>
          <w:u w:val="single"/>
        </w:rPr>
      </w:pPr>
    </w:p>
    <w:p>
      <w:pPr>
        <w:snapToGrid w:val="0"/>
        <w:spacing w:line="380" w:lineRule="exact"/>
        <w:ind w:firstLine="475" w:firstLineChars="198"/>
        <w:rPr>
          <w:rFonts w:hint="eastAsia" w:ascii="仿宋" w:hAnsi="仿宋" w:eastAsia="仿宋" w:cs="仿宋"/>
          <w:sz w:val="24"/>
          <w:szCs w:val="24"/>
          <w:u w:val="single"/>
        </w:rPr>
      </w:pPr>
    </w:p>
    <w:p>
      <w:pPr>
        <w:snapToGrid w:val="0"/>
        <w:spacing w:line="380" w:lineRule="exact"/>
        <w:ind w:firstLine="475" w:firstLineChars="198"/>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pPr>
        <w:pStyle w:val="24"/>
        <w:spacing w:before="2"/>
        <w:rPr>
          <w:rFonts w:hint="eastAsia" w:ascii="仿宋" w:hAnsi="仿宋" w:eastAsia="仿宋" w:cs="仿宋"/>
          <w:sz w:val="24"/>
          <w:szCs w:val="24"/>
        </w:rPr>
      </w:pPr>
    </w:p>
    <w:p>
      <w:pPr>
        <w:spacing w:after="0"/>
        <w:rPr>
          <w:rFonts w:hint="eastAsia" w:ascii="仿宋" w:hAnsi="仿宋" w:eastAsia="仿宋" w:cs="仿宋"/>
          <w:sz w:val="24"/>
        </w:rPr>
        <w:sectPr>
          <w:footerReference r:id="rId9" w:type="default"/>
          <w:pgSz w:w="11910" w:h="16840"/>
          <w:pgMar w:top="1300" w:right="780" w:bottom="1200" w:left="820" w:header="1020" w:footer="1007" w:gutter="0"/>
          <w:cols w:space="720" w:num="1"/>
        </w:sectPr>
      </w:pPr>
    </w:p>
    <w:p>
      <w:pPr>
        <w:pageBreakBefore/>
        <w:spacing w:line="360" w:lineRule="exact"/>
        <w:jc w:val="center"/>
        <w:rPr>
          <w:rFonts w:hint="eastAsia" w:ascii="仿宋" w:hAnsi="仿宋" w:eastAsia="仿宋" w:cs="仿宋"/>
          <w:b/>
          <w:sz w:val="24"/>
          <w:szCs w:val="24"/>
        </w:rPr>
      </w:pPr>
      <w:r>
        <w:rPr>
          <w:rFonts w:hint="eastAsia" w:ascii="仿宋" w:hAnsi="仿宋" w:eastAsia="仿宋" w:cs="仿宋"/>
          <w:snapToGrid w:val="0"/>
          <w:color w:val="000000"/>
          <w:sz w:val="24"/>
        </w:rPr>
        <w:t xml:space="preserve">    </w:t>
      </w:r>
      <w:r>
        <w:rPr>
          <w:rFonts w:hint="eastAsia" w:ascii="仿宋" w:hAnsi="仿宋" w:eastAsia="仿宋" w:cs="仿宋"/>
          <w:b/>
          <w:sz w:val="24"/>
          <w:szCs w:val="24"/>
        </w:rPr>
        <w:t>第二部分  通用条款</w:t>
      </w:r>
    </w:p>
    <w:p>
      <w:pPr>
        <w:spacing w:line="360" w:lineRule="exact"/>
        <w:jc w:val="center"/>
        <w:rPr>
          <w:rFonts w:hint="eastAsia" w:ascii="仿宋" w:hAnsi="仿宋" w:eastAsia="仿宋" w:cs="仿宋"/>
          <w:b/>
          <w:sz w:val="24"/>
          <w:szCs w:val="24"/>
        </w:rPr>
      </w:pPr>
    </w:p>
    <w:p>
      <w:pPr>
        <w:spacing w:line="360" w:lineRule="exact"/>
        <w:rPr>
          <w:rFonts w:hint="eastAsia" w:ascii="仿宋" w:hAnsi="仿宋" w:eastAsia="仿宋" w:cs="仿宋"/>
          <w:b/>
          <w:sz w:val="24"/>
          <w:szCs w:val="24"/>
        </w:rPr>
      </w:pPr>
      <w:r>
        <w:rPr>
          <w:rFonts w:hint="eastAsia" w:ascii="仿宋" w:hAnsi="仿宋" w:eastAsia="仿宋" w:cs="仿宋"/>
          <w:b/>
          <w:sz w:val="24"/>
          <w:szCs w:val="24"/>
        </w:rPr>
        <w:t>1、定义与解释</w:t>
      </w:r>
    </w:p>
    <w:p>
      <w:pPr>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1.1 </w:t>
      </w:r>
      <w:r>
        <w:rPr>
          <w:rFonts w:hint="eastAsia" w:ascii="仿宋" w:hAnsi="仿宋" w:eastAsia="仿宋" w:cs="仿宋"/>
          <w:bCs/>
          <w:sz w:val="24"/>
          <w:szCs w:val="24"/>
        </w:rPr>
        <w:t>定义</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除根据上下文另有其意义外，组成本合同的全部文件中的下列名词和用语应具有本款所赋予的含义：</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“工程”是指按照本合同约定实施监理与相关服务的建设工程。</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“委托人”是指本合同中委托监理与相关服务的一方，及其合法的继承人或受让人。</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“监理人”是指本合同中提供监理与相关服务的一方，及其合法的继承人。</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 “承包人”是指在工程范围内与委托人签订勘察、设计、施工等有关合同的当事人，及其合法的继承人。</w:t>
      </w:r>
    </w:p>
    <w:p>
      <w:pPr>
        <w:pStyle w:val="34"/>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1.1.6 “相关服务”是指监理人受委托人的委托 ，按照本合同约定，在勘察、设计、保修等阶段提供的服务活动。</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1.1.7 “正常工作”指本合同订立时通用条件和专用条件中约定的监理人的工作。</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1.1.8 “附加工作”是指本合同约定的正常工作以外监理人的工作。</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1.1.9 “项目监理机构”是指监理人派驻工程负责履行本合同的组织机构。</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1.1.10 “总监理工程师”是指由监理人的法定代表人书面授权，全面负责履行本合同、主持项目监理机构工作的注册监理工程师。</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1.1.11 “酬金”是指监理人履行本合同义务，委托人按照本合同约定给付监理人的金额。</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1.1.12 “正常工作酬金”是指监理人完成正常工作，委托人应给付监理人并在协议书中载明的签约酬金额。</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1.1.13 “附加工作酬金”是指监理人完成附加工作，委托人应给付监理人的金额。</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1.1.14 “一方”是指委托人或监理人；“双方”是指委托人和监理人；“第三方”是指除委托人和监理人以外的有关方。</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1.1.15 “书面形式”是指合同书、信件和数据电文（包括电报、电传、传真、电子数据交换和电子邮件）等可以有形地表现所载内容的形式。</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1.1.16 “天”是指第一天零时至第二天零时的时间。</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1.1.17“月”是指按公历从一个月中任何一天开始的一个公历月时间。</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snapToGrid w:val="0"/>
        <w:spacing w:line="360" w:lineRule="exact"/>
        <w:rPr>
          <w:rFonts w:hint="eastAsia" w:ascii="仿宋" w:hAnsi="仿宋" w:eastAsia="仿宋" w:cs="仿宋"/>
          <w:sz w:val="24"/>
          <w:szCs w:val="24"/>
        </w:rPr>
      </w:pPr>
      <w:r>
        <w:rPr>
          <w:rFonts w:hint="eastAsia" w:ascii="仿宋" w:hAnsi="仿宋" w:eastAsia="仿宋" w:cs="仿宋"/>
          <w:bCs/>
          <w:sz w:val="24"/>
          <w:szCs w:val="24"/>
        </w:rPr>
        <w:t xml:space="preserve">1.2 </w:t>
      </w:r>
      <w:r>
        <w:rPr>
          <w:rFonts w:hint="eastAsia" w:ascii="仿宋" w:hAnsi="仿宋" w:eastAsia="仿宋" w:cs="仿宋"/>
          <w:sz w:val="24"/>
          <w:szCs w:val="24"/>
        </w:rPr>
        <w:t>解释</w:t>
      </w:r>
    </w:p>
    <w:p>
      <w:pPr>
        <w:tabs>
          <w:tab w:val="left" w:pos="6140"/>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1.2.1本合同使用中文书写、解释和说明。如专用条件约定使用两种及以上语言文字时，应以中文为准。</w:t>
      </w:r>
    </w:p>
    <w:p>
      <w:pPr>
        <w:tabs>
          <w:tab w:val="left" w:pos="6140"/>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1.2.2 组成本合同的下列文件彼此应能相互解释、互为说明。除专用条件另有约定外，本合同文件的解释顺序如下：</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（1）协议书；</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（2）中标通知书（适用于招标工程）或委托书（适用于非招标工程）；</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（3）专用条件及附录A、附录B；</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（4）通用条件；</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（5）投标文件（适用于招标工程）或监理与相关服务建议书（适用于非招标工程）。</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双方签订的补充协议与其他文件发生矛盾或歧义时，属于同一类内容的文件，应以最新签署的为准。</w:t>
      </w:r>
    </w:p>
    <w:p>
      <w:pPr>
        <w:spacing w:line="360" w:lineRule="exact"/>
        <w:rPr>
          <w:rFonts w:hint="eastAsia" w:ascii="仿宋" w:hAnsi="仿宋" w:eastAsia="仿宋" w:cs="仿宋"/>
          <w:b/>
          <w:sz w:val="24"/>
          <w:szCs w:val="24"/>
        </w:rPr>
      </w:pPr>
      <w:r>
        <w:rPr>
          <w:rFonts w:hint="eastAsia" w:ascii="仿宋" w:hAnsi="仿宋" w:eastAsia="仿宋" w:cs="仿宋"/>
          <w:b/>
          <w:sz w:val="24"/>
          <w:szCs w:val="24"/>
        </w:rPr>
        <w:t>2、监理人的义务</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2.1 监理的范围和工作内容</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 监理范围在专用条件中约定。</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 除专用条件另有约定外，监理工作内容包括：</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（1）收到工程设计文件后编制监理规划，并在第一次工地会议7天前报委托人。根据有关规定和监理工作需要，编制监理实施细则；</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（2）熟悉工程设计文件，并参加由委托人主持的图纸会审和设计交底会议；</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（3）参加由委托人主持的第一次工地会议；主持监理例会并根据工程需要主持或参加专题会议；</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（4）审查施工承包人提交的施工组织设计，重点审查其中的质量安全技术措施、专项施工方案与工程建设强制性标准的符合性；</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（5）检查施工承包人工程质量、安全生产管理制度及组织机构和人员资格；</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（6）检查施工承包人专职安全生产管理人员的配备情况；</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（7）审查施工承包人提交的施工进度计划，核查承包人对施工进度计划的调整；</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（8）检查施工承包人的试验室；</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（9）审核施工分包人资质条件；</w:t>
      </w:r>
    </w:p>
    <w:p>
      <w:pPr>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（10）查验施工承包人的施工测量放线成果；</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（11）审查工程开工条件，对条件具备的签发开工令；</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（12）审查施工承包人报送的工程材料、构配件、设备质量证明文件的有效性和符合性，并按规定对用于工程的材料采取平行检验或见证取样方式进行抽检；</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（13）审核施工承包人提交的工程款支付申请，签发或出具工程款支付证书，并报委托人审核、批准；</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（14）在巡视、旁站和检验过程中，发现工程质量、施工安全存在事故隐患的，要求施工承包人整改并报委托人；</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（15）经委托人同意，签发工程暂停令和复工令；</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（16）审查施工承包人提交的采用新材料、新工艺、新技术、新设备的论证材料及相关验收标准；</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（17）验收隐蔽工程、分部分项工程；</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（18）审查施工承包人提交的工程变更申请，协调处理施工进度调整、费用索赔、合同争议等事项；</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（19）审查施工承包人提交的竣工验收申请，编写工程质量评估报告；</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（20）参加工程竣工验收，签署竣工验收意见；</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（21）审查施工承包人提交的竣工结算申请并报委托人；</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（22）编制、整理工程监理归档文件并报委托人。</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 相关服务的范围和内容在附录A中约定。</w:t>
      </w:r>
    </w:p>
    <w:p>
      <w:pPr>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2.2 </w:t>
      </w:r>
      <w:r>
        <w:rPr>
          <w:rFonts w:hint="eastAsia" w:ascii="仿宋" w:hAnsi="仿宋" w:eastAsia="仿宋" w:cs="仿宋"/>
          <w:bCs/>
          <w:sz w:val="24"/>
          <w:szCs w:val="24"/>
        </w:rPr>
        <w:t>监理与相关服务依据</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 监理依据包括：</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（1）适用的法律、行政法规及部门规章；</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（2）与工程有关的标准；</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（3）工程设计及有关文件；</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（4）本合同及委托人与第三方签订的与实施工程有关的其他合同。</w:t>
      </w:r>
    </w:p>
    <w:p>
      <w:pPr>
        <w:spacing w:line="3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双方根据工程的行业和地域特点，在专用条件中具体约定监理依据。</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 相关服务依据在专用条件中约定。</w:t>
      </w:r>
    </w:p>
    <w:p>
      <w:pPr>
        <w:spacing w:line="360" w:lineRule="exact"/>
        <w:rPr>
          <w:rFonts w:hint="eastAsia" w:ascii="仿宋" w:hAnsi="仿宋" w:eastAsia="仿宋" w:cs="仿宋"/>
          <w:sz w:val="24"/>
          <w:szCs w:val="24"/>
        </w:rPr>
      </w:pPr>
      <w:r>
        <w:rPr>
          <w:rFonts w:hint="eastAsia" w:ascii="仿宋" w:hAnsi="仿宋" w:eastAsia="仿宋" w:cs="仿宋"/>
          <w:sz w:val="24"/>
          <w:szCs w:val="24"/>
        </w:rPr>
        <w:t>2.3 项目监理机构和人员</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监理人应组建满足工作需要的项目监理机构，配备必要的检测设备。项目监理机构的主要人员应具有相应的资格条件。</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2.3.2本合同履行过程中，总监理工程师及重要岗位监理人员应保持相对稳定，以保证监理工作正常进行。</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2.3.4 监理人应及时更换有下列情形之一的监理人员：</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（1）严重过失行为的；</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（2）有违法行为不能履行职责的；</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（3）涉嫌犯罪的；</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（4）不能胜任岗位职责的；</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（5）严重违反职业道德的；</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（6）专用条件约定的其他情形。</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2.3.5 委托人可要求监理人更换不能胜任本职工作的项目监理机构人员。</w:t>
      </w:r>
    </w:p>
    <w:p>
      <w:pPr>
        <w:spacing w:line="360" w:lineRule="exact"/>
        <w:rPr>
          <w:rFonts w:hint="eastAsia" w:ascii="仿宋" w:hAnsi="仿宋" w:eastAsia="仿宋" w:cs="仿宋"/>
          <w:sz w:val="24"/>
          <w:szCs w:val="24"/>
        </w:rPr>
      </w:pPr>
      <w:r>
        <w:rPr>
          <w:rFonts w:hint="eastAsia" w:ascii="仿宋" w:hAnsi="仿宋" w:eastAsia="仿宋" w:cs="仿宋"/>
          <w:sz w:val="24"/>
          <w:szCs w:val="24"/>
        </w:rPr>
        <w:t>2.4 履行职责</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监理人应遵循职业道德准则和行为规范，严格按照法律法规、工程建设有关标准及本合同履行职责。</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 在监理与相关服务范围内，委托人和承包人提出的意见和要求，监理人应及时提出处置意见。当委托人与承包人之间发生合同争议时，监理人应协助委托人、承包人协商解决。</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当委托人与承包人之间的合同争议提交仲裁机构仲裁或人民法院审理时，监理人应提供必要的证明资料。</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2.4.3 监理人应在专用条件约定的授权范围内，处理委托人与承包人所签订合同的变更事宜。如果变更超过授权范围，应以书面形式报委托人批准。</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在紧急情况下，为了保护财产和人身安全，监理人所发出的指令未能事先报委托人批准时，应在发出指令后的24小时内以书面形式报委托人。</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2.4.4 除专用条件另有约定外，监理人发现承包人的人员不能胜任本职工作的，有权要求承包人予以调换。</w:t>
      </w:r>
    </w:p>
    <w:p>
      <w:pPr>
        <w:spacing w:line="360" w:lineRule="exact"/>
        <w:rPr>
          <w:rFonts w:hint="eastAsia" w:ascii="仿宋" w:hAnsi="仿宋" w:eastAsia="仿宋" w:cs="仿宋"/>
          <w:sz w:val="24"/>
          <w:szCs w:val="24"/>
        </w:rPr>
      </w:pPr>
      <w:r>
        <w:rPr>
          <w:rFonts w:hint="eastAsia" w:ascii="仿宋" w:hAnsi="仿宋" w:eastAsia="仿宋" w:cs="仿宋"/>
          <w:sz w:val="24"/>
          <w:szCs w:val="24"/>
        </w:rPr>
        <w:t>2.5 提交报告</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监理人应按专用条件约定的种类、时间和份数向委托人提交监理与相关服务的报告。</w:t>
      </w:r>
    </w:p>
    <w:p>
      <w:pPr>
        <w:spacing w:line="360" w:lineRule="exact"/>
        <w:rPr>
          <w:rFonts w:hint="eastAsia" w:ascii="仿宋" w:hAnsi="仿宋" w:eastAsia="仿宋" w:cs="仿宋"/>
          <w:sz w:val="24"/>
          <w:szCs w:val="24"/>
        </w:rPr>
      </w:pPr>
      <w:r>
        <w:rPr>
          <w:rFonts w:hint="eastAsia" w:ascii="仿宋" w:hAnsi="仿宋" w:eastAsia="仿宋" w:cs="仿宋"/>
          <w:sz w:val="24"/>
          <w:szCs w:val="24"/>
        </w:rPr>
        <w:t>2.6 文件资料</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在本合同履行期内，监理人应在现场保留工作所用的图纸、报告及记录监理工作的相关文件。工程竣工后，应当按照档案管理规定将监理有关文件归档。</w:t>
      </w:r>
    </w:p>
    <w:p>
      <w:pPr>
        <w:spacing w:line="360" w:lineRule="exact"/>
        <w:rPr>
          <w:rFonts w:hint="eastAsia" w:ascii="仿宋" w:hAnsi="仿宋" w:eastAsia="仿宋" w:cs="仿宋"/>
          <w:sz w:val="24"/>
          <w:szCs w:val="24"/>
        </w:rPr>
      </w:pPr>
      <w:r>
        <w:rPr>
          <w:rFonts w:hint="eastAsia" w:ascii="仿宋" w:hAnsi="仿宋" w:eastAsia="仿宋" w:cs="仿宋"/>
          <w:sz w:val="24"/>
          <w:szCs w:val="24"/>
        </w:rPr>
        <w:t>2.7 使用委托人的财产</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exact"/>
        <w:rPr>
          <w:rFonts w:hint="eastAsia" w:ascii="仿宋" w:hAnsi="仿宋" w:eastAsia="仿宋" w:cs="仿宋"/>
          <w:b/>
          <w:sz w:val="24"/>
          <w:szCs w:val="24"/>
        </w:rPr>
      </w:pPr>
      <w:r>
        <w:rPr>
          <w:rFonts w:hint="eastAsia" w:ascii="仿宋" w:hAnsi="仿宋" w:eastAsia="仿宋" w:cs="仿宋"/>
          <w:b/>
          <w:sz w:val="24"/>
          <w:szCs w:val="24"/>
        </w:rPr>
        <w:t>3、委托人的义务</w:t>
      </w:r>
    </w:p>
    <w:p>
      <w:pPr>
        <w:spacing w:line="360" w:lineRule="exact"/>
        <w:rPr>
          <w:rFonts w:hint="eastAsia" w:ascii="仿宋" w:hAnsi="仿宋" w:eastAsia="仿宋" w:cs="仿宋"/>
          <w:sz w:val="24"/>
          <w:szCs w:val="24"/>
        </w:rPr>
      </w:pPr>
      <w:r>
        <w:rPr>
          <w:rFonts w:hint="eastAsia" w:ascii="仿宋" w:hAnsi="仿宋" w:eastAsia="仿宋" w:cs="仿宋"/>
          <w:sz w:val="24"/>
          <w:szCs w:val="24"/>
        </w:rPr>
        <w:t>3.1 告知</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委托人应在委托人与承包人签订的合同中明确监理人、总监理工程师和授予项目监理机构的权限。如有变更，应及时通知承包人。</w:t>
      </w:r>
    </w:p>
    <w:p>
      <w:pPr>
        <w:spacing w:line="360" w:lineRule="exact"/>
        <w:rPr>
          <w:rFonts w:hint="eastAsia" w:ascii="仿宋" w:hAnsi="仿宋" w:eastAsia="仿宋" w:cs="仿宋"/>
          <w:sz w:val="24"/>
          <w:szCs w:val="24"/>
        </w:rPr>
      </w:pPr>
      <w:r>
        <w:rPr>
          <w:rFonts w:hint="eastAsia" w:ascii="仿宋" w:hAnsi="仿宋" w:eastAsia="仿宋" w:cs="仿宋"/>
          <w:sz w:val="24"/>
          <w:szCs w:val="24"/>
        </w:rPr>
        <w:t>3.2 提供资料</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委托人应按照附录B约定，无偿向监理人提供工程有关的资料。在本合同履行过程中，委托人应及时向监理人提供最新的与工程有关的资料。</w:t>
      </w:r>
    </w:p>
    <w:p>
      <w:pPr>
        <w:spacing w:line="360" w:lineRule="exact"/>
        <w:rPr>
          <w:rFonts w:hint="eastAsia" w:ascii="仿宋" w:hAnsi="仿宋" w:eastAsia="仿宋" w:cs="仿宋"/>
          <w:sz w:val="24"/>
          <w:szCs w:val="24"/>
        </w:rPr>
      </w:pPr>
      <w:r>
        <w:rPr>
          <w:rFonts w:hint="eastAsia" w:ascii="仿宋" w:hAnsi="仿宋" w:eastAsia="仿宋" w:cs="仿宋"/>
          <w:sz w:val="24"/>
          <w:szCs w:val="24"/>
        </w:rPr>
        <w:t>3.3 提供工作条件</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委托人应为监理人完成监理与相关服务提供必要的条件。</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3.3.1 委托人应按照附录B约定，派遣相应的人员，提供房屋、设备，供监理人无偿使用。</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3.3.2 委托人应负责协调工程建设中所有外部关系，为监理人履行本合同提供必要的外部条件。</w:t>
      </w:r>
    </w:p>
    <w:p>
      <w:pPr>
        <w:snapToGrid w:val="0"/>
        <w:spacing w:line="360" w:lineRule="exact"/>
        <w:rPr>
          <w:rFonts w:hint="eastAsia" w:ascii="仿宋" w:hAnsi="仿宋" w:eastAsia="仿宋" w:cs="仿宋"/>
          <w:sz w:val="24"/>
          <w:szCs w:val="24"/>
        </w:rPr>
      </w:pPr>
      <w:r>
        <w:rPr>
          <w:rFonts w:hint="eastAsia" w:ascii="仿宋" w:hAnsi="仿宋" w:eastAsia="仿宋" w:cs="仿宋"/>
          <w:sz w:val="24"/>
          <w:szCs w:val="24"/>
        </w:rPr>
        <w:t>3.4 委托人代表</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exact"/>
        <w:rPr>
          <w:rFonts w:hint="eastAsia" w:ascii="仿宋" w:hAnsi="仿宋" w:eastAsia="仿宋" w:cs="仿宋"/>
          <w:sz w:val="24"/>
          <w:szCs w:val="24"/>
        </w:rPr>
      </w:pPr>
      <w:r>
        <w:rPr>
          <w:rFonts w:hint="eastAsia" w:ascii="仿宋" w:hAnsi="仿宋" w:eastAsia="仿宋" w:cs="仿宋"/>
          <w:sz w:val="24"/>
          <w:szCs w:val="24"/>
        </w:rPr>
        <w:t>3.5 委托人意见或要求</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在本合同约定的监理与相关服务工作范围内，委托人对承包人的任何意见或要求应通知监理人，由监理人向承包人发出相应指令。</w:t>
      </w:r>
    </w:p>
    <w:p>
      <w:pPr>
        <w:snapToGrid w:val="0"/>
        <w:spacing w:line="360" w:lineRule="exact"/>
        <w:rPr>
          <w:rFonts w:hint="eastAsia" w:ascii="仿宋" w:hAnsi="仿宋" w:eastAsia="仿宋" w:cs="仿宋"/>
          <w:sz w:val="24"/>
          <w:szCs w:val="24"/>
        </w:rPr>
      </w:pPr>
      <w:r>
        <w:rPr>
          <w:rFonts w:hint="eastAsia" w:ascii="仿宋" w:hAnsi="仿宋" w:eastAsia="仿宋" w:cs="仿宋"/>
          <w:sz w:val="24"/>
          <w:szCs w:val="24"/>
        </w:rPr>
        <w:t>3.6 答复</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委托人应在专用条件约定的时间内，对监理人以书面形式提交并要求作出决定的事宜，给予书面答复。逾期未答复的，视为委托人认可。</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 支付</w:t>
      </w:r>
    </w:p>
    <w:p>
      <w:pPr>
        <w:snapToGrid w:val="0"/>
        <w:spacing w:line="360" w:lineRule="exact"/>
        <w:rPr>
          <w:rFonts w:hint="eastAsia" w:ascii="仿宋" w:hAnsi="仿宋" w:eastAsia="仿宋" w:cs="仿宋"/>
          <w:sz w:val="24"/>
          <w:szCs w:val="24"/>
        </w:rPr>
      </w:pP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委托人应按本合同约定，向监理人支付酬金。</w:t>
      </w:r>
    </w:p>
    <w:p>
      <w:pPr>
        <w:snapToGrid w:val="0"/>
        <w:spacing w:line="3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4、违约责任</w:t>
      </w:r>
    </w:p>
    <w:p>
      <w:pPr>
        <w:spacing w:line="360" w:lineRule="exact"/>
        <w:rPr>
          <w:rFonts w:hint="eastAsia" w:ascii="仿宋" w:hAnsi="仿宋" w:eastAsia="仿宋" w:cs="仿宋"/>
          <w:sz w:val="24"/>
          <w:szCs w:val="24"/>
        </w:rPr>
      </w:pPr>
      <w:r>
        <w:rPr>
          <w:rFonts w:hint="eastAsia" w:ascii="仿宋" w:hAnsi="仿宋" w:eastAsia="仿宋" w:cs="仿宋"/>
          <w:sz w:val="24"/>
          <w:szCs w:val="24"/>
        </w:rPr>
        <w:t>4.1 监理人的违约责任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监理人未履行本合同义务的，应承担相应的责任。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4.1.1 因监理人违反本合同约定给委托人造成损失的，监理人应当赔偿委托人损失。赔偿金额的确定方法在专用条件中约定。监理人承担部分赔偿责任的，其承担赔偿金额由双方协商确定。</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4.1.2 监理人向委托人的索赔不成立时，监理人应赔偿委托人由此发生的费用。</w:t>
      </w:r>
    </w:p>
    <w:p>
      <w:pPr>
        <w:snapToGrid w:val="0"/>
        <w:spacing w:line="360" w:lineRule="exact"/>
        <w:rPr>
          <w:rFonts w:hint="eastAsia" w:ascii="仿宋" w:hAnsi="仿宋" w:eastAsia="仿宋" w:cs="仿宋"/>
          <w:sz w:val="24"/>
          <w:szCs w:val="24"/>
        </w:rPr>
      </w:pPr>
      <w:r>
        <w:rPr>
          <w:rFonts w:hint="eastAsia" w:ascii="仿宋" w:hAnsi="仿宋" w:eastAsia="仿宋" w:cs="仿宋"/>
          <w:sz w:val="24"/>
          <w:szCs w:val="24"/>
        </w:rPr>
        <w:t>4.2 委托人的违约责任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委托人未履行本合同义务的，应承担相应的责任。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4.2.1 委托人违反本合同约定造成监理人损失的，委托人应予以赔偿。</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4.2.2 委托人向监理人的索赔不成立时，应赔偿监理人由此引起的费用。</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4.2.3 委托人未能按期支付酬金超过28天，应按专用条件约定支付逾期付款利息。</w:t>
      </w:r>
    </w:p>
    <w:p>
      <w:pPr>
        <w:spacing w:line="360" w:lineRule="exact"/>
        <w:rPr>
          <w:rFonts w:hint="eastAsia" w:ascii="仿宋" w:hAnsi="仿宋" w:eastAsia="仿宋" w:cs="仿宋"/>
          <w:sz w:val="24"/>
          <w:szCs w:val="24"/>
        </w:rPr>
      </w:pPr>
      <w:r>
        <w:rPr>
          <w:rFonts w:hint="eastAsia" w:ascii="仿宋" w:hAnsi="仿宋" w:eastAsia="仿宋" w:cs="仿宋"/>
          <w:sz w:val="24"/>
          <w:szCs w:val="24"/>
        </w:rPr>
        <w:t>4.3 除外责任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因非监理人的原因，且监理人无过错，发生工程质量事故、安全事故、工期延误等造成的损失，监理人不承担赔偿责任。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因不可抗力导致本合同全部或部分不能履行时，双方各自承担其因此而造成的损失、损害。</w:t>
      </w:r>
    </w:p>
    <w:p>
      <w:pPr>
        <w:snapToGrid w:val="0"/>
        <w:spacing w:line="360" w:lineRule="exact"/>
        <w:rPr>
          <w:rFonts w:hint="eastAsia" w:ascii="仿宋" w:hAnsi="仿宋" w:eastAsia="仿宋" w:cs="仿宋"/>
          <w:b/>
          <w:bCs/>
          <w:sz w:val="24"/>
          <w:szCs w:val="24"/>
        </w:rPr>
      </w:pPr>
      <w:r>
        <w:rPr>
          <w:rFonts w:hint="eastAsia" w:ascii="仿宋" w:hAnsi="仿宋" w:eastAsia="仿宋" w:cs="仿宋"/>
          <w:b/>
          <w:bCs/>
          <w:sz w:val="24"/>
          <w:szCs w:val="24"/>
        </w:rPr>
        <w:t>5、支付</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5.1 </w:t>
      </w:r>
      <w:r>
        <w:rPr>
          <w:rFonts w:hint="eastAsia" w:ascii="仿宋" w:hAnsi="仿宋" w:eastAsia="仿宋" w:cs="仿宋"/>
          <w:bCs/>
          <w:sz w:val="24"/>
          <w:szCs w:val="24"/>
        </w:rPr>
        <w:t>支付货币</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除专用条件另有约定外，酬金均以人民币支付。涉及外币支付的，所采用的货币种类、比例和汇率在专用条件中约定。</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5.2 支付申请</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监理人应在本合同约定的每次应付款时间的7天前，向委托人提交支付申请书。支付申请书应当说明当期应付款总额，并列出当期应支付的款项及其金额。</w:t>
      </w:r>
    </w:p>
    <w:p>
      <w:pPr>
        <w:snapToGrid w:val="0"/>
        <w:spacing w:line="360" w:lineRule="exact"/>
        <w:rPr>
          <w:rFonts w:hint="eastAsia" w:ascii="仿宋" w:hAnsi="仿宋" w:eastAsia="仿宋" w:cs="仿宋"/>
          <w:sz w:val="24"/>
          <w:szCs w:val="24"/>
        </w:rPr>
      </w:pPr>
      <w:r>
        <w:rPr>
          <w:rFonts w:hint="eastAsia" w:ascii="仿宋" w:hAnsi="仿宋" w:eastAsia="仿宋" w:cs="仿宋"/>
          <w:sz w:val="24"/>
          <w:szCs w:val="24"/>
        </w:rPr>
        <w:t>5.3 支付酬金</w:t>
      </w:r>
    </w:p>
    <w:p>
      <w:pPr>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支付的酬金包括正常工作酬金、附加工作酬金、合理化建议奖励金额及费用。</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5.4 </w:t>
      </w:r>
      <w:r>
        <w:rPr>
          <w:rFonts w:hint="eastAsia" w:ascii="仿宋" w:hAnsi="仿宋" w:eastAsia="仿宋" w:cs="仿宋"/>
          <w:bCs/>
          <w:sz w:val="24"/>
          <w:szCs w:val="24"/>
        </w:rPr>
        <w:t>有争议部分的付款</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exact"/>
        <w:rPr>
          <w:rFonts w:hint="eastAsia" w:ascii="仿宋" w:hAnsi="仿宋" w:eastAsia="仿宋" w:cs="仿宋"/>
          <w:b/>
          <w:bCs/>
          <w:sz w:val="24"/>
          <w:szCs w:val="24"/>
        </w:rPr>
      </w:pPr>
      <w:r>
        <w:rPr>
          <w:rFonts w:hint="eastAsia" w:ascii="仿宋" w:hAnsi="仿宋" w:eastAsia="仿宋" w:cs="仿宋"/>
          <w:b/>
          <w:bCs/>
          <w:sz w:val="24"/>
          <w:szCs w:val="24"/>
        </w:rPr>
        <w:t>6、合同生效、变更、暂停、解除与终止</w:t>
      </w:r>
    </w:p>
    <w:p>
      <w:pPr>
        <w:spacing w:line="360" w:lineRule="exact"/>
        <w:rPr>
          <w:rFonts w:hint="eastAsia" w:ascii="仿宋" w:hAnsi="仿宋" w:eastAsia="仿宋" w:cs="仿宋"/>
          <w:sz w:val="24"/>
          <w:szCs w:val="24"/>
        </w:rPr>
      </w:pPr>
      <w:r>
        <w:rPr>
          <w:rFonts w:hint="eastAsia" w:ascii="仿宋" w:hAnsi="仿宋" w:eastAsia="仿宋" w:cs="仿宋"/>
          <w:sz w:val="24"/>
          <w:szCs w:val="24"/>
        </w:rPr>
        <w:t>6.1 生效</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除法律另有规定或者专用条件另有约定外，委托人和监理人的法定代表人或其授权代理人在协议书上签字并盖单位公章后本合同生效。</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6.2 </w:t>
      </w:r>
      <w:r>
        <w:rPr>
          <w:rFonts w:hint="eastAsia" w:ascii="仿宋" w:hAnsi="仿宋" w:eastAsia="仿宋" w:cs="仿宋"/>
          <w:bCs/>
          <w:sz w:val="24"/>
          <w:szCs w:val="24"/>
        </w:rPr>
        <w:t>变更</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6.2.1 任何一方提出变更请求时，双方经协商一致后可进行变更。</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6.2.4合同签订后，遇有与工程相关的法律法规、标准颁布或修订的，双方应遵照执行。由此引起监理与相关服务的范围、时间、酬金变化的，双方应通过协商进行相应调整。</w:t>
      </w:r>
    </w:p>
    <w:p>
      <w:pPr>
        <w:snapToGrid w:val="0"/>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6.2.5因非监理人原因造成工程概算投资额或建筑安装工程费增加时，正常工作酬金应作相应调整。调整方法在专用条件中约定。</w:t>
      </w:r>
    </w:p>
    <w:p>
      <w:pPr>
        <w:snapToGrid w:val="0"/>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6.2.6因工程规模、监理范围的变化导致监理人的正常工作量减少时，正常工作酬金应作相应调整。调整方法在专用条件中约定。</w:t>
      </w:r>
    </w:p>
    <w:p>
      <w:pPr>
        <w:spacing w:line="380" w:lineRule="exact"/>
        <w:ind w:firstLine="482"/>
        <w:rPr>
          <w:rFonts w:hint="eastAsia" w:ascii="仿宋" w:hAnsi="仿宋" w:eastAsia="仿宋" w:cs="仿宋"/>
          <w:sz w:val="24"/>
          <w:szCs w:val="24"/>
        </w:rPr>
      </w:pPr>
      <w:r>
        <w:rPr>
          <w:rFonts w:hint="eastAsia" w:ascii="仿宋" w:hAnsi="仿宋" w:eastAsia="仿宋" w:cs="仿宋"/>
          <w:sz w:val="24"/>
          <w:szCs w:val="24"/>
        </w:rPr>
        <w:t>6.3 暂停与</w:t>
      </w:r>
      <w:r>
        <w:rPr>
          <w:rFonts w:hint="eastAsia" w:ascii="仿宋" w:hAnsi="仿宋" w:eastAsia="仿宋" w:cs="仿宋"/>
          <w:bCs/>
          <w:sz w:val="24"/>
          <w:szCs w:val="24"/>
        </w:rPr>
        <w:t>解除</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除双方协商一致可以解除本合同外，当一方无正当理由未履行本合同约定的义务时，另一方可以根据本合同约定暂停履行本合同直至解除本合同。</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因解除本合同或解除监理人的部分义务导致监理人遭受的损失，除依法可以免除责任的情况外，应由委托人予以补偿，补偿金额由双方协商确定。</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解除本合同的协议必须采取书面形式，协议未达成之前，本合同仍然有效。</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6.3.5 因不可抗力致使本合同部分或全部不能履行时，一方应立即通知另一方，可暂停或解除本合同。</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6.3.6 本合同解除后，本合同约定的有关结算、清理、争议解决方式的条件仍然有效。</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6.4 </w:t>
      </w:r>
      <w:r>
        <w:rPr>
          <w:rFonts w:hint="eastAsia" w:ascii="仿宋" w:hAnsi="仿宋" w:eastAsia="仿宋" w:cs="仿宋"/>
          <w:bCs/>
          <w:sz w:val="24"/>
          <w:szCs w:val="24"/>
        </w:rPr>
        <w:t>终止</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以下条件全部满足时，本合同即告终止：</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（1）监理人完成本合同约定的全部工作；</w:t>
      </w:r>
    </w:p>
    <w:p>
      <w:pPr>
        <w:snapToGrid w:val="0"/>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（2）委托人与监理人结清并支付全部酬金。</w:t>
      </w:r>
    </w:p>
    <w:p>
      <w:pPr>
        <w:snapToGrid w:val="0"/>
        <w:spacing w:line="360" w:lineRule="exact"/>
        <w:rPr>
          <w:rFonts w:hint="eastAsia" w:ascii="仿宋" w:hAnsi="仿宋" w:eastAsia="仿宋" w:cs="仿宋"/>
          <w:b/>
          <w:bCs/>
          <w:sz w:val="24"/>
          <w:szCs w:val="24"/>
        </w:rPr>
      </w:pPr>
      <w:r>
        <w:rPr>
          <w:rFonts w:hint="eastAsia" w:ascii="仿宋" w:hAnsi="仿宋" w:eastAsia="仿宋" w:cs="仿宋"/>
          <w:b/>
          <w:bCs/>
          <w:sz w:val="24"/>
          <w:szCs w:val="24"/>
        </w:rPr>
        <w:t>7、争议解决</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7.1 </w:t>
      </w:r>
      <w:r>
        <w:rPr>
          <w:rFonts w:hint="eastAsia" w:ascii="仿宋" w:hAnsi="仿宋" w:eastAsia="仿宋" w:cs="仿宋"/>
          <w:bCs/>
          <w:sz w:val="24"/>
          <w:szCs w:val="24"/>
        </w:rPr>
        <w:t>协商</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双方应本着诚信原则协商解决彼此间的争议。</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7.2 </w:t>
      </w:r>
      <w:r>
        <w:rPr>
          <w:rFonts w:hint="eastAsia" w:ascii="仿宋" w:hAnsi="仿宋" w:eastAsia="仿宋" w:cs="仿宋"/>
          <w:bCs/>
          <w:sz w:val="24"/>
          <w:szCs w:val="24"/>
        </w:rPr>
        <w:t>调解</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如果双方不能在14天内或双方商定的其他时间内解决本合同争议，可以将其提交给专用条件约定的或事后达成协议的调解人进行调解。</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7.3</w:t>
      </w:r>
      <w:r>
        <w:rPr>
          <w:rFonts w:hint="eastAsia" w:ascii="仿宋" w:hAnsi="仿宋" w:eastAsia="仿宋" w:cs="仿宋"/>
          <w:bCs/>
          <w:sz w:val="24"/>
          <w:szCs w:val="24"/>
        </w:rPr>
        <w:t>仲裁或诉讼</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双方均有权不经调解直接向专用条件约定的仲裁机构申请仲裁或向有管辖权的人民法院提起诉讼。</w:t>
      </w:r>
    </w:p>
    <w:p>
      <w:pPr>
        <w:snapToGrid w:val="0"/>
        <w:spacing w:line="360" w:lineRule="exact"/>
        <w:rPr>
          <w:rFonts w:hint="eastAsia" w:ascii="仿宋" w:hAnsi="仿宋" w:eastAsia="仿宋" w:cs="仿宋"/>
          <w:b/>
          <w:bCs/>
          <w:sz w:val="24"/>
          <w:szCs w:val="24"/>
        </w:rPr>
      </w:pPr>
      <w:r>
        <w:rPr>
          <w:rFonts w:hint="eastAsia" w:ascii="仿宋" w:hAnsi="仿宋" w:eastAsia="仿宋" w:cs="仿宋"/>
          <w:b/>
          <w:bCs/>
          <w:sz w:val="24"/>
          <w:szCs w:val="24"/>
        </w:rPr>
        <w:t>8、其他</w:t>
      </w:r>
    </w:p>
    <w:p>
      <w:pPr>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8.1 </w:t>
      </w:r>
      <w:r>
        <w:rPr>
          <w:rFonts w:hint="eastAsia" w:ascii="仿宋" w:hAnsi="仿宋" w:eastAsia="仿宋" w:cs="仿宋"/>
          <w:bCs/>
          <w:sz w:val="24"/>
          <w:szCs w:val="24"/>
        </w:rPr>
        <w:t>外出考察费用</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经委托人同意，监理人员外出考察发生的费用由委托人审核后支付。</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8.2 </w:t>
      </w:r>
      <w:r>
        <w:rPr>
          <w:rFonts w:hint="eastAsia" w:ascii="仿宋" w:hAnsi="仿宋" w:eastAsia="仿宋" w:cs="仿宋"/>
          <w:bCs/>
          <w:sz w:val="24"/>
          <w:szCs w:val="24"/>
        </w:rPr>
        <w:t>检测费用</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委托人要求监理人进行的材料和设备检测所发生的费用，由委托人支付，支付时间在专用条件中约定。</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8.3 </w:t>
      </w:r>
      <w:r>
        <w:rPr>
          <w:rFonts w:hint="eastAsia" w:ascii="仿宋" w:hAnsi="仿宋" w:eastAsia="仿宋" w:cs="仿宋"/>
          <w:bCs/>
          <w:sz w:val="24"/>
          <w:szCs w:val="24"/>
        </w:rPr>
        <w:t>咨询费用</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经委托人同意，根据工程需要由监理人组织的相关咨询论证会以及聘请相关专家等发生的费用由委托人支付，支付时间在专用条件中约定。</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8.4 </w:t>
      </w:r>
      <w:r>
        <w:rPr>
          <w:rFonts w:hint="eastAsia" w:ascii="仿宋" w:hAnsi="仿宋" w:eastAsia="仿宋" w:cs="仿宋"/>
          <w:bCs/>
          <w:sz w:val="24"/>
          <w:szCs w:val="24"/>
        </w:rPr>
        <w:t>奖励</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8.5 </w:t>
      </w:r>
      <w:r>
        <w:rPr>
          <w:rFonts w:hint="eastAsia" w:ascii="仿宋" w:hAnsi="仿宋" w:eastAsia="仿宋" w:cs="仿宋"/>
          <w:bCs/>
          <w:sz w:val="24"/>
          <w:szCs w:val="24"/>
        </w:rPr>
        <w:t>守法诚信</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监理人及其工作人员不得从与实施工程有关的第三方处获得任何经济利益。</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8.6 </w:t>
      </w:r>
      <w:r>
        <w:rPr>
          <w:rFonts w:hint="eastAsia" w:ascii="仿宋" w:hAnsi="仿宋" w:eastAsia="仿宋" w:cs="仿宋"/>
          <w:bCs/>
          <w:sz w:val="24"/>
          <w:szCs w:val="24"/>
        </w:rPr>
        <w:t>保密</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双方不得泄露对方申明的保密资料，亦不得泄露与实施工程有关的第三方所提供的保密资料，保密事项在专用条件中约定。</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8.7 </w:t>
      </w:r>
      <w:r>
        <w:rPr>
          <w:rFonts w:hint="eastAsia" w:ascii="仿宋" w:hAnsi="仿宋" w:eastAsia="仿宋" w:cs="仿宋"/>
          <w:bCs/>
          <w:sz w:val="24"/>
          <w:szCs w:val="24"/>
        </w:rPr>
        <w:t>通知</w:t>
      </w:r>
    </w:p>
    <w:p>
      <w:pPr>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本合同涉及的通知均应当采用书面形式，并在送达对方时生效，收件人应书面签收。</w:t>
      </w:r>
    </w:p>
    <w:p>
      <w:pPr>
        <w:snapToGrid w:val="0"/>
        <w:spacing w:line="360" w:lineRule="exact"/>
        <w:rPr>
          <w:rFonts w:hint="eastAsia" w:ascii="仿宋" w:hAnsi="仿宋" w:eastAsia="仿宋" w:cs="仿宋"/>
          <w:bCs/>
          <w:sz w:val="24"/>
          <w:szCs w:val="24"/>
        </w:rPr>
      </w:pPr>
      <w:r>
        <w:rPr>
          <w:rFonts w:hint="eastAsia" w:ascii="仿宋" w:hAnsi="仿宋" w:eastAsia="仿宋" w:cs="仿宋"/>
          <w:sz w:val="24"/>
          <w:szCs w:val="24"/>
        </w:rPr>
        <w:t xml:space="preserve">8.8 </w:t>
      </w:r>
      <w:r>
        <w:rPr>
          <w:rFonts w:hint="eastAsia" w:ascii="仿宋" w:hAnsi="仿宋" w:eastAsia="仿宋" w:cs="仿宋"/>
          <w:bCs/>
          <w:sz w:val="24"/>
          <w:szCs w:val="24"/>
        </w:rPr>
        <w:t>著作权</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监理人对其编制的文件拥有著作权。</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34"/>
        <w:adjustRightInd w:val="0"/>
        <w:snapToGrid w:val="0"/>
        <w:spacing w:before="120" w:beforeLines="0" w:after="120" w:afterLines="0" w:line="460" w:lineRule="exact"/>
        <w:rPr>
          <w:rFonts w:hint="eastAsia" w:ascii="仿宋" w:hAnsi="仿宋" w:eastAsia="仿宋" w:cs="仿宋"/>
          <w:snapToGrid w:val="0"/>
          <w:kern w:val="0"/>
          <w:sz w:val="24"/>
          <w:szCs w:val="24"/>
        </w:rPr>
      </w:pPr>
    </w:p>
    <w:p>
      <w:pPr>
        <w:pStyle w:val="34"/>
        <w:adjustRightInd w:val="0"/>
        <w:snapToGrid w:val="0"/>
        <w:spacing w:before="120" w:beforeLines="0" w:after="120" w:afterLines="0" w:line="460" w:lineRule="exact"/>
        <w:rPr>
          <w:rFonts w:hint="eastAsia" w:ascii="仿宋" w:hAnsi="仿宋" w:eastAsia="仿宋" w:cs="仿宋"/>
          <w:snapToGrid w:val="0"/>
          <w:kern w:val="0"/>
          <w:sz w:val="24"/>
          <w:szCs w:val="24"/>
        </w:rPr>
      </w:pPr>
    </w:p>
    <w:p>
      <w:pPr>
        <w:pageBreakBefore/>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第三部分  专用条款</w:t>
      </w:r>
    </w:p>
    <w:p>
      <w:pPr>
        <w:spacing w:line="400" w:lineRule="exact"/>
        <w:jc w:val="center"/>
        <w:rPr>
          <w:rFonts w:hint="eastAsia" w:ascii="仿宋" w:hAnsi="仿宋" w:eastAsia="仿宋" w:cs="仿宋"/>
          <w:b/>
          <w:sz w:val="24"/>
          <w:szCs w:val="24"/>
        </w:rPr>
      </w:pPr>
    </w:p>
    <w:p>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1、定义与解释</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 解释</w:t>
      </w:r>
    </w:p>
    <w:p>
      <w:pPr>
        <w:snapToGrid w:val="0"/>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1.2.1约定本合同文件的解释顺序为：</w:t>
      </w:r>
      <w:r>
        <w:rPr>
          <w:rFonts w:hint="eastAsia" w:ascii="仿宋" w:hAnsi="仿宋" w:eastAsia="仿宋" w:cs="仿宋"/>
          <w:b/>
          <w:sz w:val="24"/>
          <w:szCs w:val="24"/>
          <w:u w:val="single"/>
        </w:rPr>
        <w:t>（1）委托人和监理人签署的补充协议或补充合同；（2）本合同协议书；（3）中标通知书；（4）专用条款及附录A、附录B；（5）通用条款；（6）投标文件；（7）招标文件。</w:t>
      </w:r>
    </w:p>
    <w:p>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2、监理人义务</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监理的范围和</w:t>
      </w:r>
      <w:r>
        <w:rPr>
          <w:rFonts w:hint="eastAsia" w:ascii="仿宋" w:hAnsi="仿宋" w:eastAsia="仿宋" w:cs="仿宋"/>
          <w:bCs/>
          <w:sz w:val="24"/>
          <w:szCs w:val="24"/>
        </w:rPr>
        <w:t>内容</w:t>
      </w:r>
    </w:p>
    <w:p>
      <w:pPr>
        <w:spacing w:line="40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2.1.1监理范围包括：</w:t>
      </w:r>
      <w:r>
        <w:rPr>
          <w:rFonts w:hint="eastAsia" w:ascii="仿宋" w:hAnsi="仿宋" w:eastAsia="仿宋" w:cs="仿宋"/>
          <w:b/>
          <w:sz w:val="24"/>
          <w:szCs w:val="24"/>
          <w:u w:val="single"/>
        </w:rPr>
        <w:t xml:space="preserve">                                                 </w:t>
      </w:r>
      <w:r>
        <w:rPr>
          <w:rFonts w:hint="eastAsia" w:ascii="仿宋" w:hAnsi="仿宋" w:eastAsia="仿宋" w:cs="仿宋"/>
          <w:sz w:val="24"/>
          <w:szCs w:val="24"/>
        </w:rPr>
        <w:t xml:space="preserve"> </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2.1.2监理工作内容还包括</w:t>
      </w:r>
      <w:r>
        <w:rPr>
          <w:rFonts w:hint="eastAsia" w:ascii="仿宋" w:hAnsi="仿宋" w:eastAsia="仿宋" w:cs="仿宋"/>
          <w:b/>
          <w:sz w:val="24"/>
          <w:szCs w:val="24"/>
        </w:rPr>
        <w:t>（可在包含的内容前打√）</w:t>
      </w:r>
      <w:r>
        <w:rPr>
          <w:rFonts w:hint="eastAsia" w:ascii="仿宋" w:hAnsi="仿宋" w:eastAsia="仿宋" w:cs="仿宋"/>
          <w:sz w:val="24"/>
          <w:szCs w:val="24"/>
        </w:rPr>
        <w:t>：</w:t>
      </w:r>
    </w:p>
    <w:p>
      <w:pPr>
        <w:pStyle w:val="783"/>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2.1.2.1设计部分</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协助委托人审查本工程施工设计图纸文件及施工图涉及的质量和概（预）算，对设计中可能存在的过于保守或欠安全的双重问题应向设计单位及时提出书面修正意见，并及时以书面形式向委托人提交工程施工图的图纸核查意见；</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（2）协助委托人管理与设计单位签订的有关合同、协议，监督设计单位按合同和协议要求及时供应合格的设计文件；</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（3）协助委托人核查设计文件和各项设计变更，提出意见和优化建议；</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（4）及时向工程承建单位签发设计文件，发现问题及时与审计单位联系，并向委托人报告；</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（5）协助委托人组织设计单位进行现场设计交底与图纸会审；</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（6）协助委托人会同设计单位对重大技术问题和优化设计进行专题讨论；</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（7）审核施工单位对设计文件的意见和建议，会同设计单位进行研究，并督促设计单位尽快给予答复；</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（8）保管所有设计文件及过程资料，监理服务期限届满或本合同终止时移交给委托人；</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（9）其它相关业务。</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2.1.2.2施工方面</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（1）全面管理施工合同；</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（2）监督委托人按合同规定落实必须提供的施工条件，检查工程承建单位的开工准备工作；</w:t>
      </w:r>
    </w:p>
    <w:p>
      <w:pPr>
        <w:pStyle w:val="783"/>
        <w:widowControl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审批承建单位提交的施工组织设计、施工技术措施计划、作业规程、工艺试验成果、临建工程设计以及使用的原材料等；审查承包商采购清单，检查工程使用材料、构件和设备的品牌、规格、质量与数量；督促施工单位编制材料的供需计划，协助委托人安排落实甲供材料；</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（4）签发补充的设计文件，技术规范等，答复承建单位提出的建议和意见；</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工程进度控制：协助委托人编制工程控制性进度计划，提出工程控制性进行目标，并以此为基础审查批准承建单位提出的施工实施进度计划，检查其实施情况，监督承建单位采取切实措施实现合同目标要求；当实施进度发生较大偏差时，及时向委托人提出调整控制性进度计划的建议意见，并在通过委托人批准后完成其调整；</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6）施工质量控制：审查承建单位的质量控制体系和措施，核实质量文件。依据工程建设合同文件、设计文件、技术规范与质量检验标准，对施工前准备工作进行检查，对施工工序与资源投入进行监督，以单元工程为基础，对基础工程、隐蔽工程、分项分部工程的质量进行检查、签证和施工质量的评价；组织质量事故调查，分类评定质量事故等级，审批质量事故处理措施；</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7）工程造价控制：协助委托人编制投资控制目标和分年度投资计划，审核承建单位提交的工程计量及费用等，并签发付款凭证；参与设计变更、施工变更的签证，复核变更的工程量，并审核新增零星工程造价，受理索赔申请，进行索赔调查和谈判，并提出处理意见；依据委托人授权处理合同与工程变更，下达变更指令；</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（8）施工安全监督：审核安全施工专项方案；审查施工安全措施、劳动防护和环境保护设施等，并负责检查、监督落实执行；参加重大安全事故调查并提出处理意见；</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（9）主持监理合同授权范围内工程建设各方协调工作，编发施工协调会议纪要；</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（10）协助委托人按国家规定进行工程各阶段验收、单位工程验收及竣工验收，提交相应的工程建设监理报告，审查设计单位、委托人和施工单位编制的竣工图纸和资料，监督施工单位整理施工归档文件；</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（11）信息管理：监理人应做好施工现场监理记录与信息反馈。按要求编制监理月、年报，对工程资料及档案按期进行整编和管理，并在工程竣工验收或监理服务期结束后移交委托人；</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（12）工程缺陷责任期内的协助：监理人应按委托人的要求，在质量保修期间发生质量事件时，协助委托人处理；</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（13）其他相关工作。</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2.1.2.3监理应向招标人提供的信息文件。</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（1）定期信息文件</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根据监理工程项目、范围及内容，随工程施工进展向委托人报送监理月报，其主要内容为：</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①施工质量情况；</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②工程进展情况；</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③进场施工机械设备及劳动力动态；</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④合同变更和工程变更情况；</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⑤工程支付情况；</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⑥监理工程情况；</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⑦工程建设大事记；</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⑧其他。</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（2）根据监理工程进展情况的不定期报告：</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①关于工程优化设计或变更或施工进展的建议；</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②资金、资源投入及合理配置的建议；</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③工程进展预测分析报告；</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④委托人合理要求提交的其他报告；</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⑤工程分阶段验收、竣工验收监理工作报告。</w:t>
      </w:r>
    </w:p>
    <w:p>
      <w:pPr>
        <w:pStyle w:val="783"/>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（3）监理过程文件</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①施工措施计划批复文件；</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②施工进度调整批复文件；</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③监理协调会议纪要文件；</w:t>
      </w:r>
    </w:p>
    <w:p>
      <w:pPr>
        <w:pStyle w:val="78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④其他监理业务往来文件；</w:t>
      </w:r>
    </w:p>
    <w:p>
      <w:pPr>
        <w:pStyle w:val="783"/>
        <w:spacing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⑤质量事故处理文件。</w:t>
      </w:r>
    </w:p>
    <w:p>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2.2 监理与相关服务依据</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2.2.1监理依据包括：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国家相关的法律、法规、规章；《建设工程监理规范》(GB/T50319-2013)及其他相关的技术规范、标准、图纸等</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00" w:lineRule="exact"/>
        <w:rPr>
          <w:rFonts w:hint="eastAsia" w:ascii="仿宋" w:hAnsi="仿宋" w:eastAsia="仿宋" w:cs="仿宋"/>
          <w:sz w:val="24"/>
          <w:szCs w:val="24"/>
        </w:rPr>
      </w:pPr>
      <w:r>
        <w:rPr>
          <w:rFonts w:hint="eastAsia" w:ascii="仿宋" w:hAnsi="仿宋" w:eastAsia="仿宋" w:cs="仿宋"/>
          <w:sz w:val="24"/>
          <w:szCs w:val="24"/>
        </w:rPr>
        <w:t>2.3 项目监理机构和人员</w:t>
      </w:r>
    </w:p>
    <w:p>
      <w:pPr>
        <w:spacing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val="0"/>
          <w:kern w:val="2"/>
          <w:sz w:val="24"/>
          <w:szCs w:val="24"/>
          <w:u w:val="none"/>
          <w:lang w:val="en-US" w:eastAsia="zh-CN" w:bidi="ar-SA"/>
        </w:rPr>
        <w:t xml:space="preserve">根据本项目涉及工程的规模、特点，为满足工程管理需要，监理人派驻本工程的主要监理人员包括：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514"/>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8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监理人员</w:t>
            </w:r>
          </w:p>
        </w:tc>
        <w:tc>
          <w:tcPr>
            <w:tcW w:w="151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人数</w:t>
            </w:r>
          </w:p>
        </w:tc>
        <w:tc>
          <w:tcPr>
            <w:tcW w:w="43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88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总监理工程师</w:t>
            </w:r>
          </w:p>
        </w:tc>
        <w:tc>
          <w:tcPr>
            <w:tcW w:w="151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1名</w:t>
            </w:r>
          </w:p>
        </w:tc>
        <w:tc>
          <w:tcPr>
            <w:tcW w:w="4348" w:type="dxa"/>
            <w:noWrap w:val="0"/>
            <w:vAlign w:val="center"/>
          </w:tcPr>
          <w:p>
            <w:pPr>
              <w:rPr>
                <w:rFonts w:hint="eastAsia" w:ascii="仿宋" w:hAnsi="仿宋" w:eastAsia="仿宋" w:cs="仿宋"/>
                <w:sz w:val="24"/>
              </w:rPr>
            </w:pPr>
            <w:r>
              <w:rPr>
                <w:rFonts w:hint="eastAsia" w:ascii="仿宋" w:hAnsi="仿宋" w:eastAsia="仿宋" w:cs="仿宋"/>
                <w:sz w:val="24"/>
                <w:szCs w:val="24"/>
              </w:rPr>
              <w:t>具有工程师中级及以上职称，并具备具有省级文物主管部门颁发的监理岗位证书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88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专业监理工程师</w:t>
            </w:r>
          </w:p>
        </w:tc>
        <w:tc>
          <w:tcPr>
            <w:tcW w:w="151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1名</w:t>
            </w:r>
          </w:p>
        </w:tc>
        <w:tc>
          <w:tcPr>
            <w:tcW w:w="4348" w:type="dxa"/>
            <w:noWrap w:val="0"/>
            <w:vAlign w:val="center"/>
          </w:tcPr>
          <w:p>
            <w:pPr>
              <w:jc w:val="left"/>
              <w:rPr>
                <w:rFonts w:hint="eastAsia" w:ascii="仿宋" w:hAnsi="仿宋" w:eastAsia="仿宋" w:cs="仿宋"/>
                <w:sz w:val="24"/>
                <w:szCs w:val="24"/>
              </w:rPr>
            </w:pPr>
            <w:r>
              <w:rPr>
                <w:rFonts w:hint="eastAsia" w:ascii="仿宋" w:hAnsi="仿宋" w:eastAsia="仿宋" w:cs="仿宋"/>
                <w:sz w:val="24"/>
              </w:rPr>
              <w:t>省级文物主管部门颁发的监理岗位证书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88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监理员</w:t>
            </w:r>
          </w:p>
        </w:tc>
        <w:tc>
          <w:tcPr>
            <w:tcW w:w="151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1名</w:t>
            </w:r>
          </w:p>
        </w:tc>
        <w:tc>
          <w:tcPr>
            <w:tcW w:w="4348" w:type="dxa"/>
            <w:noWrap w:val="0"/>
            <w:vAlign w:val="center"/>
          </w:tcPr>
          <w:p>
            <w:pPr>
              <w:jc w:val="left"/>
              <w:rPr>
                <w:rFonts w:hint="eastAsia" w:ascii="仿宋" w:hAnsi="仿宋" w:eastAsia="仿宋" w:cs="仿宋"/>
                <w:sz w:val="24"/>
                <w:szCs w:val="24"/>
              </w:rPr>
            </w:pPr>
            <w:r>
              <w:rPr>
                <w:rFonts w:hint="eastAsia" w:ascii="仿宋" w:hAnsi="仿宋" w:eastAsia="仿宋" w:cs="仿宋"/>
                <w:sz w:val="24"/>
              </w:rPr>
              <w:t>省级文物主管部门颁发的监理岗位证书</w:t>
            </w:r>
          </w:p>
        </w:tc>
      </w:tr>
    </w:tbl>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2.3.4更换监理人员的其他情形：</w:t>
      </w:r>
      <w:r>
        <w:rPr>
          <w:rFonts w:hint="eastAsia" w:ascii="仿宋" w:hAnsi="仿宋" w:eastAsia="仿宋" w:cs="仿宋"/>
          <w:b/>
          <w:sz w:val="24"/>
          <w:szCs w:val="24"/>
          <w:u w:val="single"/>
        </w:rPr>
        <w:t>更换的监理工程师应有相应资质证明并得到委托人的认可</w:t>
      </w:r>
      <w:r>
        <w:rPr>
          <w:rFonts w:hint="eastAsia" w:ascii="仿宋" w:hAnsi="仿宋" w:eastAsia="仿宋" w:cs="仿宋"/>
          <w:sz w:val="24"/>
          <w:szCs w:val="24"/>
        </w:rPr>
        <w:t>。</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 履行职责</w:t>
      </w:r>
    </w:p>
    <w:p>
      <w:pPr>
        <w:pStyle w:val="58"/>
        <w:shd w:val="clear" w:color="auto" w:fill="FFFFFF"/>
        <w:tabs>
          <w:tab w:val="left" w:pos="454"/>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2.4.3对监理人的授权范围：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napToGrid w:val="0"/>
        <w:spacing w:line="400" w:lineRule="exact"/>
        <w:ind w:firstLine="480" w:firstLineChars="200"/>
        <w:outlineLvl w:val="0"/>
        <w:rPr>
          <w:rFonts w:hint="eastAsia" w:ascii="仿宋" w:hAnsi="仿宋" w:eastAsia="仿宋" w:cs="仿宋"/>
          <w:sz w:val="24"/>
          <w:szCs w:val="24"/>
        </w:rPr>
      </w:pPr>
      <w:bookmarkStart w:id="502" w:name="_Toc337478713"/>
      <w:bookmarkStart w:id="503" w:name="_Toc336617613"/>
      <w:bookmarkStart w:id="504" w:name="_Toc337659645"/>
      <w:bookmarkStart w:id="505" w:name="_Toc337454934"/>
      <w:bookmarkStart w:id="506" w:name="_Toc24702"/>
      <w:bookmarkStart w:id="507" w:name="_Toc337474439"/>
      <w:bookmarkStart w:id="508" w:name="_Toc337659721"/>
      <w:bookmarkStart w:id="509" w:name="_Toc337463013"/>
      <w:bookmarkStart w:id="510" w:name="_Toc338705890"/>
      <w:bookmarkStart w:id="511" w:name="_Toc337986843"/>
      <w:bookmarkStart w:id="512" w:name="_Toc337456997"/>
      <w:bookmarkStart w:id="513" w:name="_Toc337474358"/>
      <w:r>
        <w:rPr>
          <w:rFonts w:hint="eastAsia" w:ascii="仿宋" w:hAnsi="仿宋" w:eastAsia="仿宋" w:cs="仿宋"/>
          <w:sz w:val="24"/>
          <w:szCs w:val="24"/>
        </w:rPr>
        <w:t>在涉及工程延期和（或）金额的变更，监理人均需请示委托人后才可向承包人发布变更通知。</w:t>
      </w:r>
      <w:bookmarkEnd w:id="502"/>
      <w:bookmarkEnd w:id="503"/>
      <w:bookmarkEnd w:id="504"/>
      <w:bookmarkEnd w:id="505"/>
      <w:bookmarkEnd w:id="506"/>
      <w:bookmarkEnd w:id="507"/>
      <w:bookmarkEnd w:id="508"/>
      <w:bookmarkEnd w:id="509"/>
      <w:bookmarkEnd w:id="510"/>
      <w:bookmarkEnd w:id="511"/>
      <w:bookmarkEnd w:id="512"/>
      <w:bookmarkEnd w:id="513"/>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2.4.4监理人有权要求承包人调换其人员的限制条件：</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监理人将要求承包人调换人员的书面报告提交给委托人，并取得书面同意回复后方可执行</w:t>
      </w:r>
      <w:r>
        <w:rPr>
          <w:rFonts w:hint="eastAsia" w:ascii="仿宋" w:hAnsi="仿宋" w:eastAsia="仿宋" w:cs="仿宋"/>
          <w:sz w:val="24"/>
          <w:szCs w:val="24"/>
          <w:u w:val="single"/>
        </w:rPr>
        <w:t>。</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2.4提交报告</w:t>
      </w:r>
    </w:p>
    <w:p>
      <w:pPr>
        <w:snapToGrid w:val="0"/>
        <w:spacing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监理人应提交报告的种类(包括监理规划、监理月报及约定的专项报告)、时间和份数：</w:t>
      </w:r>
      <w:r>
        <w:rPr>
          <w:rFonts w:hint="eastAsia" w:ascii="仿宋" w:hAnsi="仿宋" w:eastAsia="仿宋" w:cs="仿宋"/>
          <w:b/>
          <w:sz w:val="24"/>
          <w:szCs w:val="24"/>
          <w:u w:val="single"/>
        </w:rPr>
        <w:t>①监理人收到工程设计文件28天内提交监理规划2套；②每月5日前提交上月的监理月报1份。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 使用委托人的财产</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附录B中由委托人无偿提供的房屋、设备的所有权属于：</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委托人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监理人应在本合同终止后</w:t>
      </w:r>
      <w:r>
        <w:rPr>
          <w:rFonts w:hint="eastAsia" w:ascii="仿宋" w:hAnsi="仿宋" w:eastAsia="仿宋" w:cs="仿宋"/>
          <w:sz w:val="24"/>
          <w:szCs w:val="24"/>
          <w:u w:val="single"/>
        </w:rPr>
        <w:t xml:space="preserve">  15  </w:t>
      </w:r>
      <w:r>
        <w:rPr>
          <w:rFonts w:hint="eastAsia" w:ascii="仿宋" w:hAnsi="仿宋" w:eastAsia="仿宋" w:cs="仿宋"/>
          <w:sz w:val="24"/>
          <w:szCs w:val="24"/>
        </w:rPr>
        <w:t>天内移交委托人无偿提供的房屋、设备，移交的时间和方式为：</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另行协商</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3、委托人义务  </w:t>
      </w:r>
    </w:p>
    <w:p>
      <w:pPr>
        <w:snapToGrid w:val="0"/>
        <w:spacing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3.1委托人代表为：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答复：委托人同意在</w:t>
      </w:r>
      <w:r>
        <w:rPr>
          <w:rFonts w:hint="eastAsia" w:ascii="仿宋" w:hAnsi="仿宋" w:eastAsia="仿宋" w:cs="仿宋"/>
          <w:sz w:val="24"/>
          <w:szCs w:val="24"/>
          <w:u w:val="single"/>
        </w:rPr>
        <w:t xml:space="preserve"> 7 </w:t>
      </w:r>
      <w:r>
        <w:rPr>
          <w:rFonts w:hint="eastAsia" w:ascii="仿宋" w:hAnsi="仿宋" w:eastAsia="仿宋" w:cs="仿宋"/>
          <w:sz w:val="24"/>
          <w:szCs w:val="24"/>
        </w:rPr>
        <w:t>天内，对监理人书面提交并要求做出决定的事宜给予书面答复，重大事项可延期到14天内答复。</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4、违约责任</w:t>
      </w:r>
    </w:p>
    <w:p>
      <w:pPr>
        <w:pStyle w:val="59"/>
        <w:spacing w:before="0" w:beforeAutospacing="0" w:after="0" w:afterAutospacing="0" w:line="40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4.1 监理人的违约责任</w:t>
      </w:r>
    </w:p>
    <w:p>
      <w:pPr>
        <w:pStyle w:val="59"/>
        <w:spacing w:before="0" w:beforeAutospacing="0" w:after="0" w:afterAutospacing="0" w:line="40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4.1.1监理人赔偿金额按下列方法确定：</w:t>
      </w:r>
    </w:p>
    <w:p>
      <w:pPr>
        <w:pStyle w:val="59"/>
        <w:spacing w:before="0" w:beforeAutospacing="0" w:after="0" w:afterAutospacing="0" w:line="40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赔偿金＝直接经济损失×正常工作酬金÷工程概算投资额（或建筑安装工程费）</w:t>
      </w:r>
    </w:p>
    <w:p>
      <w:pPr>
        <w:pStyle w:val="59"/>
        <w:spacing w:before="0" w:beforeAutospacing="0" w:after="0" w:afterAutospacing="0" w:line="40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4.2 委托人的违约责任</w:t>
      </w:r>
    </w:p>
    <w:p>
      <w:pPr>
        <w:pStyle w:val="59"/>
        <w:spacing w:before="0" w:beforeAutospacing="0" w:after="0" w:afterAutospacing="0" w:line="40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4.2.3 委托人逾期付款利息按下列方法确定：</w:t>
      </w:r>
    </w:p>
    <w:p>
      <w:pPr>
        <w:pStyle w:val="59"/>
        <w:spacing w:before="0" w:beforeAutospacing="0" w:after="0" w:afterAutospacing="0" w:line="40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逾期付款利息＝当期应付款总额×银行同期贷款利率×拖延支付天数</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4.3其它约定：</w:t>
      </w:r>
    </w:p>
    <w:p>
      <w:pPr>
        <w:pStyle w:val="59"/>
        <w:spacing w:before="0" w:beforeAutospacing="0" w:after="0" w:afterAutospacing="0"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（1）总监每月出勤不得少于投标时承诺的天数（到位率），若每缺勤一天扣除监理费人民币1000元。考勤由委托人负责考记，本项目将采取指纹打卡制，实际到场的天数以指纹打卡天数为准。</w:t>
      </w:r>
    </w:p>
    <w:p>
      <w:pPr>
        <w:pStyle w:val="59"/>
        <w:spacing w:before="0" w:beforeAutospacing="0" w:after="0" w:afterAutospacing="0"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（2）其它监理人员每月出勤不得少于投标时承诺的天数（到位率），若每缺勤一天扣除监理费人民币500元/人。考勤由委托人负责考记，本项目将采取指纹打卡制，实际到场的天数以指纹打卡天数为准。</w:t>
      </w:r>
    </w:p>
    <w:p>
      <w:pPr>
        <w:pStyle w:val="59"/>
        <w:widowControl w:val="0"/>
        <w:spacing w:before="0" w:beforeAutospacing="0" w:after="0" w:afterAutospacing="0"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3）监理人更换总监必须经委托人同意，经委托人同意后必须在5天内更换完成且更换的项目总监资格条件必须等于或高于投标资格条件（提供项目总监注册监理工程师证书、职称证书、身份证原件及其工作经历与业绩等有关证明材料）。若监理人未经委托人同意擅自更换总监的，扣除监理费人民币1万元；</w:t>
      </w:r>
    </w:p>
    <w:p>
      <w:pPr>
        <w:pStyle w:val="59"/>
        <w:widowControl w:val="0"/>
        <w:spacing w:before="0" w:beforeAutospacing="0" w:after="0" w:afterAutospacing="0"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（4）委托人要求更换总监的，更换的总监必须在五天内到位且更换的项目总监资格条件必须等于或高于投标资格条件，逾期每天扣除监理费人民币1000元。</w:t>
      </w:r>
    </w:p>
    <w:p>
      <w:pPr>
        <w:pStyle w:val="59"/>
        <w:widowControl w:val="0"/>
        <w:spacing w:before="0" w:beforeAutospacing="0" w:after="0" w:afterAutospacing="0"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（5）监理人在工程实施过程中对施工单位进行吃、拿、卡等违反监理人道德的行为的，每发现一次，委托人有权分别对监理人及监理人员处以人民币1000元/次的罚款。</w:t>
      </w:r>
    </w:p>
    <w:p>
      <w:pPr>
        <w:pStyle w:val="59"/>
        <w:widowControl w:val="0"/>
        <w:spacing w:before="0" w:beforeAutospacing="0" w:after="0" w:afterAutospacing="0"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6）若工程实施过程中，监理人与施工单位一起隐瞒工程质量隐患或降低施工质量标准，出现此类情况，则委托人有权向监理人发出书面警告，监理人应及时整改。每发现一次，委托人有权对监理人处以人民币10000元/次的罚款。</w:t>
      </w:r>
    </w:p>
    <w:p>
      <w:pPr>
        <w:pStyle w:val="59"/>
        <w:widowControl w:val="0"/>
        <w:spacing w:before="0" w:beforeAutospacing="0" w:after="0" w:afterAutospacing="0"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7）在工程实施过程中，监理人不得为赶工期进度而忽视工程质量，不能在明知工程可能存在质量隐患的情况下也不进行检查、纠正和返修，而让施工单位继续施工或进行下道工序的施工。出现此种情况，则委托人有权向监理人发出书面警告并处以人民币10000元/次的罚款。</w:t>
      </w:r>
    </w:p>
    <w:p>
      <w:pPr>
        <w:pStyle w:val="783"/>
        <w:widowControl w:val="0"/>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8）监理人对本工程所使用的大宗材料和主要、重要材料的检测试验必须与施工单位同步，并独立进行，不得使用施工单位的任何检测资料和测试设备。如发生质量争议需送建设行业主管部门指定单位检测试验的，应事先报告招标人并经招标人代表同意后方可执行，检测费用按合同约定结算。</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（9）本次监理服务期为工程全部施工的工期，非监理方面造成工期延误的，延期监理费投标人根据本工程特点，自行考虑风险，</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（10）因监理安全管理工作不到位：工程现场发生重大安全事故的，每发生1起死亡事故的，一次性罚款人民币10万元；每发生1起重伤事故的一次性罚款人民币5万元。</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11）因监理质量管理工作不到位：工程现场发生质量事故的，按国家建筑工程质量事故等级划分规定（事故划分等级按建质【2010】111号文件执行），一般质量事故按人民币3000元～5000元/次扣罚，严重质量事故按人民币10000元～20000元/次扣罚，重大质量事故按人民币5万元～20万元/次扣罚，同时对造成的损失作相应的赔偿。情节严重影响正常工程进展的，委托人有权除按上述条款扣罚外，并停付后续监理合同款，直到中止监理合同。</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（12）监理人不得与承担本工程的施工承包人及材料、设备投标人发生经济利益关系。</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（13）工地办公室应有统一的办公桌椅、柜，工地现场应标示显著的工程项目铭牌，表现出监理人应有的企业形象。</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（14）在本工程监理过程中，监理人员须驻施工现场，实行现场监理。如遇重要的工程部位和隐蔽工程施工时，应当实行全过程24小时旁站监理。</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（15）保修期间监理人员必须在2小时内响应并在8小时内到达。</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（16）监理人不得把本合同约定的监理业务全部或部分转包或分包给第三方。</w:t>
      </w:r>
    </w:p>
    <w:p>
      <w:pPr>
        <w:pStyle w:val="783"/>
        <w:spacing w:line="400" w:lineRule="exact"/>
        <w:ind w:firstLine="361" w:firstLineChars="150"/>
        <w:rPr>
          <w:rFonts w:hint="eastAsia" w:ascii="仿宋" w:hAnsi="仿宋" w:eastAsia="仿宋" w:cs="仿宋"/>
          <w:b/>
          <w:sz w:val="24"/>
          <w:szCs w:val="24"/>
          <w:u w:val="single"/>
        </w:rPr>
      </w:pPr>
      <w:r>
        <w:rPr>
          <w:rFonts w:hint="eastAsia" w:ascii="仿宋" w:hAnsi="仿宋" w:eastAsia="仿宋" w:cs="仿宋"/>
          <w:b/>
          <w:sz w:val="24"/>
          <w:szCs w:val="24"/>
          <w:u w:val="single"/>
        </w:rPr>
        <w:t>（17）本合同需签订廉政协议书。</w:t>
      </w:r>
    </w:p>
    <w:p>
      <w:pPr>
        <w:pStyle w:val="783"/>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（18）有关罚金在监理费结算时扣除。</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5、合同支付</w:t>
      </w:r>
    </w:p>
    <w:p>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bCs/>
          <w:kern w:val="2"/>
          <w:sz w:val="24"/>
          <w:szCs w:val="24"/>
          <w:highlight w:val="none"/>
          <w:lang w:val="en-US" w:eastAsia="zh-CN" w:bidi="ar-SA"/>
        </w:rPr>
        <w:t>（1）签约酬金（费率）：工程造价的  %。</w:t>
      </w:r>
    </w:p>
    <w:p>
      <w:pPr>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bCs/>
          <w:sz w:val="24"/>
          <w:szCs w:val="24"/>
          <w:highlight w:val="none"/>
        </w:rPr>
        <w:t>合同支付：</w:t>
      </w:r>
      <w:r>
        <w:rPr>
          <w:rFonts w:hint="eastAsia" w:ascii="仿宋" w:hAnsi="仿宋" w:eastAsia="仿宋" w:cs="仿宋"/>
          <w:b/>
          <w:bCs/>
          <w:sz w:val="24"/>
          <w:szCs w:val="24"/>
          <w:lang w:eastAsia="zh-CN"/>
        </w:rPr>
        <w:t>具体在签订合同时明确。</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6、合同生效、变更、暂停、解除与终止</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6.1 生效</w:t>
      </w:r>
    </w:p>
    <w:p>
      <w:pPr>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rPr>
        <w:t>本合同生效条件：委托人和监理人的法定代表人或其授权代理人在协议书上签字并盖单位公章后本合同生效。</w:t>
      </w:r>
    </w:p>
    <w:p>
      <w:pPr>
        <w:snapToGrid w:val="0"/>
        <w:spacing w:line="40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6.2 变更：</w:t>
      </w:r>
    </w:p>
    <w:p>
      <w:pPr>
        <w:snapToGrid w:val="0"/>
        <w:spacing w:line="40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除不可抗力外，因非监理人原因导致本合同期限延长时，监理单位应免费提供服务，停工期间，监理单位须确保监理工作有效到位。</w:t>
      </w:r>
    </w:p>
    <w:p>
      <w:pPr>
        <w:spacing w:line="380" w:lineRule="exact"/>
        <w:ind w:firstLine="482" w:firstLineChars="200"/>
        <w:rPr>
          <w:rFonts w:hint="eastAsia" w:ascii="仿宋" w:hAnsi="仿宋" w:eastAsia="仿宋" w:cs="仿宋"/>
          <w:b/>
          <w:color w:val="FF0000"/>
          <w:sz w:val="24"/>
        </w:rPr>
      </w:pP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7、争议解决</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7.2 调解</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本合同争议进行调解时，可提交 临安区仲裁委员会 进行调解。</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7.3 仲裁或诉讼</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合同争议的最终解决方式为下列第     种方式：</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（1）提请 临安区仲裁委员会进行仲裁。</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（2）向临安区人民法院提起诉讼。</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 其他</w:t>
      </w:r>
    </w:p>
    <w:p>
      <w:pPr>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8.2 检测费用</w:t>
      </w:r>
    </w:p>
    <w:p>
      <w:pPr>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委托人应在检测工作完成后     天内支付检测费用。</w:t>
      </w:r>
    </w:p>
    <w:p>
      <w:pPr>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8.3 咨询费用</w:t>
      </w:r>
    </w:p>
    <w:p>
      <w:pPr>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委托人应在咨询工作完成后     天内支付咨询费用。</w:t>
      </w:r>
    </w:p>
    <w:p>
      <w:pPr>
        <w:tabs>
          <w:tab w:val="left" w:pos="381"/>
        </w:tabs>
        <w:snapToGrid w:val="0"/>
        <w:spacing w:line="400" w:lineRule="exact"/>
        <w:ind w:firstLine="723" w:firstLineChars="300"/>
        <w:rPr>
          <w:rFonts w:hint="eastAsia" w:ascii="仿宋" w:hAnsi="仿宋" w:eastAsia="仿宋" w:cs="仿宋"/>
          <w:b/>
          <w:bCs/>
          <w:sz w:val="24"/>
          <w:szCs w:val="24"/>
        </w:rPr>
      </w:pPr>
      <w:r>
        <w:rPr>
          <w:rFonts w:hint="eastAsia" w:ascii="仿宋" w:hAnsi="仿宋" w:eastAsia="仿宋" w:cs="仿宋"/>
          <w:b/>
          <w:bCs/>
          <w:sz w:val="24"/>
          <w:szCs w:val="24"/>
        </w:rPr>
        <w:t>9. 补充条款</w:t>
      </w:r>
    </w:p>
    <w:p>
      <w:pPr>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napToGrid w:val="0"/>
        <w:spacing w:line="40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w:t>
      </w:r>
    </w:p>
    <w:p>
      <w:pPr>
        <w:snapToGrid w:val="0"/>
        <w:spacing w:line="400" w:lineRule="exact"/>
        <w:rPr>
          <w:rFonts w:hint="eastAsia" w:ascii="仿宋" w:hAnsi="仿宋" w:eastAsia="仿宋" w:cs="仿宋"/>
          <w:b/>
          <w:bCs/>
          <w:sz w:val="24"/>
          <w:szCs w:val="24"/>
        </w:rPr>
      </w:pPr>
    </w:p>
    <w:p>
      <w:pPr>
        <w:snapToGrid w:val="0"/>
        <w:spacing w:line="400" w:lineRule="exact"/>
        <w:rPr>
          <w:rFonts w:hint="eastAsia" w:ascii="仿宋" w:hAnsi="仿宋" w:eastAsia="仿宋" w:cs="仿宋"/>
          <w:b/>
          <w:bCs/>
          <w:sz w:val="24"/>
          <w:szCs w:val="24"/>
        </w:rPr>
      </w:pPr>
    </w:p>
    <w:p>
      <w:pPr>
        <w:snapToGrid w:val="0"/>
        <w:spacing w:line="400" w:lineRule="exact"/>
        <w:ind w:firstLine="723" w:firstLineChars="300"/>
        <w:rPr>
          <w:rFonts w:hint="eastAsia" w:ascii="仿宋" w:hAnsi="仿宋" w:eastAsia="仿宋" w:cs="仿宋"/>
          <w:b/>
          <w:bCs/>
          <w:sz w:val="24"/>
          <w:szCs w:val="24"/>
          <w:lang w:eastAsia="zh-CN"/>
        </w:rPr>
        <w:sectPr>
          <w:footerReference r:id="rId10" w:type="default"/>
          <w:pgSz w:w="11910" w:h="16840"/>
          <w:pgMar w:top="1120" w:right="1389" w:bottom="1160" w:left="1406" w:header="899" w:footer="975" w:gutter="0"/>
          <w:pgNumType w:fmt="decimal"/>
          <w:cols w:space="720" w:num="1"/>
        </w:sectPr>
      </w:pPr>
      <w:r>
        <w:rPr>
          <w:rFonts w:hint="eastAsia" w:ascii="仿宋" w:hAnsi="仿宋" w:eastAsia="仿宋" w:cs="仿宋"/>
          <w:b/>
          <w:bCs/>
          <w:sz w:val="24"/>
          <w:szCs w:val="24"/>
          <w:lang w:eastAsia="zh-CN"/>
        </w:rPr>
        <w:t>招标人</w:t>
      </w:r>
      <w:r>
        <w:rPr>
          <w:rFonts w:hint="eastAsia" w:ascii="仿宋" w:hAnsi="仿宋" w:eastAsia="仿宋" w:cs="仿宋"/>
          <w:b/>
          <w:bCs/>
          <w:sz w:val="24"/>
          <w:szCs w:val="24"/>
        </w:rPr>
        <w:t>保留在合同签订前修改、完善合同条款的权利</w:t>
      </w:r>
      <w:r>
        <w:rPr>
          <w:rFonts w:hint="eastAsia" w:ascii="仿宋" w:hAnsi="仿宋" w:eastAsia="仿宋" w:cs="仿宋"/>
          <w:b/>
          <w:bCs/>
          <w:sz w:val="24"/>
          <w:szCs w:val="24"/>
          <w:lang w:eastAsia="zh-CN"/>
        </w:rPr>
        <w:t>。</w:t>
      </w:r>
    </w:p>
    <w:p>
      <w:pPr>
        <w:pStyle w:val="59"/>
        <w:widowControl w:val="0"/>
        <w:spacing w:before="0" w:beforeAutospacing="0" w:after="0" w:afterAutospacing="0" w:line="360" w:lineRule="exact"/>
        <w:jc w:val="both"/>
        <w:rPr>
          <w:rFonts w:hint="eastAsia" w:ascii="仿宋" w:hAnsi="仿宋" w:eastAsia="仿宋" w:cs="仿宋"/>
          <w:bCs/>
        </w:rPr>
      </w:pPr>
      <w:r>
        <w:rPr>
          <w:rFonts w:hint="eastAsia" w:ascii="仿宋" w:hAnsi="仿宋" w:eastAsia="仿宋" w:cs="仿宋"/>
          <w:b/>
          <w:bCs/>
          <w:sz w:val="24"/>
          <w:szCs w:val="24"/>
        </w:rPr>
        <w:t>附录A  相关服务的范围和内容</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 勘察阶段：</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 设计阶段：</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A-3 保修阶段：</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exact"/>
        <w:ind w:firstLine="475" w:firstLineChars="198"/>
        <w:rPr>
          <w:rFonts w:hint="eastAsia" w:ascii="仿宋" w:hAnsi="仿宋" w:eastAsia="仿宋" w:cs="仿宋"/>
          <w:sz w:val="24"/>
          <w:szCs w:val="24"/>
        </w:rPr>
      </w:pPr>
      <w:r>
        <w:rPr>
          <w:rFonts w:hint="eastAsia" w:ascii="仿宋" w:hAnsi="仿宋" w:eastAsia="仿宋" w:cs="仿宋"/>
          <w:sz w:val="24"/>
          <w:szCs w:val="24"/>
        </w:rPr>
        <w:t>A-4 其他（专业技术咨询、外部协调工作等）：</w:t>
      </w:r>
      <w:r>
        <w:rPr>
          <w:rFonts w:hint="eastAsia" w:ascii="仿宋" w:hAnsi="仿宋" w:eastAsia="仿宋" w:cs="仿宋"/>
          <w:sz w:val="24"/>
          <w:szCs w:val="24"/>
          <w:u w:val="single"/>
        </w:rPr>
        <w:t xml:space="preserve">                       </w:t>
      </w:r>
    </w:p>
    <w:p>
      <w:pPr>
        <w:snapToGrid w:val="0"/>
        <w:spacing w:line="360" w:lineRule="exact"/>
        <w:jc w:val="left"/>
        <w:rPr>
          <w:rFonts w:hint="eastAsia" w:ascii="仿宋" w:hAnsi="仿宋" w:eastAsia="仿宋" w:cs="仿宋"/>
          <w:b/>
          <w:bCs/>
          <w:sz w:val="24"/>
          <w:szCs w:val="24"/>
        </w:rPr>
      </w:pPr>
      <w:r>
        <w:rPr>
          <w:rFonts w:hint="eastAsia" w:ascii="仿宋" w:hAnsi="仿宋" w:eastAsia="仿宋" w:cs="仿宋"/>
          <w:b/>
          <w:bCs/>
          <w:sz w:val="24"/>
          <w:szCs w:val="24"/>
        </w:rPr>
        <w:t>附录B  委托人派遣的人员和提供的房屋、资料、设备</w:t>
      </w:r>
    </w:p>
    <w:p>
      <w:pPr>
        <w:spacing w:line="360" w:lineRule="exact"/>
        <w:rPr>
          <w:rFonts w:hint="eastAsia" w:ascii="仿宋" w:hAnsi="仿宋" w:eastAsia="仿宋" w:cs="仿宋"/>
          <w:b/>
          <w:sz w:val="24"/>
          <w:szCs w:val="24"/>
        </w:rPr>
      </w:pPr>
      <w:r>
        <w:rPr>
          <w:rFonts w:hint="eastAsia" w:ascii="仿宋" w:hAnsi="仿宋" w:eastAsia="仿宋" w:cs="仿宋"/>
          <w:b/>
          <w:sz w:val="24"/>
          <w:szCs w:val="24"/>
        </w:rPr>
        <w:t>B-1  委托人派遣的人员</w:t>
      </w:r>
    </w:p>
    <w:tbl>
      <w:tblPr>
        <w:tblStyle w:val="6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77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工作要求</w:t>
            </w:r>
          </w:p>
        </w:tc>
        <w:tc>
          <w:tcPr>
            <w:tcW w:w="18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 工程技术人员</w:t>
            </w:r>
          </w:p>
        </w:tc>
        <w:tc>
          <w:tcPr>
            <w:tcW w:w="177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2. 辅助工作人员</w:t>
            </w:r>
          </w:p>
        </w:tc>
        <w:tc>
          <w:tcPr>
            <w:tcW w:w="177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3. 其他人员</w:t>
            </w:r>
          </w:p>
        </w:tc>
        <w:tc>
          <w:tcPr>
            <w:tcW w:w="177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val="0"/>
            <w:vAlign w:val="center"/>
          </w:tcPr>
          <w:p>
            <w:pPr>
              <w:spacing w:line="360" w:lineRule="exact"/>
              <w:rPr>
                <w:rFonts w:hint="eastAsia" w:ascii="仿宋" w:hAnsi="仿宋" w:eastAsia="仿宋" w:cs="仿宋"/>
                <w:sz w:val="24"/>
                <w:szCs w:val="24"/>
              </w:rPr>
            </w:pPr>
          </w:p>
        </w:tc>
        <w:tc>
          <w:tcPr>
            <w:tcW w:w="177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bl>
    <w:p>
      <w:pPr>
        <w:pStyle w:val="16"/>
        <w:spacing w:line="360" w:lineRule="exact"/>
        <w:ind w:firstLine="0"/>
        <w:rPr>
          <w:rFonts w:hint="eastAsia" w:ascii="仿宋" w:hAnsi="仿宋" w:eastAsia="仿宋" w:cs="仿宋"/>
          <w:b/>
          <w:sz w:val="24"/>
          <w:szCs w:val="24"/>
        </w:rPr>
      </w:pPr>
      <w:bookmarkStart w:id="514" w:name="_Toc337986844"/>
      <w:bookmarkStart w:id="515" w:name="_Toc26896"/>
      <w:bookmarkStart w:id="516" w:name="_Toc336617614"/>
      <w:bookmarkStart w:id="517" w:name="_Toc337474359"/>
      <w:bookmarkStart w:id="518" w:name="_Toc337659646"/>
      <w:bookmarkStart w:id="519" w:name="_Toc337474440"/>
      <w:bookmarkStart w:id="520" w:name="_Toc337456998"/>
      <w:bookmarkStart w:id="521" w:name="_Toc337454935"/>
      <w:bookmarkStart w:id="522" w:name="_Toc337463014"/>
      <w:bookmarkStart w:id="523" w:name="_Toc337478714"/>
      <w:bookmarkStart w:id="524" w:name="_Toc338705891"/>
      <w:bookmarkStart w:id="525" w:name="_Toc337659722"/>
      <w:r>
        <w:rPr>
          <w:rFonts w:hint="eastAsia" w:ascii="仿宋" w:hAnsi="仿宋" w:eastAsia="仿宋" w:cs="仿宋"/>
          <w:b/>
          <w:sz w:val="24"/>
          <w:szCs w:val="24"/>
        </w:rPr>
        <w:t>B-2  委托人提供的房屋</w:t>
      </w:r>
      <w:bookmarkEnd w:id="514"/>
      <w:bookmarkEnd w:id="515"/>
      <w:bookmarkEnd w:id="516"/>
      <w:bookmarkEnd w:id="517"/>
      <w:bookmarkEnd w:id="518"/>
      <w:bookmarkEnd w:id="519"/>
      <w:bookmarkEnd w:id="520"/>
      <w:bookmarkEnd w:id="521"/>
      <w:bookmarkEnd w:id="522"/>
      <w:bookmarkEnd w:id="523"/>
      <w:bookmarkEnd w:id="524"/>
      <w:bookmarkEnd w:id="525"/>
    </w:p>
    <w:tbl>
      <w:tblPr>
        <w:tblStyle w:val="6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213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面积</w:t>
            </w:r>
          </w:p>
        </w:tc>
        <w:tc>
          <w:tcPr>
            <w:tcW w:w="18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 办公用房</w:t>
            </w:r>
          </w:p>
        </w:tc>
        <w:tc>
          <w:tcPr>
            <w:tcW w:w="213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2. 生活用房</w:t>
            </w:r>
          </w:p>
        </w:tc>
        <w:tc>
          <w:tcPr>
            <w:tcW w:w="213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noWrap w:val="0"/>
            <w:vAlign w:val="center"/>
          </w:tcPr>
          <w:p>
            <w:pPr>
              <w:spacing w:line="360" w:lineRule="exact"/>
              <w:rPr>
                <w:rFonts w:hint="eastAsia" w:ascii="仿宋" w:hAnsi="仿宋" w:eastAsia="仿宋" w:cs="仿宋"/>
                <w:dstrike/>
                <w:sz w:val="24"/>
                <w:szCs w:val="24"/>
              </w:rPr>
            </w:pPr>
            <w:r>
              <w:rPr>
                <w:rFonts w:hint="eastAsia" w:ascii="仿宋" w:hAnsi="仿宋" w:eastAsia="仿宋" w:cs="仿宋"/>
                <w:sz w:val="24"/>
                <w:szCs w:val="24"/>
              </w:rPr>
              <w:t>3. 试验用房</w:t>
            </w:r>
          </w:p>
        </w:tc>
        <w:tc>
          <w:tcPr>
            <w:tcW w:w="213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4. 样品用房</w:t>
            </w:r>
          </w:p>
        </w:tc>
        <w:tc>
          <w:tcPr>
            <w:tcW w:w="213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w:t>
            </w:r>
          </w:p>
        </w:tc>
        <w:tc>
          <w:tcPr>
            <w:tcW w:w="2130" w:type="dxa"/>
            <w:noWrap w:val="0"/>
            <w:vAlign w:val="center"/>
          </w:tcPr>
          <w:p>
            <w:pPr>
              <w:spacing w:line="360" w:lineRule="exact"/>
              <w:rPr>
                <w:rFonts w:hint="eastAsia" w:ascii="仿宋" w:hAnsi="仿宋" w:eastAsia="仿宋" w:cs="仿宋"/>
                <w:sz w:val="24"/>
                <w:szCs w:val="24"/>
              </w:rPr>
            </w:pPr>
          </w:p>
        </w:tc>
        <w:tc>
          <w:tcPr>
            <w:tcW w:w="2130" w:type="dxa"/>
            <w:noWrap w:val="0"/>
            <w:vAlign w:val="center"/>
          </w:tcPr>
          <w:p>
            <w:pPr>
              <w:spacing w:line="360" w:lineRule="exact"/>
              <w:rPr>
                <w:rFonts w:hint="eastAsia" w:ascii="仿宋" w:hAnsi="仿宋" w:eastAsia="仿宋" w:cs="仿宋"/>
                <w:sz w:val="24"/>
                <w:szCs w:val="24"/>
              </w:rPr>
            </w:pPr>
          </w:p>
        </w:tc>
        <w:tc>
          <w:tcPr>
            <w:tcW w:w="1860" w:type="dxa"/>
            <w:noWrap w:val="0"/>
            <w:vAlign w:val="center"/>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用餐及其他生活条件</w:t>
            </w:r>
          </w:p>
        </w:tc>
        <w:tc>
          <w:tcPr>
            <w:tcW w:w="6120" w:type="dxa"/>
            <w:gridSpan w:val="3"/>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无</w:t>
            </w:r>
          </w:p>
        </w:tc>
      </w:tr>
    </w:tbl>
    <w:p>
      <w:pPr>
        <w:pStyle w:val="16"/>
        <w:spacing w:line="360" w:lineRule="exact"/>
        <w:ind w:firstLine="0"/>
        <w:rPr>
          <w:rFonts w:hint="eastAsia" w:ascii="仿宋" w:hAnsi="仿宋" w:eastAsia="仿宋" w:cs="仿宋"/>
          <w:b/>
          <w:sz w:val="24"/>
          <w:szCs w:val="24"/>
        </w:rPr>
      </w:pPr>
      <w:bookmarkStart w:id="526" w:name="_Toc337659723"/>
      <w:bookmarkStart w:id="527" w:name="_Toc337474360"/>
      <w:bookmarkStart w:id="528" w:name="_Toc337478715"/>
      <w:bookmarkStart w:id="529" w:name="_Toc337463015"/>
      <w:bookmarkStart w:id="530" w:name="_Toc337474441"/>
      <w:bookmarkStart w:id="531" w:name="_Toc337986845"/>
      <w:bookmarkStart w:id="532" w:name="_Toc337456999"/>
      <w:bookmarkStart w:id="533" w:name="_Toc30954"/>
      <w:bookmarkStart w:id="534" w:name="_Toc336617615"/>
      <w:bookmarkStart w:id="535" w:name="_Toc338705892"/>
      <w:bookmarkStart w:id="536" w:name="_Toc337659647"/>
      <w:bookmarkStart w:id="537" w:name="_Toc337454936"/>
      <w:r>
        <w:rPr>
          <w:rFonts w:hint="eastAsia" w:ascii="仿宋" w:hAnsi="仿宋" w:eastAsia="仿宋" w:cs="仿宋"/>
          <w:b/>
          <w:sz w:val="24"/>
          <w:szCs w:val="24"/>
        </w:rPr>
        <w:t>B-3  委托人提供的资料</w:t>
      </w:r>
      <w:bookmarkEnd w:id="526"/>
      <w:bookmarkEnd w:id="527"/>
      <w:bookmarkEnd w:id="528"/>
      <w:bookmarkEnd w:id="529"/>
      <w:bookmarkEnd w:id="530"/>
      <w:bookmarkEnd w:id="531"/>
      <w:bookmarkEnd w:id="532"/>
      <w:bookmarkEnd w:id="533"/>
      <w:bookmarkEnd w:id="534"/>
      <w:bookmarkEnd w:id="535"/>
      <w:bookmarkEnd w:id="536"/>
      <w:bookmarkEnd w:id="537"/>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491"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份数</w:t>
            </w:r>
          </w:p>
        </w:tc>
        <w:tc>
          <w:tcPr>
            <w:tcW w:w="214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提供时间</w:t>
            </w:r>
          </w:p>
        </w:tc>
        <w:tc>
          <w:tcPr>
            <w:tcW w:w="2082"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 工程立项文件</w:t>
            </w:r>
          </w:p>
        </w:tc>
        <w:tc>
          <w:tcPr>
            <w:tcW w:w="1491" w:type="dxa"/>
            <w:noWrap w:val="0"/>
            <w:vAlign w:val="top"/>
          </w:tcPr>
          <w:p>
            <w:pPr>
              <w:spacing w:line="360" w:lineRule="exact"/>
              <w:rPr>
                <w:rFonts w:hint="eastAsia" w:ascii="仿宋" w:hAnsi="仿宋" w:eastAsia="仿宋" w:cs="仿宋"/>
                <w:sz w:val="24"/>
                <w:szCs w:val="24"/>
              </w:rPr>
            </w:pPr>
          </w:p>
        </w:tc>
        <w:tc>
          <w:tcPr>
            <w:tcW w:w="2147" w:type="dxa"/>
            <w:noWrap w:val="0"/>
            <w:vAlign w:val="top"/>
          </w:tcPr>
          <w:p>
            <w:pPr>
              <w:spacing w:line="360" w:lineRule="exact"/>
              <w:rPr>
                <w:rFonts w:hint="eastAsia" w:ascii="仿宋" w:hAnsi="仿宋" w:eastAsia="仿宋" w:cs="仿宋"/>
                <w:sz w:val="24"/>
                <w:szCs w:val="24"/>
              </w:rPr>
            </w:pPr>
          </w:p>
        </w:tc>
        <w:tc>
          <w:tcPr>
            <w:tcW w:w="2082"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2. 工程勘察文件</w:t>
            </w:r>
          </w:p>
        </w:tc>
        <w:tc>
          <w:tcPr>
            <w:tcW w:w="1491" w:type="dxa"/>
            <w:noWrap w:val="0"/>
            <w:vAlign w:val="top"/>
          </w:tcPr>
          <w:p>
            <w:pPr>
              <w:spacing w:line="360" w:lineRule="exact"/>
              <w:rPr>
                <w:rFonts w:hint="eastAsia" w:ascii="仿宋" w:hAnsi="仿宋" w:eastAsia="仿宋" w:cs="仿宋"/>
                <w:sz w:val="24"/>
                <w:szCs w:val="24"/>
              </w:rPr>
            </w:pPr>
          </w:p>
        </w:tc>
        <w:tc>
          <w:tcPr>
            <w:tcW w:w="2147" w:type="dxa"/>
            <w:noWrap w:val="0"/>
            <w:vAlign w:val="top"/>
          </w:tcPr>
          <w:p>
            <w:pPr>
              <w:spacing w:line="360" w:lineRule="exact"/>
              <w:rPr>
                <w:rFonts w:hint="eastAsia" w:ascii="仿宋" w:hAnsi="仿宋" w:eastAsia="仿宋" w:cs="仿宋"/>
                <w:sz w:val="24"/>
                <w:szCs w:val="24"/>
              </w:rPr>
            </w:pPr>
          </w:p>
        </w:tc>
        <w:tc>
          <w:tcPr>
            <w:tcW w:w="2082"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3. 工程设计及施工图纸</w:t>
            </w:r>
          </w:p>
        </w:tc>
        <w:tc>
          <w:tcPr>
            <w:tcW w:w="1491" w:type="dxa"/>
            <w:noWrap w:val="0"/>
            <w:vAlign w:val="top"/>
          </w:tcPr>
          <w:p>
            <w:pPr>
              <w:spacing w:line="360" w:lineRule="exact"/>
              <w:rPr>
                <w:rFonts w:hint="eastAsia" w:ascii="仿宋" w:hAnsi="仿宋" w:eastAsia="仿宋" w:cs="仿宋"/>
                <w:sz w:val="24"/>
                <w:szCs w:val="24"/>
              </w:rPr>
            </w:pPr>
          </w:p>
        </w:tc>
        <w:tc>
          <w:tcPr>
            <w:tcW w:w="2147" w:type="dxa"/>
            <w:noWrap w:val="0"/>
            <w:vAlign w:val="top"/>
          </w:tcPr>
          <w:p>
            <w:pPr>
              <w:spacing w:line="360" w:lineRule="exact"/>
              <w:rPr>
                <w:rFonts w:hint="eastAsia" w:ascii="仿宋" w:hAnsi="仿宋" w:eastAsia="仿宋" w:cs="仿宋"/>
                <w:sz w:val="24"/>
                <w:szCs w:val="24"/>
              </w:rPr>
            </w:pPr>
          </w:p>
        </w:tc>
        <w:tc>
          <w:tcPr>
            <w:tcW w:w="2082"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4. 工程承包合同及其他相关合同</w:t>
            </w:r>
          </w:p>
        </w:tc>
        <w:tc>
          <w:tcPr>
            <w:tcW w:w="1491" w:type="dxa"/>
            <w:noWrap w:val="0"/>
            <w:vAlign w:val="top"/>
          </w:tcPr>
          <w:p>
            <w:pPr>
              <w:spacing w:line="360" w:lineRule="exact"/>
              <w:rPr>
                <w:rFonts w:hint="eastAsia" w:ascii="仿宋" w:hAnsi="仿宋" w:eastAsia="仿宋" w:cs="仿宋"/>
                <w:sz w:val="24"/>
                <w:szCs w:val="24"/>
              </w:rPr>
            </w:pPr>
          </w:p>
        </w:tc>
        <w:tc>
          <w:tcPr>
            <w:tcW w:w="2147" w:type="dxa"/>
            <w:noWrap w:val="0"/>
            <w:vAlign w:val="top"/>
          </w:tcPr>
          <w:p>
            <w:pPr>
              <w:spacing w:line="360" w:lineRule="exact"/>
              <w:rPr>
                <w:rFonts w:hint="eastAsia" w:ascii="仿宋" w:hAnsi="仿宋" w:eastAsia="仿宋" w:cs="仿宋"/>
                <w:sz w:val="24"/>
                <w:szCs w:val="24"/>
              </w:rPr>
            </w:pPr>
          </w:p>
        </w:tc>
        <w:tc>
          <w:tcPr>
            <w:tcW w:w="2082"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5. 施工许可文件</w:t>
            </w:r>
          </w:p>
        </w:tc>
        <w:tc>
          <w:tcPr>
            <w:tcW w:w="1491" w:type="dxa"/>
            <w:noWrap w:val="0"/>
            <w:vAlign w:val="top"/>
          </w:tcPr>
          <w:p>
            <w:pPr>
              <w:spacing w:line="360" w:lineRule="exact"/>
              <w:rPr>
                <w:rFonts w:hint="eastAsia" w:ascii="仿宋" w:hAnsi="仿宋" w:eastAsia="仿宋" w:cs="仿宋"/>
                <w:sz w:val="24"/>
                <w:szCs w:val="24"/>
              </w:rPr>
            </w:pPr>
          </w:p>
        </w:tc>
        <w:tc>
          <w:tcPr>
            <w:tcW w:w="2147" w:type="dxa"/>
            <w:noWrap w:val="0"/>
            <w:vAlign w:val="top"/>
          </w:tcPr>
          <w:p>
            <w:pPr>
              <w:spacing w:line="360" w:lineRule="exact"/>
              <w:rPr>
                <w:rFonts w:hint="eastAsia" w:ascii="仿宋" w:hAnsi="仿宋" w:eastAsia="仿宋" w:cs="仿宋"/>
                <w:sz w:val="24"/>
                <w:szCs w:val="24"/>
              </w:rPr>
            </w:pPr>
          </w:p>
        </w:tc>
        <w:tc>
          <w:tcPr>
            <w:tcW w:w="2082"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2"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6. 其他文件</w:t>
            </w:r>
          </w:p>
        </w:tc>
        <w:tc>
          <w:tcPr>
            <w:tcW w:w="1491" w:type="dxa"/>
            <w:noWrap w:val="0"/>
            <w:vAlign w:val="top"/>
          </w:tcPr>
          <w:p>
            <w:pPr>
              <w:spacing w:line="360" w:lineRule="exact"/>
              <w:rPr>
                <w:rFonts w:hint="eastAsia" w:ascii="仿宋" w:hAnsi="仿宋" w:eastAsia="仿宋" w:cs="仿宋"/>
                <w:sz w:val="24"/>
                <w:szCs w:val="24"/>
              </w:rPr>
            </w:pPr>
          </w:p>
        </w:tc>
        <w:tc>
          <w:tcPr>
            <w:tcW w:w="2147" w:type="dxa"/>
            <w:noWrap w:val="0"/>
            <w:vAlign w:val="top"/>
          </w:tcPr>
          <w:p>
            <w:pPr>
              <w:spacing w:line="360" w:lineRule="exact"/>
              <w:rPr>
                <w:rFonts w:hint="eastAsia" w:ascii="仿宋" w:hAnsi="仿宋" w:eastAsia="仿宋" w:cs="仿宋"/>
                <w:sz w:val="24"/>
                <w:szCs w:val="24"/>
              </w:rPr>
            </w:pPr>
          </w:p>
        </w:tc>
        <w:tc>
          <w:tcPr>
            <w:tcW w:w="2082" w:type="dxa"/>
            <w:noWrap w:val="0"/>
            <w:vAlign w:val="top"/>
          </w:tcPr>
          <w:p>
            <w:pPr>
              <w:spacing w:line="360" w:lineRule="exact"/>
              <w:rPr>
                <w:rFonts w:hint="eastAsia" w:ascii="仿宋" w:hAnsi="仿宋" w:eastAsia="仿宋" w:cs="仿宋"/>
                <w:sz w:val="24"/>
                <w:szCs w:val="24"/>
              </w:rPr>
            </w:pPr>
          </w:p>
        </w:tc>
      </w:tr>
    </w:tbl>
    <w:p>
      <w:pPr>
        <w:pStyle w:val="16"/>
        <w:spacing w:line="360" w:lineRule="exact"/>
        <w:ind w:firstLine="0"/>
        <w:rPr>
          <w:rFonts w:hint="eastAsia" w:ascii="仿宋" w:hAnsi="仿宋" w:eastAsia="仿宋" w:cs="仿宋"/>
          <w:b/>
          <w:sz w:val="24"/>
          <w:szCs w:val="24"/>
        </w:rPr>
      </w:pPr>
      <w:r>
        <w:rPr>
          <w:rFonts w:hint="eastAsia" w:ascii="仿宋" w:hAnsi="仿宋" w:eastAsia="仿宋" w:cs="仿宋"/>
          <w:b/>
          <w:sz w:val="24"/>
          <w:szCs w:val="24"/>
        </w:rPr>
        <w:t>B-4 委托人提供的设备</w:t>
      </w:r>
    </w:p>
    <w:tbl>
      <w:tblPr>
        <w:tblStyle w:val="6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8"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9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型号与规格</w:t>
            </w:r>
          </w:p>
        </w:tc>
        <w:tc>
          <w:tcPr>
            <w:tcW w:w="18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 通讯设备</w:t>
            </w:r>
          </w:p>
        </w:tc>
        <w:tc>
          <w:tcPr>
            <w:tcW w:w="1590"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无</w:t>
            </w:r>
          </w:p>
        </w:tc>
        <w:tc>
          <w:tcPr>
            <w:tcW w:w="2130" w:type="dxa"/>
            <w:noWrap w:val="0"/>
            <w:vAlign w:val="top"/>
          </w:tcPr>
          <w:p>
            <w:pPr>
              <w:spacing w:line="360" w:lineRule="exact"/>
              <w:rPr>
                <w:rFonts w:hint="eastAsia" w:ascii="仿宋" w:hAnsi="仿宋" w:eastAsia="仿宋" w:cs="仿宋"/>
                <w:sz w:val="24"/>
                <w:szCs w:val="24"/>
              </w:rPr>
            </w:pPr>
          </w:p>
        </w:tc>
        <w:tc>
          <w:tcPr>
            <w:tcW w:w="1860"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2. 办公设备</w:t>
            </w:r>
          </w:p>
        </w:tc>
        <w:tc>
          <w:tcPr>
            <w:tcW w:w="1590"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无</w:t>
            </w:r>
          </w:p>
        </w:tc>
        <w:tc>
          <w:tcPr>
            <w:tcW w:w="2130" w:type="dxa"/>
            <w:noWrap w:val="0"/>
            <w:vAlign w:val="top"/>
          </w:tcPr>
          <w:p>
            <w:pPr>
              <w:spacing w:line="360" w:lineRule="exact"/>
              <w:rPr>
                <w:rFonts w:hint="eastAsia" w:ascii="仿宋" w:hAnsi="仿宋" w:eastAsia="仿宋" w:cs="仿宋"/>
                <w:sz w:val="24"/>
                <w:szCs w:val="24"/>
              </w:rPr>
            </w:pPr>
          </w:p>
        </w:tc>
        <w:tc>
          <w:tcPr>
            <w:tcW w:w="1860"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3. 交通工具</w:t>
            </w:r>
          </w:p>
        </w:tc>
        <w:tc>
          <w:tcPr>
            <w:tcW w:w="1590"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无</w:t>
            </w:r>
          </w:p>
        </w:tc>
        <w:tc>
          <w:tcPr>
            <w:tcW w:w="2130" w:type="dxa"/>
            <w:noWrap w:val="0"/>
            <w:vAlign w:val="top"/>
          </w:tcPr>
          <w:p>
            <w:pPr>
              <w:spacing w:line="360" w:lineRule="exact"/>
              <w:rPr>
                <w:rFonts w:hint="eastAsia" w:ascii="仿宋" w:hAnsi="仿宋" w:eastAsia="仿宋" w:cs="仿宋"/>
                <w:sz w:val="24"/>
                <w:szCs w:val="24"/>
              </w:rPr>
            </w:pPr>
          </w:p>
        </w:tc>
        <w:tc>
          <w:tcPr>
            <w:tcW w:w="1860" w:type="dxa"/>
            <w:noWrap w:val="0"/>
            <w:vAlign w:val="top"/>
          </w:tcPr>
          <w:p>
            <w:pPr>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8"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4. 检测和试验设备……</w:t>
            </w:r>
          </w:p>
        </w:tc>
        <w:tc>
          <w:tcPr>
            <w:tcW w:w="1590"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无</w:t>
            </w:r>
          </w:p>
        </w:tc>
        <w:tc>
          <w:tcPr>
            <w:tcW w:w="2130" w:type="dxa"/>
            <w:noWrap w:val="0"/>
            <w:vAlign w:val="top"/>
          </w:tcPr>
          <w:p>
            <w:pPr>
              <w:spacing w:line="360" w:lineRule="exact"/>
              <w:rPr>
                <w:rFonts w:hint="eastAsia" w:ascii="仿宋" w:hAnsi="仿宋" w:eastAsia="仿宋" w:cs="仿宋"/>
                <w:sz w:val="24"/>
                <w:szCs w:val="24"/>
              </w:rPr>
            </w:pPr>
          </w:p>
        </w:tc>
        <w:tc>
          <w:tcPr>
            <w:tcW w:w="1860" w:type="dxa"/>
            <w:noWrap w:val="0"/>
            <w:vAlign w:val="top"/>
          </w:tcPr>
          <w:p>
            <w:pPr>
              <w:spacing w:line="360" w:lineRule="exact"/>
              <w:rPr>
                <w:rFonts w:hint="eastAsia" w:ascii="仿宋" w:hAnsi="仿宋" w:eastAsia="仿宋" w:cs="仿宋"/>
                <w:sz w:val="24"/>
                <w:szCs w:val="24"/>
              </w:rPr>
            </w:pPr>
          </w:p>
        </w:tc>
      </w:tr>
    </w:tbl>
    <w:p>
      <w:pPr>
        <w:snapToGrid w:val="0"/>
        <w:spacing w:line="400" w:lineRule="atLeast"/>
        <w:ind w:right="840"/>
        <w:rPr>
          <w:rFonts w:hint="eastAsia" w:ascii="仿宋" w:hAnsi="仿宋" w:eastAsia="仿宋" w:cs="仿宋"/>
          <w:b/>
          <w:snapToGrid w:val="0"/>
          <w:color w:val="000000"/>
          <w:kern w:val="0"/>
          <w:sz w:val="24"/>
        </w:rPr>
      </w:pPr>
    </w:p>
    <w:p>
      <w:pPr>
        <w:snapToGrid w:val="0"/>
        <w:spacing w:line="400" w:lineRule="atLeast"/>
        <w:ind w:right="840"/>
        <w:rPr>
          <w:rFonts w:hint="eastAsia" w:ascii="仿宋" w:hAnsi="仿宋" w:eastAsia="仿宋" w:cs="仿宋"/>
          <w:b/>
          <w:snapToGrid w:val="0"/>
          <w:kern w:val="0"/>
          <w:sz w:val="24"/>
          <w:szCs w:val="24"/>
        </w:rPr>
      </w:pPr>
      <w:r>
        <w:rPr>
          <w:rFonts w:hint="eastAsia" w:ascii="仿宋" w:hAnsi="仿宋" w:eastAsia="仿宋" w:cs="仿宋"/>
          <w:b/>
          <w:snapToGrid w:val="0"/>
          <w:color w:val="000000"/>
          <w:kern w:val="0"/>
          <w:sz w:val="24"/>
        </w:rPr>
        <w:t>注：本合同作为示范文本，具体以采购人与中标供应商所签定正式合同为准。</w:t>
      </w:r>
    </w:p>
    <w:p>
      <w:pPr>
        <w:pStyle w:val="34"/>
        <w:shd w:val="clear" w:color="auto" w:fill="FFFFFF"/>
        <w:adjustRightInd w:val="0"/>
        <w:snapToGrid w:val="0"/>
        <w:spacing w:before="0" w:beforeLines="0" w:after="0" w:afterLines="0" w:line="460" w:lineRule="exact"/>
        <w:rPr>
          <w:rFonts w:hint="eastAsia" w:hAnsi="宋体" w:cs="宋体"/>
          <w:b/>
          <w:snapToGrid w:val="0"/>
          <w:kern w:val="0"/>
          <w:sz w:val="36"/>
          <w:szCs w:val="36"/>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lang w:eastAsia="zh-CN"/>
        </w:rPr>
        <w:t>杭州市临安区文化和广电旅游体育局</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杭州市临安区农村历史建筑保护维修项目监理</w:t>
      </w:r>
      <w:r>
        <w:rPr>
          <w:rFonts w:hint="eastAsia" w:ascii="仿宋" w:hAnsi="仿宋" w:eastAsia="仿宋" w:cs="仿宋"/>
          <w:sz w:val="24"/>
        </w:rPr>
        <w:t>【</w:t>
      </w:r>
      <w:r>
        <w:rPr>
          <w:rFonts w:hint="eastAsia" w:ascii="仿宋" w:hAnsi="仿宋" w:eastAsia="仿宋" w:cs="仿宋"/>
          <w:sz w:val="24"/>
          <w:u w:val="single"/>
        </w:rPr>
        <w:t>招标编号：</w:t>
      </w:r>
      <w:r>
        <w:rPr>
          <w:rFonts w:hint="eastAsia" w:ascii="仿宋" w:hAnsi="仿宋" w:eastAsia="仿宋" w:cs="仿宋"/>
          <w:sz w:val="24"/>
          <w:u w:val="single"/>
          <w:lang w:val="en-US" w:eastAsia="zh-CN"/>
        </w:rPr>
        <w:t xml:space="preserve"> </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pStyle w:val="80"/>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r>
        <w:rPr>
          <w:rFonts w:hint="eastAsia" w:ascii="仿宋" w:hAnsi="仿宋" w:eastAsia="仿宋" w:cs="仿宋"/>
          <w:b/>
          <w:bCs/>
          <w:sz w:val="24"/>
        </w:rPr>
        <w:t>本项目无需提供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b w:val="0"/>
          <w:sz w:val="24"/>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sz w:val="24"/>
        </w:rPr>
        <w:t>（附件5）。</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（根据竞争性磋商公告本项目的特定资格要求提供相应的材料）</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jc w:val="distribute"/>
        <w:rPr>
          <w:rFonts w:ascii="仿宋" w:hAnsi="仿宋" w:eastAsia="仿宋" w:cs="仿宋"/>
          <w:sz w:val="24"/>
        </w:rPr>
      </w:pPr>
      <w:r>
        <w:rPr>
          <w:rFonts w:hint="eastAsia" w:ascii="仿宋" w:hAnsi="仿宋" w:eastAsia="仿宋" w:cs="仿宋"/>
          <w:sz w:val="24"/>
        </w:rPr>
        <w:t>（1）投标函………………………………………………………………………（页码）（2）授权委托书或法定代表人（单位负责人、自然人本人）身份证明……（页码）</w:t>
      </w:r>
    </w:p>
    <w:p>
      <w:pPr>
        <w:snapToGrid w:val="0"/>
        <w:spacing w:line="360" w:lineRule="auto"/>
        <w:ind w:left="479" w:leftChars="228"/>
        <w:jc w:val="distribute"/>
        <w:rPr>
          <w:rFonts w:ascii="仿宋" w:hAnsi="仿宋" w:eastAsia="仿宋" w:cs="仿宋"/>
          <w:sz w:val="24"/>
        </w:rPr>
      </w:pPr>
      <w:r>
        <w:rPr>
          <w:rFonts w:hint="eastAsia" w:ascii="仿宋" w:hAnsi="仿宋" w:eastAsia="仿宋" w:cs="仿宋"/>
          <w:sz w:val="24"/>
        </w:rPr>
        <w:t>（3）联合协议……………………………………………………………………（页码）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（4）分包意向协议………………………………………………………………（页码）</w:t>
      </w:r>
    </w:p>
    <w:p>
      <w:pPr>
        <w:snapToGrid w:val="0"/>
        <w:spacing w:line="360" w:lineRule="auto"/>
        <w:ind w:firstLine="480" w:firstLineChars="200"/>
        <w:jc w:val="distribute"/>
        <w:rPr>
          <w:rFonts w:ascii="仿宋" w:hAnsi="仿宋" w:eastAsia="仿宋" w:cs="仿宋"/>
          <w:sz w:val="24"/>
        </w:rPr>
      </w:pPr>
      <w:r>
        <w:rPr>
          <w:rFonts w:hint="eastAsia" w:ascii="仿宋" w:hAnsi="仿宋" w:eastAsia="仿宋" w:cs="仿宋"/>
          <w:sz w:val="24"/>
        </w:rPr>
        <w:t>（5）符合性审查资料……………………………………………………………（页码）</w:t>
      </w:r>
    </w:p>
    <w:p>
      <w:pPr>
        <w:snapToGrid w:val="0"/>
        <w:spacing w:line="360" w:lineRule="auto"/>
        <w:ind w:left="0" w:leftChars="0" w:firstLine="480" w:firstLineChars="200"/>
        <w:jc w:val="distribute"/>
        <w:rPr>
          <w:rFonts w:hint="eastAsia" w:ascii="仿宋" w:hAnsi="仿宋" w:eastAsia="仿宋" w:cs="仿宋"/>
          <w:sz w:val="24"/>
        </w:rPr>
      </w:pPr>
      <w:r>
        <w:rPr>
          <w:rFonts w:hint="eastAsia" w:ascii="仿宋" w:hAnsi="仿宋" w:eastAsia="仿宋" w:cs="仿宋"/>
          <w:sz w:val="24"/>
        </w:rPr>
        <w:t>（6）商务技术偏离表……………………………</w:t>
      </w:r>
      <w:r>
        <w:rPr>
          <w:rFonts w:hint="eastAsia" w:ascii="仿宋" w:hAnsi="仿宋" w:eastAsia="仿宋" w:cs="仿宋"/>
          <w:sz w:val="24"/>
          <w:lang w:val="en-US" w:eastAsia="zh-CN"/>
        </w:rPr>
        <w:t xml:space="preserve"> </w:t>
      </w:r>
      <w:r>
        <w:rPr>
          <w:rFonts w:hint="eastAsia" w:ascii="仿宋" w:hAnsi="仿宋" w:eastAsia="仿宋" w:cs="仿宋"/>
          <w:sz w:val="24"/>
        </w:rPr>
        <w:t>……………………………（页码）</w:t>
      </w:r>
    </w:p>
    <w:p>
      <w:pPr>
        <w:snapToGrid w:val="0"/>
        <w:spacing w:line="360" w:lineRule="auto"/>
        <w:ind w:left="0" w:leftChars="0" w:firstLine="480" w:firstLineChars="200"/>
        <w:jc w:val="distribute"/>
        <w:rPr>
          <w:rFonts w:hint="eastAsia" w:ascii="仿宋" w:hAnsi="仿宋" w:eastAsia="仿宋" w:cs="仿宋"/>
          <w:sz w:val="24"/>
        </w:rPr>
      </w:pPr>
      <w:r>
        <w:rPr>
          <w:rFonts w:hint="eastAsia" w:ascii="仿宋" w:hAnsi="仿宋" w:eastAsia="仿宋" w:cs="仿宋"/>
          <w:sz w:val="24"/>
        </w:rPr>
        <w:t>（7）评标标准相应的商务技术资料…………………………………………（页码）</w:t>
      </w:r>
    </w:p>
    <w:p>
      <w:pPr>
        <w:snapToGrid w:val="0"/>
        <w:spacing w:line="360" w:lineRule="auto"/>
        <w:ind w:left="0" w:leftChars="0" w:firstLine="480" w:firstLineChars="200"/>
        <w:jc w:val="distribute"/>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lang w:eastAsia="zh-CN"/>
        </w:rPr>
        <w:t>杭州市临安区文化和广电旅游体育局</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杭州市临安区农村历史建筑保护维修项目监理</w:t>
      </w:r>
      <w:r>
        <w:rPr>
          <w:rFonts w:hint="eastAsia" w:ascii="仿宋" w:hAnsi="仿宋" w:eastAsia="仿宋" w:cs="仿宋"/>
          <w:sz w:val="24"/>
        </w:rPr>
        <w:t>【招标编号：</w:t>
      </w:r>
      <w:r>
        <w:rPr>
          <w:rFonts w:hint="eastAsia" w:ascii="仿宋" w:hAnsi="仿宋" w:eastAsia="仿宋" w:cs="仿宋"/>
          <w:sz w:val="24"/>
          <w:lang w:val="en-US" w:eastAsia="zh-CN"/>
        </w:rPr>
        <w:t xml:space="preserve"> </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1、我方承诺投标有效期从提交响应文件的截止之日起天（不少于90天）</w:t>
      </w:r>
      <w:r>
        <w:rPr>
          <w:rFonts w:hint="eastAsia" w:ascii="仿宋" w:hAnsi="仿宋" w:eastAsia="仿宋" w:cs="仿宋"/>
        </w:rPr>
        <w:t>，</w:t>
      </w:r>
      <w:r>
        <w:rPr>
          <w:rFonts w:hint="eastAsia" w:ascii="仿宋" w:hAnsi="仿宋" w:eastAsia="仿宋" w:cs="仿宋"/>
          <w:sz w:val="24"/>
        </w:rPr>
        <w:t>本响应文件在投标有效期满之前均具有约束力。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3、我方承诺除商务技术偏离表列出的偏离外，我方响应采购文件的全部要求。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4.3按照采购文件要求提交履约保证金；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r>
        <w:rPr>
          <w:rFonts w:hint="eastAsia" w:ascii="仿宋" w:hAnsi="仿宋" w:eastAsia="仿宋" w:cs="仿宋"/>
          <w:sz w:val="24"/>
        </w:rPr>
        <w:t>供应商名称（电子签名）：</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杭州市临安区文化和广电旅游体育局</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val="zh-CN"/>
        </w:rPr>
        <w:t>杭州市临安区农村历史建筑保护维修项目监理</w:t>
      </w:r>
      <w:r>
        <w:rPr>
          <w:rFonts w:hint="eastAsia" w:ascii="仿宋" w:hAnsi="仿宋" w:eastAsia="仿宋" w:cs="仿宋"/>
          <w:sz w:val="24"/>
        </w:rPr>
        <w:t>【招标编号：】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杭州市临安区文化和广电旅游体育局、杭州建设工程造价咨询有限公司：</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val="zh-CN"/>
        </w:rPr>
        <w:t>杭州市临安区农村历史建筑保护维修项目监理</w:t>
      </w:r>
      <w:r>
        <w:rPr>
          <w:rFonts w:hint="eastAsia" w:ascii="仿宋" w:hAnsi="仿宋" w:eastAsia="仿宋" w:cs="仿宋"/>
          <w:sz w:val="24"/>
        </w:rPr>
        <w:t>【招标编号：】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autoSpaceDN/>
        <w:spacing w:line="240" w:lineRule="auto"/>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48"/>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4"/>
      </w:pP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（以联合体形式投标的，提供联合协议；本项目不接受联合体投标或者供应商不以联合体形式投标的，则不需要提供）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承接的全部工程由小微企业承接，其合同份额占到合同总金额%以上；</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中标后以分包方式履行合同的，提供分包意向协议；采购人不同意分包或者供应商中标后不以分包方式履行合同的，则不需要提供。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（分包供应商名称）承接的工程全部由小微企业承接，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vAlign w:val="center"/>
          </w:tcPr>
          <w:p>
            <w:pPr>
              <w:rPr>
                <w:rFonts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见响应文件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ascii="仿宋" w:hAnsi="仿宋" w:eastAsia="仿宋" w:cs="仿宋"/>
                <w:sz w:val="24"/>
              </w:rPr>
              <w:t>2</w:t>
            </w:r>
          </w:p>
        </w:tc>
        <w:tc>
          <w:tcPr>
            <w:tcW w:w="4991" w:type="dxa"/>
            <w:vAlign w:val="center"/>
          </w:tcPr>
          <w:p>
            <w:pPr>
              <w:rPr>
                <w:rFonts w:ascii="仿宋" w:hAnsi="仿宋" w:eastAsia="仿宋" w:cs="仿宋"/>
                <w:sz w:val="24"/>
              </w:rPr>
            </w:pPr>
            <w:r>
              <w:rPr>
                <w:rFonts w:hint="eastAsia" w:ascii="仿宋" w:hAnsi="仿宋" w:eastAsia="仿宋" w:cs="仿宋"/>
                <w:sz w:val="24"/>
              </w:rPr>
              <w:t>响应文件中承诺的投标有效期不少于采购文件中载明的投标有效期。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vAlign w:val="center"/>
          </w:tcPr>
          <w:p>
            <w:pPr>
              <w:rPr>
                <w:rFonts w:ascii="仿宋" w:hAnsi="仿宋" w:eastAsia="仿宋" w:cs="仿宋"/>
              </w:rPr>
            </w:pPr>
            <w:r>
              <w:rPr>
                <w:rFonts w:hint="eastAsia" w:ascii="仿宋" w:hAnsi="仿宋" w:eastAsia="仿宋" w:cs="仿宋"/>
                <w:sz w:val="24"/>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pPr>
              <w:rPr>
                <w:rFonts w:ascii="仿宋" w:hAnsi="仿宋" w:eastAsia="仿宋" w:cs="仿宋"/>
                <w:sz w:val="24"/>
              </w:rPr>
            </w:pPr>
            <w:r>
              <w:rPr>
                <w:rFonts w:ascii="仿宋" w:hAnsi="仿宋" w:eastAsia="仿宋" w:cs="仿宋"/>
                <w:sz w:val="24"/>
              </w:rPr>
              <w:t>3</w:t>
            </w:r>
          </w:p>
        </w:tc>
        <w:tc>
          <w:tcPr>
            <w:tcW w:w="4991" w:type="dxa"/>
            <w:vAlign w:val="center"/>
          </w:tcPr>
          <w:p>
            <w:pPr>
              <w:rPr>
                <w:rFonts w:ascii="仿宋" w:hAnsi="仿宋" w:eastAsia="仿宋" w:cs="仿宋"/>
                <w:sz w:val="24"/>
              </w:rPr>
            </w:pPr>
            <w:r>
              <w:rPr>
                <w:rFonts w:hint="eastAsia" w:ascii="仿宋" w:hAnsi="仿宋" w:eastAsia="仿宋" w:cs="仿宋"/>
                <w:sz w:val="24"/>
              </w:rPr>
              <w:t>响应文件满足采购文件的其它实质性要求。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采购文件其它实质性要求相应的材料（“▲”系指实质性要求条款，采购文件无其它实质性要求的，无需提供）</w:t>
            </w:r>
          </w:p>
        </w:tc>
        <w:tc>
          <w:tcPr>
            <w:tcW w:w="1418" w:type="dxa"/>
            <w:vAlign w:val="center"/>
          </w:tcPr>
          <w:p>
            <w:pPr>
              <w:rPr>
                <w:rFonts w:ascii="仿宋" w:hAnsi="仿宋" w:eastAsia="仿宋" w:cs="仿宋"/>
              </w:rPr>
            </w:pPr>
            <w:r>
              <w:rPr>
                <w:rFonts w:hint="eastAsia" w:ascii="仿宋" w:hAnsi="仿宋" w:eastAsia="仿宋" w:cs="仿宋"/>
                <w:sz w:val="24"/>
              </w:rPr>
              <w:t>见响应文件第页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3"/>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650"/>
        <w:gridCol w:w="351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50"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50" w:type="dxa"/>
            <w:vAlign w:val="center"/>
          </w:tcPr>
          <w:p>
            <w:pPr>
              <w:jc w:val="center"/>
              <w:rPr>
                <w:rFonts w:ascii="仿宋" w:hAnsi="仿宋" w:eastAsia="仿宋" w:cs="仿宋"/>
                <w:b/>
                <w:bCs/>
                <w:sz w:val="24"/>
              </w:rPr>
            </w:pPr>
            <w:r>
              <w:rPr>
                <w:rFonts w:hint="eastAsia" w:ascii="仿宋" w:hAnsi="仿宋" w:eastAsia="仿宋" w:cs="仿宋"/>
                <w:b/>
                <w:bCs/>
                <w:sz w:val="24"/>
              </w:rPr>
              <w:t>采购文件章节及具体内容</w:t>
            </w:r>
          </w:p>
        </w:tc>
        <w:tc>
          <w:tcPr>
            <w:tcW w:w="3514" w:type="dxa"/>
            <w:vAlign w:val="center"/>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64" w:type="dxa"/>
            <w:vAlign w:val="center"/>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50"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3650" w:type="dxa"/>
            <w:vAlign w:val="center"/>
          </w:tcPr>
          <w:p>
            <w:pPr>
              <w:jc w:val="center"/>
              <w:rPr>
                <w:rFonts w:ascii="仿宋" w:hAnsi="仿宋" w:eastAsia="仿宋" w:cs="仿宋"/>
                <w:b/>
                <w:kern w:val="0"/>
                <w:sz w:val="32"/>
                <w:szCs w:val="32"/>
              </w:rPr>
            </w:pPr>
          </w:p>
        </w:tc>
        <w:tc>
          <w:tcPr>
            <w:tcW w:w="3514" w:type="dxa"/>
            <w:vAlign w:val="center"/>
          </w:tcPr>
          <w:p>
            <w:pPr>
              <w:jc w:val="center"/>
              <w:rPr>
                <w:rFonts w:ascii="仿宋" w:hAnsi="仿宋" w:eastAsia="仿宋" w:cs="仿宋"/>
                <w:b/>
                <w:kern w:val="0"/>
                <w:sz w:val="32"/>
                <w:szCs w:val="32"/>
              </w:rPr>
            </w:pPr>
          </w:p>
        </w:tc>
        <w:tc>
          <w:tcPr>
            <w:tcW w:w="1264" w:type="dxa"/>
            <w:vAlign w:val="center"/>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left"/>
        <w:rPr>
          <w:rFonts w:ascii="仿宋" w:hAnsi="仿宋" w:eastAsia="仿宋" w:cs="仿宋"/>
          <w:b/>
          <w:kern w:val="0"/>
          <w:sz w:val="32"/>
          <w:szCs w:val="32"/>
        </w:rPr>
      </w:pPr>
      <w:r>
        <w:rPr>
          <w:rFonts w:ascii="仿宋" w:hAnsi="仿宋" w:eastAsia="仿宋" w:cs="仿宋"/>
          <w:b/>
          <w:kern w:val="0"/>
          <w:sz w:val="32"/>
          <w:szCs w:val="32"/>
        </w:rPr>
        <w:br w:type="page"/>
      </w:r>
    </w:p>
    <w:p>
      <w:pPr>
        <w:pStyle w:val="4"/>
        <w:jc w:val="center"/>
        <w:rPr>
          <w:rFonts w:hint="eastAsia" w:ascii="仿宋" w:eastAsia="仿宋" w:cs="仿宋"/>
          <w:bCs w:val="0"/>
          <w:kern w:val="0"/>
          <w:lang w:val="en-US"/>
        </w:rPr>
      </w:pPr>
      <w:r>
        <w:rPr>
          <w:rFonts w:hint="eastAsia" w:ascii="仿宋" w:eastAsia="仿宋" w:cs="仿宋"/>
          <w:bCs w:val="0"/>
          <w:kern w:val="0"/>
          <w:sz w:val="32"/>
          <w:lang w:val="en-US" w:eastAsia="zh-CN"/>
        </w:rPr>
        <w:t>七、</w:t>
      </w:r>
      <w:r>
        <w:rPr>
          <w:rFonts w:hint="eastAsia" w:ascii="仿宋" w:hAnsi="仿宋" w:eastAsia="仿宋" w:cs="仿宋"/>
          <w:bCs w:val="0"/>
          <w:kern w:val="0"/>
          <w:sz w:val="32"/>
          <w:lang w:val="en-US"/>
        </w:rPr>
        <w:t>评标标准相应的商务技术资料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0" w:firstLineChars="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杭州市临安区文化和广电旅游体育局、杭州建设工程造价咨询有限公司：</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）中小企业声明函（如有）………………………………………………………（页码）</w:t>
      </w: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pStyle w:val="690"/>
        <w:snapToGrid w:val="0"/>
        <w:spacing w:before="120" w:after="120"/>
        <w:ind w:firstLine="640"/>
        <w:rPr>
          <w:rFonts w:ascii="仿宋" w:hAnsi="仿宋" w:eastAsia="仿宋" w:cs="仿宋"/>
          <w:kern w:val="2"/>
          <w:sz w:val="32"/>
          <w:szCs w:val="32"/>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pPr>
      <w:bookmarkStart w:id="538" w:name="_Toc94189324"/>
      <w:bookmarkStart w:id="539" w:name="_Toc94189567"/>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一、开标一览表（报价表）</w:t>
      </w:r>
      <w:bookmarkEnd w:id="538"/>
      <w:bookmarkEnd w:id="539"/>
    </w:p>
    <w:p>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杭州市临安区文化和广电旅游体育局</w:t>
      </w:r>
      <w:r>
        <w:rPr>
          <w:rFonts w:hint="eastAsia" w:ascii="仿宋" w:hAnsi="仿宋" w:eastAsia="仿宋" w:cs="仿宋"/>
          <w:sz w:val="24"/>
        </w:rPr>
        <w:t>、</w:t>
      </w:r>
      <w:r>
        <w:rPr>
          <w:rFonts w:hint="eastAsia" w:ascii="仿宋" w:hAnsi="仿宋" w:eastAsia="仿宋" w:cs="仿宋"/>
          <w:sz w:val="24"/>
          <w:lang w:eastAsia="zh-CN"/>
        </w:rPr>
        <w:t>杭州建设工程造价咨询有限公司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按你方采购文件要求，我们，本响应文件签字方，谨此向你方发出要约如下：如你方接受本磋商响应，我方承诺按照如下开标一览表（报价表）的价格完成</w:t>
      </w:r>
      <w:r>
        <w:rPr>
          <w:rFonts w:hint="eastAsia" w:ascii="仿宋" w:hAnsi="仿宋" w:eastAsia="仿宋" w:cs="仿宋"/>
          <w:kern w:val="0"/>
          <w:sz w:val="24"/>
          <w:u w:val="single"/>
          <w:lang w:val="zh-CN"/>
        </w:rPr>
        <w:t>杭州市临安区农村历史建筑保护维修项目监理</w:t>
      </w:r>
      <w:r>
        <w:rPr>
          <w:rFonts w:hint="eastAsia" w:ascii="仿宋" w:hAnsi="仿宋" w:eastAsia="仿宋" w:cs="仿宋"/>
          <w:kern w:val="0"/>
          <w:sz w:val="24"/>
          <w:lang w:val="zh-CN"/>
        </w:rPr>
        <w:t>【招标编号：】的实施。</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4"/>
        <w:gridCol w:w="3988"/>
        <w:gridCol w:w="3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668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3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投标报价</w:t>
            </w:r>
          </w:p>
        </w:tc>
        <w:tc>
          <w:tcPr>
            <w:tcW w:w="33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5" w:hRule="exact"/>
          <w:jc w:val="center"/>
        </w:trPr>
        <w:tc>
          <w:tcPr>
            <w:tcW w:w="668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bCs/>
                <w:sz w:val="24"/>
                <w:lang w:eastAsia="zh-CN"/>
              </w:rPr>
            </w:pPr>
            <w:r>
              <w:rPr>
                <w:rFonts w:hint="eastAsia" w:ascii="仿宋" w:hAnsi="仿宋" w:eastAsia="仿宋" w:cs="仿宋"/>
                <w:bCs/>
                <w:sz w:val="24"/>
                <w:lang w:val="en-US" w:eastAsia="zh-CN"/>
              </w:rPr>
              <w:t>杭州市临安区农村历史建筑保护维修项目监理</w:t>
            </w:r>
          </w:p>
        </w:tc>
        <w:tc>
          <w:tcPr>
            <w:tcW w:w="3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维修项目施工中标合同价的</w:t>
            </w:r>
            <w:r>
              <w:rPr>
                <w:rFonts w:hint="eastAsia" w:ascii="仿宋" w:hAnsi="仿宋" w:eastAsia="仿宋" w:cs="仿宋"/>
                <w:bCs/>
                <w:sz w:val="24"/>
                <w:u w:val="single"/>
                <w:lang w:val="en-US" w:eastAsia="zh-CN"/>
              </w:rPr>
              <w:t xml:space="preserve">    </w:t>
            </w:r>
            <w:r>
              <w:rPr>
                <w:rFonts w:hint="eastAsia" w:ascii="仿宋" w:hAnsi="仿宋" w:eastAsia="仿宋" w:cs="仿宋"/>
                <w:bCs/>
                <w:sz w:val="24"/>
                <w:lang w:val="en-US" w:eastAsia="zh-CN"/>
              </w:rPr>
              <w:t>%</w:t>
            </w:r>
          </w:p>
        </w:tc>
        <w:tc>
          <w:tcPr>
            <w:tcW w:w="33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bCs/>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1、报价一经涂改，应在涂改处加盖单位公章或者由法定代表人或委托代理人签名或盖章，否则其投标作无效标处理。</w:t>
      </w:r>
    </w:p>
    <w:p>
      <w:pPr>
        <w:snapToGrid w:val="0"/>
        <w:spacing w:line="360" w:lineRule="auto"/>
        <w:ind w:firstLine="482" w:firstLineChars="200"/>
        <w:jc w:val="left"/>
        <w:rPr>
          <w:rFonts w:hint="eastAsia" w:ascii="仿宋" w:hAnsi="仿宋" w:eastAsia="仿宋" w:cs="仿宋"/>
          <w:kern w:val="0"/>
          <w:sz w:val="24"/>
        </w:rPr>
      </w:pPr>
      <w:r>
        <w:rPr>
          <w:rFonts w:hint="eastAsia" w:ascii="仿宋" w:hAnsi="仿宋" w:eastAsia="仿宋" w:cs="仿宋"/>
          <w:b/>
          <w:kern w:val="0"/>
          <w:sz w:val="24"/>
          <w:lang w:val="zh-CN"/>
        </w:rPr>
        <w:t>2、投标应以监理费率为报价，监理费率应小于等于2.</w:t>
      </w:r>
      <w:r>
        <w:rPr>
          <w:rFonts w:hint="eastAsia" w:ascii="仿宋" w:hAnsi="仿宋" w:eastAsia="仿宋" w:cs="仿宋"/>
          <w:b/>
          <w:kern w:val="0"/>
          <w:sz w:val="24"/>
          <w:lang w:val="en-US" w:eastAsia="zh-CN"/>
        </w:rPr>
        <w:t>33</w:t>
      </w:r>
      <w:r>
        <w:rPr>
          <w:rFonts w:hint="eastAsia" w:ascii="仿宋" w:hAnsi="仿宋" w:eastAsia="仿宋" w:cs="仿宋"/>
          <w:b/>
          <w:kern w:val="0"/>
          <w:sz w:val="24"/>
          <w:lang w:val="zh-CN"/>
        </w:rPr>
        <w:t>%，否则按无效标处理。</w:t>
      </w:r>
    </w:p>
    <w:p>
      <w:pPr>
        <w:numPr>
          <w:ilvl w:val="0"/>
          <w:numId w:val="4"/>
        </w:num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特别提示：采购机构将对项目名称和项目编号，成交供应商名称、地址和成交金额，主要成交标的的名称、规格型号、数量、单价、服务要求等予以公示。</w:t>
      </w:r>
    </w:p>
    <w:p>
      <w:pPr>
        <w:snapToGrid w:val="0"/>
        <w:spacing w:line="360" w:lineRule="auto"/>
        <w:ind w:firstLine="480" w:firstLineChars="200"/>
        <w:jc w:val="left"/>
        <w:rPr>
          <w:rFonts w:ascii="仿宋" w:hAnsi="仿宋" w:eastAsia="仿宋" w:cs="仿宋"/>
          <w:b/>
          <w:sz w:val="32"/>
          <w:szCs w:val="32"/>
        </w:rPr>
      </w:pPr>
      <w:r>
        <w:rPr>
          <w:rFonts w:hint="eastAsia" w:ascii="仿宋" w:hAnsi="仿宋" w:eastAsia="仿宋" w:cs="仿宋"/>
          <w:kern w:val="0"/>
          <w:sz w:val="24"/>
          <w:szCs w:val="22"/>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pPr>
        <w:tabs>
          <w:tab w:val="left" w:pos="8085"/>
        </w:tabs>
        <w:spacing w:line="360" w:lineRule="auto"/>
        <w:ind w:firstLine="1285" w:firstLineChars="400"/>
        <w:jc w:val="left"/>
        <w:rPr>
          <w:rFonts w:ascii="仿宋" w:hAnsi="仿宋" w:eastAsia="仿宋" w:cs="仿宋"/>
          <w:b/>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二、中小企业声明函</w:t>
      </w:r>
    </w:p>
    <w:p>
      <w:pPr>
        <w:pStyle w:val="690"/>
        <w:snapToGrid w:val="0"/>
        <w:spacing w:before="120" w:after="120"/>
        <w:ind w:firstLine="640"/>
        <w:jc w:val="center"/>
        <w:rPr>
          <w:rFonts w:ascii="仿宋" w:hAnsi="仿宋" w:eastAsia="仿宋" w:cs="仿宋"/>
          <w:kern w:val="2"/>
          <w:sz w:val="32"/>
          <w:szCs w:val="32"/>
        </w:rPr>
      </w:pPr>
      <w:r>
        <w:rPr>
          <w:rFonts w:hint="eastAsia" w:ascii="仿宋" w:hAnsi="仿宋" w:eastAsia="仿宋" w:cs="仿宋"/>
          <w:kern w:val="2"/>
          <w:sz w:val="32"/>
          <w:szCs w:val="32"/>
        </w:rPr>
        <w:t>（如有格式见附件5）</w:t>
      </w:r>
    </w:p>
    <w:p>
      <w:pPr>
        <w:spacing w:before="240" w:beforeLines="100" w:after="240" w:afterLines="100"/>
        <w:jc w:val="left"/>
        <w:rPr>
          <w:rFonts w:hint="eastAsia" w:ascii="仿宋" w:hAnsi="仿宋" w:eastAsia="仿宋" w:cs="仿宋"/>
          <w:b/>
          <w:bCs/>
          <w:color w:val="000000"/>
          <w:kern w:val="2"/>
          <w:sz w:val="24"/>
          <w:szCs w:val="24"/>
          <w:u w:val="none"/>
          <w:shd w:val="clear" w:color="auto" w:fill="auto"/>
          <w:lang w:val="zh-TW" w:eastAsia="zh-TW" w:bidi="zh-TW"/>
        </w:rPr>
      </w:pPr>
      <w:r>
        <w:rPr>
          <w:rFonts w:hint="eastAsia" w:ascii="仿宋" w:hAnsi="仿宋" w:eastAsia="仿宋" w:cs="仿宋"/>
          <w:b/>
          <w:bCs/>
          <w:color w:val="000000"/>
          <w:kern w:val="2"/>
          <w:sz w:val="24"/>
          <w:szCs w:val="24"/>
          <w:u w:val="none"/>
          <w:shd w:val="clear" w:color="auto" w:fill="auto"/>
          <w:lang w:val="zh-TW" w:eastAsia="zh-TW" w:bidi="zh-TW"/>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4"/>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40" w:name="_Toc465665161"/>
      <w:r>
        <w:rPr>
          <w:rFonts w:hint="eastAsia" w:ascii="仿宋" w:hAnsi="仿宋" w:eastAsia="仿宋" w:cs="仿宋"/>
        </w:rPr>
        <w:t>附件</w:t>
      </w:r>
      <w:bookmarkEnd w:id="540"/>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41" w:name="OLE_LINK13"/>
      <w:bookmarkStart w:id="542" w:name="OLE_LINK14"/>
      <w:r>
        <w:rPr>
          <w:rFonts w:hint="eastAsia" w:ascii="仿宋" w:hAnsi="仿宋" w:eastAsia="仿宋" w:cs="仿宋"/>
          <w:b/>
          <w:spacing w:val="6"/>
          <w:sz w:val="32"/>
          <w:szCs w:val="32"/>
        </w:rPr>
        <w:t>残疾人福利性单位声明函</w:t>
      </w:r>
    </w:p>
    <w:bookmarkEnd w:id="541"/>
    <w:bookmarkEnd w:id="542"/>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供应商名称（电子签名）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napToGrid w:val="0"/>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napToGrid w:val="0"/>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br w:type="page"/>
      </w:r>
    </w:p>
    <w:p>
      <w:pPr>
        <w:pStyle w:val="24"/>
        <w:rPr>
          <w:rFonts w:ascii="仿宋" w:hAnsi="仿宋" w:eastAsia="仿宋" w:cs="仿宋"/>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ascii="仿宋" w:hAnsi="仿宋" w:eastAsia="仿宋" w:cs="仿宋"/>
          <w:sz w:val="24"/>
          <w:u w:val="dotted"/>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24"/>
        <w:rPr>
          <w:rFonts w:ascii="仿宋" w:hAnsi="仿宋" w:eastAsia="仿宋" w:cs="仿宋"/>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80"/>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供应商（法定名称章）：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供应商法定名称章（印模）供应商“XX专用章”（印模）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240" w:lineRule="auto"/>
        <w:ind w:right="0"/>
        <w:rPr>
          <w:rFonts w:hint="eastAsia" w:ascii="仿宋" w:hAnsi="仿宋" w:eastAsia="仿宋" w:cs="仿宋"/>
          <w:sz w:val="24"/>
        </w:rPr>
      </w:pPr>
      <w:r>
        <w:rPr>
          <w:rFonts w:hint="eastAsia" w:ascii="仿宋" w:hAnsi="仿宋" w:eastAsia="仿宋" w:cs="仿宋"/>
          <w:sz w:val="24"/>
        </w:rPr>
        <w:br w:type="page"/>
      </w:r>
    </w:p>
    <w:p>
      <w:pPr>
        <w:pStyle w:val="24"/>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附件6（开标记录开启后，请将此附件填写完整发送至邮箱：617044846@qq.com）：</w:t>
      </w:r>
    </w:p>
    <w:p>
      <w:pPr>
        <w:pStyle w:val="24"/>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杭州建设工程造价咨询有限公司：</w:t>
      </w:r>
      <w:r>
        <w:rPr>
          <w:rFonts w:hint="eastAsia" w:ascii="仿宋" w:hAnsi="仿宋" w:eastAsia="仿宋" w:cs="仿宋"/>
          <w:color w:val="auto"/>
          <w:sz w:val="24"/>
          <w:szCs w:val="24"/>
          <w:highlight w:val="none"/>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 ____________（授权代表姓名），经由______________________________（单位） ____________ （法定代表人姓名）合法授权参加</w:t>
      </w:r>
      <w:r>
        <w:rPr>
          <w:rFonts w:hint="eastAsia" w:ascii="仿宋" w:hAnsi="仿宋" w:eastAsia="仿宋" w:cs="仿宋"/>
          <w:color w:val="auto"/>
          <w:sz w:val="24"/>
          <w:szCs w:val="24"/>
          <w:highlight w:val="none"/>
          <w:lang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本单位与采购人之间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不存在利害关系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存在下列利害关系:</w:t>
      </w:r>
    </w:p>
    <w:p>
      <w:pPr>
        <w:pStyle w:val="24"/>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ind w:left="12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12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I．其他利害关系情况 ________________________________________。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四、我发现 ____________________供应商之间存在或可能存在上述第二条第 ____________项利害关系。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highlight w:val="none"/>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签名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pStyle w:val="16"/>
      </w:pPr>
    </w:p>
    <w:p>
      <w:pPr>
        <w:spacing w:line="360" w:lineRule="auto"/>
        <w:rPr>
          <w:rFonts w:ascii="仿宋" w:hAnsi="仿宋" w:eastAsia="仿宋" w:cs="仿宋"/>
          <w:bCs/>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9912985</wp:posOffset>
              </wp:positionV>
              <wp:extent cx="166370"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55pt;height:11pt;width:13.1pt;mso-position-horizontal-relative:page;mso-position-vertical-relative:page;z-index:-251655168;mso-width-relative:page;mso-height-relative:page;" filled="f" stroked="f" coordsize="21600,21600" o:gfxdata="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rPcCdoAAAANAQAADwAAAAAAAAABACAAAAAiAAAAZHJzL2Rvd25yZXYueG1sUEsB&#10;AhQAFAAAAAgAh07iQKHCkGu6AQAAcwMAAA4AAAAAAAAAAQAgAAAAKQ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p>
    <w:pPr>
      <w:pStyle w:val="4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rPr>
        <w:rFonts w:ascii="仿宋_GB2312"/>
        <w:b/>
        <w:i/>
        <w:u w:val="single"/>
      </w:rPr>
    </w:pPr>
    <w:r>
      <w:t></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6A50E"/>
    <w:multiLevelType w:val="singleLevel"/>
    <w:tmpl w:val="8556A50E"/>
    <w:lvl w:ilvl="0" w:tentative="0">
      <w:start w:val="5"/>
      <w:numFmt w:val="chineseCounting"/>
      <w:suff w:val="nothing"/>
      <w:lvlText w:val="%1、"/>
      <w:lvlJc w:val="left"/>
      <w:rPr>
        <w:rFonts w:hint="eastAsia"/>
      </w:rPr>
    </w:lvl>
  </w:abstractNum>
  <w:abstractNum w:abstractNumId="1">
    <w:nsid w:val="B1788B2B"/>
    <w:multiLevelType w:val="singleLevel"/>
    <w:tmpl w:val="B1788B2B"/>
    <w:lvl w:ilvl="0" w:tentative="0">
      <w:start w:val="3"/>
      <w:numFmt w:val="decimal"/>
      <w:suff w:val="nothing"/>
      <w:lvlText w:val="%1、"/>
      <w:lvlJc w:val="left"/>
    </w:lvl>
  </w:abstractNum>
  <w:abstractNum w:abstractNumId="2">
    <w:nsid w:val="BACEC1E5"/>
    <w:multiLevelType w:val="singleLevel"/>
    <w:tmpl w:val="BACEC1E5"/>
    <w:lvl w:ilvl="0" w:tentative="0">
      <w:start w:val="6"/>
      <w:numFmt w:val="chineseCounting"/>
      <w:suff w:val="nothing"/>
      <w:lvlText w:val="%1、"/>
      <w:lvlJc w:val="left"/>
      <w:rPr>
        <w:rFonts w:hint="eastAsia"/>
      </w:rPr>
    </w:lvl>
  </w:abstractNum>
  <w:abstractNum w:abstractNumId="3">
    <w:nsid w:val="BE78F817"/>
    <w:multiLevelType w:val="singleLevel"/>
    <w:tmpl w:val="BE78F817"/>
    <w:lvl w:ilvl="0" w:tentative="0">
      <w:start w:val="4"/>
      <w:numFmt w:val="chineseCounting"/>
      <w:suff w:val="space"/>
      <w:lvlText w:val="第%1部分"/>
      <w:lvlJc w:val="left"/>
      <w:rPr>
        <w:rFonts w:hint="eastAsia"/>
      </w:rPr>
    </w:lvl>
  </w:abstractNum>
  <w:abstractNum w:abstractNumId="4">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A60"/>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8C"/>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19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C5C"/>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C3C"/>
    <w:rsid w:val="000E5FF9"/>
    <w:rsid w:val="000E6AE1"/>
    <w:rsid w:val="000E7142"/>
    <w:rsid w:val="000E7632"/>
    <w:rsid w:val="000E7737"/>
    <w:rsid w:val="000E7739"/>
    <w:rsid w:val="000E77EE"/>
    <w:rsid w:val="000F0E1A"/>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B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19"/>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2B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810"/>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763"/>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1BF"/>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3FD7"/>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D7"/>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8E1"/>
    <w:rsid w:val="00264C4B"/>
    <w:rsid w:val="00264ED0"/>
    <w:rsid w:val="00265346"/>
    <w:rsid w:val="00266045"/>
    <w:rsid w:val="002660C3"/>
    <w:rsid w:val="00266500"/>
    <w:rsid w:val="00266C21"/>
    <w:rsid w:val="00266DE1"/>
    <w:rsid w:val="00267A92"/>
    <w:rsid w:val="00267E43"/>
    <w:rsid w:val="00270282"/>
    <w:rsid w:val="00270780"/>
    <w:rsid w:val="00270CF6"/>
    <w:rsid w:val="00271097"/>
    <w:rsid w:val="00271773"/>
    <w:rsid w:val="00271C53"/>
    <w:rsid w:val="0027244F"/>
    <w:rsid w:val="00272910"/>
    <w:rsid w:val="00272BAE"/>
    <w:rsid w:val="00273052"/>
    <w:rsid w:val="002739CE"/>
    <w:rsid w:val="00273C5F"/>
    <w:rsid w:val="002741D4"/>
    <w:rsid w:val="002743AC"/>
    <w:rsid w:val="0027499D"/>
    <w:rsid w:val="0027506A"/>
    <w:rsid w:val="002751CA"/>
    <w:rsid w:val="0027544D"/>
    <w:rsid w:val="00277196"/>
    <w:rsid w:val="002775ED"/>
    <w:rsid w:val="002778AB"/>
    <w:rsid w:val="002802A5"/>
    <w:rsid w:val="00280CFB"/>
    <w:rsid w:val="00280D24"/>
    <w:rsid w:val="002815C4"/>
    <w:rsid w:val="00281BCB"/>
    <w:rsid w:val="00281C76"/>
    <w:rsid w:val="0028316D"/>
    <w:rsid w:val="00283296"/>
    <w:rsid w:val="002838FF"/>
    <w:rsid w:val="0028508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941"/>
    <w:rsid w:val="00321DB7"/>
    <w:rsid w:val="00321E7A"/>
    <w:rsid w:val="0032226D"/>
    <w:rsid w:val="003235E6"/>
    <w:rsid w:val="00324038"/>
    <w:rsid w:val="00324951"/>
    <w:rsid w:val="003249F6"/>
    <w:rsid w:val="00324B2F"/>
    <w:rsid w:val="00325FCC"/>
    <w:rsid w:val="00326106"/>
    <w:rsid w:val="00326497"/>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D6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649"/>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EF0"/>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BB"/>
    <w:rsid w:val="003E20F7"/>
    <w:rsid w:val="003E322B"/>
    <w:rsid w:val="003E336A"/>
    <w:rsid w:val="003E3E2F"/>
    <w:rsid w:val="003E4048"/>
    <w:rsid w:val="003E4CE5"/>
    <w:rsid w:val="003E604C"/>
    <w:rsid w:val="003E60DA"/>
    <w:rsid w:val="003E6870"/>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3EC"/>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718"/>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163"/>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337"/>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DD"/>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AAF"/>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9C7"/>
    <w:rsid w:val="0050790B"/>
    <w:rsid w:val="00507FDF"/>
    <w:rsid w:val="0051037C"/>
    <w:rsid w:val="0051050F"/>
    <w:rsid w:val="0051058B"/>
    <w:rsid w:val="00510DDC"/>
    <w:rsid w:val="00511166"/>
    <w:rsid w:val="00512217"/>
    <w:rsid w:val="00512459"/>
    <w:rsid w:val="005131A2"/>
    <w:rsid w:val="005137E4"/>
    <w:rsid w:val="00513BB9"/>
    <w:rsid w:val="0051424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C46"/>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4A"/>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28"/>
    <w:rsid w:val="00665F61"/>
    <w:rsid w:val="006661E8"/>
    <w:rsid w:val="00666424"/>
    <w:rsid w:val="0066676C"/>
    <w:rsid w:val="006673B9"/>
    <w:rsid w:val="0066790C"/>
    <w:rsid w:val="00667FF0"/>
    <w:rsid w:val="00670C7C"/>
    <w:rsid w:val="00671480"/>
    <w:rsid w:val="006717E7"/>
    <w:rsid w:val="00671FD5"/>
    <w:rsid w:val="006720BC"/>
    <w:rsid w:val="00672906"/>
    <w:rsid w:val="00672C73"/>
    <w:rsid w:val="006739D8"/>
    <w:rsid w:val="00673B64"/>
    <w:rsid w:val="006753AC"/>
    <w:rsid w:val="00675430"/>
    <w:rsid w:val="006755F0"/>
    <w:rsid w:val="00675749"/>
    <w:rsid w:val="006759FE"/>
    <w:rsid w:val="00677106"/>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49"/>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399"/>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DB8"/>
    <w:rsid w:val="006F1DE9"/>
    <w:rsid w:val="006F2046"/>
    <w:rsid w:val="006F2F59"/>
    <w:rsid w:val="006F311E"/>
    <w:rsid w:val="006F3442"/>
    <w:rsid w:val="006F36A5"/>
    <w:rsid w:val="006F41F4"/>
    <w:rsid w:val="006F4576"/>
    <w:rsid w:val="006F5750"/>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784"/>
    <w:rsid w:val="0071604D"/>
    <w:rsid w:val="00716C67"/>
    <w:rsid w:val="007170AB"/>
    <w:rsid w:val="0071779C"/>
    <w:rsid w:val="00717808"/>
    <w:rsid w:val="007208A7"/>
    <w:rsid w:val="00720B6A"/>
    <w:rsid w:val="007210F6"/>
    <w:rsid w:val="0072123C"/>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B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7F7"/>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B7"/>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185"/>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89A"/>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87"/>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A0D"/>
    <w:rsid w:val="008465B4"/>
    <w:rsid w:val="00846D25"/>
    <w:rsid w:val="008470BC"/>
    <w:rsid w:val="00850013"/>
    <w:rsid w:val="008500DD"/>
    <w:rsid w:val="00850A0A"/>
    <w:rsid w:val="00850A94"/>
    <w:rsid w:val="00851E96"/>
    <w:rsid w:val="00851F1C"/>
    <w:rsid w:val="00852FA5"/>
    <w:rsid w:val="00853F7D"/>
    <w:rsid w:val="0085517F"/>
    <w:rsid w:val="00855356"/>
    <w:rsid w:val="0085562D"/>
    <w:rsid w:val="00855A78"/>
    <w:rsid w:val="00856154"/>
    <w:rsid w:val="00856286"/>
    <w:rsid w:val="0085657E"/>
    <w:rsid w:val="0085679A"/>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49C"/>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6D6"/>
    <w:rsid w:val="00912850"/>
    <w:rsid w:val="009128B8"/>
    <w:rsid w:val="0091472C"/>
    <w:rsid w:val="00914DC9"/>
    <w:rsid w:val="00915351"/>
    <w:rsid w:val="00915679"/>
    <w:rsid w:val="009159C2"/>
    <w:rsid w:val="0091627F"/>
    <w:rsid w:val="00916E45"/>
    <w:rsid w:val="0092077A"/>
    <w:rsid w:val="00920DC0"/>
    <w:rsid w:val="009219F3"/>
    <w:rsid w:val="0092206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593"/>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F3"/>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A1E"/>
    <w:rsid w:val="009B2731"/>
    <w:rsid w:val="009B2DCF"/>
    <w:rsid w:val="009B39D8"/>
    <w:rsid w:val="009B3D38"/>
    <w:rsid w:val="009B4368"/>
    <w:rsid w:val="009B4D4C"/>
    <w:rsid w:val="009B558E"/>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2D"/>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045"/>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3BB"/>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5A9"/>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D43"/>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962"/>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9BC"/>
    <w:rsid w:val="00AB3BBB"/>
    <w:rsid w:val="00AB408C"/>
    <w:rsid w:val="00AB43AF"/>
    <w:rsid w:val="00AB4E41"/>
    <w:rsid w:val="00AB5EB1"/>
    <w:rsid w:val="00AB6003"/>
    <w:rsid w:val="00AB759A"/>
    <w:rsid w:val="00AB7675"/>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149"/>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4AA"/>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90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06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03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6E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4AB"/>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365"/>
    <w:rsid w:val="00BD5624"/>
    <w:rsid w:val="00BD587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0B6"/>
    <w:rsid w:val="00C0234A"/>
    <w:rsid w:val="00C0247B"/>
    <w:rsid w:val="00C0378E"/>
    <w:rsid w:val="00C0427A"/>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6C"/>
    <w:rsid w:val="00C16C90"/>
    <w:rsid w:val="00C17AB5"/>
    <w:rsid w:val="00C20051"/>
    <w:rsid w:val="00C20B6C"/>
    <w:rsid w:val="00C20B86"/>
    <w:rsid w:val="00C20DF5"/>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93"/>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D64"/>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083"/>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22"/>
    <w:rsid w:val="00CD4E50"/>
    <w:rsid w:val="00CD57CB"/>
    <w:rsid w:val="00CD64E1"/>
    <w:rsid w:val="00CD66BA"/>
    <w:rsid w:val="00CD699D"/>
    <w:rsid w:val="00CD6BA3"/>
    <w:rsid w:val="00CD70DB"/>
    <w:rsid w:val="00CD7544"/>
    <w:rsid w:val="00CD78D4"/>
    <w:rsid w:val="00CE0697"/>
    <w:rsid w:val="00CE14CB"/>
    <w:rsid w:val="00CE2E2E"/>
    <w:rsid w:val="00CE3A51"/>
    <w:rsid w:val="00CE41BD"/>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DE9"/>
    <w:rsid w:val="00D83F5B"/>
    <w:rsid w:val="00D85FDE"/>
    <w:rsid w:val="00D8665E"/>
    <w:rsid w:val="00D869C1"/>
    <w:rsid w:val="00D86EC6"/>
    <w:rsid w:val="00D87418"/>
    <w:rsid w:val="00D87A39"/>
    <w:rsid w:val="00D87FE6"/>
    <w:rsid w:val="00D90210"/>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73"/>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295"/>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E4E"/>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5E8"/>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660"/>
    <w:rsid w:val="00E95C2A"/>
    <w:rsid w:val="00E961CB"/>
    <w:rsid w:val="00E963BC"/>
    <w:rsid w:val="00E966A6"/>
    <w:rsid w:val="00E96E91"/>
    <w:rsid w:val="00E9751D"/>
    <w:rsid w:val="00E97DC6"/>
    <w:rsid w:val="00E97F7A"/>
    <w:rsid w:val="00EA0010"/>
    <w:rsid w:val="00EA0143"/>
    <w:rsid w:val="00EA089B"/>
    <w:rsid w:val="00EA1ACC"/>
    <w:rsid w:val="00EA240D"/>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CEF"/>
    <w:rsid w:val="00EB71C9"/>
    <w:rsid w:val="00EB763E"/>
    <w:rsid w:val="00EB7B67"/>
    <w:rsid w:val="00EC07F1"/>
    <w:rsid w:val="00EC1E8A"/>
    <w:rsid w:val="00EC328C"/>
    <w:rsid w:val="00EC32F5"/>
    <w:rsid w:val="00EC3852"/>
    <w:rsid w:val="00EC3FA9"/>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F0"/>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B60"/>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0A"/>
    <w:rsid w:val="00FE4F80"/>
    <w:rsid w:val="00FE570E"/>
    <w:rsid w:val="00FE6870"/>
    <w:rsid w:val="00FE713E"/>
    <w:rsid w:val="00FE7877"/>
    <w:rsid w:val="00FE7B71"/>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3FC6"/>
    <w:rsid w:val="011F6449"/>
    <w:rsid w:val="01236AFB"/>
    <w:rsid w:val="019F7441"/>
    <w:rsid w:val="01B37585"/>
    <w:rsid w:val="01D55165"/>
    <w:rsid w:val="01DF6BF8"/>
    <w:rsid w:val="01EC2C57"/>
    <w:rsid w:val="01F10F75"/>
    <w:rsid w:val="02652D58"/>
    <w:rsid w:val="026B2E25"/>
    <w:rsid w:val="02824D4D"/>
    <w:rsid w:val="02DC4B10"/>
    <w:rsid w:val="02DD76CE"/>
    <w:rsid w:val="02F36323"/>
    <w:rsid w:val="02F5619C"/>
    <w:rsid w:val="030D60CE"/>
    <w:rsid w:val="0326446A"/>
    <w:rsid w:val="032D5555"/>
    <w:rsid w:val="036634D2"/>
    <w:rsid w:val="03DD35E4"/>
    <w:rsid w:val="04076900"/>
    <w:rsid w:val="041A5A3B"/>
    <w:rsid w:val="042311BA"/>
    <w:rsid w:val="042B157A"/>
    <w:rsid w:val="048E3807"/>
    <w:rsid w:val="048F763B"/>
    <w:rsid w:val="049F330E"/>
    <w:rsid w:val="04AA775C"/>
    <w:rsid w:val="04AF1889"/>
    <w:rsid w:val="04F66F48"/>
    <w:rsid w:val="05251E14"/>
    <w:rsid w:val="05A16594"/>
    <w:rsid w:val="05A7762D"/>
    <w:rsid w:val="060E5941"/>
    <w:rsid w:val="06110FAF"/>
    <w:rsid w:val="063164EB"/>
    <w:rsid w:val="06493CA7"/>
    <w:rsid w:val="065A6178"/>
    <w:rsid w:val="066F1CF3"/>
    <w:rsid w:val="06917A19"/>
    <w:rsid w:val="06930BB8"/>
    <w:rsid w:val="071B2266"/>
    <w:rsid w:val="07245D42"/>
    <w:rsid w:val="072639A0"/>
    <w:rsid w:val="07264C62"/>
    <w:rsid w:val="0779354C"/>
    <w:rsid w:val="07B85AE9"/>
    <w:rsid w:val="07DC127A"/>
    <w:rsid w:val="07DD1C50"/>
    <w:rsid w:val="08061376"/>
    <w:rsid w:val="0817778D"/>
    <w:rsid w:val="08392BD5"/>
    <w:rsid w:val="08430E57"/>
    <w:rsid w:val="08452D77"/>
    <w:rsid w:val="086401F8"/>
    <w:rsid w:val="08751CAA"/>
    <w:rsid w:val="087E4C40"/>
    <w:rsid w:val="08D66AD6"/>
    <w:rsid w:val="08DA33A3"/>
    <w:rsid w:val="08E469AA"/>
    <w:rsid w:val="08E80F13"/>
    <w:rsid w:val="08FB026F"/>
    <w:rsid w:val="09047D11"/>
    <w:rsid w:val="091656BE"/>
    <w:rsid w:val="09182109"/>
    <w:rsid w:val="09335624"/>
    <w:rsid w:val="0935611C"/>
    <w:rsid w:val="0944690F"/>
    <w:rsid w:val="09535675"/>
    <w:rsid w:val="095F057D"/>
    <w:rsid w:val="09642282"/>
    <w:rsid w:val="09733572"/>
    <w:rsid w:val="09772C16"/>
    <w:rsid w:val="098353B5"/>
    <w:rsid w:val="09A92330"/>
    <w:rsid w:val="09B01C8A"/>
    <w:rsid w:val="09B06B87"/>
    <w:rsid w:val="09C13146"/>
    <w:rsid w:val="09E04166"/>
    <w:rsid w:val="0A1C0718"/>
    <w:rsid w:val="0A3E7710"/>
    <w:rsid w:val="0A5B7E63"/>
    <w:rsid w:val="0A8B2AD7"/>
    <w:rsid w:val="0AA374A5"/>
    <w:rsid w:val="0AAB7649"/>
    <w:rsid w:val="0ABC5606"/>
    <w:rsid w:val="0ADC0917"/>
    <w:rsid w:val="0B30404E"/>
    <w:rsid w:val="0B4C6C14"/>
    <w:rsid w:val="0B535C2F"/>
    <w:rsid w:val="0B631A88"/>
    <w:rsid w:val="0B683D45"/>
    <w:rsid w:val="0B7F3F11"/>
    <w:rsid w:val="0B884417"/>
    <w:rsid w:val="0BF6188C"/>
    <w:rsid w:val="0BF73C91"/>
    <w:rsid w:val="0C170175"/>
    <w:rsid w:val="0C4C539B"/>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410B4"/>
    <w:rsid w:val="0D8A00E9"/>
    <w:rsid w:val="0D8D589E"/>
    <w:rsid w:val="0DA01C73"/>
    <w:rsid w:val="0DBE2876"/>
    <w:rsid w:val="0DCB0424"/>
    <w:rsid w:val="0DD63300"/>
    <w:rsid w:val="0DF50604"/>
    <w:rsid w:val="0DF702FE"/>
    <w:rsid w:val="0E060E51"/>
    <w:rsid w:val="0E5604B2"/>
    <w:rsid w:val="0E6D5D79"/>
    <w:rsid w:val="0E727B5D"/>
    <w:rsid w:val="0E9D0089"/>
    <w:rsid w:val="0EB803EE"/>
    <w:rsid w:val="0EF94D4B"/>
    <w:rsid w:val="0F4958DC"/>
    <w:rsid w:val="0F515DF7"/>
    <w:rsid w:val="0F596BA8"/>
    <w:rsid w:val="0F6248D2"/>
    <w:rsid w:val="0F693536"/>
    <w:rsid w:val="0F7B0511"/>
    <w:rsid w:val="0F7B76D9"/>
    <w:rsid w:val="0F805582"/>
    <w:rsid w:val="0F816ACD"/>
    <w:rsid w:val="0F9832DB"/>
    <w:rsid w:val="0FBF3FD2"/>
    <w:rsid w:val="0FBF7FF3"/>
    <w:rsid w:val="0FEF6AE3"/>
    <w:rsid w:val="10503395"/>
    <w:rsid w:val="10646583"/>
    <w:rsid w:val="107D4B15"/>
    <w:rsid w:val="108A3C80"/>
    <w:rsid w:val="10C26171"/>
    <w:rsid w:val="10EA1EE2"/>
    <w:rsid w:val="10F33360"/>
    <w:rsid w:val="10FC16EA"/>
    <w:rsid w:val="110F1D40"/>
    <w:rsid w:val="11266F33"/>
    <w:rsid w:val="118963A1"/>
    <w:rsid w:val="118C71D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95DDF"/>
    <w:rsid w:val="13E743F2"/>
    <w:rsid w:val="140425A2"/>
    <w:rsid w:val="141008D8"/>
    <w:rsid w:val="14125FE6"/>
    <w:rsid w:val="143C5501"/>
    <w:rsid w:val="146D271E"/>
    <w:rsid w:val="14982588"/>
    <w:rsid w:val="149A5AD9"/>
    <w:rsid w:val="14A7619D"/>
    <w:rsid w:val="14BB5F83"/>
    <w:rsid w:val="150536C3"/>
    <w:rsid w:val="150C1963"/>
    <w:rsid w:val="151447A0"/>
    <w:rsid w:val="154A6454"/>
    <w:rsid w:val="1568787A"/>
    <w:rsid w:val="15762120"/>
    <w:rsid w:val="15F51A8E"/>
    <w:rsid w:val="16A8729C"/>
    <w:rsid w:val="16B33777"/>
    <w:rsid w:val="16BC70A7"/>
    <w:rsid w:val="16C6339E"/>
    <w:rsid w:val="172F2D79"/>
    <w:rsid w:val="17557BEF"/>
    <w:rsid w:val="17A361EC"/>
    <w:rsid w:val="17B56DFC"/>
    <w:rsid w:val="17D349C1"/>
    <w:rsid w:val="1830729E"/>
    <w:rsid w:val="1870062C"/>
    <w:rsid w:val="18817102"/>
    <w:rsid w:val="18830A15"/>
    <w:rsid w:val="18852B28"/>
    <w:rsid w:val="188B5321"/>
    <w:rsid w:val="191C2E55"/>
    <w:rsid w:val="19932372"/>
    <w:rsid w:val="19A20DD5"/>
    <w:rsid w:val="19A82605"/>
    <w:rsid w:val="19AE03F1"/>
    <w:rsid w:val="19ED42A1"/>
    <w:rsid w:val="1A071A03"/>
    <w:rsid w:val="1A1F16AE"/>
    <w:rsid w:val="1A3B5C77"/>
    <w:rsid w:val="1A984BAD"/>
    <w:rsid w:val="1AB8220E"/>
    <w:rsid w:val="1AD6431A"/>
    <w:rsid w:val="1AE4166C"/>
    <w:rsid w:val="1AF06CFB"/>
    <w:rsid w:val="1AF11B8D"/>
    <w:rsid w:val="1B0A32A2"/>
    <w:rsid w:val="1B11359C"/>
    <w:rsid w:val="1B2A271F"/>
    <w:rsid w:val="1B447A21"/>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FB7610"/>
    <w:rsid w:val="1F046AFD"/>
    <w:rsid w:val="1F0A0FF3"/>
    <w:rsid w:val="1F5771FF"/>
    <w:rsid w:val="1FE868A9"/>
    <w:rsid w:val="20034907"/>
    <w:rsid w:val="20173E4B"/>
    <w:rsid w:val="204E48BC"/>
    <w:rsid w:val="208921B3"/>
    <w:rsid w:val="20973DEB"/>
    <w:rsid w:val="20B26522"/>
    <w:rsid w:val="20B44310"/>
    <w:rsid w:val="20F85394"/>
    <w:rsid w:val="211116EB"/>
    <w:rsid w:val="212459F2"/>
    <w:rsid w:val="216133FC"/>
    <w:rsid w:val="216C10B6"/>
    <w:rsid w:val="21D56769"/>
    <w:rsid w:val="21E52EF3"/>
    <w:rsid w:val="21F901D7"/>
    <w:rsid w:val="21FB5D7B"/>
    <w:rsid w:val="220B1C3D"/>
    <w:rsid w:val="220C6041"/>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02993"/>
    <w:rsid w:val="258B00E2"/>
    <w:rsid w:val="25A917A6"/>
    <w:rsid w:val="25B10872"/>
    <w:rsid w:val="25BE27CC"/>
    <w:rsid w:val="25F74A5C"/>
    <w:rsid w:val="2619634A"/>
    <w:rsid w:val="2628662C"/>
    <w:rsid w:val="262D45DE"/>
    <w:rsid w:val="264A7253"/>
    <w:rsid w:val="26A53EF9"/>
    <w:rsid w:val="26A94201"/>
    <w:rsid w:val="26AC274F"/>
    <w:rsid w:val="27044A29"/>
    <w:rsid w:val="271D34C8"/>
    <w:rsid w:val="276142BF"/>
    <w:rsid w:val="27783712"/>
    <w:rsid w:val="27907362"/>
    <w:rsid w:val="281074FB"/>
    <w:rsid w:val="28333E1D"/>
    <w:rsid w:val="28454BD6"/>
    <w:rsid w:val="28455253"/>
    <w:rsid w:val="28551971"/>
    <w:rsid w:val="285B1C53"/>
    <w:rsid w:val="28620FAD"/>
    <w:rsid w:val="289F7086"/>
    <w:rsid w:val="28C32028"/>
    <w:rsid w:val="28CC490F"/>
    <w:rsid w:val="28DE40AA"/>
    <w:rsid w:val="291C4CFE"/>
    <w:rsid w:val="29345E77"/>
    <w:rsid w:val="293A5A82"/>
    <w:rsid w:val="294C65AD"/>
    <w:rsid w:val="29806583"/>
    <w:rsid w:val="2988399E"/>
    <w:rsid w:val="298B3C4C"/>
    <w:rsid w:val="29986068"/>
    <w:rsid w:val="29F26D24"/>
    <w:rsid w:val="2A0F2BC8"/>
    <w:rsid w:val="2A15033F"/>
    <w:rsid w:val="2A1662C1"/>
    <w:rsid w:val="2A1C7367"/>
    <w:rsid w:val="2A2815FA"/>
    <w:rsid w:val="2A6D6092"/>
    <w:rsid w:val="2A7D76B4"/>
    <w:rsid w:val="2B16017E"/>
    <w:rsid w:val="2B437463"/>
    <w:rsid w:val="2B7807EE"/>
    <w:rsid w:val="2BBF00EC"/>
    <w:rsid w:val="2BC37CFD"/>
    <w:rsid w:val="2BD5237F"/>
    <w:rsid w:val="2BE536CE"/>
    <w:rsid w:val="2BE758D9"/>
    <w:rsid w:val="2C09049E"/>
    <w:rsid w:val="2C0A653C"/>
    <w:rsid w:val="2C0C037B"/>
    <w:rsid w:val="2C191F85"/>
    <w:rsid w:val="2C25332F"/>
    <w:rsid w:val="2C3D5164"/>
    <w:rsid w:val="2CA70830"/>
    <w:rsid w:val="2CE82D6F"/>
    <w:rsid w:val="2D343236"/>
    <w:rsid w:val="2DD15014"/>
    <w:rsid w:val="2DF72DE4"/>
    <w:rsid w:val="2E0220AF"/>
    <w:rsid w:val="2E4A5917"/>
    <w:rsid w:val="2E4B082A"/>
    <w:rsid w:val="2E5D4E86"/>
    <w:rsid w:val="2E5D790B"/>
    <w:rsid w:val="2E6367E3"/>
    <w:rsid w:val="2E9A3C18"/>
    <w:rsid w:val="2EBB0FEE"/>
    <w:rsid w:val="2EC63002"/>
    <w:rsid w:val="2F0A6B38"/>
    <w:rsid w:val="2F103AAC"/>
    <w:rsid w:val="2F6718B0"/>
    <w:rsid w:val="2F946CCB"/>
    <w:rsid w:val="2FD25781"/>
    <w:rsid w:val="2FFD7934"/>
    <w:rsid w:val="301E514D"/>
    <w:rsid w:val="30733ACD"/>
    <w:rsid w:val="308C3862"/>
    <w:rsid w:val="309379D8"/>
    <w:rsid w:val="30A270F7"/>
    <w:rsid w:val="30C76C54"/>
    <w:rsid w:val="30CE47FD"/>
    <w:rsid w:val="30DF1478"/>
    <w:rsid w:val="30EC586F"/>
    <w:rsid w:val="319C6071"/>
    <w:rsid w:val="31AC537E"/>
    <w:rsid w:val="31E3679B"/>
    <w:rsid w:val="31E732FD"/>
    <w:rsid w:val="324E3C27"/>
    <w:rsid w:val="32517576"/>
    <w:rsid w:val="325364CE"/>
    <w:rsid w:val="32821B23"/>
    <w:rsid w:val="32BE5C2C"/>
    <w:rsid w:val="32FB6478"/>
    <w:rsid w:val="33263B3F"/>
    <w:rsid w:val="3334629E"/>
    <w:rsid w:val="336963EB"/>
    <w:rsid w:val="33816EEB"/>
    <w:rsid w:val="33983B4C"/>
    <w:rsid w:val="33EB55CD"/>
    <w:rsid w:val="33EC4C02"/>
    <w:rsid w:val="340D2360"/>
    <w:rsid w:val="3410665D"/>
    <w:rsid w:val="34211214"/>
    <w:rsid w:val="342E63AB"/>
    <w:rsid w:val="34950E68"/>
    <w:rsid w:val="34986E94"/>
    <w:rsid w:val="34AF62C9"/>
    <w:rsid w:val="34CB4388"/>
    <w:rsid w:val="34FA6E12"/>
    <w:rsid w:val="354F5F3C"/>
    <w:rsid w:val="35525780"/>
    <w:rsid w:val="35836C3E"/>
    <w:rsid w:val="358D5588"/>
    <w:rsid w:val="35D72186"/>
    <w:rsid w:val="36090114"/>
    <w:rsid w:val="363A3B40"/>
    <w:rsid w:val="365302AE"/>
    <w:rsid w:val="36607A0A"/>
    <w:rsid w:val="36634F72"/>
    <w:rsid w:val="366E227C"/>
    <w:rsid w:val="366F2E0D"/>
    <w:rsid w:val="367B6A5C"/>
    <w:rsid w:val="36A74ADA"/>
    <w:rsid w:val="36AD60D5"/>
    <w:rsid w:val="36B224F9"/>
    <w:rsid w:val="36EC0CC9"/>
    <w:rsid w:val="373F410B"/>
    <w:rsid w:val="37936580"/>
    <w:rsid w:val="37EE7094"/>
    <w:rsid w:val="38296C89"/>
    <w:rsid w:val="383002EB"/>
    <w:rsid w:val="38586797"/>
    <w:rsid w:val="38BC0149"/>
    <w:rsid w:val="38D87D1C"/>
    <w:rsid w:val="39636459"/>
    <w:rsid w:val="396B7F6C"/>
    <w:rsid w:val="39B417A9"/>
    <w:rsid w:val="39C54D9D"/>
    <w:rsid w:val="39D91930"/>
    <w:rsid w:val="39FC5695"/>
    <w:rsid w:val="3A006D8E"/>
    <w:rsid w:val="3A3651E5"/>
    <w:rsid w:val="3A744481"/>
    <w:rsid w:val="3A8C7BEF"/>
    <w:rsid w:val="3A906246"/>
    <w:rsid w:val="3AB44E70"/>
    <w:rsid w:val="3AD67F81"/>
    <w:rsid w:val="3AE1551B"/>
    <w:rsid w:val="3B2349B7"/>
    <w:rsid w:val="3B616CFF"/>
    <w:rsid w:val="3B6259F6"/>
    <w:rsid w:val="3B976654"/>
    <w:rsid w:val="3BC01EFC"/>
    <w:rsid w:val="3BCA54DA"/>
    <w:rsid w:val="3BCA786A"/>
    <w:rsid w:val="3BD31E2F"/>
    <w:rsid w:val="3BF15831"/>
    <w:rsid w:val="3C105946"/>
    <w:rsid w:val="3C471448"/>
    <w:rsid w:val="3C5F759A"/>
    <w:rsid w:val="3C6C525A"/>
    <w:rsid w:val="3CB1123B"/>
    <w:rsid w:val="3CCE23CB"/>
    <w:rsid w:val="3CD17D17"/>
    <w:rsid w:val="3D243074"/>
    <w:rsid w:val="3D3C7F39"/>
    <w:rsid w:val="3D440F09"/>
    <w:rsid w:val="3D4504A0"/>
    <w:rsid w:val="3D8734BB"/>
    <w:rsid w:val="3D9A11D4"/>
    <w:rsid w:val="3DA16D89"/>
    <w:rsid w:val="3DA364BE"/>
    <w:rsid w:val="3DD65B2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B21F5"/>
    <w:rsid w:val="3F6363FE"/>
    <w:rsid w:val="3F756B8F"/>
    <w:rsid w:val="3F7D72A3"/>
    <w:rsid w:val="3F95482B"/>
    <w:rsid w:val="3FB05980"/>
    <w:rsid w:val="3FBB0A6C"/>
    <w:rsid w:val="4019356B"/>
    <w:rsid w:val="40520D87"/>
    <w:rsid w:val="40592157"/>
    <w:rsid w:val="406E1CAE"/>
    <w:rsid w:val="40A0133A"/>
    <w:rsid w:val="40C31A53"/>
    <w:rsid w:val="40DA0D7C"/>
    <w:rsid w:val="40E20013"/>
    <w:rsid w:val="40FF545D"/>
    <w:rsid w:val="410067C8"/>
    <w:rsid w:val="418F0D2A"/>
    <w:rsid w:val="41C92C85"/>
    <w:rsid w:val="41D01505"/>
    <w:rsid w:val="42474939"/>
    <w:rsid w:val="424C3C57"/>
    <w:rsid w:val="42613FF3"/>
    <w:rsid w:val="42660D96"/>
    <w:rsid w:val="426B7DA4"/>
    <w:rsid w:val="428667D2"/>
    <w:rsid w:val="42CD1CE0"/>
    <w:rsid w:val="42CF68A3"/>
    <w:rsid w:val="42E1381E"/>
    <w:rsid w:val="42ED6459"/>
    <w:rsid w:val="42FE58DD"/>
    <w:rsid w:val="43174B3D"/>
    <w:rsid w:val="434B790E"/>
    <w:rsid w:val="4360274F"/>
    <w:rsid w:val="43977AB6"/>
    <w:rsid w:val="43A3342B"/>
    <w:rsid w:val="43C77C27"/>
    <w:rsid w:val="43DE09EE"/>
    <w:rsid w:val="43F02BFA"/>
    <w:rsid w:val="44002FAD"/>
    <w:rsid w:val="44293FAF"/>
    <w:rsid w:val="4463366A"/>
    <w:rsid w:val="447C69FA"/>
    <w:rsid w:val="449101DD"/>
    <w:rsid w:val="44DE1391"/>
    <w:rsid w:val="44E73C4D"/>
    <w:rsid w:val="451B225C"/>
    <w:rsid w:val="452410C9"/>
    <w:rsid w:val="45317DFB"/>
    <w:rsid w:val="456D3CE4"/>
    <w:rsid w:val="4579042C"/>
    <w:rsid w:val="457F0571"/>
    <w:rsid w:val="45851176"/>
    <w:rsid w:val="45B90BE1"/>
    <w:rsid w:val="45C63B94"/>
    <w:rsid w:val="460E7DA5"/>
    <w:rsid w:val="46422483"/>
    <w:rsid w:val="4659254A"/>
    <w:rsid w:val="465B0637"/>
    <w:rsid w:val="465E3F0D"/>
    <w:rsid w:val="466A16E6"/>
    <w:rsid w:val="46893F2B"/>
    <w:rsid w:val="46C4686E"/>
    <w:rsid w:val="47347438"/>
    <w:rsid w:val="477B778F"/>
    <w:rsid w:val="478203EC"/>
    <w:rsid w:val="47A86E0F"/>
    <w:rsid w:val="47AF5738"/>
    <w:rsid w:val="47B025FA"/>
    <w:rsid w:val="4809698F"/>
    <w:rsid w:val="4811697D"/>
    <w:rsid w:val="487A3E25"/>
    <w:rsid w:val="488B5503"/>
    <w:rsid w:val="48937E21"/>
    <w:rsid w:val="489A0361"/>
    <w:rsid w:val="48B94FF3"/>
    <w:rsid w:val="48E1714C"/>
    <w:rsid w:val="48E37AAB"/>
    <w:rsid w:val="48FD4B4C"/>
    <w:rsid w:val="490A68E0"/>
    <w:rsid w:val="491055FE"/>
    <w:rsid w:val="495F5B3E"/>
    <w:rsid w:val="496F77D7"/>
    <w:rsid w:val="497654FD"/>
    <w:rsid w:val="49B64211"/>
    <w:rsid w:val="49F3369A"/>
    <w:rsid w:val="49F6167F"/>
    <w:rsid w:val="4A064FA0"/>
    <w:rsid w:val="4A16615C"/>
    <w:rsid w:val="4A25631D"/>
    <w:rsid w:val="4A3806A4"/>
    <w:rsid w:val="4A4424D7"/>
    <w:rsid w:val="4A9E437F"/>
    <w:rsid w:val="4A9F0191"/>
    <w:rsid w:val="4AB82D0F"/>
    <w:rsid w:val="4AEB7664"/>
    <w:rsid w:val="4AFD7C19"/>
    <w:rsid w:val="4B0567D1"/>
    <w:rsid w:val="4B236AAE"/>
    <w:rsid w:val="4B707271"/>
    <w:rsid w:val="4B9739F7"/>
    <w:rsid w:val="4BAE2F31"/>
    <w:rsid w:val="4BEE2503"/>
    <w:rsid w:val="4BF841D5"/>
    <w:rsid w:val="4C061187"/>
    <w:rsid w:val="4C15710C"/>
    <w:rsid w:val="4C245A30"/>
    <w:rsid w:val="4C400292"/>
    <w:rsid w:val="4CAA7FBD"/>
    <w:rsid w:val="4CB6685F"/>
    <w:rsid w:val="4CC367FE"/>
    <w:rsid w:val="4CD31D4D"/>
    <w:rsid w:val="4D077F3C"/>
    <w:rsid w:val="4D123355"/>
    <w:rsid w:val="4D2A3B31"/>
    <w:rsid w:val="4D312C52"/>
    <w:rsid w:val="4D5C3245"/>
    <w:rsid w:val="4D905305"/>
    <w:rsid w:val="4D964A72"/>
    <w:rsid w:val="4D9C1254"/>
    <w:rsid w:val="4DA30115"/>
    <w:rsid w:val="4DB23E32"/>
    <w:rsid w:val="4E241889"/>
    <w:rsid w:val="4E793892"/>
    <w:rsid w:val="4E7F257E"/>
    <w:rsid w:val="4E800872"/>
    <w:rsid w:val="4E862447"/>
    <w:rsid w:val="4EC569ED"/>
    <w:rsid w:val="4ED50EA1"/>
    <w:rsid w:val="4EDD1C25"/>
    <w:rsid w:val="4EEC050C"/>
    <w:rsid w:val="4F0B1ECB"/>
    <w:rsid w:val="4F104EC3"/>
    <w:rsid w:val="4F1563F5"/>
    <w:rsid w:val="4F47354A"/>
    <w:rsid w:val="4F667119"/>
    <w:rsid w:val="4F911C54"/>
    <w:rsid w:val="4FE625E0"/>
    <w:rsid w:val="501F7A39"/>
    <w:rsid w:val="5021480F"/>
    <w:rsid w:val="50962ECB"/>
    <w:rsid w:val="50A42E38"/>
    <w:rsid w:val="50A4577F"/>
    <w:rsid w:val="50B73D1F"/>
    <w:rsid w:val="50BD5BC9"/>
    <w:rsid w:val="50C11EEE"/>
    <w:rsid w:val="50E97CFC"/>
    <w:rsid w:val="50F740E0"/>
    <w:rsid w:val="50FA4028"/>
    <w:rsid w:val="510D65B7"/>
    <w:rsid w:val="511157AB"/>
    <w:rsid w:val="5142540C"/>
    <w:rsid w:val="518832C8"/>
    <w:rsid w:val="51A0432A"/>
    <w:rsid w:val="51A86090"/>
    <w:rsid w:val="51B7396D"/>
    <w:rsid w:val="51D60CDC"/>
    <w:rsid w:val="51E75F1A"/>
    <w:rsid w:val="522E4CC3"/>
    <w:rsid w:val="5244713B"/>
    <w:rsid w:val="52615633"/>
    <w:rsid w:val="52977FD4"/>
    <w:rsid w:val="52A25790"/>
    <w:rsid w:val="52A96B6F"/>
    <w:rsid w:val="52B45975"/>
    <w:rsid w:val="52D94AA4"/>
    <w:rsid w:val="52EA3A62"/>
    <w:rsid w:val="52F50BB8"/>
    <w:rsid w:val="53097272"/>
    <w:rsid w:val="53517793"/>
    <w:rsid w:val="53544462"/>
    <w:rsid w:val="5397158E"/>
    <w:rsid w:val="54013861"/>
    <w:rsid w:val="54487265"/>
    <w:rsid w:val="544D6070"/>
    <w:rsid w:val="54605E1E"/>
    <w:rsid w:val="547152AB"/>
    <w:rsid w:val="54B3506A"/>
    <w:rsid w:val="54CA0D16"/>
    <w:rsid w:val="54DD4057"/>
    <w:rsid w:val="54E7490F"/>
    <w:rsid w:val="550764A4"/>
    <w:rsid w:val="550B2BF6"/>
    <w:rsid w:val="55214EB5"/>
    <w:rsid w:val="55282661"/>
    <w:rsid w:val="55364EFD"/>
    <w:rsid w:val="555D4828"/>
    <w:rsid w:val="557A4C8B"/>
    <w:rsid w:val="558931E1"/>
    <w:rsid w:val="55923347"/>
    <w:rsid w:val="55925180"/>
    <w:rsid w:val="55983B1B"/>
    <w:rsid w:val="55A8376B"/>
    <w:rsid w:val="55D65B5E"/>
    <w:rsid w:val="55DC29B6"/>
    <w:rsid w:val="55DD4241"/>
    <w:rsid w:val="56290384"/>
    <w:rsid w:val="566B6D1E"/>
    <w:rsid w:val="57032A2C"/>
    <w:rsid w:val="570F5219"/>
    <w:rsid w:val="572F2597"/>
    <w:rsid w:val="57482A8C"/>
    <w:rsid w:val="575D12B5"/>
    <w:rsid w:val="57604773"/>
    <w:rsid w:val="57610A87"/>
    <w:rsid w:val="577B1140"/>
    <w:rsid w:val="577B7F21"/>
    <w:rsid w:val="577F181B"/>
    <w:rsid w:val="57921984"/>
    <w:rsid w:val="579737F0"/>
    <w:rsid w:val="57AB7B30"/>
    <w:rsid w:val="57AF5251"/>
    <w:rsid w:val="57B26373"/>
    <w:rsid w:val="57B63F04"/>
    <w:rsid w:val="57CD20C2"/>
    <w:rsid w:val="57D675AB"/>
    <w:rsid w:val="57D95FDD"/>
    <w:rsid w:val="580F0E29"/>
    <w:rsid w:val="58520E91"/>
    <w:rsid w:val="58917D2F"/>
    <w:rsid w:val="5894085C"/>
    <w:rsid w:val="58AE4F0C"/>
    <w:rsid w:val="58B85899"/>
    <w:rsid w:val="58E363A9"/>
    <w:rsid w:val="595E1678"/>
    <w:rsid w:val="596542B3"/>
    <w:rsid w:val="59657925"/>
    <w:rsid w:val="596D5BD4"/>
    <w:rsid w:val="5977344B"/>
    <w:rsid w:val="597E3DD8"/>
    <w:rsid w:val="59E84D83"/>
    <w:rsid w:val="59E92304"/>
    <w:rsid w:val="59EA2FBD"/>
    <w:rsid w:val="59F80043"/>
    <w:rsid w:val="5A0031AA"/>
    <w:rsid w:val="5A09252F"/>
    <w:rsid w:val="5A0B2778"/>
    <w:rsid w:val="5A250FC9"/>
    <w:rsid w:val="5A2A7C7B"/>
    <w:rsid w:val="5A3E2560"/>
    <w:rsid w:val="5A5D3B6E"/>
    <w:rsid w:val="5A637A76"/>
    <w:rsid w:val="5A6D33BA"/>
    <w:rsid w:val="5A792B1F"/>
    <w:rsid w:val="5A874767"/>
    <w:rsid w:val="5AAD6F28"/>
    <w:rsid w:val="5AD63A24"/>
    <w:rsid w:val="5ADC3CFE"/>
    <w:rsid w:val="5B2E1A1D"/>
    <w:rsid w:val="5B465BFF"/>
    <w:rsid w:val="5B683908"/>
    <w:rsid w:val="5B843A1C"/>
    <w:rsid w:val="5B873E3F"/>
    <w:rsid w:val="5B8D4F11"/>
    <w:rsid w:val="5C02690E"/>
    <w:rsid w:val="5C196DA7"/>
    <w:rsid w:val="5C2A048C"/>
    <w:rsid w:val="5C80234E"/>
    <w:rsid w:val="5C8A680C"/>
    <w:rsid w:val="5C9E1733"/>
    <w:rsid w:val="5D0B76FA"/>
    <w:rsid w:val="5D0C4701"/>
    <w:rsid w:val="5D0F0395"/>
    <w:rsid w:val="5D221076"/>
    <w:rsid w:val="5D397964"/>
    <w:rsid w:val="5D5A391C"/>
    <w:rsid w:val="5D5F10C0"/>
    <w:rsid w:val="5D891B7B"/>
    <w:rsid w:val="5DAD38EE"/>
    <w:rsid w:val="5DC36987"/>
    <w:rsid w:val="5E006862"/>
    <w:rsid w:val="5E0207B9"/>
    <w:rsid w:val="5E1834A1"/>
    <w:rsid w:val="5E261785"/>
    <w:rsid w:val="5E4A7017"/>
    <w:rsid w:val="5E552BBA"/>
    <w:rsid w:val="5E611C10"/>
    <w:rsid w:val="5E6145CE"/>
    <w:rsid w:val="5EB6652D"/>
    <w:rsid w:val="5ED4433C"/>
    <w:rsid w:val="5EFC7377"/>
    <w:rsid w:val="5F06174D"/>
    <w:rsid w:val="5F3A3602"/>
    <w:rsid w:val="5F6277C6"/>
    <w:rsid w:val="5F6D0B1D"/>
    <w:rsid w:val="5F8D0B82"/>
    <w:rsid w:val="5FCC5339"/>
    <w:rsid w:val="5FE34A5B"/>
    <w:rsid w:val="5FFE1E36"/>
    <w:rsid w:val="60232584"/>
    <w:rsid w:val="603C698D"/>
    <w:rsid w:val="607330CE"/>
    <w:rsid w:val="60825176"/>
    <w:rsid w:val="609F2AC4"/>
    <w:rsid w:val="60FA2EE8"/>
    <w:rsid w:val="61054A27"/>
    <w:rsid w:val="610A52BC"/>
    <w:rsid w:val="611D2366"/>
    <w:rsid w:val="61421856"/>
    <w:rsid w:val="615227C4"/>
    <w:rsid w:val="61601CD1"/>
    <w:rsid w:val="61654E3F"/>
    <w:rsid w:val="6182292A"/>
    <w:rsid w:val="619F7F92"/>
    <w:rsid w:val="61F94C26"/>
    <w:rsid w:val="62000E56"/>
    <w:rsid w:val="624266CA"/>
    <w:rsid w:val="624F3E49"/>
    <w:rsid w:val="62614A02"/>
    <w:rsid w:val="62632286"/>
    <w:rsid w:val="62885958"/>
    <w:rsid w:val="62F40B65"/>
    <w:rsid w:val="62FC2CFE"/>
    <w:rsid w:val="63024505"/>
    <w:rsid w:val="63442359"/>
    <w:rsid w:val="635B1DB5"/>
    <w:rsid w:val="63711FED"/>
    <w:rsid w:val="63880DDC"/>
    <w:rsid w:val="638D750D"/>
    <w:rsid w:val="63AC6CC0"/>
    <w:rsid w:val="64055776"/>
    <w:rsid w:val="64240056"/>
    <w:rsid w:val="643E143A"/>
    <w:rsid w:val="648B6EEF"/>
    <w:rsid w:val="64C158BF"/>
    <w:rsid w:val="64CE2EAA"/>
    <w:rsid w:val="64FA4321"/>
    <w:rsid w:val="65071890"/>
    <w:rsid w:val="653C3090"/>
    <w:rsid w:val="65854376"/>
    <w:rsid w:val="658767BE"/>
    <w:rsid w:val="65892531"/>
    <w:rsid w:val="65901886"/>
    <w:rsid w:val="66195831"/>
    <w:rsid w:val="662E75B1"/>
    <w:rsid w:val="66342C2E"/>
    <w:rsid w:val="663E784C"/>
    <w:rsid w:val="668B6A45"/>
    <w:rsid w:val="66976C44"/>
    <w:rsid w:val="66CE2067"/>
    <w:rsid w:val="66DC2E4F"/>
    <w:rsid w:val="66F3644C"/>
    <w:rsid w:val="672F3F24"/>
    <w:rsid w:val="673E055F"/>
    <w:rsid w:val="67551CE3"/>
    <w:rsid w:val="67810B05"/>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52A7B"/>
    <w:rsid w:val="692C5EB8"/>
    <w:rsid w:val="693E15D3"/>
    <w:rsid w:val="69627681"/>
    <w:rsid w:val="6977531D"/>
    <w:rsid w:val="69CA524E"/>
    <w:rsid w:val="69CC2BFF"/>
    <w:rsid w:val="69FD55B8"/>
    <w:rsid w:val="6A0B1C62"/>
    <w:rsid w:val="6A2406C8"/>
    <w:rsid w:val="6A473977"/>
    <w:rsid w:val="6ADE0BD1"/>
    <w:rsid w:val="6AE96859"/>
    <w:rsid w:val="6B147746"/>
    <w:rsid w:val="6B24787C"/>
    <w:rsid w:val="6B573233"/>
    <w:rsid w:val="6B5B6274"/>
    <w:rsid w:val="6B935D53"/>
    <w:rsid w:val="6BCF2245"/>
    <w:rsid w:val="6C196F71"/>
    <w:rsid w:val="6C226FCB"/>
    <w:rsid w:val="6C31226F"/>
    <w:rsid w:val="6C552F0B"/>
    <w:rsid w:val="6C6B0AB0"/>
    <w:rsid w:val="6C8C67B7"/>
    <w:rsid w:val="6C9D744C"/>
    <w:rsid w:val="6CB73196"/>
    <w:rsid w:val="6CC22541"/>
    <w:rsid w:val="6CF2150C"/>
    <w:rsid w:val="6D167928"/>
    <w:rsid w:val="6D26299B"/>
    <w:rsid w:val="6D4772EC"/>
    <w:rsid w:val="6D9078AF"/>
    <w:rsid w:val="6DAA3FEF"/>
    <w:rsid w:val="6DC0172B"/>
    <w:rsid w:val="6DCB690C"/>
    <w:rsid w:val="6DD41A5B"/>
    <w:rsid w:val="6DF43C2E"/>
    <w:rsid w:val="6DF51CA3"/>
    <w:rsid w:val="6E3C266F"/>
    <w:rsid w:val="6E4B7568"/>
    <w:rsid w:val="6E6E50BE"/>
    <w:rsid w:val="6E8335BD"/>
    <w:rsid w:val="6E8E12EF"/>
    <w:rsid w:val="6E972936"/>
    <w:rsid w:val="6ED446C5"/>
    <w:rsid w:val="6EFE750B"/>
    <w:rsid w:val="6F2A7D94"/>
    <w:rsid w:val="6F2F0E9E"/>
    <w:rsid w:val="6F8331F1"/>
    <w:rsid w:val="6FAE1A09"/>
    <w:rsid w:val="6FD75BF8"/>
    <w:rsid w:val="70534507"/>
    <w:rsid w:val="707723D0"/>
    <w:rsid w:val="70F5661B"/>
    <w:rsid w:val="71360107"/>
    <w:rsid w:val="713B688E"/>
    <w:rsid w:val="714C3F5C"/>
    <w:rsid w:val="71990D3C"/>
    <w:rsid w:val="71D43752"/>
    <w:rsid w:val="71D71E40"/>
    <w:rsid w:val="71F1796A"/>
    <w:rsid w:val="72044F4C"/>
    <w:rsid w:val="72154626"/>
    <w:rsid w:val="72262B5D"/>
    <w:rsid w:val="72283FF7"/>
    <w:rsid w:val="722E7212"/>
    <w:rsid w:val="723A0474"/>
    <w:rsid w:val="725923E4"/>
    <w:rsid w:val="72864BF7"/>
    <w:rsid w:val="728E38BC"/>
    <w:rsid w:val="729023FC"/>
    <w:rsid w:val="73347FE8"/>
    <w:rsid w:val="73796EA2"/>
    <w:rsid w:val="73C0646E"/>
    <w:rsid w:val="73E025F5"/>
    <w:rsid w:val="74106EF3"/>
    <w:rsid w:val="742222F5"/>
    <w:rsid w:val="742A729A"/>
    <w:rsid w:val="743A7E2C"/>
    <w:rsid w:val="74476126"/>
    <w:rsid w:val="746005C0"/>
    <w:rsid w:val="74706664"/>
    <w:rsid w:val="747F3682"/>
    <w:rsid w:val="749C4185"/>
    <w:rsid w:val="75067759"/>
    <w:rsid w:val="75104791"/>
    <w:rsid w:val="752E6DCD"/>
    <w:rsid w:val="7551380D"/>
    <w:rsid w:val="75600BE5"/>
    <w:rsid w:val="7564475C"/>
    <w:rsid w:val="7583797F"/>
    <w:rsid w:val="75D20F1D"/>
    <w:rsid w:val="75DA2C18"/>
    <w:rsid w:val="75F54412"/>
    <w:rsid w:val="76136454"/>
    <w:rsid w:val="761D08E0"/>
    <w:rsid w:val="765D347C"/>
    <w:rsid w:val="76826699"/>
    <w:rsid w:val="76C87133"/>
    <w:rsid w:val="76CD08D5"/>
    <w:rsid w:val="76DB4B92"/>
    <w:rsid w:val="76FF55A0"/>
    <w:rsid w:val="77052AA4"/>
    <w:rsid w:val="77136511"/>
    <w:rsid w:val="77162956"/>
    <w:rsid w:val="77340A39"/>
    <w:rsid w:val="77351FD0"/>
    <w:rsid w:val="77472422"/>
    <w:rsid w:val="77521091"/>
    <w:rsid w:val="777F31F2"/>
    <w:rsid w:val="77D1700D"/>
    <w:rsid w:val="77EC04CC"/>
    <w:rsid w:val="786E2476"/>
    <w:rsid w:val="78775729"/>
    <w:rsid w:val="78896FDA"/>
    <w:rsid w:val="78A42DB0"/>
    <w:rsid w:val="78A656AB"/>
    <w:rsid w:val="78B2245C"/>
    <w:rsid w:val="78CF6711"/>
    <w:rsid w:val="78E172CC"/>
    <w:rsid w:val="78EA1D1F"/>
    <w:rsid w:val="7904172F"/>
    <w:rsid w:val="790F7E27"/>
    <w:rsid w:val="792A231A"/>
    <w:rsid w:val="79316829"/>
    <w:rsid w:val="794762A8"/>
    <w:rsid w:val="797E66A9"/>
    <w:rsid w:val="79A97383"/>
    <w:rsid w:val="79E27E8B"/>
    <w:rsid w:val="79E77ADE"/>
    <w:rsid w:val="79F850CE"/>
    <w:rsid w:val="79FD443C"/>
    <w:rsid w:val="7A1D1975"/>
    <w:rsid w:val="7A3E5150"/>
    <w:rsid w:val="7A4670D6"/>
    <w:rsid w:val="7A534B63"/>
    <w:rsid w:val="7A615382"/>
    <w:rsid w:val="7A67303B"/>
    <w:rsid w:val="7AAB1D04"/>
    <w:rsid w:val="7ABA4368"/>
    <w:rsid w:val="7AD05746"/>
    <w:rsid w:val="7AD07045"/>
    <w:rsid w:val="7B166879"/>
    <w:rsid w:val="7B257FFD"/>
    <w:rsid w:val="7B343476"/>
    <w:rsid w:val="7B5A2978"/>
    <w:rsid w:val="7B5A7E4C"/>
    <w:rsid w:val="7B667AF9"/>
    <w:rsid w:val="7B7468F8"/>
    <w:rsid w:val="7BA02793"/>
    <w:rsid w:val="7BE32C51"/>
    <w:rsid w:val="7BEE0103"/>
    <w:rsid w:val="7C0A0FE4"/>
    <w:rsid w:val="7C0F4BB0"/>
    <w:rsid w:val="7C254906"/>
    <w:rsid w:val="7C590818"/>
    <w:rsid w:val="7C7C10F6"/>
    <w:rsid w:val="7C853BEA"/>
    <w:rsid w:val="7C881368"/>
    <w:rsid w:val="7CD75400"/>
    <w:rsid w:val="7CD82038"/>
    <w:rsid w:val="7CE27788"/>
    <w:rsid w:val="7D0C32F1"/>
    <w:rsid w:val="7D0F408D"/>
    <w:rsid w:val="7D491C6C"/>
    <w:rsid w:val="7D5429C0"/>
    <w:rsid w:val="7D6E6D43"/>
    <w:rsid w:val="7DB57A34"/>
    <w:rsid w:val="7DD258E1"/>
    <w:rsid w:val="7DE60973"/>
    <w:rsid w:val="7DEF0916"/>
    <w:rsid w:val="7E1E5218"/>
    <w:rsid w:val="7E370FE0"/>
    <w:rsid w:val="7E5F5473"/>
    <w:rsid w:val="7E9A4E1F"/>
    <w:rsid w:val="7EA45938"/>
    <w:rsid w:val="7EA7723A"/>
    <w:rsid w:val="7EF56FBB"/>
    <w:rsid w:val="7F0768EB"/>
    <w:rsid w:val="7F143BEC"/>
    <w:rsid w:val="7F6B61EB"/>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styleId="26">
    <w:name w:val="Body Text First Indent 2"/>
    <w:basedOn w:val="25"/>
    <w:link w:val="12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4"/>
    <w:qFormat/>
    <w:uiPriority w:val="0"/>
    <w:rPr>
      <w:rFonts w:ascii="宋体" w:hAnsi="Courier New" w:cs="Arial"/>
      <w:snapToGrid w:val="0"/>
      <w:szCs w:val="21"/>
    </w:r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95"/>
    <w:qFormat/>
    <w:uiPriority w:val="0"/>
    <w:rPr>
      <w:b/>
      <w:bCs/>
    </w:rPr>
  </w:style>
  <w:style w:type="paragraph" w:styleId="61">
    <w:name w:val="Body Text First Indent"/>
    <w:basedOn w:val="24"/>
    <w:next w:val="1"/>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首行缩进"/>
    <w:basedOn w:val="1"/>
    <w:qFormat/>
    <w:uiPriority w:val="0"/>
    <w:pPr>
      <w:spacing w:line="360" w:lineRule="auto"/>
      <w:ind w:firstLine="480" w:firstLineChars="200"/>
    </w:pPr>
    <w:rPr>
      <w:rFonts w:ascii="宋体"/>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6"/>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2"/>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文字"/>
    <w:basedOn w:val="1"/>
    <w:qFormat/>
    <w:uiPriority w:val="0"/>
    <w:pPr>
      <w:widowControl/>
      <w:adjustRightInd/>
      <w:spacing w:line="952" w:lineRule="atLeast"/>
      <w:ind w:firstLine="419"/>
      <w:textAlignment w:val="baseline"/>
    </w:pPr>
    <w:rPr>
      <w:b/>
      <w:color w:val="000000"/>
      <w:kern w:val="0"/>
      <w:sz w:val="44"/>
      <w:szCs w:val="20"/>
      <w:u w:color="000000"/>
    </w:rPr>
  </w:style>
  <w:style w:type="paragraph" w:customStyle="1" w:styleId="96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69"/>
    <w:semiHidden/>
    <w:unhideWhenUsed/>
    <w:qFormat/>
    <w:uiPriority w:val="99"/>
    <w:rPr>
      <w:color w:val="605E5C"/>
      <w:shd w:val="clear" w:color="auto" w:fill="E1DFDD"/>
    </w:rPr>
  </w:style>
  <w:style w:type="paragraph" w:customStyle="1" w:styleId="965">
    <w:name w:val="No Spacing1"/>
    <w:qFormat/>
    <w:uiPriority w:val="0"/>
    <w:rPr>
      <w:rFonts w:ascii="Times New Roman" w:hAnsi="Times New Roman" w:eastAsia="??" w:cs="宋体"/>
      <w:sz w:val="22"/>
      <w:szCs w:val="22"/>
      <w:lang w:val="en-US" w:eastAsia="en-US" w:bidi="ar-SA"/>
    </w:rPr>
  </w:style>
  <w:style w:type="character" w:customStyle="1" w:styleId="966">
    <w:name w:val="bjh-p"/>
    <w:basedOn w:val="69"/>
    <w:qFormat/>
    <w:uiPriority w:val="0"/>
  </w:style>
  <w:style w:type="character" w:customStyle="1" w:styleId="967">
    <w:name w:val="NormalCharacter"/>
    <w:qFormat/>
    <w:uiPriority w:val="0"/>
    <w:rPr>
      <w:rFonts w:ascii="仿宋_GB2312" w:eastAsia="仿宋_GB2312"/>
      <w:b/>
      <w:sz w:val="32"/>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DBFA1-0B55-42BF-93B4-D1ABBD715F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78</Pages>
  <Words>41128</Words>
  <Characters>43525</Characters>
  <Lines>353</Lines>
  <Paragraphs>99</Paragraphs>
  <TotalTime>65</TotalTime>
  <ScaleCrop>false</ScaleCrop>
  <LinksUpToDate>false</LinksUpToDate>
  <CharactersWithSpaces>45887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2022-01-08T13:04:00Z</dcterms:created>
  <dc:creator>Administrator</dc:creator>
  <cp:lastModifiedBy>Administrator</cp:lastModifiedBy>
  <cp:lastPrinted>2022-03-02T02:18:00Z</cp:lastPrinted>
  <dcterms:modified xsi:type="dcterms:W3CDTF">2022-04-14T08:34:38Z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C5805C6D715041EA968F854A912005AE</vt:lpwstr>
  </property>
</Properties>
</file>