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ascii="宋体" w:hAnsi="宋体" w:cs="宋体"/>
          <w:b/>
          <w:sz w:val="48"/>
          <w:szCs w:val="48"/>
        </w:rPr>
      </w:pPr>
    </w:p>
    <w:p>
      <w:pPr>
        <w:ind w:right="-110"/>
        <w:jc w:val="center"/>
        <w:rPr>
          <w:rFonts w:ascii="宋体" w:hAnsi="宋体" w:cs="宋体"/>
          <w:b/>
          <w:sz w:val="48"/>
          <w:szCs w:val="48"/>
        </w:rPr>
      </w:pPr>
    </w:p>
    <w:p>
      <w:pPr>
        <w:ind w:right="-110"/>
        <w:jc w:val="center"/>
        <w:rPr>
          <w:rFonts w:ascii="宋体" w:hAnsi="宋体" w:cs="宋体"/>
          <w:b/>
          <w:sz w:val="48"/>
          <w:szCs w:val="48"/>
        </w:rPr>
      </w:pPr>
    </w:p>
    <w:p>
      <w:pPr>
        <w:pStyle w:val="13"/>
        <w:rPr>
          <w:rFonts w:hAnsi="宋体" w:cs="宋体"/>
          <w:b/>
          <w:sz w:val="48"/>
          <w:szCs w:val="48"/>
        </w:rPr>
      </w:pPr>
    </w:p>
    <w:p>
      <w:pPr>
        <w:ind w:right="-110"/>
        <w:jc w:val="center"/>
        <w:rPr>
          <w:rFonts w:hint="eastAsia" w:ascii="宋体" w:hAnsi="宋体" w:eastAsia="宋体" w:cs="宋体"/>
          <w:b/>
          <w:sz w:val="48"/>
          <w:szCs w:val="48"/>
          <w:lang w:val="en-US" w:eastAsia="zh-CN"/>
        </w:rPr>
      </w:pPr>
      <w:r>
        <w:rPr>
          <w:rFonts w:hint="eastAsia" w:ascii="宋体" w:hAnsi="宋体" w:cs="宋体"/>
          <w:b/>
          <w:sz w:val="48"/>
          <w:szCs w:val="48"/>
          <w:lang w:eastAsia="zh-CN"/>
        </w:rPr>
        <w:t>临安区水灾害防御指挥中心会商系统项目（重新）</w:t>
      </w:r>
    </w:p>
    <w:p>
      <w:pPr>
        <w:ind w:right="-110"/>
        <w:jc w:val="center"/>
        <w:rPr>
          <w:rFonts w:ascii="宋体" w:hAnsi="宋体" w:cs="宋体"/>
          <w:b/>
          <w:sz w:val="48"/>
          <w:szCs w:val="48"/>
        </w:rPr>
      </w:pPr>
    </w:p>
    <w:p>
      <w:pPr>
        <w:ind w:right="-110"/>
        <w:jc w:val="center"/>
        <w:rPr>
          <w:rFonts w:ascii="宋体" w:hAnsi="宋体"/>
          <w:b/>
          <w:color w:val="000000"/>
          <w:spacing w:val="28"/>
          <w:sz w:val="36"/>
          <w:szCs w:val="36"/>
        </w:rPr>
      </w:pPr>
      <w:r>
        <w:rPr>
          <w:rFonts w:hint="eastAsia" w:ascii="宋体" w:hAnsi="宋体" w:cs="宋体"/>
          <w:b/>
          <w:sz w:val="48"/>
          <w:szCs w:val="48"/>
        </w:rPr>
        <w:t>公开招标文件</w:t>
      </w:r>
    </w:p>
    <w:p>
      <w:pPr>
        <w:spacing w:before="312" w:beforeLines="100" w:line="240" w:lineRule="atLeast"/>
        <w:ind w:right="-108"/>
        <w:jc w:val="center"/>
        <w:rPr>
          <w:rFonts w:ascii="宋体" w:hAnsi="宋体"/>
          <w:color w:val="000000"/>
          <w:sz w:val="36"/>
          <w:szCs w:val="36"/>
        </w:rPr>
      </w:pPr>
    </w:p>
    <w:p>
      <w:pPr>
        <w:spacing w:before="312" w:beforeLines="100" w:line="240" w:lineRule="atLeast"/>
        <w:ind w:right="-108"/>
        <w:jc w:val="center"/>
        <w:rPr>
          <w:rFonts w:hint="eastAsia" w:ascii="宋体" w:hAnsi="宋体"/>
          <w:color w:val="000000"/>
          <w:sz w:val="30"/>
          <w:szCs w:val="30"/>
        </w:rPr>
      </w:pPr>
      <w:r>
        <w:rPr>
          <w:rFonts w:hint="eastAsia" w:ascii="宋体" w:hAnsi="宋体"/>
          <w:color w:val="000000"/>
          <w:sz w:val="30"/>
          <w:szCs w:val="30"/>
        </w:rPr>
        <w:t>（项目编号：</w:t>
      </w:r>
      <w:r>
        <w:rPr>
          <w:rFonts w:hint="eastAsia" w:ascii="宋体" w:hAnsi="宋体"/>
          <w:color w:val="000000"/>
          <w:sz w:val="30"/>
          <w:szCs w:val="30"/>
        </w:rPr>
        <w:fldChar w:fldCharType="begin"/>
      </w:r>
      <w:r>
        <w:rPr>
          <w:rFonts w:hint="eastAsia" w:ascii="宋体" w:hAnsi="宋体"/>
          <w:color w:val="000000"/>
          <w:sz w:val="30"/>
          <w:szCs w:val="30"/>
        </w:rPr>
        <w:instrText xml:space="preserve"> HYPERLINK "https://pay.zcygov.cn/purchaseplan_front/" \l "/plan/list/detail?id=1000000000003164212&amp;encrypt=88be589edc525c6a4417f4011e964b44" \t "https://www.zcygov.cn/bidding-entrust/" \l "/purchasePlans/_blank" </w:instrText>
      </w:r>
      <w:r>
        <w:rPr>
          <w:rFonts w:hint="eastAsia" w:ascii="宋体" w:hAnsi="宋体"/>
          <w:color w:val="000000"/>
          <w:sz w:val="30"/>
          <w:szCs w:val="30"/>
        </w:rPr>
        <w:fldChar w:fldCharType="separate"/>
      </w:r>
      <w:r>
        <w:rPr>
          <w:rFonts w:hint="eastAsia" w:ascii="宋体" w:hAnsi="宋体"/>
          <w:color w:val="000000"/>
          <w:sz w:val="30"/>
          <w:szCs w:val="30"/>
        </w:rPr>
        <w:t>临[2020]1917号</w:t>
      </w:r>
      <w:r>
        <w:rPr>
          <w:rFonts w:hint="eastAsia" w:ascii="宋体" w:hAnsi="宋体"/>
          <w:color w:val="000000"/>
          <w:sz w:val="30"/>
          <w:szCs w:val="30"/>
        </w:rPr>
        <w:fldChar w:fldCharType="end"/>
      </w:r>
      <w:r>
        <w:rPr>
          <w:rFonts w:hint="eastAsia" w:ascii="宋体" w:hAnsi="宋体"/>
          <w:color w:val="000000"/>
          <w:sz w:val="30"/>
          <w:szCs w:val="30"/>
          <w:lang w:val="en-US" w:eastAsia="zh-CN"/>
        </w:rPr>
        <w:t>-1</w:t>
      </w:r>
      <w:r>
        <w:rPr>
          <w:rFonts w:hint="eastAsia" w:ascii="宋体" w:hAnsi="宋体"/>
          <w:color w:val="000000"/>
          <w:sz w:val="30"/>
          <w:szCs w:val="30"/>
        </w:rPr>
        <w:fldChar w:fldCharType="begin"/>
      </w:r>
      <w:r>
        <w:rPr>
          <w:rFonts w:hint="eastAsia" w:ascii="宋体" w:hAnsi="宋体"/>
          <w:color w:val="000000"/>
          <w:sz w:val="30"/>
          <w:szCs w:val="30"/>
        </w:rPr>
        <w:instrText xml:space="preserve"> HYPERLINK "https://pay.zcygov.cn/purchaseplan_front/" \l "/plan/list/detail?id=1000000000002395329&amp;encrypt=dc374904916eb7dc69def937b688d96b" \t "https://bidding.zcygov.cn/xmgl/projectQuery/_blank" </w:instrText>
      </w:r>
      <w:r>
        <w:rPr>
          <w:rFonts w:hint="eastAsia" w:ascii="宋体" w:hAnsi="宋体"/>
          <w:color w:val="000000"/>
          <w:sz w:val="30"/>
          <w:szCs w:val="30"/>
        </w:rPr>
        <w:fldChar w:fldCharType="separate"/>
      </w:r>
      <w:r>
        <w:rPr>
          <w:rFonts w:hint="eastAsia" w:ascii="宋体" w:hAnsi="宋体"/>
          <w:color w:val="000000"/>
          <w:sz w:val="30"/>
          <w:szCs w:val="30"/>
        </w:rPr>
        <w:fldChar w:fldCharType="end"/>
      </w:r>
      <w:r>
        <w:rPr>
          <w:rFonts w:hint="eastAsia" w:ascii="宋体" w:hAnsi="宋体"/>
          <w:color w:val="000000"/>
          <w:sz w:val="30"/>
          <w:szCs w:val="30"/>
        </w:rPr>
        <w:t>）</w:t>
      </w:r>
    </w:p>
    <w:p>
      <w:pPr>
        <w:pStyle w:val="23"/>
        <w:ind w:firstLine="320"/>
        <w:rPr>
          <w:rFonts w:ascii="宋体" w:hAnsi="宋体"/>
          <w:color w:val="000000"/>
          <w:spacing w:val="40"/>
          <w:sz w:val="24"/>
        </w:rPr>
      </w:pPr>
    </w:p>
    <w:p>
      <w:pPr>
        <w:pStyle w:val="23"/>
        <w:ind w:firstLine="320"/>
        <w:rPr>
          <w:rFonts w:ascii="宋体" w:hAnsi="宋体"/>
          <w:color w:val="000000"/>
          <w:spacing w:val="40"/>
          <w:sz w:val="24"/>
        </w:rPr>
      </w:pPr>
    </w:p>
    <w:p>
      <w:pPr>
        <w:pStyle w:val="23"/>
        <w:ind w:firstLine="320"/>
        <w:rPr>
          <w:rFonts w:ascii="宋体" w:hAnsi="宋体"/>
          <w:color w:val="000000"/>
          <w:spacing w:val="40"/>
          <w:sz w:val="24"/>
        </w:rPr>
      </w:pPr>
    </w:p>
    <w:p>
      <w:pPr>
        <w:pStyle w:val="23"/>
        <w:ind w:firstLine="320"/>
        <w:rPr>
          <w:rFonts w:ascii="宋体" w:hAnsi="宋体"/>
          <w:color w:val="000000"/>
          <w:spacing w:val="40"/>
          <w:sz w:val="24"/>
        </w:rPr>
      </w:pPr>
    </w:p>
    <w:p>
      <w:pPr>
        <w:spacing w:after="100" w:afterAutospacing="1" w:line="800" w:lineRule="exact"/>
        <w:ind w:right="-108"/>
        <w:jc w:val="center"/>
        <w:rPr>
          <w:rFonts w:ascii="宋体" w:hAnsi="宋体"/>
          <w:color w:val="000000"/>
          <w:spacing w:val="40"/>
          <w:sz w:val="24"/>
        </w:rPr>
      </w:pPr>
    </w:p>
    <w:p>
      <w:pPr>
        <w:spacing w:after="100" w:afterAutospacing="1" w:line="800" w:lineRule="exact"/>
        <w:ind w:right="-108"/>
        <w:rPr>
          <w:rFonts w:ascii="宋体" w:hAnsi="宋体"/>
          <w:color w:val="000000"/>
          <w:spacing w:val="40"/>
          <w:sz w:val="24"/>
        </w:rPr>
      </w:pPr>
    </w:p>
    <w:p>
      <w:pPr>
        <w:spacing w:line="700" w:lineRule="exact"/>
        <w:ind w:firstLine="960" w:firstLineChars="300"/>
        <w:rPr>
          <w:rFonts w:hint="eastAsia" w:ascii="宋体" w:hAnsi="宋体" w:eastAsia="宋体" w:cs="宋体"/>
          <w:sz w:val="32"/>
          <w:szCs w:val="32"/>
          <w:lang w:eastAsia="zh-CN"/>
        </w:rPr>
      </w:pPr>
      <w:r>
        <w:rPr>
          <w:rFonts w:hint="eastAsia" w:ascii="宋体" w:hAnsi="宋体" w:cs="宋体"/>
          <w:sz w:val="32"/>
          <w:szCs w:val="32"/>
        </w:rPr>
        <w:t>采购单位：</w:t>
      </w:r>
      <w:r>
        <w:rPr>
          <w:rFonts w:hint="eastAsia" w:ascii="宋体" w:hAnsi="宋体" w:cs="宋体"/>
          <w:sz w:val="32"/>
          <w:szCs w:val="32"/>
          <w:lang w:eastAsia="zh-CN"/>
        </w:rPr>
        <w:t>杭州市临安区水利水电局</w:t>
      </w:r>
    </w:p>
    <w:p>
      <w:pPr>
        <w:spacing w:line="700" w:lineRule="exact"/>
        <w:ind w:firstLine="960" w:firstLineChars="300"/>
        <w:rPr>
          <w:rFonts w:ascii="宋体" w:hAnsi="宋体" w:cs="宋体"/>
          <w:sz w:val="32"/>
          <w:szCs w:val="32"/>
        </w:rPr>
      </w:pPr>
      <w:r>
        <w:rPr>
          <w:rFonts w:hint="eastAsia" w:ascii="宋体" w:hAnsi="宋体" w:cs="宋体"/>
          <w:sz w:val="32"/>
          <w:szCs w:val="32"/>
        </w:rPr>
        <w:t>代理机构：杭州建设工程造价咨询有限公司</w:t>
      </w:r>
    </w:p>
    <w:p>
      <w:pPr>
        <w:spacing w:line="700" w:lineRule="exact"/>
        <w:ind w:firstLine="960" w:firstLineChars="300"/>
        <w:rPr>
          <w:rFonts w:ascii="宋体" w:hAnsi="宋体" w:cs="宋体"/>
          <w:sz w:val="32"/>
          <w:szCs w:val="32"/>
        </w:rPr>
      </w:pPr>
      <w:r>
        <w:rPr>
          <w:rFonts w:hint="eastAsia" w:ascii="宋体" w:hAnsi="宋体" w:cs="宋体"/>
          <w:sz w:val="32"/>
          <w:szCs w:val="32"/>
        </w:rPr>
        <w:t>备案单位：杭州市临安区政府采购办公室</w:t>
      </w:r>
    </w:p>
    <w:p>
      <w:pPr>
        <w:pStyle w:val="35"/>
        <w:spacing w:line="700" w:lineRule="exact"/>
        <w:jc w:val="center"/>
        <w:rPr>
          <w:rFonts w:hAnsi="宋体" w:cs="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253" w:right="1500" w:bottom="1300" w:left="1500" w:header="964" w:footer="1020" w:gutter="0"/>
          <w:pgNumType w:start="0"/>
          <w:cols w:space="720" w:num="1"/>
          <w:titlePg/>
          <w:docGrid w:type="lines" w:linePitch="312" w:charSpace="0"/>
        </w:sectPr>
      </w:pPr>
      <w:r>
        <w:rPr>
          <w:rFonts w:hint="eastAsia" w:ascii="宋体" w:hAnsi="宋体" w:cs="宋体"/>
          <w:sz w:val="32"/>
          <w:szCs w:val="32"/>
        </w:rPr>
        <w:t>二○二○年</w:t>
      </w:r>
      <w:r>
        <w:rPr>
          <w:rFonts w:hint="eastAsia" w:ascii="宋体" w:hAnsi="宋体" w:cs="宋体"/>
          <w:sz w:val="32"/>
          <w:szCs w:val="32"/>
          <w:lang w:eastAsia="zh-CN"/>
        </w:rPr>
        <w:t>十</w:t>
      </w:r>
      <w:r>
        <w:rPr>
          <w:rFonts w:hint="eastAsia" w:ascii="宋体" w:hAnsi="宋体" w:cs="宋体"/>
          <w:sz w:val="32"/>
          <w:szCs w:val="32"/>
        </w:rPr>
        <w:t>月</w:t>
      </w:r>
    </w:p>
    <w:p>
      <w:pPr>
        <w:pStyle w:val="14"/>
        <w:spacing w:before="156" w:after="156" w:line="360" w:lineRule="auto"/>
        <w:rPr>
          <w:rFonts w:hAnsi="宋体"/>
          <w:b/>
          <w:color w:val="000000"/>
          <w:sz w:val="32"/>
          <w:szCs w:val="32"/>
        </w:rPr>
      </w:pPr>
    </w:p>
    <w:p>
      <w:pPr>
        <w:pStyle w:val="14"/>
        <w:spacing w:before="156" w:after="156" w:line="360" w:lineRule="auto"/>
        <w:jc w:val="center"/>
        <w:rPr>
          <w:rFonts w:hAnsi="宋体"/>
          <w:b/>
          <w:color w:val="000000"/>
          <w:sz w:val="32"/>
          <w:szCs w:val="32"/>
        </w:rPr>
      </w:pPr>
    </w:p>
    <w:p>
      <w:pPr>
        <w:pStyle w:val="14"/>
        <w:spacing w:before="156" w:after="156" w:line="360" w:lineRule="auto"/>
        <w:jc w:val="center"/>
        <w:rPr>
          <w:rFonts w:hAnsi="宋体"/>
          <w:b/>
          <w:color w:val="000000"/>
          <w:sz w:val="32"/>
          <w:szCs w:val="32"/>
        </w:rPr>
      </w:pPr>
      <w:r>
        <w:rPr>
          <w:rFonts w:hint="eastAsia" w:hAnsi="宋体"/>
          <w:b/>
          <w:color w:val="000000"/>
          <w:sz w:val="32"/>
          <w:szCs w:val="32"/>
        </w:rPr>
        <w:t>目    录</w:t>
      </w:r>
    </w:p>
    <w:p>
      <w:pPr>
        <w:pStyle w:val="14"/>
        <w:spacing w:before="156" w:after="156" w:line="360" w:lineRule="auto"/>
        <w:jc w:val="center"/>
        <w:rPr>
          <w:rFonts w:hAnsi="宋体"/>
          <w:color w:val="000000"/>
          <w:sz w:val="32"/>
          <w:szCs w:val="32"/>
        </w:rPr>
      </w:pP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第一章    采购公告………………………………………2</w:t>
      </w: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第二章    投标须知………………………………………5</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第三章    评标办法及评标标准…………………………1</w:t>
      </w:r>
      <w:r>
        <w:rPr>
          <w:rFonts w:hint="eastAsia" w:ascii="宋体" w:hAnsi="宋体"/>
          <w:color w:val="000000"/>
          <w:sz w:val="32"/>
          <w:szCs w:val="32"/>
          <w:lang w:val="en-US" w:eastAsia="zh-CN"/>
        </w:rPr>
        <w:t>4</w:t>
      </w:r>
    </w:p>
    <w:p>
      <w:pPr>
        <w:spacing w:before="156"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第四章    采购需求………………………………………</w:t>
      </w:r>
      <w:r>
        <w:rPr>
          <w:rFonts w:hint="eastAsia" w:ascii="宋体" w:hAnsi="宋体"/>
          <w:color w:val="000000"/>
          <w:sz w:val="32"/>
          <w:szCs w:val="32"/>
          <w:lang w:val="en-US" w:eastAsia="zh-CN"/>
        </w:rPr>
        <w:t>21</w:t>
      </w:r>
    </w:p>
    <w:p>
      <w:pPr>
        <w:spacing w:before="156"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第五章    政府采购合同主要条款………………………</w:t>
      </w:r>
      <w:r>
        <w:rPr>
          <w:rFonts w:hint="eastAsia" w:ascii="宋体" w:hAnsi="宋体"/>
          <w:color w:val="000000"/>
          <w:sz w:val="32"/>
          <w:szCs w:val="32"/>
          <w:lang w:val="en-US" w:eastAsia="zh-CN"/>
        </w:rPr>
        <w:t>39</w:t>
      </w:r>
    </w:p>
    <w:p>
      <w:pPr>
        <w:spacing w:before="156"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第六章    投标文件格式…………………………………</w:t>
      </w:r>
      <w:r>
        <w:rPr>
          <w:rFonts w:hint="eastAsia" w:ascii="宋体" w:hAnsi="宋体"/>
          <w:color w:val="000000"/>
          <w:sz w:val="32"/>
          <w:szCs w:val="32"/>
          <w:lang w:val="en-US" w:eastAsia="zh-CN"/>
        </w:rPr>
        <w:t>42</w:t>
      </w:r>
    </w:p>
    <w:p>
      <w:pPr>
        <w:pStyle w:val="14"/>
        <w:snapToGrid w:val="0"/>
        <w:spacing w:before="156" w:after="312" w:afterLines="100" w:line="240" w:lineRule="auto"/>
        <w:jc w:val="center"/>
        <w:outlineLvl w:val="0"/>
        <w:rPr>
          <w:rFonts w:hAnsi="宋体"/>
          <w:b/>
          <w:color w:val="000000"/>
          <w:sz w:val="32"/>
          <w:szCs w:val="32"/>
        </w:rPr>
      </w:pPr>
      <w:r>
        <w:rPr>
          <w:rFonts w:hAnsi="宋体"/>
          <w:color w:val="000000"/>
        </w:rPr>
        <w:br w:type="page"/>
      </w:r>
      <w:r>
        <w:rPr>
          <w:rFonts w:hint="eastAsia" w:hAnsi="宋体"/>
          <w:b/>
          <w:color w:val="000000"/>
          <w:sz w:val="32"/>
          <w:szCs w:val="32"/>
        </w:rPr>
        <w:t>第一章  采购公告</w:t>
      </w:r>
    </w:p>
    <w:p>
      <w:pPr>
        <w:ind w:right="-110" w:firstLine="480" w:firstLineChars="200"/>
        <w:jc w:val="left"/>
        <w:rPr>
          <w:rFonts w:ascii="宋体" w:hAnsi="宋体"/>
          <w:sz w:val="24"/>
        </w:rPr>
      </w:pPr>
      <w:r>
        <w:rPr>
          <w:rFonts w:hint="eastAsia" w:ascii="宋体" w:hAnsi="宋体"/>
          <w:sz w:val="24"/>
        </w:rPr>
        <w:t>根据《中华人民共和国政府采购法》、《政府采购货物和服务招标投标管理办法》等规定，经采购人杭州市</w:t>
      </w:r>
      <w:r>
        <w:rPr>
          <w:rFonts w:hint="eastAsia" w:ascii="宋体" w:hAnsi="宋体"/>
          <w:sz w:val="24"/>
          <w:lang w:eastAsia="zh-CN"/>
        </w:rPr>
        <w:t>临安区水利水电局</w:t>
      </w:r>
      <w:r>
        <w:rPr>
          <w:rFonts w:hint="eastAsia" w:ascii="宋体" w:hAnsi="宋体"/>
          <w:sz w:val="24"/>
        </w:rPr>
        <w:t>的同意，委托杭州建设工程造价咨询有限公司（以下简称“采购机构”），就以下</w:t>
      </w:r>
      <w:r>
        <w:rPr>
          <w:rFonts w:hint="eastAsia" w:ascii="宋体" w:hAnsi="宋体"/>
          <w:sz w:val="24"/>
          <w:lang w:eastAsia="zh-CN"/>
        </w:rPr>
        <w:t>临安区水灾害防御指挥中心会商系统项目（重新）</w:t>
      </w:r>
      <w:r>
        <w:rPr>
          <w:rFonts w:hint="eastAsia" w:ascii="宋体" w:hAnsi="宋体"/>
          <w:sz w:val="24"/>
        </w:rPr>
        <w:t>进行公开招标，现欢迎有供货能力的合格供应商参加投标。</w:t>
      </w:r>
    </w:p>
    <w:p>
      <w:pPr>
        <w:snapToGrid w:val="0"/>
        <w:spacing w:line="500" w:lineRule="exact"/>
        <w:ind w:firstLine="480" w:firstLineChars="200"/>
        <w:rPr>
          <w:rFonts w:hint="default" w:ascii="宋体" w:hAnsi="宋体" w:eastAsia="宋体" w:cs="Arial"/>
          <w:b/>
          <w:bCs/>
          <w:sz w:val="24"/>
          <w:lang w:val="en-US" w:eastAsia="zh-CN"/>
        </w:rPr>
      </w:pPr>
      <w:r>
        <w:rPr>
          <w:rFonts w:hint="eastAsia" w:ascii="宋体" w:hAnsi="宋体" w:cs="Arial"/>
          <w:sz w:val="24"/>
        </w:rPr>
        <w:t>一、</w:t>
      </w:r>
      <w:r>
        <w:rPr>
          <w:rFonts w:hint="eastAsia" w:ascii="宋体" w:hAnsi="宋体" w:cs="Arial"/>
          <w:b/>
          <w:bCs/>
          <w:sz w:val="24"/>
        </w:rPr>
        <w:t>项目编号：</w:t>
      </w:r>
      <w:r>
        <w:rPr>
          <w:rFonts w:hint="eastAsia" w:ascii="宋体" w:hAnsi="宋体" w:cs="Arial"/>
          <w:b/>
          <w:bCs/>
          <w:sz w:val="24"/>
        </w:rPr>
        <w:fldChar w:fldCharType="begin"/>
      </w:r>
      <w:r>
        <w:rPr>
          <w:rFonts w:hint="eastAsia" w:ascii="宋体" w:hAnsi="宋体" w:cs="Arial"/>
          <w:b/>
          <w:bCs/>
          <w:sz w:val="24"/>
        </w:rPr>
        <w:instrText xml:space="preserve"> HYPERLINK "https://pay.zcygov.cn/purchaseplan_front/" \l "/plan/list/detail?id=1000000000003164212&amp;encrypt=88be589edc525c6a4417f4011e964b44" \t "https://www.zcygov.cn/bidding-entrust/" \l "/purchasePlans/_blank" </w:instrText>
      </w:r>
      <w:r>
        <w:rPr>
          <w:rFonts w:hint="eastAsia" w:ascii="宋体" w:hAnsi="宋体" w:cs="Arial"/>
          <w:b/>
          <w:bCs/>
          <w:sz w:val="24"/>
        </w:rPr>
        <w:fldChar w:fldCharType="separate"/>
      </w:r>
      <w:r>
        <w:rPr>
          <w:rFonts w:hint="eastAsia" w:ascii="宋体" w:hAnsi="宋体" w:cs="Arial"/>
          <w:b/>
          <w:bCs/>
          <w:sz w:val="24"/>
        </w:rPr>
        <w:t>临[2020]1917号</w:t>
      </w:r>
      <w:r>
        <w:rPr>
          <w:rFonts w:hint="eastAsia" w:ascii="宋体" w:hAnsi="宋体" w:cs="Arial"/>
          <w:b/>
          <w:bCs/>
          <w:sz w:val="24"/>
        </w:rPr>
        <w:fldChar w:fldCharType="end"/>
      </w:r>
      <w:r>
        <w:rPr>
          <w:rFonts w:hint="eastAsia" w:ascii="宋体" w:hAnsi="宋体" w:cs="Arial"/>
          <w:b/>
          <w:bCs/>
          <w:sz w:val="24"/>
          <w:lang w:val="en-US" w:eastAsia="zh-CN"/>
        </w:rPr>
        <w:t>-1</w:t>
      </w:r>
    </w:p>
    <w:p>
      <w:pPr>
        <w:snapToGrid w:val="0"/>
        <w:spacing w:line="500" w:lineRule="exact"/>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24"/>
        <w:tblW w:w="8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3"/>
        <w:gridCol w:w="2933"/>
        <w:gridCol w:w="1108"/>
        <w:gridCol w:w="1620"/>
        <w:gridCol w:w="1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exac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29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项目名称</w:t>
            </w:r>
          </w:p>
        </w:tc>
        <w:tc>
          <w:tcPr>
            <w:tcW w:w="11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数量</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最高限价</w:t>
            </w:r>
          </w:p>
          <w:p>
            <w:pPr>
              <w:spacing w:line="400" w:lineRule="exact"/>
              <w:jc w:val="center"/>
              <w:rPr>
                <w:rFonts w:ascii="宋体" w:hAnsi="宋体" w:cs="宋体"/>
                <w:sz w:val="24"/>
              </w:rPr>
            </w:pPr>
            <w:r>
              <w:rPr>
                <w:rFonts w:hint="eastAsia" w:ascii="宋体" w:hAnsi="宋体" w:cs="宋体"/>
                <w:sz w:val="24"/>
              </w:rPr>
              <w:t>（万元）</w:t>
            </w:r>
          </w:p>
        </w:tc>
        <w:tc>
          <w:tcPr>
            <w:tcW w:w="18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Arial"/>
                <w:bCs/>
                <w:sz w:val="24"/>
              </w:rPr>
              <w:t>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exact"/>
          <w:jc w:val="center"/>
        </w:trPr>
        <w:tc>
          <w:tcPr>
            <w:tcW w:w="813"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w:t>
            </w:r>
          </w:p>
        </w:tc>
        <w:tc>
          <w:tcPr>
            <w:tcW w:w="2933"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sz w:val="24"/>
                <w:lang w:eastAsia="zh-CN"/>
              </w:rPr>
            </w:pPr>
            <w:r>
              <w:rPr>
                <w:rFonts w:hint="eastAsia" w:ascii="宋体" w:hAnsi="宋体"/>
                <w:sz w:val="24"/>
                <w:lang w:eastAsia="zh-CN"/>
              </w:rPr>
              <w:t>临安区水灾害防御指挥中心会商系统项目（重新）</w:t>
            </w:r>
          </w:p>
        </w:tc>
        <w:tc>
          <w:tcPr>
            <w:tcW w:w="1108"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1批</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lang w:val="en-US" w:eastAsia="zh-CN"/>
              </w:rPr>
              <w:t>220</w:t>
            </w:r>
          </w:p>
        </w:tc>
        <w:tc>
          <w:tcPr>
            <w:tcW w:w="1822"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详见第四章</w:t>
            </w:r>
          </w:p>
          <w:p>
            <w:pPr>
              <w:spacing w:line="400" w:lineRule="exact"/>
              <w:jc w:val="center"/>
              <w:rPr>
                <w:rFonts w:ascii="宋体" w:hAnsi="宋体" w:cs="宋体"/>
                <w:sz w:val="24"/>
              </w:rPr>
            </w:pPr>
            <w:r>
              <w:rPr>
                <w:rFonts w:hint="eastAsia" w:ascii="宋体" w:hAnsi="宋体" w:cs="宋体"/>
                <w:sz w:val="24"/>
              </w:rPr>
              <w:t>采购需求</w:t>
            </w:r>
          </w:p>
        </w:tc>
      </w:tr>
    </w:tbl>
    <w:p>
      <w:pPr>
        <w:spacing w:line="400" w:lineRule="exact"/>
        <w:jc w:val="left"/>
        <w:rPr>
          <w:rFonts w:ascii="宋体" w:hAnsi="宋体" w:cs="Arial"/>
          <w:b/>
          <w:bCs/>
          <w:color w:val="000000"/>
          <w:sz w:val="24"/>
        </w:rPr>
      </w:pPr>
      <w:r>
        <w:rPr>
          <w:rFonts w:hint="eastAsia" w:ascii="宋体" w:hAnsi="宋体" w:cs="宋体"/>
          <w:sz w:val="24"/>
        </w:rPr>
        <w:t>三、合格供应商资格要求</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1.符合《中华人民共和国政府采购法》第二十二条之规定；</w:t>
      </w:r>
    </w:p>
    <w:p>
      <w:pPr>
        <w:snapToGrid w:val="0"/>
        <w:spacing w:line="400" w:lineRule="exact"/>
        <w:ind w:firstLine="480" w:firstLineChars="200"/>
        <w:rPr>
          <w:rFonts w:ascii="宋体" w:hAnsi="宋体" w:cs="宋体"/>
          <w:sz w:val="24"/>
        </w:rPr>
      </w:pPr>
      <w:r>
        <w:rPr>
          <w:rFonts w:hint="eastAsia" w:ascii="宋体" w:hAnsi="宋体" w:cs="宋体"/>
          <w:color w:val="000000"/>
          <w:sz w:val="24"/>
        </w:rPr>
        <w:t>2.未被“信用中国”（www.creditchina.gov.cn）、中国政府采购网（www.ccgp.gov.cn）</w:t>
      </w:r>
      <w:r>
        <w:rPr>
          <w:rFonts w:hint="eastAsia" w:ascii="宋体" w:hAnsi="宋体" w:cs="宋体"/>
          <w:sz w:val="24"/>
        </w:rPr>
        <w:t>列入失信被执行人、重大税收违法案件当事人名单、政府采购严重违法失信行为记录名单；</w:t>
      </w:r>
    </w:p>
    <w:p>
      <w:pPr>
        <w:pStyle w:val="30"/>
        <w:spacing w:line="400" w:lineRule="exact"/>
        <w:ind w:firstLine="480" w:firstLineChars="200"/>
        <w:rPr>
          <w:rFonts w:ascii="宋体" w:hAnsi="宋体" w:cs="宋体"/>
          <w:color w:val="auto"/>
        </w:rPr>
      </w:pPr>
      <w:r>
        <w:rPr>
          <w:rFonts w:hint="eastAsia" w:ascii="宋体" w:hAnsi="宋体" w:cs="宋体"/>
          <w:color w:val="auto"/>
        </w:rPr>
        <w:t>3.不允许联合体投标。</w:t>
      </w:r>
    </w:p>
    <w:p>
      <w:pPr>
        <w:pStyle w:val="30"/>
        <w:spacing w:line="440" w:lineRule="exact"/>
        <w:ind w:firstLine="482" w:firstLineChars="200"/>
        <w:rPr>
          <w:rFonts w:ascii="宋体" w:hAnsi="宋体" w:cs="Arial"/>
          <w:b/>
          <w:kern w:val="2"/>
        </w:rPr>
      </w:pPr>
      <w:r>
        <w:rPr>
          <w:rFonts w:hint="eastAsia" w:ascii="宋体" w:hAnsi="宋体" w:cs="Arial"/>
          <w:b/>
          <w:kern w:val="2"/>
        </w:rPr>
        <w:t>四、投标报名</w:t>
      </w:r>
    </w:p>
    <w:p>
      <w:pPr>
        <w:pStyle w:val="30"/>
        <w:wordWrap w:val="0"/>
        <w:spacing w:line="440" w:lineRule="exact"/>
        <w:ind w:firstLine="482" w:firstLineChars="200"/>
        <w:rPr>
          <w:rFonts w:ascii="宋体" w:hAnsi="宋体"/>
          <w:b/>
          <w:color w:val="auto"/>
        </w:rPr>
      </w:pPr>
      <w:r>
        <w:rPr>
          <w:rFonts w:hint="eastAsia" w:ascii="宋体" w:hAnsi="宋体"/>
          <w:b/>
          <w:color w:val="auto"/>
        </w:rPr>
        <w:t>本项目实行网上报名，不接受现场报名。投标截止时间前，供应商自行登录浙江政府采购网（http://www.zjzfcg.gov.cn）进行报名。</w:t>
      </w:r>
    </w:p>
    <w:p>
      <w:pPr>
        <w:wordWrap w:val="0"/>
        <w:snapToGrid w:val="0"/>
        <w:spacing w:line="500" w:lineRule="exact"/>
        <w:ind w:firstLine="542" w:firstLineChars="225"/>
        <w:rPr>
          <w:rFonts w:ascii="宋体" w:hAnsi="宋体"/>
          <w:b/>
          <w:kern w:val="0"/>
          <w:sz w:val="24"/>
        </w:rPr>
      </w:pPr>
      <w:r>
        <w:rPr>
          <w:rFonts w:hint="eastAsia" w:ascii="宋体" w:hAnsi="宋体"/>
          <w:b/>
          <w:kern w:val="0"/>
          <w:sz w:val="24"/>
        </w:rPr>
        <w:t>《供应商网上报名操作指南》网址：浙江政府采购网，位置：“首页-办事指南-省采中心-网上报名”（http://www.zjzfcg.gov.cn/bs_other/2018-03-30/12002.html?_=2018-03-30 11:40:47）。</w:t>
      </w:r>
    </w:p>
    <w:p>
      <w:pPr>
        <w:wordWrap w:val="0"/>
        <w:snapToGrid w:val="0"/>
        <w:spacing w:line="500" w:lineRule="exact"/>
        <w:ind w:firstLine="542" w:firstLineChars="225"/>
        <w:rPr>
          <w:rFonts w:ascii="宋体" w:hAnsi="宋体"/>
          <w:b/>
          <w:kern w:val="0"/>
          <w:sz w:val="24"/>
        </w:rPr>
      </w:pPr>
      <w:r>
        <w:rPr>
          <w:rFonts w:hint="eastAsia" w:ascii="宋体" w:hAnsi="宋体"/>
          <w:b/>
          <w:kern w:val="0"/>
          <w:sz w:val="24"/>
        </w:rPr>
        <w:t>五、采购文件的获取：</w:t>
      </w:r>
    </w:p>
    <w:p>
      <w:pPr>
        <w:wordWrap w:val="0"/>
        <w:snapToGrid w:val="0"/>
        <w:spacing w:line="360" w:lineRule="auto"/>
        <w:ind w:firstLine="482"/>
        <w:rPr>
          <w:rFonts w:ascii="宋体" w:hAnsi="宋体"/>
          <w:b/>
          <w:kern w:val="0"/>
          <w:sz w:val="24"/>
        </w:rPr>
      </w:pPr>
      <w:r>
        <w:rPr>
          <w:rFonts w:hint="eastAsia" w:ascii="宋体" w:hAnsi="宋体"/>
          <w:b/>
          <w:kern w:val="0"/>
          <w:sz w:val="24"/>
        </w:rPr>
        <w:t>投标人可到浙江政府采购网(</w:t>
      </w:r>
      <w:r>
        <w:fldChar w:fldCharType="begin"/>
      </w:r>
      <w:r>
        <w:instrText xml:space="preserve"> HYPERLINK "http://www.zjzfcg.gov.cn/" </w:instrText>
      </w:r>
      <w:r>
        <w:fldChar w:fldCharType="separate"/>
      </w:r>
      <w:r>
        <w:rPr>
          <w:rFonts w:hint="eastAsia" w:ascii="宋体" w:hAnsi="宋体"/>
          <w:b/>
          <w:kern w:val="0"/>
          <w:sz w:val="24"/>
        </w:rPr>
        <w:t>http://www.zjzfcg.gov.cn</w:t>
      </w:r>
      <w:r>
        <w:rPr>
          <w:rFonts w:hint="eastAsia" w:ascii="宋体" w:hAnsi="宋体"/>
          <w:b/>
          <w:kern w:val="0"/>
          <w:sz w:val="24"/>
        </w:rPr>
        <w:fldChar w:fldCharType="end"/>
      </w:r>
      <w:r>
        <w:rPr>
          <w:rFonts w:hint="eastAsia" w:ascii="宋体" w:hAnsi="宋体"/>
          <w:b/>
          <w:sz w:val="24"/>
        </w:rPr>
        <w:t>)或</w:t>
      </w:r>
      <w:r>
        <w:rPr>
          <w:rFonts w:hint="eastAsia" w:ascii="宋体" w:hAnsi="宋体"/>
          <w:b/>
          <w:bCs/>
          <w:sz w:val="24"/>
        </w:rPr>
        <w:t>杭州市临安区政府采购</w:t>
      </w:r>
      <w:r>
        <w:rPr>
          <w:rFonts w:hint="eastAsia" w:ascii="宋体" w:hAnsi="宋体"/>
          <w:b/>
          <w:kern w:val="0"/>
          <w:sz w:val="24"/>
        </w:rPr>
        <w:t>网（http://www.linan.gov.cn/col/col1366369/index.html)或杭州市公共资源交易网（https://www.hzctc.cn/SecondPage/SecondPage?moduleID=67&amp;ViewID=18&amp;areaID=72）上自行查看和下载电子文件。</w:t>
      </w:r>
    </w:p>
    <w:p>
      <w:pPr>
        <w:wordWrap w:val="0"/>
        <w:snapToGrid w:val="0"/>
        <w:spacing w:line="360" w:lineRule="auto"/>
        <w:ind w:firstLine="482"/>
        <w:rPr>
          <w:rFonts w:ascii="宋体" w:hAnsi="宋体"/>
          <w:b/>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pStyle w:val="30"/>
        <w:wordWrap w:val="0"/>
        <w:spacing w:line="500" w:lineRule="exact"/>
        <w:ind w:left="420" w:leftChars="200"/>
        <w:rPr>
          <w:b/>
          <w:bCs/>
          <w:color w:val="FF0000"/>
        </w:rPr>
      </w:pPr>
      <w:r>
        <w:rPr>
          <w:rFonts w:hint="eastAsia" w:ascii="宋体" w:hAnsi="宋体" w:cs="Arial"/>
          <w:b/>
          <w:bCs/>
          <w:kern w:val="2"/>
        </w:rPr>
        <w:t>六、投标说明</w:t>
      </w:r>
    </w:p>
    <w:p>
      <w:pPr>
        <w:pStyle w:val="14"/>
        <w:wordWrap w:val="0"/>
        <w:adjustRightInd w:val="0"/>
        <w:snapToGrid w:val="0"/>
        <w:spacing w:before="156" w:after="156"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30"/>
        <w:wordWrap w:val="0"/>
        <w:spacing w:line="500" w:lineRule="exact"/>
        <w:ind w:firstLine="482" w:firstLineChars="200"/>
        <w:rPr>
          <w:b/>
          <w:bCs/>
          <w:color w:val="auto"/>
        </w:rPr>
      </w:pPr>
      <w:r>
        <w:rPr>
          <w:rFonts w:hint="eastAsia"/>
          <w:b/>
          <w:bCs/>
          <w:color w:val="auto"/>
        </w:rPr>
        <w:t>2.投标人应在开标前完成CA数字证书办理。（办理流程详见http://www.zjzfcg.gov.cn/bidClientTemplate/2019-05-27/12945.html）。完成CA数字证书办理预计一周左右，建议各投标人抓紧时间办理。</w:t>
      </w:r>
    </w:p>
    <w:p>
      <w:pPr>
        <w:wordWrap w:val="0"/>
        <w:snapToGrid w:val="0"/>
        <w:spacing w:line="500" w:lineRule="exact"/>
        <w:ind w:firstLine="455" w:firstLineChars="189"/>
        <w:rPr>
          <w:b/>
          <w:bCs/>
          <w:sz w:val="24"/>
        </w:rPr>
      </w:pPr>
      <w:r>
        <w:rPr>
          <w:rFonts w:hint="eastAsia"/>
          <w:b/>
          <w:bCs/>
          <w:sz w:val="24"/>
        </w:rPr>
        <w:t>3.投标人通过“政采云”平台电子投标工具制作投标文件，电子投标工具请供应商自行前往浙江省政府采购网下载并安装，（下载网址：http://www.zjzfcg.gov.cn/bidClientTemplate/2019-05-27/12946.html），电子投标具体流程详见本招标公告附件：“政采云供应商项目采购-电子招投标操作指南.pdf”</w:t>
      </w:r>
    </w:p>
    <w:p>
      <w:pPr>
        <w:pStyle w:val="20"/>
        <w:wordWrap w:val="0"/>
        <w:snapToGrid w:val="0"/>
        <w:spacing w:before="0" w:beforeAutospacing="0" w:after="0" w:afterAutospacing="0" w:line="420" w:lineRule="exact"/>
        <w:ind w:firstLine="482" w:firstLineChars="200"/>
        <w:rPr>
          <w:b/>
          <w:bCs/>
        </w:rPr>
      </w:pPr>
      <w:r>
        <w:rPr>
          <w:rFonts w:hint="eastAsia"/>
          <w:b/>
          <w:bCs/>
        </w:rPr>
        <w:t>七、其他事项：质疑及投诉</w:t>
      </w:r>
    </w:p>
    <w:p>
      <w:pPr>
        <w:pStyle w:val="20"/>
        <w:wordWrap w:val="0"/>
        <w:snapToGrid w:val="0"/>
        <w:spacing w:before="0" w:beforeAutospacing="0" w:after="0" w:afterAutospacing="0" w:line="420" w:lineRule="exact"/>
        <w:ind w:firstLine="480" w:firstLineChars="200"/>
      </w:pPr>
      <w:r>
        <w:rPr>
          <w:rFonts w:hint="eastAsia" w:cs="宋体"/>
          <w:color w:val="000000"/>
          <w:kern w:val="2"/>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4"/>
        <w:adjustRightInd w:val="0"/>
        <w:snapToGrid w:val="0"/>
        <w:spacing w:beforeLines="0" w:afterLines="0" w:line="360" w:lineRule="auto"/>
        <w:ind w:firstLine="484" w:firstLineChars="201"/>
        <w:rPr>
          <w:rFonts w:hAnsi="宋体"/>
          <w:b/>
          <w:kern w:val="0"/>
        </w:rPr>
      </w:pPr>
      <w:r>
        <w:rPr>
          <w:rFonts w:hint="eastAsia" w:hAnsi="宋体"/>
          <w:b/>
          <w:kern w:val="0"/>
        </w:rPr>
        <w:t>八、投标截止时间、地点及要求</w:t>
      </w:r>
    </w:p>
    <w:p>
      <w:pPr>
        <w:pStyle w:val="14"/>
        <w:adjustRightInd w:val="0"/>
        <w:snapToGrid w:val="0"/>
        <w:spacing w:beforeLines="0" w:afterLines="0" w:line="360" w:lineRule="auto"/>
        <w:ind w:firstLine="482" w:firstLineChars="201"/>
        <w:rPr>
          <w:rFonts w:hAnsi="宋体"/>
          <w:kern w:val="0"/>
        </w:rPr>
      </w:pPr>
      <w:r>
        <w:rPr>
          <w:rFonts w:hint="eastAsia" w:hAnsi="宋体"/>
          <w:kern w:val="0"/>
        </w:rPr>
        <w:t>本项目于</w:t>
      </w:r>
      <w:r>
        <w:rPr>
          <w:rFonts w:hint="eastAsia" w:hAnsi="宋体"/>
          <w:b/>
          <w:bCs/>
          <w:kern w:val="0"/>
        </w:rPr>
        <w:t xml:space="preserve">2020年 </w:t>
      </w:r>
      <w:r>
        <w:rPr>
          <w:rFonts w:hint="eastAsia" w:hAnsi="宋体"/>
          <w:b/>
          <w:bCs/>
          <w:kern w:val="0"/>
          <w:lang w:val="en-US" w:eastAsia="zh-CN"/>
        </w:rPr>
        <w:t xml:space="preserve">10 </w:t>
      </w:r>
      <w:r>
        <w:rPr>
          <w:rFonts w:hint="eastAsia" w:hAnsi="宋体"/>
          <w:b/>
          <w:bCs/>
          <w:kern w:val="0"/>
        </w:rPr>
        <w:t>月</w:t>
      </w:r>
      <w:r>
        <w:rPr>
          <w:rFonts w:hint="eastAsia" w:hAnsi="宋体"/>
          <w:b/>
          <w:bCs/>
          <w:kern w:val="0"/>
          <w:lang w:val="en-US" w:eastAsia="zh-CN"/>
        </w:rPr>
        <w:t xml:space="preserve"> 29 </w:t>
      </w:r>
      <w:r>
        <w:rPr>
          <w:rFonts w:hint="eastAsia" w:hAnsi="宋体"/>
          <w:b/>
          <w:bCs/>
          <w:kern w:val="0"/>
        </w:rPr>
        <w:t>日</w:t>
      </w:r>
      <w:r>
        <w:rPr>
          <w:rFonts w:hint="eastAsia" w:hAnsi="宋体"/>
          <w:b/>
          <w:bCs/>
          <w:kern w:val="0"/>
          <w:lang w:val="en-US" w:eastAsia="zh-CN"/>
        </w:rPr>
        <w:t>14</w:t>
      </w:r>
      <w:r>
        <w:rPr>
          <w:rFonts w:hint="eastAsia" w:hAnsi="宋体"/>
          <w:b/>
          <w:bCs/>
          <w:kern w:val="0"/>
        </w:rPr>
        <w:t xml:space="preserve">时 </w:t>
      </w:r>
      <w:r>
        <w:rPr>
          <w:rFonts w:hint="eastAsia" w:hAnsi="宋体"/>
          <w:b/>
          <w:bCs/>
          <w:kern w:val="0"/>
          <w:lang w:val="en-US" w:eastAsia="zh-CN"/>
        </w:rPr>
        <w:t>30</w:t>
      </w:r>
      <w:r>
        <w:rPr>
          <w:rFonts w:hint="eastAsia" w:hAnsi="宋体"/>
          <w:b/>
          <w:bCs/>
          <w:kern w:val="0"/>
        </w:rPr>
        <w:t xml:space="preserve"> 分</w:t>
      </w:r>
      <w:r>
        <w:rPr>
          <w:rFonts w:hint="eastAsia" w:hAnsi="宋体"/>
          <w:kern w:val="0"/>
        </w:rPr>
        <w:t>投标截止。</w:t>
      </w:r>
    </w:p>
    <w:p>
      <w:pPr>
        <w:pStyle w:val="14"/>
        <w:adjustRightInd w:val="0"/>
        <w:snapToGrid w:val="0"/>
        <w:spacing w:beforeLines="0" w:afterLines="0" w:line="360" w:lineRule="auto"/>
        <w:ind w:firstLine="482" w:firstLineChars="201"/>
        <w:rPr>
          <w:rFonts w:hAnsi="宋体" w:cs="Arial"/>
          <w:b/>
          <w:color w:val="000000"/>
        </w:rPr>
      </w:pPr>
      <w:r>
        <w:rPr>
          <w:rFonts w:hint="eastAsia" w:hAnsi="宋体"/>
          <w:kern w:val="0"/>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14"/>
        <w:adjustRightInd w:val="0"/>
        <w:snapToGrid w:val="0"/>
        <w:spacing w:beforeLines="0" w:afterLines="0" w:line="360" w:lineRule="auto"/>
        <w:ind w:firstLine="484" w:firstLineChars="201"/>
        <w:rPr>
          <w:rFonts w:hAnsi="宋体" w:cs="Arial"/>
          <w:b/>
          <w:color w:val="000000"/>
        </w:rPr>
      </w:pPr>
      <w:r>
        <w:rPr>
          <w:rFonts w:hint="eastAsia" w:hAnsi="宋体" w:cs="Arial"/>
          <w:b/>
          <w:color w:val="000000"/>
        </w:rPr>
        <w:t>九、业务咨询：</w:t>
      </w:r>
    </w:p>
    <w:p>
      <w:pPr>
        <w:pStyle w:val="20"/>
        <w:wordWrap w:val="0"/>
        <w:snapToGrid w:val="0"/>
        <w:spacing w:before="0" w:beforeAutospacing="0" w:after="0" w:afterAutospacing="0" w:line="420" w:lineRule="exact"/>
        <w:rPr>
          <w:rFonts w:hint="eastAsia" w:eastAsia="宋体" w:cs="宋体"/>
          <w:color w:val="636363"/>
          <w:lang w:eastAsia="zh-CN"/>
        </w:rPr>
      </w:pPr>
      <w:r>
        <w:rPr>
          <w:rFonts w:hint="eastAsia" w:cs="宋体"/>
          <w:color w:val="000000"/>
        </w:rPr>
        <w:t>1、采购单位：</w:t>
      </w:r>
      <w:r>
        <w:rPr>
          <w:rFonts w:hint="eastAsia"/>
          <w:lang w:eastAsia="zh-CN"/>
        </w:rPr>
        <w:t>杭州市临安区水利水电局</w:t>
      </w:r>
    </w:p>
    <w:p>
      <w:pPr>
        <w:spacing w:line="350" w:lineRule="exact"/>
        <w:rPr>
          <w:rFonts w:hint="eastAsia" w:ascii="宋体" w:hAnsi="宋体" w:eastAsia="宋体"/>
          <w:sz w:val="24"/>
          <w:lang w:eastAsia="zh-CN"/>
        </w:rPr>
      </w:pPr>
      <w:r>
        <w:rPr>
          <w:rFonts w:hint="eastAsia" w:ascii="宋体" w:hAnsi="宋体"/>
          <w:sz w:val="24"/>
        </w:rPr>
        <w:t>联系人：</w:t>
      </w:r>
      <w:r>
        <w:rPr>
          <w:rFonts w:hint="eastAsia" w:ascii="宋体" w:hAnsi="宋体"/>
          <w:sz w:val="24"/>
          <w:lang w:eastAsia="zh-CN"/>
        </w:rPr>
        <w:t>龚霞明</w:t>
      </w:r>
    </w:p>
    <w:p>
      <w:pPr>
        <w:spacing w:line="350" w:lineRule="exact"/>
        <w:rPr>
          <w:rFonts w:cs="宋体"/>
          <w:color w:val="636363"/>
        </w:rPr>
      </w:pPr>
      <w:r>
        <w:rPr>
          <w:rFonts w:hint="eastAsia" w:ascii="宋体" w:hAnsi="宋体"/>
          <w:sz w:val="24"/>
        </w:rPr>
        <w:t>联系电话</w:t>
      </w:r>
      <w:r>
        <w:rPr>
          <w:rFonts w:hint="eastAsia" w:ascii="宋体" w:hAnsi="宋体" w:eastAsia="宋体" w:cs="Times New Roman"/>
          <w:kern w:val="0"/>
          <w:sz w:val="24"/>
          <w:szCs w:val="24"/>
          <w:lang w:val="en-US" w:eastAsia="zh-CN" w:bidi="ar-SA"/>
        </w:rPr>
        <w:t>：0571-23618060</w:t>
      </w:r>
    </w:p>
    <w:p>
      <w:pPr>
        <w:pStyle w:val="20"/>
        <w:wordWrap w:val="0"/>
        <w:snapToGrid w:val="0"/>
        <w:spacing w:before="0" w:beforeAutospacing="0" w:after="0" w:afterAutospacing="0" w:line="420" w:lineRule="exact"/>
        <w:rPr>
          <w:rFonts w:cs="宋体"/>
          <w:color w:val="636363"/>
        </w:rPr>
      </w:pPr>
      <w:r>
        <w:rPr>
          <w:rFonts w:hint="eastAsia" w:cs="宋体"/>
          <w:color w:val="000000"/>
        </w:rPr>
        <w:t>2、采购代理机构：杭州建设工程造价咨询有限公司</w:t>
      </w:r>
    </w:p>
    <w:p>
      <w:pPr>
        <w:pStyle w:val="20"/>
        <w:wordWrap w:val="0"/>
        <w:snapToGrid w:val="0"/>
        <w:spacing w:before="0" w:beforeAutospacing="0" w:after="0" w:afterAutospacing="0" w:line="420" w:lineRule="exact"/>
        <w:rPr>
          <w:rFonts w:cs="宋体"/>
          <w:color w:val="636363"/>
        </w:rPr>
      </w:pPr>
      <w:r>
        <w:rPr>
          <w:rFonts w:hint="eastAsia" w:cs="宋体"/>
          <w:color w:val="000000"/>
        </w:rPr>
        <w:t>采购代理操作执行人：杨柳钧</w:t>
      </w:r>
    </w:p>
    <w:p>
      <w:pPr>
        <w:pStyle w:val="20"/>
        <w:wordWrap w:val="0"/>
        <w:snapToGrid w:val="0"/>
        <w:spacing w:before="0" w:beforeAutospacing="0" w:after="0" w:afterAutospacing="0" w:line="420" w:lineRule="exact"/>
        <w:rPr>
          <w:rFonts w:cs="宋体"/>
          <w:color w:val="000000"/>
        </w:rPr>
      </w:pPr>
      <w:r>
        <w:rPr>
          <w:rFonts w:hint="eastAsia" w:cs="宋体"/>
          <w:color w:val="000000"/>
        </w:rPr>
        <w:t>联系电话：0571-61091202</w:t>
      </w:r>
    </w:p>
    <w:p>
      <w:pPr>
        <w:pStyle w:val="20"/>
        <w:wordWrap w:val="0"/>
        <w:snapToGrid w:val="0"/>
        <w:spacing w:before="0" w:beforeAutospacing="0" w:after="0" w:afterAutospacing="0" w:line="420" w:lineRule="exact"/>
        <w:rPr>
          <w:rFonts w:cs="宋体"/>
          <w:color w:val="000000"/>
        </w:rPr>
      </w:pPr>
      <w:r>
        <w:rPr>
          <w:rFonts w:hint="eastAsia" w:cs="宋体"/>
          <w:color w:val="000000"/>
        </w:rPr>
        <w:t>质疑答复联系人：陈浩伟</w:t>
      </w:r>
    </w:p>
    <w:p>
      <w:pPr>
        <w:pStyle w:val="20"/>
        <w:wordWrap w:val="0"/>
        <w:snapToGrid w:val="0"/>
        <w:spacing w:before="0" w:beforeAutospacing="0" w:after="0" w:afterAutospacing="0" w:line="420" w:lineRule="exact"/>
        <w:rPr>
          <w:rFonts w:cs="宋体"/>
          <w:color w:val="000000"/>
        </w:rPr>
      </w:pPr>
      <w:r>
        <w:rPr>
          <w:rFonts w:hint="eastAsia" w:cs="宋体"/>
          <w:color w:val="000000"/>
        </w:rPr>
        <w:t>联系电话：0571-63806616</w:t>
      </w:r>
    </w:p>
    <w:p>
      <w:pPr>
        <w:pStyle w:val="20"/>
        <w:wordWrap w:val="0"/>
        <w:snapToGrid w:val="0"/>
        <w:spacing w:before="0" w:beforeAutospacing="0" w:after="0" w:afterAutospacing="0" w:line="420" w:lineRule="exact"/>
        <w:rPr>
          <w:rFonts w:cs="宋体"/>
          <w:color w:val="636363"/>
        </w:rPr>
      </w:pPr>
      <w:r>
        <w:rPr>
          <w:rFonts w:hint="eastAsia" w:cs="宋体"/>
          <w:color w:val="000000"/>
        </w:rPr>
        <w:t>地址：杭州市临安区锦北街道马溪路667号保通驾校1号楼2楼</w:t>
      </w:r>
    </w:p>
    <w:p>
      <w:pPr>
        <w:pStyle w:val="20"/>
        <w:wordWrap w:val="0"/>
        <w:snapToGrid w:val="0"/>
        <w:spacing w:before="0" w:beforeAutospacing="0" w:after="0" w:afterAutospacing="0" w:line="420" w:lineRule="exact"/>
        <w:rPr>
          <w:rFonts w:cs="宋体"/>
          <w:color w:val="636363"/>
        </w:rPr>
      </w:pPr>
      <w:r>
        <w:rPr>
          <w:rFonts w:hint="eastAsia" w:cs="宋体"/>
          <w:color w:val="000000"/>
        </w:rPr>
        <w:t>3、同级政府采购监督管理部门名称：杭州市临安区政府采购办公室</w:t>
      </w:r>
    </w:p>
    <w:p>
      <w:pPr>
        <w:pStyle w:val="20"/>
        <w:wordWrap w:val="0"/>
        <w:snapToGrid w:val="0"/>
        <w:spacing w:before="0" w:beforeAutospacing="0" w:after="0" w:afterAutospacing="0" w:line="420" w:lineRule="exact"/>
        <w:rPr>
          <w:rFonts w:cs="宋体"/>
          <w:color w:val="636363"/>
        </w:rPr>
      </w:pPr>
      <w:r>
        <w:rPr>
          <w:rFonts w:hint="eastAsia" w:cs="宋体"/>
          <w:color w:val="000000"/>
        </w:rPr>
        <w:t>联系人：喻伟建</w:t>
      </w:r>
    </w:p>
    <w:p>
      <w:pPr>
        <w:pStyle w:val="20"/>
        <w:wordWrap w:val="0"/>
        <w:snapToGrid w:val="0"/>
        <w:spacing w:before="0" w:beforeAutospacing="0" w:after="0" w:afterAutospacing="0" w:line="420" w:lineRule="exact"/>
        <w:rPr>
          <w:rFonts w:cs="宋体"/>
          <w:color w:val="636363"/>
        </w:rPr>
      </w:pPr>
      <w:r>
        <w:rPr>
          <w:rFonts w:hint="eastAsia" w:cs="宋体"/>
          <w:color w:val="000000"/>
        </w:rPr>
        <w:t>监督投诉电话：0571-61073953</w:t>
      </w:r>
    </w:p>
    <w:p>
      <w:pPr>
        <w:pStyle w:val="20"/>
        <w:wordWrap w:val="0"/>
        <w:snapToGrid w:val="0"/>
        <w:spacing w:before="0" w:beforeAutospacing="0" w:after="0" w:afterAutospacing="0" w:line="420" w:lineRule="exact"/>
        <w:rPr>
          <w:rFonts w:cs="宋体"/>
        </w:rPr>
      </w:pPr>
      <w:r>
        <w:rPr>
          <w:rFonts w:hint="eastAsia" w:cs="宋体"/>
          <w:color w:val="000000"/>
        </w:rPr>
        <w:t>地址：杭州市临安区临天路1950号</w:t>
      </w:r>
      <w:r>
        <w:rPr>
          <w:rFonts w:hint="eastAsia" w:cs="宋体"/>
        </w:rPr>
        <w:t xml:space="preserve"> </w:t>
      </w:r>
    </w:p>
    <w:p>
      <w:pPr>
        <w:pStyle w:val="31"/>
        <w:ind w:firstLine="440"/>
        <w:rPr>
          <w:color w:val="000000"/>
        </w:rPr>
      </w:pPr>
    </w:p>
    <w:p>
      <w:pPr>
        <w:pStyle w:val="31"/>
        <w:ind w:firstLine="440"/>
        <w:rPr>
          <w:color w:val="000000"/>
        </w:rPr>
      </w:pPr>
    </w:p>
    <w:p>
      <w:pPr>
        <w:pStyle w:val="14"/>
        <w:snapToGrid w:val="0"/>
        <w:spacing w:beforeLines="0" w:afterLines="0" w:line="350" w:lineRule="exact"/>
        <w:jc w:val="right"/>
        <w:outlineLvl w:val="0"/>
        <w:rPr>
          <w:rFonts w:hAnsi="宋体" w:cs="宋体"/>
        </w:rPr>
      </w:pPr>
    </w:p>
    <w:p>
      <w:pPr>
        <w:pStyle w:val="14"/>
        <w:snapToGrid w:val="0"/>
        <w:spacing w:beforeLines="0" w:afterLines="0" w:line="350" w:lineRule="exact"/>
        <w:jc w:val="right"/>
        <w:outlineLvl w:val="0"/>
        <w:rPr>
          <w:b/>
          <w:sz w:val="36"/>
          <w:szCs w:val="36"/>
        </w:rPr>
      </w:pPr>
      <w:r>
        <w:rPr>
          <w:rFonts w:hint="eastAsia" w:hAnsi="宋体" w:cs="宋体"/>
        </w:rPr>
        <w:t>杭州建设工程造价咨询有限公司</w:t>
      </w:r>
    </w:p>
    <w:p>
      <w:pPr>
        <w:snapToGrid w:val="0"/>
        <w:spacing w:line="350" w:lineRule="exact"/>
        <w:ind w:left="238"/>
        <w:jc w:val="center"/>
        <w:rPr>
          <w:rFonts w:hAnsi="宋体" w:cs="宋体"/>
          <w:b/>
          <w:sz w:val="36"/>
          <w:szCs w:val="36"/>
        </w:rPr>
      </w:pPr>
      <w:r>
        <w:rPr>
          <w:rFonts w:hint="eastAsia" w:ascii="宋体" w:hAnsi="宋体" w:cs="Arial"/>
          <w:sz w:val="24"/>
        </w:rPr>
        <w:t xml:space="preserve">                                           2020年</w:t>
      </w:r>
      <w:r>
        <w:rPr>
          <w:rFonts w:hint="eastAsia" w:ascii="宋体" w:hAnsi="宋体" w:cs="Arial"/>
          <w:sz w:val="24"/>
          <w:lang w:val="en-US" w:eastAsia="zh-CN"/>
        </w:rPr>
        <w:t>10</w:t>
      </w:r>
      <w:r>
        <w:rPr>
          <w:rFonts w:hint="eastAsia" w:ascii="宋体" w:hAnsi="宋体" w:cs="Arial"/>
          <w:sz w:val="24"/>
        </w:rPr>
        <w:t>月</w:t>
      </w:r>
      <w:r>
        <w:rPr>
          <w:rFonts w:hint="eastAsia" w:ascii="宋体" w:hAnsi="宋体" w:cs="Arial"/>
          <w:sz w:val="24"/>
          <w:lang w:val="en-US" w:eastAsia="zh-CN"/>
        </w:rPr>
        <w:t>9</w:t>
      </w:r>
      <w:r>
        <w:rPr>
          <w:rFonts w:hint="eastAsia" w:ascii="宋体" w:hAnsi="宋体" w:cs="Arial"/>
          <w:sz w:val="24"/>
        </w:rPr>
        <w:t>日</w:t>
      </w:r>
    </w:p>
    <w:p>
      <w:pPr>
        <w:pStyle w:val="31"/>
        <w:ind w:firstLine="440"/>
        <w:jc w:val="right"/>
        <w:rPr>
          <w:color w:val="000000"/>
        </w:rPr>
      </w:pPr>
      <w:r>
        <w:rPr>
          <w:rFonts w:hint="eastAsia"/>
          <w:color w:val="000000"/>
        </w:rPr>
        <w:br w:type="page"/>
      </w:r>
    </w:p>
    <w:p>
      <w:pPr>
        <w:pStyle w:val="14"/>
        <w:snapToGrid w:val="0"/>
        <w:spacing w:beforeLines="0" w:afterLines="0" w:line="500" w:lineRule="exact"/>
        <w:jc w:val="center"/>
        <w:outlineLvl w:val="0"/>
        <w:rPr>
          <w:rFonts w:hAnsi="宋体"/>
          <w:b/>
          <w:color w:val="000000"/>
          <w:sz w:val="32"/>
          <w:szCs w:val="32"/>
        </w:rPr>
      </w:pPr>
      <w:r>
        <w:rPr>
          <w:rFonts w:hint="eastAsia" w:hAnsi="宋体"/>
          <w:b/>
          <w:color w:val="000000"/>
          <w:sz w:val="32"/>
          <w:szCs w:val="32"/>
        </w:rPr>
        <w:t>第二章  投标须知</w:t>
      </w:r>
    </w:p>
    <w:tbl>
      <w:tblPr>
        <w:tblStyle w:val="24"/>
        <w:tblW w:w="91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
        <w:gridCol w:w="82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序号</w:t>
            </w:r>
          </w:p>
        </w:tc>
        <w:tc>
          <w:tcPr>
            <w:tcW w:w="82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ascii="宋体" w:hAnsi="宋体"/>
                <w:color w:val="000000"/>
                <w:sz w:val="24"/>
              </w:rPr>
            </w:pPr>
            <w:r>
              <w:rPr>
                <w:rFonts w:hint="eastAsia" w:ascii="宋体" w:hAnsi="宋体"/>
                <w:color w:val="000000"/>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w:t>
            </w:r>
          </w:p>
        </w:tc>
        <w:tc>
          <w:tcPr>
            <w:tcW w:w="8267" w:type="dxa"/>
            <w:tcBorders>
              <w:top w:val="single" w:color="auto" w:sz="4" w:space="0"/>
              <w:left w:val="single" w:color="auto" w:sz="4" w:space="0"/>
              <w:bottom w:val="single" w:color="auto" w:sz="4" w:space="0"/>
              <w:right w:val="single" w:color="auto" w:sz="4" w:space="0"/>
            </w:tcBorders>
            <w:vAlign w:val="center"/>
          </w:tcPr>
          <w:p>
            <w:pPr>
              <w:ind w:right="-110"/>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项目名称：</w:t>
            </w:r>
            <w:r>
              <w:rPr>
                <w:rFonts w:hint="eastAsia" w:ascii="宋体" w:hAnsi="宋体" w:cs="Times New Roman"/>
                <w:color w:val="000000"/>
                <w:kern w:val="2"/>
                <w:sz w:val="24"/>
                <w:szCs w:val="24"/>
                <w:lang w:val="en-US" w:eastAsia="zh-CN" w:bidi="ar-SA"/>
              </w:rPr>
              <w:t>临安区水灾害防御指挥中心会商系统项目（重新）</w:t>
            </w:r>
          </w:p>
          <w:p>
            <w:pPr>
              <w:pStyle w:val="14"/>
              <w:numPr>
                <w:ilvl w:val="0"/>
                <w:numId w:val="3"/>
              </w:numPr>
              <w:spacing w:beforeLines="0" w:afterLines="0"/>
              <w:ind w:firstLine="4" w:firstLineChars="2"/>
              <w:jc w:val="left"/>
              <w:rPr>
                <w:rFonts w:hAnsi="宋体"/>
                <w:color w:val="000000"/>
              </w:rPr>
            </w:pPr>
            <w:r>
              <w:rPr>
                <w:rFonts w:hint="eastAsia" w:hAnsi="宋体"/>
                <w:color w:val="000000"/>
              </w:rPr>
              <w:t>实施地点：临安区范围内。</w:t>
            </w:r>
          </w:p>
          <w:p>
            <w:pPr>
              <w:pStyle w:val="14"/>
              <w:spacing w:beforeLines="0" w:afterLines="0"/>
              <w:ind w:firstLine="4" w:firstLineChars="2"/>
              <w:jc w:val="left"/>
              <w:rPr>
                <w:rFonts w:hAnsi="宋体"/>
                <w:color w:val="000000"/>
              </w:rPr>
            </w:pPr>
            <w:r>
              <w:rPr>
                <w:rFonts w:hint="eastAsia" w:hAnsi="宋体"/>
                <w:color w:val="000000"/>
              </w:rPr>
              <w:t>三、项目实施范围：详见采购需求。</w:t>
            </w:r>
          </w:p>
          <w:p>
            <w:pPr>
              <w:pStyle w:val="14"/>
              <w:spacing w:beforeLines="0" w:afterLines="0"/>
              <w:ind w:firstLine="4" w:firstLineChars="2"/>
              <w:jc w:val="left"/>
              <w:rPr>
                <w:rFonts w:hAnsi="宋体"/>
                <w:color w:val="000000"/>
              </w:rPr>
            </w:pPr>
            <w:r>
              <w:rPr>
                <w:rFonts w:hint="eastAsia" w:hAnsi="宋体"/>
                <w:color w:val="000000"/>
              </w:rPr>
              <w:t>四、项目实施时间：</w:t>
            </w:r>
            <w:r>
              <w:rPr>
                <w:rFonts w:hint="eastAsia" w:hAnsi="宋体" w:cs="Times New Roman"/>
                <w:color w:val="000000"/>
                <w:lang w:val="en-US" w:eastAsia="zh-CN"/>
              </w:rPr>
              <w:t>合同签订后60个工作日内完成设备采购并安装调试运行完成</w:t>
            </w:r>
            <w:r>
              <w:rPr>
                <w:rFonts w:hint="eastAsia" w:hAnsi="宋体"/>
                <w:color w:val="000000"/>
              </w:rPr>
              <w:t>。</w:t>
            </w:r>
          </w:p>
          <w:p>
            <w:pPr>
              <w:pStyle w:val="14"/>
              <w:spacing w:beforeLines="0" w:afterLines="0"/>
              <w:ind w:firstLine="4" w:firstLineChars="2"/>
              <w:jc w:val="left"/>
              <w:rPr>
                <w:rFonts w:hAnsi="宋体"/>
                <w:color w:val="000000"/>
              </w:rPr>
            </w:pPr>
            <w:r>
              <w:rPr>
                <w:rFonts w:hint="eastAsia" w:hAnsi="宋体"/>
                <w:color w:val="000000"/>
              </w:rPr>
              <w:t>五、本次采购设定上限价:</w:t>
            </w:r>
            <w:r>
              <w:rPr>
                <w:rFonts w:hint="eastAsia" w:hAnsi="宋体"/>
                <w:color w:val="000000"/>
                <w:lang w:val="en-US" w:eastAsia="zh-CN"/>
              </w:rPr>
              <w:t>220</w:t>
            </w:r>
            <w:r>
              <w:rPr>
                <w:rFonts w:hint="eastAsia" w:hAnsi="宋体"/>
                <w:color w:val="000000"/>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2</w:t>
            </w:r>
          </w:p>
        </w:tc>
        <w:tc>
          <w:tcPr>
            <w:tcW w:w="8267"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8"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3</w:t>
            </w:r>
          </w:p>
        </w:tc>
        <w:tc>
          <w:tcPr>
            <w:tcW w:w="8267"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答疑与澄清：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4</w:t>
            </w:r>
          </w:p>
        </w:tc>
        <w:tc>
          <w:tcPr>
            <w:tcW w:w="8267"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投标截止时间：</w:t>
            </w:r>
            <w:r>
              <w:rPr>
                <w:rFonts w:hint="eastAsia" w:hAnsi="宋体"/>
                <w:color w:val="000000"/>
                <w:u w:val="single"/>
              </w:rPr>
              <w:t xml:space="preserve"> 2020年 </w:t>
            </w:r>
            <w:r>
              <w:rPr>
                <w:rFonts w:hint="eastAsia" w:hAnsi="宋体"/>
                <w:color w:val="000000"/>
                <w:u w:val="single"/>
                <w:lang w:val="en-US" w:eastAsia="zh-CN"/>
              </w:rPr>
              <w:t>10</w:t>
            </w:r>
            <w:r>
              <w:rPr>
                <w:rFonts w:hint="eastAsia" w:hAnsi="宋体"/>
                <w:color w:val="000000"/>
                <w:u w:val="single"/>
              </w:rPr>
              <w:t xml:space="preserve"> 月 </w:t>
            </w:r>
            <w:r>
              <w:rPr>
                <w:rFonts w:hint="eastAsia" w:hAnsi="宋体"/>
                <w:color w:val="000000"/>
                <w:u w:val="single"/>
                <w:lang w:val="en-US" w:eastAsia="zh-CN"/>
              </w:rPr>
              <w:t>29</w:t>
            </w:r>
            <w:r>
              <w:rPr>
                <w:rFonts w:hint="eastAsia" w:hAnsi="宋体"/>
                <w:color w:val="000000"/>
                <w:u w:val="single"/>
              </w:rPr>
              <w:t xml:space="preserve"> 日</w:t>
            </w:r>
            <w:r>
              <w:rPr>
                <w:rFonts w:hint="eastAsia" w:hAnsi="宋体"/>
                <w:color w:val="000000"/>
                <w:u w:val="single"/>
                <w:lang w:val="en-US" w:eastAsia="zh-CN"/>
              </w:rPr>
              <w:t>14</w:t>
            </w:r>
            <w:r>
              <w:rPr>
                <w:rFonts w:hint="eastAsia" w:hAnsi="宋体"/>
                <w:color w:val="000000"/>
                <w:u w:val="single"/>
              </w:rPr>
              <w:t>时 30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5</w:t>
            </w:r>
          </w:p>
        </w:tc>
        <w:tc>
          <w:tcPr>
            <w:tcW w:w="8267"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开标时间：</w:t>
            </w:r>
            <w:r>
              <w:rPr>
                <w:rFonts w:hint="eastAsia" w:hAnsi="宋体"/>
                <w:color w:val="000000"/>
                <w:u w:val="single"/>
              </w:rPr>
              <w:t xml:space="preserve"> 2020年 </w:t>
            </w:r>
            <w:r>
              <w:rPr>
                <w:rFonts w:hint="eastAsia" w:hAnsi="宋体"/>
                <w:color w:val="000000"/>
                <w:u w:val="single"/>
                <w:lang w:val="en-US" w:eastAsia="zh-CN"/>
              </w:rPr>
              <w:t>10</w:t>
            </w:r>
            <w:r>
              <w:rPr>
                <w:rFonts w:hint="eastAsia" w:hAnsi="宋体"/>
                <w:color w:val="000000"/>
                <w:u w:val="single"/>
              </w:rPr>
              <w:t xml:space="preserve"> 月</w:t>
            </w:r>
            <w:r>
              <w:rPr>
                <w:rFonts w:hint="eastAsia" w:hAnsi="宋体"/>
                <w:color w:val="000000"/>
                <w:u w:val="single"/>
                <w:lang w:val="en-US" w:eastAsia="zh-CN"/>
              </w:rPr>
              <w:t>29</w:t>
            </w:r>
            <w:r>
              <w:rPr>
                <w:rFonts w:hint="eastAsia" w:hAnsi="宋体"/>
                <w:color w:val="000000"/>
                <w:u w:val="single"/>
              </w:rPr>
              <w:t xml:space="preserve"> 日</w:t>
            </w:r>
            <w:r>
              <w:rPr>
                <w:rFonts w:hint="eastAsia" w:hAnsi="宋体"/>
                <w:color w:val="000000"/>
                <w:u w:val="single"/>
                <w:lang w:val="en-US" w:eastAsia="zh-CN"/>
              </w:rPr>
              <w:t>14</w:t>
            </w:r>
            <w:r>
              <w:rPr>
                <w:rFonts w:hint="eastAsia" w:hAnsi="宋体"/>
                <w:color w:val="000000"/>
                <w:u w:val="single"/>
              </w:rPr>
              <w:t>时 30 分；</w:t>
            </w:r>
            <w:r>
              <w:rPr>
                <w:rFonts w:hint="eastAsia" w:hAnsi="宋体"/>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3"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6</w:t>
            </w:r>
          </w:p>
        </w:tc>
        <w:tc>
          <w:tcPr>
            <w:tcW w:w="8267"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5" w:firstLineChars="2"/>
              <w:jc w:val="left"/>
              <w:rPr>
                <w:rFonts w:hAnsi="宋体"/>
                <w:color w:val="000000"/>
              </w:rPr>
            </w:pPr>
            <w:r>
              <w:rPr>
                <w:rFonts w:hint="eastAsia" w:hAnsi="宋体"/>
                <w:b/>
                <w:bCs/>
              </w:rPr>
              <w:t>本项目实行网上投标。目前政府采购全流程电子化交易，供应商应准备电子投标文件投标文件：电子投标文件，按政采云平台项目采购-电子招投标操作指南及本招标文件要求递交。投标文件均由资信及商务文件、技术文件、报价文件组成。投标人务必按时自行远程在线解密，规定时间（开标时间起半个小时内</w:t>
            </w:r>
            <w:r>
              <w:rPr>
                <w:rFonts w:hint="eastAsia" w:hAnsi="宋体" w:cs="Arial"/>
                <w:b/>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7</w:t>
            </w:r>
          </w:p>
        </w:tc>
        <w:tc>
          <w:tcPr>
            <w:tcW w:w="8267"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s="宋体"/>
                <w:szCs w:val="21"/>
              </w:rPr>
              <w:t>中标供应商确定之日起2个工作日内，将在浙江省政府采购网/临安区政府采购网发布中标公告，公告期限为1个工作日。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8</w:t>
            </w:r>
          </w:p>
        </w:tc>
        <w:tc>
          <w:tcPr>
            <w:tcW w:w="8267"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9</w:t>
            </w:r>
          </w:p>
        </w:tc>
        <w:tc>
          <w:tcPr>
            <w:tcW w:w="8267"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2"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10</w:t>
            </w:r>
          </w:p>
        </w:tc>
        <w:tc>
          <w:tcPr>
            <w:tcW w:w="8267"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color w:val="000000"/>
              </w:rPr>
            </w:pPr>
            <w:r>
              <w:rPr>
                <w:rFonts w:hint="eastAsia" w:hAnsi="宋体"/>
                <w:color w:val="000000"/>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3"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11</w:t>
            </w:r>
          </w:p>
        </w:tc>
        <w:tc>
          <w:tcPr>
            <w:tcW w:w="8267"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5" w:firstLineChars="2"/>
              <w:jc w:val="left"/>
              <w:rPr>
                <w:rFonts w:hAnsi="宋体"/>
                <w:color w:val="000000"/>
              </w:rPr>
            </w:pPr>
            <w:r>
              <w:rPr>
                <w:rFonts w:hint="eastAsia" w:hAnsi="宋体" w:cs="宋体"/>
                <w:b/>
                <w:szCs w:val="21"/>
              </w:rPr>
              <w:t>投标文件的接收：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3"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12</w:t>
            </w:r>
          </w:p>
        </w:tc>
        <w:tc>
          <w:tcPr>
            <w:tcW w:w="8267"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14"/>
              <w:spacing w:beforeLines="0" w:afterLines="0"/>
              <w:ind w:firstLine="4" w:firstLineChars="2"/>
              <w:jc w:val="left"/>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1"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826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小微企业有关政策：1、根据财库〔2011〕181号的相关规定，在评审时对小型和微型企业的投标报价给予</w:t>
            </w:r>
            <w:bookmarkStart w:id="0" w:name="小微企业价格扣除比例2"/>
            <w:r>
              <w:rPr>
                <w:rFonts w:ascii="宋体" w:hAnsi="宋体"/>
                <w:sz w:val="24"/>
              </w:rPr>
              <w:t>6</w:t>
            </w:r>
            <w:bookmarkEnd w:id="0"/>
            <w:r>
              <w:rPr>
                <w:rFonts w:hint="eastAsia" w:ascii="宋体" w:hAnsi="宋体"/>
                <w:sz w:val="24"/>
              </w:rPr>
              <w:t>%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60" w:lineRule="exact"/>
              <w:rPr>
                <w:rFonts w:ascii="宋体" w:hAnsi="宋体"/>
                <w:sz w:val="24"/>
              </w:rPr>
            </w:pPr>
            <w:r>
              <w:rPr>
                <w:rFonts w:hint="eastAsia" w:ascii="宋体" w:hAnsi="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60" w:lineRule="exact"/>
            </w:pPr>
            <w:r>
              <w:rPr>
                <w:rFonts w:hint="eastAsia" w:ascii="宋体" w:hAnsi="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r>
              <w:rPr>
                <w:rFonts w:hint="eastAsia" w:ascii="宋体" w:hAnsi="宋体"/>
                <w:b/>
                <w:bCs/>
                <w:sz w:val="24"/>
              </w:rPr>
              <w:t>(注：未提供以上材料的，均不给予价格扣除）。</w:t>
            </w:r>
          </w:p>
          <w:p>
            <w:pPr>
              <w:pStyle w:val="12"/>
              <w:spacing w:line="360" w:lineRule="exact"/>
              <w:rPr>
                <w:rFonts w:ascii="宋体" w:hAnsi="宋体"/>
                <w:sz w:val="24"/>
              </w:rPr>
            </w:pPr>
            <w:r>
              <w:rPr>
                <w:rFonts w:hint="eastAsia" w:ascii="宋体" w:hAnsi="宋体"/>
                <w:b/>
                <w:bCs/>
                <w:sz w:val="24"/>
              </w:rPr>
              <w:t>4、凡已在浙江政府采购网网上注册入库，并取得临安区政府采购合同的中小企业供应商，均可申请政府采购信用融资。联系方式见附表（政府采购融资畅通工程金融机构联系信息表）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14</w:t>
            </w:r>
          </w:p>
        </w:tc>
        <w:tc>
          <w:tcPr>
            <w:tcW w:w="82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4"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15</w:t>
            </w:r>
          </w:p>
        </w:tc>
        <w:tc>
          <w:tcPr>
            <w:tcW w:w="82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招标代理服务费：中标服务费参照《浙江省物价局转发国家计委关于印发招标代理服务收费管理暂行办法的通知》（浙价服[2003] 77号），根据临财发【2019】174号文件有关规定收费标准执行。若收费标准不足3000元的，可按不超过3000元标准收取，由中标单位支付，费用在发出成交通知书前付清。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16</w:t>
            </w:r>
          </w:p>
        </w:tc>
        <w:tc>
          <w:tcPr>
            <w:tcW w:w="82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解释：</w:t>
            </w:r>
            <w:r>
              <w:rPr>
                <w:rFonts w:hint="eastAsia" w:ascii="宋体" w:hAnsi="宋体" w:cs="宋体"/>
                <w:sz w:val="24"/>
              </w:rPr>
              <w:t>本采购文件的解释权属于采购单位和采购代理机构</w:t>
            </w:r>
            <w:r>
              <w:rPr>
                <w:rFonts w:hint="eastAsia" w:ascii="宋体" w:hAnsi="宋体"/>
                <w:sz w:val="24"/>
              </w:rPr>
              <w:t>。</w:t>
            </w:r>
          </w:p>
        </w:tc>
      </w:tr>
    </w:tbl>
    <w:p>
      <w:pPr>
        <w:pStyle w:val="14"/>
        <w:snapToGrid w:val="0"/>
        <w:spacing w:beforeLines="0" w:afterLines="0" w:line="360" w:lineRule="exact"/>
        <w:outlineLvl w:val="1"/>
        <w:rPr>
          <w:color w:val="000000"/>
        </w:rPr>
      </w:pPr>
    </w:p>
    <w:p>
      <w:pPr>
        <w:pStyle w:val="14"/>
        <w:snapToGrid w:val="0"/>
        <w:spacing w:beforeLines="0" w:afterLines="0" w:line="360" w:lineRule="exact"/>
        <w:outlineLvl w:val="1"/>
        <w:rPr>
          <w:rFonts w:hint="eastAsia" w:hAnsi="宋体"/>
          <w:b/>
          <w:color w:val="000000"/>
        </w:rPr>
      </w:pPr>
    </w:p>
    <w:p>
      <w:pPr>
        <w:pStyle w:val="14"/>
        <w:snapToGrid w:val="0"/>
        <w:spacing w:beforeLines="0" w:afterLines="0" w:line="360" w:lineRule="exact"/>
        <w:outlineLvl w:val="1"/>
        <w:rPr>
          <w:rFonts w:hAnsi="宋体"/>
          <w:b/>
          <w:color w:val="000000"/>
        </w:rPr>
      </w:pPr>
      <w:r>
        <w:rPr>
          <w:rFonts w:hint="eastAsia" w:hAnsi="宋体"/>
          <w:b/>
          <w:color w:val="000000"/>
        </w:rPr>
        <w:t>一、总  则</w:t>
      </w:r>
    </w:p>
    <w:p>
      <w:pPr>
        <w:snapToGrid w:val="0"/>
        <w:spacing w:line="380" w:lineRule="exact"/>
        <w:ind w:firstLine="355" w:firstLineChars="148"/>
        <w:jc w:val="left"/>
        <w:outlineLvl w:val="2"/>
        <w:rPr>
          <w:rFonts w:ascii="宋体" w:hAnsi="宋体"/>
          <w:color w:val="000000"/>
          <w:sz w:val="24"/>
        </w:rPr>
      </w:pPr>
      <w:r>
        <w:rPr>
          <w:rFonts w:hint="eastAsia" w:ascii="宋体" w:hAnsi="宋体"/>
          <w:color w:val="000000"/>
          <w:sz w:val="24"/>
        </w:rPr>
        <w:t>（一）适用范围</w:t>
      </w:r>
    </w:p>
    <w:p>
      <w:pPr>
        <w:snapToGrid w:val="0"/>
        <w:spacing w:line="380" w:lineRule="exact"/>
        <w:ind w:firstLine="480" w:firstLineChars="200"/>
        <w:rPr>
          <w:rFonts w:ascii="宋体" w:hAnsi="宋体" w:cs="Arial"/>
          <w:color w:val="000000"/>
          <w:sz w:val="24"/>
        </w:rPr>
      </w:pPr>
      <w:r>
        <w:rPr>
          <w:rFonts w:hint="eastAsia" w:ascii="宋体" w:hAnsi="宋体" w:cs="Arial"/>
          <w:color w:val="000000"/>
          <w:sz w:val="24"/>
        </w:rPr>
        <w:t>仅适用于本次采购文件文件中采购项目的的谈判、验收、合同履约、付款等行为（法律、法规另有规定的，从其规定）。</w:t>
      </w:r>
    </w:p>
    <w:p>
      <w:pPr>
        <w:snapToGrid w:val="0"/>
        <w:spacing w:line="380" w:lineRule="exact"/>
        <w:ind w:firstLine="352" w:firstLineChars="147"/>
        <w:jc w:val="left"/>
        <w:outlineLvl w:val="2"/>
        <w:rPr>
          <w:rFonts w:ascii="宋体" w:hAnsi="宋体"/>
          <w:color w:val="000000"/>
          <w:sz w:val="24"/>
        </w:rPr>
      </w:pPr>
      <w:r>
        <w:rPr>
          <w:rFonts w:hint="eastAsia" w:ascii="宋体" w:hAnsi="宋体"/>
          <w:color w:val="000000"/>
          <w:sz w:val="24"/>
        </w:rPr>
        <w:t>（二）定义</w:t>
      </w:r>
    </w:p>
    <w:p>
      <w:pPr>
        <w:snapToGrid w:val="0"/>
        <w:spacing w:line="380" w:lineRule="exact"/>
        <w:ind w:firstLine="480" w:firstLineChars="200"/>
        <w:rPr>
          <w:rFonts w:ascii="宋体" w:hAnsi="宋体" w:cs="宋体"/>
          <w:sz w:val="24"/>
        </w:rPr>
      </w:pPr>
      <w:r>
        <w:rPr>
          <w:rFonts w:hint="eastAsia" w:ascii="宋体" w:hAnsi="宋体" w:cs="宋体"/>
          <w:sz w:val="24"/>
        </w:rPr>
        <w:t>1.“采购单位”系指委托采购机构采购本次项目的杭州市</w:t>
      </w:r>
      <w:r>
        <w:rPr>
          <w:rFonts w:hint="eastAsia" w:ascii="宋体" w:hAnsi="宋体" w:cs="宋体"/>
          <w:sz w:val="24"/>
          <w:lang w:eastAsia="zh-CN"/>
        </w:rPr>
        <w:t>临安区水利水电局</w:t>
      </w:r>
      <w:r>
        <w:rPr>
          <w:rFonts w:hint="eastAsia" w:ascii="宋体" w:hAnsi="宋体" w:cs="宋体"/>
          <w:sz w:val="24"/>
        </w:rPr>
        <w:t>。</w:t>
      </w:r>
    </w:p>
    <w:p>
      <w:pPr>
        <w:snapToGrid w:val="0"/>
        <w:spacing w:line="380" w:lineRule="exact"/>
        <w:ind w:firstLine="480" w:firstLineChars="200"/>
        <w:rPr>
          <w:rFonts w:ascii="宋体" w:hAnsi="宋体" w:cs="宋体"/>
          <w:sz w:val="24"/>
        </w:rPr>
      </w:pPr>
      <w:r>
        <w:rPr>
          <w:rFonts w:hint="eastAsia" w:ascii="宋体" w:hAnsi="宋体" w:cs="宋体"/>
          <w:sz w:val="24"/>
        </w:rPr>
        <w:t>2.“采购代理机构”系指组织本次采购的杭州建设工程造价咨询有限公司。</w:t>
      </w:r>
    </w:p>
    <w:p>
      <w:pPr>
        <w:snapToGrid w:val="0"/>
        <w:spacing w:line="460" w:lineRule="exact"/>
        <w:ind w:firstLine="480" w:firstLineChars="200"/>
        <w:rPr>
          <w:rFonts w:ascii="宋体" w:hAnsi="宋体" w:cs="宋体"/>
          <w:sz w:val="24"/>
        </w:rPr>
      </w:pPr>
      <w:r>
        <w:rPr>
          <w:rFonts w:hint="eastAsia" w:ascii="宋体" w:hAnsi="宋体" w:cs="宋体"/>
          <w:sz w:val="24"/>
        </w:rPr>
        <w:t>3.“投标人”系指向采购机构提交投标文件的单位。</w:t>
      </w:r>
    </w:p>
    <w:p>
      <w:pPr>
        <w:snapToGrid w:val="0"/>
        <w:spacing w:line="380" w:lineRule="exact"/>
        <w:ind w:firstLine="480" w:firstLineChars="200"/>
        <w:rPr>
          <w:rFonts w:ascii="宋体" w:hAnsi="宋体" w:cs="宋体"/>
          <w:sz w:val="24"/>
        </w:rPr>
      </w:pPr>
      <w:r>
        <w:rPr>
          <w:rFonts w:hint="eastAsia" w:ascii="宋体" w:hAnsi="宋体" w:cs="宋体"/>
          <w:sz w:val="24"/>
        </w:rPr>
        <w:t>4.“服务”系指采购文件规定供方须承担的</w:t>
      </w:r>
      <w:r>
        <w:rPr>
          <w:rFonts w:hint="eastAsia" w:ascii="宋体" w:hAnsi="宋体" w:cs="宋体"/>
          <w:sz w:val="24"/>
          <w:lang w:eastAsia="zh-CN"/>
        </w:rPr>
        <w:t>水灾害防御指挥中心会商系统项目</w:t>
      </w:r>
      <w:r>
        <w:rPr>
          <w:rFonts w:hint="eastAsia" w:ascii="宋体" w:hAnsi="宋体" w:cs="宋体"/>
          <w:sz w:val="24"/>
        </w:rPr>
        <w:t>以及其他类似的义务。</w:t>
      </w:r>
    </w:p>
    <w:p>
      <w:pPr>
        <w:snapToGrid w:val="0"/>
        <w:spacing w:line="380" w:lineRule="exact"/>
        <w:ind w:firstLine="480" w:firstLineChars="200"/>
        <w:rPr>
          <w:rFonts w:ascii="宋体" w:hAnsi="宋体" w:cs="宋体"/>
          <w:sz w:val="24"/>
        </w:rPr>
      </w:pPr>
      <w:r>
        <w:rPr>
          <w:rFonts w:hint="eastAsia" w:ascii="宋体" w:hAnsi="宋体" w:cs="宋体"/>
          <w:sz w:val="24"/>
        </w:rPr>
        <w:t>5.“项目”系指采购响应方按采购文件规定向采购人提供的产品和服务。</w:t>
      </w:r>
    </w:p>
    <w:p>
      <w:pPr>
        <w:snapToGrid w:val="0"/>
        <w:spacing w:line="380" w:lineRule="exact"/>
        <w:ind w:firstLine="480" w:firstLineChars="200"/>
        <w:rPr>
          <w:rFonts w:ascii="宋体" w:hAnsi="宋体" w:cs="宋体"/>
          <w:sz w:val="24"/>
        </w:rPr>
      </w:pPr>
      <w:r>
        <w:rPr>
          <w:rFonts w:hint="eastAsia" w:ascii="宋体" w:hAnsi="宋体" w:cs="宋体"/>
          <w:sz w:val="24"/>
        </w:rPr>
        <w:t>6、“▲”系指实质性要求条款。</w:t>
      </w:r>
    </w:p>
    <w:p>
      <w:pPr>
        <w:snapToGrid w:val="0"/>
        <w:spacing w:line="380" w:lineRule="exact"/>
        <w:ind w:firstLine="470" w:firstLineChars="196"/>
        <w:jc w:val="left"/>
        <w:outlineLvl w:val="2"/>
        <w:rPr>
          <w:rFonts w:ascii="宋体" w:hAnsi="宋体"/>
          <w:color w:val="000000"/>
          <w:sz w:val="24"/>
        </w:rPr>
      </w:pPr>
      <w:r>
        <w:rPr>
          <w:rFonts w:hint="eastAsia" w:ascii="宋体" w:hAnsi="宋体"/>
          <w:color w:val="000000"/>
          <w:sz w:val="24"/>
        </w:rPr>
        <w:t>（三）投标费用</w:t>
      </w:r>
    </w:p>
    <w:p>
      <w:pPr>
        <w:snapToGrid w:val="0"/>
        <w:spacing w:line="380" w:lineRule="exact"/>
        <w:ind w:firstLine="480" w:firstLineChars="200"/>
        <w:rPr>
          <w:rFonts w:ascii="宋体" w:hAnsi="宋体" w:cs="Arial"/>
          <w:color w:val="000000"/>
          <w:sz w:val="24"/>
        </w:rPr>
      </w:pPr>
      <w:r>
        <w:rPr>
          <w:rFonts w:hint="eastAsia" w:ascii="宋体" w:hAnsi="宋体" w:cs="Arial"/>
          <w:color w:val="000000"/>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color w:val="000000"/>
          <w:sz w:val="24"/>
        </w:rPr>
      </w:pPr>
      <w:r>
        <w:rPr>
          <w:rFonts w:hint="eastAsia" w:ascii="宋体" w:hAnsi="宋体"/>
          <w:color w:val="000000"/>
          <w:sz w:val="24"/>
        </w:rPr>
        <w:t>（</w:t>
      </w:r>
      <w:r>
        <w:rPr>
          <w:rFonts w:hint="eastAsia" w:ascii="宋体" w:hAnsi="宋体" w:cs="Arial"/>
          <w:color w:val="000000"/>
          <w:sz w:val="24"/>
        </w:rPr>
        <w:t>四）特别说明：</w:t>
      </w:r>
    </w:p>
    <w:p>
      <w:pPr>
        <w:pStyle w:val="14"/>
        <w:snapToGrid w:val="0"/>
        <w:spacing w:beforeLines="0" w:afterLines="0" w:line="380" w:lineRule="exact"/>
        <w:ind w:left="2" w:leftChars="1" w:firstLine="480" w:firstLineChars="200"/>
        <w:rPr>
          <w:rFonts w:hAnsi="宋体" w:cs="Arial"/>
          <w:color w:val="000000"/>
        </w:rPr>
      </w:pPr>
      <w:r>
        <w:rPr>
          <w:rFonts w:hint="eastAsia" w:hAnsi="宋体" w:cs="Arial"/>
          <w:color w:val="000000"/>
        </w:rPr>
        <w:t>1.投标人投标所使用的资格、信誉、荣誉、业绩与企业认证必须为本法人所拥有。投标人投标所使用的采购项目实施人员必须为本法人员工（或必须为本法人或控股公司正式员工）。</w:t>
      </w:r>
    </w:p>
    <w:p>
      <w:pPr>
        <w:pStyle w:val="14"/>
        <w:snapToGrid w:val="0"/>
        <w:spacing w:beforeLines="0" w:afterLines="0" w:line="380" w:lineRule="exact"/>
        <w:ind w:left="2" w:leftChars="1" w:firstLine="480" w:firstLineChars="200"/>
        <w:rPr>
          <w:rFonts w:hAnsi="宋体" w:cs="Arial"/>
          <w:color w:val="000000"/>
        </w:rPr>
      </w:pPr>
      <w:r>
        <w:rPr>
          <w:rFonts w:hint="eastAsia" w:hAnsi="宋体" w:cs="Arial"/>
          <w:color w:val="000000"/>
        </w:rPr>
        <w:t>2. 投标人应仔细阅读采购文件的所有内容，按照采购文件的要求提交投标文件，并对所提供的全部资料的真实性承担法律责任。</w:t>
      </w:r>
    </w:p>
    <w:p>
      <w:pPr>
        <w:pStyle w:val="14"/>
        <w:snapToGrid w:val="0"/>
        <w:spacing w:beforeLines="0" w:afterLines="0" w:line="380" w:lineRule="exact"/>
        <w:rPr>
          <w:rFonts w:hAnsi="宋体"/>
          <w:color w:val="000000"/>
        </w:rPr>
      </w:pPr>
    </w:p>
    <w:p>
      <w:pPr>
        <w:pStyle w:val="14"/>
        <w:snapToGrid w:val="0"/>
        <w:spacing w:beforeLines="0" w:afterLines="0" w:line="380" w:lineRule="exact"/>
        <w:ind w:firstLine="477" w:firstLineChars="198"/>
        <w:outlineLvl w:val="1"/>
        <w:rPr>
          <w:rFonts w:hAnsi="宋体"/>
          <w:b/>
          <w:color w:val="000000"/>
        </w:rPr>
      </w:pPr>
      <w:r>
        <w:rPr>
          <w:rFonts w:hint="eastAsia" w:hAnsi="宋体"/>
          <w:b/>
          <w:color w:val="000000"/>
        </w:rPr>
        <w:t>二、</w:t>
      </w:r>
      <w:r>
        <w:rPr>
          <w:rFonts w:hint="eastAsia" w:hAnsi="宋体" w:cs="Arial"/>
          <w:b/>
          <w:color w:val="000000"/>
        </w:rPr>
        <w:t>投标</w:t>
      </w:r>
      <w:r>
        <w:rPr>
          <w:rFonts w:hint="eastAsia" w:hAnsi="宋体"/>
          <w:b/>
          <w:color w:val="000000"/>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hAnsi="宋体" w:cs="宋体"/>
          <w:b/>
        </w:rPr>
      </w:pPr>
      <w:r>
        <w:rPr>
          <w:rFonts w:hint="eastAsia" w:ascii="宋体" w:hAnsi="宋体"/>
          <w:b/>
          <w:sz w:val="24"/>
        </w:rPr>
        <w:t>投标文件组成均为资信及商务部分文件、技术及商务文件、报价文件三部份组成。（电子投标文件中所须加盖公章部分均采用CA签章。）</w:t>
      </w:r>
    </w:p>
    <w:p>
      <w:pPr>
        <w:snapToGrid w:val="0"/>
        <w:spacing w:line="380" w:lineRule="exact"/>
        <w:ind w:firstLine="472" w:firstLineChars="196"/>
        <w:jc w:val="left"/>
        <w:rPr>
          <w:rFonts w:ascii="宋体" w:hAnsi="宋体" w:cs="宋体"/>
          <w:color w:val="000000"/>
          <w:kern w:val="0"/>
          <w:sz w:val="24"/>
        </w:rPr>
      </w:pPr>
      <w:r>
        <w:rPr>
          <w:rFonts w:hint="eastAsia" w:ascii="宋体" w:hAnsi="宋体"/>
          <w:b/>
          <w:bCs/>
          <w:color w:val="000000"/>
          <w:sz w:val="24"/>
        </w:rPr>
        <w:t>1.资信及商务文件内容：</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（1）投标声明书 ；</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（2）</w:t>
      </w:r>
      <w:r>
        <w:rPr>
          <w:rFonts w:hint="eastAsia" w:ascii="宋体" w:hAnsi="宋体"/>
          <w:sz w:val="24"/>
          <w:lang w:val="zh-CN"/>
        </w:rPr>
        <w:t>法定代表人资格证明书</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 xml:space="preserve">（3）法定代表人授权委托书（法定代表人及授权委托人的身份证复印件加盖公章）； </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（4）有效的企业法人营业执照（复印件加盖公章）；</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（5）</w:t>
      </w:r>
      <w:r>
        <w:rPr>
          <w:rFonts w:hint="eastAsia" w:ascii="宋体" w:hAnsi="宋体" w:cs="宋体"/>
          <w:kern w:val="0"/>
          <w:sz w:val="24"/>
        </w:rPr>
        <w:t>所有资质文件</w:t>
      </w:r>
      <w:r>
        <w:rPr>
          <w:rFonts w:hint="eastAsia" w:ascii="宋体" w:hAnsi="宋体" w:cs="宋体"/>
          <w:kern w:val="0"/>
          <w:sz w:val="24"/>
          <w:lang w:val="zh-CN"/>
        </w:rPr>
        <w:t>（</w:t>
      </w:r>
      <w:r>
        <w:rPr>
          <w:rFonts w:hint="eastAsia" w:ascii="宋体" w:hAnsi="宋体" w:cs="宋体"/>
          <w:kern w:val="0"/>
          <w:sz w:val="24"/>
        </w:rPr>
        <w:t>如投标资格及评分办法中要求的证书等，提供复印件加盖公章</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zh-CN"/>
        </w:rPr>
        <w:t>投标人情况介绍（主要产品、技术力量、生产规模、经营业绩、公司财务状况等）</w:t>
      </w:r>
      <w:r>
        <w:rPr>
          <w:rFonts w:hint="eastAsia" w:ascii="宋体" w:hAnsi="宋体" w:cs="宋体"/>
          <w:kern w:val="0"/>
          <w:sz w:val="24"/>
        </w:rPr>
        <w:t xml:space="preserve">； </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（7）</w:t>
      </w:r>
      <w:r>
        <w:rPr>
          <w:rFonts w:hint="eastAsia" w:ascii="宋体" w:hAnsi="宋体" w:cs="宋体"/>
          <w:kern w:val="0"/>
          <w:sz w:val="24"/>
          <w:lang w:val="zh-CN"/>
        </w:rPr>
        <w:t>同类项目实施情况一览表（</w:t>
      </w:r>
      <w:r>
        <w:rPr>
          <w:rFonts w:hint="eastAsia" w:ascii="宋体" w:hAnsi="宋体"/>
          <w:sz w:val="24"/>
        </w:rPr>
        <w:t>中标通知书或合同及验收单复印件加盖公章</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rPr>
        <w:t>（8）</w:t>
      </w:r>
      <w:r>
        <w:rPr>
          <w:rFonts w:hint="eastAsia" w:ascii="宋体" w:hAnsi="宋体" w:cs="宋体"/>
          <w:kern w:val="0"/>
          <w:sz w:val="24"/>
          <w:lang w:val="zh-CN"/>
        </w:rPr>
        <w:t>商务偏离说明表；</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（9）对应商务技术评分细则提供相关证明资料；</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）关于对采购文件中有关条款的拒绝声明；</w:t>
      </w:r>
    </w:p>
    <w:p>
      <w:pPr>
        <w:spacing w:line="380" w:lineRule="exact"/>
        <w:ind w:firstLine="240" w:firstLineChars="1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11</w:t>
      </w:r>
      <w:r>
        <w:rPr>
          <w:rFonts w:hint="eastAsia" w:ascii="宋体" w:hAnsi="宋体" w:cs="宋体"/>
          <w:kern w:val="0"/>
          <w:sz w:val="24"/>
          <w:lang w:val="zh-CN"/>
        </w:rPr>
        <w:t>）采购招标文件要求的或响应人认为需要的其他商务文件或说明。</w:t>
      </w:r>
    </w:p>
    <w:p>
      <w:pPr>
        <w:spacing w:line="380" w:lineRule="exact"/>
        <w:rPr>
          <w:rFonts w:ascii="宋体" w:hAnsi="宋体"/>
          <w:b/>
          <w:bCs/>
          <w:color w:val="000000"/>
          <w:sz w:val="24"/>
        </w:rPr>
      </w:pPr>
      <w:r>
        <w:rPr>
          <w:rFonts w:hint="eastAsia" w:ascii="宋体" w:hAnsi="宋体"/>
          <w:b/>
          <w:bCs/>
          <w:color w:val="000000"/>
          <w:sz w:val="24"/>
        </w:rPr>
        <w:t>注：以上目录是编制资信及商务内容的基本格式要求，</w:t>
      </w:r>
      <w:r>
        <w:rPr>
          <w:rFonts w:hint="eastAsia" w:ascii="宋体" w:hAnsi="宋体"/>
          <w:b/>
          <w:color w:val="000000"/>
          <w:sz w:val="24"/>
        </w:rPr>
        <w:t>投标人</w:t>
      </w:r>
      <w:r>
        <w:rPr>
          <w:rFonts w:hint="eastAsia" w:ascii="宋体" w:hAnsi="宋体"/>
          <w:b/>
          <w:bCs/>
          <w:color w:val="000000"/>
          <w:sz w:val="24"/>
        </w:rPr>
        <w:t>可根据自身情况进一步细化。</w:t>
      </w:r>
    </w:p>
    <w:p>
      <w:pPr>
        <w:snapToGrid w:val="0"/>
        <w:spacing w:line="400" w:lineRule="exact"/>
        <w:ind w:firstLine="472" w:firstLineChars="196"/>
        <w:jc w:val="left"/>
        <w:rPr>
          <w:rFonts w:ascii="宋体" w:hAnsi="宋体"/>
          <w:b/>
          <w:color w:val="000000"/>
          <w:sz w:val="24"/>
        </w:rPr>
      </w:pPr>
      <w:r>
        <w:rPr>
          <w:rFonts w:hint="eastAsia" w:ascii="宋体" w:hAnsi="宋体"/>
          <w:b/>
          <w:color w:val="000000"/>
          <w:sz w:val="24"/>
        </w:rPr>
        <w:t>2.技术文件内容（格式自拟）</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1</w:t>
      </w:r>
      <w:r>
        <w:rPr>
          <w:rFonts w:hint="eastAsia" w:ascii="宋体" w:hAnsi="宋体" w:cs="宋体"/>
          <w:kern w:val="0"/>
          <w:sz w:val="24"/>
          <w:lang w:val="zh-CN"/>
        </w:rPr>
        <w:t>）</w:t>
      </w:r>
      <w:r>
        <w:rPr>
          <w:rFonts w:hint="eastAsia" w:ascii="宋体" w:hAnsi="宋体" w:cs="宋体"/>
          <w:kern w:val="0"/>
          <w:sz w:val="24"/>
        </w:rPr>
        <w:t>设备部署建议（优化方案）</w:t>
      </w:r>
    </w:p>
    <w:p>
      <w:pPr>
        <w:spacing w:line="360" w:lineRule="auto"/>
        <w:ind w:firstLine="240" w:firstLineChars="100"/>
        <w:outlineLvl w:val="0"/>
        <w:rPr>
          <w:rFonts w:hint="eastAsia" w:ascii="宋体" w:hAnsi="宋体" w:cs="宋体"/>
          <w:kern w:val="0"/>
          <w:sz w:val="24"/>
          <w:lang w:eastAsia="zh-CN"/>
        </w:rPr>
      </w:pPr>
      <w:r>
        <w:rPr>
          <w:rFonts w:hint="eastAsia" w:ascii="宋体" w:hAnsi="宋体" w:cs="宋体"/>
          <w:kern w:val="0"/>
          <w:sz w:val="24"/>
          <w:lang w:val="zh-CN"/>
        </w:rPr>
        <w:t>（</w:t>
      </w:r>
      <w:r>
        <w:rPr>
          <w:rFonts w:hint="eastAsia" w:ascii="宋体" w:hAnsi="宋体" w:cs="宋体"/>
          <w:kern w:val="0"/>
          <w:sz w:val="24"/>
          <w:lang w:val="en-US" w:eastAsia="zh-CN"/>
        </w:rPr>
        <w:t>2</w:t>
      </w:r>
      <w:r>
        <w:rPr>
          <w:rFonts w:hint="eastAsia" w:ascii="宋体" w:hAnsi="宋体" w:cs="宋体"/>
          <w:kern w:val="0"/>
          <w:sz w:val="24"/>
          <w:lang w:val="zh-CN"/>
        </w:rPr>
        <w:t>）</w:t>
      </w:r>
      <w:r>
        <w:rPr>
          <w:rFonts w:hint="eastAsia" w:ascii="宋体" w:hAnsi="宋体" w:cs="宋体"/>
          <w:kern w:val="0"/>
          <w:sz w:val="24"/>
          <w:lang w:eastAsia="zh-CN"/>
        </w:rPr>
        <w:t>技术力量能力</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管理制度、措施：</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rPr>
        <w:t>（</w:t>
      </w:r>
      <w:r>
        <w:rPr>
          <w:rFonts w:hint="eastAsia" w:ascii="宋体" w:hAnsi="宋体" w:cs="宋体"/>
          <w:kern w:val="0"/>
          <w:sz w:val="24"/>
          <w:lang w:val="en-US" w:eastAsia="zh-CN"/>
        </w:rPr>
        <w:t>4</w:t>
      </w:r>
      <w:r>
        <w:rPr>
          <w:rFonts w:hint="eastAsia" w:ascii="宋体" w:hAnsi="宋体" w:cs="宋体"/>
          <w:kern w:val="0"/>
          <w:sz w:val="24"/>
          <w:lang w:val="zh-CN" w:eastAsia="zh-CN"/>
        </w:rPr>
        <w:t>）</w:t>
      </w:r>
      <w:r>
        <w:rPr>
          <w:rFonts w:hint="eastAsia" w:ascii="宋体" w:hAnsi="宋体" w:cs="宋体"/>
          <w:kern w:val="0"/>
          <w:sz w:val="24"/>
          <w:lang w:eastAsia="zh-CN"/>
        </w:rPr>
        <w:t>安全技术管理</w:t>
      </w:r>
    </w:p>
    <w:p>
      <w:pPr>
        <w:spacing w:line="360" w:lineRule="auto"/>
        <w:ind w:firstLine="240" w:firstLineChars="100"/>
        <w:outlineLvl w:val="0"/>
        <w:rPr>
          <w:rFonts w:hint="eastAsia" w:ascii="宋体" w:hAnsi="宋体" w:cs="宋体"/>
          <w:kern w:val="0"/>
          <w:sz w:val="24"/>
        </w:rPr>
      </w:pPr>
      <w:r>
        <w:rPr>
          <w:rFonts w:hint="eastAsia" w:ascii="宋体" w:hAnsi="宋体" w:cs="宋体"/>
          <w:kern w:val="0"/>
          <w:sz w:val="24"/>
          <w:lang w:val="zh-CN" w:eastAsia="zh-CN"/>
        </w:rPr>
        <w:t>（</w:t>
      </w:r>
      <w:r>
        <w:rPr>
          <w:rFonts w:hint="eastAsia" w:ascii="宋体" w:hAnsi="宋体" w:cs="宋体"/>
          <w:kern w:val="0"/>
          <w:sz w:val="24"/>
          <w:lang w:val="en-US" w:eastAsia="zh-CN"/>
        </w:rPr>
        <w:t>5</w:t>
      </w:r>
      <w:r>
        <w:rPr>
          <w:rFonts w:hint="eastAsia" w:ascii="宋体" w:hAnsi="宋体" w:cs="宋体"/>
          <w:kern w:val="0"/>
          <w:sz w:val="24"/>
          <w:lang w:val="zh-CN" w:eastAsia="zh-CN"/>
        </w:rPr>
        <w:t>）</w:t>
      </w:r>
      <w:r>
        <w:rPr>
          <w:rFonts w:hint="eastAsia" w:ascii="宋体" w:hAnsi="宋体" w:cs="宋体"/>
          <w:kern w:val="0"/>
          <w:sz w:val="24"/>
          <w:lang w:eastAsia="zh-CN"/>
        </w:rPr>
        <w:t>具体组织实施方案</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）售后服务及优惠方案</w:t>
      </w:r>
      <w:r>
        <w:rPr>
          <w:rFonts w:hint="eastAsia" w:ascii="宋体" w:hAnsi="宋体" w:cs="宋体"/>
          <w:kern w:val="0"/>
          <w:sz w:val="24"/>
          <w:lang w:val="zh-CN"/>
        </w:rPr>
        <w:t>（</w:t>
      </w:r>
      <w:r>
        <w:rPr>
          <w:rFonts w:hint="eastAsia" w:ascii="宋体" w:hAnsi="宋体" w:cs="宋体"/>
          <w:kern w:val="0"/>
          <w:sz w:val="24"/>
        </w:rPr>
        <w:t>含本公司优势等</w:t>
      </w:r>
      <w:r>
        <w:rPr>
          <w:rFonts w:hint="eastAsia" w:ascii="宋体" w:hAnsi="宋体" w:cs="宋体"/>
          <w:kern w:val="0"/>
          <w:sz w:val="24"/>
          <w:lang w:val="zh-CN"/>
        </w:rPr>
        <w:t>）；</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rPr>
        <w:t>（</w:t>
      </w:r>
      <w:r>
        <w:rPr>
          <w:rFonts w:hint="eastAsia" w:ascii="宋体" w:hAnsi="宋体" w:cs="宋体"/>
          <w:kern w:val="0"/>
          <w:sz w:val="24"/>
          <w:lang w:val="en-US" w:eastAsia="zh-CN"/>
        </w:rPr>
        <w:t>7</w:t>
      </w:r>
      <w:r>
        <w:rPr>
          <w:rFonts w:hint="eastAsia" w:ascii="宋体" w:hAnsi="宋体" w:cs="宋体"/>
          <w:kern w:val="0"/>
          <w:sz w:val="24"/>
        </w:rPr>
        <w:t>）</w:t>
      </w:r>
      <w:r>
        <w:rPr>
          <w:rFonts w:hint="eastAsia" w:ascii="宋体" w:hAnsi="宋体" w:cs="宋体"/>
          <w:kern w:val="0"/>
          <w:sz w:val="24"/>
          <w:lang w:val="zh-CN"/>
        </w:rPr>
        <w:t>技术响应表；</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8</w:t>
      </w:r>
      <w:r>
        <w:rPr>
          <w:rFonts w:hint="eastAsia" w:ascii="宋体" w:hAnsi="宋体" w:cs="宋体"/>
          <w:kern w:val="0"/>
          <w:sz w:val="24"/>
          <w:lang w:val="zh-CN"/>
        </w:rPr>
        <w:t>）投标人认为需要的其他技术文件或说明。</w:t>
      </w:r>
    </w:p>
    <w:p>
      <w:pPr>
        <w:snapToGrid w:val="0"/>
        <w:spacing w:line="380" w:lineRule="exact"/>
        <w:jc w:val="left"/>
      </w:pPr>
      <w:r>
        <w:rPr>
          <w:rFonts w:hint="eastAsia" w:ascii="宋体" w:hAnsi="宋体"/>
          <w:b/>
          <w:bCs/>
          <w:color w:val="000000"/>
          <w:sz w:val="24"/>
        </w:rPr>
        <w:t>注：以上目录是编制技术响应内容的基本格式要求，供参考，</w:t>
      </w:r>
      <w:r>
        <w:rPr>
          <w:rFonts w:hint="eastAsia" w:ascii="宋体" w:hAnsi="宋体"/>
          <w:b/>
          <w:color w:val="000000"/>
          <w:sz w:val="24"/>
        </w:rPr>
        <w:t>投标人</w:t>
      </w:r>
      <w:r>
        <w:rPr>
          <w:rFonts w:hint="eastAsia" w:ascii="宋体" w:hAnsi="宋体"/>
          <w:b/>
          <w:bCs/>
          <w:color w:val="000000"/>
          <w:sz w:val="24"/>
        </w:rPr>
        <w:t>可根据自身情况进一步补充、细化、优化。</w:t>
      </w:r>
    </w:p>
    <w:p>
      <w:pPr>
        <w:snapToGrid w:val="0"/>
        <w:spacing w:line="380" w:lineRule="exact"/>
        <w:ind w:firstLine="472" w:firstLineChars="196"/>
        <w:jc w:val="left"/>
        <w:rPr>
          <w:rFonts w:ascii="宋体" w:hAnsi="宋体"/>
          <w:b/>
          <w:bCs/>
          <w:color w:val="000000"/>
          <w:sz w:val="24"/>
        </w:rPr>
      </w:pPr>
      <w:r>
        <w:rPr>
          <w:rFonts w:hint="eastAsia" w:ascii="宋体" w:hAnsi="宋体"/>
          <w:b/>
          <w:bCs/>
          <w:color w:val="000000"/>
          <w:sz w:val="24"/>
        </w:rPr>
        <w:t>3.报价文件：</w:t>
      </w:r>
    </w:p>
    <w:p>
      <w:pPr>
        <w:spacing w:line="480" w:lineRule="exact"/>
        <w:ind w:firstLine="240" w:firstLineChars="100"/>
        <w:rPr>
          <w:rFonts w:ascii="宋体" w:hAnsi="宋体" w:cs="宋体"/>
          <w:kern w:val="0"/>
          <w:sz w:val="24"/>
        </w:rPr>
      </w:pPr>
      <w:r>
        <w:rPr>
          <w:rFonts w:hint="eastAsia" w:ascii="宋体" w:hAnsi="宋体" w:cs="宋体"/>
          <w:kern w:val="0"/>
          <w:sz w:val="24"/>
        </w:rPr>
        <w:t>（1）投标报价一览表；</w:t>
      </w:r>
    </w:p>
    <w:p>
      <w:pPr>
        <w:spacing w:line="480" w:lineRule="exact"/>
        <w:ind w:firstLine="240" w:firstLineChars="100"/>
        <w:rPr>
          <w:rFonts w:ascii="宋体" w:hAnsi="宋体" w:cs="宋体"/>
          <w:kern w:val="0"/>
          <w:sz w:val="24"/>
        </w:rPr>
      </w:pPr>
      <w:r>
        <w:rPr>
          <w:rFonts w:hint="eastAsia" w:ascii="宋体" w:hAnsi="宋体" w:cs="宋体"/>
          <w:kern w:val="0"/>
          <w:sz w:val="24"/>
        </w:rPr>
        <w:t>（2）报价明细清单（须详细报价的组成明细）；</w:t>
      </w:r>
    </w:p>
    <w:p>
      <w:pPr>
        <w:spacing w:line="480" w:lineRule="exact"/>
        <w:ind w:firstLine="240" w:firstLineChars="1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中小企业声明函及证明材料复印件加盖公章（若有）；</w:t>
      </w:r>
    </w:p>
    <w:p>
      <w:pPr>
        <w:spacing w:line="480" w:lineRule="exact"/>
        <w:ind w:firstLine="240" w:firstLineChars="100"/>
        <w:rPr>
          <w:rFonts w:ascii="宋体" w:hAnsi="宋体" w:cs="宋体"/>
          <w:kern w:val="0"/>
          <w:sz w:val="24"/>
        </w:rPr>
      </w:pPr>
      <w:r>
        <w:rPr>
          <w:rFonts w:hint="eastAsia" w:ascii="宋体" w:hAnsi="宋体" w:cs="宋体"/>
          <w:kern w:val="0"/>
          <w:sz w:val="24"/>
        </w:rPr>
        <w:t>（4）采购文件要求的或响应人认为需要的其它资料。</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（三）投标文件的语言及计量</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1.投标文件以及投标人与采购机构就有关投标事宜的所有来往函电，均应以中文汉语书写。除签名、盖章、专用名称等特殊情形外，以中文汉语以外的文字表述的投标文件视同未提供。</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2.投标计量单位，采购文件已有明确规定的，使用采购文件规定的计量单位，采购文件没有规定的，应采用中华人民共和国法定计量单位（货币单位：人民币元），否则视同未响应。</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（四）投标报价</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1.投标文件对每一项目只允许有一个报价，报价应按采购文件中相关附表格式填报。</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2.投标报价应包括人工、包装、运输、装卸、保险、税金、货到就位以及安装、验收、保修、售后服务、技术服务、代理服务费等涉及的一切费用和税金。</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3.任何有选择的报价将不予接受。投标人未填价格的项目，在实施后视作优惠。</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4.最终报价在合同执行过程中是固定不变的，不因人员数量、投入设备工具调整等而调整。</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5.所有投标报价必须以人民币报价，否则不予接受。</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（五）投标文件的有效期</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1.自投标截止日起90天内投标文件应保持有效。有效期不足的投标文件将被拒绝。</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2.成交供应商的投标文件自开标之日起至合同履行完毕止均应保持有效。</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（六）投标保证金：不缴纳</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（七）投标文件的签署和份数</w:t>
      </w:r>
    </w:p>
    <w:p>
      <w:pPr>
        <w:spacing w:line="360" w:lineRule="auto"/>
        <w:ind w:firstLine="482" w:firstLineChars="200"/>
        <w:rPr>
          <w:rFonts w:ascii="宋体" w:hAnsi="宋体"/>
          <w:b/>
          <w:sz w:val="24"/>
        </w:rPr>
      </w:pPr>
      <w:r>
        <w:rPr>
          <w:rFonts w:hint="eastAsia" w:ascii="宋体" w:hAnsi="宋体"/>
          <w:b/>
          <w:sz w:val="24"/>
        </w:rPr>
        <w:t>电子投标文件部分：</w:t>
      </w:r>
    </w:p>
    <w:p>
      <w:pPr>
        <w:spacing w:line="360" w:lineRule="auto"/>
        <w:ind w:firstLine="482" w:firstLineChars="200"/>
        <w:rPr>
          <w:rFonts w:ascii="宋体" w:hAnsi="宋体"/>
          <w:b/>
          <w:sz w:val="24"/>
        </w:rPr>
      </w:pPr>
      <w:r>
        <w:rPr>
          <w:rFonts w:hint="eastAsia" w:ascii="宋体" w:hAnsi="宋体"/>
          <w:b/>
          <w:sz w:val="24"/>
        </w:rPr>
        <w:t>1.投标人应根据“政采云供应商项目采购-电子招投标操作指南”及本招标文件规定的格式和顺序编制电子投标文件并进行关联定位。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sz w:val="24"/>
        </w:rPr>
      </w:pPr>
      <w:r>
        <w:rPr>
          <w:rFonts w:hint="eastAsia" w:ascii="宋体" w:hAnsi="宋体"/>
          <w:b/>
          <w:sz w:val="24"/>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exact"/>
        <w:ind w:firstLine="482" w:firstLineChars="200"/>
      </w:pPr>
      <w:r>
        <w:rPr>
          <w:rFonts w:hint="eastAsia" w:ascii="宋体" w:hAnsi="宋体"/>
          <w:b/>
          <w:sz w:val="24"/>
        </w:rPr>
        <w:t xml:space="preserve">3.投标人中标后应在中标通知书发出前提供投标文件的纸质版一正一副邮寄给招标代理。 </w:t>
      </w:r>
    </w:p>
    <w:p>
      <w:pPr>
        <w:pStyle w:val="13"/>
        <w:snapToGrid w:val="0"/>
        <w:spacing w:line="380" w:lineRule="exact"/>
        <w:ind w:firstLine="457" w:firstLineChars="196"/>
        <w:outlineLvl w:val="1"/>
        <w:rPr>
          <w:rFonts w:hAnsi="宋体"/>
          <w:b/>
          <w:snapToGrid w:val="0"/>
          <w:color w:val="000000"/>
          <w:sz w:val="24"/>
          <w:szCs w:val="24"/>
        </w:rPr>
      </w:pPr>
      <w:r>
        <w:rPr>
          <w:rFonts w:hint="eastAsia" w:hAnsi="宋体"/>
          <w:b/>
          <w:color w:val="000000"/>
          <w:sz w:val="24"/>
          <w:szCs w:val="24"/>
        </w:rPr>
        <w:t>三、开标</w:t>
      </w:r>
    </w:p>
    <w:p>
      <w:pPr>
        <w:pStyle w:val="13"/>
        <w:snapToGrid w:val="0"/>
        <w:spacing w:line="380" w:lineRule="exact"/>
        <w:ind w:firstLine="466" w:firstLineChars="200"/>
        <w:outlineLvl w:val="1"/>
        <w:rPr>
          <w:rFonts w:hAnsi="宋体"/>
          <w:b/>
          <w:color w:val="000000"/>
          <w:sz w:val="24"/>
          <w:szCs w:val="24"/>
        </w:rPr>
      </w:pPr>
      <w:r>
        <w:rPr>
          <w:rFonts w:hint="eastAsia" w:hAnsi="宋体"/>
          <w:b/>
          <w:color w:val="000000"/>
          <w:sz w:val="24"/>
          <w:szCs w:val="24"/>
        </w:rPr>
        <w:t>（一）开标准备</w:t>
      </w:r>
    </w:p>
    <w:p>
      <w:pPr>
        <w:pStyle w:val="14"/>
        <w:spacing w:before="156" w:after="156" w:line="360" w:lineRule="auto"/>
        <w:ind w:firstLine="472" w:firstLineChars="196"/>
        <w:rPr>
          <w:rFonts w:hAnsi="宋体"/>
          <w:color w:val="000000"/>
        </w:rPr>
      </w:pPr>
      <w:r>
        <w:rPr>
          <w:rFonts w:hint="eastAsia" w:hAnsi="宋体" w:cs="宋体"/>
          <w:b/>
        </w:rPr>
        <w:t>招标方将按照招标文件规定的时间、地点和程序组织开标，各投标人无须参加现场开标会议，请自行登录政采云平台关注开标信息。</w:t>
      </w:r>
    </w:p>
    <w:p>
      <w:pPr>
        <w:pStyle w:val="17"/>
        <w:spacing w:line="380" w:lineRule="exact"/>
        <w:ind w:firstLine="482" w:firstLineChars="200"/>
        <w:rPr>
          <w:rFonts w:ascii="宋体"/>
          <w:b/>
          <w:color w:val="000000"/>
          <w:sz w:val="24"/>
          <w:szCs w:val="24"/>
        </w:rPr>
      </w:pPr>
      <w:r>
        <w:rPr>
          <w:rFonts w:hint="eastAsia" w:ascii="宋体" w:hAnsi="宋体"/>
          <w:b/>
          <w:color w:val="000000"/>
          <w:sz w:val="24"/>
          <w:szCs w:val="24"/>
        </w:rPr>
        <w:t>（二）</w:t>
      </w:r>
      <w:r>
        <w:rPr>
          <w:rFonts w:ascii="宋体" w:hAnsi="宋体"/>
          <w:b/>
          <w:color w:val="000000"/>
          <w:sz w:val="24"/>
          <w:szCs w:val="24"/>
        </w:rPr>
        <w:t xml:space="preserve"> </w:t>
      </w:r>
      <w:r>
        <w:rPr>
          <w:rFonts w:hint="eastAsia" w:ascii="宋体" w:hAnsi="宋体"/>
          <w:b/>
          <w:color w:val="000000"/>
          <w:sz w:val="24"/>
          <w:szCs w:val="24"/>
        </w:rPr>
        <w:t>开标程序：</w:t>
      </w:r>
    </w:p>
    <w:p>
      <w:pPr>
        <w:pStyle w:val="14"/>
        <w:spacing w:beforeLines="0" w:afterLines="0"/>
        <w:ind w:firstLine="551"/>
        <w:rPr>
          <w:rFonts w:hAnsi="宋体"/>
          <w:b/>
          <w:bCs/>
        </w:rPr>
      </w:pPr>
      <w:r>
        <w:rPr>
          <w:rFonts w:hint="eastAsia" w:hAnsi="宋体"/>
          <w:b/>
          <w:bCs/>
        </w:rPr>
        <w:t>电子招投标开标及评审程序</w:t>
      </w:r>
    </w:p>
    <w:p>
      <w:pPr>
        <w:pStyle w:val="14"/>
        <w:snapToGrid w:val="0"/>
        <w:spacing w:beforeLines="0" w:afterLines="0"/>
        <w:ind w:firstLine="472" w:firstLineChars="196"/>
        <w:rPr>
          <w:rFonts w:hAnsi="宋体"/>
          <w:b/>
          <w:bCs/>
        </w:rPr>
      </w:pPr>
      <w:r>
        <w:rPr>
          <w:rFonts w:hint="eastAsia" w:hAnsi="宋体"/>
          <w:b/>
          <w:bCs/>
        </w:rPr>
        <w:t>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对电子投标文件进行远程在线解密</w:t>
      </w:r>
      <w:r>
        <w:rPr>
          <w:rFonts w:hAnsi="宋体"/>
          <w:b/>
          <w:bCs/>
        </w:rPr>
        <w:t>。</w:t>
      </w:r>
      <w:r>
        <w:rPr>
          <w:rFonts w:hint="eastAsia" w:hAnsi="宋体"/>
          <w:b/>
          <w:bCs/>
        </w:rPr>
        <w:t>在线解密电子投标文件时间为开标时间起半个小时内。为避免（投标人已按时进行解密操作，但因政采云平台系统原因或者 CA锁原因导致在规定时间内解密失败的），投标人可将PDF版本的备份电子投标文件发送至邮箱（</w:t>
      </w:r>
      <w:r>
        <w:rPr>
          <w:rStyle w:val="28"/>
          <w:rFonts w:hint="eastAsia" w:hAnsi="宋体"/>
          <w:b/>
          <w:bCs/>
          <w:color w:val="auto"/>
        </w:rPr>
        <w:t>751477765@qq.com</w:t>
      </w:r>
      <w:r>
        <w:rPr>
          <w:rFonts w:hint="eastAsia" w:hAnsi="宋体"/>
          <w:b/>
          <w:bCs/>
        </w:rPr>
        <w:t>）以备用。</w:t>
      </w:r>
    </w:p>
    <w:p>
      <w:pPr>
        <w:pStyle w:val="14"/>
        <w:snapToGrid w:val="0"/>
        <w:spacing w:beforeLines="0" w:afterLines="0"/>
        <w:ind w:firstLine="472" w:firstLineChars="196"/>
        <w:rPr>
          <w:rFonts w:hAnsi="宋体"/>
          <w:b/>
          <w:bCs/>
        </w:rPr>
      </w:pPr>
      <w:r>
        <w:rPr>
          <w:rFonts w:hint="eastAsia" w:hAnsi="宋体"/>
          <w:b/>
          <w:bCs/>
        </w:rPr>
        <w:t>2.评标委员会对资格和商务技术响应文件进行评审；</w:t>
      </w:r>
    </w:p>
    <w:p>
      <w:pPr>
        <w:pStyle w:val="14"/>
        <w:snapToGrid w:val="0"/>
        <w:spacing w:beforeLines="0" w:afterLines="0"/>
        <w:ind w:firstLine="472" w:firstLineChars="196"/>
        <w:rPr>
          <w:rFonts w:hAnsi="宋体"/>
          <w:b/>
          <w:bCs/>
        </w:rPr>
      </w:pPr>
      <w:r>
        <w:rPr>
          <w:rFonts w:hint="eastAsia" w:hAnsi="宋体"/>
          <w:b/>
          <w:bCs/>
        </w:rPr>
        <w:t>3.在系统上公开资格和商务技术评审结果；</w:t>
      </w:r>
    </w:p>
    <w:p>
      <w:pPr>
        <w:pStyle w:val="14"/>
        <w:snapToGrid w:val="0"/>
        <w:spacing w:beforeLines="0" w:afterLines="0"/>
        <w:ind w:firstLine="482" w:firstLineChars="200"/>
        <w:rPr>
          <w:rFonts w:hAnsi="宋体"/>
          <w:b/>
          <w:bCs/>
        </w:rPr>
      </w:pPr>
      <w:r>
        <w:rPr>
          <w:rFonts w:hint="eastAsia" w:hAnsi="宋体"/>
          <w:b/>
          <w:bCs/>
        </w:rPr>
        <w:t>4.在政采云系统公布报价开标情况；</w:t>
      </w:r>
    </w:p>
    <w:p>
      <w:pPr>
        <w:pStyle w:val="14"/>
        <w:snapToGrid w:val="0"/>
        <w:spacing w:beforeLines="0" w:afterLines="0"/>
        <w:ind w:firstLine="472" w:firstLineChars="196"/>
        <w:rPr>
          <w:rFonts w:hAnsi="宋体"/>
          <w:b/>
          <w:bCs/>
        </w:rPr>
      </w:pPr>
      <w:r>
        <w:rPr>
          <w:rFonts w:hint="eastAsia" w:hAnsi="宋体"/>
          <w:b/>
          <w:bCs/>
        </w:rPr>
        <w:t>5.评标委员会对报价情况进行评审；</w:t>
      </w:r>
    </w:p>
    <w:p>
      <w:pPr>
        <w:pStyle w:val="14"/>
        <w:snapToGrid w:val="0"/>
        <w:spacing w:beforeLines="0" w:afterLines="0"/>
        <w:ind w:firstLine="472" w:firstLineChars="196"/>
        <w:rPr>
          <w:rFonts w:hAnsi="宋体"/>
          <w:b/>
          <w:bCs/>
        </w:rPr>
      </w:pPr>
      <w:r>
        <w:rPr>
          <w:rFonts w:hint="eastAsia" w:hAnsi="宋体"/>
          <w:b/>
          <w:bCs/>
        </w:rPr>
        <w:t>6.在系统上公布评审结果。</w:t>
      </w:r>
    </w:p>
    <w:p>
      <w:pPr>
        <w:pStyle w:val="17"/>
        <w:spacing w:line="400" w:lineRule="exact"/>
        <w:rPr>
          <w:rFonts w:hAnsi="宋体"/>
          <w:b/>
          <w:bCs/>
          <w:sz w:val="24"/>
          <w:szCs w:val="24"/>
        </w:rPr>
      </w:pPr>
      <w:r>
        <w:rPr>
          <w:rFonts w:hint="eastAsia" w:hAnsi="宋体"/>
          <w:b/>
          <w:bCs/>
          <w:sz w:val="24"/>
          <w:szCs w:val="24"/>
        </w:rPr>
        <w:t>特别说明：政采云公司如对电子化开标及评审程序有调整的，按调整后的程序操作。</w:t>
      </w:r>
    </w:p>
    <w:p>
      <w:pPr>
        <w:pStyle w:val="14"/>
        <w:snapToGrid w:val="0"/>
        <w:spacing w:beforeLines="0" w:afterLines="0"/>
        <w:ind w:firstLine="472" w:firstLineChars="196"/>
        <w:rPr>
          <w:rFonts w:hAnsi="宋体"/>
          <w:b/>
          <w:bCs/>
        </w:rPr>
      </w:pPr>
      <w:r>
        <w:rPr>
          <w:rFonts w:hint="eastAsia" w:hAnsi="宋体"/>
          <w:b/>
          <w:bCs/>
        </w:rPr>
        <w:t>1.政采云公司如对电子化开标及评审程序有调整的，按调整后的程序操作。</w:t>
      </w:r>
    </w:p>
    <w:p>
      <w:pPr>
        <w:pStyle w:val="14"/>
        <w:snapToGrid w:val="0"/>
        <w:spacing w:beforeLines="0" w:afterLines="0"/>
        <w:ind w:firstLine="472" w:firstLineChars="196"/>
        <w:rPr>
          <w:rFonts w:hAnsi="宋体"/>
          <w:b/>
          <w:bCs/>
        </w:rPr>
      </w:pPr>
      <w:r>
        <w:rPr>
          <w:rFonts w:hint="eastAsia" w:hAnsi="宋体"/>
          <w:b/>
          <w:bCs/>
        </w:rPr>
        <w:t>2.目前政府采购全流程电子化交易，投标人须在规定时间内远程自行解密。</w:t>
      </w:r>
    </w:p>
    <w:p>
      <w:pPr>
        <w:pStyle w:val="14"/>
        <w:snapToGrid w:val="0"/>
        <w:spacing w:beforeLines="0" w:afterLines="0"/>
        <w:ind w:firstLine="472" w:firstLineChars="196"/>
        <w:rPr>
          <w:rFonts w:hAnsi="宋体"/>
          <w:b/>
          <w:bCs/>
        </w:rPr>
      </w:pPr>
      <w:r>
        <w:rPr>
          <w:rFonts w:hint="eastAsia" w:hAnsi="宋体"/>
          <w:b/>
          <w:bCs/>
        </w:rPr>
        <w:t>3.若个别投标人在规定时间内因自身原因无法解密或解密失败的作无效投标处理。解密成功的投标人不足三家的，本项目流标重新组织采购活动。</w:t>
      </w:r>
    </w:p>
    <w:p>
      <w:pPr>
        <w:pStyle w:val="14"/>
        <w:snapToGrid w:val="0"/>
        <w:spacing w:beforeLines="0" w:afterLines="0"/>
        <w:ind w:firstLine="472" w:firstLineChars="196"/>
        <w:rPr>
          <w:rFonts w:hAnsi="宋体"/>
          <w:b/>
          <w:bCs/>
        </w:rPr>
      </w:pPr>
      <w:r>
        <w:rPr>
          <w:rFonts w:hint="eastAsia" w:hAnsi="宋体"/>
          <w:b/>
          <w:bCs/>
        </w:rPr>
        <w:t>4.若因政采云平台原因无法读取或电子开评标无法正常进行，将情况上报行业监管部门同意后，重新组织采购活动。</w:t>
      </w:r>
    </w:p>
    <w:p>
      <w:pPr>
        <w:pStyle w:val="17"/>
        <w:spacing w:line="400" w:lineRule="exact"/>
        <w:rPr>
          <w:rFonts w:hAnsi="宋体"/>
          <w:b/>
          <w:bCs/>
          <w:sz w:val="24"/>
          <w:szCs w:val="24"/>
        </w:rPr>
      </w:pPr>
    </w:p>
    <w:p>
      <w:pPr>
        <w:pStyle w:val="17"/>
        <w:spacing w:line="380" w:lineRule="exact"/>
        <w:ind w:left="724" w:leftChars="230" w:hanging="241" w:hangingChars="100"/>
        <w:outlineLvl w:val="1"/>
        <w:rPr>
          <w:rFonts w:ascii="宋体" w:hAnsi="宋体"/>
          <w:b/>
          <w:color w:val="000000"/>
          <w:sz w:val="24"/>
          <w:szCs w:val="24"/>
        </w:rPr>
      </w:pPr>
      <w:bookmarkStart w:id="1" w:name="_Toc177870554"/>
      <w:r>
        <w:rPr>
          <w:rFonts w:hint="eastAsia" w:ascii="宋体" w:hAnsi="宋体"/>
          <w:b/>
          <w:color w:val="000000"/>
          <w:sz w:val="24"/>
          <w:szCs w:val="24"/>
        </w:rPr>
        <w:t>四、评标</w:t>
      </w:r>
      <w:bookmarkEnd w:id="1"/>
    </w:p>
    <w:p>
      <w:pPr>
        <w:pStyle w:val="17"/>
        <w:spacing w:line="500" w:lineRule="exact"/>
        <w:ind w:firstLine="482" w:firstLineChars="200"/>
        <w:jc w:val="both"/>
        <w:rPr>
          <w:rFonts w:ascii="宋体" w:hAnsi="宋体"/>
          <w:b/>
          <w:color w:val="000000"/>
          <w:sz w:val="24"/>
          <w:szCs w:val="24"/>
        </w:rPr>
      </w:pPr>
      <w:r>
        <w:rPr>
          <w:rFonts w:hint="eastAsia" w:ascii="宋体" w:hAnsi="宋体" w:cs="宋体"/>
          <w:b/>
          <w:sz w:val="24"/>
          <w:szCs w:val="24"/>
        </w:rPr>
        <w:t>详见第三章评标办法及评标标准</w:t>
      </w:r>
    </w:p>
    <w:p>
      <w:pPr>
        <w:pStyle w:val="17"/>
        <w:spacing w:line="380" w:lineRule="exact"/>
        <w:ind w:left="724" w:leftChars="230" w:hanging="241" w:hangingChars="100"/>
        <w:rPr>
          <w:rFonts w:ascii="宋体" w:hAnsi="宋体"/>
          <w:b/>
          <w:color w:val="000000"/>
          <w:sz w:val="24"/>
          <w:szCs w:val="24"/>
        </w:rPr>
      </w:pPr>
      <w:r>
        <w:rPr>
          <w:rFonts w:hint="eastAsia" w:ascii="宋体" w:hAnsi="宋体"/>
          <w:b/>
          <w:color w:val="000000"/>
          <w:sz w:val="24"/>
          <w:szCs w:val="24"/>
        </w:rPr>
        <w:t>五、定标</w:t>
      </w:r>
    </w:p>
    <w:p>
      <w:pPr>
        <w:pStyle w:val="17"/>
        <w:spacing w:line="500" w:lineRule="exact"/>
        <w:ind w:firstLine="480" w:firstLineChars="200"/>
        <w:jc w:val="both"/>
        <w:rPr>
          <w:rFonts w:ascii="宋体" w:hAnsi="宋体" w:cs="宋体"/>
          <w:sz w:val="24"/>
          <w:szCs w:val="24"/>
        </w:rPr>
      </w:pPr>
      <w:r>
        <w:rPr>
          <w:rFonts w:hint="eastAsia" w:ascii="宋体" w:hAnsi="宋体" w:cs="宋体"/>
          <w:sz w:val="24"/>
          <w:szCs w:val="24"/>
        </w:rPr>
        <w:t>（一）确定成交人。本项目由采购人确定成交人。</w:t>
      </w:r>
      <w:bookmarkStart w:id="2" w:name="_Toc107820051"/>
      <w:bookmarkStart w:id="3" w:name="_Toc170792772"/>
    </w:p>
    <w:p>
      <w:pPr>
        <w:pStyle w:val="17"/>
        <w:spacing w:line="500" w:lineRule="exact"/>
        <w:ind w:firstLine="480" w:firstLineChars="200"/>
        <w:jc w:val="both"/>
        <w:rPr>
          <w:rFonts w:ascii="宋体" w:hAnsi="宋体" w:cs="宋体"/>
          <w:sz w:val="24"/>
          <w:szCs w:val="24"/>
        </w:rPr>
      </w:pPr>
      <w:r>
        <w:rPr>
          <w:rFonts w:hint="eastAsia" w:ascii="宋体" w:hAnsi="宋体" w:cs="宋体"/>
          <w:sz w:val="24"/>
          <w:szCs w:val="24"/>
        </w:rPr>
        <w:t>1.评标结束，评审报告经采购人确认后，将采购结果发布采购公告的网站上，进行1个工作日的预成交公示。</w:t>
      </w:r>
    </w:p>
    <w:p>
      <w:pPr>
        <w:pStyle w:val="17"/>
        <w:spacing w:line="500" w:lineRule="exact"/>
        <w:ind w:firstLine="480" w:firstLineChars="200"/>
        <w:jc w:val="both"/>
        <w:rPr>
          <w:rFonts w:ascii="宋体" w:hAnsi="宋体" w:cs="宋体"/>
          <w:sz w:val="24"/>
          <w:szCs w:val="24"/>
        </w:rPr>
      </w:pPr>
      <w:r>
        <w:rPr>
          <w:rFonts w:hint="eastAsia" w:ascii="宋体" w:hAnsi="宋体" w:cs="宋体"/>
          <w:sz w:val="24"/>
          <w:szCs w:val="24"/>
        </w:rPr>
        <w:t>2. 采购人对评标结果无异议的，采购人应在收到评标报告后2个工作日内对评标结果进行确认。如有投标人对评标结果提出质疑的，采购人可在质疑处理完毕后确定成交人。</w:t>
      </w:r>
    </w:p>
    <w:p>
      <w:pPr>
        <w:pStyle w:val="17"/>
        <w:spacing w:line="500" w:lineRule="exact"/>
        <w:ind w:firstLine="480" w:firstLineChars="200"/>
        <w:jc w:val="both"/>
        <w:rPr>
          <w:rFonts w:ascii="宋体" w:hAnsi="宋体" w:cs="宋体"/>
          <w:sz w:val="24"/>
          <w:szCs w:val="24"/>
        </w:rPr>
      </w:pPr>
      <w:r>
        <w:rPr>
          <w:rFonts w:hint="eastAsia" w:ascii="宋体" w:hAnsi="宋体" w:cs="宋体"/>
          <w:sz w:val="24"/>
          <w:szCs w:val="24"/>
        </w:rPr>
        <w:t>（二）采购人依法确定成交人后，采购机构以书面形式发出《成交通知书》。</w:t>
      </w:r>
    </w:p>
    <w:p>
      <w:pPr>
        <w:snapToGrid w:val="0"/>
        <w:spacing w:line="380" w:lineRule="exact"/>
        <w:ind w:firstLine="436" w:firstLineChars="181"/>
        <w:outlineLvl w:val="1"/>
        <w:rPr>
          <w:rFonts w:ascii="宋体" w:hAnsi="宋体"/>
          <w:b/>
          <w:color w:val="000000"/>
          <w:sz w:val="24"/>
        </w:rPr>
      </w:pPr>
      <w:r>
        <w:rPr>
          <w:rFonts w:hint="eastAsia" w:ascii="宋体" w:hAnsi="宋体"/>
          <w:b/>
          <w:color w:val="000000"/>
          <w:sz w:val="24"/>
        </w:rPr>
        <w:t>六、</w:t>
      </w:r>
      <w:bookmarkStart w:id="4" w:name="_Toc177870556"/>
      <w:r>
        <w:rPr>
          <w:rFonts w:hint="eastAsia" w:ascii="宋体" w:hAnsi="宋体"/>
          <w:b/>
          <w:color w:val="000000"/>
          <w:sz w:val="24"/>
        </w:rPr>
        <w:t>合同</w:t>
      </w:r>
      <w:bookmarkEnd w:id="2"/>
      <w:bookmarkEnd w:id="3"/>
      <w:r>
        <w:rPr>
          <w:rFonts w:hint="eastAsia" w:ascii="宋体" w:hAnsi="宋体"/>
          <w:b/>
          <w:color w:val="000000"/>
          <w:sz w:val="24"/>
        </w:rPr>
        <w:t>授予</w:t>
      </w:r>
      <w:bookmarkEnd w:id="4"/>
    </w:p>
    <w:p>
      <w:pPr>
        <w:snapToGrid w:val="0"/>
        <w:spacing w:line="380" w:lineRule="exact"/>
        <w:ind w:firstLine="319" w:firstLineChars="133"/>
        <w:rPr>
          <w:rFonts w:ascii="宋体" w:hAnsi="宋体"/>
          <w:color w:val="000000"/>
          <w:sz w:val="24"/>
        </w:rPr>
      </w:pPr>
      <w:r>
        <w:rPr>
          <w:rFonts w:hint="eastAsia" w:ascii="宋体" w:hAnsi="宋体"/>
          <w:color w:val="000000"/>
          <w:sz w:val="24"/>
        </w:rPr>
        <w:t>（一）签订合同</w:t>
      </w:r>
    </w:p>
    <w:p>
      <w:pPr>
        <w:pStyle w:val="17"/>
        <w:spacing w:line="500" w:lineRule="exact"/>
        <w:ind w:firstLine="480" w:firstLineChars="200"/>
        <w:jc w:val="both"/>
        <w:rPr>
          <w:rFonts w:ascii="宋体" w:hAnsi="宋体" w:cs="宋体"/>
          <w:sz w:val="24"/>
          <w:szCs w:val="24"/>
        </w:rPr>
      </w:pPr>
      <w:r>
        <w:rPr>
          <w:rFonts w:hint="eastAsia" w:ascii="宋体" w:hAnsi="宋体" w:cs="宋体"/>
          <w:sz w:val="24"/>
          <w:szCs w:val="24"/>
        </w:rPr>
        <w:t>1.成交人应自成交通知书发出后30日内与采购人签定合同。</w:t>
      </w:r>
    </w:p>
    <w:p>
      <w:pPr>
        <w:snapToGrid w:val="0"/>
        <w:spacing w:line="500" w:lineRule="exact"/>
        <w:ind w:firstLine="480" w:firstLineChars="200"/>
        <w:rPr>
          <w:rFonts w:ascii="宋体" w:hAnsi="宋体" w:cs="宋体"/>
          <w:sz w:val="24"/>
        </w:rPr>
      </w:pPr>
      <w:r>
        <w:rPr>
          <w:rFonts w:hint="eastAsia" w:ascii="宋体" w:hAnsi="宋体" w:cs="宋体"/>
          <w:sz w:val="24"/>
        </w:rPr>
        <w:t>2.成交人若借口故意拖延、拒签合同的，将没收其全部履约保证金并取消成交资格，给采购人造成损失的，应赔偿损失。</w:t>
      </w:r>
    </w:p>
    <w:p>
      <w:pPr>
        <w:pStyle w:val="17"/>
        <w:spacing w:line="500" w:lineRule="exact"/>
        <w:ind w:firstLine="480" w:firstLineChars="200"/>
        <w:jc w:val="both"/>
        <w:rPr>
          <w:rFonts w:ascii="宋体" w:hAnsi="宋体" w:cs="宋体"/>
          <w:sz w:val="24"/>
          <w:szCs w:val="24"/>
        </w:rPr>
      </w:pPr>
      <w:r>
        <w:rPr>
          <w:rFonts w:hint="eastAsia" w:ascii="宋体" w:hAnsi="宋体" w:cs="宋体"/>
          <w:sz w:val="24"/>
          <w:szCs w:val="24"/>
        </w:rPr>
        <w:t>（二）履约保证金</w:t>
      </w:r>
    </w:p>
    <w:p>
      <w:pPr>
        <w:pStyle w:val="17"/>
        <w:spacing w:line="500" w:lineRule="exact"/>
        <w:ind w:firstLine="480" w:firstLineChars="200"/>
        <w:jc w:val="both"/>
        <w:rPr>
          <w:rFonts w:ascii="宋体" w:hAnsi="宋体" w:cs="宋体"/>
          <w:sz w:val="24"/>
          <w:szCs w:val="24"/>
        </w:rPr>
      </w:pPr>
      <w:r>
        <w:rPr>
          <w:rFonts w:hint="eastAsia" w:ascii="宋体" w:hAnsi="宋体" w:cs="宋体"/>
          <w:sz w:val="24"/>
          <w:szCs w:val="24"/>
        </w:rPr>
        <w:t>1.签订合同前，成交人应根据公开招标文件确定的履约保证金的金额，向采购人交纳5%履约保证金 。</w:t>
      </w:r>
    </w:p>
    <w:p>
      <w:pPr>
        <w:snapToGrid w:val="0"/>
        <w:spacing w:line="500" w:lineRule="exact"/>
        <w:ind w:firstLine="480" w:firstLineChars="200"/>
        <w:rPr>
          <w:rFonts w:ascii="宋体" w:hAnsi="宋体" w:cs="宋体"/>
          <w:sz w:val="24"/>
        </w:rPr>
      </w:pPr>
      <w:r>
        <w:rPr>
          <w:rFonts w:hint="eastAsia" w:ascii="宋体" w:hAnsi="宋体" w:cs="宋体"/>
          <w:sz w:val="24"/>
        </w:rPr>
        <w:t>2.签订合同后，如成交人不按双方签订合同约定履约，则没收其全部履约保证金，履约保证金不足以赔偿损失的，按实际损失赔偿。</w:t>
      </w:r>
    </w:p>
    <w:p>
      <w:pPr>
        <w:snapToGrid w:val="0"/>
        <w:spacing w:line="500" w:lineRule="exact"/>
        <w:ind w:firstLine="482" w:firstLineChars="200"/>
        <w:rPr>
          <w:rFonts w:ascii="宋体" w:hAnsi="宋体" w:cs="宋体"/>
          <w:b/>
          <w:bCs/>
          <w:sz w:val="24"/>
        </w:rPr>
      </w:pPr>
      <w:r>
        <w:rPr>
          <w:rFonts w:hint="eastAsia" w:ascii="宋体" w:hAnsi="宋体" w:cs="宋体"/>
          <w:b/>
          <w:bCs/>
          <w:sz w:val="24"/>
        </w:rPr>
        <w:t>3.履约保证金在合同履行后自动转为项目质保金，在通过验收后，质量保证金将在壹年质保期满后无息退还。</w:t>
      </w:r>
    </w:p>
    <w:p>
      <w:pPr>
        <w:pStyle w:val="14"/>
        <w:snapToGrid w:val="0"/>
        <w:spacing w:beforeLines="0" w:afterLines="0" w:line="380" w:lineRule="exact"/>
        <w:ind w:firstLine="475" w:firstLineChars="197"/>
        <w:outlineLvl w:val="1"/>
        <w:rPr>
          <w:rFonts w:hAnsi="宋体"/>
          <w:b/>
          <w:color w:val="000000"/>
        </w:rPr>
      </w:pPr>
      <w:r>
        <w:rPr>
          <w:rFonts w:hint="eastAsia" w:hAnsi="宋体"/>
          <w:b/>
          <w:color w:val="000000"/>
        </w:rPr>
        <w:t>七、货款的结算</w:t>
      </w:r>
    </w:p>
    <w:p>
      <w:pPr>
        <w:snapToGrid w:val="0"/>
        <w:spacing w:line="420" w:lineRule="exact"/>
        <w:ind w:firstLine="480" w:firstLineChars="200"/>
        <w:jc w:val="left"/>
        <w:rPr>
          <w:rFonts w:ascii="宋体" w:hAnsi="宋体"/>
          <w:color w:val="000000"/>
          <w:sz w:val="24"/>
        </w:rPr>
      </w:pPr>
      <w:r>
        <w:rPr>
          <w:rFonts w:hint="eastAsia" w:ascii="宋体" w:hAnsi="宋体"/>
          <w:sz w:val="24"/>
        </w:rPr>
        <w:t>合同中另行签订。</w:t>
      </w:r>
    </w:p>
    <w:p>
      <w:pPr>
        <w:snapToGrid w:val="0"/>
        <w:spacing w:line="360" w:lineRule="auto"/>
        <w:ind w:firstLine="482" w:firstLineChars="200"/>
        <w:jc w:val="left"/>
        <w:rPr>
          <w:rFonts w:ascii="宋体" w:hAnsi="宋体"/>
          <w:b/>
          <w:color w:val="000000"/>
          <w:sz w:val="24"/>
        </w:rPr>
      </w:pPr>
      <w:r>
        <w:rPr>
          <w:rFonts w:hint="eastAsia" w:ascii="宋体" w:hAnsi="宋体"/>
          <w:b/>
          <w:color w:val="000000"/>
          <w:sz w:val="24"/>
        </w:rPr>
        <w:t>八、其它</w:t>
      </w:r>
    </w:p>
    <w:p>
      <w:pPr>
        <w:widowControl/>
        <w:shd w:val="clear" w:color="auto" w:fill="FFFFFF"/>
        <w:spacing w:line="360" w:lineRule="auto"/>
        <w:ind w:firstLine="480"/>
        <w:jc w:val="left"/>
        <w:rPr>
          <w:rFonts w:ascii="宋体" w:hAnsi="宋体" w:cs="Arial"/>
          <w:color w:val="000000"/>
          <w:kern w:val="0"/>
          <w:sz w:val="24"/>
        </w:rPr>
      </w:pPr>
      <w:r>
        <w:rPr>
          <w:rFonts w:hint="eastAsia" w:ascii="宋体" w:hAnsi="宋体" w:cs="Arial"/>
          <w:color w:val="000000"/>
          <w:sz w:val="24"/>
        </w:rPr>
        <w:t>▲</w:t>
      </w:r>
      <w:r>
        <w:rPr>
          <w:rFonts w:ascii="宋体" w:hAnsi="宋体" w:cs="Arial"/>
          <w:color w:val="000000"/>
          <w:sz w:val="24"/>
        </w:rPr>
        <w:t>《中华人民共和国政府采购法》</w:t>
      </w:r>
      <w:r>
        <w:rPr>
          <w:rFonts w:ascii="宋体" w:hAnsi="宋体" w:cs="Arial"/>
          <w:color w:val="000000"/>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color w:val="000000"/>
          <w:kern w:val="0"/>
          <w:sz w:val="24"/>
        </w:rPr>
        <w:t>不良行为记录</w:t>
      </w:r>
      <w:r>
        <w:rPr>
          <w:rFonts w:ascii="宋体" w:hAnsi="宋体" w:cs="Arial"/>
          <w:color w:val="000000"/>
          <w:kern w:val="0"/>
          <w:sz w:val="24"/>
        </w:rPr>
        <w:fldChar w:fldCharType="end"/>
      </w:r>
      <w:r>
        <w:rPr>
          <w:rFonts w:ascii="宋体" w:hAnsi="宋体" w:cs="Arial"/>
          <w:color w:val="000000"/>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color w:val="000000"/>
          <w:kern w:val="0"/>
          <w:sz w:val="24"/>
        </w:rPr>
        <w:t>工商行政管理机关</w:t>
      </w:r>
      <w:r>
        <w:rPr>
          <w:rFonts w:ascii="宋体" w:hAnsi="宋体" w:cs="Arial"/>
          <w:color w:val="000000"/>
          <w:kern w:val="0"/>
          <w:sz w:val="24"/>
        </w:rPr>
        <w:fldChar w:fldCharType="end"/>
      </w:r>
      <w:r>
        <w:rPr>
          <w:rFonts w:ascii="宋体" w:hAnsi="宋体" w:cs="Arial"/>
          <w:color w:val="000000"/>
          <w:kern w:val="0"/>
          <w:sz w:val="24"/>
        </w:rPr>
        <w:t>吊销营业执照；构成犯罪的，依法追究刑事责任：</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（一）提供虚假材料谋取中标、成交的；</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（二）采取不正当手段诋毁、排挤其他供应商的；</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（三）与采购人、其他供应商或者采购代理机构恶意串通的；</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（四）向采购人、采购代理机构行贿或者提供其他不正当利益的；</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（五）在招标采购过程中与采购人进行协商谈判的；</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（六）拒绝有关部门监督检查或者提供虚假情况的。</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供应商有前款第（一）至（五）项情形之一的，中标、成交无效。</w:t>
      </w:r>
    </w:p>
    <w:p>
      <w:pPr>
        <w:widowControl/>
        <w:spacing w:line="360" w:lineRule="auto"/>
        <w:ind w:firstLine="480" w:firstLineChars="200"/>
        <w:jc w:val="left"/>
        <w:rPr>
          <w:rFonts w:ascii="宋体" w:hAnsi="宋体" w:cs="宋体"/>
          <w:color w:val="000000"/>
          <w:kern w:val="0"/>
          <w:sz w:val="24"/>
        </w:rPr>
      </w:pP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第七十二条</w:t>
      </w:r>
      <w:r>
        <w:rPr>
          <w:rFonts w:ascii="宋体" w:hAnsi="宋体" w:cs="宋体"/>
          <w:color w:val="000000"/>
          <w:kern w:val="0"/>
          <w:sz w:val="24"/>
        </w:rPr>
        <w:t>　供应商有下列情形之一的，依照政府采购法第七十七条第一款的规定追究法律责任：</w:t>
      </w:r>
    </w:p>
    <w:p>
      <w:pPr>
        <w:widowControl/>
        <w:spacing w:line="360" w:lineRule="auto"/>
        <w:ind w:firstLine="480" w:firstLineChars="200"/>
        <w:jc w:val="left"/>
        <w:rPr>
          <w:rFonts w:ascii="宋体" w:hAnsi="宋体" w:cs="宋体"/>
          <w:color w:val="000000"/>
          <w:kern w:val="0"/>
          <w:sz w:val="24"/>
        </w:rPr>
      </w:pPr>
      <w:r>
        <w:rPr>
          <w:rFonts w:ascii="宋体" w:hAnsi="宋体" w:cs="宋体"/>
          <w:color w:val="000000"/>
          <w:kern w:val="0"/>
          <w:sz w:val="24"/>
        </w:rPr>
        <w:t>（一）向评标委员会、竞争性</w:t>
      </w:r>
      <w:r>
        <w:rPr>
          <w:rFonts w:hint="eastAsia" w:ascii="宋体" w:hAnsi="宋体" w:cs="宋体"/>
          <w:color w:val="000000"/>
          <w:kern w:val="0"/>
          <w:sz w:val="24"/>
        </w:rPr>
        <w:t>投标</w:t>
      </w:r>
      <w:r>
        <w:rPr>
          <w:rFonts w:ascii="宋体" w:hAnsi="宋体" w:cs="宋体"/>
          <w:color w:val="000000"/>
          <w:kern w:val="0"/>
          <w:sz w:val="24"/>
        </w:rPr>
        <w:t>小组或者询价小组成员行贿或者提供其他不正当利益；</w:t>
      </w:r>
    </w:p>
    <w:p>
      <w:pPr>
        <w:widowControl/>
        <w:spacing w:line="360" w:lineRule="auto"/>
        <w:jc w:val="left"/>
        <w:rPr>
          <w:rFonts w:ascii="宋体" w:hAnsi="宋体" w:cs="宋体"/>
          <w:color w:val="000000"/>
          <w:kern w:val="0"/>
          <w:sz w:val="24"/>
        </w:rPr>
      </w:pPr>
      <w:r>
        <w:rPr>
          <w:rFonts w:ascii="宋体" w:hAnsi="宋体" w:cs="宋体"/>
          <w:color w:val="000000"/>
          <w:kern w:val="0"/>
          <w:sz w:val="24"/>
        </w:rPr>
        <w:t>　　（二）中标或者成交后无正当理由拒不与采购人签订政府采购合同；</w:t>
      </w:r>
    </w:p>
    <w:p>
      <w:pPr>
        <w:widowControl/>
        <w:spacing w:line="360" w:lineRule="auto"/>
        <w:jc w:val="left"/>
        <w:rPr>
          <w:rFonts w:ascii="宋体" w:hAnsi="宋体" w:cs="宋体"/>
          <w:color w:val="000000"/>
          <w:kern w:val="0"/>
          <w:sz w:val="24"/>
        </w:rPr>
      </w:pPr>
      <w:r>
        <w:rPr>
          <w:rFonts w:ascii="宋体" w:hAnsi="宋体" w:cs="宋体"/>
          <w:color w:val="000000"/>
          <w:kern w:val="0"/>
          <w:sz w:val="24"/>
        </w:rPr>
        <w:t>　　（三）未按照采购文件确定的事项签订政府采购合同；</w:t>
      </w:r>
    </w:p>
    <w:p>
      <w:pPr>
        <w:widowControl/>
        <w:spacing w:line="360" w:lineRule="auto"/>
        <w:jc w:val="left"/>
        <w:rPr>
          <w:rFonts w:ascii="宋体" w:hAnsi="宋体" w:cs="宋体"/>
          <w:color w:val="000000"/>
          <w:kern w:val="0"/>
          <w:sz w:val="24"/>
        </w:rPr>
      </w:pPr>
      <w:r>
        <w:rPr>
          <w:rFonts w:ascii="宋体" w:hAnsi="宋体" w:cs="宋体"/>
          <w:color w:val="000000"/>
          <w:kern w:val="0"/>
          <w:sz w:val="24"/>
        </w:rPr>
        <w:t>　　（四）将政府采购合同转包；</w:t>
      </w:r>
    </w:p>
    <w:p>
      <w:pPr>
        <w:widowControl/>
        <w:spacing w:line="360" w:lineRule="auto"/>
        <w:jc w:val="left"/>
        <w:rPr>
          <w:rFonts w:ascii="宋体" w:hAnsi="宋体" w:cs="宋体"/>
          <w:color w:val="000000"/>
          <w:kern w:val="0"/>
          <w:sz w:val="24"/>
        </w:rPr>
      </w:pPr>
      <w:r>
        <w:rPr>
          <w:rFonts w:ascii="宋体" w:hAnsi="宋体" w:cs="宋体"/>
          <w:color w:val="000000"/>
          <w:kern w:val="0"/>
          <w:sz w:val="24"/>
        </w:rPr>
        <w:t>　　（五）提供假冒伪劣产品；</w:t>
      </w:r>
    </w:p>
    <w:p>
      <w:pPr>
        <w:widowControl/>
        <w:spacing w:line="360" w:lineRule="auto"/>
        <w:jc w:val="left"/>
        <w:rPr>
          <w:rFonts w:ascii="宋体" w:hAnsi="宋体" w:cs="宋体"/>
          <w:color w:val="000000"/>
          <w:kern w:val="0"/>
          <w:sz w:val="24"/>
        </w:rPr>
      </w:pPr>
      <w:r>
        <w:rPr>
          <w:rFonts w:ascii="宋体" w:hAnsi="宋体" w:cs="宋体"/>
          <w:color w:val="000000"/>
          <w:kern w:val="0"/>
          <w:sz w:val="24"/>
        </w:rPr>
        <w:t>　　（六）擅自变更、中止或者终止政府采购合同。</w:t>
      </w:r>
    </w:p>
    <w:p>
      <w:pPr>
        <w:widowControl/>
        <w:spacing w:line="360" w:lineRule="auto"/>
        <w:jc w:val="left"/>
        <w:rPr>
          <w:rFonts w:ascii="宋体" w:hAnsi="宋体" w:cs="宋体"/>
          <w:color w:val="000000"/>
          <w:kern w:val="0"/>
          <w:sz w:val="24"/>
        </w:rPr>
      </w:pPr>
      <w:r>
        <w:rPr>
          <w:rFonts w:ascii="宋体" w:hAnsi="宋体" w:cs="宋体"/>
          <w:color w:val="000000"/>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60" w:lineRule="auto"/>
        <w:jc w:val="left"/>
        <w:rPr>
          <w:rFonts w:ascii="宋体" w:hAnsi="宋体" w:cs="宋体"/>
          <w:color w:val="000000"/>
          <w:kern w:val="0"/>
          <w:sz w:val="24"/>
        </w:rPr>
      </w:pPr>
      <w:r>
        <w:rPr>
          <w:rFonts w:ascii="宋体" w:hAnsi="宋体" w:cs="宋体"/>
          <w:color w:val="000000"/>
          <w:kern w:val="0"/>
          <w:sz w:val="24"/>
        </w:rPr>
        <w:t>　　</w:t>
      </w: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第七十三条</w:t>
      </w:r>
      <w:r>
        <w:rPr>
          <w:rFonts w:ascii="宋体" w:hAnsi="宋体" w:cs="宋体"/>
          <w:color w:val="000000"/>
          <w:kern w:val="0"/>
          <w:sz w:val="24"/>
        </w:rPr>
        <w:t>　供应商捏造事实、提供虚假材料或者以非法手段取得证明材料进行投诉的，由财政部门列入不良行为记录名单，禁止其1至3年内参加政府采购活动。</w:t>
      </w:r>
    </w:p>
    <w:p>
      <w:pPr>
        <w:widowControl/>
        <w:spacing w:line="360" w:lineRule="auto"/>
        <w:jc w:val="left"/>
        <w:rPr>
          <w:rFonts w:ascii="宋体" w:hAnsi="宋体" w:cs="宋体"/>
          <w:color w:val="000000"/>
          <w:kern w:val="0"/>
          <w:sz w:val="24"/>
        </w:rPr>
      </w:pPr>
      <w:r>
        <w:rPr>
          <w:rFonts w:ascii="宋体" w:hAnsi="宋体" w:cs="宋体"/>
          <w:color w:val="000000"/>
          <w:kern w:val="0"/>
          <w:sz w:val="24"/>
        </w:rPr>
        <w:t>　　</w:t>
      </w: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第七十四条</w:t>
      </w:r>
      <w:r>
        <w:rPr>
          <w:rFonts w:ascii="宋体" w:hAnsi="宋体" w:cs="宋体"/>
          <w:color w:val="000000"/>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60" w:lineRule="auto"/>
        <w:jc w:val="left"/>
        <w:rPr>
          <w:rFonts w:ascii="宋体" w:hAnsi="宋体" w:cs="宋体"/>
          <w:color w:val="000000"/>
          <w:kern w:val="0"/>
          <w:sz w:val="24"/>
        </w:rPr>
      </w:pPr>
      <w:r>
        <w:rPr>
          <w:rFonts w:ascii="宋体" w:hAnsi="宋体" w:cs="宋体"/>
          <w:color w:val="000000"/>
          <w:kern w:val="0"/>
          <w:sz w:val="24"/>
        </w:rPr>
        <w:t>　　（一）供应商直接或者间接从采购人或者采购代理机构处获得其他供应商的相关情况并修改其投标文件或者响应文件；</w:t>
      </w:r>
    </w:p>
    <w:p>
      <w:pPr>
        <w:widowControl/>
        <w:spacing w:line="360" w:lineRule="auto"/>
        <w:jc w:val="left"/>
        <w:rPr>
          <w:rFonts w:ascii="宋体" w:hAnsi="宋体" w:cs="宋体"/>
          <w:color w:val="000000"/>
          <w:kern w:val="0"/>
          <w:sz w:val="24"/>
        </w:rPr>
      </w:pPr>
      <w:r>
        <w:rPr>
          <w:rFonts w:ascii="宋体" w:hAnsi="宋体" w:cs="宋体"/>
          <w:color w:val="000000"/>
          <w:kern w:val="0"/>
          <w:sz w:val="24"/>
        </w:rPr>
        <w:t>　　（二）供应商按照采购人或者采购代理机构的授意撤换、修改投标文件或者响应文件；</w:t>
      </w:r>
    </w:p>
    <w:p>
      <w:pPr>
        <w:widowControl/>
        <w:spacing w:line="360" w:lineRule="auto"/>
        <w:jc w:val="left"/>
        <w:rPr>
          <w:rFonts w:ascii="宋体" w:hAnsi="宋体" w:cs="宋体"/>
          <w:color w:val="000000"/>
          <w:kern w:val="0"/>
          <w:sz w:val="24"/>
        </w:rPr>
      </w:pPr>
      <w:r>
        <w:rPr>
          <w:rFonts w:ascii="宋体" w:hAnsi="宋体" w:cs="宋体"/>
          <w:color w:val="000000"/>
          <w:kern w:val="0"/>
          <w:sz w:val="24"/>
        </w:rPr>
        <w:t>　　（三）供应商之间协商报价、技术方案等投标文件或者响应文件的实质性内容；</w:t>
      </w:r>
    </w:p>
    <w:p>
      <w:pPr>
        <w:widowControl/>
        <w:spacing w:line="360" w:lineRule="auto"/>
        <w:jc w:val="left"/>
        <w:rPr>
          <w:rFonts w:ascii="宋体" w:hAnsi="宋体" w:cs="宋体"/>
          <w:color w:val="000000"/>
          <w:kern w:val="0"/>
          <w:sz w:val="24"/>
        </w:rPr>
      </w:pPr>
      <w:r>
        <w:rPr>
          <w:rFonts w:ascii="宋体" w:hAnsi="宋体" w:cs="宋体"/>
          <w:color w:val="000000"/>
          <w:kern w:val="0"/>
          <w:sz w:val="24"/>
        </w:rPr>
        <w:t>　　（四）属于同一集团、协会、商会等组织成员的供应商按照该组织要求协同参加政府采购活动；</w:t>
      </w:r>
    </w:p>
    <w:p>
      <w:pPr>
        <w:widowControl/>
        <w:spacing w:line="360" w:lineRule="auto"/>
        <w:jc w:val="left"/>
        <w:rPr>
          <w:rFonts w:ascii="宋体" w:hAnsi="宋体" w:cs="宋体"/>
          <w:color w:val="000000"/>
          <w:kern w:val="0"/>
          <w:sz w:val="24"/>
        </w:rPr>
      </w:pPr>
      <w:r>
        <w:rPr>
          <w:rFonts w:ascii="宋体" w:hAnsi="宋体" w:cs="宋体"/>
          <w:color w:val="000000"/>
          <w:kern w:val="0"/>
          <w:sz w:val="24"/>
        </w:rPr>
        <w:t>　　（五）供应商之间事先约定由某一特定供应商中标、成交；</w:t>
      </w:r>
    </w:p>
    <w:p>
      <w:pPr>
        <w:widowControl/>
        <w:spacing w:line="360" w:lineRule="auto"/>
        <w:jc w:val="left"/>
        <w:rPr>
          <w:rFonts w:ascii="宋体" w:hAnsi="宋体" w:cs="宋体"/>
          <w:color w:val="000000"/>
          <w:kern w:val="0"/>
          <w:sz w:val="24"/>
        </w:rPr>
      </w:pPr>
      <w:r>
        <w:rPr>
          <w:rFonts w:ascii="宋体" w:hAnsi="宋体" w:cs="宋体"/>
          <w:color w:val="000000"/>
          <w:kern w:val="0"/>
          <w:sz w:val="24"/>
        </w:rPr>
        <w:t>　　（六）供应商之间商定部分供应商放弃参加政府采购活动或者放弃中标、成交；</w:t>
      </w:r>
    </w:p>
    <w:p>
      <w:pPr>
        <w:widowControl/>
        <w:spacing w:line="360" w:lineRule="auto"/>
        <w:ind w:firstLine="480" w:firstLineChars="200"/>
        <w:jc w:val="left"/>
        <w:rPr>
          <w:sz w:val="24"/>
        </w:rPr>
      </w:pPr>
      <w:r>
        <w:rPr>
          <w:sz w:val="24"/>
        </w:rPr>
        <w:t>（七）供应商与采购人或者采购代理机构之间、供应商相互之间，为谋求特定供应商中标、成交或者排斥其他供应商的其他串通行为。</w:t>
      </w:r>
      <w:r>
        <w:rPr>
          <w:sz w:val="24"/>
        </w:rPr>
        <w:br w:type="page"/>
      </w:r>
    </w:p>
    <w:p>
      <w:pPr>
        <w:widowControl/>
        <w:spacing w:line="380" w:lineRule="exact"/>
        <w:rPr>
          <w:b/>
          <w:bCs/>
          <w:sz w:val="36"/>
        </w:rPr>
      </w:pPr>
    </w:p>
    <w:p>
      <w:pPr>
        <w:widowControl/>
        <w:spacing w:line="380" w:lineRule="exact"/>
        <w:ind w:firstLine="723" w:firstLineChars="200"/>
        <w:jc w:val="center"/>
        <w:rPr>
          <w:b/>
          <w:bCs/>
          <w:sz w:val="36"/>
        </w:rPr>
      </w:pPr>
      <w:r>
        <w:rPr>
          <w:rFonts w:hint="eastAsia"/>
          <w:b/>
          <w:bCs/>
          <w:sz w:val="36"/>
        </w:rPr>
        <w:t>第三章  评标办法及评标标准</w:t>
      </w:r>
    </w:p>
    <w:p>
      <w:pPr>
        <w:pStyle w:val="23"/>
        <w:ind w:firstLine="210"/>
      </w:pPr>
    </w:p>
    <w:p>
      <w:pPr>
        <w:spacing w:line="400" w:lineRule="exact"/>
        <w:ind w:firstLine="482" w:firstLineChars="200"/>
        <w:rPr>
          <w:rFonts w:ascii="宋体" w:hAnsi="宋体"/>
          <w:color w:val="000000"/>
          <w:sz w:val="24"/>
        </w:rPr>
      </w:pPr>
      <w:r>
        <w:rPr>
          <w:rFonts w:hint="eastAsia" w:ascii="宋体" w:hAnsi="宋体"/>
          <w:b/>
          <w:color w:val="000000"/>
          <w:sz w:val="24"/>
        </w:rPr>
        <w:t xml:space="preserve">第一条  </w:t>
      </w:r>
      <w:r>
        <w:rPr>
          <w:rFonts w:hint="eastAsia" w:ascii="宋体" w:hAnsi="宋体"/>
          <w:color w:val="000000"/>
          <w:sz w:val="24"/>
        </w:rPr>
        <w:t>评标按下列程序进行：</w:t>
      </w:r>
    </w:p>
    <w:p>
      <w:pPr>
        <w:spacing w:line="400" w:lineRule="exact"/>
        <w:ind w:firstLine="480" w:firstLineChars="200"/>
        <w:rPr>
          <w:rFonts w:ascii="宋体" w:hAnsi="宋体"/>
          <w:color w:val="000000"/>
          <w:sz w:val="24"/>
        </w:rPr>
      </w:pPr>
      <w:r>
        <w:rPr>
          <w:rFonts w:hint="eastAsia" w:ascii="宋体" w:hAnsi="宋体"/>
          <w:color w:val="000000"/>
          <w:sz w:val="24"/>
        </w:rPr>
        <w:t>（一）依法组建评标委员会；</w:t>
      </w:r>
    </w:p>
    <w:p>
      <w:pPr>
        <w:spacing w:line="400" w:lineRule="exact"/>
        <w:ind w:firstLine="480" w:firstLineChars="200"/>
        <w:rPr>
          <w:rFonts w:ascii="宋体" w:hAnsi="宋体"/>
          <w:color w:val="000000"/>
          <w:sz w:val="24"/>
        </w:rPr>
      </w:pPr>
      <w:r>
        <w:rPr>
          <w:rFonts w:hint="eastAsia" w:ascii="宋体" w:hAnsi="宋体"/>
          <w:color w:val="000000"/>
          <w:sz w:val="24"/>
        </w:rPr>
        <w:t>（二）评标前准备；</w:t>
      </w:r>
    </w:p>
    <w:p>
      <w:pPr>
        <w:spacing w:line="400" w:lineRule="exact"/>
        <w:ind w:firstLine="480" w:firstLineChars="200"/>
        <w:rPr>
          <w:rFonts w:ascii="宋体" w:hAnsi="宋体"/>
          <w:color w:val="000000"/>
          <w:sz w:val="24"/>
        </w:rPr>
      </w:pPr>
      <w:r>
        <w:rPr>
          <w:rFonts w:hint="eastAsia" w:ascii="宋体" w:hAnsi="宋体"/>
          <w:color w:val="000000"/>
          <w:sz w:val="24"/>
        </w:rPr>
        <w:t>（三）资格审查；</w:t>
      </w:r>
    </w:p>
    <w:p>
      <w:pPr>
        <w:spacing w:line="400" w:lineRule="exact"/>
        <w:ind w:firstLine="480" w:firstLineChars="200"/>
        <w:rPr>
          <w:rFonts w:ascii="宋体" w:hAnsi="宋体"/>
          <w:color w:val="000000"/>
          <w:sz w:val="24"/>
        </w:rPr>
      </w:pPr>
      <w:r>
        <w:rPr>
          <w:rFonts w:hint="eastAsia" w:ascii="宋体" w:hAnsi="宋体"/>
          <w:color w:val="000000"/>
          <w:sz w:val="24"/>
        </w:rPr>
        <w:t>（四）技术标评审；</w:t>
      </w:r>
    </w:p>
    <w:p>
      <w:pPr>
        <w:spacing w:line="400" w:lineRule="exact"/>
        <w:ind w:firstLine="480" w:firstLineChars="200"/>
        <w:rPr>
          <w:rFonts w:ascii="宋体" w:hAnsi="宋体"/>
          <w:color w:val="000000"/>
          <w:sz w:val="24"/>
        </w:rPr>
      </w:pPr>
      <w:r>
        <w:rPr>
          <w:rFonts w:hint="eastAsia" w:ascii="宋体" w:hAnsi="宋体"/>
          <w:color w:val="000000"/>
          <w:sz w:val="24"/>
        </w:rPr>
        <w:t>（五）报价评审</w:t>
      </w:r>
    </w:p>
    <w:p>
      <w:pPr>
        <w:spacing w:line="400" w:lineRule="exact"/>
        <w:ind w:firstLine="480" w:firstLineChars="200"/>
        <w:rPr>
          <w:rFonts w:ascii="宋体" w:hAnsi="宋体"/>
          <w:color w:val="000000"/>
          <w:sz w:val="24"/>
        </w:rPr>
      </w:pPr>
      <w:r>
        <w:rPr>
          <w:rFonts w:hint="eastAsia" w:ascii="宋体" w:hAnsi="宋体"/>
          <w:color w:val="000000"/>
          <w:sz w:val="24"/>
        </w:rPr>
        <w:t>（六）完成评标报告。</w:t>
      </w:r>
    </w:p>
    <w:p>
      <w:pPr>
        <w:tabs>
          <w:tab w:val="center" w:pos="4153"/>
          <w:tab w:val="right" w:pos="8306"/>
        </w:tabs>
        <w:snapToGrid w:val="0"/>
        <w:spacing w:line="400" w:lineRule="exact"/>
        <w:ind w:firstLine="482" w:firstLineChars="200"/>
        <w:jc w:val="left"/>
        <w:rPr>
          <w:rFonts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采购机构依法组建由5人以上（含）奇数的人员组成的评标委员会，负责对投标文件进行审查、质询、评审和比较等。评审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color w:val="000000"/>
          <w:sz w:val="24"/>
        </w:rPr>
        <w:t xml:space="preserve">第三条 </w:t>
      </w:r>
      <w:r>
        <w:rPr>
          <w:rFonts w:hint="eastAsia" w:ascii="宋体" w:hAnsi="宋体"/>
          <w:color w:val="000000"/>
          <w:sz w:val="24"/>
        </w:rPr>
        <w:t xml:space="preserve"> 评标委员会必须公平、公正、客观，不带任何倾向性和启发性；不得向外界透露任何</w:t>
      </w:r>
      <w:r>
        <w:rPr>
          <w:rFonts w:hint="eastAsia" w:ascii="宋体" w:hAnsi="宋体"/>
          <w:sz w:val="24"/>
        </w:rPr>
        <w:t>与评标有关的内容；任何单位和个人不得干扰、影响评标的正常进行；评标委员会及有关工作人员不得私下与投标人接触。</w:t>
      </w:r>
    </w:p>
    <w:p>
      <w:pPr>
        <w:spacing w:line="400" w:lineRule="exact"/>
        <w:ind w:firstLine="482" w:firstLineChars="200"/>
        <w:rPr>
          <w:rFonts w:ascii="宋体"/>
          <w:b/>
          <w:color w:val="000000"/>
          <w:sz w:val="24"/>
        </w:rPr>
      </w:pPr>
      <w:r>
        <w:rPr>
          <w:rFonts w:hint="eastAsia" w:ascii="宋体" w:hAnsi="宋体"/>
          <w:b/>
          <w:color w:val="000000"/>
          <w:sz w:val="24"/>
        </w:rPr>
        <w:t>第四条本项目先开资信、技术文件，再开报价文件。其中资信和技术分占80</w:t>
      </w:r>
      <w:r>
        <w:rPr>
          <w:rFonts w:ascii="宋体" w:hAnsi="宋体"/>
          <w:b/>
          <w:color w:val="000000"/>
          <w:sz w:val="24"/>
        </w:rPr>
        <w:t>%</w:t>
      </w:r>
      <w:r>
        <w:rPr>
          <w:rFonts w:hint="eastAsia" w:ascii="宋体" w:hAnsi="宋体"/>
          <w:b/>
          <w:color w:val="000000"/>
          <w:sz w:val="24"/>
        </w:rPr>
        <w:t>，报价分占20</w:t>
      </w:r>
      <w:r>
        <w:rPr>
          <w:rFonts w:ascii="宋体" w:hAnsi="宋体"/>
          <w:b/>
          <w:color w:val="000000"/>
          <w:sz w:val="24"/>
        </w:rPr>
        <w:t>%</w:t>
      </w:r>
      <w:r>
        <w:rPr>
          <w:rFonts w:hint="eastAsia" w:ascii="宋体" w:hAnsi="宋体"/>
          <w:b/>
          <w:color w:val="000000"/>
          <w:sz w:val="24"/>
        </w:rPr>
        <w:t>。</w:t>
      </w:r>
    </w:p>
    <w:p>
      <w:pPr>
        <w:spacing w:line="400" w:lineRule="exact"/>
        <w:ind w:firstLine="463" w:firstLineChars="192"/>
        <w:rPr>
          <w:rFonts w:ascii="宋体"/>
          <w:b/>
          <w:color w:val="000000"/>
          <w:sz w:val="24"/>
        </w:rPr>
      </w:pPr>
      <w:r>
        <w:rPr>
          <w:rFonts w:hint="eastAsia" w:ascii="宋体" w:hAnsi="宋体"/>
          <w:b/>
          <w:color w:val="000000"/>
          <w:sz w:val="24"/>
        </w:rPr>
        <w:t>第五条</w:t>
      </w:r>
      <w:r>
        <w:rPr>
          <w:rFonts w:ascii="宋体" w:hAnsi="宋体"/>
          <w:b/>
          <w:color w:val="000000"/>
          <w:sz w:val="24"/>
        </w:rPr>
        <w:t xml:space="preserve">  </w:t>
      </w:r>
      <w:r>
        <w:rPr>
          <w:rFonts w:hint="eastAsia" w:ascii="宋体" w:hAnsi="宋体"/>
          <w:b/>
          <w:color w:val="000000"/>
          <w:sz w:val="24"/>
        </w:rPr>
        <w:t>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b/>
          <w:color w:val="000000"/>
          <w:sz w:val="24"/>
        </w:rPr>
      </w:pPr>
      <w:r>
        <w:rPr>
          <w:rFonts w:hint="eastAsia" w:ascii="宋体" w:hAnsi="宋体"/>
          <w:b/>
          <w:color w:val="000000"/>
          <w:sz w:val="24"/>
        </w:rPr>
        <w:t>公示结束后，经采购人确定，原则上选择第一中标候选人为成交供应商，如第一中标候选人出现无法履约等情形，可选择第二中标候选人为成交供应商。</w:t>
      </w:r>
    </w:p>
    <w:p>
      <w:pPr>
        <w:pStyle w:val="30"/>
      </w:pPr>
    </w:p>
    <w:p>
      <w:pPr>
        <w:pStyle w:val="30"/>
      </w:pPr>
    </w:p>
    <w:p>
      <w:pPr>
        <w:widowControl/>
        <w:spacing w:line="300" w:lineRule="exact"/>
        <w:rPr>
          <w:rFonts w:ascii="宋体" w:hAnsi="宋体"/>
          <w:b/>
          <w:sz w:val="24"/>
        </w:rPr>
      </w:pPr>
      <w:r>
        <w:rPr>
          <w:rFonts w:hint="eastAsia" w:ascii="宋体" w:hAnsi="宋体"/>
          <w:b/>
          <w:sz w:val="24"/>
        </w:rPr>
        <w:t>▲资信及商务、技术评分表（80）</w:t>
      </w:r>
    </w:p>
    <w:tbl>
      <w:tblPr>
        <w:tblStyle w:val="24"/>
        <w:tblW w:w="9962"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593"/>
        <w:gridCol w:w="6414"/>
        <w:gridCol w:w="949"/>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06" w:type="dxa"/>
            <w:noWrap w:val="0"/>
            <w:vAlign w:val="center"/>
          </w:tcPr>
          <w:p>
            <w:pPr>
              <w:autoSpaceDE w:val="0"/>
              <w:autoSpaceDN w:val="0"/>
              <w:adjustRightInd w:val="0"/>
              <w:spacing w:line="360" w:lineRule="exact"/>
              <w:ind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1593" w:type="dxa"/>
            <w:noWrap w:val="0"/>
            <w:vAlign w:val="center"/>
          </w:tcPr>
          <w:p>
            <w:pPr>
              <w:autoSpaceDE w:val="0"/>
              <w:autoSpaceDN w:val="0"/>
              <w:adjustRightInd w:val="0"/>
              <w:spacing w:line="360" w:lineRule="exact"/>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6414" w:type="dxa"/>
            <w:noWrap w:val="0"/>
            <w:vAlign w:val="center"/>
          </w:tcPr>
          <w:p>
            <w:pPr>
              <w:autoSpaceDE w:val="0"/>
              <w:autoSpaceDN w:val="0"/>
              <w:adjustRightInd w:val="0"/>
              <w:spacing w:line="360" w:lineRule="exact"/>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949" w:type="dxa"/>
            <w:noWrap w:val="0"/>
            <w:vAlign w:val="center"/>
          </w:tcPr>
          <w:p>
            <w:pPr>
              <w:autoSpaceDE w:val="0"/>
              <w:autoSpaceDN w:val="0"/>
              <w:adjustRightInd w:val="0"/>
              <w:spacing w:line="360" w:lineRule="exact"/>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分数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006" w:type="dxa"/>
            <w:vMerge w:val="restart"/>
            <w:noWrap w:val="0"/>
            <w:vAlign w:val="center"/>
          </w:tcPr>
          <w:p>
            <w:pPr>
              <w:pStyle w:val="12"/>
              <w:spacing w:line="360" w:lineRule="exact"/>
              <w:ind w:firstLine="0" w:firstLineChars="0"/>
              <w:jc w:val="center"/>
              <w:rPr>
                <w:rFonts w:hint="eastAsia" w:ascii="宋体" w:hAnsi="宋体" w:eastAsia="宋体" w:cs="宋体"/>
                <w:color w:val="auto"/>
                <w:sz w:val="24"/>
                <w:szCs w:val="24"/>
                <w:lang w:eastAsia="zh-CN"/>
              </w:rPr>
            </w:pPr>
            <w:r>
              <w:rPr>
                <w:rFonts w:hint="eastAsia" w:ascii="宋体" w:hAnsi="宋体" w:cs="仿宋_GB2312"/>
                <w:b/>
                <w:bCs/>
                <w:kern w:val="2"/>
                <w:sz w:val="24"/>
                <w:szCs w:val="24"/>
                <w:lang w:val="en-US" w:eastAsia="zh-CN" w:bidi="ar-SA"/>
              </w:rPr>
              <w:t>1</w:t>
            </w:r>
          </w:p>
        </w:tc>
        <w:tc>
          <w:tcPr>
            <w:tcW w:w="1593" w:type="dxa"/>
            <w:vMerge w:val="restart"/>
            <w:noWrap w:val="0"/>
            <w:vAlign w:val="center"/>
          </w:tcPr>
          <w:p>
            <w:pPr>
              <w:keepNext w:val="0"/>
              <w:keepLines w:val="0"/>
              <w:pageBreakBefore w:val="0"/>
              <w:kinsoku/>
              <w:wordWrap/>
              <w:overflowPunct/>
              <w:topLinePunct w:val="0"/>
              <w:autoSpaceDE/>
              <w:autoSpaceDN/>
              <w:bidi w:val="0"/>
              <w:adjustRightInd/>
              <w:snapToGrid w:val="0"/>
              <w:spacing w:line="340" w:lineRule="exact"/>
              <w:ind w:left="0" w:leftChars="0" w:right="0" w:rightChars="0" w:firstLine="14" w:firstLineChars="6"/>
              <w:jc w:val="center"/>
              <w:textAlignment w:val="auto"/>
              <w:outlineLvl w:val="9"/>
              <w:rPr>
                <w:rFonts w:ascii="宋体" w:hAnsi="宋体"/>
                <w:b/>
                <w:bCs/>
                <w:sz w:val="24"/>
                <w:szCs w:val="24"/>
              </w:rPr>
            </w:pPr>
            <w:r>
              <w:rPr>
                <w:rFonts w:hint="eastAsia" w:ascii="宋体" w:hAnsi="宋体" w:cs="仿宋_GB2312"/>
                <w:b/>
                <w:bCs/>
                <w:sz w:val="24"/>
                <w:szCs w:val="24"/>
              </w:rPr>
              <w:t>技术方案</w:t>
            </w:r>
          </w:p>
          <w:p>
            <w:pPr>
              <w:keepNext w:val="0"/>
              <w:keepLines w:val="0"/>
              <w:pageBreakBefore w:val="0"/>
              <w:kinsoku/>
              <w:wordWrap/>
              <w:overflowPunct/>
              <w:topLinePunct w:val="0"/>
              <w:autoSpaceDE/>
              <w:autoSpaceDN/>
              <w:bidi w:val="0"/>
              <w:adjustRightInd/>
              <w:snapToGrid w:val="0"/>
              <w:spacing w:line="340" w:lineRule="exact"/>
              <w:ind w:left="0" w:leftChars="0" w:right="0" w:rightChars="0" w:firstLine="14" w:firstLineChars="6"/>
              <w:jc w:val="center"/>
              <w:textAlignment w:val="auto"/>
              <w:outlineLvl w:val="9"/>
              <w:rPr>
                <w:rFonts w:ascii="宋体" w:hAnsi="宋体"/>
                <w:b/>
                <w:bCs/>
                <w:sz w:val="24"/>
                <w:szCs w:val="24"/>
              </w:rPr>
            </w:pPr>
            <w:r>
              <w:rPr>
                <w:rFonts w:hint="eastAsia" w:ascii="宋体" w:hAnsi="宋体" w:cs="仿宋_GB2312"/>
                <w:b/>
                <w:bCs/>
                <w:sz w:val="24"/>
                <w:szCs w:val="24"/>
              </w:rPr>
              <w:t>及质量</w:t>
            </w:r>
          </w:p>
          <w:p>
            <w:pPr>
              <w:adjustRightInd w:val="0"/>
              <w:snapToGrid w:val="0"/>
              <w:spacing w:line="360" w:lineRule="exact"/>
              <w:jc w:val="center"/>
              <w:rPr>
                <w:rFonts w:hint="eastAsia" w:ascii="华文中宋" w:hAnsi="华文中宋" w:eastAsia="华文中宋" w:cs="华文中宋"/>
                <w:b/>
                <w:bCs/>
                <w:color w:val="auto"/>
                <w:szCs w:val="21"/>
                <w:highlight w:val="none"/>
              </w:rPr>
            </w:pPr>
            <w:r>
              <w:rPr>
                <w:rStyle w:val="50"/>
                <w:rFonts w:hint="eastAsia" w:ascii="宋体" w:hAnsi="宋体" w:cs="宋体"/>
                <w:bCs/>
                <w:szCs w:val="24"/>
              </w:rPr>
              <w:t>（</w:t>
            </w:r>
            <w:r>
              <w:rPr>
                <w:rStyle w:val="50"/>
                <w:rFonts w:ascii="宋体" w:hAnsi="宋体" w:cs="仿宋_GB2312"/>
                <w:bCs/>
                <w:szCs w:val="24"/>
              </w:rPr>
              <w:t>0-</w:t>
            </w:r>
            <w:r>
              <w:rPr>
                <w:rStyle w:val="50"/>
                <w:rFonts w:hint="eastAsia" w:ascii="宋体" w:hAnsi="宋体" w:cs="仿宋_GB2312"/>
                <w:bCs/>
                <w:szCs w:val="24"/>
                <w:lang w:val="en-US"/>
              </w:rPr>
              <w:t>57</w:t>
            </w:r>
            <w:r>
              <w:rPr>
                <w:rStyle w:val="50"/>
                <w:rFonts w:hint="eastAsia" w:ascii="宋体" w:hAnsi="宋体" w:cs="宋体"/>
                <w:bCs/>
                <w:szCs w:val="24"/>
              </w:rPr>
              <w:t>分）</w:t>
            </w:r>
          </w:p>
        </w:tc>
        <w:tc>
          <w:tcPr>
            <w:tcW w:w="6414" w:type="dxa"/>
            <w:noWrap w:val="0"/>
            <w:vAlign w:val="center"/>
          </w:tcPr>
          <w:p>
            <w:pPr>
              <w:pStyle w:val="51"/>
              <w:keepNext w:val="0"/>
              <w:keepLines w:val="0"/>
              <w:pageBreakBefore w:val="0"/>
              <w:kinsoku/>
              <w:wordWrap/>
              <w:overflowPunct/>
              <w:topLinePunct w:val="0"/>
              <w:autoSpaceDE/>
              <w:autoSpaceDN/>
              <w:bidi w:val="0"/>
              <w:adjustRightInd/>
              <w:spacing w:line="340" w:lineRule="exact"/>
              <w:ind w:left="0" w:leftChars="0" w:right="0" w:righ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技术参数：全部符合明确指标参数得7分。对性能指标及技术参数属负偏离或缺漏项或标★项未满足的每项扣1分，扣完为止。</w:t>
            </w:r>
          </w:p>
          <w:p>
            <w:pPr>
              <w:keepNext w:val="0"/>
              <w:keepLines w:val="0"/>
              <w:pageBreakBefore w:val="0"/>
              <w:widowControl w:val="0"/>
              <w:numPr>
                <w:ilvl w:val="0"/>
                <w:numId w:val="0"/>
              </w:numPr>
              <w:kinsoku/>
              <w:wordWrap/>
              <w:overflowPunct/>
              <w:topLinePunct w:val="0"/>
              <w:autoSpaceDE/>
              <w:autoSpaceDN/>
              <w:bidi w:val="0"/>
              <w:adjustRightInd/>
              <w:spacing w:line="320" w:lineRule="exact"/>
              <w:ind w:right="0" w:rightChars="0"/>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产品证书：根据采购需求中产品要求提供的产品证书、证明、截图等资料，对其齐全性、符合性等进行评议，本项最高得4分。（0-4分）</w:t>
            </w:r>
          </w:p>
        </w:tc>
        <w:tc>
          <w:tcPr>
            <w:tcW w:w="949" w:type="dxa"/>
            <w:noWrap w:val="0"/>
            <w:vAlign w:val="center"/>
          </w:tcPr>
          <w:p>
            <w:pPr>
              <w:spacing w:line="360" w:lineRule="exact"/>
              <w:jc w:val="center"/>
              <w:rPr>
                <w:rFonts w:hint="eastAsia" w:ascii="宋体" w:hAnsi="宋体" w:eastAsia="宋体" w:cs="宋体"/>
                <w:color w:val="auto"/>
                <w:sz w:val="24"/>
                <w:szCs w:val="24"/>
              </w:rPr>
            </w:pPr>
            <w:r>
              <w:rPr>
                <w:rFonts w:hint="eastAsia" w:ascii="华文中宋" w:hAnsi="华文中宋" w:eastAsia="华文中宋" w:cs="华文中宋"/>
                <w:b/>
                <w:bCs/>
                <w:color w:val="auto"/>
                <w:szCs w:val="21"/>
                <w:highlight w:val="none"/>
              </w:rPr>
              <w:t>0-</w:t>
            </w:r>
            <w:r>
              <w:rPr>
                <w:rFonts w:hint="eastAsia" w:ascii="华文中宋" w:hAnsi="华文中宋" w:eastAsia="华文中宋" w:cs="华文中宋"/>
                <w:b/>
                <w:bCs/>
                <w:color w:val="auto"/>
                <w:szCs w:val="21"/>
                <w:highlight w:val="none"/>
                <w:lang w:val="en-US" w:eastAsia="zh-CN"/>
              </w:rPr>
              <w:t>11</w:t>
            </w:r>
            <w:r>
              <w:rPr>
                <w:rFonts w:hint="eastAsia" w:ascii="华文中宋" w:hAnsi="华文中宋" w:eastAsia="华文中宋" w:cs="华文中宋"/>
                <w:b/>
                <w:bCs/>
                <w:color w:val="auto"/>
                <w:szCs w:val="21"/>
                <w:highlight w:val="non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6" w:type="dxa"/>
            <w:vMerge w:val="continue"/>
            <w:noWrap w:val="0"/>
            <w:vAlign w:val="center"/>
          </w:tcPr>
          <w:p>
            <w:pPr>
              <w:pStyle w:val="12"/>
              <w:spacing w:line="360" w:lineRule="exact"/>
              <w:ind w:firstLine="0" w:firstLineChars="0"/>
              <w:jc w:val="center"/>
              <w:rPr>
                <w:rFonts w:hint="eastAsia" w:ascii="宋体" w:hAnsi="宋体" w:cs="仿宋_GB2312"/>
                <w:b/>
                <w:bCs/>
                <w:kern w:val="2"/>
                <w:sz w:val="24"/>
                <w:szCs w:val="24"/>
                <w:lang w:val="en-US" w:eastAsia="zh-CN" w:bidi="ar-SA"/>
              </w:rPr>
            </w:pPr>
          </w:p>
        </w:tc>
        <w:tc>
          <w:tcPr>
            <w:tcW w:w="1593" w:type="dxa"/>
            <w:vMerge w:val="continue"/>
            <w:noWrap w:val="0"/>
            <w:vAlign w:val="center"/>
          </w:tcPr>
          <w:p>
            <w:pPr>
              <w:adjustRightInd w:val="0"/>
              <w:snapToGrid w:val="0"/>
              <w:spacing w:line="360" w:lineRule="exact"/>
              <w:jc w:val="center"/>
              <w:rPr>
                <w:rStyle w:val="50"/>
                <w:rFonts w:hint="eastAsia" w:ascii="宋体" w:hAnsi="宋体" w:cs="宋体"/>
                <w:bCs/>
                <w:szCs w:val="24"/>
              </w:rPr>
            </w:pPr>
          </w:p>
        </w:tc>
        <w:tc>
          <w:tcPr>
            <w:tcW w:w="6414" w:type="dxa"/>
            <w:noWrap w:val="0"/>
            <w:vAlign w:val="center"/>
          </w:tcPr>
          <w:p>
            <w:pPr>
              <w:pStyle w:val="51"/>
              <w:keepNext w:val="0"/>
              <w:keepLines w:val="0"/>
              <w:pageBreakBefore w:val="0"/>
              <w:kinsoku/>
              <w:wordWrap/>
              <w:overflowPunct/>
              <w:topLinePunct w:val="0"/>
              <w:autoSpaceDE/>
              <w:autoSpaceDN/>
              <w:bidi w:val="0"/>
              <w:adjustRightInd/>
              <w:spacing w:line="340" w:lineRule="exact"/>
              <w:ind w:left="0" w:leftChars="0" w:right="0" w:righ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投标人提出设备部署建议（优化方案）及绘制出的音频系统拓扑结构图、对防汛会商系统的理解描述进行综合打分。部署建议和优化方案分析透彻，防汛会商系统的理解全面，拓扑图清晰到位，综合打分（0-6分）</w:t>
            </w:r>
          </w:p>
        </w:tc>
        <w:tc>
          <w:tcPr>
            <w:tcW w:w="949" w:type="dxa"/>
            <w:noWrap w:val="0"/>
            <w:vAlign w:val="center"/>
          </w:tcPr>
          <w:p>
            <w:pPr>
              <w:spacing w:line="360" w:lineRule="exact"/>
              <w:jc w:val="center"/>
              <w:rPr>
                <w:rFonts w:hint="default"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0-6分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1006" w:type="dxa"/>
            <w:vMerge w:val="continue"/>
            <w:noWrap w:val="0"/>
            <w:vAlign w:val="center"/>
          </w:tcPr>
          <w:p>
            <w:pPr>
              <w:spacing w:line="360" w:lineRule="exact"/>
              <w:ind w:firstLine="0" w:firstLineChars="0"/>
              <w:jc w:val="center"/>
              <w:rPr>
                <w:rFonts w:hint="eastAsia" w:ascii="宋体" w:hAnsi="宋体" w:eastAsia="宋体" w:cs="宋体"/>
                <w:color w:val="auto"/>
                <w:kern w:val="0"/>
                <w:sz w:val="24"/>
                <w:szCs w:val="24"/>
              </w:rPr>
            </w:pPr>
          </w:p>
        </w:tc>
        <w:tc>
          <w:tcPr>
            <w:tcW w:w="1593" w:type="dxa"/>
            <w:vMerge w:val="continue"/>
            <w:noWrap w:val="0"/>
            <w:vAlign w:val="center"/>
          </w:tcPr>
          <w:p>
            <w:pPr>
              <w:adjustRightInd w:val="0"/>
              <w:snapToGrid w:val="0"/>
              <w:spacing w:line="360" w:lineRule="exact"/>
              <w:ind w:firstLine="0" w:firstLineChars="0"/>
              <w:jc w:val="center"/>
              <w:rPr>
                <w:rFonts w:hint="eastAsia" w:ascii="宋体" w:hAnsi="宋体" w:eastAsia="宋体" w:cs="宋体"/>
                <w:b/>
                <w:bCs/>
                <w:color w:val="auto"/>
                <w:sz w:val="24"/>
                <w:szCs w:val="24"/>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对以下关键性能指标、技术参数提供证明：</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1、P1.25 LED显示屏：光生物安全：依据标准进行光生物安全及蓝光危害评估检测。无危害类：在8h（30000s）曝辐中不造成光化学紫外危害（ES），并在1000s（约16min）内不造成近紫外危害（EUVA），并在10000s（约2.8h）内不造成对视网膜蓝光危害（LB）并在10s内不造成对视网膜热危害（LR），并且在1000s内不造成对眼睛的红外辐射危害（EIR）。提供获得CNAS认可的第三方检测机构出具的检测报告</w:t>
            </w:r>
            <w:r>
              <w:rPr>
                <w:rFonts w:hint="eastAsia" w:ascii="宋体" w:hAnsi="宋体" w:eastAsia="宋体" w:cs="宋体"/>
                <w:sz w:val="21"/>
                <w:szCs w:val="21"/>
              </w:rPr>
              <w:t>并加盖</w:t>
            </w:r>
            <w:r>
              <w:rPr>
                <w:rFonts w:hint="eastAsia" w:ascii="宋体" w:hAnsi="宋体" w:eastAsia="宋体" w:cs="宋体"/>
                <w:sz w:val="21"/>
                <w:szCs w:val="21"/>
                <w:lang w:eastAsia="zh-CN"/>
              </w:rPr>
              <w:t>厂家</w:t>
            </w:r>
            <w:r>
              <w:rPr>
                <w:rFonts w:hint="eastAsia" w:ascii="宋体" w:hAnsi="宋体" w:eastAsia="宋体" w:cs="宋体"/>
                <w:sz w:val="21"/>
                <w:szCs w:val="21"/>
              </w:rPr>
              <w:t>公章</w:t>
            </w:r>
            <w:r>
              <w:rPr>
                <w:rFonts w:hint="eastAsia" w:ascii="宋体" w:hAnsi="宋体" w:eastAsia="宋体" w:cs="宋体"/>
                <w:sz w:val="21"/>
                <w:szCs w:val="21"/>
                <w:lang w:eastAsia="zh-CN"/>
              </w:rPr>
              <w:t>的得</w:t>
            </w:r>
            <w:r>
              <w:rPr>
                <w:rFonts w:hint="eastAsia" w:ascii="宋体" w:hAnsi="宋体" w:eastAsia="宋体" w:cs="宋体"/>
                <w:sz w:val="21"/>
                <w:szCs w:val="21"/>
                <w:lang w:val="en-US" w:eastAsia="zh-CN"/>
              </w:rPr>
              <w:t>1分</w:t>
            </w:r>
            <w:r>
              <w:rPr>
                <w:rFonts w:hint="eastAsia" w:ascii="宋体" w:hAnsi="宋体" w:eastAsia="宋体" w:cs="宋体"/>
                <w:sz w:val="21"/>
                <w:szCs w:val="21"/>
              </w:rPr>
              <w:t>；未提供或者提供未加盖厂家公章的不得分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2、P1.25 LED显示屏：自动gamma矫正技术设置：自动GAMMA校正技术，通过构造非线性校正曲线和色坐标变换系数矩阵实现了显示效果的不断改善，各项重要指标如色彩还原性、色温调节范围、亮度均匀性、色度均匀性、刷新率、换帧频率等；提供获得CNAS认可的第三方检测机构出具的检测报告</w:t>
            </w:r>
            <w:r>
              <w:rPr>
                <w:rFonts w:hint="eastAsia" w:ascii="宋体" w:hAnsi="宋体" w:eastAsia="宋体" w:cs="宋体"/>
                <w:sz w:val="21"/>
                <w:szCs w:val="21"/>
              </w:rPr>
              <w:t>并加盖</w:t>
            </w:r>
            <w:r>
              <w:rPr>
                <w:rFonts w:hint="eastAsia" w:ascii="宋体" w:hAnsi="宋体" w:eastAsia="宋体" w:cs="宋体"/>
                <w:sz w:val="21"/>
                <w:szCs w:val="21"/>
                <w:lang w:eastAsia="zh-CN"/>
              </w:rPr>
              <w:t>厂家</w:t>
            </w:r>
            <w:r>
              <w:rPr>
                <w:rFonts w:hint="eastAsia" w:ascii="宋体" w:hAnsi="宋体" w:eastAsia="宋体" w:cs="宋体"/>
                <w:sz w:val="21"/>
                <w:szCs w:val="21"/>
              </w:rPr>
              <w:t>公章</w:t>
            </w:r>
            <w:r>
              <w:rPr>
                <w:rFonts w:hint="eastAsia" w:ascii="宋体" w:hAnsi="宋体" w:eastAsia="宋体" w:cs="宋体"/>
                <w:sz w:val="21"/>
                <w:szCs w:val="21"/>
                <w:lang w:eastAsia="zh-CN"/>
              </w:rPr>
              <w:t>的得</w:t>
            </w:r>
            <w:r>
              <w:rPr>
                <w:rFonts w:hint="eastAsia" w:ascii="宋体" w:hAnsi="宋体" w:eastAsia="宋体" w:cs="宋体"/>
                <w:sz w:val="21"/>
                <w:szCs w:val="21"/>
                <w:lang w:val="en-US" w:eastAsia="zh-CN"/>
              </w:rPr>
              <w:t>2分</w:t>
            </w:r>
            <w:r>
              <w:rPr>
                <w:rFonts w:hint="eastAsia" w:ascii="宋体" w:hAnsi="宋体" w:eastAsia="宋体" w:cs="宋体"/>
                <w:sz w:val="21"/>
                <w:szCs w:val="21"/>
              </w:rPr>
              <w:t>；未提供或者提供未加盖厂家公章的不得分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3、50寸拼接屏：</w:t>
            </w:r>
            <w:r>
              <w:rPr>
                <w:rFonts w:hint="eastAsia" w:ascii="宋体" w:hAnsi="宋体" w:eastAsia="宋体" w:cs="宋体"/>
                <w:sz w:val="21"/>
                <w:szCs w:val="21"/>
              </w:rPr>
              <w:t>系统具有图像增强引擎提升功能，在雨、雪、雾、霾、沙尘天气下，能区分暗区的暗像素和亮区的暗像素，清晰化修复人眼的视觉局限。提供国家认可的第三方检测机构权威认证报告复印件并加盖</w:t>
            </w:r>
            <w:r>
              <w:rPr>
                <w:rFonts w:hint="eastAsia" w:ascii="宋体" w:hAnsi="宋体" w:eastAsia="宋体" w:cs="宋体"/>
                <w:sz w:val="21"/>
                <w:szCs w:val="21"/>
                <w:lang w:eastAsia="zh-CN"/>
              </w:rPr>
              <w:t>厂家</w:t>
            </w:r>
            <w:r>
              <w:rPr>
                <w:rFonts w:hint="eastAsia" w:ascii="宋体" w:hAnsi="宋体" w:eastAsia="宋体" w:cs="宋体"/>
                <w:sz w:val="21"/>
                <w:szCs w:val="21"/>
              </w:rPr>
              <w:t>公章</w:t>
            </w:r>
            <w:r>
              <w:rPr>
                <w:rFonts w:hint="eastAsia" w:ascii="宋体" w:hAnsi="宋体" w:eastAsia="宋体" w:cs="宋体"/>
                <w:sz w:val="21"/>
                <w:szCs w:val="21"/>
                <w:lang w:eastAsia="zh-CN"/>
              </w:rPr>
              <w:t>的得</w:t>
            </w:r>
            <w:r>
              <w:rPr>
                <w:rFonts w:hint="eastAsia" w:ascii="宋体" w:hAnsi="宋体" w:eastAsia="宋体" w:cs="宋体"/>
                <w:sz w:val="21"/>
                <w:szCs w:val="21"/>
                <w:lang w:val="en-US" w:eastAsia="zh-CN"/>
              </w:rPr>
              <w:t>1分</w:t>
            </w:r>
            <w:r>
              <w:rPr>
                <w:rFonts w:hint="eastAsia" w:ascii="宋体" w:hAnsi="宋体" w:eastAsia="宋体" w:cs="宋体"/>
                <w:sz w:val="21"/>
                <w:szCs w:val="21"/>
                <w:lang w:eastAsia="zh-CN"/>
              </w:rPr>
              <w:t>，</w:t>
            </w:r>
            <w:r>
              <w:rPr>
                <w:rFonts w:hint="eastAsia" w:ascii="宋体" w:hAnsi="宋体" w:eastAsia="宋体" w:cs="宋体"/>
                <w:sz w:val="21"/>
                <w:szCs w:val="21"/>
              </w:rPr>
              <w:t>未提供或者提供未加盖厂家公章的不得分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4、50寸拼接屏：</w:t>
            </w:r>
            <w:r>
              <w:rPr>
                <w:rFonts w:hint="eastAsia" w:ascii="宋体" w:hAnsi="宋体" w:eastAsia="宋体" w:cs="宋体"/>
                <w:sz w:val="21"/>
                <w:szCs w:val="21"/>
              </w:rPr>
              <w:t>具有RC 智能自适应数字处理技术，即采用DLC（动态场景控制）、WLE（白电平延伸）、BLE（黑电平延伸）自适应控制电路，有效提升图像的景深层次感。提供国家认可的第三方检测机构权威认证报告复印件并加盖</w:t>
            </w:r>
            <w:r>
              <w:rPr>
                <w:rFonts w:hint="eastAsia" w:ascii="宋体" w:hAnsi="宋体" w:eastAsia="宋体" w:cs="宋体"/>
                <w:sz w:val="21"/>
                <w:szCs w:val="21"/>
                <w:lang w:eastAsia="zh-CN"/>
              </w:rPr>
              <w:t>厂家</w:t>
            </w:r>
            <w:r>
              <w:rPr>
                <w:rFonts w:hint="eastAsia" w:ascii="宋体" w:hAnsi="宋体" w:eastAsia="宋体" w:cs="宋体"/>
                <w:sz w:val="21"/>
                <w:szCs w:val="21"/>
              </w:rPr>
              <w:t>公章</w:t>
            </w:r>
            <w:r>
              <w:rPr>
                <w:rFonts w:hint="eastAsia" w:ascii="宋体" w:hAnsi="宋体" w:eastAsia="宋体" w:cs="宋体"/>
                <w:sz w:val="21"/>
                <w:szCs w:val="21"/>
                <w:lang w:eastAsia="zh-CN"/>
              </w:rPr>
              <w:t>的得</w:t>
            </w:r>
            <w:r>
              <w:rPr>
                <w:rFonts w:hint="eastAsia" w:ascii="宋体" w:hAnsi="宋体" w:eastAsia="宋体" w:cs="宋体"/>
                <w:sz w:val="21"/>
                <w:szCs w:val="21"/>
                <w:lang w:val="en-US" w:eastAsia="zh-CN"/>
              </w:rPr>
              <w:t>1分</w:t>
            </w:r>
            <w:r>
              <w:rPr>
                <w:rFonts w:hint="eastAsia" w:ascii="宋体" w:hAnsi="宋体" w:eastAsia="宋体" w:cs="宋体"/>
                <w:sz w:val="21"/>
                <w:szCs w:val="21"/>
              </w:rPr>
              <w:t>；未提供或者提供未加盖厂家公章的不得分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eastAsia="宋体"/>
                <w:lang w:val="en-US" w:eastAsia="zh-CN"/>
              </w:rPr>
            </w:pPr>
            <w:r>
              <w:rPr>
                <w:rFonts w:hint="eastAsia" w:ascii="宋体" w:hAnsi="宋体" w:eastAsia="宋体" w:cs="宋体"/>
                <w:sz w:val="21"/>
                <w:szCs w:val="21"/>
                <w:lang w:val="en-US" w:eastAsia="zh-CN"/>
              </w:rPr>
              <w:t>5、智能监控系统装置：</w:t>
            </w:r>
            <w:r>
              <w:rPr>
                <w:rFonts w:hint="eastAsia" w:ascii="宋体" w:hAnsi="宋体" w:eastAsia="宋体" w:cs="宋体"/>
                <w:sz w:val="21"/>
                <w:szCs w:val="21"/>
              </w:rPr>
              <w:t>检测内容应包括功能检查、保护电路试验、介电强度试验、电磁兼容试验（静电放电、电快速瞬变、浪涌冲击抗扰度）、环境适应性试验（低温、高温、恒定湿热）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提供第三方检测报告</w:t>
            </w:r>
            <w:r>
              <w:rPr>
                <w:rFonts w:hint="eastAsia" w:ascii="宋体" w:hAnsi="宋体" w:eastAsia="宋体" w:cs="宋体"/>
                <w:sz w:val="21"/>
                <w:szCs w:val="21"/>
              </w:rPr>
              <w:t>并加盖</w:t>
            </w:r>
            <w:r>
              <w:rPr>
                <w:rFonts w:hint="eastAsia" w:ascii="宋体" w:hAnsi="宋体" w:eastAsia="宋体" w:cs="宋体"/>
                <w:sz w:val="21"/>
                <w:szCs w:val="21"/>
                <w:lang w:eastAsia="zh-CN"/>
              </w:rPr>
              <w:t>厂家</w:t>
            </w:r>
            <w:r>
              <w:rPr>
                <w:rFonts w:hint="eastAsia" w:ascii="宋体" w:hAnsi="宋体" w:eastAsia="宋体" w:cs="宋体"/>
                <w:sz w:val="21"/>
                <w:szCs w:val="21"/>
              </w:rPr>
              <w:t>公章</w:t>
            </w:r>
            <w:r>
              <w:rPr>
                <w:rFonts w:hint="eastAsia" w:ascii="宋体" w:hAnsi="宋体" w:eastAsia="宋体" w:cs="宋体"/>
                <w:sz w:val="21"/>
                <w:szCs w:val="21"/>
                <w:lang w:eastAsia="zh-CN"/>
              </w:rPr>
              <w:t>的得</w:t>
            </w:r>
            <w:r>
              <w:rPr>
                <w:rFonts w:hint="eastAsia" w:ascii="宋体" w:hAnsi="宋体" w:eastAsia="宋体" w:cs="宋体"/>
                <w:sz w:val="21"/>
                <w:szCs w:val="21"/>
                <w:lang w:val="en-US" w:eastAsia="zh-CN"/>
              </w:rPr>
              <w:t>1分</w:t>
            </w:r>
            <w:r>
              <w:rPr>
                <w:rFonts w:hint="eastAsia" w:ascii="宋体" w:hAnsi="宋体" w:eastAsia="宋体" w:cs="宋体"/>
                <w:sz w:val="21"/>
                <w:szCs w:val="21"/>
              </w:rPr>
              <w:t>，检测内容不得任缺一项或多项</w:t>
            </w:r>
            <w:r>
              <w:rPr>
                <w:rFonts w:hint="eastAsia" w:ascii="宋体" w:hAnsi="宋体" w:eastAsia="宋体" w:cs="宋体"/>
                <w:sz w:val="21"/>
                <w:szCs w:val="21"/>
                <w:lang w:eastAsia="zh-CN"/>
              </w:rPr>
              <w:t>，</w:t>
            </w:r>
            <w:r>
              <w:rPr>
                <w:rFonts w:hint="eastAsia" w:ascii="宋体" w:hAnsi="宋体" w:eastAsia="宋体" w:cs="宋体"/>
                <w:sz w:val="21"/>
                <w:szCs w:val="21"/>
              </w:rPr>
              <w:t>未提供或者提供未加盖厂家公章的不得分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0-1）</w:t>
            </w:r>
          </w:p>
        </w:tc>
        <w:tc>
          <w:tcPr>
            <w:tcW w:w="949" w:type="dxa"/>
            <w:noWrap w:val="0"/>
            <w:vAlign w:val="center"/>
          </w:tcPr>
          <w:p>
            <w:pPr>
              <w:adjustRightInd w:val="0"/>
              <w:snapToGrid w:val="0"/>
              <w:spacing w:line="360" w:lineRule="exact"/>
              <w:jc w:val="center"/>
              <w:rPr>
                <w:rFonts w:hint="default" w:ascii="宋体" w:hAnsi="宋体" w:eastAsia="宋体" w:cs="宋体"/>
                <w:color w:val="auto"/>
                <w:sz w:val="24"/>
                <w:szCs w:val="24"/>
                <w:lang w:val="en-US" w:eastAsia="zh-CN"/>
              </w:rPr>
            </w:pPr>
            <w:r>
              <w:rPr>
                <w:rFonts w:hint="eastAsia" w:ascii="华文中宋" w:hAnsi="华文中宋" w:eastAsia="华文中宋" w:cs="华文中宋"/>
                <w:b/>
                <w:bCs/>
                <w:color w:val="auto"/>
                <w:szCs w:val="21"/>
                <w:highlight w:val="none"/>
              </w:rPr>
              <w:t>0</w:t>
            </w:r>
            <w:r>
              <w:rPr>
                <w:rFonts w:hint="eastAsia" w:ascii="华文中宋" w:hAnsi="华文中宋" w:eastAsia="华文中宋" w:cs="华文中宋"/>
                <w:b/>
                <w:bCs/>
                <w:color w:val="auto"/>
                <w:szCs w:val="21"/>
                <w:highlight w:val="none"/>
                <w:lang w:val="en-US" w:eastAsia="zh-CN"/>
              </w:rPr>
              <w:t>-5</w:t>
            </w:r>
            <w:r>
              <w:rPr>
                <w:rFonts w:hint="eastAsia" w:ascii="华文中宋" w:hAnsi="华文中宋" w:eastAsia="华文中宋" w:cs="华文中宋"/>
                <w:b/>
                <w:bCs/>
                <w:color w:val="auto"/>
                <w:szCs w:val="21"/>
                <w:highlight w:val="non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1006" w:type="dxa"/>
            <w:vMerge w:val="continue"/>
            <w:noWrap w:val="0"/>
            <w:vAlign w:val="center"/>
          </w:tcPr>
          <w:p>
            <w:pPr>
              <w:spacing w:line="360" w:lineRule="exact"/>
              <w:ind w:firstLine="0" w:firstLineChars="0"/>
              <w:jc w:val="center"/>
              <w:rPr>
                <w:rFonts w:hint="eastAsia" w:ascii="宋体" w:hAnsi="宋体" w:eastAsia="宋体" w:cs="宋体"/>
                <w:color w:val="auto"/>
                <w:kern w:val="0"/>
                <w:sz w:val="24"/>
                <w:szCs w:val="24"/>
              </w:rPr>
            </w:pPr>
          </w:p>
        </w:tc>
        <w:tc>
          <w:tcPr>
            <w:tcW w:w="1593" w:type="dxa"/>
            <w:vMerge w:val="continue"/>
            <w:noWrap w:val="0"/>
            <w:vAlign w:val="center"/>
          </w:tcPr>
          <w:p>
            <w:pPr>
              <w:adjustRightInd w:val="0"/>
              <w:snapToGrid w:val="0"/>
              <w:spacing w:line="360" w:lineRule="exact"/>
              <w:ind w:firstLine="0" w:firstLineChars="0"/>
              <w:jc w:val="both"/>
              <w:rPr>
                <w:rFonts w:hint="eastAsia" w:ascii="华文中宋" w:hAnsi="华文中宋" w:eastAsia="华文中宋" w:cs="华文中宋"/>
                <w:b/>
                <w:bCs/>
                <w:color w:val="auto"/>
                <w:szCs w:val="21"/>
                <w:highlight w:val="none"/>
              </w:rPr>
            </w:pPr>
          </w:p>
        </w:tc>
        <w:tc>
          <w:tcPr>
            <w:tcW w:w="6414" w:type="dxa"/>
            <w:noWrap w:val="0"/>
            <w:vAlign w:val="center"/>
          </w:tcPr>
          <w:p>
            <w:pPr>
              <w:pStyle w:val="51"/>
              <w:keepNext w:val="0"/>
              <w:keepLines w:val="0"/>
              <w:pageBreakBefore w:val="0"/>
              <w:kinsoku/>
              <w:wordWrap/>
              <w:overflowPunct/>
              <w:topLinePunct w:val="0"/>
              <w:autoSpaceDE/>
              <w:autoSpaceDN/>
              <w:bidi w:val="0"/>
              <w:adjustRightInd/>
              <w:spacing w:line="340" w:lineRule="exact"/>
              <w:ind w:left="0" w:leftChars="0" w:right="0" w:righ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技术力量能力：</w:t>
            </w:r>
          </w:p>
          <w:p>
            <w:pPr>
              <w:pStyle w:val="51"/>
              <w:keepNext w:val="0"/>
              <w:keepLines w:val="0"/>
              <w:pageBreakBefore w:val="0"/>
              <w:kinsoku/>
              <w:wordWrap/>
              <w:overflowPunct/>
              <w:topLinePunct w:val="0"/>
              <w:autoSpaceDE/>
              <w:autoSpaceDN/>
              <w:bidi w:val="0"/>
              <w:adjustRightInd/>
              <w:spacing w:line="340" w:lineRule="exact"/>
              <w:ind w:left="0" w:leftChars="0" w:right="0" w:rightChars="0"/>
              <w:jc w:val="left"/>
              <w:textAlignment w:val="auto"/>
              <w:outlineLvl w:val="9"/>
              <w:rPr>
                <w:rFonts w:hint="eastAsia" w:ascii="宋体" w:hAnsi="宋体" w:eastAsia="宋体" w:cs="宋体"/>
                <w:b/>
                <w:bCs/>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投标单位安排的专职维护技术人员应具备电子计算机维修、操作工三级或以上证书提供一个得1分，最高得3分。（0-3分）</w:t>
            </w:r>
            <w:r>
              <w:rPr>
                <w:rFonts w:hint="eastAsia" w:ascii="宋体" w:hAnsi="宋体" w:eastAsia="宋体" w:cs="宋体"/>
                <w:b/>
                <w:bCs/>
                <w:kern w:val="2"/>
                <w:sz w:val="21"/>
                <w:szCs w:val="21"/>
                <w:lang w:val="en-US" w:eastAsia="zh-CN" w:bidi="ar-SA"/>
              </w:rPr>
              <w:t>提供证书复印件和最近1个月投标单位社保缴纳清单加盖公章</w:t>
            </w:r>
          </w:p>
          <w:p>
            <w:pPr>
              <w:pStyle w:val="51"/>
              <w:keepNext w:val="0"/>
              <w:keepLines w:val="0"/>
              <w:pageBreakBefore w:val="0"/>
              <w:kinsoku/>
              <w:wordWrap/>
              <w:overflowPunct/>
              <w:topLinePunct w:val="0"/>
              <w:autoSpaceDE/>
              <w:autoSpaceDN/>
              <w:bidi w:val="0"/>
              <w:adjustRightInd/>
              <w:spacing w:line="340" w:lineRule="exact"/>
              <w:ind w:left="0" w:leftChars="0" w:right="0" w:righ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为确保实施后前期的设备运行系统运行稳定保驾护航：投标单位承诺在安装调试完成验收后提供1名专业技术人员进行现场驻点维护工作（驻点时间12个月），投标时提供承诺函加盖公章的得2分。未提供或者提供未盖章的不得分（0-2分）</w:t>
            </w:r>
          </w:p>
        </w:tc>
        <w:tc>
          <w:tcPr>
            <w:tcW w:w="949" w:type="dxa"/>
            <w:noWrap w:val="0"/>
            <w:vAlign w:val="center"/>
          </w:tcPr>
          <w:p>
            <w:pPr>
              <w:adjustRightInd w:val="0"/>
              <w:snapToGrid w:val="0"/>
              <w:spacing w:line="360" w:lineRule="exact"/>
              <w:jc w:val="center"/>
              <w:rPr>
                <w:rFonts w:hint="default"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0-5分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006" w:type="dxa"/>
            <w:vMerge w:val="continue"/>
            <w:noWrap w:val="0"/>
            <w:vAlign w:val="center"/>
          </w:tcPr>
          <w:p>
            <w:pPr>
              <w:spacing w:line="360" w:lineRule="exact"/>
              <w:ind w:firstLine="0" w:firstLineChars="0"/>
              <w:jc w:val="center"/>
              <w:rPr>
                <w:rFonts w:hint="eastAsia" w:ascii="宋体" w:hAnsi="宋体" w:eastAsia="宋体" w:cs="宋体"/>
                <w:color w:val="auto"/>
                <w:kern w:val="0"/>
                <w:sz w:val="24"/>
                <w:szCs w:val="24"/>
              </w:rPr>
            </w:pPr>
          </w:p>
        </w:tc>
        <w:tc>
          <w:tcPr>
            <w:tcW w:w="1593" w:type="dxa"/>
            <w:vMerge w:val="continue"/>
            <w:noWrap w:val="0"/>
            <w:vAlign w:val="center"/>
          </w:tcPr>
          <w:p>
            <w:pPr>
              <w:adjustRightInd w:val="0"/>
              <w:snapToGrid w:val="0"/>
              <w:spacing w:line="360" w:lineRule="exact"/>
              <w:ind w:firstLine="0" w:firstLineChars="0"/>
              <w:jc w:val="center"/>
              <w:rPr>
                <w:rFonts w:hint="eastAsia" w:ascii="华文中宋" w:hAnsi="华文中宋" w:eastAsia="华文中宋" w:cs="华文中宋"/>
                <w:b/>
                <w:bCs/>
                <w:color w:val="auto"/>
                <w:szCs w:val="21"/>
                <w:highlight w:val="none"/>
                <w:lang w:eastAsia="zh-CN"/>
              </w:rPr>
            </w:pPr>
          </w:p>
        </w:tc>
        <w:tc>
          <w:tcPr>
            <w:tcW w:w="6414" w:type="dxa"/>
            <w:noWrap w:val="0"/>
            <w:vAlign w:val="center"/>
          </w:tcPr>
          <w:p>
            <w:pPr>
              <w:pStyle w:val="51"/>
              <w:keepNext w:val="0"/>
              <w:keepLines w:val="0"/>
              <w:pageBreakBefore w:val="0"/>
              <w:kinsoku/>
              <w:wordWrap/>
              <w:overflowPunct/>
              <w:topLinePunct w:val="0"/>
              <w:autoSpaceDE/>
              <w:autoSpaceDN/>
              <w:bidi w:val="0"/>
              <w:adjustRightInd/>
              <w:spacing w:line="340" w:lineRule="exact"/>
              <w:ind w:left="0" w:leftChars="0" w:right="0" w:righ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管理制度、措施：</w:t>
            </w:r>
          </w:p>
          <w:p>
            <w:pPr>
              <w:pStyle w:val="51"/>
              <w:keepNext w:val="0"/>
              <w:keepLines w:val="0"/>
              <w:pageBreakBefore w:val="0"/>
              <w:kinsoku/>
              <w:wordWrap/>
              <w:overflowPunct/>
              <w:topLinePunct w:val="0"/>
              <w:autoSpaceDE/>
              <w:autoSpaceDN/>
              <w:bidi w:val="0"/>
              <w:adjustRightInd/>
              <w:spacing w:line="340" w:lineRule="exact"/>
              <w:ind w:left="0" w:leftChars="0" w:right="0" w:righ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1.质量管理体系完善。制定内部考核制度，有专人负责对本项目进行监管等情况由评委酌情打分。（0-3分）</w:t>
            </w:r>
          </w:p>
          <w:p>
            <w:pPr>
              <w:pStyle w:val="51"/>
              <w:keepNext w:val="0"/>
              <w:keepLines w:val="0"/>
              <w:pageBreakBefore w:val="0"/>
              <w:kinsoku/>
              <w:wordWrap/>
              <w:overflowPunct/>
              <w:topLinePunct w:val="0"/>
              <w:autoSpaceDE/>
              <w:autoSpaceDN/>
              <w:bidi w:val="0"/>
              <w:adjustRightInd/>
              <w:spacing w:line="340" w:lineRule="exact"/>
              <w:ind w:left="0" w:leftChars="0" w:right="0" w:right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为确保施工质量，投标单位应具有中小型项目施工组织能力，投标单位具有安装质量员、安装施工员、机械员、材料员证书的，每提供一个得1分，最高得4分。（0-4分）提供证书复印件和最近1个月投标单位社保缴纳清单加盖公章</w:t>
            </w:r>
          </w:p>
        </w:tc>
        <w:tc>
          <w:tcPr>
            <w:tcW w:w="949" w:type="dxa"/>
            <w:noWrap w:val="0"/>
            <w:vAlign w:val="center"/>
          </w:tcPr>
          <w:p>
            <w:pPr>
              <w:adjustRightInd w:val="0"/>
              <w:snapToGrid w:val="0"/>
              <w:spacing w:line="360" w:lineRule="exact"/>
              <w:jc w:val="center"/>
              <w:rPr>
                <w:rFonts w:hint="default"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0-7分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006" w:type="dxa"/>
            <w:vMerge w:val="continue"/>
            <w:noWrap w:val="0"/>
            <w:vAlign w:val="center"/>
          </w:tcPr>
          <w:p>
            <w:pPr>
              <w:spacing w:line="360" w:lineRule="exact"/>
              <w:ind w:firstLine="0" w:firstLineChars="0"/>
              <w:jc w:val="center"/>
              <w:rPr>
                <w:rFonts w:hint="eastAsia" w:ascii="宋体" w:hAnsi="宋体" w:eastAsia="宋体" w:cs="宋体"/>
                <w:color w:val="auto"/>
                <w:kern w:val="0"/>
                <w:sz w:val="24"/>
                <w:szCs w:val="24"/>
              </w:rPr>
            </w:pPr>
          </w:p>
        </w:tc>
        <w:tc>
          <w:tcPr>
            <w:tcW w:w="1593" w:type="dxa"/>
            <w:vMerge w:val="continue"/>
            <w:noWrap w:val="0"/>
            <w:vAlign w:val="center"/>
          </w:tcPr>
          <w:p>
            <w:pPr>
              <w:adjustRightInd w:val="0"/>
              <w:snapToGrid w:val="0"/>
              <w:spacing w:line="360" w:lineRule="exact"/>
              <w:ind w:firstLine="210" w:firstLineChars="100"/>
              <w:rPr>
                <w:rFonts w:hint="eastAsia" w:ascii="华文中宋" w:hAnsi="华文中宋" w:eastAsia="华文中宋" w:cs="华文中宋"/>
                <w:b/>
                <w:bCs/>
                <w:color w:val="auto"/>
                <w:szCs w:val="21"/>
                <w:highlight w:val="none"/>
              </w:rPr>
            </w:pPr>
          </w:p>
        </w:tc>
        <w:tc>
          <w:tcPr>
            <w:tcW w:w="6414" w:type="dxa"/>
            <w:noWrap w:val="0"/>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outlineLvl w:val="9"/>
              <w:rPr>
                <w:rFonts w:hint="eastAsia" w:ascii="华文中宋" w:hAnsi="华文中宋" w:eastAsia="华文中宋" w:cs="华文中宋"/>
                <w:b w:val="0"/>
                <w:bCs w:val="0"/>
                <w:color w:val="auto"/>
                <w:highlight w:val="none"/>
              </w:rPr>
            </w:pPr>
            <w:r>
              <w:rPr>
                <w:rFonts w:hint="eastAsia" w:ascii="宋体" w:hAnsi="宋体" w:eastAsia="宋体" w:cs="宋体"/>
                <w:b w:val="0"/>
                <w:bCs w:val="0"/>
                <w:sz w:val="21"/>
                <w:szCs w:val="21"/>
              </w:rPr>
              <w:t>安全</w:t>
            </w:r>
            <w:r>
              <w:rPr>
                <w:rFonts w:hint="eastAsia" w:ascii="宋体" w:hAnsi="宋体" w:eastAsia="宋体" w:cs="宋体"/>
                <w:b w:val="0"/>
                <w:bCs w:val="0"/>
                <w:sz w:val="21"/>
                <w:szCs w:val="21"/>
                <w:lang w:eastAsia="zh-CN"/>
              </w:rPr>
              <w:t>技术</w:t>
            </w:r>
            <w:r>
              <w:rPr>
                <w:rFonts w:hint="eastAsia" w:ascii="宋体" w:hAnsi="宋体" w:eastAsia="宋体" w:cs="宋体"/>
                <w:b w:val="0"/>
                <w:bCs w:val="0"/>
                <w:sz w:val="21"/>
                <w:szCs w:val="21"/>
              </w:rPr>
              <w:t>管理：制定安全</w:t>
            </w:r>
            <w:r>
              <w:rPr>
                <w:rFonts w:hint="eastAsia" w:ascii="宋体" w:hAnsi="宋体" w:eastAsia="宋体" w:cs="宋体"/>
                <w:b w:val="0"/>
                <w:bCs w:val="0"/>
                <w:sz w:val="21"/>
                <w:szCs w:val="21"/>
                <w:lang w:eastAsia="zh-CN"/>
              </w:rPr>
              <w:t>技术</w:t>
            </w:r>
            <w:r>
              <w:rPr>
                <w:rFonts w:hint="eastAsia" w:ascii="宋体" w:hAnsi="宋体" w:eastAsia="宋体" w:cs="宋体"/>
                <w:b w:val="0"/>
                <w:bCs w:val="0"/>
                <w:sz w:val="21"/>
                <w:szCs w:val="21"/>
              </w:rPr>
              <w:t>制度的，定期开展安全生产培训，</w:t>
            </w:r>
            <w:r>
              <w:rPr>
                <w:rFonts w:hint="eastAsia" w:ascii="宋体" w:hAnsi="宋体" w:eastAsia="宋体" w:cs="宋体"/>
                <w:b w:val="0"/>
                <w:bCs w:val="0"/>
                <w:sz w:val="21"/>
                <w:szCs w:val="21"/>
                <w:lang w:eastAsia="zh-CN"/>
              </w:rPr>
              <w:t>提供</w:t>
            </w:r>
            <w:r>
              <w:rPr>
                <w:rFonts w:hint="eastAsia" w:ascii="宋体" w:hAnsi="宋体" w:eastAsia="宋体" w:cs="宋体"/>
                <w:b w:val="0"/>
                <w:bCs w:val="0"/>
                <w:color w:val="000000"/>
                <w:sz w:val="21"/>
                <w:szCs w:val="21"/>
              </w:rPr>
              <w:t>通过省级以上（含）安全技术防范培训</w:t>
            </w:r>
            <w:r>
              <w:rPr>
                <w:rFonts w:hint="eastAsia" w:ascii="宋体" w:hAnsi="宋体" w:eastAsia="宋体" w:cs="宋体"/>
                <w:b w:val="0"/>
                <w:bCs w:val="0"/>
                <w:color w:val="000000"/>
                <w:sz w:val="21"/>
                <w:szCs w:val="21"/>
                <w:lang w:eastAsia="zh-CN"/>
              </w:rPr>
              <w:t>合格证书（每提供一份得</w:t>
            </w:r>
            <w:r>
              <w:rPr>
                <w:rFonts w:hint="eastAsia" w:ascii="宋体" w:hAnsi="宋体" w:eastAsia="宋体" w:cs="宋体"/>
                <w:b w:val="0"/>
                <w:bCs w:val="0"/>
                <w:color w:val="000000"/>
                <w:sz w:val="21"/>
                <w:szCs w:val="21"/>
                <w:lang w:val="en-US" w:eastAsia="zh-CN"/>
              </w:rPr>
              <w:t>1分，最高得</w:t>
            </w:r>
            <w:r>
              <w:rPr>
                <w:rFonts w:hint="eastAsia" w:ascii="宋体" w:hAnsi="宋体" w:cs="宋体"/>
                <w:b w:val="0"/>
                <w:bCs w:val="0"/>
                <w:color w:val="000000"/>
                <w:sz w:val="21"/>
                <w:szCs w:val="21"/>
                <w:lang w:val="en-US" w:eastAsia="zh-CN"/>
              </w:rPr>
              <w:t>3</w:t>
            </w:r>
            <w:r>
              <w:rPr>
                <w:rFonts w:hint="eastAsia" w:ascii="宋体" w:hAnsi="宋体" w:eastAsia="宋体" w:cs="宋体"/>
                <w:b w:val="0"/>
                <w:bCs w:val="0"/>
                <w:color w:val="000000"/>
                <w:sz w:val="21"/>
                <w:szCs w:val="21"/>
                <w:lang w:val="en-US" w:eastAsia="zh-CN"/>
              </w:rPr>
              <w:t>分</w:t>
            </w:r>
            <w:r>
              <w:rPr>
                <w:rFonts w:hint="eastAsia" w:ascii="宋体" w:hAnsi="宋体" w:eastAsia="宋体" w:cs="宋体"/>
                <w:b w:val="0"/>
                <w:bCs w:val="0"/>
                <w:color w:val="000000"/>
                <w:sz w:val="21"/>
                <w:szCs w:val="21"/>
                <w:lang w:eastAsia="zh-CN"/>
              </w:rPr>
              <w:t>）</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0"/>
                <w:szCs w:val="20"/>
                <w:highlight w:val="none"/>
              </w:rPr>
              <w:t>提供证书</w:t>
            </w:r>
            <w:r>
              <w:rPr>
                <w:rFonts w:hint="eastAsia" w:ascii="宋体" w:hAnsi="宋体" w:eastAsia="宋体" w:cs="宋体"/>
                <w:b/>
                <w:bCs/>
                <w:color w:val="auto"/>
                <w:sz w:val="20"/>
                <w:szCs w:val="20"/>
                <w:highlight w:val="none"/>
                <w:lang w:eastAsia="zh-CN"/>
              </w:rPr>
              <w:t>复印件</w:t>
            </w:r>
            <w:r>
              <w:rPr>
                <w:rFonts w:hint="eastAsia" w:ascii="宋体" w:hAnsi="宋体" w:eastAsia="宋体" w:cs="宋体"/>
                <w:b/>
                <w:bCs/>
                <w:color w:val="auto"/>
                <w:sz w:val="20"/>
                <w:szCs w:val="20"/>
                <w:highlight w:val="none"/>
              </w:rPr>
              <w:t>和最近</w:t>
            </w:r>
            <w:r>
              <w:rPr>
                <w:rFonts w:hint="eastAsia" w:ascii="宋体" w:hAnsi="宋体" w:cs="宋体"/>
                <w:b/>
                <w:bCs/>
                <w:color w:val="auto"/>
                <w:sz w:val="20"/>
                <w:szCs w:val="20"/>
                <w:highlight w:val="none"/>
                <w:lang w:val="en-US" w:eastAsia="zh-CN"/>
              </w:rPr>
              <w:t>1</w:t>
            </w:r>
            <w:r>
              <w:rPr>
                <w:rFonts w:hint="eastAsia" w:ascii="宋体" w:hAnsi="宋体" w:eastAsia="宋体" w:cs="宋体"/>
                <w:b/>
                <w:bCs/>
                <w:color w:val="auto"/>
                <w:sz w:val="20"/>
                <w:szCs w:val="20"/>
                <w:highlight w:val="none"/>
              </w:rPr>
              <w:t>个月投标单位社保缴纳清单</w:t>
            </w:r>
            <w:r>
              <w:rPr>
                <w:rFonts w:hint="eastAsia" w:ascii="宋体" w:hAnsi="宋体" w:eastAsia="宋体" w:cs="宋体"/>
                <w:b/>
                <w:bCs/>
                <w:color w:val="auto"/>
                <w:sz w:val="20"/>
                <w:szCs w:val="20"/>
                <w:highlight w:val="none"/>
                <w:lang w:eastAsia="zh-CN"/>
              </w:rPr>
              <w:t>加盖公章</w:t>
            </w:r>
          </w:p>
        </w:tc>
        <w:tc>
          <w:tcPr>
            <w:tcW w:w="949" w:type="dxa"/>
            <w:noWrap w:val="0"/>
            <w:vAlign w:val="center"/>
          </w:tcPr>
          <w:p>
            <w:pPr>
              <w:adjustRightInd w:val="0"/>
              <w:snapToGrid w:val="0"/>
              <w:spacing w:line="360" w:lineRule="exact"/>
              <w:jc w:val="center"/>
              <w:rPr>
                <w:rFonts w:hint="default"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0-3分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dxa"/>
            <w:vMerge w:val="continue"/>
            <w:noWrap w:val="0"/>
            <w:vAlign w:val="center"/>
          </w:tcPr>
          <w:p>
            <w:pPr>
              <w:spacing w:line="360" w:lineRule="exact"/>
              <w:ind w:firstLine="0" w:firstLineChars="0"/>
              <w:jc w:val="center"/>
              <w:rPr>
                <w:rFonts w:hint="eastAsia" w:ascii="宋体" w:hAnsi="宋体" w:eastAsia="宋体" w:cs="宋体"/>
                <w:color w:val="auto"/>
                <w:kern w:val="0"/>
                <w:sz w:val="24"/>
                <w:szCs w:val="24"/>
              </w:rPr>
            </w:pPr>
          </w:p>
        </w:tc>
        <w:tc>
          <w:tcPr>
            <w:tcW w:w="1593" w:type="dxa"/>
            <w:vMerge w:val="continue"/>
            <w:noWrap w:val="0"/>
            <w:vAlign w:val="center"/>
          </w:tcPr>
          <w:p>
            <w:pPr>
              <w:adjustRightInd w:val="0"/>
              <w:snapToGrid w:val="0"/>
              <w:spacing w:line="360" w:lineRule="exact"/>
              <w:ind w:firstLine="210" w:firstLineChars="100"/>
              <w:rPr>
                <w:rFonts w:hint="eastAsia" w:ascii="华文中宋" w:hAnsi="华文中宋" w:eastAsia="华文中宋" w:cs="华文中宋"/>
                <w:b/>
                <w:bCs/>
                <w:color w:val="auto"/>
                <w:szCs w:val="21"/>
                <w:highlight w:val="none"/>
              </w:rPr>
            </w:pPr>
          </w:p>
        </w:tc>
        <w:tc>
          <w:tcPr>
            <w:tcW w:w="6414" w:type="dxa"/>
            <w:noWrap w:val="0"/>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outlineLvl w:val="9"/>
              <w:rPr>
                <w:rFonts w:hint="eastAsia" w:eastAsia="宋体"/>
                <w:lang w:eastAsia="zh-CN"/>
              </w:rPr>
            </w:pPr>
            <w:r>
              <w:rPr>
                <w:rFonts w:hint="eastAsia" w:ascii="宋体" w:hAnsi="宋体" w:cs="宋体"/>
                <w:sz w:val="21"/>
                <w:szCs w:val="21"/>
                <w:lang w:val="en-US" w:eastAsia="zh-CN"/>
              </w:rPr>
              <w:t>1、</w:t>
            </w:r>
            <w:r>
              <w:rPr>
                <w:rFonts w:hint="eastAsia" w:ascii="宋体" w:hAnsi="宋体" w:eastAsia="宋体" w:cs="宋体"/>
                <w:sz w:val="21"/>
                <w:szCs w:val="21"/>
              </w:rPr>
              <w:t>售后服务：根据售后服务承诺的范围和完善程度，包括保修年限，保修部件范围，保修、服务标准，人员配备，故障响应修复时间方式、保障措施、系统管理培训及系统运行维护培训等内容打分。（0-</w:t>
            </w:r>
            <w:r>
              <w:rPr>
                <w:rFonts w:hint="eastAsia" w:ascii="宋体" w:hAnsi="宋体" w:eastAsia="宋体" w:cs="宋体"/>
                <w:sz w:val="21"/>
                <w:szCs w:val="21"/>
                <w:lang w:val="en-US"/>
              </w:rPr>
              <w:t>3</w:t>
            </w:r>
            <w:r>
              <w:rPr>
                <w:rFonts w:hint="eastAsia" w:ascii="宋体" w:hAnsi="宋体" w:eastAsia="宋体" w:cs="宋体"/>
                <w:sz w:val="21"/>
                <w:szCs w:val="21"/>
              </w:rPr>
              <w:t>分）</w:t>
            </w:r>
            <w:r>
              <w:rPr>
                <w:rFonts w:hint="eastAsia" w:ascii="宋体" w:hAnsi="宋体" w:cs="宋体"/>
                <w:sz w:val="21"/>
                <w:szCs w:val="21"/>
                <w:lang w:val="en-US" w:eastAsia="zh-CN"/>
              </w:rPr>
              <w:t>2、</w:t>
            </w:r>
            <w:r>
              <w:rPr>
                <w:rFonts w:hint="eastAsia" w:ascii="宋体" w:hAnsi="宋体" w:eastAsia="宋体" w:cs="宋体"/>
                <w:b w:val="0"/>
                <w:bCs w:val="0"/>
                <w:sz w:val="21"/>
                <w:szCs w:val="21"/>
              </w:rPr>
              <w:t>投标人在临安城区设立服务网点并有常人驻守的得</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分，</w:t>
            </w:r>
            <w:r>
              <w:rPr>
                <w:rFonts w:hint="eastAsia" w:ascii="宋体" w:hAnsi="宋体" w:eastAsia="宋体" w:cs="宋体"/>
                <w:color w:val="auto"/>
                <w:sz w:val="21"/>
                <w:szCs w:val="21"/>
                <w:lang w:eastAsia="zh-CN"/>
              </w:rPr>
              <w:t>服务网点营业执照单位必须属于</w:t>
            </w:r>
            <w:r>
              <w:rPr>
                <w:rFonts w:hint="eastAsia" w:ascii="宋体" w:hAnsi="宋体" w:eastAsia="宋体" w:cs="宋体"/>
                <w:b w:val="0"/>
                <w:bCs w:val="0"/>
                <w:color w:val="auto"/>
                <w:sz w:val="21"/>
                <w:szCs w:val="21"/>
                <w:lang w:eastAsia="zh-CN"/>
              </w:rPr>
              <w:t>投标单位</w:t>
            </w:r>
            <w:r>
              <w:rPr>
                <w:rFonts w:hint="eastAsia" w:ascii="宋体" w:hAnsi="宋体" w:eastAsia="宋体" w:cs="宋体"/>
                <w:color w:val="auto"/>
                <w:sz w:val="21"/>
                <w:szCs w:val="21"/>
                <w:lang w:eastAsia="zh-CN"/>
              </w:rPr>
              <w:t>所有，委托授权其他单位类型的网点</w:t>
            </w:r>
            <w:r>
              <w:rPr>
                <w:rFonts w:hint="eastAsia" w:ascii="宋体" w:hAnsi="宋体" w:eastAsia="宋体" w:cs="宋体"/>
                <w:color w:val="auto"/>
                <w:sz w:val="21"/>
                <w:szCs w:val="21"/>
              </w:rPr>
              <w:t>不得分（以营业执照为准）。</w:t>
            </w:r>
          </w:p>
        </w:tc>
        <w:tc>
          <w:tcPr>
            <w:tcW w:w="949" w:type="dxa"/>
            <w:noWrap w:val="0"/>
            <w:vAlign w:val="center"/>
          </w:tcPr>
          <w:p>
            <w:pPr>
              <w:adjustRightInd w:val="0"/>
              <w:snapToGrid w:val="0"/>
              <w:spacing w:line="360" w:lineRule="exact"/>
              <w:jc w:val="center"/>
              <w:rPr>
                <w:rFonts w:hint="eastAsia"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0-4分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dxa"/>
            <w:vMerge w:val="continue"/>
            <w:noWrap w:val="0"/>
            <w:vAlign w:val="center"/>
          </w:tcPr>
          <w:p>
            <w:pPr>
              <w:spacing w:line="360" w:lineRule="exact"/>
              <w:ind w:firstLine="0" w:firstLineChars="0"/>
              <w:jc w:val="center"/>
              <w:rPr>
                <w:rFonts w:hint="eastAsia"/>
              </w:rPr>
            </w:pPr>
          </w:p>
          <w:p>
            <w:pPr>
              <w:pStyle w:val="2"/>
              <w:rPr>
                <w:rFonts w:hint="eastAsia" w:eastAsia="宋体"/>
                <w:lang w:eastAsia="zh-CN"/>
              </w:rPr>
            </w:pPr>
            <w:r>
              <w:rPr>
                <w:rFonts w:hint="eastAsia" w:cs="宋体"/>
                <w:color w:val="auto"/>
                <w:kern w:val="0"/>
                <w:sz w:val="24"/>
                <w:szCs w:val="24"/>
                <w:lang w:eastAsia="zh-CN"/>
              </w:rPr>
              <w:t>产品</w:t>
            </w:r>
          </w:p>
        </w:tc>
        <w:tc>
          <w:tcPr>
            <w:tcW w:w="1593" w:type="dxa"/>
            <w:vMerge w:val="continue"/>
            <w:noWrap w:val="0"/>
            <w:vAlign w:val="center"/>
          </w:tcPr>
          <w:p>
            <w:pPr>
              <w:adjustRightInd w:val="0"/>
              <w:snapToGrid w:val="0"/>
              <w:spacing w:line="360" w:lineRule="exact"/>
              <w:ind w:firstLine="210" w:firstLineChars="100"/>
              <w:rPr>
                <w:rFonts w:hint="eastAsia" w:ascii="华文中宋" w:hAnsi="华文中宋" w:eastAsia="华文中宋" w:cs="华文中宋"/>
                <w:b/>
                <w:bCs/>
                <w:color w:val="auto"/>
                <w:szCs w:val="21"/>
                <w:highlight w:val="none"/>
              </w:rPr>
            </w:pPr>
          </w:p>
        </w:tc>
        <w:tc>
          <w:tcPr>
            <w:tcW w:w="6414" w:type="dxa"/>
            <w:noWrap w:val="0"/>
            <w:vAlign w:val="center"/>
          </w:tcPr>
          <w:p>
            <w:pPr>
              <w:pStyle w:val="2"/>
              <w:numPr>
                <w:ilvl w:val="0"/>
                <w:numId w:val="0"/>
              </w:numPr>
              <w:spacing w:line="240" w:lineRule="auto"/>
              <w:ind w:lef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产品先进性，安全稳定性保证</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1、为保证所投产品先进性，成熟稳定性，要求所投P1.25 LED显示屏生产企业获得GB/T 27922-2011五星品牌认证证书，提供证书复印件加盖LED生产企业公章得1分，未提供或提供不符合的不得分；（0-1分）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b w:val="0"/>
                <w:bCs w:val="0"/>
                <w:kern w:val="2"/>
                <w:sz w:val="22"/>
                <w:szCs w:val="22"/>
                <w:lang w:val="en-US" w:eastAsia="zh-CN" w:bidi="ar-SA"/>
              </w:rPr>
              <w:t>2、</w:t>
            </w:r>
            <w:r>
              <w:rPr>
                <w:rFonts w:hint="eastAsia" w:ascii="宋体" w:hAnsi="宋体" w:eastAsia="宋体" w:cs="宋体"/>
                <w:kern w:val="2"/>
                <w:sz w:val="21"/>
                <w:szCs w:val="21"/>
                <w:lang w:val="en-US" w:eastAsia="zh-CN" w:bidi="ar-SA"/>
              </w:rPr>
              <w:t>为保证所投产品先进性，成熟稳定性，要求所投P1.25LED显示屏生产企业具有“LED显示屏安全加密系统”、“LED显示屏分时启动系统”、“LED显示屏集群光控制管理系统”、“LED显示屏非均匀性逐点校正系统”、“补偿LED显示屏图像失真系统”计算机软件著作权登记证书，全部提供证书加盖厂家公章得1分，缺漏项或未提供者不得分。（0-1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为保证所投产品先进性，成熟稳定性要求所投远程红外指令转发系统本软件可实现所有设备远程集中控制，中文窗口化编程界面，根据用户需求定制系统控制功能和触摸屏操作界面，实现多信号实时发送控制或单路控制，投标时提供远程红外指令转发系统软件著作权证书的得2分，著作权人为厂商或投标人都可。提供审核证书复印件并加盖公章，未提供者不得分。（0-2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为保证所投产品先进性，成熟稳定性要求所投UPS电池每节电池标配防漏液托盘，正副极绝缘帽。以防电池在运输、搬运和安装过程中容易因破碎或使用的异常情况而可能导致电池漏液，投标时提供防漏液托盘专利证书的得2分，未提供者不得分。（0-2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产品和厂家证书及资质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1、P1.25LED显示屏：为响应国家绿色环保政策，LED显示屏生产企业具有排污许可证，提供证书复印机加盖LED生产企业公章的得1分，未提供不得分。（0-1分）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P1.25LED显示屏：LED显示屏生产企业获得HJ2536-2014环境标志产品认证证书,并且证书上“认证委托人”、“生产者”、“生产企业”三者名称应一致，否则视为不符合要求，提供证书复印件加盖LED生产企业公章的得1分，未提供不得分。（0-1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P1.25LED显示屏：LED显示屏生产企业为专业LED生产厂家，非OEM厂家或贴牌厂商，经营范围必须包含“LED显示屏及配件”，“LED节能产品设计、研发、生产、销售、租赁”，“显示屏箱体、机箱、机柜销售及安装”，提供国家企业信用信息公示系统官网截图与企业营业执照复印件加以佐证，并且所投产品不应侵犯任何第三方知识产权，提供GB/T29490-2013知识产权管理体系认证证书复印件加盖LED生产企业公章。全部提供满足得1分，缺漏项或未提供不得分。（0-1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4、智能监控系统装置：厂家具备产品意外责任险，追溯期达2年的，得0.5分，追溯期达3年的，得1分，追溯期达4年的，得1.5分，追溯期达5年及以上的，得2分。提供证明材料，缺漏项或未提供不得分。（0-2分）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cs="宋体"/>
                <w:b w:val="0"/>
                <w:bCs w:val="0"/>
                <w:i w:val="0"/>
                <w:color w:val="000000"/>
                <w:kern w:val="0"/>
                <w:sz w:val="21"/>
                <w:szCs w:val="21"/>
                <w:u w:val="none"/>
                <w:lang w:val="en-US" w:eastAsia="zh-CN" w:bidi="ar"/>
              </w:rPr>
            </w:pPr>
            <w:r>
              <w:rPr>
                <w:rFonts w:hint="eastAsia" w:ascii="宋体" w:hAnsi="宋体" w:eastAsia="宋体" w:cs="宋体"/>
                <w:kern w:val="2"/>
                <w:sz w:val="21"/>
                <w:szCs w:val="21"/>
                <w:lang w:val="en-US" w:eastAsia="zh-CN" w:bidi="ar-SA"/>
              </w:rPr>
              <w:t>5、UPS电池：厂家售后服务体系规定产品质保要求，承诺一组电池组中有电池损坏更换整组电池，提供承诺证明材料的得1分，未提供的不得分。（0-1分）</w:t>
            </w:r>
          </w:p>
        </w:tc>
        <w:tc>
          <w:tcPr>
            <w:tcW w:w="949" w:type="dxa"/>
            <w:noWrap w:val="0"/>
            <w:vAlign w:val="center"/>
          </w:tcPr>
          <w:p>
            <w:pPr>
              <w:adjustRightInd w:val="0"/>
              <w:snapToGrid w:val="0"/>
              <w:spacing w:line="360" w:lineRule="exact"/>
              <w:jc w:val="center"/>
              <w:rPr>
                <w:rFonts w:hint="eastAsia"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0-12分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06" w:type="dxa"/>
            <w:vMerge w:val="continue"/>
            <w:noWrap w:val="0"/>
            <w:vAlign w:val="center"/>
          </w:tcPr>
          <w:p>
            <w:pPr>
              <w:spacing w:line="360" w:lineRule="exact"/>
              <w:ind w:firstLine="0" w:firstLineChars="0"/>
              <w:jc w:val="center"/>
              <w:rPr>
                <w:rFonts w:hint="eastAsia" w:ascii="宋体" w:hAnsi="宋体" w:eastAsia="宋体" w:cs="宋体"/>
                <w:color w:val="auto"/>
                <w:kern w:val="0"/>
                <w:sz w:val="24"/>
                <w:szCs w:val="24"/>
              </w:rPr>
            </w:pPr>
          </w:p>
        </w:tc>
        <w:tc>
          <w:tcPr>
            <w:tcW w:w="1593" w:type="dxa"/>
            <w:vMerge w:val="continue"/>
            <w:noWrap w:val="0"/>
            <w:vAlign w:val="center"/>
          </w:tcPr>
          <w:p>
            <w:pPr>
              <w:adjustRightInd w:val="0"/>
              <w:snapToGrid w:val="0"/>
              <w:spacing w:line="360" w:lineRule="exact"/>
              <w:ind w:firstLine="210" w:firstLineChars="100"/>
              <w:rPr>
                <w:rFonts w:hint="eastAsia" w:ascii="华文中宋" w:hAnsi="华文中宋" w:eastAsia="华文中宋" w:cs="华文中宋"/>
                <w:b/>
                <w:bCs/>
                <w:color w:val="auto"/>
                <w:szCs w:val="21"/>
                <w:highlight w:val="none"/>
              </w:rPr>
            </w:pPr>
          </w:p>
        </w:tc>
        <w:tc>
          <w:tcPr>
            <w:tcW w:w="6414" w:type="dxa"/>
            <w:noWrap w:val="0"/>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outlineLvl w:val="9"/>
              <w:rPr>
                <w:rFonts w:hint="eastAsia" w:ascii="宋体" w:hAnsi="宋体" w:cs="宋体"/>
                <w:b w:val="0"/>
                <w:bCs w:val="0"/>
                <w:color w:val="000000"/>
                <w:kern w:val="0"/>
                <w:sz w:val="21"/>
                <w:szCs w:val="21"/>
              </w:rPr>
            </w:pPr>
            <w:r>
              <w:rPr>
                <w:rFonts w:hint="eastAsia"/>
                <w:b w:val="0"/>
                <w:bCs w:val="0"/>
                <w:sz w:val="21"/>
                <w:szCs w:val="21"/>
              </w:rPr>
              <w:t>综合比较各投标供应商针对本次项目的具体组织实施方案的可行性，以及保障项目顺利实施的各项措施。</w:t>
            </w:r>
            <w:r>
              <w:rPr>
                <w:rFonts w:hint="eastAsia" w:ascii="宋体" w:hAnsi="宋体" w:eastAsia="宋体" w:cs="宋体"/>
                <w:b w:val="0"/>
                <w:bCs w:val="0"/>
                <w:spacing w:val="-2"/>
                <w:sz w:val="21"/>
                <w:szCs w:val="21"/>
              </w:rPr>
              <w:t>（0</w:t>
            </w:r>
            <w:r>
              <w:rPr>
                <w:rFonts w:ascii="宋体" w:hAnsi="宋体" w:eastAsia="宋体" w:cs="宋体"/>
                <w:b w:val="0"/>
                <w:bCs w:val="0"/>
                <w:spacing w:val="-2"/>
                <w:sz w:val="21"/>
                <w:szCs w:val="21"/>
              </w:rPr>
              <w:t>-</w:t>
            </w:r>
            <w:r>
              <w:rPr>
                <w:rFonts w:hint="eastAsia" w:ascii="宋体" w:hAnsi="宋体" w:cs="宋体"/>
                <w:b w:val="0"/>
                <w:bCs w:val="0"/>
                <w:spacing w:val="-2"/>
                <w:sz w:val="21"/>
                <w:szCs w:val="21"/>
                <w:lang w:val="en-US" w:eastAsia="zh-CN"/>
              </w:rPr>
              <w:t>4</w:t>
            </w:r>
            <w:r>
              <w:rPr>
                <w:rFonts w:hint="eastAsia" w:ascii="宋体" w:hAnsi="宋体" w:eastAsia="宋体" w:cs="宋体"/>
                <w:b w:val="0"/>
                <w:bCs w:val="0"/>
                <w:spacing w:val="-2"/>
                <w:sz w:val="21"/>
                <w:szCs w:val="21"/>
              </w:rPr>
              <w:t>分）</w:t>
            </w:r>
          </w:p>
        </w:tc>
        <w:tc>
          <w:tcPr>
            <w:tcW w:w="949" w:type="dxa"/>
            <w:noWrap w:val="0"/>
            <w:vAlign w:val="center"/>
          </w:tcPr>
          <w:p>
            <w:pPr>
              <w:adjustRightInd w:val="0"/>
              <w:snapToGrid w:val="0"/>
              <w:spacing w:line="360" w:lineRule="exact"/>
              <w:jc w:val="center"/>
              <w:rPr>
                <w:rFonts w:hint="eastAsia"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0-4分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006" w:type="dxa"/>
            <w:vMerge w:val="restart"/>
            <w:noWrap w:val="0"/>
            <w:vAlign w:val="center"/>
          </w:tcPr>
          <w:p>
            <w:pPr>
              <w:keepNext w:val="0"/>
              <w:keepLines w:val="0"/>
              <w:pageBreakBefore w:val="0"/>
              <w:kinsoku/>
              <w:wordWrap/>
              <w:overflowPunct/>
              <w:topLinePunct w:val="0"/>
              <w:autoSpaceDE/>
              <w:autoSpaceDN/>
              <w:bidi w:val="0"/>
              <w:adjustRightInd/>
              <w:snapToGrid w:val="0"/>
              <w:spacing w:line="340" w:lineRule="exact"/>
              <w:ind w:left="0" w:leftChars="0" w:right="0" w:rightChars="0" w:firstLine="14" w:firstLineChars="6"/>
              <w:jc w:val="center"/>
              <w:textAlignment w:val="auto"/>
              <w:outlineLvl w:val="9"/>
              <w:rPr>
                <w:rFonts w:hint="eastAsia" w:ascii="宋体" w:hAnsi="宋体" w:cs="仿宋_GB2312"/>
                <w:b/>
                <w:bCs/>
                <w:sz w:val="24"/>
                <w:szCs w:val="24"/>
                <w:lang w:eastAsia="zh-CN"/>
              </w:rPr>
            </w:pPr>
            <w:r>
              <w:rPr>
                <w:rFonts w:hint="eastAsia" w:ascii="宋体" w:hAnsi="宋体" w:cs="仿宋_GB2312"/>
                <w:b/>
                <w:bCs/>
                <w:sz w:val="24"/>
                <w:szCs w:val="24"/>
                <w:lang w:val="en-US" w:eastAsia="zh-CN"/>
              </w:rPr>
              <w:t>2</w:t>
            </w:r>
          </w:p>
        </w:tc>
        <w:tc>
          <w:tcPr>
            <w:tcW w:w="1593" w:type="dxa"/>
            <w:vMerge w:val="restart"/>
            <w:noWrap w:val="0"/>
            <w:vAlign w:val="center"/>
          </w:tcPr>
          <w:p>
            <w:pPr>
              <w:pStyle w:val="51"/>
              <w:keepNext w:val="0"/>
              <w:keepLines w:val="0"/>
              <w:pageBreakBefore w:val="0"/>
              <w:kinsoku/>
              <w:wordWrap/>
              <w:overflowPunct/>
              <w:topLinePunct w:val="0"/>
              <w:autoSpaceDE/>
              <w:autoSpaceDN/>
              <w:bidi w:val="0"/>
              <w:adjustRightInd/>
              <w:spacing w:line="340" w:lineRule="exact"/>
              <w:ind w:left="0" w:leftChars="0" w:right="0" w:rightChars="0"/>
              <w:jc w:val="center"/>
              <w:textAlignment w:val="auto"/>
              <w:outlineLvl w:val="9"/>
              <w:rPr>
                <w:rStyle w:val="50"/>
                <w:rFonts w:ascii="宋体" w:hAnsi="宋体"/>
                <w:bCs/>
                <w:szCs w:val="24"/>
              </w:rPr>
            </w:pPr>
            <w:r>
              <w:rPr>
                <w:rStyle w:val="50"/>
                <w:rFonts w:hint="eastAsia" w:ascii="宋体" w:hAnsi="宋体" w:cs="宋体"/>
                <w:bCs/>
                <w:szCs w:val="24"/>
              </w:rPr>
              <w:t>资信及</w:t>
            </w:r>
          </w:p>
          <w:p>
            <w:pPr>
              <w:pStyle w:val="51"/>
              <w:keepNext w:val="0"/>
              <w:keepLines w:val="0"/>
              <w:pageBreakBefore w:val="0"/>
              <w:kinsoku/>
              <w:wordWrap/>
              <w:overflowPunct/>
              <w:topLinePunct w:val="0"/>
              <w:autoSpaceDE/>
              <w:autoSpaceDN/>
              <w:bidi w:val="0"/>
              <w:adjustRightInd/>
              <w:spacing w:line="340" w:lineRule="exact"/>
              <w:ind w:left="0" w:leftChars="0" w:right="0" w:rightChars="0"/>
              <w:jc w:val="center"/>
              <w:textAlignment w:val="auto"/>
              <w:outlineLvl w:val="9"/>
              <w:rPr>
                <w:rStyle w:val="50"/>
                <w:rFonts w:ascii="宋体" w:hAnsi="宋体"/>
                <w:bCs/>
                <w:szCs w:val="24"/>
              </w:rPr>
            </w:pPr>
            <w:r>
              <w:rPr>
                <w:rStyle w:val="50"/>
                <w:rFonts w:hint="eastAsia" w:ascii="宋体" w:hAnsi="宋体" w:cs="宋体"/>
                <w:bCs/>
                <w:szCs w:val="24"/>
              </w:rPr>
              <w:t>商务分</w:t>
            </w:r>
          </w:p>
          <w:p>
            <w:pPr>
              <w:adjustRightInd w:val="0"/>
              <w:snapToGrid w:val="0"/>
              <w:spacing w:line="360" w:lineRule="exact"/>
              <w:ind w:firstLine="0" w:firstLineChars="0"/>
              <w:jc w:val="center"/>
              <w:rPr>
                <w:rFonts w:hint="eastAsia" w:ascii="宋体" w:hAnsi="宋体" w:eastAsia="宋体" w:cs="宋体"/>
                <w:bCs/>
                <w:spacing w:val="-4"/>
                <w:kern w:val="2"/>
                <w:sz w:val="24"/>
                <w:szCs w:val="24"/>
                <w:lang w:val="en-US" w:eastAsia="zh-CN" w:bidi="ar-SA"/>
              </w:rPr>
            </w:pPr>
            <w:r>
              <w:rPr>
                <w:rStyle w:val="50"/>
                <w:rFonts w:hint="eastAsia" w:ascii="宋体" w:hAnsi="宋体" w:cs="宋体"/>
                <w:bCs/>
                <w:szCs w:val="24"/>
              </w:rPr>
              <w:t>（</w:t>
            </w:r>
            <w:r>
              <w:rPr>
                <w:rStyle w:val="50"/>
                <w:rFonts w:ascii="宋体" w:hAnsi="宋体" w:cs="仿宋_GB2312"/>
                <w:bCs/>
                <w:szCs w:val="24"/>
              </w:rPr>
              <w:t>0</w:t>
            </w:r>
            <w:r>
              <w:rPr>
                <w:rStyle w:val="50"/>
                <w:rFonts w:hint="eastAsia" w:ascii="宋体" w:hAnsi="宋体" w:cs="仿宋_GB2312"/>
                <w:bCs/>
                <w:szCs w:val="24"/>
                <w:lang w:val="en-US"/>
              </w:rPr>
              <w:t>-23</w:t>
            </w:r>
            <w:r>
              <w:rPr>
                <w:rStyle w:val="50"/>
                <w:rFonts w:hint="eastAsia" w:ascii="宋体" w:hAnsi="宋体" w:cs="宋体"/>
                <w:bCs/>
                <w:szCs w:val="24"/>
              </w:rPr>
              <w:t>分）</w:t>
            </w:r>
          </w:p>
        </w:tc>
        <w:tc>
          <w:tcPr>
            <w:tcW w:w="6414" w:type="dxa"/>
            <w:noWrap w:val="0"/>
            <w:vAlign w:val="center"/>
          </w:tcPr>
          <w:p>
            <w:pPr>
              <w:pStyle w:val="51"/>
              <w:keepNext w:val="0"/>
              <w:keepLines w:val="0"/>
              <w:pageBreakBefore w:val="0"/>
              <w:kinsoku/>
              <w:wordWrap/>
              <w:overflowPunct/>
              <w:topLinePunct w:val="0"/>
              <w:autoSpaceDE/>
              <w:autoSpaceDN/>
              <w:bidi w:val="0"/>
              <w:adjustRightInd/>
              <w:spacing w:line="340" w:lineRule="exact"/>
              <w:ind w:left="0" w:leftChars="0" w:right="0" w:rightChars="0"/>
              <w:jc w:val="left"/>
              <w:textAlignment w:val="auto"/>
              <w:outlineLvl w:val="9"/>
              <w:rPr>
                <w:rFonts w:hint="eastAsia" w:ascii="宋体" w:hAnsi="宋体" w:eastAsia="宋体" w:cs="宋体"/>
                <w:b w:val="0"/>
                <w:bCs w:val="0"/>
                <w:sz w:val="24"/>
                <w:szCs w:val="24"/>
              </w:rPr>
            </w:pPr>
            <w:r>
              <w:rPr>
                <w:rFonts w:hint="eastAsia" w:ascii="宋体" w:hAnsi="宋体" w:cs="宋体"/>
                <w:b w:val="0"/>
                <w:bCs w:val="0"/>
                <w:sz w:val="21"/>
                <w:szCs w:val="21"/>
              </w:rPr>
              <w:t>投标单位企业情况介绍</w:t>
            </w:r>
            <w:r>
              <w:rPr>
                <w:rFonts w:hint="eastAsia" w:ascii="宋体" w:hAnsi="宋体" w:cs="宋体"/>
                <w:b w:val="0"/>
                <w:bCs w:val="0"/>
                <w:sz w:val="21"/>
                <w:szCs w:val="21"/>
                <w:lang w:eastAsia="zh-CN"/>
              </w:rPr>
              <w:t>，</w:t>
            </w:r>
            <w:r>
              <w:rPr>
                <w:rFonts w:hint="eastAsia" w:ascii="宋体" w:hAnsi="宋体" w:cs="宋体"/>
                <w:b w:val="0"/>
                <w:bCs w:val="0"/>
                <w:sz w:val="21"/>
                <w:szCs w:val="21"/>
              </w:rPr>
              <w:t>根据企业在投标项目所在地的社会诚信度、公益事业参与、财务状况、技术保障能力、专家对以上内容进行打分。</w:t>
            </w:r>
            <w:r>
              <w:rPr>
                <w:rFonts w:hint="eastAsia" w:ascii="宋体" w:hAnsi="宋体" w:eastAsia="宋体" w:cs="宋体"/>
                <w:b w:val="0"/>
                <w:bCs w:val="0"/>
                <w:spacing w:val="-2"/>
                <w:sz w:val="21"/>
                <w:szCs w:val="21"/>
              </w:rPr>
              <w:t>（0</w:t>
            </w:r>
            <w:r>
              <w:rPr>
                <w:rFonts w:ascii="宋体" w:hAnsi="宋体" w:eastAsia="宋体" w:cs="宋体"/>
                <w:b w:val="0"/>
                <w:bCs w:val="0"/>
                <w:spacing w:val="-2"/>
                <w:sz w:val="21"/>
                <w:szCs w:val="21"/>
              </w:rPr>
              <w:t>-</w:t>
            </w:r>
            <w:r>
              <w:rPr>
                <w:rFonts w:hint="eastAsia" w:ascii="宋体" w:hAnsi="宋体" w:cs="宋体"/>
                <w:b w:val="0"/>
                <w:bCs w:val="0"/>
                <w:spacing w:val="-2"/>
                <w:sz w:val="21"/>
                <w:szCs w:val="21"/>
                <w:lang w:val="en-US" w:eastAsia="zh-CN"/>
              </w:rPr>
              <w:t>4</w:t>
            </w:r>
            <w:r>
              <w:rPr>
                <w:rFonts w:hint="eastAsia" w:ascii="宋体" w:hAnsi="宋体" w:eastAsia="宋体" w:cs="宋体"/>
                <w:b w:val="0"/>
                <w:bCs w:val="0"/>
                <w:spacing w:val="-2"/>
                <w:sz w:val="21"/>
                <w:szCs w:val="21"/>
              </w:rPr>
              <w:t>分）</w:t>
            </w:r>
          </w:p>
        </w:tc>
        <w:tc>
          <w:tcPr>
            <w:tcW w:w="949" w:type="dxa"/>
            <w:noWrap w:val="0"/>
            <w:vAlign w:val="center"/>
          </w:tcPr>
          <w:p>
            <w:pPr>
              <w:adjustRightInd w:val="0"/>
              <w:snapToGrid w:val="0"/>
              <w:spacing w:line="360" w:lineRule="exact"/>
              <w:jc w:val="center"/>
              <w:rPr>
                <w:rFonts w:hint="eastAsia"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0-4分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006" w:type="dxa"/>
            <w:vMerge w:val="continue"/>
            <w:noWrap w:val="0"/>
            <w:vAlign w:val="center"/>
          </w:tcPr>
          <w:p>
            <w:pPr>
              <w:autoSpaceDE w:val="0"/>
              <w:autoSpaceDN w:val="0"/>
              <w:adjustRightInd w:val="0"/>
              <w:spacing w:line="360" w:lineRule="exact"/>
              <w:ind w:firstLine="0" w:firstLineChars="0"/>
              <w:rPr>
                <w:rFonts w:hint="eastAsia" w:ascii="宋体" w:hAnsi="宋体" w:eastAsia="宋体" w:cs="宋体"/>
                <w:bCs/>
                <w:spacing w:val="-4"/>
                <w:sz w:val="24"/>
                <w:szCs w:val="24"/>
              </w:rPr>
            </w:pPr>
          </w:p>
        </w:tc>
        <w:tc>
          <w:tcPr>
            <w:tcW w:w="1593" w:type="dxa"/>
            <w:vMerge w:val="continue"/>
            <w:noWrap w:val="0"/>
            <w:vAlign w:val="center"/>
          </w:tcPr>
          <w:p>
            <w:pPr>
              <w:adjustRightInd w:val="0"/>
              <w:snapToGrid w:val="0"/>
              <w:spacing w:line="360" w:lineRule="exact"/>
              <w:ind w:firstLine="0" w:firstLineChars="0"/>
              <w:jc w:val="center"/>
              <w:rPr>
                <w:rFonts w:hint="eastAsia" w:ascii="宋体" w:hAnsi="宋体" w:eastAsia="宋体" w:cs="宋体"/>
                <w:sz w:val="24"/>
                <w:szCs w:val="24"/>
              </w:rPr>
            </w:pPr>
          </w:p>
        </w:tc>
        <w:tc>
          <w:tcPr>
            <w:tcW w:w="6414" w:type="dxa"/>
            <w:noWrap w:val="0"/>
            <w:vAlign w:val="center"/>
          </w:tcPr>
          <w:p>
            <w:pPr>
              <w:pStyle w:val="51"/>
              <w:keepNext w:val="0"/>
              <w:keepLines w:val="0"/>
              <w:pageBreakBefore w:val="0"/>
              <w:kinsoku/>
              <w:wordWrap/>
              <w:overflowPunct/>
              <w:topLinePunct w:val="0"/>
              <w:autoSpaceDE/>
              <w:autoSpaceDN/>
              <w:bidi w:val="0"/>
              <w:adjustRightInd/>
              <w:spacing w:line="340" w:lineRule="exact"/>
              <w:ind w:left="0" w:leftChars="0" w:right="0" w:right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Times New Roman" w:hAnsi="Times New Roman" w:eastAsia="宋体" w:cs="Times New Roman"/>
                <w:kern w:val="2"/>
                <w:sz w:val="21"/>
                <w:szCs w:val="21"/>
                <w:lang w:val="en-US" w:eastAsia="zh-CN" w:bidi="ar-SA"/>
              </w:rPr>
              <w:t>投标单位具有信息系统集成工程管理高级项目经理证书和信息系统集成电子技术项目经理证书。每提供一个得1.5分，最高得3分。</w:t>
            </w:r>
            <w:r>
              <w:rPr>
                <w:rFonts w:hint="eastAsia" w:ascii="Times New Roman" w:hAnsi="Times New Roman" w:eastAsia="宋体" w:cs="Times New Roman"/>
                <w:b/>
                <w:bCs/>
                <w:kern w:val="2"/>
                <w:sz w:val="21"/>
                <w:szCs w:val="21"/>
                <w:lang w:val="en-US" w:eastAsia="zh-CN" w:bidi="ar-SA"/>
              </w:rPr>
              <w:t>提供证书复印件和最近1个月投标单位社保缴纳清单加盖公章</w:t>
            </w:r>
          </w:p>
        </w:tc>
        <w:tc>
          <w:tcPr>
            <w:tcW w:w="949" w:type="dxa"/>
            <w:noWrap w:val="0"/>
            <w:vAlign w:val="center"/>
          </w:tcPr>
          <w:p>
            <w:pPr>
              <w:adjustRightInd w:val="0"/>
              <w:snapToGrid w:val="0"/>
              <w:spacing w:line="360" w:lineRule="exact"/>
              <w:jc w:val="center"/>
              <w:rPr>
                <w:rFonts w:hint="eastAsia"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0-3分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06" w:type="dxa"/>
            <w:vMerge w:val="continue"/>
            <w:noWrap w:val="0"/>
            <w:vAlign w:val="center"/>
          </w:tcPr>
          <w:p>
            <w:pPr>
              <w:spacing w:line="360" w:lineRule="exact"/>
              <w:ind w:firstLine="0" w:firstLineChars="0"/>
              <w:jc w:val="center"/>
              <w:rPr>
                <w:rFonts w:hint="eastAsia" w:ascii="宋体" w:hAnsi="宋体" w:eastAsia="宋体" w:cs="宋体"/>
                <w:sz w:val="24"/>
                <w:szCs w:val="24"/>
              </w:rPr>
            </w:pPr>
          </w:p>
        </w:tc>
        <w:tc>
          <w:tcPr>
            <w:tcW w:w="1593" w:type="dxa"/>
            <w:vMerge w:val="continue"/>
            <w:noWrap w:val="0"/>
            <w:vAlign w:val="center"/>
          </w:tcPr>
          <w:p>
            <w:pPr>
              <w:adjustRightInd w:val="0"/>
              <w:snapToGrid w:val="0"/>
              <w:spacing w:line="360" w:lineRule="exact"/>
              <w:ind w:firstLine="0" w:firstLineChars="0"/>
              <w:jc w:val="center"/>
              <w:rPr>
                <w:rFonts w:hint="eastAsia" w:ascii="宋体" w:hAnsi="宋体" w:eastAsia="宋体" w:cs="宋体"/>
                <w:sz w:val="24"/>
                <w:szCs w:val="24"/>
              </w:rPr>
            </w:pPr>
          </w:p>
        </w:tc>
        <w:tc>
          <w:tcPr>
            <w:tcW w:w="6414" w:type="dxa"/>
            <w:noWrap w:val="0"/>
            <w:vAlign w:val="center"/>
          </w:tcPr>
          <w:p>
            <w:pPr>
              <w:keepNext w:val="0"/>
              <w:keepLines w:val="0"/>
              <w:pageBreakBefore w:val="0"/>
              <w:kinsoku/>
              <w:wordWrap/>
              <w:overflowPunct/>
              <w:topLinePunct w:val="0"/>
              <w:autoSpaceDE/>
              <w:autoSpaceDN/>
              <w:bidi w:val="0"/>
              <w:adjustRightInd/>
              <w:spacing w:line="340" w:lineRule="exact"/>
              <w:ind w:left="0" w:leftChars="0" w:right="0" w:rightChars="0"/>
              <w:textAlignment w:val="auto"/>
              <w:outlineLvl w:val="9"/>
              <w:rPr>
                <w:rFonts w:hint="eastAsia" w:ascii="宋体" w:hAnsi="宋体" w:eastAsia="宋体" w:cs="宋体"/>
                <w:b w:val="0"/>
                <w:bCs w:val="0"/>
                <w:color w:val="auto"/>
                <w:sz w:val="24"/>
                <w:szCs w:val="24"/>
              </w:rPr>
            </w:pPr>
            <w:r>
              <w:rPr>
                <w:rFonts w:hint="eastAsia" w:ascii="Times New Roman" w:hAnsi="Times New Roman" w:eastAsia="宋体" w:cs="Times New Roman"/>
                <w:kern w:val="2"/>
                <w:sz w:val="21"/>
                <w:szCs w:val="21"/>
                <w:lang w:val="en-US" w:eastAsia="zh-CN" w:bidi="ar-SA"/>
              </w:rPr>
              <w:t>类似项目经验业绩：考虑到本项目后期维护工作量较大，为确保投标单位具备一定的信息化维护经验能力需提供维护经验证明，自2016年1月1日以来具有信息系统维护经验的政府采购项目</w:t>
            </w:r>
            <w:r>
              <w:rPr>
                <w:rFonts w:hint="eastAsia" w:cs="Times New Roman"/>
                <w:kern w:val="2"/>
                <w:sz w:val="21"/>
                <w:szCs w:val="21"/>
                <w:lang w:val="en-US" w:eastAsia="zh-CN" w:bidi="ar-SA"/>
              </w:rPr>
              <w:t>类似业绩的</w:t>
            </w:r>
            <w:r>
              <w:rPr>
                <w:rFonts w:hint="eastAsia" w:ascii="Times New Roman" w:hAnsi="Times New Roman" w:eastAsia="宋体" w:cs="Times New Roman"/>
                <w:kern w:val="2"/>
                <w:sz w:val="21"/>
                <w:szCs w:val="21"/>
                <w:lang w:val="en-US" w:eastAsia="zh-CN" w:bidi="ar-SA"/>
              </w:rPr>
              <w:t>，提供一个得</w:t>
            </w:r>
            <w:r>
              <w:rPr>
                <w:rFonts w:hint="eastAsia"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分，最高得</w:t>
            </w:r>
            <w:r>
              <w:rPr>
                <w:rFonts w:hint="eastAsia" w:cs="Times New Roman"/>
                <w:kern w:val="2"/>
                <w:sz w:val="21"/>
                <w:szCs w:val="21"/>
                <w:lang w:val="en-US" w:eastAsia="zh-CN" w:bidi="ar-SA"/>
              </w:rPr>
              <w:t>4</w:t>
            </w:r>
            <w:r>
              <w:rPr>
                <w:rFonts w:hint="eastAsia" w:ascii="Times New Roman" w:hAnsi="Times New Roman" w:eastAsia="宋体" w:cs="Times New Roman"/>
                <w:kern w:val="2"/>
                <w:sz w:val="21"/>
                <w:szCs w:val="21"/>
                <w:lang w:val="en-US" w:eastAsia="zh-CN" w:bidi="ar-SA"/>
              </w:rPr>
              <w:t>分。</w:t>
            </w:r>
            <w:r>
              <w:rPr>
                <w:rFonts w:hint="eastAsia" w:ascii="Times New Roman" w:hAnsi="Times New Roman" w:eastAsia="宋体" w:cs="Times New Roman"/>
                <w:b/>
                <w:bCs/>
                <w:kern w:val="2"/>
                <w:sz w:val="21"/>
                <w:szCs w:val="21"/>
                <w:lang w:val="en-US" w:eastAsia="zh-CN" w:bidi="ar-SA"/>
              </w:rPr>
              <w:t>（提供合同和中标通知书需复印件并加盖公章，不提供不得分）</w:t>
            </w:r>
          </w:p>
        </w:tc>
        <w:tc>
          <w:tcPr>
            <w:tcW w:w="949" w:type="dxa"/>
            <w:noWrap w:val="0"/>
            <w:vAlign w:val="center"/>
          </w:tcPr>
          <w:p>
            <w:pPr>
              <w:adjustRightInd w:val="0"/>
              <w:snapToGrid w:val="0"/>
              <w:spacing w:line="360" w:lineRule="exact"/>
              <w:jc w:val="center"/>
              <w:rPr>
                <w:rFonts w:hint="eastAsia"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0-4分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006" w:type="dxa"/>
            <w:vMerge w:val="continue"/>
            <w:noWrap w:val="0"/>
            <w:vAlign w:val="center"/>
          </w:tcPr>
          <w:p>
            <w:pPr>
              <w:spacing w:line="360" w:lineRule="exact"/>
              <w:ind w:firstLine="0" w:firstLineChars="0"/>
              <w:jc w:val="center"/>
              <w:rPr>
                <w:rFonts w:hint="eastAsia" w:ascii="宋体" w:hAnsi="宋体" w:eastAsia="宋体" w:cs="宋体"/>
                <w:sz w:val="24"/>
                <w:szCs w:val="24"/>
              </w:rPr>
            </w:pPr>
          </w:p>
        </w:tc>
        <w:tc>
          <w:tcPr>
            <w:tcW w:w="1593" w:type="dxa"/>
            <w:vMerge w:val="continue"/>
            <w:noWrap w:val="0"/>
            <w:vAlign w:val="center"/>
          </w:tcPr>
          <w:p>
            <w:pPr>
              <w:adjustRightInd w:val="0"/>
              <w:snapToGrid w:val="0"/>
              <w:spacing w:line="360" w:lineRule="exact"/>
              <w:ind w:firstLine="0" w:firstLineChars="0"/>
              <w:jc w:val="center"/>
              <w:rPr>
                <w:rFonts w:hint="eastAsia" w:ascii="宋体" w:hAnsi="宋体" w:eastAsia="宋体" w:cs="宋体"/>
                <w:sz w:val="24"/>
                <w:szCs w:val="24"/>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pacing w:line="340" w:lineRule="exact"/>
              <w:ind w:left="0" w:leftChars="0" w:right="0" w:rightChars="0"/>
              <w:jc w:val="left"/>
              <w:textAlignment w:val="auto"/>
              <w:outlineLvl w:val="9"/>
              <w:rPr>
                <w:rFonts w:hint="eastAsia" w:ascii="宋体" w:hAnsi="宋体" w:eastAsia="华文中宋" w:cs="宋体"/>
                <w:b w:val="0"/>
                <w:bCs w:val="0"/>
                <w:color w:val="auto"/>
                <w:spacing w:val="-4"/>
                <w:kern w:val="2"/>
                <w:sz w:val="24"/>
                <w:szCs w:val="24"/>
                <w:lang w:val="en-US" w:eastAsia="zh-CN" w:bidi="ar-SA"/>
              </w:rPr>
            </w:pPr>
            <w:r>
              <w:rPr>
                <w:rFonts w:hint="eastAsia" w:ascii="宋体" w:hAnsi="宋体" w:eastAsia="宋体" w:cs="宋体"/>
                <w:b w:val="0"/>
                <w:bCs w:val="0"/>
                <w:color w:val="auto"/>
                <w:sz w:val="21"/>
                <w:szCs w:val="21"/>
                <w:lang w:val="en-US" w:eastAsia="zh-CN"/>
              </w:rPr>
              <w:t>因本项目采购为软硬件集成设备，实施中还需要和</w:t>
            </w:r>
            <w:r>
              <w:rPr>
                <w:rFonts w:hint="eastAsia" w:ascii="宋体" w:hAnsi="宋体" w:cs="宋体"/>
                <w:b w:val="0"/>
                <w:bCs w:val="0"/>
                <w:color w:val="auto"/>
                <w:sz w:val="21"/>
                <w:szCs w:val="21"/>
                <w:lang w:val="en-US" w:eastAsia="zh-CN"/>
              </w:rPr>
              <w:t>防汛会商</w:t>
            </w:r>
            <w:r>
              <w:rPr>
                <w:rFonts w:hint="eastAsia" w:ascii="宋体" w:hAnsi="宋体" w:eastAsia="宋体" w:cs="宋体"/>
                <w:b w:val="0"/>
                <w:bCs w:val="0"/>
                <w:color w:val="auto"/>
                <w:sz w:val="21"/>
                <w:szCs w:val="21"/>
                <w:lang w:val="en-US" w:eastAsia="zh-CN"/>
              </w:rPr>
              <w:t>系统做对接，为确保本项目顺利进行，</w:t>
            </w:r>
            <w:r>
              <w:rPr>
                <w:rFonts w:hint="eastAsia" w:ascii="宋体" w:hAnsi="宋体" w:cs="宋体"/>
                <w:b w:val="0"/>
                <w:bCs w:val="0"/>
                <w:sz w:val="21"/>
                <w:szCs w:val="21"/>
              </w:rPr>
              <w:t>投标单位</w:t>
            </w:r>
            <w:r>
              <w:rPr>
                <w:rFonts w:hint="eastAsia" w:ascii="宋体" w:hAnsi="宋体" w:cs="宋体"/>
                <w:b w:val="0"/>
                <w:bCs w:val="0"/>
                <w:kern w:val="0"/>
                <w:sz w:val="21"/>
                <w:szCs w:val="21"/>
                <w:lang w:eastAsia="zh-CN" w:bidi="ar"/>
              </w:rPr>
              <w:t>应</w:t>
            </w:r>
            <w:r>
              <w:rPr>
                <w:rFonts w:hint="eastAsia" w:ascii="宋体" w:hAnsi="宋体" w:cs="宋体"/>
                <w:b w:val="0"/>
                <w:bCs w:val="0"/>
                <w:kern w:val="0"/>
                <w:sz w:val="21"/>
                <w:szCs w:val="21"/>
                <w:lang w:bidi="ar"/>
              </w:rPr>
              <w:t>备一定的信息化软件实施和后期运行能力，以提供</w:t>
            </w:r>
            <w:r>
              <w:rPr>
                <w:rFonts w:hint="eastAsia" w:ascii="宋体" w:hAnsi="宋体" w:cs="宋体"/>
                <w:b w:val="0"/>
                <w:bCs w:val="0"/>
                <w:sz w:val="21"/>
                <w:szCs w:val="21"/>
              </w:rPr>
              <w:t>计算机软件著作权登记证书为依据。软件著作权所属权应为投标单位所有，提供一个得</w:t>
            </w:r>
            <w:r>
              <w:rPr>
                <w:rFonts w:hint="eastAsia" w:ascii="宋体" w:hAnsi="宋体" w:cs="宋体"/>
                <w:b w:val="0"/>
                <w:bCs w:val="0"/>
                <w:sz w:val="21"/>
                <w:szCs w:val="21"/>
                <w:lang w:val="en-US" w:eastAsia="zh-CN"/>
              </w:rPr>
              <w:t>1</w:t>
            </w:r>
            <w:r>
              <w:rPr>
                <w:rFonts w:hint="eastAsia" w:ascii="宋体" w:hAnsi="宋体" w:cs="宋体"/>
                <w:b w:val="0"/>
                <w:bCs w:val="0"/>
                <w:sz w:val="21"/>
                <w:szCs w:val="21"/>
              </w:rPr>
              <w:t>分，最高</w:t>
            </w:r>
            <w:r>
              <w:rPr>
                <w:rFonts w:hint="eastAsia" w:ascii="宋体" w:hAnsi="宋体" w:cs="宋体"/>
                <w:b w:val="0"/>
                <w:bCs w:val="0"/>
                <w:sz w:val="21"/>
                <w:szCs w:val="21"/>
                <w:lang w:eastAsia="zh-CN"/>
              </w:rPr>
              <w:t>得</w:t>
            </w:r>
            <w:r>
              <w:rPr>
                <w:rFonts w:hint="eastAsia" w:ascii="宋体" w:hAnsi="宋体" w:cs="宋体"/>
                <w:b w:val="0"/>
                <w:bCs w:val="0"/>
                <w:sz w:val="21"/>
                <w:szCs w:val="21"/>
                <w:lang w:val="en-US" w:eastAsia="zh-CN"/>
              </w:rPr>
              <w:t>4</w:t>
            </w:r>
            <w:r>
              <w:rPr>
                <w:rFonts w:hint="eastAsia" w:ascii="宋体" w:hAnsi="宋体" w:cs="宋体"/>
                <w:b w:val="0"/>
                <w:bCs w:val="0"/>
                <w:sz w:val="21"/>
                <w:szCs w:val="21"/>
              </w:rPr>
              <w:t>分</w:t>
            </w:r>
            <w:r>
              <w:rPr>
                <w:rFonts w:hint="eastAsia" w:ascii="宋体" w:hAnsi="宋体" w:cs="宋体"/>
                <w:b w:val="0"/>
                <w:bCs w:val="0"/>
                <w:sz w:val="21"/>
                <w:szCs w:val="21"/>
                <w:lang w:eastAsia="zh-CN"/>
              </w:rPr>
              <w:t>。</w:t>
            </w:r>
            <w:r>
              <w:rPr>
                <w:rFonts w:hint="eastAsia" w:ascii="Times New Roman" w:hAnsi="Times New Roman" w:eastAsia="宋体" w:cs="Times New Roman"/>
                <w:b/>
                <w:bCs/>
                <w:kern w:val="2"/>
                <w:sz w:val="21"/>
                <w:szCs w:val="21"/>
                <w:lang w:val="en-US" w:eastAsia="zh-CN" w:bidi="ar-SA"/>
              </w:rPr>
              <w:t>提供证书复印件并加盖公章</w:t>
            </w:r>
            <w:bookmarkStart w:id="8" w:name="_GoBack"/>
            <w:bookmarkEnd w:id="8"/>
          </w:p>
        </w:tc>
        <w:tc>
          <w:tcPr>
            <w:tcW w:w="949" w:type="dxa"/>
            <w:noWrap w:val="0"/>
            <w:vAlign w:val="center"/>
          </w:tcPr>
          <w:p>
            <w:pPr>
              <w:adjustRightInd w:val="0"/>
              <w:snapToGrid w:val="0"/>
              <w:spacing w:line="360" w:lineRule="exact"/>
              <w:jc w:val="center"/>
              <w:rPr>
                <w:rFonts w:hint="eastAsia"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0-4分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06" w:type="dxa"/>
            <w:vMerge w:val="continue"/>
            <w:noWrap w:val="0"/>
            <w:vAlign w:val="center"/>
          </w:tcPr>
          <w:p>
            <w:pPr>
              <w:spacing w:line="360" w:lineRule="exact"/>
              <w:ind w:firstLine="0" w:firstLineChars="0"/>
              <w:jc w:val="center"/>
              <w:rPr>
                <w:rFonts w:hint="eastAsia" w:ascii="宋体" w:hAnsi="宋体" w:eastAsia="宋体" w:cs="宋体"/>
                <w:sz w:val="24"/>
                <w:szCs w:val="24"/>
              </w:rPr>
            </w:pPr>
          </w:p>
        </w:tc>
        <w:tc>
          <w:tcPr>
            <w:tcW w:w="1593" w:type="dxa"/>
            <w:vMerge w:val="continue"/>
            <w:noWrap w:val="0"/>
            <w:vAlign w:val="center"/>
          </w:tcPr>
          <w:p>
            <w:pPr>
              <w:adjustRightInd w:val="0"/>
              <w:snapToGrid w:val="0"/>
              <w:spacing w:line="360" w:lineRule="exact"/>
              <w:ind w:firstLine="0" w:firstLineChars="0"/>
              <w:jc w:val="center"/>
              <w:rPr>
                <w:rFonts w:hint="eastAsia" w:ascii="宋体" w:hAnsi="宋体" w:eastAsia="宋体" w:cs="宋体"/>
                <w:sz w:val="24"/>
                <w:szCs w:val="24"/>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pacing w:line="340" w:lineRule="exact"/>
              <w:ind w:left="0" w:leftChars="0" w:right="0" w:rightChars="0"/>
              <w:jc w:val="left"/>
              <w:textAlignment w:val="auto"/>
              <w:outlineLvl w:val="9"/>
              <w:rPr>
                <w:rFonts w:hint="eastAsia" w:ascii="宋体" w:hAnsi="宋体" w:cs="宋体"/>
                <w:b w:val="0"/>
                <w:bCs w:val="0"/>
                <w:sz w:val="21"/>
                <w:szCs w:val="21"/>
              </w:rPr>
            </w:pPr>
            <w:r>
              <w:rPr>
                <w:rFonts w:hint="eastAsia" w:ascii="宋体" w:hAnsi="宋体" w:cs="宋体"/>
                <w:b w:val="0"/>
                <w:bCs w:val="0"/>
                <w:sz w:val="21"/>
                <w:szCs w:val="21"/>
              </w:rPr>
              <w:t>投标人具有ISO质量管理体系认证、ISO环境管理体系认证、OHSAS职业健康安全管理体系认证，</w:t>
            </w:r>
            <w:r>
              <w:rPr>
                <w:rFonts w:hint="eastAsia" w:ascii="宋体" w:hAnsi="宋体" w:cs="宋体"/>
                <w:b w:val="0"/>
                <w:bCs w:val="0"/>
                <w:sz w:val="21"/>
                <w:szCs w:val="21"/>
                <w:lang w:eastAsia="zh-CN"/>
              </w:rPr>
              <w:t>三大体系认证的通过认证范围里必须包含计算机信息系统内容</w:t>
            </w:r>
            <w:r>
              <w:rPr>
                <w:rFonts w:hint="eastAsia" w:ascii="宋体" w:hAnsi="宋体" w:cs="宋体"/>
                <w:b w:val="0"/>
                <w:bCs w:val="0"/>
                <w:sz w:val="21"/>
                <w:szCs w:val="21"/>
              </w:rPr>
              <w:t>。每提供一个得1分，最</w:t>
            </w:r>
            <w:r>
              <w:rPr>
                <w:rFonts w:hint="eastAsia" w:ascii="宋体" w:hAnsi="宋体" w:cs="宋体"/>
                <w:b w:val="0"/>
                <w:bCs w:val="0"/>
                <w:sz w:val="21"/>
                <w:szCs w:val="21"/>
                <w:lang w:eastAsia="zh-CN"/>
              </w:rPr>
              <w:t>高</w:t>
            </w:r>
            <w:r>
              <w:rPr>
                <w:rFonts w:hint="eastAsia" w:ascii="宋体" w:hAnsi="宋体" w:cs="宋体"/>
                <w:b w:val="0"/>
                <w:bCs w:val="0"/>
                <w:sz w:val="21"/>
                <w:szCs w:val="21"/>
              </w:rPr>
              <w:t>得</w:t>
            </w:r>
            <w:r>
              <w:rPr>
                <w:rFonts w:hint="eastAsia" w:ascii="宋体" w:hAnsi="宋体" w:cs="宋体"/>
                <w:b w:val="0"/>
                <w:bCs w:val="0"/>
                <w:sz w:val="21"/>
                <w:szCs w:val="21"/>
                <w:lang w:val="en-US" w:eastAsia="zh-CN"/>
              </w:rPr>
              <w:t>3</w:t>
            </w:r>
            <w:r>
              <w:rPr>
                <w:rFonts w:hint="eastAsia" w:ascii="宋体" w:hAnsi="宋体" w:cs="宋体"/>
                <w:b w:val="0"/>
                <w:bCs w:val="0"/>
                <w:sz w:val="21"/>
                <w:szCs w:val="21"/>
              </w:rPr>
              <w:t>分。</w:t>
            </w:r>
            <w:r>
              <w:rPr>
                <w:rFonts w:hint="eastAsia" w:ascii="宋体" w:hAnsi="宋体" w:cs="宋体"/>
                <w:b/>
                <w:bCs/>
                <w:sz w:val="21"/>
                <w:szCs w:val="21"/>
                <w:lang w:eastAsia="zh-CN"/>
              </w:rPr>
              <w:t>提供</w:t>
            </w:r>
            <w:r>
              <w:rPr>
                <w:rFonts w:hint="eastAsia" w:ascii="宋体" w:hAnsi="宋体" w:cs="宋体"/>
                <w:b/>
                <w:bCs/>
                <w:sz w:val="21"/>
                <w:szCs w:val="21"/>
                <w:lang w:val="en-US" w:eastAsia="zh-CN"/>
              </w:rPr>
              <w:t>证书复印件并加盖公章</w:t>
            </w:r>
          </w:p>
        </w:tc>
        <w:tc>
          <w:tcPr>
            <w:tcW w:w="949" w:type="dxa"/>
            <w:noWrap w:val="0"/>
            <w:vAlign w:val="center"/>
          </w:tcPr>
          <w:p>
            <w:pPr>
              <w:adjustRightInd w:val="0"/>
              <w:snapToGrid w:val="0"/>
              <w:spacing w:line="360" w:lineRule="exact"/>
              <w:jc w:val="center"/>
              <w:rPr>
                <w:rFonts w:hint="default"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0-3分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06" w:type="dxa"/>
            <w:noWrap w:val="0"/>
            <w:vAlign w:val="center"/>
          </w:tcPr>
          <w:p>
            <w:pPr>
              <w:spacing w:line="360" w:lineRule="exact"/>
              <w:ind w:firstLine="0" w:firstLineChars="0"/>
              <w:jc w:val="center"/>
              <w:rPr>
                <w:rFonts w:hint="eastAsia" w:ascii="宋体" w:hAnsi="宋体" w:eastAsia="宋体" w:cs="宋体"/>
                <w:sz w:val="24"/>
                <w:szCs w:val="24"/>
              </w:rPr>
            </w:pPr>
          </w:p>
        </w:tc>
        <w:tc>
          <w:tcPr>
            <w:tcW w:w="1593" w:type="dxa"/>
            <w:noWrap w:val="0"/>
            <w:vAlign w:val="center"/>
          </w:tcPr>
          <w:p>
            <w:pPr>
              <w:adjustRightInd w:val="0"/>
              <w:snapToGrid w:val="0"/>
              <w:spacing w:line="360" w:lineRule="exact"/>
              <w:ind w:firstLine="0" w:firstLineChars="0"/>
              <w:jc w:val="center"/>
              <w:rPr>
                <w:rFonts w:hint="eastAsia" w:ascii="宋体" w:hAnsi="宋体" w:eastAsia="宋体" w:cs="宋体"/>
                <w:sz w:val="24"/>
                <w:szCs w:val="24"/>
              </w:rPr>
            </w:pPr>
          </w:p>
        </w:tc>
        <w:tc>
          <w:tcPr>
            <w:tcW w:w="6414" w:type="dxa"/>
            <w:noWrap w:val="0"/>
            <w:vAlign w:val="center"/>
          </w:tcPr>
          <w:p>
            <w:pPr>
              <w:spacing w:line="276" w:lineRule="auto"/>
              <w:jc w:val="left"/>
              <w:rPr>
                <w:rFonts w:hint="default" w:ascii="宋体" w:hAnsi="宋体" w:eastAsia="宋体" w:cs="宋体"/>
                <w:b w:val="0"/>
                <w:bCs w:val="0"/>
                <w:color w:val="auto"/>
                <w:kern w:val="0"/>
                <w:sz w:val="22"/>
                <w:szCs w:val="22"/>
                <w:lang w:val="en-US" w:eastAsia="zh-CN"/>
              </w:rPr>
            </w:pPr>
            <w:r>
              <w:rPr>
                <w:rFonts w:hint="eastAsia" w:ascii="宋体" w:hAnsi="宋体" w:cs="宋体"/>
                <w:b w:val="0"/>
                <w:bCs w:val="0"/>
                <w:sz w:val="21"/>
                <w:szCs w:val="21"/>
                <w:lang w:eastAsia="zh-CN"/>
              </w:rPr>
              <w:t>投标人具有电子与智能化工程专业承包资质和安全防范等级证书，每提供一个得</w:t>
            </w:r>
            <w:r>
              <w:rPr>
                <w:rFonts w:hint="eastAsia" w:ascii="宋体" w:hAnsi="宋体" w:cs="宋体"/>
                <w:b w:val="0"/>
                <w:bCs w:val="0"/>
                <w:sz w:val="21"/>
                <w:szCs w:val="21"/>
                <w:lang w:val="en-US" w:eastAsia="zh-CN"/>
              </w:rPr>
              <w:t>1.5分，最高3分。未提供不得分。</w:t>
            </w:r>
            <w:r>
              <w:rPr>
                <w:rFonts w:hint="eastAsia" w:ascii="宋体" w:hAnsi="宋体" w:cs="宋体"/>
                <w:b/>
                <w:bCs/>
                <w:sz w:val="21"/>
                <w:szCs w:val="21"/>
                <w:lang w:eastAsia="zh-CN"/>
              </w:rPr>
              <w:t>提供</w:t>
            </w:r>
            <w:r>
              <w:rPr>
                <w:rFonts w:hint="eastAsia" w:ascii="宋体" w:hAnsi="宋体" w:cs="宋体"/>
                <w:b/>
                <w:bCs/>
                <w:sz w:val="21"/>
                <w:szCs w:val="21"/>
                <w:lang w:val="en-US" w:eastAsia="zh-CN"/>
              </w:rPr>
              <w:t>证书复印件并加盖公章</w:t>
            </w:r>
          </w:p>
        </w:tc>
        <w:tc>
          <w:tcPr>
            <w:tcW w:w="949" w:type="dxa"/>
            <w:noWrap w:val="0"/>
            <w:vAlign w:val="center"/>
          </w:tcPr>
          <w:p>
            <w:pPr>
              <w:adjustRightInd w:val="0"/>
              <w:snapToGrid w:val="0"/>
              <w:spacing w:line="360" w:lineRule="exact"/>
              <w:jc w:val="center"/>
              <w:rPr>
                <w:rFonts w:hint="eastAsia"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0-3分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06" w:type="dxa"/>
            <w:noWrap w:val="0"/>
            <w:vAlign w:val="center"/>
          </w:tcPr>
          <w:p>
            <w:pPr>
              <w:spacing w:line="360" w:lineRule="exact"/>
              <w:ind w:firstLine="0" w:firstLineChars="0"/>
              <w:jc w:val="center"/>
              <w:rPr>
                <w:rFonts w:hint="eastAsia" w:ascii="宋体" w:hAnsi="宋体" w:eastAsia="宋体" w:cs="宋体"/>
                <w:sz w:val="24"/>
                <w:szCs w:val="24"/>
              </w:rPr>
            </w:pPr>
          </w:p>
        </w:tc>
        <w:tc>
          <w:tcPr>
            <w:tcW w:w="1593" w:type="dxa"/>
            <w:noWrap w:val="0"/>
            <w:vAlign w:val="center"/>
          </w:tcPr>
          <w:p>
            <w:pPr>
              <w:adjustRightInd w:val="0"/>
              <w:snapToGrid w:val="0"/>
              <w:spacing w:line="360" w:lineRule="exact"/>
              <w:ind w:firstLine="0" w:firstLineChars="0"/>
              <w:jc w:val="center"/>
              <w:rPr>
                <w:rFonts w:hint="eastAsia" w:ascii="宋体" w:hAnsi="宋体" w:eastAsia="宋体" w:cs="宋体"/>
                <w:sz w:val="24"/>
                <w:szCs w:val="24"/>
              </w:rPr>
            </w:pPr>
          </w:p>
        </w:tc>
        <w:tc>
          <w:tcPr>
            <w:tcW w:w="6414" w:type="dxa"/>
            <w:noWrap w:val="0"/>
            <w:vAlign w:val="center"/>
          </w:tcPr>
          <w:p>
            <w:pPr>
              <w:spacing w:line="276" w:lineRule="auto"/>
              <w:jc w:val="left"/>
              <w:rPr>
                <w:rFonts w:hint="eastAsia" w:ascii="宋体" w:hAnsi="宋体" w:eastAsia="宋体" w:cs="宋体"/>
                <w:b w:val="0"/>
                <w:bCs w:val="0"/>
                <w:color w:val="auto"/>
                <w:kern w:val="0"/>
                <w:sz w:val="22"/>
                <w:szCs w:val="22"/>
              </w:rPr>
            </w:pPr>
            <w:r>
              <w:rPr>
                <w:rFonts w:hint="eastAsia" w:ascii="Times New Roman" w:hAnsi="Times New Roman" w:eastAsia="宋体" w:cs="Times New Roman"/>
                <w:kern w:val="2"/>
                <w:sz w:val="21"/>
                <w:szCs w:val="21"/>
                <w:lang w:val="en-US" w:eastAsia="zh-CN" w:bidi="ar-SA"/>
              </w:rPr>
              <w:t>投标文件编制有序、完整性、规范性，有无错误、是否按招标文件要求制作等情况酌情打分。</w:t>
            </w:r>
          </w:p>
        </w:tc>
        <w:tc>
          <w:tcPr>
            <w:tcW w:w="949" w:type="dxa"/>
            <w:noWrap w:val="0"/>
            <w:vAlign w:val="center"/>
          </w:tcPr>
          <w:p>
            <w:pPr>
              <w:adjustRightInd w:val="0"/>
              <w:snapToGrid w:val="0"/>
              <w:spacing w:line="360" w:lineRule="exact"/>
              <w:jc w:val="center"/>
              <w:rPr>
                <w:rFonts w:hint="default" w:ascii="华文中宋" w:hAnsi="华文中宋" w:eastAsia="华文中宋" w:cs="华文中宋"/>
                <w:b/>
                <w:bCs/>
                <w:color w:val="auto"/>
                <w:szCs w:val="21"/>
                <w:highlight w:val="none"/>
                <w:lang w:val="en-US" w:eastAsia="zh-CN"/>
              </w:rPr>
            </w:pPr>
            <w:r>
              <w:rPr>
                <w:rFonts w:hint="eastAsia" w:ascii="华文中宋" w:hAnsi="华文中宋" w:eastAsia="华文中宋" w:cs="华文中宋"/>
                <w:b/>
                <w:bCs/>
                <w:color w:val="auto"/>
                <w:szCs w:val="21"/>
                <w:highlight w:val="none"/>
                <w:lang w:val="en-US" w:eastAsia="zh-CN"/>
              </w:rPr>
              <w:t>0-2分</w:t>
            </w:r>
          </w:p>
        </w:tc>
      </w:tr>
    </w:tbl>
    <w:p>
      <w:pPr>
        <w:pStyle w:val="2"/>
        <w:ind w:left="0" w:leftChars="0" w:firstLine="0" w:firstLineChars="0"/>
        <w:rPr>
          <w:rFonts w:ascii="宋体" w:hAnsi="宋体"/>
          <w:bCs/>
          <w:sz w:val="24"/>
        </w:rPr>
      </w:pPr>
    </w:p>
    <w:p>
      <w:pPr>
        <w:adjustRightInd w:val="0"/>
        <w:snapToGrid w:val="0"/>
        <w:spacing w:line="360" w:lineRule="auto"/>
        <w:rPr>
          <w:rFonts w:ascii="宋体" w:hAnsi="宋体"/>
          <w:b/>
          <w:sz w:val="24"/>
        </w:rPr>
      </w:pPr>
      <w:r>
        <w:rPr>
          <w:rFonts w:hint="eastAsia" w:ascii="宋体" w:hAnsi="宋体"/>
          <w:b/>
          <w:sz w:val="24"/>
        </w:rPr>
        <w:t xml:space="preserve"> 第六条  评标步骤</w:t>
      </w:r>
    </w:p>
    <w:p>
      <w:pPr>
        <w:snapToGrid w:val="0"/>
        <w:spacing w:line="360" w:lineRule="auto"/>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360" w:lineRule="auto"/>
        <w:ind w:firstLine="480" w:firstLineChars="200"/>
        <w:rPr>
          <w:rFonts w:ascii="宋体"/>
          <w:sz w:val="24"/>
        </w:rPr>
      </w:pPr>
      <w:r>
        <w:rPr>
          <w:rFonts w:hint="eastAsia" w:ascii="宋体" w:hAnsi="宋体"/>
          <w:sz w:val="24"/>
        </w:rPr>
        <w:t>1）</w:t>
      </w:r>
      <w:r>
        <w:rPr>
          <w:rFonts w:hint="eastAsia" w:ascii="宋体" w:hAnsi="宋体"/>
          <w:b/>
          <w:bCs/>
          <w:sz w:val="24"/>
        </w:rPr>
        <w:t>投标人因自身原因无法解密投标文件的；</w:t>
      </w:r>
    </w:p>
    <w:p>
      <w:pPr>
        <w:snapToGrid w:val="0"/>
        <w:spacing w:line="360" w:lineRule="auto"/>
        <w:ind w:firstLine="480" w:firstLineChars="200"/>
        <w:rPr>
          <w:rFonts w:ascii="宋体"/>
          <w:sz w:val="24"/>
        </w:rPr>
      </w:pPr>
      <w:r>
        <w:rPr>
          <w:rFonts w:hint="eastAsia" w:ascii="宋体" w:hAnsi="宋体"/>
          <w:snapToGrid w:val="0"/>
          <w:sz w:val="24"/>
        </w:rPr>
        <w:t>2）</w:t>
      </w:r>
      <w:r>
        <w:rPr>
          <w:rFonts w:hint="eastAsia" w:ascii="宋体" w:hAnsi="宋体" w:cs="Arial"/>
          <w:sz w:val="24"/>
        </w:rPr>
        <w:t>投标人</w:t>
      </w:r>
      <w:r>
        <w:rPr>
          <w:rFonts w:hint="eastAsia" w:ascii="宋体" w:hAnsi="宋体"/>
          <w:sz w:val="24"/>
        </w:rPr>
        <w:t>应盖公章而未盖公章、未有效授权、法定代表人授权书填写不完整的；</w:t>
      </w:r>
    </w:p>
    <w:p>
      <w:pPr>
        <w:snapToGrid w:val="0"/>
        <w:spacing w:line="360" w:lineRule="auto"/>
        <w:ind w:firstLine="480" w:firstLineChars="200"/>
        <w:rPr>
          <w:rFonts w:ascii="宋体"/>
          <w:sz w:val="24"/>
        </w:rPr>
      </w:pPr>
      <w:r>
        <w:rPr>
          <w:rFonts w:hint="eastAsia" w:ascii="宋体" w:hAnsi="宋体"/>
          <w:sz w:val="24"/>
        </w:rPr>
        <w:t>3）</w:t>
      </w:r>
      <w:r>
        <w:rPr>
          <w:rFonts w:hint="eastAsia" w:ascii="宋体" w:hAnsi="宋体" w:cs="Arial"/>
          <w:sz w:val="24"/>
        </w:rPr>
        <w:t>投标</w:t>
      </w:r>
      <w:r>
        <w:rPr>
          <w:rFonts w:hint="eastAsia" w:ascii="宋体" w:hAnsi="宋体"/>
          <w:sz w:val="24"/>
        </w:rPr>
        <w:t>文件内容虚假的；</w:t>
      </w:r>
    </w:p>
    <w:p>
      <w:pPr>
        <w:snapToGrid w:val="0"/>
        <w:spacing w:line="360" w:lineRule="auto"/>
        <w:ind w:firstLine="480" w:firstLineChars="200"/>
        <w:rPr>
          <w:rFonts w:asci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360" w:lineRule="auto"/>
        <w:ind w:firstLine="480" w:firstLineChars="200"/>
        <w:rPr>
          <w:rFonts w:asci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文件的关键内容字迹模糊、无法辨认的</w:t>
      </w:r>
      <w:r>
        <w:rPr>
          <w:rFonts w:ascii="宋体"/>
          <w:sz w:val="24"/>
        </w:rPr>
        <w:t>,</w:t>
      </w:r>
      <w:r>
        <w:rPr>
          <w:rFonts w:hint="eastAsia" w:ascii="宋体" w:hAnsi="宋体"/>
          <w:sz w:val="24"/>
        </w:rPr>
        <w:t>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360" w:lineRule="auto"/>
        <w:ind w:firstLine="480" w:firstLineChars="200"/>
        <w:rPr>
          <w:rFonts w:asci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360" w:lineRule="auto"/>
        <w:ind w:firstLine="480" w:firstLineChars="200"/>
        <w:rPr>
          <w:rFonts w:ascii="宋体"/>
          <w:sz w:val="24"/>
        </w:rPr>
      </w:pPr>
      <w:r>
        <w:rPr>
          <w:rFonts w:hint="eastAsia" w:ascii="宋体" w:hAnsi="宋体"/>
          <w:sz w:val="24"/>
        </w:rPr>
        <w:t>7）</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360" w:lineRule="auto"/>
        <w:ind w:firstLine="480" w:firstLineChars="200"/>
        <w:rPr>
          <w:rFonts w:ascii="宋体"/>
          <w:sz w:val="24"/>
        </w:rPr>
      </w:pPr>
      <w:r>
        <w:rPr>
          <w:rFonts w:hint="eastAsia" w:ascii="宋体" w:hAnsi="宋体"/>
          <w:sz w:val="24"/>
        </w:rPr>
        <w:t>8）不符合法律、法规和本采购文件规定的其他实质性要求的。</w:t>
      </w:r>
    </w:p>
    <w:p>
      <w:pPr>
        <w:snapToGrid w:val="0"/>
        <w:spacing w:line="360" w:lineRule="auto"/>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360" w:lineRule="auto"/>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360" w:lineRule="auto"/>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采购响应</w:t>
      </w:r>
      <w:r>
        <w:rPr>
          <w:rFonts w:hint="eastAsia" w:ascii="宋体" w:hAnsi="宋体"/>
          <w:sz w:val="24"/>
        </w:rPr>
        <w:t>文件；</w:t>
      </w:r>
    </w:p>
    <w:p>
      <w:pPr>
        <w:snapToGrid w:val="0"/>
        <w:spacing w:line="360" w:lineRule="auto"/>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360" w:lineRule="auto"/>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360" w:lineRule="auto"/>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360" w:lineRule="auto"/>
        <w:rPr>
          <w:rFonts w:ascii="宋体" w:hAnsi="宋体"/>
          <w:b/>
          <w:color w:val="000000"/>
          <w:sz w:val="24"/>
        </w:rPr>
      </w:pPr>
      <w:r>
        <w:rPr>
          <w:rFonts w:hint="eastAsia" w:ascii="宋体" w:hAnsi="宋体"/>
          <w:b/>
          <w:sz w:val="24"/>
        </w:rPr>
        <w:t xml:space="preserve">  ▲公开招标：先公布无效投标的投标人名单、投标无效的</w:t>
      </w:r>
      <w:r>
        <w:rPr>
          <w:rFonts w:hint="eastAsia" w:ascii="宋体" w:hAnsi="宋体"/>
          <w:b/>
          <w:color w:val="000000"/>
          <w:sz w:val="24"/>
        </w:rPr>
        <w:t>原因及有效投标的评分结果，再开报价文件。如投标有效供应商不足三家，经评标委员会确定为废标。</w:t>
      </w:r>
    </w:p>
    <w:p>
      <w:pPr>
        <w:adjustRightInd w:val="0"/>
        <w:snapToGrid w:val="0"/>
        <w:spacing w:line="360" w:lineRule="auto"/>
        <w:ind w:firstLine="472" w:firstLineChars="196"/>
        <w:rPr>
          <w:rFonts w:ascii="宋体" w:hAnsi="宋体"/>
          <w:b/>
          <w:color w:val="000000"/>
          <w:sz w:val="24"/>
        </w:rPr>
      </w:pPr>
      <w:r>
        <w:rPr>
          <w:rFonts w:hint="eastAsia" w:ascii="宋体" w:hAnsi="宋体"/>
          <w:b/>
          <w:color w:val="000000"/>
          <w:sz w:val="24"/>
        </w:rPr>
        <w:t>3、报价计算（20分）</w:t>
      </w:r>
    </w:p>
    <w:p>
      <w:pPr>
        <w:snapToGrid w:val="0"/>
        <w:spacing w:line="360" w:lineRule="auto"/>
        <w:ind w:firstLine="480" w:firstLineChars="200"/>
        <w:rPr>
          <w:rFonts w:ascii="宋体" w:hAnsi="宋体"/>
          <w:color w:val="000000"/>
          <w:sz w:val="24"/>
        </w:rPr>
      </w:pPr>
      <w:r>
        <w:rPr>
          <w:rFonts w:hint="eastAsia" w:ascii="宋体" w:hAnsi="宋体"/>
          <w:color w:val="000000"/>
          <w:sz w:val="24"/>
        </w:rPr>
        <w:t>1）全部报价中，超过项目上限价的报价无效。</w:t>
      </w:r>
    </w:p>
    <w:p>
      <w:pPr>
        <w:snapToGrid w:val="0"/>
        <w:spacing w:line="360" w:lineRule="auto"/>
        <w:ind w:firstLine="480" w:firstLineChars="200"/>
        <w:rPr>
          <w:rFonts w:ascii="宋体" w:hAnsi="宋体"/>
          <w:color w:val="000000"/>
          <w:sz w:val="24"/>
        </w:rPr>
      </w:pPr>
      <w:r>
        <w:rPr>
          <w:rFonts w:hint="eastAsia" w:ascii="宋体" w:hAnsi="宋体"/>
          <w:color w:val="000000"/>
          <w:sz w:val="24"/>
        </w:rPr>
        <w:t>2）根据《政府采购促进中小企业发展暂行办法》的要求，对小型和微型企业产品的价格给予6%的扣除，用扣除后的价格参与评审。</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3）</w:t>
      </w:r>
      <w:r>
        <w:rPr>
          <w:rFonts w:hint="eastAsia" w:ascii="宋体" w:hAnsi="宋体"/>
          <w:b/>
          <w:bCs/>
          <w:color w:val="000000"/>
          <w:sz w:val="24"/>
        </w:rPr>
        <w:t>以全部有效报价的最低价作为评标基准价，其最低报价为满分；各投标方的投标报价分统一按照[投标报价得分=（评标基准价/投标报价）*价格权值*100]的计算公式计算。</w:t>
      </w:r>
    </w:p>
    <w:p>
      <w:pPr>
        <w:snapToGrid w:val="0"/>
        <w:spacing w:line="360" w:lineRule="auto"/>
        <w:ind w:firstLine="480" w:firstLineChars="200"/>
        <w:rPr>
          <w:rFonts w:ascii="宋体" w:hAnsi="宋体"/>
          <w:color w:val="000000"/>
          <w:sz w:val="24"/>
        </w:rPr>
      </w:pPr>
      <w:r>
        <w:rPr>
          <w:rFonts w:hint="eastAsia" w:ascii="宋体" w:hAnsi="宋体"/>
          <w:color w:val="000000"/>
          <w:sz w:val="24"/>
        </w:rPr>
        <w:t>4）如得分相同，投标报价低者为中标供应商；如得分且投标报价相联同的，技术性能得分高者为中标供应商。</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5）投标报价应包括人工、包装、运输、装卸、保险、税金、货到就位以及安装、验收、保修、售后服务、技术服务、代理服务费等所涉及的一切费用和税金。</w:t>
      </w:r>
    </w:p>
    <w:p>
      <w:pPr>
        <w:snapToGrid w:val="0"/>
        <w:spacing w:line="360" w:lineRule="auto"/>
        <w:ind w:firstLine="482" w:firstLineChars="200"/>
        <w:outlineLvl w:val="2"/>
        <w:rPr>
          <w:rFonts w:ascii="宋体" w:hAnsi="宋体"/>
          <w:b/>
          <w:color w:val="000000"/>
          <w:sz w:val="24"/>
        </w:rPr>
      </w:pPr>
      <w:r>
        <w:rPr>
          <w:rFonts w:hint="eastAsia" w:ascii="宋体" w:hAnsi="宋体"/>
          <w:b/>
          <w:color w:val="000000"/>
          <w:sz w:val="24"/>
        </w:rPr>
        <w:t>4、错误修正</w:t>
      </w:r>
    </w:p>
    <w:p>
      <w:pPr>
        <w:snapToGrid w:val="0"/>
        <w:spacing w:line="360" w:lineRule="auto"/>
        <w:ind w:left="719" w:leftChars="228" w:hanging="240" w:hangingChars="100"/>
        <w:rPr>
          <w:rFonts w:ascii="宋体" w:hAnsi="宋体"/>
          <w:color w:val="000000"/>
          <w:sz w:val="24"/>
        </w:rPr>
      </w:pPr>
      <w:r>
        <w:rPr>
          <w:rFonts w:hint="eastAsia" w:ascii="宋体" w:hAnsi="宋体" w:cs="Arial"/>
          <w:color w:val="000000"/>
          <w:sz w:val="24"/>
        </w:rPr>
        <w:t>报价</w:t>
      </w:r>
      <w:r>
        <w:rPr>
          <w:rFonts w:hint="eastAsia" w:ascii="宋体" w:hAnsi="宋体"/>
          <w:color w:val="000000"/>
          <w:sz w:val="24"/>
        </w:rPr>
        <w:t>文件如果出现计算或表达上的错误，修正错误的原则如下：</w:t>
      </w:r>
    </w:p>
    <w:p>
      <w:pPr>
        <w:snapToGrid w:val="0"/>
        <w:spacing w:line="360" w:lineRule="auto"/>
        <w:ind w:firstLine="480" w:firstLineChars="200"/>
        <w:rPr>
          <w:rFonts w:ascii="宋体" w:hAnsi="宋体" w:cs="Arial"/>
          <w:color w:val="000000"/>
          <w:kern w:val="0"/>
          <w:sz w:val="24"/>
        </w:rPr>
      </w:pPr>
      <w:r>
        <w:rPr>
          <w:rFonts w:hint="eastAsia" w:ascii="宋体" w:hAnsi="宋体"/>
          <w:color w:val="000000"/>
          <w:sz w:val="24"/>
        </w:rPr>
        <w:t>1.报价一览表总价与报价明细表汇总数不一致的，</w:t>
      </w:r>
      <w:r>
        <w:rPr>
          <w:rFonts w:hint="eastAsia" w:ascii="宋体" w:hAnsi="宋体" w:cs="Arial"/>
          <w:color w:val="000000"/>
          <w:kern w:val="0"/>
          <w:sz w:val="24"/>
        </w:rPr>
        <w:t>以开标一览表为准；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3.总价金额与单价汇总金额不一致的，以单价金额计算结果为准；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4.对不同文字文本</w:t>
      </w:r>
      <w:r>
        <w:rPr>
          <w:rFonts w:hint="eastAsia" w:ascii="宋体" w:hAnsi="宋体" w:cs="Arial"/>
          <w:color w:val="000000"/>
          <w:sz w:val="24"/>
        </w:rPr>
        <w:t>投标</w:t>
      </w:r>
      <w:r>
        <w:rPr>
          <w:rFonts w:hint="eastAsia" w:ascii="宋体" w:hAnsi="宋体"/>
          <w:color w:val="000000"/>
          <w:sz w:val="24"/>
        </w:rPr>
        <w:t>文件的解释发生异议的，以中文正本为准。</w:t>
      </w:r>
    </w:p>
    <w:p>
      <w:pPr>
        <w:snapToGrid w:val="0"/>
        <w:spacing w:line="360" w:lineRule="auto"/>
        <w:ind w:firstLine="480" w:firstLineChars="200"/>
        <w:rPr>
          <w:rFonts w:ascii="宋体" w:hAnsi="宋体"/>
          <w:bCs/>
          <w:color w:val="000000"/>
          <w:sz w:val="24"/>
        </w:rPr>
      </w:pPr>
      <w:r>
        <w:rPr>
          <w:rFonts w:hint="eastAsia" w:ascii="宋体" w:hAnsi="宋体"/>
          <w:bCs/>
          <w:color w:val="000000"/>
          <w:sz w:val="24"/>
        </w:rPr>
        <w:t>按上述修正错误的原则及方法调整或修正</w:t>
      </w:r>
      <w:r>
        <w:rPr>
          <w:rFonts w:hint="eastAsia" w:ascii="宋体" w:hAnsi="宋体" w:cs="Arial"/>
          <w:color w:val="000000"/>
          <w:sz w:val="24"/>
        </w:rPr>
        <w:t>投标</w:t>
      </w:r>
      <w:r>
        <w:rPr>
          <w:rFonts w:hint="eastAsia" w:ascii="宋体" w:hAnsi="宋体"/>
          <w:color w:val="000000"/>
          <w:sz w:val="24"/>
        </w:rPr>
        <w:t>文件</w:t>
      </w:r>
      <w:r>
        <w:rPr>
          <w:rFonts w:hint="eastAsia" w:ascii="宋体" w:hAnsi="宋体"/>
          <w:bCs/>
          <w:color w:val="000000"/>
          <w:sz w:val="24"/>
        </w:rPr>
        <w:t>的报价，</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同意并签字确认后，调整后的报价对</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具有约束作用。如果</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不接受修正后的报价，则其投标将作为无效处理。</w:t>
      </w:r>
    </w:p>
    <w:p>
      <w:pPr>
        <w:snapToGrid w:val="0"/>
        <w:spacing w:line="360" w:lineRule="auto"/>
        <w:ind w:left="720" w:leftChars="228" w:hanging="241" w:hangingChars="100"/>
        <w:rPr>
          <w:rFonts w:ascii="宋体" w:hAnsi="宋体"/>
          <w:b/>
          <w:color w:val="000000"/>
          <w:sz w:val="24"/>
        </w:rPr>
      </w:pPr>
      <w:r>
        <w:rPr>
          <w:rFonts w:hint="eastAsia" w:ascii="宋体" w:hAnsi="宋体"/>
          <w:b/>
          <w:color w:val="000000"/>
          <w:sz w:val="24"/>
        </w:rPr>
        <w:t>5、在报价评议时，如发现下列情形之一的，</w:t>
      </w:r>
      <w:r>
        <w:rPr>
          <w:rFonts w:hint="eastAsia" w:ascii="宋体" w:hAnsi="宋体" w:cs="Arial"/>
          <w:b/>
          <w:color w:val="000000"/>
          <w:sz w:val="24"/>
        </w:rPr>
        <w:t>投标</w:t>
      </w:r>
      <w:r>
        <w:rPr>
          <w:rFonts w:hint="eastAsia" w:ascii="宋体" w:hAnsi="宋体"/>
          <w:b/>
          <w:color w:val="000000"/>
          <w:sz w:val="24"/>
        </w:rPr>
        <w:t>文件将被视为无效：</w:t>
      </w:r>
    </w:p>
    <w:p>
      <w:pPr>
        <w:snapToGrid w:val="0"/>
        <w:spacing w:line="360" w:lineRule="auto"/>
        <w:ind w:left="719" w:leftChars="228" w:hanging="240" w:hangingChars="100"/>
        <w:rPr>
          <w:rFonts w:ascii="宋体" w:hAnsi="宋体"/>
          <w:color w:val="000000"/>
          <w:sz w:val="24"/>
        </w:rPr>
      </w:pPr>
      <w:r>
        <w:rPr>
          <w:rFonts w:hint="eastAsia" w:ascii="宋体" w:hAnsi="宋体"/>
          <w:color w:val="000000"/>
          <w:sz w:val="24"/>
        </w:rPr>
        <w:t>1）以赠送方式的报价；</w:t>
      </w:r>
    </w:p>
    <w:p>
      <w:pPr>
        <w:snapToGrid w:val="0"/>
        <w:spacing w:line="360" w:lineRule="auto"/>
        <w:ind w:left="719" w:leftChars="228" w:hanging="240" w:hangingChars="100"/>
        <w:rPr>
          <w:rFonts w:ascii="宋体" w:hAnsi="宋体"/>
          <w:color w:val="000000"/>
          <w:sz w:val="24"/>
        </w:rPr>
      </w:pPr>
      <w:r>
        <w:rPr>
          <w:rFonts w:hint="eastAsia" w:ascii="宋体" w:hAnsi="宋体"/>
          <w:color w:val="000000"/>
          <w:sz w:val="24"/>
        </w:rPr>
        <w:t>2）投标报价超出上限价的；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3）评审时如发现投标人的报价明显高于其市场报价或低于成本价的，应要求该供应商书面说明并提供相关证明材料。该供应商不能合理说明原因并提供证明材料的，评审小组应将该供应商的投标文件作无效处理。</w:t>
      </w:r>
    </w:p>
    <w:p>
      <w:pPr>
        <w:snapToGrid w:val="0"/>
        <w:spacing w:line="360" w:lineRule="auto"/>
        <w:ind w:firstLine="482" w:firstLineChars="200"/>
        <w:rPr>
          <w:rFonts w:ascii="宋体" w:hAnsi="宋体"/>
          <w:bCs/>
          <w:color w:val="000000"/>
          <w:sz w:val="24"/>
        </w:rPr>
      </w:pPr>
      <w:r>
        <w:rPr>
          <w:rFonts w:hint="eastAsia" w:ascii="宋体" w:hAnsi="宋体"/>
          <w:b/>
          <w:color w:val="000000"/>
          <w:sz w:val="24"/>
        </w:rPr>
        <w:t>6、不符合法律、法规和本采购文件规定的其他实质性要求的（</w:t>
      </w:r>
      <w:r>
        <w:rPr>
          <w:rFonts w:hint="eastAsia" w:ascii="宋体" w:hAnsi="宋体"/>
          <w:bCs/>
          <w:color w:val="000000"/>
          <w:sz w:val="24"/>
        </w:rPr>
        <w:t>实质上没有响应投标文件要求的采购文件将被视为无效，但经评标委员会认定属于投标人疏忽、笔误所造成的差错，应当允许其在开标结束之前进行修改或者补正</w:t>
      </w:r>
      <w:r>
        <w:rPr>
          <w:rFonts w:hint="eastAsia" w:ascii="宋体" w:hAnsi="宋体"/>
          <w:b/>
          <w:color w:val="000000"/>
          <w:sz w:val="24"/>
        </w:rPr>
        <w:t>）</w:t>
      </w:r>
      <w:r>
        <w:rPr>
          <w:rFonts w:hint="eastAsia" w:ascii="宋体" w:hAnsi="宋体"/>
          <w:bCs/>
          <w:color w:val="000000"/>
          <w:sz w:val="24"/>
        </w:rPr>
        <w:t>。</w:t>
      </w:r>
    </w:p>
    <w:p>
      <w:pPr>
        <w:adjustRightInd w:val="0"/>
        <w:snapToGrid w:val="0"/>
        <w:spacing w:line="360" w:lineRule="auto"/>
        <w:ind w:firstLine="482" w:firstLineChars="200"/>
        <w:rPr>
          <w:rFonts w:ascii="宋体" w:hAnsi="宋体"/>
          <w:b/>
          <w:color w:val="000000"/>
          <w:sz w:val="24"/>
        </w:rPr>
      </w:pPr>
      <w:bookmarkStart w:id="5" w:name="_Toc91899903"/>
      <w:r>
        <w:rPr>
          <w:rFonts w:hint="eastAsia" w:ascii="宋体" w:hAnsi="宋体"/>
          <w:b/>
          <w:color w:val="000000"/>
          <w:sz w:val="24"/>
        </w:rPr>
        <w:t>第七条  开标内容的保密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1）开标开始后，直到宣布成交结果止，凡属于审查、澄清、评价和比较的所有资料，都不应向</w:t>
      </w:r>
      <w:r>
        <w:rPr>
          <w:rFonts w:hint="eastAsia" w:ascii="宋体" w:hAnsi="宋体"/>
          <w:bCs/>
          <w:color w:val="000000"/>
          <w:sz w:val="24"/>
        </w:rPr>
        <w:t>投标人</w:t>
      </w:r>
      <w:r>
        <w:rPr>
          <w:rFonts w:hint="eastAsia" w:ascii="宋体" w:hAnsi="宋体"/>
          <w:color w:val="000000"/>
          <w:sz w:val="24"/>
        </w:rPr>
        <w:t>或与开标无关的其他人泄露。</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w:t>
      </w:r>
      <w:r>
        <w:rPr>
          <w:rFonts w:hint="eastAsia" w:ascii="宋体" w:hAnsi="宋体"/>
          <w:bCs/>
          <w:color w:val="000000"/>
          <w:sz w:val="24"/>
        </w:rPr>
        <w:t>投标</w:t>
      </w:r>
      <w:r>
        <w:rPr>
          <w:rFonts w:hint="eastAsia" w:ascii="宋体" w:hAnsi="宋体"/>
          <w:color w:val="000000"/>
          <w:sz w:val="24"/>
        </w:rPr>
        <w:t>文件的审查、澄清、评价和比较以及确定成交供应商过程中，</w:t>
      </w:r>
      <w:r>
        <w:rPr>
          <w:rFonts w:hint="eastAsia" w:ascii="宋体" w:hAnsi="宋体"/>
          <w:bCs/>
          <w:color w:val="000000"/>
          <w:sz w:val="24"/>
        </w:rPr>
        <w:t>投标人</w:t>
      </w:r>
      <w:r>
        <w:rPr>
          <w:rFonts w:hint="eastAsia" w:ascii="宋体" w:hAnsi="宋体"/>
          <w:color w:val="000000"/>
          <w:sz w:val="24"/>
        </w:rPr>
        <w:t>对采购机构和评审小组施加影响的任何行为，都将导致取消资格。</w:t>
      </w:r>
    </w:p>
    <w:p>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 xml:space="preserve">第八条  </w:t>
      </w:r>
      <w:r>
        <w:rPr>
          <w:rFonts w:hint="eastAsia" w:ascii="宋体" w:hAnsi="宋体"/>
          <w:b/>
          <w:bCs/>
          <w:color w:val="000000"/>
          <w:sz w:val="24"/>
        </w:rPr>
        <w:t>投标</w:t>
      </w:r>
      <w:r>
        <w:rPr>
          <w:rFonts w:hint="eastAsia" w:ascii="宋体" w:hAnsi="宋体"/>
          <w:b/>
          <w:color w:val="000000"/>
          <w:sz w:val="24"/>
        </w:rPr>
        <w:t>文件的澄清</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对</w:t>
      </w:r>
      <w:r>
        <w:rPr>
          <w:rFonts w:hint="eastAsia" w:ascii="宋体" w:hAnsi="宋体"/>
          <w:bCs/>
          <w:color w:val="000000"/>
          <w:sz w:val="24"/>
        </w:rPr>
        <w:t>投标</w:t>
      </w:r>
      <w:r>
        <w:rPr>
          <w:rFonts w:hint="eastAsia" w:ascii="宋体" w:hAnsi="宋体"/>
          <w:color w:val="000000"/>
          <w:sz w:val="24"/>
        </w:rPr>
        <w:t>文件中含义不明、表述不一致或有明显计算错误等内容，评审小组将对</w:t>
      </w:r>
      <w:r>
        <w:rPr>
          <w:rFonts w:hint="eastAsia" w:ascii="宋体" w:hAnsi="宋体"/>
          <w:bCs/>
          <w:color w:val="000000"/>
          <w:sz w:val="24"/>
        </w:rPr>
        <w:t>投标人</w:t>
      </w:r>
      <w:r>
        <w:rPr>
          <w:rFonts w:hint="eastAsia" w:ascii="宋体" w:hAnsi="宋体"/>
          <w:color w:val="000000"/>
          <w:sz w:val="24"/>
        </w:rPr>
        <w:t>进行询标，并要求</w:t>
      </w:r>
      <w:r>
        <w:rPr>
          <w:rFonts w:hint="eastAsia" w:ascii="宋体" w:hAnsi="宋体"/>
          <w:bCs/>
          <w:color w:val="000000"/>
          <w:sz w:val="24"/>
        </w:rPr>
        <w:t>投标人</w:t>
      </w:r>
      <w:r>
        <w:rPr>
          <w:rFonts w:hint="eastAsia" w:ascii="宋体" w:hAnsi="宋体"/>
          <w:color w:val="000000"/>
          <w:sz w:val="24"/>
        </w:rPr>
        <w:t>作书面澄清；</w:t>
      </w:r>
      <w:r>
        <w:rPr>
          <w:rFonts w:hint="eastAsia" w:ascii="宋体" w:hAnsi="宋体"/>
          <w:bCs/>
          <w:color w:val="000000"/>
          <w:sz w:val="24"/>
        </w:rPr>
        <w:t>投标人</w:t>
      </w:r>
      <w:r>
        <w:rPr>
          <w:rFonts w:hint="eastAsia" w:ascii="宋体" w:hAnsi="宋体"/>
          <w:color w:val="000000"/>
          <w:sz w:val="24"/>
        </w:rPr>
        <w:t>的书面澄清，应由法定代表人或授权代表签字，作为</w:t>
      </w:r>
      <w:r>
        <w:rPr>
          <w:rFonts w:hint="eastAsia" w:ascii="宋体" w:hAnsi="宋体"/>
          <w:bCs/>
          <w:color w:val="000000"/>
          <w:sz w:val="24"/>
        </w:rPr>
        <w:t>投标</w:t>
      </w:r>
      <w:r>
        <w:rPr>
          <w:rFonts w:hint="eastAsia" w:ascii="宋体" w:hAnsi="宋体"/>
          <w:color w:val="000000"/>
          <w:sz w:val="24"/>
        </w:rPr>
        <w:t>文件的补充部分。</w:t>
      </w:r>
      <w:bookmarkEnd w:id="5"/>
    </w:p>
    <w:p>
      <w:pPr>
        <w:adjustRightInd w:val="0"/>
        <w:snapToGrid w:val="0"/>
        <w:spacing w:line="400" w:lineRule="exact"/>
        <w:rPr>
          <w:b/>
          <w:bCs/>
          <w:sz w:val="36"/>
        </w:rPr>
      </w:pPr>
    </w:p>
    <w:p>
      <w:pPr>
        <w:pStyle w:val="12"/>
        <w:rPr>
          <w:b/>
          <w:bCs/>
          <w:sz w:val="36"/>
        </w:rPr>
      </w:pPr>
    </w:p>
    <w:p>
      <w:pPr>
        <w:rPr>
          <w:b/>
          <w:bCs/>
          <w:sz w:val="36"/>
        </w:rPr>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numPr>
          <w:ilvl w:val="0"/>
          <w:numId w:val="4"/>
        </w:numPr>
        <w:adjustRightInd w:val="0"/>
        <w:snapToGrid w:val="0"/>
        <w:spacing w:line="400" w:lineRule="exact"/>
        <w:jc w:val="center"/>
        <w:rPr>
          <w:b/>
          <w:bCs/>
          <w:sz w:val="36"/>
        </w:rPr>
      </w:pPr>
      <w:r>
        <w:rPr>
          <w:rFonts w:hint="eastAsia"/>
          <w:b/>
          <w:bCs/>
          <w:sz w:val="36"/>
        </w:rPr>
        <w:t>采购需求</w:t>
      </w:r>
    </w:p>
    <w:p>
      <w:pPr>
        <w:pStyle w:val="2"/>
      </w:pPr>
    </w:p>
    <w:tbl>
      <w:tblPr>
        <w:tblStyle w:val="24"/>
        <w:tblW w:w="9450" w:type="dxa"/>
        <w:tblInd w:w="-662" w:type="dxa"/>
        <w:shd w:val="clear" w:color="auto" w:fill="auto"/>
        <w:tblLayout w:type="fixed"/>
        <w:tblCellMar>
          <w:top w:w="0" w:type="dxa"/>
          <w:left w:w="0" w:type="dxa"/>
          <w:bottom w:w="0" w:type="dxa"/>
          <w:right w:w="0" w:type="dxa"/>
        </w:tblCellMar>
      </w:tblPr>
      <w:tblGrid>
        <w:gridCol w:w="780"/>
        <w:gridCol w:w="1110"/>
        <w:gridCol w:w="6075"/>
        <w:gridCol w:w="705"/>
        <w:gridCol w:w="780"/>
      </w:tblGrid>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名称</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单位</w:t>
            </w:r>
          </w:p>
        </w:tc>
      </w:tr>
      <w:tr>
        <w:tblPrEx>
          <w:tblCellMar>
            <w:top w:w="0" w:type="dxa"/>
            <w:left w:w="0" w:type="dxa"/>
            <w:bottom w:w="0" w:type="dxa"/>
            <w:right w:w="0" w:type="dxa"/>
          </w:tblCellMar>
        </w:tblPrEx>
        <w:trPr>
          <w:trHeight w:val="402" w:hRule="atLeast"/>
        </w:trPr>
        <w:tc>
          <w:tcPr>
            <w:tcW w:w="945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1.视频显示系统</w:t>
            </w:r>
          </w:p>
        </w:tc>
      </w:tr>
      <w:tr>
        <w:tblPrEx>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P1.25 LED显示屏</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★1.像素点间距：≤1.25mm；</w:t>
            </w:r>
          </w:p>
          <w:p>
            <w:pPr>
              <w:keepNext w:val="0"/>
              <w:keepLines w:val="0"/>
              <w:widowControl/>
              <w:numPr>
                <w:ilvl w:val="0"/>
                <w:numId w:val="0"/>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像素构成：1R1G1B（国星封装）；</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2.素密度：≥640000Dots/㎡；</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3.亮度：0-1200cd/㎡可调，具有蓝光抑制功能；</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4.亮度均匀性：≥99%；</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★5.刷新率：≥3840Hz；</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6.整屏平整度：≤0.1mm；</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7.色温：3000-9000K可调；</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8.色度均匀性：±0.003Cx,Cy之内；</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★9.反光率：≤2％；</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10.水平/垂直视角：≥170°；</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11.像素失控率：≤0.00001，出厂时为0；</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★12.能源效率：≥3.0cd/㎡；</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★13.信噪比：≥47dB；</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14.睡眠模式功率密度：≤150W/㎡；</w:t>
            </w:r>
          </w:p>
          <w:p>
            <w:pPr>
              <w:keepNext w:val="0"/>
              <w:keepLines w:val="0"/>
              <w:widowControl/>
              <w:numPr>
                <w:ilvl w:val="0"/>
                <w:numId w:val="0"/>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15.对比度：≥8000:1；</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16.画面延时：≤2ms；</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17.峰值功耗：≤500W/㎡，平均功耗：≤180W/㎡；</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18.灰度等级：≥16bit；</w:t>
            </w:r>
          </w:p>
          <w:p>
            <w:pPr>
              <w:keepNext w:val="0"/>
              <w:keepLines w:val="0"/>
              <w:widowControl/>
              <w:numPr>
                <w:ilvl w:val="0"/>
                <w:numId w:val="0"/>
              </w:numPr>
              <w:suppressLineNumbers w:val="0"/>
              <w:ind w:leftChars="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19.维护方式：压铸铝箱体（640mm*480mm），支持前后维护；</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★20.模组表面绝缘检测：绝缘电阻应当为5000MΩ；</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★21.绝缘电阻试验：电源插头或电源引入端子与外壳裸露金属部件之间的绝缘电阻在正常大气条件下应≥100MΩ，湿热条件下应≥2MΩ；</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★22.温度监测功能检验：具有多点测温系统，均衡散热，防止局部温度过高造成色彩漂移，并提高显示屏寿命；</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★23.调节软件设置项：支持鬼影消除、第一扫偏暗消除、低灰偏色补偿、低灰均匀性、低灰横条纹消除、慢速开启、十字架消除、去除坏点、毛毛虫消除、余辉消除、亮度缓慢变亮功能；</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★24.支持屏体拼缝亮线、暗线校正：先进的除亮、暗线功能，从软、硬两方面彻底改善困扰LED安装精度造成的亮、暗线问题；</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★25.防护性能：具有防静电、防电磁干扰、防潮、防腐蚀、防虫、抗震动、抗雷击等功能，具有电源过压、过流、断电保护、分布上电措施。；</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自动gamma矫正技术设置：自动GAMMA校正技术，通过构造非线性校正曲线和色坐标变换系数矩阵实现了显示效果的不断改善，各项重要指标如色彩还原性、色温调节范围、亮度均匀性、色度均匀性、刷新率、换帧频率等；</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★27.驱动芯片功能：具有列下消隐功能、倍频刷新率提升2/4/8倍、低灰偏色改善；</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28.光生物安全：依据标准进行光生物安全及蓝光危害评估检测。无危害类：在8h（30000s）曝辐中不造成光化学紫外危害（ES），并在1000s（约16min）内不造成近紫外危害（EUVA），并在10000s（约2.8h）内不造成对视网膜蓝光危害（LB）并在10s内不造成对视网膜热危害（LR），并且在1000s内不造成对眼睛的红外辐射危害（EIR）。                             </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29.LED显示屏具有中国强制性认证CCC证书、CE、ROHS、FCC证书，提供证书复印件加盖LED显示屏生产企业公章佐证。                                                                    30.LED生产厂家需为专业LED生产厂家，非OEM厂家或贴牌厂商，需通过ISO9001 质量管理体系认证、ISO14001环境管理体系认证、GB/T28001职业健康安全管理体系认证，提供相关证书复印件加以佐证。                                                 商务要求：</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1、LED显示屏生产企业获得GJB 9001C-2017武器装备质量管理体系认证证书，提供证书复印件加盖LED生产企业公章。满分3分，未提供不得分；</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2、所投产品需为节能产品，符合CQC3158-2016标准，所投产品型号需与认证型号一致，提供节能认证证书复印件。</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3、LED显示屏生产企业获得GB/T 22080-2016/ISO/IEC 27001：2013信息安全管理体系认证证书，认证覆盖的业务范围：与LED显示屏的软硬件认证开发相关的信息安全管理活动，提供证书复印件。</w:t>
            </w:r>
          </w:p>
          <w:p>
            <w:pPr>
              <w:keepNext w:val="0"/>
              <w:keepLines w:val="0"/>
              <w:widowControl/>
              <w:numPr>
                <w:ilvl w:val="0"/>
                <w:numId w:val="0"/>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4、LED显示屏生产企业获得ISO/IEC 20000-1:2011信息技术服务管理体系认证证书，认证覆盖的业务范围：向外部客户提供LED显示屏的软硬件服务的服务管理体系，提供证书复印件。</w:t>
            </w:r>
          </w:p>
          <w:p>
            <w:pPr>
              <w:keepNext w:val="0"/>
              <w:keepLines w:val="0"/>
              <w:widowControl/>
              <w:numPr>
                <w:ilvl w:val="0"/>
                <w:numId w:val="0"/>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5、LED显示屏生产企业获得音视频集成工程企业资质叁级以上（含叁级）认证证书，提供证书复印机。</w:t>
            </w:r>
          </w:p>
          <w:p>
            <w:pPr>
              <w:pStyle w:val="2"/>
              <w:ind w:left="0" w:leftChars="0" w:firstLine="0" w:firstLineChars="0"/>
              <w:rPr>
                <w:rFonts w:hint="eastAsia"/>
              </w:rPr>
            </w:pPr>
            <w:r>
              <w:rPr>
                <w:rFonts w:hint="eastAsia" w:ascii="微软雅黑" w:hAnsi="微软雅黑" w:eastAsia="微软雅黑" w:cs="微软雅黑"/>
                <w:sz w:val="18"/>
                <w:szCs w:val="18"/>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16.59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25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接收卡</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小尺寸全功能高端接收卡，单卡最大带载 256×256 像素，最多支持 24 组并行数据，最多支持 128 组串行数据。</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支持逐点亮色度校正，配合 NovaLCT 和 NovaCLB，对每个灯点的亮度和色度进行校正，有效消除色差，显著提升 LED 显示屏画面的一致性，同时可支持显示屏画面以 90°的倍数进行旋转，画面变化更加丰富，提升用户的视觉体验。</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硬件设计和软件设计充分考虑用户部署、运行和维护时的场景，使部署更容易，运行更稳定，维护更高效。</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先进的硬件设计</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采用小尺寸的外观设计，节省箱体空间，适用于多种环境搭建。</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采用高密度接插件接口，防尘防震，具有高稳定性和高可靠性。</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集成网络变压器，简化设计，提高电磁兼容性。</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实用的软件设计</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最大支持 64 扫  支持 128 组串行数据扩展</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配合 NovaLCT（V5.2.0 及以上），支持以下功能：</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模组乱序扫描</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抽行抽通道模组点亮</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RGB 独立 Gamma 调节</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误码率监测</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Mapping 功能</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LVDS 传输（专用固件程序支持）</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智能模组（专用固件程序支持）</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快速亮暗线调节</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3D 功能</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接收卡预存画面设置</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 灯板 Flash 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r>
      <w:tr>
        <w:tblPrEx>
          <w:tblCellMar>
            <w:top w:w="0" w:type="dxa"/>
            <w:left w:w="0" w:type="dxa"/>
            <w:bottom w:w="0" w:type="dxa"/>
            <w:right w:w="0" w:type="dxa"/>
          </w:tblCellMar>
        </w:tblPrEx>
        <w:trPr>
          <w:trHeight w:val="151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同步控制器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rPr>
              <w:t>发送卡1（四网口，260万像素带载）：</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r>
              <w:rPr>
                <w:rFonts w:hint="eastAsia" w:ascii="微软雅黑" w:hAnsi="微软雅黑" w:eastAsia="微软雅黑" w:cs="微软雅黑"/>
                <w:i w:val="0"/>
                <w:color w:val="000000"/>
                <w:sz w:val="18"/>
                <w:szCs w:val="18"/>
                <w:u w:val="none"/>
              </w:rPr>
              <w:t>支持亮度传感器数据输入，使得屏幕能够根据环境的亮度情况而自动进行显示亮度的调节，提供设备端口图片加以佐证。</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lang w:eastAsia="zh-CN"/>
              </w:rPr>
            </w:pPr>
            <w:r>
              <w:rPr>
                <w:rFonts w:hint="eastAsia" w:ascii="微软雅黑" w:hAnsi="微软雅黑" w:eastAsia="微软雅黑" w:cs="微软雅黑"/>
                <w:i w:val="0"/>
                <w:color w:val="000000"/>
                <w:sz w:val="18"/>
                <w:szCs w:val="18"/>
                <w:u w:val="none"/>
              </w:rPr>
              <w:t>为保证系统的一致性与稳定性，控制卡必须与LED显示屏为同一品牌，提供控制卡CE、ROHS、FCC认证证书复印件</w:t>
            </w:r>
            <w:r>
              <w:rPr>
                <w:rFonts w:hint="eastAsia" w:ascii="微软雅黑" w:hAnsi="微软雅黑" w:eastAsia="微软雅黑" w:cs="微软雅黑"/>
                <w:i w:val="0"/>
                <w:color w:val="000000"/>
                <w:sz w:val="18"/>
                <w:szCs w:val="18"/>
                <w:u w:val="none"/>
                <w:lang w:eastAsia="zh-CN"/>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r>
      <w:tr>
        <w:tblPrEx>
          <w:tblCellMar>
            <w:top w:w="0" w:type="dxa"/>
            <w:left w:w="0" w:type="dxa"/>
            <w:bottom w:w="0" w:type="dxa"/>
            <w:right w:w="0" w:type="dxa"/>
          </w:tblCellMar>
        </w:tblPrEx>
        <w:trPr>
          <w:trHeight w:val="111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管控软件</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rPr>
              <w:t>支持各种视频、图片格式包括:</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rPr>
              <w:t>AVI, RMVB, FLV, MP4, 3GP, MPEG，RM，TS，WMV，VOB，MOV，MKV，ASF，DAT，M4V，JPG/JPEG，BMP，PNG，GIF，PowerPoint等</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352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多画面拼接器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1.采用先进的大规模陈列式纯硬件技术，无硬盘，免维护，无操作系统免受计算机病毒侵入；启动快(&lt;5秒)，稳定可靠，系统数据出厂前已固化，意外断电不会造成设备受损，可以频繁开关机;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可通过客户端软件预览接入的视频图像，并将预览的视频图像通过视频输出接口同步输出显示，可在相对恶劣环境中使用：安全防范报警设备的电源插头或电源引入端与外壳祼露金属部件之间的绝缘电阻，经相对温热度为91%～95%，温度为40℃、48h的受潮预处理后，加强绝缘的设备不小于5MΩ，III类设备不小于1MΩ。应能承受GB16796～2009中表1规定的45Hz～65Hz交流电压的抗电强度试验，历时1min应无击穿和飞弧现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为保证系统的一致性与稳定性，多画面拼接器器必须与LED显示屏为同一品牌，提供视频处理器CCC、CE、ROHS、FCC认证证书复印件。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7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交流配电柜</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rPr>
              <w:t>内含接触器、空气开关、远程控制系统，漏电保护交流接触器，定时开关，过流、短路、断路、过压、欠压、温度过高等保护，PLC分时上电和分时断电</w:t>
            </w:r>
            <w:r>
              <w:rPr>
                <w:rFonts w:hint="eastAsia" w:ascii="微软雅黑" w:hAnsi="微软雅黑" w:eastAsia="微软雅黑" w:cs="微软雅黑"/>
                <w:i w:val="0"/>
                <w:color w:val="000000"/>
                <w:sz w:val="18"/>
                <w:szCs w:val="18"/>
                <w:u w:val="none"/>
                <w:lang w:val="en-US" w:eastAsia="zh-CN"/>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110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智能监控系统装置</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1、采用高度集成化设计，所有采集、控制、显示、交互、报警、通信等全部集成在控制核心采集器（一块PCB主板）上，集配电监测、防雷监管、环境监控、公共防范、冗余报警、远程通信功能于一体。</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2、告警方式在具备声光告警、界面显示报警、中文短信报警及远程通信报警外，还具备中文告警栏事件中文显示告警、中文定向与定时告警。</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3、装置支持220V电压、配电开关状态、电流互感器直接接入，具备三相电压、电流、频率、有功功率、配电开关状态监测功能。</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4、装置具备独立的电气火灾监测功能，支持剩余电流互感器直接接入。</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5、装置雷电防护能力达40kA以上（8/20us）,支持雷电感应器直接接入，具备独立的防雷失效、雷击次数等防雷监测功能。</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6、装置具备温湿度、火情、进水等环境监测功能，支持定时通风、开门通风、强制通风与联动通风，支持普通空调自动控制、远程控制以及断电自记忆功能。</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7、装置支持读卡、认证、开门、关门、记录等门禁功能，支持巡查到位确认，非法入侵报警、自动设防撤防功能。</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8、装置人机交互界面友好， 采用LCD液晶触控显示屏或液晶显示屏，支持参数显示、故障显示、事件管理、系统配置、系统调试等,具备事件查询、复制、删除、密码设定等功能。</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9、装置支持APN、VPN、局域网等联网监测功能，至少具备RS485总线、Ethernet、GPRS或3G/4G等通信方式。</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10、提供电脑端、手机端推送服务，内容包括站所实时、GIS地图、移动运维、数据分析、巡检报告、用户管理、档案管理等推送任务。</w:t>
            </w:r>
          </w:p>
          <w:p>
            <w:pPr>
              <w:pStyle w:val="2"/>
              <w:ind w:left="0" w:leftChars="0" w:firstLine="0" w:firstLineChars="0"/>
              <w:rPr>
                <w:rFonts w:hint="eastAsia" w:ascii="微软雅黑" w:hAnsi="微软雅黑" w:eastAsia="微软雅黑" w:cs="微软雅黑"/>
                <w:sz w:val="18"/>
                <w:szCs w:val="18"/>
              </w:rPr>
            </w:pPr>
            <w:r>
              <w:rPr>
                <w:rFonts w:hint="eastAsia" w:ascii="微软雅黑" w:hAnsi="微软雅黑" w:eastAsia="微软雅黑" w:cs="微软雅黑"/>
                <w:i w:val="0"/>
                <w:color w:val="000000"/>
                <w:kern w:val="0"/>
                <w:sz w:val="18"/>
                <w:szCs w:val="18"/>
                <w:u w:val="none"/>
                <w:lang w:val="en-US" w:eastAsia="zh-CN" w:bidi="ar"/>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检测内容应包括功能检查、保护电路试验、介电强度试验、电磁兼容试验（静电放电、电快速瞬变、浪涌冲击抗扰度）、环境适应性试验（低温、高温、恒定湿热）</w:t>
            </w:r>
          </w:p>
          <w:p>
            <w:pPr>
              <w:pStyle w:val="2"/>
              <w:ind w:left="0" w:leftChars="0"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4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动力供电</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rPr>
              <w:t>30KW，三相五线电缆,16mm2*5（总电箱-显示屏配电柜）</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项</w:t>
            </w:r>
          </w:p>
        </w:tc>
      </w:tr>
      <w:tr>
        <w:tblPrEx>
          <w:tblCellMar>
            <w:top w:w="0" w:type="dxa"/>
            <w:left w:w="0" w:type="dxa"/>
            <w:bottom w:w="0" w:type="dxa"/>
            <w:right w:w="0" w:type="dxa"/>
          </w:tblCellMar>
        </w:tblPrEx>
        <w:trPr>
          <w:trHeight w:val="646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UPS电源主机</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1.≥10KVA三线进三线出工频机电源系统。</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 xml:space="preserve">2.设备自带智维接口。设备管理人员或厂商维护工程师能实时了解掌握设备工作状态，并支持手机APP（支持Android系统及IOS系统）远程实时查看设备数据和状态，异常时通过APP实时通知到维护人员机及管理人员；支持告警状态查看及告警处理。投标时提供本功能截图加盖原厂公章。可通过手机、平板、PC等终端，全天候监控设备工作状况。具备告警管理、设备运维管理、GIS地理信息系统、大数据分析统计系统并支持数据导出等功能。 并提供UPS智维软件著作权证书。                                                                                   </w:t>
            </w:r>
          </w:p>
          <w:p>
            <w:pPr>
              <w:keepNext w:val="0"/>
              <w:keepLines w:val="0"/>
              <w:widowControl/>
              <w:suppressLineNumbers w:val="0"/>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3.生产企业通过：ISO14001-2015认证、ISO9001-2015认证、ISO 45001：2018认证、一种双向DCDC转换器专利技术证书、一种单相逆变器稳压控制方法及装置专利技术证书、监控电路专利技术证书、一种分布式不间断电源专利技术证书、UPS机箱外观设计技术证书、提供第三方复印件</w:t>
            </w:r>
            <w:r>
              <w:rPr>
                <w:rFonts w:hint="eastAsia" w:ascii="微软雅黑" w:hAnsi="微软雅黑" w:eastAsia="微软雅黑" w:cs="微软雅黑"/>
                <w:sz w:val="18"/>
                <w:szCs w:val="18"/>
                <w:lang w:eastAsia="zh-CN"/>
              </w:rPr>
              <w:t>。</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4.产品通过：TLC认证、中国节能产品认证。</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5.提供产品检测报告</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.为了保障本系统的良好运行，投标商品在浙江省内至少要提供两位13年以上工程师通过原厂家及中国交流电源委员会认证并提供认证证书。</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.UPS主机和蓄电池同一品牌并同一工厂生产、同一法人营业热照和蓄电池生产许可证复印件。</w:t>
            </w:r>
          </w:p>
          <w:p>
            <w:pPr>
              <w:pStyle w:val="2"/>
              <w:ind w:left="0" w:leftChars="0" w:firstLine="0" w:firstLineChars="0"/>
              <w:rPr>
                <w:rFonts w:hint="eastAsia"/>
              </w:rPr>
            </w:pPr>
            <w:r>
              <w:rPr>
                <w:rFonts w:hint="eastAsia" w:ascii="微软雅黑" w:hAnsi="微软雅黑" w:eastAsia="微软雅黑" w:cs="微软雅黑"/>
                <w:sz w:val="18"/>
                <w:szCs w:val="18"/>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4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蓄电池</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1、电池容量≥6-FML-65/65AH，为了保证服务统一性，主机与蓄电池同一品牌，拒绝OEM贴牌产品</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 每节电池标配防滑防酸保护垫盘，以防电池在运输、搬运和安装过程中容易因破碎或使用的异常情况而可能导致电池漏液，从而引起短路而着火事故</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4、浮充寿命≥8年</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5、生产企业通过： ISO 14001-2015认证、 ISO 9001-2015认证、OHSAS 18001 2007 认证、生产许可证、排污生产许可证提供复印件。</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6、产品通过：TLC认证、检测报告</w:t>
            </w:r>
          </w:p>
          <w:p>
            <w:pPr>
              <w:keepNext w:val="0"/>
              <w:keepLines w:val="0"/>
              <w:widowControl/>
              <w:suppressLineNumbers w:val="0"/>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、UPS主机、蓄电池同一品牌同一工厂研发生产并同上市公司法人营业执照复印件</w:t>
            </w:r>
            <w:r>
              <w:rPr>
                <w:rFonts w:hint="eastAsia" w:ascii="微软雅黑" w:hAnsi="微软雅黑" w:eastAsia="微软雅黑" w:cs="微软雅黑"/>
                <w:sz w:val="18"/>
                <w:szCs w:val="18"/>
                <w:lang w:eastAsia="zh-CN"/>
              </w:rPr>
              <w:t>。</w:t>
            </w:r>
          </w:p>
          <w:p>
            <w:pPr>
              <w:pStyle w:val="2"/>
              <w:ind w:left="0" w:leftChars="0" w:firstLine="0" w:firstLineChars="0"/>
              <w:rPr>
                <w:rFonts w:hint="eastAsia"/>
                <w:lang w:eastAsia="zh-CN"/>
              </w:rPr>
            </w:pPr>
            <w:r>
              <w:rPr>
                <w:rFonts w:hint="eastAsia" w:ascii="微软雅黑" w:hAnsi="微软雅黑" w:eastAsia="微软雅黑" w:cs="微软雅黑"/>
                <w:sz w:val="18"/>
                <w:szCs w:val="18"/>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节</w:t>
            </w:r>
          </w:p>
        </w:tc>
      </w:tr>
      <w:tr>
        <w:tblPrEx>
          <w:tblCellMar>
            <w:top w:w="0" w:type="dxa"/>
            <w:left w:w="0" w:type="dxa"/>
            <w:bottom w:w="0" w:type="dxa"/>
            <w:right w:w="0" w:type="dxa"/>
          </w:tblCellMar>
        </w:tblPrEx>
        <w:trPr>
          <w:trHeight w:val="4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电池柜</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lang w:eastAsia="zh-CN"/>
              </w:rPr>
            </w:pPr>
            <w:r>
              <w:rPr>
                <w:rFonts w:hint="eastAsia" w:ascii="微软雅黑" w:hAnsi="微软雅黑" w:eastAsia="微软雅黑" w:cs="微软雅黑"/>
                <w:i w:val="0"/>
                <w:color w:val="000000"/>
                <w:sz w:val="18"/>
                <w:szCs w:val="18"/>
                <w:u w:val="none"/>
                <w:lang w:eastAsia="zh-CN"/>
              </w:rPr>
              <w:t>与主机同品牌</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只</w:t>
            </w:r>
          </w:p>
        </w:tc>
      </w:tr>
      <w:tr>
        <w:tblPrEx>
          <w:tblCellMar>
            <w:top w:w="0" w:type="dxa"/>
            <w:left w:w="0" w:type="dxa"/>
            <w:bottom w:w="0" w:type="dxa"/>
            <w:right w:w="0" w:type="dxa"/>
          </w:tblCellMar>
        </w:tblPrEx>
        <w:trPr>
          <w:trHeight w:val="74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钢结构制作</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现场制作，采用国标Q235B镀锌钢材料制作钢结构+定制铝型材支架+不锈钢材料装饰包边。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16.59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64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电子会标</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像素密度：62500点/㎡；</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表贴三合一SMD LED 1R1G1B；</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点间距：4mm                                            </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单元板尺寸：256*128*14.5mm</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灯管封装：2020</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输入电压：4.5V</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单元板功率：≤20W</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驱动方式：1/32恒流驱动</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亮度：≥600CD/㎡</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亮度均匀性：＞0.95</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水平视角：≥140±10°，垂直视角：≥130±10°；</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刷新率：≥1920HZ；</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盲点率：≤0.00003，出厂时为0；</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灰度等级：红、绿、蓝各14-16bits</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亮度调节：256级手动/自动</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使用寿命：≥10万小时</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连续失控点：0</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工作温度范围：-20至40度</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工作湿度范围：10%至65%RH</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屏幕水平平整度：＜1mm/㎡</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屏幕垂直平整度：＜1mm/㎡  整体尺寸5220mm*484mm 含框架及控制系统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0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55寸返现显示器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55寸液晶电视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65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卧式支架</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55寸液晶电视卧式可移动支架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355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会议专业平板一体机</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5"/>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整机外观和屏体:</w:t>
            </w:r>
          </w:p>
          <w:p>
            <w:pPr>
              <w:keepNext w:val="0"/>
              <w:keepLines w:val="0"/>
              <w:widowControl/>
              <w:numPr>
                <w:ilvl w:val="0"/>
                <w:numId w:val="0"/>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 尺寸:≥75英寸,采用LED背光,液晶A规屏;</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2.屏幕物理分辨率:≥≥3840*2160</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★3.满足全屏显示比例16:9;中心亮度(含表面玻璃) ≥400 cd/m2；屏体对比度：4000:1；色彩总数：10-bit, 10.7billion colors；响应时间：4ms；色域: 85%NTSC宽色域；屏体具备抗物理蓝光护眼功能,  防蓝光等级 3 级, 有效净化有害蓝光</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4.整机外壳采用金属材质,抗撞抗划抗腐蚀;</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5.表面无尖锐边缘或凸起,保证安全使用;</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6.采用4mm厚度钢化防眩玻璃覆盖屏体;</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★7.钢化玻璃/防眩光玻璃可见光透射比不低于 92%以上，表面硬度不低于 8H,雾度范围 2%-5%；钢化玻离可承受 1.05kg 钢球在 2m 高度自由坠落, 保证交互平版使用安全</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★8.整机具备抗强光干扰性能，在100K LUX照度的光照下保证正常触控、书写.</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9.整机具备“书写”显性特征，触摸精准性：整机屏幕触摸有效识别高度小于 2mm，即触摸物体 距离玻璃外表面高度低于 2mm 时，触摸屏识别为点击操作;触摸屏 识别为点击操作,支持手指、书写笔及其他非透明物体 20 点触控 及 10 笔书写,书写延迟≤80ms；触摸精度：90%以上的触摸区域为 ±1mm；</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★11.整机前置接口具备与实际功能一致、表述清晰的中文标识；交互平板前置面板提供至少1路HDMI高清输入接口(标准HDMI接口，不接受转接方式)，满足高清信号源输入需求</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 前置面板具有不少于 2 路 USB 接口，至少 1 路 USB 接口可支持同 时在 Windows 及 Android 系统下被读取，前置接口具备表述清晰 的标识；具备 3 个前置物理按键。分别为："电源":电视开关，电脑开关，待机节能三键合一；"音量+"：系统音量增加；"音量-"：系统音量减少；</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★13.后置输入接口：  HDMI*2、VGA*1、AUDIO*1、USB 2.0*2、 USB 3.0*1、 Microphone*1 RJ45*1、RS232*1、OPS 接口, 整机具备至少 1 路 HDMI 1.4a 输入端子，保证可支持 4K*2K 信号 输入；HDMI out *1、Earphone*1 USB 2.0 Touch *1、SPDIF *1；</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★14.整机内置全向形，4 颗麦克风组成的阵列。拾音范围 8 米， 具备全双工, AEC 模式回声消除, 噪声抑制, 波束成形功能 灵敏度-26dBFS(94 dB SPL @ 1 kHz), 频响范围 65Hz-12.5kHz, 采 样频率 48kHz, 采样位数 24bit</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 整机采用下置摄像头设计, 2K，1080p 高清摄像头, 可视角度不 低于 90°；</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 整机内嵌针脚数80Pin(双面),兼容OPS/OPS-C等Intel®标准规范 的插拔式电脑接口；</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★17. 信号预览及切换：极致信道切换速度, 信号源切换时间≤1s 支持 通过触控方式快速切换信号源至全屏显示； </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二.触控性能:1.触摸框采用前维护结构,实现正面免工具拆装维护;</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☆2.触摸精准性：整机屏幕触摸有效识别高度小于 2mm，即触摸物体 距离玻璃外表面高度低于 2mm 时，触摸屏识别为点击操作;触摸屏 识别为点击操作,支持手指、书写笔及其他非透明物体 20 点触控 及 10 笔书写,书写延迟≤80ms；触摸精度：90%以上的触摸区域为 ±1mm；</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3.具备书写保障措施:书写区域被手、书本遮挡以及某一条红外框失灵时,可正常书写、操作，不影响使用进程顺利进行；</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三.节能:</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1.支持用户设定时间，到时间后系统自动进入待机状态</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2.提供设备的定时自动开关机功能. 支持手势息屏, 任意界面下以手指三指长按屏幕, 即可关闭屏幕背光；</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四.内置软件</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 内建 Android 8.0 系统,; 用户可在主页一键操作 OPS 切换, 信号 源, 书写板, 视频广播等主要功能；</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2.★安卓界面下采用 4K 分辨率图标(4KUI)设计, 画质更清晰；</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★3.主页下方可任意添加设置常用工具栏, 最多可添加至10个常用工 具; 支持任意界面下手势滑动调用常用工具栏, 可透过设置隐藏 常用工具栏至侧边栏</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★4.OPS 内 Windows 程序快捷方式亦可同步至安卓系统, 并可依据用 户习惯设置快捷键位置；内建正版无广告 OfficeSuite 软件, 可直接开启/编辑常用 Office 文档, 如 Word, Excel, PPT, PDF 格式文档；</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★5.白板软件 </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a.手势擦除功能支持手掌, 手背, 手指范围, 一键清屏等擦除方式 </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b.用户可自定义版面颜色与背景样式, 支持 20 页书写,提供缩略 图用以预览/切换页面内容 </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c.提供绘制流程图所需要的常用图形和表格, 图形和表格内可输 入文本, 多个流程图对象支持组合与吸附功能 </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d.支持插入图片,视频,PDF 文档等素材进入白板页面内查看编 辑; 素材可进行缩放/移动等二次编辑; 插入视频及 PDF 文档时, 可截图插入白板页面 </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e.内置搜索引擎, 搜索结果可截图插入白板页面 </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f.支持协同白板模式,可与远端交互大屏进行白板互动,或通过 手机 APP 连接设备进行大小屏互动,手机投屏,资料上传操作 </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g. 支持将会议讨论内容保存为白板源文件, 白板源文件可进行二 次编辑; 同时可将讨论内容存为 PDF 格式保存于本地 h.会议记录支持扫码带走,可选当前页面或全部页面进行分享；</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6.欢迎词软件：提供多种欢迎词模板, 用户可任意编辑欢迎词背景 图片、文本内容及位置,支持插入图片, 音频, 视频等多媒体素材, 编辑完成后可保存为自定义模板；</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 文档管理器支持多选本地任意图片进行扫码分享, 或生成 PDF 格 式文档；</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★8. 内置远程广播功能, 无限制远程接入点数, 包含远程视频广播及 共享屏幕功能. 除可发送至远程端交互平板外, 同时支持由手机 端 APP 接收广播及共享屏幕； </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9.投票软件可设置议题投票, 设置完成后以手机扫码进行投票, 投 票结果可生成饼状图或条形图, 并支持将投票结果以图片格式插 入到白板；</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★10.内置录音工具, 可透过麦克风拾音将会议过程录制为音频文档；录屏工具可录制屏幕, 录屏声源可选内部声源, 外部声源及静音录制； </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★11.签到软件含手机扫码签到及笔迹签到功能, 签到结果可通过三方 软件扫码带走； </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★12.双侧工具栏自带批注功能, 会议中可随时于任意界面中对任意程 序如桌面、PPT、Word、CAD 等静态文档、高清动态视频等进行批 注, 无须开启其他软件, 批注结束可保存批注内容；</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★13.可由主页一键进入所有信号源, 快速切换多个信号源的使用需 求,支持通过触控方式快速切换信号源至全屏显示；</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14.支持多种设备无线投屏，安卓、iOS 等设备透过无线 WIFI 进行传 输。用户可快速将移动设备上的文档、图片、音乐、视频、桌面 等内容投屏到交互平板上；</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 应用商城提供用户在线下载三方应用, 及应用程序管理；主题商城提供多种主页主题下载, 用户可自行更换主页背景主题；</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★16.语音助手提供语音识别功能, 对准设备麦克风发布命令, 可进行 基本软件控制与硬件控制与文件检索；</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★17.支持手机移动端 APP, 透过 APP 可实现预约, 签到, 投票, 文件 快传及协同白板等大小屏互动应用； </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18.OPS配置：I5/ 8G /256G SSD。</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五.交互平板硬件资质</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1.交互平板生产厂家（非制造商）需提供屏体厂家2018年出具的屏体规格证明文件；</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 为保证产品质量、供货进度及后续便利维护，最大限度保护用户根本利益，本次投标商所投交互平板产品必须为原厂产品，要求交互平板CCC证书的申请人、制造商、生产厂必须为同一企业，不接受OEM等代工方式产品；</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 为避免虚假应标，技术参数指标均需提供CNAS级别权威部门出具的检测报告，并且出现在同一整机检测报告中，不接受独立功能检测报告，整机检测报告原件备查；</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4.交互平板生产企业取得产品设计开发、生产及售后服务企业社会责任评价等级证书；</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 投标产品制造商应具备国际电工委员会电子元器件质量评定体系（IECQ）出具的QC080000危害物质过程管理体系。</w:t>
            </w:r>
          </w:p>
          <w:p>
            <w:pPr>
              <w:keepNext w:val="0"/>
              <w:keepLines w:val="0"/>
              <w:widowControl/>
              <w:suppressLineNumbers w:val="0"/>
              <w:jc w:val="left"/>
              <w:textAlignment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53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移动式支架</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原装移动支架，与触摸一体机同一品牌。</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75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控制计算机</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I7处理器、8G内存、1T硬盘+256G固态、2G独显。21.5寸显示器。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276" w:hRule="atLeast"/>
        </w:trPr>
        <w:tc>
          <w:tcPr>
            <w:tcW w:w="945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2.数字会议系统</w:t>
            </w:r>
          </w:p>
        </w:tc>
      </w:tr>
      <w:tr>
        <w:tblPrEx>
          <w:tblCellMar>
            <w:top w:w="0" w:type="dxa"/>
            <w:left w:w="0" w:type="dxa"/>
            <w:bottom w:w="0" w:type="dxa"/>
            <w:right w:w="0" w:type="dxa"/>
          </w:tblCellMar>
        </w:tblPrEx>
        <w:trPr>
          <w:trHeight w:val="168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基本中央控制单元</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会议主控服务器：控制有线代表机话筒、分配同声传译和进行投票表决进程，无需操作人员干预。与 PC 配合使用时，此控制单元可以提供更加完美的会议控制功能。最多245个有线馈送装置。</w:t>
            </w:r>
          </w:p>
          <w:p>
            <w:pPr>
              <w:pStyle w:val="2"/>
              <w:ind w:left="0" w:leftChars="0" w:firstLine="0" w:firstLineChars="0"/>
              <w:rPr>
                <w:rFonts w:hint="eastAsia"/>
              </w:rPr>
            </w:pPr>
            <w:r>
              <w:rPr>
                <w:rFonts w:hint="eastAsia" w:ascii="微软雅黑" w:hAnsi="微软雅黑" w:eastAsia="微软雅黑" w:cs="微软雅黑"/>
                <w:kern w:val="2"/>
                <w:sz w:val="18"/>
                <w:szCs w:val="18"/>
                <w:lang w:val="en-US" w:eastAsia="zh-CN" w:bidi="ar-SA"/>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272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双代表机接口</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双代表接口适用于用户定制的嵌入式安装解决方案。 两路输入也可用作线路输入。每路输入都分配了自己的座号，以使DCN-DDI 可供两个代表席位使用。该装置适于带话筒连接面板(DCN-FMIC) 和话筒控制面板(DCN-FMICB) 的手持式话筒(DCN-FHH) 或可插拔话筒(DCN-MIC)。此外，该装置还提供一个接口来连接内部通信对讲机(LBB 3555/00)。双代表模式，具有两个话筒以及两个投票和插卡面板。</w:t>
            </w:r>
          </w:p>
          <w:p>
            <w:pPr>
              <w:pStyle w:val="2"/>
              <w:ind w:left="0" w:leftChars="0" w:firstLine="0" w:firstLineChars="0"/>
              <w:jc w:val="left"/>
              <w:rPr>
                <w:rFonts w:hint="eastAsia"/>
              </w:rPr>
            </w:pPr>
            <w:r>
              <w:rPr>
                <w:rFonts w:hint="eastAsia" w:ascii="微软雅黑" w:hAnsi="微软雅黑" w:eastAsia="微软雅黑" w:cs="微软雅黑"/>
                <w:sz w:val="18"/>
                <w:szCs w:val="18"/>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8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嵌入式接头</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接头用于连接嵌入式安装面板和端帽。安装用螺钉安装在桌面的缺口中。</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7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嵌入式端盖</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匹配的端帽可以使嵌入式安装的设备显得平整光滑。 每个嵌入式安装的位置需要两个端帽。时尚设计（IF 大奖）。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276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嵌入式话筒连接面板</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话筒连接面板用于将 DCN</w:t>
            </w:r>
            <w:r>
              <w:rPr>
                <w:rFonts w:hint="eastAsia" w:ascii="微软雅黑" w:hAnsi="微软雅黑" w:eastAsia="微软雅黑" w:cs="微软雅黑"/>
                <w:sz w:val="18"/>
                <w:szCs w:val="18"/>
                <w:lang w:val="en-US" w:eastAsia="zh-CN"/>
              </w:rPr>
              <w:noBreakHyphen/>
            </w:r>
            <w:r>
              <w:rPr>
                <w:rFonts w:hint="eastAsia" w:ascii="微软雅黑" w:hAnsi="微软雅黑" w:eastAsia="微软雅黑" w:cs="微软雅黑"/>
                <w:sz w:val="18"/>
                <w:szCs w:val="18"/>
                <w:lang w:val="en-US" w:eastAsia="zh-CN"/>
              </w:rPr>
              <w:t>MICS 和 DCN</w:t>
            </w:r>
            <w:r>
              <w:rPr>
                <w:rFonts w:hint="eastAsia" w:ascii="微软雅黑" w:hAnsi="微软雅黑" w:eastAsia="微软雅黑" w:cs="微软雅黑"/>
                <w:sz w:val="18"/>
                <w:szCs w:val="18"/>
                <w:lang w:val="en-US" w:eastAsia="zh-CN"/>
              </w:rPr>
              <w:noBreakHyphen/>
            </w:r>
            <w:r>
              <w:rPr>
                <w:rFonts w:hint="eastAsia" w:ascii="微软雅黑" w:hAnsi="微软雅黑" w:eastAsia="微软雅黑" w:cs="微软雅黑"/>
                <w:sz w:val="18"/>
                <w:szCs w:val="18"/>
                <w:lang w:val="en-US" w:eastAsia="zh-CN"/>
              </w:rPr>
              <w:t>MICL 可插拔话筒连接至双代表机接口 (DCN-DDI) 的其中一个音频输入插孔。话筒连接面板还有一个输出插孔，用于控制通道选择器的输出级别。互连组件，用于控制通道选择器输出音量降低的连接器插孔。时尚设计（IF 大奖）。通道选择器输出音量控制。安装卡在厚度为 2 毫米的金属板上，或与 DCN-FCOUP 接头和 DCN-FEC端帽配合使用以安装在任何表面上。</w:t>
            </w:r>
          </w:p>
          <w:p>
            <w:pPr>
              <w:pStyle w:val="2"/>
              <w:ind w:left="0" w:leftChars="0" w:firstLine="0" w:firstLineChars="0"/>
              <w:rPr>
                <w:rFonts w:hint="eastAsia"/>
              </w:rPr>
            </w:pPr>
            <w:r>
              <w:rPr>
                <w:rFonts w:hint="eastAsia" w:ascii="微软雅黑" w:hAnsi="微软雅黑" w:eastAsia="微软雅黑" w:cs="微软雅黑"/>
                <w:sz w:val="18"/>
                <w:szCs w:val="18"/>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19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嵌入式话筒控制面板</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话筒控制面板经由其中一个 RJ11 控制输入接口连接至双代表机接口(DCN-DDI)。互连组件两个 RJ11 连接器：一个用于连接至双代表机接口，一个用于环路布线。时尚设计（IF 大奖）。话筒开/关按钮。彩色状态指示灯环。</w:t>
            </w:r>
          </w:p>
          <w:p>
            <w:pPr>
              <w:pStyle w:val="2"/>
              <w:ind w:left="0" w:leftChars="0" w:firstLine="0" w:firstLineChars="0"/>
              <w:rPr>
                <w:rFonts w:hint="eastAsia"/>
              </w:rPr>
            </w:pPr>
            <w:r>
              <w:rPr>
                <w:rFonts w:hint="eastAsia" w:ascii="微软雅黑" w:hAnsi="微软雅黑" w:eastAsia="微软雅黑" w:cs="微软雅黑"/>
                <w:kern w:val="2"/>
                <w:sz w:val="18"/>
                <w:szCs w:val="18"/>
                <w:lang w:val="en-US" w:eastAsia="zh-CN" w:bidi="ar-SA"/>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16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嵌入式优先面板</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优先面板连接至双代表机接口 (DCN-DDI) 的其中一个 RJ11控制输入端口。控件和指示灯：一个话筒控制按钮。话筒按钮周围的红色发光环用于指示优先级处于激活状态。互连组件两个RJ11 连接器，一个用于连接至 DCN-DDI 双代表机接口，一个用于环路布线。时尚设计（IF 大奖）。优先开/关按钮。红色的“话筒开启”指示灯。</w:t>
            </w:r>
          </w:p>
          <w:p>
            <w:pPr>
              <w:pStyle w:val="2"/>
              <w:ind w:left="0" w:leftChars="0" w:firstLine="0" w:firstLineChars="0"/>
              <w:rPr>
                <w:rFonts w:hint="eastAsia"/>
              </w:rPr>
            </w:pPr>
            <w:r>
              <w:rPr>
                <w:rFonts w:hint="eastAsia" w:ascii="微软雅黑" w:hAnsi="微软雅黑" w:eastAsia="微软雅黑" w:cs="微软雅黑"/>
                <w:sz w:val="18"/>
                <w:szCs w:val="18"/>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13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可插拔长柄话筒</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话筒具有单指向性响应特性，即使在嘈杂条件下也能获得最佳性能，对手机干扰的敏感度低。控件和指示灯：红灯或绿灯。 红色表示话筒处于激活状态，绿色表示已接受发言请求。互连组件：用于插入和固定话筒的连接器。话筒柄灵活可调的单指向性话筒。</w:t>
            </w:r>
          </w:p>
          <w:p>
            <w:pPr>
              <w:pStyle w:val="2"/>
              <w:ind w:left="0" w:leftChars="0" w:firstLine="0" w:firstLineChars="0"/>
              <w:rPr>
                <w:rFonts w:hint="eastAsia"/>
              </w:rPr>
            </w:pPr>
            <w:r>
              <w:rPr>
                <w:rFonts w:hint="eastAsia" w:ascii="微软雅黑" w:hAnsi="微软雅黑" w:eastAsia="微软雅黑" w:cs="微软雅黑"/>
                <w:sz w:val="18"/>
                <w:szCs w:val="18"/>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支</w:t>
            </w:r>
          </w:p>
        </w:tc>
      </w:tr>
      <w:tr>
        <w:tblPrEx>
          <w:tblCellMar>
            <w:top w:w="0" w:type="dxa"/>
            <w:left w:w="0" w:type="dxa"/>
            <w:bottom w:w="0" w:type="dxa"/>
            <w:right w:w="0" w:type="dxa"/>
          </w:tblCellMar>
        </w:tblPrEx>
        <w:trPr>
          <w:trHeight w:val="128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100 公尺会议电缆</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LBB 4116/00 是一卷长度为 100 米（328 英尺）的电缆，与 DCN 延长电缆部件相同，但不带连接器。LBB 4116/00 DCN 安装电缆 100 米。新一代 DCN 系统安装电缆，100米（328 英尺），不带连接器。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卷</w:t>
            </w:r>
          </w:p>
        </w:tc>
      </w:tr>
      <w:tr>
        <w:tblPrEx>
          <w:tblCellMar>
            <w:top w:w="0" w:type="dxa"/>
            <w:left w:w="0" w:type="dxa"/>
            <w:bottom w:w="0" w:type="dxa"/>
            <w:right w:w="0" w:type="dxa"/>
          </w:tblCellMar>
        </w:tblPrEx>
        <w:trPr>
          <w:trHeight w:val="8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摄像跟踪软件授权</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会议软件-摄像机控制软件, 电子密码</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141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无线手持话筒</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手持式发射机:集成话筒振膜设计，-10 dB增益衰减，双通道无线接收机:一键式QuickScan频率选择可快速查找最佳开放频率 每个频带多达12个兼容系统 XLR和¼英寸输出接口，微处理器控制的内部天线分集，双色音频状态LED指示灯</w:t>
            </w:r>
          </w:p>
          <w:p>
            <w:pPr>
              <w:pStyle w:val="2"/>
              <w:ind w:left="0" w:leftChars="0" w:firstLine="0" w:firstLineChars="0"/>
              <w:rPr>
                <w:rFonts w:hint="eastAsia"/>
              </w:rPr>
            </w:pPr>
            <w:r>
              <w:rPr>
                <w:rFonts w:hint="eastAsia" w:ascii="微软雅黑" w:hAnsi="微软雅黑" w:eastAsia="微软雅黑" w:cs="微软雅黑"/>
                <w:sz w:val="18"/>
                <w:szCs w:val="18"/>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97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无线头戴话筒</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传感器类型: 电容 拾音模式: 心形 频率响应自: 40 Hz 频率响应至: 20 KHz 自动频率选择 自动发射机设置 可拆卸式1/4波长天线 微处理器控制的分集 多功能背光LCD显示屏 牢固的金属外壳 1/2机架设计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12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墨水屏电子桌牌</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1，低功耗，常规使用3-5年电池寿命; </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2，支持空中唤醒，刷新速度快，几秒内呈现结果； </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3，点阵电子纸屏幕，视角接近180°； </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4，基于Web的应用界面，支持跨平台操作； </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5，安装简单，快速布置； </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6，电池供电不需要布线； </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7，双面显示，美观大方； </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8，使用时无需安装即可直接使用； </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9，简易操作界面，无需学习，快速上手； </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10，屏体厚度仅5mm。 </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11，外形尺寸：175×80×137H（mm） </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12，单台重量：0.3KG</w:t>
            </w:r>
          </w:p>
          <w:p>
            <w:pPr>
              <w:pStyle w:val="2"/>
              <w:ind w:left="0" w:leftChars="0" w:firstLine="0" w:firstLineChars="0"/>
              <w:rPr>
                <w:rFonts w:hint="eastAsia"/>
              </w:rPr>
            </w:pPr>
            <w:r>
              <w:rPr>
                <w:rFonts w:hint="eastAsia" w:ascii="微软雅黑" w:hAnsi="微软雅黑" w:eastAsia="微软雅黑" w:cs="微软雅黑"/>
                <w:sz w:val="18"/>
                <w:szCs w:val="18"/>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2" w:hRule="atLeast"/>
        </w:trPr>
        <w:tc>
          <w:tcPr>
            <w:tcW w:w="945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3.专业扩声系统</w:t>
            </w:r>
          </w:p>
        </w:tc>
      </w:tr>
      <w:tr>
        <w:tblPrEx>
          <w:tblCellMar>
            <w:top w:w="0" w:type="dxa"/>
            <w:left w:w="0" w:type="dxa"/>
            <w:bottom w:w="0" w:type="dxa"/>
            <w:right w:w="0" w:type="dxa"/>
          </w:tblCellMar>
        </w:tblPrEx>
        <w:trPr>
          <w:trHeight w:val="315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线性阵列全频音响</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无源二分频音柱阵列扬声器，带恒定波宽专利技术，高性能钕磁钢技术、磁屏蔽技术和声音保镖过载保护技术，全天候设计；带原厂可水平及垂直角度调节吊装架；扬声器组成：低音：4×5"，高音：16×1"；频率范围(-10dB)：60Hz—20kHz；灵敏度（2.83V@1m）：98dB（窄角会议，1kHz—8kHz），93dB（窄角音乐，300Hz—18kH），96dB（宽角会议，1kHz—8kHz），92dB（宽角音乐，300Hz—18kHz）；额定连续功率：500W(2小时)，350W(100小时)；最大声压级：131dB（窄角会议），126dB（窄角音乐），129dB（宽角会议），125dB（宽角音乐）；阻抗：8Ω；覆盖角度（水平×垂直）：150°×25°(狭窄)/45°（宽广）,扬声器尺寸（高×宽×深）: 694×170×237 mm，重量：9.5 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只</w:t>
            </w:r>
          </w:p>
        </w:tc>
      </w:tr>
      <w:tr>
        <w:tblPrEx>
          <w:tblCellMar>
            <w:top w:w="0" w:type="dxa"/>
            <w:left w:w="0" w:type="dxa"/>
            <w:bottom w:w="0" w:type="dxa"/>
            <w:right w:w="0" w:type="dxa"/>
          </w:tblCellMar>
        </w:tblPrEx>
        <w:trPr>
          <w:trHeight w:val="16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辅助线性阵列音响</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1.夹板阵列扬声器，单元组成8x3”，中高音输出功率：240W、RMS，最大功率：480W、RMS；                                                                 2.灵敏度（1W / m）： 88dB，最大声压级：121dB peak,@1m，频响范围：100Hz~18KHz；</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3.扩声角度：H690 x V100，阻抗  ：16 Ohm；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只</w:t>
            </w:r>
          </w:p>
        </w:tc>
      </w:tr>
      <w:tr>
        <w:tblPrEx>
          <w:tblCellMar>
            <w:top w:w="0" w:type="dxa"/>
            <w:left w:w="0" w:type="dxa"/>
            <w:bottom w:w="0" w:type="dxa"/>
            <w:right w:w="0" w:type="dxa"/>
          </w:tblCellMar>
        </w:tblPrEx>
        <w:trPr>
          <w:trHeight w:val="9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吸顶补声音响</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频率范围:75 Hz - 20 kHz 定阻功率：75W-150W 标称阻抗：16欧姆灵敏度89分贝，1 1m／W 覆盖角度:110° 最大声压级:107 dB SPL @ 1m发声单元：低频165毫米（6.5）高频19毫米（75）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只</w:t>
            </w:r>
          </w:p>
        </w:tc>
      </w:tr>
      <w:tr>
        <w:tblPrEx>
          <w:tblCellMar>
            <w:top w:w="0" w:type="dxa"/>
            <w:left w:w="0" w:type="dxa"/>
            <w:bottom w:w="0" w:type="dxa"/>
            <w:right w:w="0" w:type="dxa"/>
          </w:tblCellMar>
        </w:tblPrEx>
        <w:trPr>
          <w:trHeight w:val="11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功率放大器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D类功放，超高效的 DriveCore 技术内置DSP处理功能；新增照明功能可选择的输入灵敏度；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具有LED前面板屏幕；双通道 750W 4Ω 双通道 525W 8Ω 双通道 300W 4Ω 桥接 1550W 8Ω 桥接 1050W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115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功率放大器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D类功放采用超高效的 DriveCore 技术内置DSP处理功能；新增照明功能可选择的输入灵敏度；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具有LED前面板屏幕；双通道 750W 4Ω 双通道 525W 8Ω 双通道 300W 4Ω 桥接 1550W 8Ω 桥接 1050W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86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功率放大器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D类功放采用超高效的 DriveCore 技术内置DSP处理功能；新增照明功能可选择的输入灵敏度；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具有LED前面板屏幕；2Ω 双通道550W 4Ω 双通道350W 8Ω 双通道215W 4Ω 桥接 1100W 8Ω 桥接 700W</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65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监听音响</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5寸低频单元，高品质监听音响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w:t>
            </w:r>
          </w:p>
        </w:tc>
      </w:tr>
      <w:tr>
        <w:tblPrEx>
          <w:tblCellMar>
            <w:top w:w="0" w:type="dxa"/>
            <w:left w:w="0" w:type="dxa"/>
            <w:bottom w:w="0" w:type="dxa"/>
            <w:right w:w="0" w:type="dxa"/>
          </w:tblCellMar>
        </w:tblPrEx>
        <w:trPr>
          <w:trHeight w:val="48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网络电源管理器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8路电源时序管理器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2" w:hRule="atLeast"/>
        </w:trPr>
        <w:tc>
          <w:tcPr>
            <w:tcW w:w="945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4.高清监控系统</w:t>
            </w:r>
          </w:p>
        </w:tc>
      </w:tr>
      <w:tr>
        <w:tblPrEx>
          <w:tblCellMar>
            <w:top w:w="0" w:type="dxa"/>
            <w:left w:w="0" w:type="dxa"/>
            <w:bottom w:w="0" w:type="dxa"/>
            <w:right w:w="0" w:type="dxa"/>
          </w:tblCellMar>
        </w:tblPrEx>
        <w:trPr>
          <w:trHeight w:val="86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50寸液晶拼接</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9"/>
              <w:numPr>
                <w:ilvl w:val="0"/>
                <w:numId w:val="0"/>
              </w:numPr>
              <w:ind w:leftChars="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采用原装工业级面板；</w:t>
            </w:r>
          </w:p>
          <w:p>
            <w:pPr>
              <w:pStyle w:val="49"/>
              <w:numPr>
                <w:ilvl w:val="0"/>
                <w:numId w:val="0"/>
              </w:numPr>
              <w:ind w:leftChars="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显示面积：≥</w:t>
            </w:r>
            <w:r>
              <w:rPr>
                <w:rFonts w:hint="eastAsia" w:ascii="微软雅黑" w:hAnsi="微软雅黑" w:eastAsia="微软雅黑" w:cs="微软雅黑"/>
                <w:sz w:val="18"/>
                <w:szCs w:val="18"/>
                <w:lang w:val="en-US" w:eastAsia="zh-CN"/>
              </w:rPr>
              <w:t>50</w:t>
            </w:r>
            <w:r>
              <w:rPr>
                <w:rFonts w:hint="eastAsia" w:ascii="微软雅黑" w:hAnsi="微软雅黑" w:eastAsia="微软雅黑" w:cs="微软雅黑"/>
                <w:sz w:val="18"/>
                <w:szCs w:val="18"/>
              </w:rPr>
              <w:t>″；</w:t>
            </w:r>
          </w:p>
          <w:p>
            <w:pPr>
              <w:pStyle w:val="49"/>
              <w:numPr>
                <w:ilvl w:val="0"/>
                <w:numId w:val="0"/>
              </w:num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背光类型：直下式LED背光；</w:t>
            </w:r>
          </w:p>
          <w:p>
            <w:pPr>
              <w:pStyle w:val="49"/>
              <w:numPr>
                <w:ilvl w:val="0"/>
                <w:numId w:val="0"/>
              </w:numPr>
              <w:ind w:leftChars="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5、双边</w:t>
            </w:r>
            <w:r>
              <w:rPr>
                <w:rFonts w:hint="eastAsia" w:ascii="微软雅黑" w:hAnsi="微软雅黑" w:eastAsia="微软雅黑" w:cs="微软雅黑"/>
                <w:sz w:val="18"/>
                <w:szCs w:val="18"/>
              </w:rPr>
              <w:t>拼接缝隙：≤</w:t>
            </w:r>
            <w:r>
              <w:rPr>
                <w:rFonts w:hint="eastAsia" w:ascii="微软雅黑" w:hAnsi="微软雅黑" w:eastAsia="微软雅黑" w:cs="微软雅黑"/>
                <w:sz w:val="18"/>
                <w:szCs w:val="18"/>
                <w:lang w:val="en-US" w:eastAsia="zh-CN"/>
              </w:rPr>
              <w:t>3.5</w:t>
            </w:r>
            <w:r>
              <w:rPr>
                <w:rFonts w:hint="eastAsia" w:ascii="微软雅黑" w:hAnsi="微软雅黑" w:eastAsia="微软雅黑" w:cs="微软雅黑"/>
                <w:sz w:val="18"/>
                <w:szCs w:val="18"/>
              </w:rPr>
              <w:t>mm</w:t>
            </w:r>
          </w:p>
          <w:p>
            <w:pPr>
              <w:pStyle w:val="49"/>
              <w:numPr>
                <w:ilvl w:val="0"/>
                <w:numId w:val="0"/>
              </w:numPr>
              <w:ind w:leftChars="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物理分辨率：1920*1080；</w:t>
            </w:r>
          </w:p>
          <w:p>
            <w:pPr>
              <w:pStyle w:val="49"/>
              <w:numPr>
                <w:ilvl w:val="0"/>
                <w:numId w:val="0"/>
              </w:numPr>
              <w:ind w:leftChars="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屏幕亮度：≥</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00cd/㎡；</w:t>
            </w:r>
          </w:p>
          <w:p>
            <w:pPr>
              <w:pStyle w:val="49"/>
              <w:numPr>
                <w:ilvl w:val="0"/>
                <w:numId w:val="0"/>
              </w:num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对比度：≥ 3500：1；</w:t>
            </w:r>
          </w:p>
          <w:p>
            <w:pPr>
              <w:pStyle w:val="49"/>
              <w:numPr>
                <w:ilvl w:val="0"/>
                <w:numId w:val="0"/>
              </w:numPr>
              <w:ind w:leftChars="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屏幕比例：16:9；</w:t>
            </w:r>
          </w:p>
          <w:p>
            <w:pPr>
              <w:pStyle w:val="49"/>
              <w:numPr>
                <w:ilvl w:val="0"/>
                <w:numId w:val="0"/>
              </w:numPr>
              <w:ind w:leftChars="0" w:firstLine="180" w:firstLineChars="10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色彩数值：16.7M；</w:t>
            </w:r>
          </w:p>
          <w:p>
            <w:pPr>
              <w:pStyle w:val="49"/>
              <w:numPr>
                <w:ilvl w:val="0"/>
                <w:numId w:val="0"/>
              </w:numPr>
              <w:ind w:leftChars="0"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像素间距：0.63mm*0.63mm；</w:t>
            </w:r>
          </w:p>
          <w:p>
            <w:pPr>
              <w:pStyle w:val="49"/>
              <w:numPr>
                <w:ilvl w:val="0"/>
                <w:numId w:val="0"/>
              </w:numPr>
              <w:ind w:leftChars="0"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可视角度：178°/178°；</w:t>
            </w:r>
          </w:p>
          <w:p>
            <w:pPr>
              <w:pStyle w:val="49"/>
              <w:numPr>
                <w:ilvl w:val="0"/>
                <w:numId w:val="0"/>
              </w:numPr>
              <w:ind w:leftChars="0"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13、</w:t>
            </w:r>
            <w:r>
              <w:rPr>
                <w:rFonts w:hint="eastAsia" w:ascii="微软雅黑" w:hAnsi="微软雅黑" w:eastAsia="微软雅黑" w:cs="微软雅黑"/>
                <w:sz w:val="18"/>
                <w:szCs w:val="18"/>
              </w:rPr>
              <w:t>响应时间：8ms；</w:t>
            </w:r>
          </w:p>
          <w:p>
            <w:pPr>
              <w:pStyle w:val="49"/>
              <w:numPr>
                <w:ilvl w:val="0"/>
                <w:numId w:val="0"/>
              </w:num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14、</w:t>
            </w:r>
            <w:r>
              <w:rPr>
                <w:rFonts w:hint="eastAsia" w:ascii="微软雅黑" w:hAnsi="微软雅黑" w:eastAsia="微软雅黑" w:cs="微软雅黑"/>
                <w:sz w:val="18"/>
                <w:szCs w:val="18"/>
              </w:rPr>
              <w:t>使用寿命：≥60000h；</w:t>
            </w:r>
          </w:p>
          <w:p>
            <w:pPr>
              <w:pStyle w:val="49"/>
              <w:numPr>
                <w:ilvl w:val="0"/>
                <w:numId w:val="0"/>
              </w:num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15、</w:t>
            </w:r>
            <w:r>
              <w:rPr>
                <w:rFonts w:hint="eastAsia" w:ascii="微软雅黑" w:hAnsi="微软雅黑" w:eastAsia="微软雅黑" w:cs="微软雅黑"/>
                <w:sz w:val="18"/>
                <w:szCs w:val="18"/>
              </w:rPr>
              <w:t>控制方式：RS232串口、网络、遥控装置；</w:t>
            </w:r>
          </w:p>
          <w:p>
            <w:pPr>
              <w:pStyle w:val="49"/>
              <w:numPr>
                <w:ilvl w:val="0"/>
                <w:numId w:val="0"/>
              </w:num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r>
              <w:rPr>
                <w:rFonts w:hint="eastAsia" w:ascii="微软雅黑" w:hAnsi="微软雅黑" w:eastAsia="微软雅黑" w:cs="微软雅黑"/>
                <w:sz w:val="18"/>
                <w:szCs w:val="18"/>
              </w:rPr>
              <w:t>视频接口：1×VGA、1×DVI、1×HDMI、2×Video输入, 2×Video输出，1×Audio，2×RJ45，2×IR；</w:t>
            </w:r>
          </w:p>
          <w:p>
            <w:pPr>
              <w:pStyle w:val="49"/>
              <w:numPr>
                <w:ilvl w:val="0"/>
                <w:numId w:val="0"/>
              </w:numPr>
              <w:ind w:leftChars="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rPr>
              <w:t>支持1路音频通道接口；</w:t>
            </w:r>
          </w:p>
          <w:p>
            <w:pPr>
              <w:pStyle w:val="49"/>
              <w:numPr>
                <w:ilvl w:val="0"/>
                <w:numId w:val="0"/>
              </w:num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18、</w:t>
            </w:r>
            <w:r>
              <w:rPr>
                <w:rFonts w:hint="eastAsia" w:ascii="微软雅黑" w:hAnsi="微软雅黑" w:eastAsia="微软雅黑" w:cs="微软雅黑"/>
                <w:sz w:val="18"/>
                <w:szCs w:val="18"/>
              </w:rPr>
              <w:t>支持7x24小时连续运行；</w:t>
            </w:r>
          </w:p>
          <w:p>
            <w:pPr>
              <w:pStyle w:val="49"/>
              <w:numPr>
                <w:ilvl w:val="0"/>
                <w:numId w:val="0"/>
              </w:num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19、</w:t>
            </w:r>
            <w:r>
              <w:rPr>
                <w:rFonts w:hint="eastAsia" w:ascii="微软雅黑" w:hAnsi="微软雅黑" w:eastAsia="微软雅黑" w:cs="微软雅黑"/>
                <w:sz w:val="18"/>
                <w:szCs w:val="18"/>
              </w:rPr>
              <w:t>支持前后维护搭建，具有6自由度调整支架，可改变屏幕的前后左右上下等角度任意调整，不影响整机使用；</w:t>
            </w:r>
          </w:p>
          <w:p>
            <w:pPr>
              <w:pStyle w:val="49"/>
              <w:numPr>
                <w:ilvl w:val="0"/>
                <w:numId w:val="0"/>
              </w:num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系统具有图像增强引擎提升功能，在雨、雪、雾、霾、沙尘天气下，能区分暗区的暗像素和亮区的暗像素，清晰化修复人眼的视觉局限。</w:t>
            </w:r>
          </w:p>
          <w:p>
            <w:pPr>
              <w:pStyle w:val="49"/>
              <w:numPr>
                <w:ilvl w:val="0"/>
                <w:numId w:val="0"/>
              </w:num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具有RC 智能自适应数字处理技术，即采用DLC（动态场景控制）、WLE（白电平延伸）、BLE（黑电平延伸）自适应控制电路，有效提升图像的景深层次感。</w:t>
            </w:r>
          </w:p>
          <w:p>
            <w:pPr>
              <w:pStyle w:val="49"/>
              <w:numPr>
                <w:ilvl w:val="0"/>
                <w:numId w:val="0"/>
              </w:numPr>
              <w:ind w:firstLine="180" w:firstLineChars="10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产品资质：</w:t>
            </w:r>
          </w:p>
          <w:p>
            <w:pPr>
              <w:pStyle w:val="49"/>
              <w:numPr>
                <w:ilvl w:val="0"/>
                <w:numId w:val="0"/>
              </w:num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具有国家电子计算机质量监督检验中心出具的防火检测报告，符合国家《信息技术安全第一部分：通用要求》，需提供国家电子计算机质量监督检验中心出具的检测报告复印件并加盖公章；</w:t>
            </w:r>
          </w:p>
          <w:p>
            <w:pPr>
              <w:pStyle w:val="49"/>
              <w:numPr>
                <w:ilvl w:val="0"/>
                <w:numId w:val="0"/>
              </w:num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具有国家电子计算机质量监督检验中心出具的噪声试验报告，符合国家《声学信息技术设备和通信设备空气噪声的测量》，在工作时操作员位置声压级为8.74Db(A)，提供国家电子计算机质量监督检验中心出具的检测报告复印件并加盖公章；</w:t>
            </w:r>
          </w:p>
          <w:p>
            <w:pPr>
              <w:pStyle w:val="49"/>
              <w:numPr>
                <w:ilvl w:val="0"/>
                <w:numId w:val="0"/>
              </w:numPr>
              <w:ind w:leftChars="0"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系统具体有防尘功能，外壳防护等级为IP40。需提供国家认可的第三方检测机构权威认证报告复印件并加盖公章；</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厂家</w:t>
            </w:r>
            <w:r>
              <w:rPr>
                <w:rFonts w:hint="eastAsia" w:ascii="微软雅黑" w:hAnsi="微软雅黑" w:eastAsia="微软雅黑" w:cs="微软雅黑"/>
                <w:sz w:val="18"/>
                <w:szCs w:val="18"/>
              </w:rPr>
              <w:t>资质：</w:t>
            </w:r>
          </w:p>
          <w:p>
            <w:pPr>
              <w:pStyle w:val="49"/>
              <w:numPr>
                <w:ilvl w:val="0"/>
                <w:numId w:val="0"/>
              </w:num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25、</w:t>
            </w:r>
            <w:r>
              <w:rPr>
                <w:rFonts w:hint="eastAsia" w:ascii="微软雅黑" w:hAnsi="微软雅黑" w:eastAsia="微软雅黑" w:cs="微软雅黑"/>
                <w:sz w:val="18"/>
                <w:szCs w:val="18"/>
              </w:rPr>
              <w:t>显示单元制造厂商必须获得国家强制性产品CCC认证</w:t>
            </w:r>
          </w:p>
          <w:p>
            <w:pPr>
              <w:keepNext w:val="0"/>
              <w:keepLines w:val="0"/>
              <w:widowControl/>
              <w:suppressLineNumbers w:val="0"/>
              <w:jc w:val="left"/>
              <w:textAlignment w:val="center"/>
              <w:rPr>
                <w:rFonts w:hint="eastAsia"/>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175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视频处理器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基本要求：</w:t>
            </w:r>
          </w:p>
          <w:p>
            <w:pPr>
              <w:keepNext w:val="0"/>
              <w:keepLines w:val="0"/>
              <w:widowControl/>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模块化插卡式设计，业务卡均采用插卡式设计，为日常使用及维护带来了极大的方便。</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支持电脑，投影仪等HDMI/VGA/DVI/BNC分布式输入拼接处理器，组成分布式集成处理系统。</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支持电脑，手机投屏处理功能。</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丰富的接口,输入支持HDMI/VGA/DVI/BNC,输出支持HDMI/DVI。</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拥有一键物理复位功能。</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支持预监和回显功能，支撑多个操控台观看不同的输入视频</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单个信号可以在任意 M×N(&gt;0) 个显示单元上拼接显示。</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支持无缝切换输入信号任意拼接、开窗、漫游，支持图层叠加，单屏支持2或者4个图层。</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最大支持4K像素超高分辨率底图，不占开窗图层；</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 输入支持DVI、HDMI、SDI、VGA、CVBS、YPBPR、HDbaseT、光纤输入、IP流媒体、DVI-X 3.5mm音频等信号的混合输入，同时支持DP 、HDMI1.4、Dual-Link DVI等4K分辨率输入采集，本次预配8路万能格式输入。</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 输出支持</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DVI/HDMI/SDI/VGA/CVBS/YPBPR/HDbaseT/光纤输出/DVI-X等接口，本次预配4路高清输出。</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 设备采用先进硬件式处理结构、无操作系统，输入板卡、输出板卡、电源、风扇交换主板、控制板等，均为模块化设计，输入、输出板卡、风扇模块均可直接带电热拔插。</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 机箱支持输入输出混插，卡槽为双向数据通道槽位，单个卡槽即可支持输入板卡，也可支持输出板卡。</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 整个机箱输入输出以及内部传输全部是60帧RGB 4:4:4信号处理。</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 开机时间（启动电源至输出画面的时间间隔）≤10s。</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 切换信号之间、开窗响应、调模式的间隔时间≤15ms。</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 平均故障时间间隔（MTBF）不小于100000小时，保证设备正常稳定运行。</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 输入板卡热拔插恢复时间≤3s，输出板卡热拔插恢复时间≤10s。</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 支持具备EDID配置管理，针对此类情况平台在原有的基础上增加了输入输出的EDID的读取，修改等功能，最大程度上提高系统设备的兼容性。</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 开窗功能，具有在显示端上开不少于4个窗口。</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 窗口叠加功能，可以将不同信号源开到一个或者多个屏幕。</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 窗口漫游功能，可以拖动任意窗口到显示终端的任意位置。</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 设备具有WEB控制功能，区域网内任何一台电脑有线或者无线可直接对设备进行控制，可通过网页直接输入设备的IP地址访问方式，实现整机开窗叠加漫游、模式存储调用、切换信号等常见控制功能。</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 无缝切换：支持板卡可以使用设备内部硬件的高清信号处理机制，确保单个或多个信号进行切换时没有黑场间隔。</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 预案管理，支持多种预案分组管理，支持预案模式预览功能,模式自动轮巡，并且能设置任意模式在某个时间点自动显示。</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 支持中控集成功能，支持RS232\RS485\DMX512输出板卡，单板8路串口输出，可直接控制LCD屏体，投影机，灯光等外围第三方设备的控制。</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 设备可支持U盘接入播放各种格式的视频图片、也可以插USB鼠标键盘控制PPT以及视频的播放暂停等操作。</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 支持输出分辨率自定义设置，匹配后端不同显示单元。</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 设备集成音频矩阵功能,支持音频的输入与输出，单卡实现8路3.5mm音频左右声道的输入和输出，能实现各个音频信源间同步和异步任意切换。</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 控制方式：TCP和UDP的网络控制， RS232控制，红外，按键，STC和MTC（平板电脑控制），外置键盘等控制方式，并可实现外围设备的接入与控制。</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 旋转拼接功能：可实现图像旋转拼接功能，解决竖屏拼接显示需求。</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 在不接入任何电脑信号源以及SD卡内存卡等外置存储设备情况下，设备自身能够输出点对点的静态底图功能，高清底图显示技术。</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 欢迎词上墙显示功能，任意多种字体，多种颜色，任意位置，支持各种背景底色，且同时能够存多种欢迎词以备调取显示。</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 支持滚动字幕显示，任意多种字体，多种颜色，任意位置，支持各种背景底色。</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 支持信号预监与回显功能，单张预监回显能支持80路输入信号的预监，并支持在上位机软件（安卓、IOS、电脑系统运行）中浏览信号源在大屏幕上相同的实时同步画面内容。</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 网络IP视频解码功能，支持H.265,H.264解码，单网口能解码4路4K或者16路1080P，且支持网络抓屏。</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 支持输出分组管理，支持画面拼接功能，融合功能，LED等显示终端功能，并且输入信号源能够共享。</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 支持不少于10组独立拼接墙的管理控制，且可设置不同的参数，互不干扰。</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 LCD显示功能：前面板具有≥3.5英寸的LCD显示屏与16个快捷切换键，前面板可操作和LCD液晶屏状态读取， LCD屏可以实时的显示信号源状态和通道显示情况，MAC和IP地址、波特率，可以信号切换、预案存储调用。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支持人工智能AI语音控制图像处理器，能通过语音控制处理器新建、端对端、开窗、清空、全屏、底图开关、字符显示关闭、调用模式，切换信源等。</w:t>
            </w:r>
          </w:p>
          <w:p>
            <w:pP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二、软件功能要求：</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1、控制软件应可设置全中文、英文、繁体、西班牙界面，无需数据库支持，不需安装数据库引擎，方便维护、备份等系统管理。</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2、控制软件可对每路输出图像进行亮暗平衡，亮度对比度等颜色参数的调整。</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3、软件具有在显示终端开窗、叠加、漫游、大小调整、切换信号源、窗口置顶置底、全屏、关闭等功能。</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4、控制软件支持对输入信号源进行像素裁剪功能，达到去除黑边功能。</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5、可对CVBS\VGA\YPBPR \HDMI\DVI输入通道上叠加任意字符，可自由定义叠加字符的字体、颜色、大小、位置等。</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6、软件可视化管理，支持PC端及移动端， PC端支持windowsXP、 win7、win8、win10系统以及windows server服务器系统，中标麒麟系统。移动端APP支持：安卓、sureface、IOS、且IOS版无需越狱，PC和移动端的软件界面和功能要求是一模一样的。</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7、支持IP流媒体管理，解码流媒体信号上墙显示。</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8、支持欢迎词上墙显示功能，任意多种字体，多种颜色，任意位置，支持各种背景底色。 </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9、软件支持不少于10个用户权限的管理，不同权限的人员可操控的内容可以设定，软件界面打开之前需要弹出登录界面。</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10、多串口与中控控制外围设备功能，支持控制大屏、投影机、灯光、摄像头、窗帘等外围设备的控制。</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11、可以设定存储和管理显示预案，并且调模式预案之前需要确认防止误操作，并可对保存好的预案进行轮巡切换。</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12、支持对窗口的快捷铺满、平铺、关闭、返回、置顶置底、锁定、最大化、精确的定位到某个像素。</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13、控制软件支持自定义更换软件标题，满足不同需求，并且窗口带颜色识别，每个输入信号通道颜色不一样以便客户更清楚直观的查看。</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14、软件UI窗口支持多种底色，每个信号源有一种特殊的颜色，支持窗口底色功能，客户端软件窗口预览模式中，支持多种底色叠加显示。</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15、支持各种常规分辨率的修改以及自定义添加任意分辨率屏参输出，以便兼容后端所有的设备。</w:t>
            </w:r>
          </w:p>
          <w:p>
            <w:pPr>
              <w:rPr>
                <w:rFonts w:hint="eastAsia"/>
              </w:rPr>
            </w:pPr>
            <w:r>
              <w:rPr>
                <w:rFonts w:hint="eastAsia" w:ascii="微软雅黑" w:hAnsi="微软雅黑" w:eastAsia="微软雅黑" w:cs="微软雅黑"/>
                <w:sz w:val="18"/>
                <w:szCs w:val="18"/>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物联网监测平台</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包含400万物联网智能摄像机*4，4路高清储存录像机*1、6T硬盘*1。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项</w:t>
            </w:r>
          </w:p>
        </w:tc>
      </w:tr>
      <w:tr>
        <w:tblPrEx>
          <w:tblCellMar>
            <w:top w:w="0" w:type="dxa"/>
            <w:left w:w="0" w:type="dxa"/>
            <w:bottom w:w="0" w:type="dxa"/>
            <w:right w:w="0" w:type="dxa"/>
          </w:tblCellMar>
        </w:tblPrEx>
        <w:trPr>
          <w:trHeight w:val="402" w:hRule="atLeast"/>
        </w:trPr>
        <w:tc>
          <w:tcPr>
            <w:tcW w:w="945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5.集中控制系统</w:t>
            </w:r>
          </w:p>
        </w:tc>
      </w:tr>
      <w:tr>
        <w:tblPrEx>
          <w:tblCellMar>
            <w:top w:w="0" w:type="dxa"/>
            <w:left w:w="0" w:type="dxa"/>
            <w:bottom w:w="0" w:type="dxa"/>
            <w:right w:w="0" w:type="dxa"/>
          </w:tblCellMar>
        </w:tblPrEx>
        <w:trPr>
          <w:trHeight w:val="36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集中管理主机</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支持 TouchLink Pro 触摸屏、eBUS® 按键面板和网络按键面板；</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（2）视音频局域网端口可使视音频设备与企业网络分离；</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（3）支持行业安全标准的通信协议，支持 LinkLicense®；</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（4）6 个支持软件握手的双向 RS-232 串行端口；</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（5）2 个支持硬件和软件握手的双向RS-232/RS-422/RS-485 串行端口；</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（6）8 个红外/串行端口，用于外部设备的单向控制；</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（7）4 个多功能输入/输出端口；</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（8）8 个继电器，用于控制房间功能；</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（9）4 路可独立开关的 12 VDC 电源输出；</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（10）每个以太网端口都具有以太网监视和控制功能；</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（11）用于视音频局域网的 DHCP 服务器；</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（12）支持常见的 BMS（建筑管理系统）协议，如 BACnet、KNX 和 DALI；</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（13）支持 802.1X 验证。</w:t>
            </w:r>
          </w:p>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（14）投标产品应符合安全认证：CE</w:t>
            </w:r>
          </w:p>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（15）投标产品应符合环保认证：RoHS</w:t>
            </w:r>
          </w:p>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（16）投标产品应符合A2LA认证实验室标准</w:t>
            </w:r>
          </w:p>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97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继电器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8路继电器，具有232/ICP/NET控制控能</w:t>
            </w:r>
          </w:p>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红外接收器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套件包含带 10' (3 m) 引线的红外发射二级管、红外发射器屏蔽罩和安装胶剂；</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（2）通过红外远程控制视音频设备；</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（3）双发射器能通过一个端口控制两个设备。</w:t>
            </w:r>
          </w:p>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根</w:t>
            </w:r>
          </w:p>
        </w:tc>
      </w:tr>
      <w:tr>
        <w:tblPrEx>
          <w:tblCellMar>
            <w:top w:w="0" w:type="dxa"/>
            <w:left w:w="0" w:type="dxa"/>
            <w:bottom w:w="0" w:type="dxa"/>
            <w:right w:w="0" w:type="dxa"/>
          </w:tblCellMar>
        </w:tblPrEx>
        <w:trPr>
          <w:trHeight w:val="31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平板电脑</w:t>
            </w:r>
          </w:p>
        </w:tc>
        <w:tc>
          <w:tcPr>
            <w:tcW w:w="6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专业平板电脑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墙面触摸屏</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7寸电阻触摸屏</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75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color w:val="000000"/>
                <w:sz w:val="18"/>
                <w:szCs w:val="18"/>
              </w:rPr>
              <w:t>远程红外指令转发</w:t>
            </w:r>
            <w:r>
              <w:rPr>
                <w:rFonts w:hint="eastAsia" w:ascii="微软雅黑" w:hAnsi="微软雅黑" w:eastAsia="微软雅黑" w:cs="微软雅黑"/>
                <w:i w:val="0"/>
                <w:color w:val="000000"/>
                <w:kern w:val="0"/>
                <w:sz w:val="18"/>
                <w:szCs w:val="18"/>
                <w:u w:val="none"/>
                <w:lang w:val="en-US" w:eastAsia="zh-CN" w:bidi="ar"/>
              </w:rPr>
              <w:t>软件</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定制UI设计，进行整个会议室智能控制编程，本软件可实现所有设备远程集中控制，中文窗口化编程界面，根据用户需求定制系统控制功能和触摸屏操作界面，实现多信号实时发送控制或单路控制。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93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高清混合视频矩阵</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输入/输出尺寸：16*16，输入：12路HDMI，4路VGA，输出：4路双绞线，12路HDMI；</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（2） 50 Gbps 的数字背板可支持未来的 8K 视频 — 超出最高分辨率视频格式的数据速率需求，包括每色 16 位、4:4:4 色度取样的 4K/60 信号；</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（3）支持来自以太网控制端口的 RS -232 插入；</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（4）为双绞线发送器和接收器远程供电；</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（5）音频分离，能够将嵌入的音频信号与矩阵切换器内相对应的视频信号分离，从而将来自一个信号源的两通道PCM音频和视频信号路由到不同的终端设备；</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（6）模块化、可现场升级和热插拔的设计；</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（7）支持 HDMI 2.0b 参数标准，包括高达 18 Gbps 的数据速率、HDR、高达 12 位的色深、3D 和高清无损的音频格式</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（8）符合 HDCP 2.2 标准，EDID 管理器自动地管理已连接设备之间的 EDID 通信；</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（9）每路数字输入具有自动电缆均衡功能；</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（10）当加密内容被发送至一个不符合标准的显示设备时，HDCP 可视确认即会提供绿屏信号；</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音频输入增益及衰减—可对每路模拟音频输入的增益或衰减级别进行设定，以消除在信号源切换时产生的显著音量差异；</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（11）输出屏蔽控制，音频输出音量调整，以太网监视和控制；</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（12）用于设置和校准的带或不带音频的内部彩条测试图案查看输入/输出模式，前面板配置端口，前面板安全锁定。</w:t>
            </w:r>
          </w:p>
          <w:p>
            <w:pPr>
              <w:keepNext w:val="0"/>
              <w:keepLines w:val="0"/>
              <w:widowControl/>
              <w:numPr>
                <w:ilvl w:val="0"/>
                <w:numId w:val="6"/>
              </w:numPr>
              <w:suppressLineNumbers w:val="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17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长线传输器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（1）通过单根</w:t>
            </w:r>
            <w:r>
              <w:rPr>
                <w:rFonts w:hint="eastAsia" w:ascii="微软雅黑" w:hAnsi="微软雅黑" w:eastAsia="微软雅黑" w:cs="微软雅黑"/>
                <w:sz w:val="18"/>
                <w:szCs w:val="18"/>
                <w:lang w:val="en-US" w:eastAsia="zh-CN"/>
              </w:rPr>
              <w:t xml:space="preserve"> CATx 屏蔽电缆在 100 m（330'）远的距离上接收带嵌入音频的视频、双向 RS-232 和红外及以太网信号；</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（2）高级Vector™ 4K 图像解析度转换技术；</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（3）可选择的输出分辨率，从 640x480 至 3840x2160；</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（4）符合 HDCP 2.3 标准；</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（5）支持 HDMI 参数标准，包括高达 10.2 Gbps 的数据速率、高达 12 位的色深、3D 和高清无损的音频格式；</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（6）EDID 管理器 (EDID Minder®) 自动地管理已连接设备之间的 EDID 通信；</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（7）HDMI 音频解嵌，带模拟立体声和 S/PDIF 音频输出，音频输出音量调节和静音功能；</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（8）支持远程供电；</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（9）RS-232 控制，用于视音</w:t>
            </w:r>
            <w:r>
              <w:rPr>
                <w:rFonts w:hint="eastAsia" w:ascii="微软雅黑" w:hAnsi="微软雅黑" w:eastAsia="微软雅黑" w:cs="微软雅黑"/>
                <w:i w:val="0"/>
                <w:color w:val="000000"/>
                <w:kern w:val="0"/>
                <w:sz w:val="18"/>
                <w:szCs w:val="18"/>
                <w:u w:val="none"/>
                <w:lang w:val="en-US" w:eastAsia="zh-CN" w:bidi="ar"/>
              </w:rPr>
              <w:t>频设备控制的双向 RS-232 和红外插入；</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（10）2 个继电器，用于控制房间功能；</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402" w:hRule="atLeast"/>
        </w:trPr>
        <w:tc>
          <w:tcPr>
            <w:tcW w:w="945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6.会议灯光系统</w:t>
            </w:r>
          </w:p>
        </w:tc>
      </w:tr>
      <w:tr>
        <w:tblPrEx>
          <w:tblCellMar>
            <w:top w:w="0" w:type="dxa"/>
            <w:left w:w="0" w:type="dxa"/>
            <w:bottom w:w="0" w:type="dxa"/>
            <w:right w:w="0" w:type="dxa"/>
          </w:tblCellMar>
        </w:tblPrEx>
        <w:trPr>
          <w:trHeight w:val="58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可调色温会议灯光</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技术参数:</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输入电压：AC100~240V，50/60Hz</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功率：1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0W</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光源：高显指LED阵列</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显色指数：Ra&gt;95</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光源寿命：100000 小时</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色温    ：3200K,5600K可选。</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控制面板：LCD液晶显示+四按键</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光束角度：120度</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调光    ：0-100%线性调光。</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散热方式：无风机自然散热。</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通道模式：1CH/2CH。</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控制模式：DMX512控制/手动控制。</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保护等级：IP20       </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工作温度：-25℃~ +45℃</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外壳材料：铝合金</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配件    ：安装外框，电源线，信号线</w:t>
            </w:r>
          </w:p>
          <w:p>
            <w:pPr>
              <w:keepNext w:val="0"/>
              <w:keepLines w:val="0"/>
              <w:widowControl/>
              <w:suppressLineNumbers w:val="0"/>
              <w:jc w:val="both"/>
              <w:textAlignment w:val="center"/>
              <w:rPr>
                <w:rFonts w:hint="eastAsia"/>
              </w:rPr>
            </w:pPr>
            <w:r>
              <w:rPr>
                <w:rFonts w:hint="eastAsia" w:ascii="微软雅黑" w:hAnsi="微软雅黑" w:eastAsia="微软雅黑" w:cs="微软雅黑"/>
                <w:sz w:val="18"/>
                <w:szCs w:val="18"/>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电动翻转可调色温会议灯光</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电动LED会议平板灯参数:</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1.输入电压AC190-240V, 功率1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0w     显示指数：Ra不低于95-98</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2.色温：3200K/4000K/5600K/双色温可调,均可定制。</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3.中心照度：大于700-750Lux/3米（根据距离高度二款可选）</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4.翻转角度：DMX512信号控制0-65°调节，2-4通道设计，单双色温可选。</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5.显示：四位数码管显示，4个功能按键，电压，24V步进减速电机进9行精准角度控制。运行无噪音干扰，运行平稳。低电压使用，保证电路安全和人身用电安全。</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7.调光：采用DMX512信号调光和角度控制。0-255线性调光。16级调光线性，在调光过程中无闪烁，抖动，跳变，演播室级别的显色效果。</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8.采用全静音设计，绿色节能环保，铝型材灯体，自然散热。高亮度灯珠，密集型矩阵排列，使光均匀，照度好。</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独特的功能：此灯具具有记忆先前工作状态的功能，对调光值和角度值自动记忆。可以脱离控台使用之前调好的场景。或在没有专业灯光师编程的情况下，，减少操作麻烦。解决了好多使用场所没有专业灯光操作人员的苦恼，只要上电就行，操作简单。</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10.独特的安装设计：嵌入框和灯体采用分体式，方便安装，维护，一个人轻松完成。</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11.材料工艺：铝型材+钣金</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12.使用范围：-20°-50°，室内使用。</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13.外框尺寸：615mm*427mm</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14.开口尺寸*522mm*333mm</w:t>
            </w:r>
          </w:p>
          <w:p>
            <w:pPr>
              <w:keepNext w:val="0"/>
              <w:keepLines w:val="0"/>
              <w:widowControl/>
              <w:suppressLineNumbers w:val="0"/>
              <w:jc w:val="both"/>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15.灯体尺寸：510mm*318mm*146mm</w:t>
            </w:r>
          </w:p>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16.重量：小于12kg</w:t>
            </w:r>
          </w:p>
          <w:p>
            <w:pPr>
              <w:pStyle w:val="2"/>
              <w:spacing w:line="240" w:lineRule="auto"/>
              <w:ind w:left="0" w:leftChars="0" w:firstLine="0" w:firstLineChars="0"/>
              <w:rPr>
                <w:rFonts w:hint="eastAsia"/>
              </w:rPr>
            </w:pPr>
            <w:r>
              <w:rPr>
                <w:rFonts w:hint="eastAsia" w:ascii="微软雅黑" w:hAnsi="微软雅黑" w:eastAsia="微软雅黑" w:cs="微软雅黑"/>
                <w:sz w:val="18"/>
                <w:szCs w:val="18"/>
              </w:rPr>
              <w:t>★签订合同时提供样品供业主检测，不符合要求的拒签合同，业主有权选择第二中标人。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7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灯光控制网关</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将RS-232信号转换为DMX-512信号，主要用于利用中央控制台通过RS-232信号对具有DMX-512协议的灯光设备进行控制。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234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信号放大器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rPr>
              <w:t>1进</w:t>
            </w:r>
            <w:r>
              <w:rPr>
                <w:rFonts w:hint="eastAsia" w:ascii="微软雅黑" w:hAnsi="微软雅黑" w:eastAsia="微软雅黑" w:cs="微软雅黑"/>
                <w:i w:val="0"/>
                <w:color w:val="000000"/>
                <w:sz w:val="18"/>
                <w:szCs w:val="18"/>
                <w:u w:val="none"/>
                <w:lang w:val="en-US" w:eastAsia="zh-CN"/>
              </w:rPr>
              <w:t>4</w:t>
            </w:r>
            <w:r>
              <w:rPr>
                <w:rFonts w:hint="eastAsia" w:ascii="微软雅黑" w:hAnsi="微软雅黑" w:eastAsia="微软雅黑" w:cs="微软雅黑"/>
                <w:i w:val="0"/>
                <w:color w:val="000000"/>
                <w:sz w:val="18"/>
                <w:szCs w:val="18"/>
                <w:u w:val="none"/>
              </w:rPr>
              <w:t>出，DMX512信号放大，采用独立光电隔离电路静电保护</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lang w:val="en-US" w:eastAsia="zh-CN"/>
              </w:rPr>
              <w:t>4</w:t>
            </w:r>
            <w:r>
              <w:rPr>
                <w:rFonts w:hint="eastAsia" w:ascii="微软雅黑" w:hAnsi="微软雅黑" w:eastAsia="微软雅黑" w:cs="微软雅黑"/>
                <w:i w:val="0"/>
                <w:color w:val="000000"/>
                <w:sz w:val="18"/>
                <w:szCs w:val="18"/>
                <w:u w:val="none"/>
              </w:rPr>
              <w:t>路独立放大驱动输出。</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rPr>
              <w:t>信号放大整形功能，延长信号传输距离。</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rPr>
              <w:t>增强数据总线接入设备数量的能力。</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rPr>
              <w:t>保护灯光控制台DMX512输出接口，故障现场隔离，提高数字式灯光</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rPr>
              <w:t>控制系统的安全可靠性。</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rPr>
              <w:t>电源：AC 100 240V / 50-60Hz。</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57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继电器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8路继电器，具有232/ICP/NET控制控能</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340" w:hRule="atLeast"/>
        </w:trPr>
        <w:tc>
          <w:tcPr>
            <w:tcW w:w="945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7.周边辅材部分</w:t>
            </w:r>
          </w:p>
        </w:tc>
      </w:tr>
      <w:tr>
        <w:tblPrEx>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操作台</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5联座钢制操作台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65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机柜</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42U会议专用机柜</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97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桌插</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桌面式会议插座，接口根据需求定制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3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管线及辅材</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现场布线，机柜内跳线、音箱支架，LED屏不锈钢包边装饰灯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批</w:t>
            </w:r>
          </w:p>
        </w:tc>
      </w:tr>
      <w:tr>
        <w:tblPrEx>
          <w:tblCellMar>
            <w:top w:w="0" w:type="dxa"/>
            <w:left w:w="0" w:type="dxa"/>
            <w:bottom w:w="0" w:type="dxa"/>
            <w:right w:w="0" w:type="dxa"/>
          </w:tblCellMar>
        </w:tblPrEx>
        <w:trPr>
          <w:trHeight w:val="3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系统集成</w:t>
            </w:r>
          </w:p>
        </w:tc>
        <w:tc>
          <w:tcPr>
            <w:tcW w:w="6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所有设备系统之间集成调试工作，后期维护工作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项</w:t>
            </w:r>
          </w:p>
        </w:tc>
      </w:tr>
    </w:tbl>
    <w:p>
      <w:pPr>
        <w:pStyle w:val="5"/>
        <w:spacing w:line="360" w:lineRule="auto"/>
        <w:rPr>
          <w:rFonts w:hint="eastAsia" w:ascii="宋体" w:hAnsi="宋体"/>
          <w:color w:val="000000"/>
          <w:sz w:val="24"/>
        </w:rPr>
      </w:pPr>
    </w:p>
    <w:p>
      <w:pPr>
        <w:ind w:firstLine="422" w:firstLineChars="200"/>
        <w:rPr>
          <w:rFonts w:hint="eastAsia" w:eastAsiaTheme="minorEastAsia"/>
          <w:lang w:eastAsia="zh-CN"/>
        </w:rPr>
      </w:pPr>
      <w:r>
        <w:rPr>
          <w:rFonts w:hint="eastAsia" w:ascii="宋体" w:hAnsi="宋体" w:eastAsia="宋体" w:cs="宋体"/>
          <w:b/>
          <w:bCs/>
          <w:sz w:val="21"/>
          <w:szCs w:val="21"/>
          <w:lang w:eastAsia="zh-CN"/>
        </w:rPr>
        <w:t>备注：原水利局有部分设备需要在本次项目中利旧，中标单位要充分考虑投标产品的兼容性，稳定性，利旧设备如下：</w:t>
      </w:r>
      <w:r>
        <w:rPr>
          <w:rFonts w:hint="eastAsia" w:ascii="宋体" w:hAnsi="宋体" w:eastAsia="宋体" w:cs="宋体"/>
          <w:b/>
          <w:bCs/>
          <w:sz w:val="21"/>
          <w:szCs w:val="21"/>
          <w:lang w:val="en-US" w:eastAsia="zh-CN"/>
        </w:rPr>
        <w:t>JBL</w:t>
      </w:r>
      <w:r>
        <w:rPr>
          <w:rFonts w:hint="eastAsia" w:ascii="宋体" w:hAnsi="宋体" w:eastAsia="宋体" w:cs="宋体"/>
          <w:b/>
          <w:bCs/>
          <w:i w:val="0"/>
          <w:color w:val="000000"/>
          <w:kern w:val="0"/>
          <w:sz w:val="21"/>
          <w:szCs w:val="21"/>
          <w:u w:val="none"/>
          <w:lang w:val="en-US" w:eastAsia="zh-CN" w:bidi="ar"/>
        </w:rPr>
        <w:t>全频音响1对、Crown功率放大器一台、AllenHeath数字调音台一台、思美特数字处理器一台、云台摄像机2台、华为视频会议终端一套、宝利通视频会议终端、统1视频会议终端一套。</w:t>
      </w:r>
    </w:p>
    <w:p>
      <w:pPr>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cs="宋体"/>
          <w:b w:val="0"/>
          <w:bCs w:val="0"/>
          <w:color w:val="0D0D0D"/>
          <w:kern w:val="0"/>
          <w:sz w:val="21"/>
          <w:szCs w:val="21"/>
          <w:lang w:val="en-US" w:eastAsia="zh-CN" w:bidi="ar"/>
        </w:rPr>
      </w:pPr>
    </w:p>
    <w:p>
      <w:pPr>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cs="宋体"/>
          <w:b w:val="0"/>
          <w:bCs w:val="0"/>
          <w:color w:val="0D0D0D"/>
          <w:kern w:val="0"/>
          <w:sz w:val="21"/>
          <w:szCs w:val="21"/>
          <w:lang w:val="en-US" w:eastAsia="zh-CN" w:bidi="ar"/>
        </w:rPr>
      </w:pPr>
      <w:r>
        <w:rPr>
          <w:rFonts w:hint="eastAsia" w:ascii="宋体" w:hAnsi="宋体" w:cs="宋体"/>
          <w:b w:val="0"/>
          <w:bCs w:val="0"/>
          <w:color w:val="0D0D0D"/>
          <w:kern w:val="0"/>
          <w:sz w:val="21"/>
          <w:szCs w:val="21"/>
          <w:lang w:val="en-US" w:eastAsia="zh-CN" w:bidi="ar"/>
        </w:rPr>
        <w:t>二、项目实施时间及质保期</w:t>
      </w:r>
    </w:p>
    <w:p>
      <w:pPr>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cs="宋体"/>
          <w:b w:val="0"/>
          <w:bCs w:val="0"/>
          <w:color w:val="0D0D0D"/>
          <w:kern w:val="0"/>
          <w:sz w:val="21"/>
          <w:szCs w:val="21"/>
          <w:lang w:val="en-US" w:eastAsia="zh-CN" w:bidi="ar"/>
        </w:rPr>
      </w:pPr>
      <w:r>
        <w:rPr>
          <w:rFonts w:hint="eastAsia" w:ascii="宋体" w:hAnsi="宋体" w:cs="宋体"/>
          <w:b w:val="0"/>
          <w:bCs w:val="0"/>
          <w:color w:val="0D0D0D"/>
          <w:kern w:val="0"/>
          <w:sz w:val="21"/>
          <w:szCs w:val="21"/>
          <w:lang w:val="en-US" w:eastAsia="zh-CN" w:bidi="ar"/>
        </w:rPr>
        <w:t>1、实施时间：合同签订后60个工作日内完成设备采购并安装调试运行完成。</w:t>
      </w:r>
    </w:p>
    <w:p>
      <w:pPr>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cs="宋体"/>
          <w:b w:val="0"/>
          <w:bCs w:val="0"/>
          <w:color w:val="0D0D0D"/>
          <w:kern w:val="0"/>
          <w:sz w:val="21"/>
          <w:szCs w:val="21"/>
          <w:lang w:val="en-US" w:eastAsia="zh-CN" w:bidi="ar"/>
        </w:rPr>
      </w:pPr>
      <w:r>
        <w:rPr>
          <w:rFonts w:hint="eastAsia" w:ascii="宋体" w:hAnsi="宋体" w:cs="宋体"/>
          <w:b w:val="0"/>
          <w:bCs w:val="0"/>
          <w:color w:val="0D0D0D"/>
          <w:kern w:val="0"/>
          <w:sz w:val="21"/>
          <w:szCs w:val="21"/>
          <w:lang w:val="en-US" w:eastAsia="zh-CN" w:bidi="ar"/>
        </w:rPr>
        <w:t>2、质保期限：1年。</w:t>
      </w:r>
    </w:p>
    <w:p>
      <w:pPr>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cs="宋体"/>
          <w:b w:val="0"/>
          <w:bCs w:val="0"/>
          <w:color w:val="0D0D0D"/>
          <w:kern w:val="0"/>
          <w:sz w:val="21"/>
          <w:szCs w:val="21"/>
          <w:lang w:val="en-US" w:eastAsia="zh-CN" w:bidi="ar"/>
        </w:rPr>
      </w:pPr>
      <w:r>
        <w:rPr>
          <w:rFonts w:hint="eastAsia" w:ascii="宋体" w:hAnsi="宋体" w:cs="宋体"/>
          <w:b w:val="0"/>
          <w:bCs w:val="0"/>
          <w:color w:val="0D0D0D"/>
          <w:kern w:val="0"/>
          <w:sz w:val="21"/>
          <w:szCs w:val="21"/>
          <w:lang w:val="en-US" w:eastAsia="zh-CN" w:bidi="ar"/>
        </w:rPr>
        <w:t>3、履约保证金：签订合同前，成交人应根据公开招标文件确定的履约保证金的金额，向采购人交纳5%履约保证金 ；履约保证金在合同履行后自动转为项目质保金，在通过验收后，质量保证金将在壹年质保期满后无息退还。</w:t>
      </w:r>
    </w:p>
    <w:p>
      <w:pPr>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cs="宋体"/>
          <w:b w:val="0"/>
          <w:bCs w:val="0"/>
          <w:color w:val="0D0D0D"/>
          <w:kern w:val="0"/>
          <w:sz w:val="21"/>
          <w:szCs w:val="21"/>
          <w:lang w:val="en-US" w:eastAsia="zh-CN" w:bidi="ar"/>
        </w:rPr>
      </w:pPr>
      <w:r>
        <w:rPr>
          <w:rFonts w:hint="eastAsia" w:ascii="宋体" w:hAnsi="宋体" w:cs="宋体"/>
          <w:b w:val="0"/>
          <w:bCs w:val="0"/>
          <w:color w:val="0D0D0D"/>
          <w:kern w:val="0"/>
          <w:sz w:val="21"/>
          <w:szCs w:val="21"/>
          <w:lang w:val="en-US" w:eastAsia="zh-CN" w:bidi="ar"/>
        </w:rPr>
        <w:t>（1）质保期内上门维修，必须出具维修服务单，服务单应包括：用户姓名、联系方式、报修时间、上门时间、完成维修时间、报修设备信息、维修情况等内容，并由用户签字。</w:t>
      </w:r>
    </w:p>
    <w:p>
      <w:pPr>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cs="宋体"/>
          <w:b w:val="0"/>
          <w:bCs w:val="0"/>
          <w:color w:val="0D0D0D"/>
          <w:kern w:val="0"/>
          <w:sz w:val="21"/>
          <w:szCs w:val="21"/>
          <w:lang w:val="en-US" w:eastAsia="zh-CN" w:bidi="ar"/>
        </w:rPr>
      </w:pPr>
      <w:r>
        <w:rPr>
          <w:rFonts w:hint="eastAsia" w:ascii="宋体" w:hAnsi="宋体" w:cs="宋体"/>
          <w:b w:val="0"/>
          <w:bCs w:val="0"/>
          <w:color w:val="0D0D0D"/>
          <w:kern w:val="0"/>
          <w:sz w:val="21"/>
          <w:szCs w:val="21"/>
          <w:lang w:val="en-US" w:eastAsia="zh-CN" w:bidi="ar"/>
        </w:rPr>
        <w:t>（2）提供24小时技术支持热线，30分钟内电话响应，2小时之内上门维修，24小时内解决问题；不能当场修复的，必须采取提供备品、备件或备机等措施，以保证采购单位的正常使用。</w:t>
      </w:r>
    </w:p>
    <w:p>
      <w:pPr>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cs="宋体"/>
          <w:b w:val="0"/>
          <w:bCs w:val="0"/>
          <w:color w:val="0D0D0D"/>
          <w:kern w:val="0"/>
          <w:sz w:val="21"/>
          <w:szCs w:val="21"/>
          <w:lang w:val="en-US" w:eastAsia="zh-CN" w:bidi="ar"/>
        </w:rPr>
      </w:pPr>
      <w:r>
        <w:rPr>
          <w:rFonts w:hint="eastAsia" w:ascii="宋体" w:hAnsi="宋体" w:cs="宋体"/>
          <w:b w:val="0"/>
          <w:bCs w:val="0"/>
          <w:color w:val="0D0D0D"/>
          <w:kern w:val="0"/>
          <w:sz w:val="21"/>
          <w:szCs w:val="21"/>
          <w:lang w:val="en-US" w:eastAsia="zh-CN" w:bidi="ar"/>
        </w:rPr>
        <w:t>三、调试和验收</w:t>
      </w:r>
    </w:p>
    <w:p>
      <w:pPr>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cs="宋体"/>
          <w:b w:val="0"/>
          <w:bCs w:val="0"/>
          <w:color w:val="0D0D0D"/>
          <w:kern w:val="0"/>
          <w:sz w:val="21"/>
          <w:szCs w:val="21"/>
          <w:lang w:val="en-US" w:eastAsia="zh-CN" w:bidi="ar"/>
        </w:rPr>
      </w:pPr>
      <w:r>
        <w:rPr>
          <w:rFonts w:hint="eastAsia" w:ascii="宋体" w:hAnsi="宋体" w:cs="宋体"/>
          <w:b w:val="0"/>
          <w:bCs w:val="0"/>
          <w:color w:val="0D0D0D"/>
          <w:kern w:val="0"/>
          <w:sz w:val="21"/>
          <w:szCs w:val="21"/>
          <w:lang w:val="en-US" w:eastAsia="zh-CN" w:bidi="ar"/>
        </w:rPr>
        <w:t>1、依据《临安区政府采购合同履约和验收管理暂行办法》、招标文件要求、响应文件承诺和国家有关质量标准进行验收。设备试机，设备正常运行。</w:t>
      </w:r>
    </w:p>
    <w:p>
      <w:pPr>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cs="宋体"/>
          <w:b w:val="0"/>
          <w:bCs w:val="0"/>
          <w:color w:val="0D0D0D"/>
          <w:kern w:val="0"/>
          <w:sz w:val="21"/>
          <w:szCs w:val="21"/>
          <w:lang w:val="en-US" w:eastAsia="zh-CN" w:bidi="ar"/>
        </w:rPr>
      </w:pPr>
      <w:r>
        <w:rPr>
          <w:rFonts w:hint="eastAsia" w:ascii="宋体" w:hAnsi="宋体" w:cs="宋体"/>
          <w:b w:val="0"/>
          <w:bCs w:val="0"/>
          <w:color w:val="0D0D0D"/>
          <w:kern w:val="0"/>
          <w:sz w:val="21"/>
          <w:szCs w:val="21"/>
          <w:lang w:val="en-US" w:eastAsia="zh-CN" w:bidi="ar"/>
        </w:rPr>
        <w:t>2、中标人应按照采购方要求组织验收，验收时中标人须在现场，验收合格后填写验收单。验收费用由中标人负责。</w:t>
      </w:r>
    </w:p>
    <w:p>
      <w:pPr>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cs="宋体"/>
          <w:b w:val="0"/>
          <w:bCs w:val="0"/>
          <w:color w:val="0D0D0D"/>
          <w:kern w:val="0"/>
          <w:sz w:val="21"/>
          <w:szCs w:val="21"/>
          <w:lang w:val="en-US" w:eastAsia="zh-CN" w:bidi="ar"/>
        </w:rPr>
      </w:pPr>
      <w:r>
        <w:rPr>
          <w:rFonts w:hint="eastAsia" w:ascii="宋体" w:hAnsi="宋体" w:cs="宋体"/>
          <w:b w:val="0"/>
          <w:bCs w:val="0"/>
          <w:color w:val="0D0D0D"/>
          <w:kern w:val="0"/>
          <w:sz w:val="21"/>
          <w:szCs w:val="21"/>
          <w:lang w:val="en-US" w:eastAsia="zh-CN" w:bidi="ar"/>
        </w:rPr>
        <w:t>四、付款方式</w:t>
      </w:r>
    </w:p>
    <w:p>
      <w:pPr>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cs="宋体"/>
          <w:b w:val="0"/>
          <w:bCs w:val="0"/>
          <w:color w:val="0D0D0D"/>
          <w:kern w:val="0"/>
          <w:sz w:val="21"/>
          <w:szCs w:val="21"/>
          <w:lang w:val="en-US" w:eastAsia="zh-CN" w:bidi="ar"/>
        </w:rPr>
      </w:pPr>
      <w:r>
        <w:rPr>
          <w:rFonts w:hint="eastAsia" w:ascii="宋体" w:hAnsi="宋体" w:cs="宋体"/>
          <w:b w:val="0"/>
          <w:bCs w:val="0"/>
          <w:color w:val="0D0D0D"/>
          <w:kern w:val="0"/>
          <w:sz w:val="21"/>
          <w:szCs w:val="21"/>
          <w:lang w:val="en-US" w:eastAsia="zh-CN" w:bidi="ar"/>
        </w:rPr>
        <w:t>签订合同时另行协商。</w:t>
      </w:r>
    </w:p>
    <w:p>
      <w:pPr>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cs="宋体"/>
          <w:b w:val="0"/>
          <w:bCs w:val="0"/>
          <w:color w:val="0D0D0D"/>
          <w:kern w:val="0"/>
          <w:sz w:val="21"/>
          <w:szCs w:val="21"/>
          <w:lang w:val="en-US" w:eastAsia="zh-CN" w:bidi="ar"/>
        </w:rPr>
      </w:pPr>
    </w:p>
    <w:p>
      <w:pPr>
        <w:pStyle w:val="5"/>
        <w:spacing w:line="360" w:lineRule="auto"/>
      </w:pPr>
      <w:r>
        <w:rPr>
          <w:rFonts w:hint="eastAsia" w:ascii="宋体" w:hAnsi="宋体"/>
          <w:color w:val="000000"/>
          <w:sz w:val="24"/>
        </w:rPr>
        <w:br w:type="page"/>
      </w:r>
    </w:p>
    <w:p>
      <w:pPr>
        <w:pStyle w:val="3"/>
        <w:jc w:val="center"/>
        <w:rPr>
          <w:sz w:val="36"/>
        </w:rPr>
      </w:pPr>
      <w:r>
        <w:rPr>
          <w:rFonts w:hint="eastAsia"/>
          <w:sz w:val="36"/>
        </w:rPr>
        <w:t>第五章 政府采购合同主要条款指引</w:t>
      </w:r>
    </w:p>
    <w:p>
      <w:pPr>
        <w:snapToGrid w:val="0"/>
        <w:spacing w:before="156" w:beforeLines="50" w:after="156" w:afterLines="50" w:line="500" w:lineRule="exact"/>
        <w:jc w:val="center"/>
        <w:rPr>
          <w:rFonts w:ascii="宋体" w:hAnsi="宋体"/>
          <w:b/>
          <w:sz w:val="24"/>
        </w:rPr>
      </w:pPr>
      <w:bookmarkStart w:id="6" w:name="_Toc21379_WPSOffice_Level2"/>
      <w:r>
        <w:rPr>
          <w:rFonts w:hint="eastAsia" w:ascii="宋体" w:hAnsi="宋体"/>
          <w:b/>
          <w:sz w:val="24"/>
        </w:rPr>
        <w:t>（本合同为合同样稿，最终稿由双方协商后确定）</w:t>
      </w:r>
      <w:bookmarkEnd w:id="6"/>
    </w:p>
    <w:p>
      <w:pPr>
        <w:snapToGrid w:val="0"/>
        <w:spacing w:before="156" w:beforeLines="50" w:after="156" w:afterLines="50" w:line="500" w:lineRule="exact"/>
        <w:jc w:val="center"/>
        <w:rPr>
          <w:rFonts w:ascii="宋体" w:hAnsi="宋体"/>
          <w:b/>
          <w:sz w:val="24"/>
        </w:rPr>
      </w:pPr>
      <w:bookmarkStart w:id="7" w:name="_Toc6220_WPSOffice_Level2"/>
      <w:r>
        <w:rPr>
          <w:rFonts w:hint="eastAsia" w:ascii="宋体" w:hAnsi="宋体"/>
          <w:b/>
          <w:sz w:val="24"/>
        </w:rPr>
        <w:t>合同编号：</w:t>
      </w:r>
      <w:bookmarkEnd w:id="7"/>
      <w:r>
        <w:rPr>
          <w:rFonts w:hint="eastAsia" w:ascii="宋体" w:hAnsi="宋体"/>
          <w:b/>
          <w:sz w:val="24"/>
        </w:rPr>
        <w:t xml:space="preserve"> </w:t>
      </w:r>
    </w:p>
    <w:p>
      <w:pPr>
        <w:spacing w:line="360" w:lineRule="auto"/>
        <w:rPr>
          <w:rFonts w:ascii="宋体" w:cs="宋体"/>
          <w:sz w:val="24"/>
        </w:rPr>
      </w:pPr>
    </w:p>
    <w:p>
      <w:pPr>
        <w:snapToGrid w:val="0"/>
        <w:spacing w:line="360" w:lineRule="auto"/>
        <w:ind w:firstLine="482" w:firstLineChars="200"/>
        <w:rPr>
          <w:rFonts w:ascii="宋体" w:hAnsi="宋体"/>
          <w:b/>
          <w:sz w:val="24"/>
        </w:rPr>
      </w:pPr>
      <w:r>
        <w:rPr>
          <w:rFonts w:hint="eastAsia" w:ascii="宋体" w:hAnsi="宋体"/>
          <w:b/>
          <w:sz w:val="24"/>
        </w:rPr>
        <w:t>第一条 定义</w:t>
      </w:r>
    </w:p>
    <w:p>
      <w:pPr>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cs="仿宋_GB2312"/>
          <w:kern w:val="0"/>
          <w:sz w:val="24"/>
          <w:lang w:val="zh-CN"/>
        </w:rPr>
        <w:t>合同”</w:t>
      </w:r>
      <w:r>
        <w:rPr>
          <w:rFonts w:hint="eastAsia" w:ascii="宋体" w:hAnsi="宋体"/>
          <w:sz w:val="24"/>
        </w:rPr>
        <w:t>即由采购人、</w:t>
      </w:r>
      <w:r>
        <w:rPr>
          <w:rFonts w:hint="eastAsia" w:ascii="宋体" w:hAnsi="宋体" w:cs="仿宋_GB2312"/>
          <w:kern w:val="0"/>
          <w:sz w:val="24"/>
          <w:lang w:val="zh-CN"/>
        </w:rPr>
        <w:t>中标人</w:t>
      </w:r>
      <w:r>
        <w:rPr>
          <w:rFonts w:hint="eastAsia" w:ascii="宋体" w:hAnsi="宋体"/>
          <w:sz w:val="24"/>
        </w:rPr>
        <w:t>共同签订的合同格式中的文件，包括所有的附件、附录和组成合同部分的所有其他文件。</w:t>
      </w:r>
    </w:p>
    <w:p>
      <w:pPr>
        <w:snapToGrid w:val="0"/>
        <w:spacing w:line="360" w:lineRule="auto"/>
        <w:ind w:firstLine="480" w:firstLineChars="200"/>
        <w:rPr>
          <w:rFonts w:ascii="宋体" w:hAnsi="宋体"/>
          <w:sz w:val="24"/>
        </w:rPr>
      </w:pPr>
      <w:r>
        <w:rPr>
          <w:rFonts w:hint="eastAsia" w:ascii="宋体" w:hAnsi="宋体"/>
          <w:sz w:val="24"/>
        </w:rPr>
        <w:t>合同将由采购人</w:t>
      </w:r>
      <w:r>
        <w:rPr>
          <w:rFonts w:hint="eastAsia" w:ascii="宋体" w:hAnsi="宋体"/>
          <w:sz w:val="24"/>
          <w:u w:val="single"/>
        </w:rPr>
        <w:t xml:space="preserve">       </w:t>
      </w:r>
      <w:r>
        <w:rPr>
          <w:rFonts w:hint="eastAsia" w:ascii="宋体" w:hAnsi="宋体"/>
          <w:sz w:val="24"/>
        </w:rPr>
        <w:t>（以下简称甲方）与经评审最终确定的中标人</w:t>
      </w:r>
      <w:r>
        <w:rPr>
          <w:rFonts w:hint="eastAsia" w:ascii="宋体" w:hAnsi="宋体"/>
          <w:sz w:val="24"/>
          <w:u w:val="single"/>
        </w:rPr>
        <w:t xml:space="preserve">            </w:t>
      </w:r>
      <w:r>
        <w:rPr>
          <w:rFonts w:hint="eastAsia" w:ascii="宋体" w:hAnsi="宋体"/>
          <w:sz w:val="24"/>
        </w:rPr>
        <w:t>（以下简称乙方）结合本项目具体情况协商后分别签订，</w:t>
      </w:r>
      <w:r>
        <w:rPr>
          <w:rFonts w:hint="eastAsia" w:ascii="宋体" w:hAnsi="宋体" w:cs="仿宋_GB2312"/>
          <w:sz w:val="24"/>
        </w:rPr>
        <w:t>采购代理机构作为合同鉴证方</w:t>
      </w:r>
      <w:r>
        <w:rPr>
          <w:rFonts w:hint="eastAsia" w:ascii="宋体" w:hAnsi="宋体" w:cs="仿宋_GB2312"/>
          <w:kern w:val="0"/>
          <w:sz w:val="24"/>
          <w:lang w:val="zh-CN"/>
        </w:rPr>
        <w:t>。以下为甲方提出涉及乙方的主要条款，乙方在投标文件中应对其进行确认或拒绝。如乙方在其投标文件中未做拒绝或提出修改要求的，甲方将视作认同</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2.“合同价格”系指根据合同规定，在乙方全面正确地履行合同义务时，甲方应支付给乙方的款项。</w:t>
      </w:r>
    </w:p>
    <w:p>
      <w:pPr>
        <w:snapToGrid w:val="0"/>
        <w:spacing w:line="360" w:lineRule="auto"/>
        <w:ind w:firstLine="480" w:firstLineChars="200"/>
        <w:rPr>
          <w:rFonts w:ascii="宋体" w:hAnsi="宋体"/>
          <w:sz w:val="24"/>
        </w:rPr>
      </w:pPr>
      <w:r>
        <w:rPr>
          <w:rFonts w:hint="eastAsia" w:ascii="宋体" w:hAnsi="宋体"/>
          <w:sz w:val="24"/>
        </w:rPr>
        <w:t>3.“服务” 系指乙方按投标文件规定，结合本项目的性质特点，为甲方提供优质的服务。</w:t>
      </w:r>
    </w:p>
    <w:p>
      <w:pPr>
        <w:snapToGrid w:val="0"/>
        <w:spacing w:line="360" w:lineRule="auto"/>
        <w:ind w:firstLine="480" w:firstLineChars="200"/>
        <w:rPr>
          <w:rFonts w:ascii="宋体" w:hAnsi="宋体"/>
          <w:sz w:val="24"/>
        </w:rPr>
      </w:pPr>
      <w:r>
        <w:rPr>
          <w:rFonts w:hint="eastAsia" w:ascii="宋体" w:hAnsi="宋体"/>
          <w:sz w:val="24"/>
        </w:rPr>
        <w:t>4.“验收”系指甲方依据国家有关规定接受合同所依据的程序和条件。</w:t>
      </w:r>
    </w:p>
    <w:p>
      <w:pPr>
        <w:snapToGrid w:val="0"/>
        <w:spacing w:line="360" w:lineRule="auto"/>
        <w:ind w:firstLine="482" w:firstLineChars="200"/>
        <w:rPr>
          <w:rFonts w:ascii="宋体" w:hAnsi="宋体"/>
          <w:b/>
          <w:sz w:val="24"/>
        </w:rPr>
      </w:pPr>
      <w:r>
        <w:rPr>
          <w:rFonts w:hint="eastAsia" w:ascii="宋体" w:hAnsi="宋体"/>
          <w:b/>
          <w:sz w:val="24"/>
        </w:rPr>
        <w:t>第二条 适用范围</w:t>
      </w:r>
    </w:p>
    <w:p>
      <w:pPr>
        <w:snapToGrid w:val="0"/>
        <w:spacing w:line="360" w:lineRule="auto"/>
        <w:ind w:firstLine="480" w:firstLineChars="200"/>
        <w:rPr>
          <w:rFonts w:ascii="宋体" w:hAnsi="宋体"/>
          <w:sz w:val="24"/>
        </w:rPr>
      </w:pPr>
      <w:r>
        <w:rPr>
          <w:rFonts w:hint="eastAsia" w:ascii="宋体" w:hAnsi="宋体"/>
          <w:sz w:val="24"/>
        </w:rPr>
        <w:t>本合同条款适用与本次采购活动。项目实施范围详见附件——投标文件和投标文件及补充文件、承诺书等。</w:t>
      </w:r>
    </w:p>
    <w:p>
      <w:pPr>
        <w:snapToGrid w:val="0"/>
        <w:spacing w:line="360" w:lineRule="auto"/>
        <w:ind w:firstLine="482" w:firstLineChars="200"/>
        <w:rPr>
          <w:rFonts w:ascii="宋体" w:hAnsi="宋体"/>
          <w:b/>
          <w:sz w:val="24"/>
        </w:rPr>
      </w:pPr>
      <w:r>
        <w:rPr>
          <w:rFonts w:hint="eastAsia" w:ascii="宋体" w:hAnsi="宋体"/>
          <w:b/>
          <w:sz w:val="24"/>
        </w:rPr>
        <w:t>第三条</w:t>
      </w:r>
      <w:r>
        <w:rPr>
          <w:rFonts w:hint="eastAsia" w:ascii="宋体" w:hAnsi="宋体"/>
          <w:sz w:val="24"/>
        </w:rPr>
        <w:t xml:space="preserve"> </w:t>
      </w:r>
      <w:r>
        <w:rPr>
          <w:rFonts w:hint="eastAsia" w:ascii="宋体" w:hAnsi="宋体"/>
          <w:b/>
          <w:sz w:val="24"/>
        </w:rPr>
        <w:t>委托事项</w:t>
      </w:r>
    </w:p>
    <w:p>
      <w:pPr>
        <w:snapToGrid w:val="0"/>
        <w:spacing w:line="360" w:lineRule="auto"/>
        <w:ind w:firstLine="480" w:firstLineChars="200"/>
        <w:rPr>
          <w:rFonts w:ascii="宋体" w:hAnsi="宋体"/>
          <w:sz w:val="24"/>
        </w:rPr>
      </w:pPr>
      <w:r>
        <w:rPr>
          <w:rFonts w:hint="eastAsia" w:ascii="宋体" w:hAnsi="宋体"/>
          <w:sz w:val="24"/>
        </w:rPr>
        <w:t>（具体内容详见招标文件）。</w:t>
      </w:r>
    </w:p>
    <w:p>
      <w:pPr>
        <w:snapToGrid w:val="0"/>
        <w:spacing w:line="360" w:lineRule="auto"/>
        <w:ind w:firstLine="482" w:firstLineChars="200"/>
        <w:rPr>
          <w:rFonts w:ascii="宋体" w:hAnsi="宋体"/>
          <w:b/>
          <w:sz w:val="24"/>
        </w:rPr>
      </w:pPr>
      <w:r>
        <w:rPr>
          <w:rFonts w:hint="eastAsia" w:ascii="宋体" w:hAnsi="宋体"/>
          <w:b/>
          <w:sz w:val="24"/>
        </w:rPr>
        <w:t>第四条 服务时间：</w:t>
      </w:r>
    </w:p>
    <w:p>
      <w:pPr>
        <w:snapToGrid w:val="0"/>
        <w:spacing w:line="360" w:lineRule="auto"/>
        <w:ind w:firstLine="482" w:firstLineChars="200"/>
        <w:rPr>
          <w:rFonts w:ascii="宋体" w:hAnsi="宋体"/>
          <w:b/>
          <w:sz w:val="24"/>
        </w:rPr>
      </w:pPr>
      <w:r>
        <w:rPr>
          <w:rFonts w:hint="eastAsia" w:ascii="宋体" w:hAnsi="宋体"/>
          <w:b/>
          <w:sz w:val="24"/>
        </w:rPr>
        <w:t>第五条 费用结算方式</w:t>
      </w:r>
    </w:p>
    <w:p>
      <w:pPr>
        <w:snapToGrid w:val="0"/>
        <w:spacing w:line="360" w:lineRule="auto"/>
        <w:ind w:firstLine="480" w:firstLineChars="200"/>
        <w:rPr>
          <w:rFonts w:ascii="宋体" w:hAnsi="宋体"/>
          <w:sz w:val="24"/>
        </w:rPr>
      </w:pPr>
      <w:r>
        <w:rPr>
          <w:rFonts w:hint="eastAsia" w:ascii="宋体" w:hAnsi="宋体"/>
          <w:sz w:val="24"/>
        </w:rPr>
        <w:t>在项目整体验收通过后，乙方以本次中标价向甲方一次性收取费用</w:t>
      </w:r>
      <w:r>
        <w:rPr>
          <w:rFonts w:hint="eastAsia" w:ascii="宋体" w:hAnsi="宋体"/>
          <w:sz w:val="24"/>
          <w:u w:val="single"/>
        </w:rPr>
        <w:t xml:space="preserve">     </w:t>
      </w:r>
      <w:r>
        <w:rPr>
          <w:rFonts w:hint="eastAsia" w:ascii="宋体" w:hAnsi="宋体"/>
          <w:sz w:val="24"/>
        </w:rPr>
        <w:t>元。</w:t>
      </w:r>
    </w:p>
    <w:p>
      <w:pPr>
        <w:snapToGrid w:val="0"/>
        <w:spacing w:line="360" w:lineRule="auto"/>
        <w:ind w:firstLine="482" w:firstLineChars="200"/>
        <w:rPr>
          <w:rFonts w:ascii="宋体" w:hAnsi="宋体"/>
          <w:b/>
          <w:sz w:val="24"/>
        </w:rPr>
      </w:pPr>
      <w:r>
        <w:rPr>
          <w:rFonts w:hint="eastAsia" w:ascii="宋体" w:hAnsi="宋体"/>
          <w:b/>
          <w:sz w:val="24"/>
        </w:rPr>
        <w:t>第六条 履约保证金：详见采购需求</w:t>
      </w:r>
    </w:p>
    <w:p>
      <w:pPr>
        <w:snapToGrid w:val="0"/>
        <w:spacing w:line="360" w:lineRule="auto"/>
        <w:ind w:firstLine="482" w:firstLineChars="200"/>
        <w:rPr>
          <w:rFonts w:ascii="宋体" w:hAnsi="宋体" w:cs="Arial"/>
          <w:snapToGrid w:val="0"/>
          <w:kern w:val="0"/>
          <w:sz w:val="24"/>
        </w:rPr>
      </w:pPr>
      <w:r>
        <w:rPr>
          <w:rFonts w:hint="eastAsia" w:ascii="宋体" w:hAnsi="宋体"/>
          <w:b/>
          <w:sz w:val="24"/>
        </w:rPr>
        <w:t>第七条</w:t>
      </w:r>
      <w:r>
        <w:rPr>
          <w:rFonts w:hint="eastAsia" w:ascii="宋体" w:hAnsi="宋体"/>
          <w:sz w:val="24"/>
        </w:rPr>
        <w:t xml:space="preserve"> </w:t>
      </w:r>
      <w:r>
        <w:rPr>
          <w:rFonts w:hint="eastAsia" w:ascii="宋体" w:hAnsi="宋体" w:cs="Arial"/>
          <w:b/>
          <w:snapToGrid w:val="0"/>
          <w:kern w:val="0"/>
          <w:sz w:val="24"/>
        </w:rPr>
        <w:t>乙方对甲方作出如下承诺</w:t>
      </w:r>
      <w:r>
        <w:rPr>
          <w:rFonts w:hint="eastAsia" w:ascii="宋体" w:hAnsi="宋体" w:cs="Arial"/>
          <w:snapToGrid w:val="0"/>
          <w:kern w:val="0"/>
          <w:sz w:val="24"/>
        </w:rPr>
        <w:t>：</w:t>
      </w:r>
    </w:p>
    <w:p>
      <w:pPr>
        <w:snapToGrid w:val="0"/>
        <w:spacing w:line="360" w:lineRule="auto"/>
        <w:ind w:firstLine="482" w:firstLineChars="200"/>
        <w:rPr>
          <w:rFonts w:ascii="宋体" w:hAnsi="宋体" w:cs="Arial"/>
          <w:b/>
          <w:snapToGrid w:val="0"/>
          <w:kern w:val="0"/>
          <w:sz w:val="24"/>
        </w:rPr>
      </w:pPr>
      <w:r>
        <w:rPr>
          <w:rFonts w:hint="eastAsia" w:ascii="宋体" w:hAnsi="宋体"/>
          <w:b/>
          <w:sz w:val="24"/>
        </w:rPr>
        <w:t>第八条</w:t>
      </w:r>
      <w:r>
        <w:rPr>
          <w:rFonts w:hint="eastAsia" w:ascii="宋体" w:hAnsi="宋体"/>
          <w:sz w:val="24"/>
        </w:rPr>
        <w:t xml:space="preserve"> </w:t>
      </w:r>
      <w:r>
        <w:rPr>
          <w:rFonts w:hint="eastAsia" w:ascii="宋体" w:hAnsi="宋体" w:cs="Arial"/>
          <w:b/>
          <w:snapToGrid w:val="0"/>
          <w:kern w:val="0"/>
          <w:sz w:val="24"/>
        </w:rPr>
        <w:t>甲方对乙方作出如下承诺：</w:t>
      </w:r>
    </w:p>
    <w:p>
      <w:pPr>
        <w:snapToGrid w:val="0"/>
        <w:spacing w:line="360" w:lineRule="auto"/>
        <w:ind w:firstLine="482" w:firstLineChars="200"/>
        <w:rPr>
          <w:rFonts w:ascii="宋体" w:hAnsi="宋体"/>
          <w:sz w:val="24"/>
        </w:rPr>
      </w:pPr>
      <w:r>
        <w:rPr>
          <w:rFonts w:hint="eastAsia" w:ascii="宋体" w:hAnsi="宋体"/>
          <w:b/>
          <w:sz w:val="24"/>
        </w:rPr>
        <w:t xml:space="preserve">第九条 </w:t>
      </w:r>
      <w:r>
        <w:rPr>
          <w:rFonts w:hint="eastAsia" w:ascii="宋体" w:hAnsi="宋体" w:cs="Arial"/>
          <w:b/>
          <w:snapToGrid w:val="0"/>
          <w:kern w:val="0"/>
          <w:sz w:val="24"/>
        </w:rPr>
        <w:t>合同生效</w:t>
      </w:r>
      <w:r>
        <w:rPr>
          <w:rFonts w:hint="eastAsia" w:ascii="宋体" w:hAnsi="宋体"/>
          <w:sz w:val="24"/>
        </w:rPr>
        <w:t>：</w:t>
      </w:r>
    </w:p>
    <w:p>
      <w:pPr>
        <w:snapToGrid w:val="0"/>
        <w:spacing w:line="360" w:lineRule="auto"/>
        <w:ind w:firstLine="480" w:firstLineChars="200"/>
        <w:rPr>
          <w:rFonts w:ascii="宋体" w:hAnsi="宋体" w:cs="Arial"/>
          <w:snapToGrid w:val="0"/>
          <w:kern w:val="0"/>
          <w:sz w:val="24"/>
        </w:rPr>
      </w:pPr>
      <w:r>
        <w:rPr>
          <w:rFonts w:hint="eastAsia" w:ascii="宋体" w:hAnsi="宋体"/>
          <w:sz w:val="24"/>
        </w:rPr>
        <w:t>本合同经甲乙双方法定代表人或其授权代表签字盖章，</w:t>
      </w:r>
      <w:r>
        <w:rPr>
          <w:rFonts w:hint="eastAsia" w:ascii="宋体" w:hAnsi="宋体" w:cs="仿宋_GB2312"/>
          <w:sz w:val="24"/>
        </w:rPr>
        <w:t>经采购代理机构鉴证</w:t>
      </w:r>
      <w:r>
        <w:rPr>
          <w:rFonts w:hint="eastAsia" w:ascii="宋体" w:hAnsi="宋体"/>
          <w:sz w:val="24"/>
          <w:lang w:val="zh-CN"/>
        </w:rPr>
        <w:t>后生效</w:t>
      </w:r>
      <w:r>
        <w:rPr>
          <w:rFonts w:hint="eastAsia" w:ascii="宋体" w:hAnsi="宋体" w:cs="Arial"/>
          <w:snapToGrid w:val="0"/>
          <w:kern w:val="0"/>
          <w:sz w:val="24"/>
        </w:rPr>
        <w:t>。</w:t>
      </w:r>
    </w:p>
    <w:p>
      <w:pPr>
        <w:snapToGrid w:val="0"/>
        <w:spacing w:line="360" w:lineRule="auto"/>
        <w:ind w:firstLine="482" w:firstLineChars="200"/>
        <w:rPr>
          <w:rFonts w:ascii="宋体" w:hAnsi="宋体" w:cs="Arial"/>
          <w:b/>
          <w:snapToGrid w:val="0"/>
          <w:kern w:val="0"/>
          <w:sz w:val="24"/>
        </w:rPr>
      </w:pPr>
      <w:r>
        <w:rPr>
          <w:rFonts w:hint="eastAsia" w:ascii="宋体" w:hAnsi="宋体"/>
          <w:b/>
          <w:sz w:val="24"/>
        </w:rPr>
        <w:t xml:space="preserve">第十条 </w:t>
      </w:r>
      <w:r>
        <w:rPr>
          <w:rFonts w:hint="eastAsia" w:ascii="宋体" w:hAnsi="宋体" w:cs="Arial"/>
          <w:b/>
          <w:snapToGrid w:val="0"/>
          <w:kern w:val="0"/>
          <w:sz w:val="24"/>
        </w:rPr>
        <w:t>双方权利义务</w:t>
      </w:r>
    </w:p>
    <w:p>
      <w:pPr>
        <w:snapToGrid w:val="0"/>
        <w:spacing w:line="360" w:lineRule="auto"/>
        <w:ind w:firstLine="482" w:firstLineChars="200"/>
        <w:rPr>
          <w:rFonts w:ascii="宋体" w:hAnsi="宋体" w:cs="Arial"/>
          <w:b/>
          <w:snapToGrid w:val="0"/>
          <w:kern w:val="0"/>
          <w:sz w:val="24"/>
        </w:rPr>
      </w:pPr>
      <w:r>
        <w:rPr>
          <w:rFonts w:hint="eastAsia" w:ascii="宋体" w:hAnsi="宋体" w:cs="Arial"/>
          <w:b/>
          <w:snapToGrid w:val="0"/>
          <w:kern w:val="0"/>
          <w:sz w:val="24"/>
        </w:rPr>
        <w:t>1. 甲方权利义务：</w:t>
      </w:r>
    </w:p>
    <w:p>
      <w:pPr>
        <w:snapToGrid w:val="0"/>
        <w:spacing w:line="360" w:lineRule="auto"/>
        <w:ind w:firstLine="482" w:firstLineChars="200"/>
        <w:rPr>
          <w:rFonts w:ascii="宋体" w:hAnsi="宋体" w:cs="Arial"/>
          <w:b/>
          <w:snapToGrid w:val="0"/>
          <w:kern w:val="0"/>
          <w:sz w:val="24"/>
        </w:rPr>
      </w:pPr>
      <w:r>
        <w:rPr>
          <w:rFonts w:hint="eastAsia" w:ascii="宋体" w:hAnsi="宋体" w:cs="Arial"/>
          <w:b/>
          <w:snapToGrid w:val="0"/>
          <w:kern w:val="0"/>
          <w:sz w:val="24"/>
        </w:rPr>
        <w:t>2. 乙方权利义务：</w:t>
      </w:r>
    </w:p>
    <w:p>
      <w:pPr>
        <w:snapToGrid w:val="0"/>
        <w:spacing w:line="360" w:lineRule="auto"/>
        <w:ind w:firstLine="482" w:firstLineChars="200"/>
      </w:pPr>
      <w:r>
        <w:rPr>
          <w:rFonts w:hint="eastAsia" w:ascii="宋体" w:hAnsi="宋体"/>
          <w:b/>
          <w:sz w:val="24"/>
        </w:rPr>
        <w:t xml:space="preserve">第十一条 </w:t>
      </w:r>
      <w:r>
        <w:rPr>
          <w:rFonts w:hint="eastAsia" w:ascii="宋体" w:hAnsi="宋体" w:cs="Arial"/>
          <w:b/>
          <w:snapToGrid w:val="0"/>
          <w:kern w:val="0"/>
          <w:sz w:val="24"/>
        </w:rPr>
        <w:t>乙方的人员配置：</w:t>
      </w:r>
      <w:r>
        <w:rPr>
          <w:rFonts w:hint="eastAsia"/>
        </w:rPr>
        <w:t xml:space="preserve">   </w:t>
      </w:r>
    </w:p>
    <w:p>
      <w:pPr>
        <w:autoSpaceDE w:val="0"/>
        <w:autoSpaceDN w:val="0"/>
        <w:snapToGrid w:val="0"/>
        <w:spacing w:line="360" w:lineRule="auto"/>
        <w:ind w:firstLine="482" w:firstLineChars="200"/>
        <w:jc w:val="left"/>
        <w:rPr>
          <w:rFonts w:ascii="宋体" w:hAnsi="宋体"/>
          <w:b/>
          <w:kern w:val="0"/>
          <w:sz w:val="24"/>
          <w:lang w:val="zh-CN"/>
        </w:rPr>
      </w:pPr>
      <w:r>
        <w:rPr>
          <w:rFonts w:hint="eastAsia" w:ascii="宋体" w:hAnsi="宋体"/>
          <w:b/>
          <w:sz w:val="24"/>
        </w:rPr>
        <w:t xml:space="preserve">第十二条 </w:t>
      </w:r>
      <w:r>
        <w:rPr>
          <w:rFonts w:hint="eastAsia" w:ascii="宋体" w:hAnsi="宋体"/>
          <w:b/>
          <w:kern w:val="0"/>
          <w:sz w:val="24"/>
          <w:lang w:val="zh-CN"/>
        </w:rPr>
        <w:t>争议处理</w:t>
      </w:r>
    </w:p>
    <w:p>
      <w:pPr>
        <w:autoSpaceDE w:val="0"/>
        <w:autoSpaceDN w:val="0"/>
        <w:snapToGrid w:val="0"/>
        <w:spacing w:line="360" w:lineRule="auto"/>
        <w:ind w:firstLine="480" w:firstLineChars="200"/>
        <w:jc w:val="left"/>
        <w:rPr>
          <w:rFonts w:ascii="宋体" w:hAnsi="宋体"/>
          <w:kern w:val="0"/>
          <w:sz w:val="24"/>
          <w:lang w:val="zh-CN"/>
        </w:rPr>
      </w:pPr>
      <w:r>
        <w:rPr>
          <w:rFonts w:hint="eastAsia" w:ascii="宋体" w:hAnsi="宋体"/>
          <w:sz w:val="24"/>
        </w:rPr>
        <w:t>1．</w:t>
      </w:r>
      <w:r>
        <w:rPr>
          <w:rFonts w:hint="eastAsia" w:ascii="宋体" w:hAnsi="宋体"/>
          <w:kern w:val="0"/>
          <w:sz w:val="24"/>
          <w:lang w:val="zh-CN"/>
        </w:rPr>
        <w:t>合同在履行过程中发生争议时，甲方与乙方及时协商解决。协商不成时，提请临安区仲裁委员会根据仲裁规则仲裁。</w:t>
      </w:r>
    </w:p>
    <w:p>
      <w:pPr>
        <w:snapToGrid w:val="0"/>
        <w:spacing w:line="360" w:lineRule="auto"/>
        <w:ind w:firstLine="480" w:firstLineChars="200"/>
        <w:rPr>
          <w:rFonts w:ascii="宋体" w:hAnsi="宋体"/>
          <w:b/>
          <w:kern w:val="0"/>
          <w:sz w:val="24"/>
          <w:lang w:val="zh-CN"/>
        </w:rPr>
      </w:pPr>
      <w:r>
        <w:rPr>
          <w:rFonts w:hint="eastAsia" w:ascii="宋体" w:hAnsi="宋体"/>
          <w:sz w:val="24"/>
        </w:rPr>
        <w:t>2．</w:t>
      </w:r>
      <w:r>
        <w:rPr>
          <w:rFonts w:hint="eastAsia" w:ascii="宋体" w:hAnsi="宋体"/>
          <w:kern w:val="0"/>
          <w:sz w:val="24"/>
          <w:lang w:val="zh-CN"/>
        </w:rPr>
        <w:t>对于因违反或终止合同而引起的损失、损害的赔偿，由甲方与乙方友好协商解决，经协商仍未能达成一致的，提交临安区仲裁委员会仲裁。</w:t>
      </w:r>
    </w:p>
    <w:p>
      <w:pPr>
        <w:autoSpaceDE w:val="0"/>
        <w:autoSpaceDN w:val="0"/>
        <w:snapToGrid w:val="0"/>
        <w:spacing w:line="360" w:lineRule="auto"/>
        <w:ind w:firstLine="482" w:firstLineChars="200"/>
        <w:jc w:val="left"/>
        <w:rPr>
          <w:rFonts w:ascii="宋体" w:hAnsi="宋体"/>
          <w:b/>
          <w:kern w:val="0"/>
          <w:sz w:val="24"/>
          <w:lang w:val="zh-CN"/>
        </w:rPr>
      </w:pPr>
      <w:r>
        <w:rPr>
          <w:rFonts w:hint="eastAsia" w:ascii="宋体" w:hAnsi="宋体"/>
          <w:b/>
          <w:sz w:val="24"/>
        </w:rPr>
        <w:t xml:space="preserve">第十三条 </w:t>
      </w:r>
      <w:r>
        <w:rPr>
          <w:rFonts w:hint="eastAsia" w:ascii="宋体" w:hAnsi="宋体"/>
          <w:b/>
          <w:kern w:val="0"/>
          <w:sz w:val="24"/>
          <w:lang w:val="zh-CN"/>
        </w:rPr>
        <w:t>其他</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sz w:val="24"/>
        </w:rPr>
        <w:t>1．</w:t>
      </w:r>
      <w:r>
        <w:rPr>
          <w:rFonts w:hint="eastAsia" w:ascii="宋体" w:hAnsi="宋体"/>
          <w:kern w:val="0"/>
          <w:sz w:val="24"/>
          <w:lang w:val="zh-CN"/>
        </w:rPr>
        <w:t>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sz w:val="24"/>
        </w:rPr>
        <w:t>2．</w:t>
      </w:r>
      <w:r>
        <w:rPr>
          <w:rFonts w:hint="eastAsia" w:ascii="宋体" w:hAnsi="宋体"/>
          <w:kern w:val="0"/>
          <w:sz w:val="24"/>
          <w:lang w:val="zh-CN"/>
        </w:rPr>
        <w:t>乙方不得参与可能与合同规定的与甲方的利益相冲突的任何活动。</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sz w:val="24"/>
        </w:rPr>
        <w:t>3．</w:t>
      </w:r>
      <w:r>
        <w:rPr>
          <w:rFonts w:hint="eastAsia" w:ascii="宋体" w:hAnsi="宋体"/>
          <w:kern w:val="0"/>
          <w:sz w:val="24"/>
          <w:lang w:val="zh-CN"/>
        </w:rPr>
        <w:t>乙方人员在甲方场地工作时，应遵守甲方相关规章、制度。</w:t>
      </w:r>
    </w:p>
    <w:p>
      <w:pPr>
        <w:autoSpaceDE w:val="0"/>
        <w:autoSpaceDN w:val="0"/>
        <w:spacing w:line="360" w:lineRule="auto"/>
        <w:ind w:firstLine="480" w:firstLineChars="200"/>
        <w:jc w:val="left"/>
        <w:rPr>
          <w:rFonts w:ascii="宋体" w:hAnsi="宋体"/>
          <w:sz w:val="24"/>
        </w:rPr>
      </w:pPr>
      <w:r>
        <w:rPr>
          <w:rFonts w:hint="eastAsia" w:ascii="宋体" w:hAnsi="宋体"/>
          <w:sz w:val="24"/>
        </w:rPr>
        <w:t>4．本合同任何一方给另一方的通知，都应以书面或电传/传真/电报的形式发送，而另一方应以书面形式确认并发送到对方明确的地址。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宋体" w:hAnsi="宋体"/>
          <w:sz w:val="24"/>
        </w:rPr>
      </w:pPr>
      <w:r>
        <w:rPr>
          <w:rFonts w:hint="eastAsia" w:ascii="宋体" w:hAnsi="宋体"/>
          <w:sz w:val="24"/>
        </w:rPr>
        <w:t>5．合同履行期内甲乙双方均不得随意变更或解除合同。合同若有未尽事宜，需经双方共同协商，并由采购代理机构鉴证，订立补充协议，补充协议与本合同有同等法律效力。</w:t>
      </w:r>
    </w:p>
    <w:p>
      <w:pPr>
        <w:autoSpaceDE w:val="0"/>
        <w:autoSpaceDN w:val="0"/>
        <w:spacing w:line="360" w:lineRule="auto"/>
        <w:ind w:firstLine="480" w:firstLineChars="200"/>
        <w:jc w:val="left"/>
        <w:rPr>
          <w:rFonts w:ascii="宋体" w:hAnsi="宋体"/>
          <w:sz w:val="24"/>
        </w:rPr>
      </w:pPr>
      <w:r>
        <w:rPr>
          <w:rFonts w:hint="eastAsia" w:ascii="宋体" w:hAnsi="宋体"/>
          <w:sz w:val="24"/>
        </w:rPr>
        <w:t>6．投标文件（编号：  ）、投标文件及评标过程中形成的文字资料、询标纪要均作为本合同的组成部分，具有同等效力。</w:t>
      </w:r>
    </w:p>
    <w:p>
      <w:pPr>
        <w:autoSpaceDE w:val="0"/>
        <w:autoSpaceDN w:val="0"/>
        <w:spacing w:line="360" w:lineRule="auto"/>
        <w:ind w:firstLine="480" w:firstLineChars="200"/>
        <w:jc w:val="left"/>
        <w:rPr>
          <w:rFonts w:ascii="宋体" w:hAnsi="宋体"/>
          <w:sz w:val="24"/>
        </w:rPr>
      </w:pPr>
      <w:r>
        <w:rPr>
          <w:rFonts w:hint="eastAsia" w:ascii="宋体" w:hAnsi="宋体"/>
          <w:sz w:val="24"/>
        </w:rPr>
        <w:t>7．本合同一式</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rPr>
        <w:t>份、采购代理机构执一份。</w:t>
      </w:r>
    </w:p>
    <w:p>
      <w:pPr>
        <w:snapToGrid w:val="0"/>
        <w:spacing w:line="360" w:lineRule="auto"/>
        <w:ind w:firstLine="480" w:firstLineChars="200"/>
        <w:rPr>
          <w:rFonts w:ascii="宋体" w:hAnsi="宋体"/>
          <w:sz w:val="24"/>
        </w:rPr>
      </w:pPr>
      <w:r>
        <w:rPr>
          <w:rFonts w:hint="eastAsia" w:ascii="宋体" w:hAnsi="宋体"/>
          <w:sz w:val="24"/>
        </w:rPr>
        <w:t>8．适用法律：本合同应按照中华人民共和国的法律进行解释。</w:t>
      </w:r>
    </w:p>
    <w:p>
      <w:pPr>
        <w:pStyle w:val="30"/>
        <w:rPr>
          <w:rFonts w:ascii="宋体" w:hAnsi="宋体"/>
        </w:rPr>
      </w:pPr>
    </w:p>
    <w:p>
      <w:pPr>
        <w:pStyle w:val="30"/>
        <w:rPr>
          <w:rFonts w:ascii="宋体" w:hAnsi="宋体"/>
        </w:rPr>
      </w:pPr>
    </w:p>
    <w:p>
      <w:pPr>
        <w:snapToGrid w:val="0"/>
        <w:spacing w:line="360" w:lineRule="auto"/>
        <w:ind w:firstLine="480" w:firstLineChars="200"/>
        <w:rPr>
          <w:rFonts w:ascii="宋体" w:hAnsi="宋体"/>
          <w:sz w:val="24"/>
        </w:rPr>
      </w:pPr>
      <w:r>
        <w:rPr>
          <w:rFonts w:hint="eastAsia" w:ascii="宋体" w:hAnsi="宋体"/>
          <w:sz w:val="24"/>
        </w:rPr>
        <w:t xml:space="preserve">甲方（盖章）：                        乙方（盖章）：        </w:t>
      </w:r>
    </w:p>
    <w:p>
      <w:pPr>
        <w:snapToGrid w:val="0"/>
        <w:spacing w:line="360" w:lineRule="auto"/>
        <w:ind w:firstLine="480" w:firstLineChars="200"/>
        <w:rPr>
          <w:rFonts w:ascii="宋体" w:hAnsi="宋体"/>
          <w:sz w:val="24"/>
        </w:rPr>
      </w:pPr>
      <w:r>
        <w:rPr>
          <w:rFonts w:hint="eastAsia" w:ascii="宋体" w:hAnsi="宋体"/>
          <w:sz w:val="24"/>
        </w:rPr>
        <w:t xml:space="preserve">法定代表人或受委托人：                法定代表人或受委托人：                   </w:t>
      </w:r>
    </w:p>
    <w:p>
      <w:pPr>
        <w:snapToGrid w:val="0"/>
        <w:spacing w:line="360" w:lineRule="auto"/>
        <w:ind w:firstLine="480" w:firstLineChars="200"/>
        <w:rPr>
          <w:rFonts w:ascii="宋体" w:hAnsi="宋体"/>
          <w:sz w:val="24"/>
        </w:rPr>
      </w:pPr>
      <w:r>
        <w:rPr>
          <w:rFonts w:hint="eastAsia" w:ascii="宋体" w:hAnsi="宋体"/>
          <w:sz w:val="24"/>
        </w:rPr>
        <w:t>联系人：                              联系人：</w:t>
      </w:r>
    </w:p>
    <w:p>
      <w:pPr>
        <w:snapToGrid w:val="0"/>
        <w:spacing w:line="360" w:lineRule="auto"/>
        <w:ind w:firstLine="480" w:firstLineChars="200"/>
        <w:rPr>
          <w:rFonts w:ascii="宋体" w:hAnsi="宋体"/>
          <w:sz w:val="24"/>
        </w:rPr>
      </w:pPr>
      <w:r>
        <w:rPr>
          <w:rFonts w:hint="eastAsia" w:ascii="宋体" w:hAnsi="宋体"/>
          <w:sz w:val="24"/>
        </w:rPr>
        <w:t xml:space="preserve">地址：                                地址： </w:t>
      </w:r>
    </w:p>
    <w:p>
      <w:pPr>
        <w:snapToGrid w:val="0"/>
        <w:spacing w:line="360" w:lineRule="auto"/>
        <w:ind w:firstLine="480" w:firstLineChars="200"/>
        <w:rPr>
          <w:rFonts w:ascii="宋体" w:hAnsi="宋体"/>
          <w:sz w:val="24"/>
        </w:rPr>
      </w:pPr>
      <w:r>
        <w:rPr>
          <w:rFonts w:hint="eastAsia" w:ascii="宋体" w:hAnsi="宋体"/>
          <w:sz w:val="24"/>
        </w:rPr>
        <w:t>电话和传真：                          电话传真：</w:t>
      </w:r>
    </w:p>
    <w:p>
      <w:pPr>
        <w:snapToGrid w:val="0"/>
        <w:spacing w:line="360" w:lineRule="auto"/>
        <w:ind w:firstLine="480" w:firstLineChars="200"/>
        <w:rPr>
          <w:rFonts w:ascii="宋体" w:hAnsi="宋体"/>
          <w:sz w:val="24"/>
        </w:rPr>
      </w:pPr>
      <w:r>
        <w:rPr>
          <w:rFonts w:hint="eastAsia" w:ascii="宋体" w:hAnsi="宋体"/>
          <w:sz w:val="24"/>
        </w:rPr>
        <w:t xml:space="preserve">开户银行：                            开户银行： </w:t>
      </w:r>
    </w:p>
    <w:p>
      <w:pPr>
        <w:snapToGrid w:val="0"/>
        <w:spacing w:line="360" w:lineRule="auto"/>
        <w:ind w:firstLine="480" w:firstLineChars="200"/>
        <w:rPr>
          <w:rFonts w:ascii="宋体" w:hAnsi="宋体"/>
          <w:sz w:val="24"/>
        </w:rPr>
      </w:pPr>
      <w:r>
        <w:rPr>
          <w:rFonts w:hint="eastAsia" w:ascii="宋体" w:hAnsi="宋体"/>
          <w:sz w:val="24"/>
        </w:rPr>
        <w:t xml:space="preserve">帐号：                                帐号：                                           </w:t>
      </w:r>
    </w:p>
    <w:p>
      <w:pPr>
        <w:snapToGrid w:val="0"/>
        <w:spacing w:line="360" w:lineRule="auto"/>
        <w:ind w:firstLine="480" w:firstLineChars="200"/>
        <w:rPr>
          <w:rFonts w:ascii="宋体" w:hAnsi="宋体"/>
          <w:sz w:val="24"/>
        </w:rPr>
      </w:pPr>
      <w:r>
        <w:rPr>
          <w:rFonts w:hint="eastAsia" w:ascii="宋体" w:hAnsi="宋体"/>
          <w:sz w:val="24"/>
        </w:rPr>
        <w:t>日期：                                日期：</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p>
    <w:p>
      <w:pPr>
        <w:pStyle w:val="14"/>
        <w:snapToGrid w:val="0"/>
        <w:spacing w:beforeLines="0" w:afterLines="0" w:line="360" w:lineRule="exact"/>
        <w:ind w:left="480" w:hanging="480" w:hangingChars="200"/>
        <w:rPr>
          <w:rFonts w:ascii="Verdana" w:hAnsi="Tahoma" w:cs="Verdana"/>
        </w:rPr>
      </w:pPr>
    </w:p>
    <w:p>
      <w:pPr>
        <w:pStyle w:val="3"/>
        <w:jc w:val="center"/>
        <w:rPr>
          <w:sz w:val="36"/>
        </w:rPr>
      </w:pPr>
      <w:r>
        <w:rPr>
          <w:rFonts w:hint="eastAsia"/>
          <w:snapToGrid w:val="0"/>
          <w:kern w:val="0"/>
          <w:sz w:val="36"/>
        </w:rPr>
        <w:br w:type="page"/>
      </w:r>
      <w:r>
        <w:rPr>
          <w:rFonts w:hint="eastAsia"/>
          <w:snapToGrid w:val="0"/>
          <w:kern w:val="0"/>
          <w:sz w:val="36"/>
        </w:rPr>
        <w:t>第六章</w:t>
      </w:r>
      <w:r>
        <w:rPr>
          <w:rFonts w:hint="eastAsia"/>
          <w:sz w:val="36"/>
        </w:rPr>
        <w:t xml:space="preserve"> 投标文件格式</w:t>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ascii="宋体" w:hAnsi="宋体"/>
          <w:color w:val="000000"/>
          <w:spacing w:val="40"/>
          <w:sz w:val="24"/>
        </w:rPr>
      </w:pPr>
      <w:r>
        <w:rPr>
          <w:rFonts w:hint="eastAsia" w:ascii="宋体" w:hAnsi="宋体"/>
          <w:color w:val="000000"/>
          <w:spacing w:val="40"/>
          <w:sz w:val="24"/>
        </w:rPr>
        <w:t>***项目名称</w:t>
      </w:r>
    </w:p>
    <w:p>
      <w:pPr>
        <w:spacing w:before="312" w:beforeLines="100" w:line="240" w:lineRule="atLeast"/>
        <w:ind w:right="-108"/>
        <w:jc w:val="center"/>
        <w:rPr>
          <w:rFonts w:ascii="宋体" w:hAnsi="宋体"/>
          <w:color w:val="000000"/>
          <w:sz w:val="24"/>
        </w:rPr>
      </w:pPr>
      <w:r>
        <w:rPr>
          <w:rFonts w:hint="eastAsia" w:ascii="宋体" w:hAnsi="宋体"/>
          <w:color w:val="000000"/>
          <w:sz w:val="24"/>
        </w:rPr>
        <w:t>项目编号：************** （标项*）</w:t>
      </w:r>
    </w:p>
    <w:p>
      <w:pPr>
        <w:spacing w:after="100" w:afterAutospacing="1" w:line="4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资</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信</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及</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商</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务</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hAnsi="宋体"/>
          <w:color w:val="000000"/>
          <w:sz w:val="24"/>
        </w:rPr>
      </w:pPr>
    </w:p>
    <w:p>
      <w:pPr>
        <w:spacing w:line="600" w:lineRule="exact"/>
        <w:ind w:right="532" w:firstLine="480" w:firstLineChars="200"/>
        <w:rPr>
          <w:rFonts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hAnsi="宋体"/>
          <w:color w:val="000000"/>
          <w:sz w:val="24"/>
        </w:rPr>
      </w:pPr>
      <w:r>
        <w:rPr>
          <w:rFonts w:hint="eastAsia" w:ascii="宋体" w:hAnsi="宋体"/>
          <w:color w:val="000000"/>
          <w:sz w:val="24"/>
        </w:rPr>
        <w:t>地    址：</w:t>
      </w:r>
    </w:p>
    <w:p>
      <w:pPr>
        <w:spacing w:line="600" w:lineRule="exact"/>
        <w:ind w:right="532" w:firstLine="480" w:firstLineChars="200"/>
        <w:rPr>
          <w:rFonts w:ascii="宋体" w:hAnsi="宋体"/>
          <w:b/>
          <w:color w:val="000000"/>
          <w:sz w:val="24"/>
        </w:rPr>
      </w:pPr>
      <w:r>
        <w:rPr>
          <w:rFonts w:hint="eastAsia" w:ascii="宋体" w:hAnsi="宋体"/>
          <w:color w:val="000000"/>
          <w:sz w:val="24"/>
        </w:rPr>
        <w:t>时    间：</w:t>
      </w:r>
    </w:p>
    <w:p>
      <w:pPr>
        <w:snapToGrid w:val="0"/>
        <w:spacing w:line="420" w:lineRule="exact"/>
        <w:jc w:val="left"/>
        <w:rPr>
          <w:rFonts w:ascii="宋体" w:hAnsi="宋体" w:cs="宋体"/>
          <w:color w:val="000000"/>
          <w:kern w:val="0"/>
          <w:sz w:val="24"/>
        </w:rPr>
      </w:pPr>
      <w:r>
        <w:rPr>
          <w:rFonts w:hint="eastAsia" w:ascii="宋体" w:hAnsi="宋体"/>
          <w:b/>
          <w:color w:val="000000"/>
          <w:sz w:val="24"/>
        </w:rPr>
        <w:t>▲</w:t>
      </w:r>
      <w:r>
        <w:rPr>
          <w:rFonts w:hint="eastAsia" w:ascii="宋体" w:hAnsi="宋体"/>
          <w:color w:val="000000"/>
          <w:sz w:val="24"/>
        </w:rPr>
        <w:t>资信及商务部分内容</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（1）投标声明书 ；</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（2）</w:t>
      </w:r>
      <w:r>
        <w:rPr>
          <w:rFonts w:hint="eastAsia" w:ascii="宋体" w:hAnsi="宋体"/>
          <w:sz w:val="24"/>
          <w:lang w:val="zh-CN"/>
        </w:rPr>
        <w:t>法定代表人资格证明书</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 xml:space="preserve">（3）法定代表人授权委托书（法定代表人及授权委托人的身份证复印件加盖公章）； </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（4）有效的企业法人营业执照（复印件加盖公章）；</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（5）</w:t>
      </w:r>
      <w:r>
        <w:rPr>
          <w:rFonts w:hint="eastAsia" w:ascii="宋体" w:hAnsi="宋体" w:cs="宋体"/>
          <w:kern w:val="0"/>
          <w:sz w:val="24"/>
        </w:rPr>
        <w:t>所有资质文件</w:t>
      </w:r>
      <w:r>
        <w:rPr>
          <w:rFonts w:hint="eastAsia" w:ascii="宋体" w:hAnsi="宋体" w:cs="宋体"/>
          <w:kern w:val="0"/>
          <w:sz w:val="24"/>
          <w:lang w:val="zh-CN"/>
        </w:rPr>
        <w:t>（</w:t>
      </w:r>
      <w:r>
        <w:rPr>
          <w:rFonts w:hint="eastAsia" w:ascii="宋体" w:hAnsi="宋体" w:cs="宋体"/>
          <w:kern w:val="0"/>
          <w:sz w:val="24"/>
        </w:rPr>
        <w:t>如投标资格及评分办法中要求的证书等，提供复印件加盖公章</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zh-CN"/>
        </w:rPr>
        <w:t>投标人情况介绍（主要产品、技术力量、生产规模、经营业绩、公司财务状况等）</w:t>
      </w:r>
      <w:r>
        <w:rPr>
          <w:rFonts w:hint="eastAsia" w:ascii="宋体" w:hAnsi="宋体" w:cs="宋体"/>
          <w:kern w:val="0"/>
          <w:sz w:val="24"/>
        </w:rPr>
        <w:t xml:space="preserve">； </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（7）</w:t>
      </w:r>
      <w:r>
        <w:rPr>
          <w:rFonts w:hint="eastAsia" w:ascii="宋体" w:hAnsi="宋体" w:cs="宋体"/>
          <w:kern w:val="0"/>
          <w:sz w:val="24"/>
          <w:lang w:val="zh-CN"/>
        </w:rPr>
        <w:t>同类项目实施情况一览表（中标通知书或合同复印件加盖公章）；</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rPr>
        <w:t>（8）</w:t>
      </w:r>
      <w:r>
        <w:rPr>
          <w:rFonts w:hint="eastAsia" w:ascii="宋体" w:hAnsi="宋体" w:cs="宋体"/>
          <w:kern w:val="0"/>
          <w:sz w:val="24"/>
          <w:lang w:val="zh-CN"/>
        </w:rPr>
        <w:t>商务偏离说明表；</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（9）对应商务技术评分细则提供相关证明资料；</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）关于对采购文件中有关条款的拒绝声明；</w:t>
      </w:r>
    </w:p>
    <w:p>
      <w:pPr>
        <w:spacing w:line="380" w:lineRule="exact"/>
        <w:ind w:firstLine="240" w:firstLineChars="1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11</w:t>
      </w:r>
      <w:r>
        <w:rPr>
          <w:rFonts w:hint="eastAsia" w:ascii="宋体" w:hAnsi="宋体" w:cs="宋体"/>
          <w:kern w:val="0"/>
          <w:sz w:val="24"/>
          <w:lang w:val="zh-CN"/>
        </w:rPr>
        <w:t>）采购招标文件要求的或响应人认为需要的其他商务文件或说明。</w:t>
      </w:r>
    </w:p>
    <w:p>
      <w:pPr>
        <w:spacing w:line="420" w:lineRule="exact"/>
        <w:rPr>
          <w:rFonts w:ascii="宋体" w:hAnsi="宋体"/>
          <w:b/>
          <w:bCs/>
          <w:color w:val="000000"/>
          <w:sz w:val="24"/>
        </w:rPr>
      </w:pPr>
      <w:r>
        <w:rPr>
          <w:rFonts w:hint="eastAsia" w:ascii="宋体" w:hAnsi="宋体"/>
          <w:b/>
          <w:bCs/>
          <w:color w:val="000000"/>
          <w:sz w:val="24"/>
        </w:rPr>
        <w:t>注：以上目录是编制资信及商务内容的基本格式要求，</w:t>
      </w:r>
      <w:r>
        <w:rPr>
          <w:rFonts w:hint="eastAsia" w:ascii="宋体" w:hAnsi="宋体" w:cs="Arial"/>
          <w:b/>
          <w:color w:val="000000"/>
          <w:sz w:val="24"/>
        </w:rPr>
        <w:t>投标人</w:t>
      </w:r>
      <w:r>
        <w:rPr>
          <w:rFonts w:hint="eastAsia" w:ascii="宋体" w:hAnsi="宋体"/>
          <w:b/>
          <w:bCs/>
          <w:color w:val="000000"/>
          <w:sz w:val="24"/>
        </w:rPr>
        <w:t>可根据自身情况进一步细化。</w:t>
      </w:r>
    </w:p>
    <w:p>
      <w:pPr>
        <w:snapToGrid w:val="0"/>
        <w:spacing w:before="50" w:after="156" w:afterLines="50" w:line="460" w:lineRule="exact"/>
        <w:jc w:val="left"/>
        <w:rPr>
          <w:rFonts w:ascii="宋体" w:hAnsi="宋体"/>
          <w:color w:val="000000"/>
          <w:sz w:val="24"/>
        </w:rPr>
      </w:pPr>
    </w:p>
    <w:p>
      <w:pPr>
        <w:pStyle w:val="14"/>
        <w:snapToGrid w:val="0"/>
        <w:spacing w:before="156" w:after="156" w:line="240" w:lineRule="auto"/>
        <w:rPr>
          <w:rFonts w:hAnsi="宋体"/>
          <w:color w:val="000000"/>
        </w:rPr>
      </w:pPr>
    </w:p>
    <w:p>
      <w:pPr>
        <w:snapToGrid w:val="0"/>
        <w:spacing w:before="156" w:beforeLines="50" w:after="50" w:line="500" w:lineRule="exact"/>
        <w:jc w:val="center"/>
        <w:rPr>
          <w:rFonts w:ascii="宋体" w:hAnsi="宋体" w:cs="宋体"/>
          <w:sz w:val="24"/>
        </w:rPr>
      </w:pPr>
      <w:r>
        <w:rPr>
          <w:rFonts w:ascii="宋体" w:hAnsi="宋体"/>
          <w:color w:val="000000"/>
          <w:sz w:val="24"/>
        </w:rPr>
        <w:br w:type="page"/>
      </w:r>
      <w:r>
        <w:rPr>
          <w:rFonts w:hint="eastAsia" w:ascii="宋体" w:hAnsi="宋体" w:cs="宋体"/>
          <w:b/>
          <w:bCs/>
          <w:sz w:val="24"/>
        </w:rPr>
        <w:t xml:space="preserve">一、投 标 声 明 书       </w:t>
      </w:r>
    </w:p>
    <w:p>
      <w:pPr>
        <w:snapToGrid w:val="0"/>
        <w:spacing w:before="156" w:beforeLines="50" w:after="50" w:line="460" w:lineRule="exact"/>
        <w:rPr>
          <w:rFonts w:ascii="宋体" w:hAnsi="宋体" w:cs="宋体"/>
          <w:sz w:val="24"/>
        </w:rPr>
      </w:pPr>
      <w:r>
        <w:rPr>
          <w:rFonts w:hint="eastAsia" w:ascii="宋体" w:hAnsi="宋体" w:cs="宋体"/>
          <w:sz w:val="24"/>
        </w:rPr>
        <w:t>致：</w:t>
      </w:r>
      <w:r>
        <w:rPr>
          <w:rFonts w:hint="eastAsia" w:ascii="宋体" w:hAnsi="宋体" w:cs="宋体"/>
          <w:sz w:val="24"/>
          <w:u w:val="single"/>
        </w:rPr>
        <w:t>（招标采购单位名称）</w:t>
      </w:r>
      <w:r>
        <w:rPr>
          <w:rFonts w:hint="eastAsia" w:ascii="宋体" w:hAnsi="宋体" w:cs="宋体"/>
          <w:sz w:val="24"/>
        </w:rPr>
        <w:t>：</w:t>
      </w:r>
    </w:p>
    <w:p>
      <w:pPr>
        <w:wordWrap w:val="0"/>
        <w:snapToGrid w:val="0"/>
        <w:spacing w:before="156" w:beforeLines="50" w:after="50" w:line="460" w:lineRule="exact"/>
        <w:ind w:firstLine="480" w:firstLineChars="200"/>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         ）</w:t>
      </w:r>
      <w:r>
        <w:rPr>
          <w:rFonts w:hint="eastAsia" w:ascii="宋体" w:hAnsi="宋体" w:cs="宋体"/>
          <w:sz w:val="24"/>
        </w:rPr>
        <w:t>的投标，为此，我方就本次投标有关事项郑重声明如下：</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1、投标方已详细审查全部招标文件，同意投标文件的各项要求。</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3、若中标，我方将按招标文件规定履行合同责任和义务。</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4、我方不是采购人的附属机构</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在获知本项目采购信息后，与采购人聘请的为此项目提供咨询服务的公司及其附属机构没有任何联系。</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5、投标书自投标截止起有效期为</w:t>
      </w:r>
      <w:r>
        <w:rPr>
          <w:rFonts w:hint="eastAsia" w:ascii="宋体" w:hAnsi="宋体" w:cs="宋体"/>
          <w:sz w:val="24"/>
          <w:u w:val="single"/>
        </w:rPr>
        <w:t xml:space="preserve">    </w:t>
      </w:r>
      <w:r>
        <w:rPr>
          <w:rFonts w:hint="eastAsia" w:ascii="宋体" w:hAnsi="宋体" w:cs="宋体"/>
          <w:sz w:val="24"/>
        </w:rPr>
        <w:t>日历天。</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6.以上事项如有虚假或隐瞒，我方愿意承担一切后果，并不再寻求任何旨在减轻或免除法律责任的辩解。</w:t>
      </w:r>
    </w:p>
    <w:p>
      <w:pPr>
        <w:snapToGrid w:val="0"/>
        <w:spacing w:before="156" w:beforeLines="50" w:after="50" w:line="460" w:lineRule="exact"/>
        <w:ind w:right="600" w:firstLine="120" w:firstLineChars="50"/>
        <w:rPr>
          <w:rFonts w:ascii="宋体" w:hAnsi="宋体" w:cs="宋体"/>
          <w:sz w:val="24"/>
          <w:u w:val="single"/>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pPr>
        <w:snapToGrid w:val="0"/>
        <w:spacing w:before="156" w:beforeLines="50" w:after="50" w:line="460" w:lineRule="exact"/>
        <w:ind w:firstLine="120" w:firstLineChars="50"/>
        <w:rPr>
          <w:rFonts w:ascii="宋体" w:hAnsi="宋体" w:cs="宋体"/>
          <w:sz w:val="24"/>
        </w:rPr>
      </w:pPr>
      <w:r>
        <w:rPr>
          <w:rFonts w:hint="eastAsia" w:ascii="宋体" w:hAnsi="宋体" w:cs="宋体"/>
          <w:sz w:val="24"/>
        </w:rPr>
        <w:t>单位全称（公章）：</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156" w:beforeLines="50" w:after="50" w:line="500" w:lineRule="exact"/>
        <w:jc w:val="left"/>
        <w:rPr>
          <w:rFonts w:ascii="宋体" w:hAnsi="宋体" w:cs="宋体"/>
          <w:sz w:val="24"/>
        </w:rPr>
      </w:pPr>
      <w:r>
        <w:rPr>
          <w:rFonts w:hint="eastAsia" w:ascii="宋体" w:hAnsi="宋体" w:cs="宋体"/>
          <w:sz w:val="24"/>
        </w:rPr>
        <w:br w:type="page"/>
      </w:r>
    </w:p>
    <w:p>
      <w:pPr>
        <w:pStyle w:val="46"/>
      </w:pPr>
    </w:p>
    <w:p>
      <w:pPr>
        <w:snapToGrid w:val="0"/>
        <w:spacing w:before="156" w:beforeLines="50" w:after="50" w:line="500" w:lineRule="exact"/>
        <w:jc w:val="center"/>
        <w:rPr>
          <w:rFonts w:ascii="宋体" w:hAnsi="宋体" w:cs="宋体"/>
          <w:b/>
          <w:bCs/>
          <w:sz w:val="24"/>
        </w:rPr>
      </w:pPr>
      <w:r>
        <w:rPr>
          <w:rFonts w:hint="eastAsia" w:ascii="宋体" w:hAnsi="宋体" w:cs="宋体"/>
          <w:b/>
          <w:bCs/>
          <w:sz w:val="24"/>
        </w:rPr>
        <w:t>二、法定代表人资格证明书</w:t>
      </w:r>
    </w:p>
    <w:p>
      <w:pPr>
        <w:snapToGrid w:val="0"/>
        <w:spacing w:before="156" w:beforeLines="50" w:after="50" w:line="500" w:lineRule="exact"/>
        <w:jc w:val="center"/>
        <w:rPr>
          <w:b/>
          <w:sz w:val="36"/>
          <w:szCs w:val="36"/>
        </w:rPr>
      </w:pP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单位名称：</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地址：</w:t>
      </w:r>
    </w:p>
    <w:p>
      <w:pPr>
        <w:autoSpaceDE w:val="0"/>
        <w:autoSpaceDN w:val="0"/>
        <w:adjustRightInd w:val="0"/>
        <w:spacing w:line="500" w:lineRule="exact"/>
        <w:ind w:firstLine="480" w:firstLineChars="200"/>
        <w:jc w:val="left"/>
        <w:rPr>
          <w:rFonts w:ascii="宋体" w:hAnsi="宋体" w:cs="TimesNewRomanPSMT"/>
          <w:kern w:val="0"/>
          <w:sz w:val="24"/>
        </w:rPr>
      </w:pPr>
      <w:r>
        <w:rPr>
          <w:rFonts w:hint="eastAsia" w:ascii="宋体" w:hAnsi="宋体" w:cs="TimesNewRomanPSMT"/>
          <w:kern w:val="0"/>
          <w:sz w:val="24"/>
        </w:rPr>
        <w:t>姓名：</w:t>
      </w:r>
      <w:r>
        <w:rPr>
          <w:rFonts w:hint="eastAsia" w:ascii="宋体" w:hAnsi="宋体" w:cs="TimesNewRomanPSMT"/>
          <w:kern w:val="0"/>
          <w:sz w:val="24"/>
          <w:u w:val="single"/>
        </w:rPr>
        <w:t xml:space="preserve">              </w:t>
      </w:r>
      <w:r>
        <w:rPr>
          <w:rFonts w:hint="eastAsia" w:ascii="宋体" w:hAnsi="宋体" w:cs="TimesNewRomanPSMT"/>
          <w:kern w:val="0"/>
          <w:sz w:val="24"/>
        </w:rPr>
        <w:t xml:space="preserve">   </w:t>
      </w:r>
      <w:r>
        <w:rPr>
          <w:rFonts w:ascii="宋体" w:hAnsi="宋体" w:cs="TimesNewRomanPSMT"/>
          <w:kern w:val="0"/>
          <w:sz w:val="24"/>
        </w:rPr>
        <w:t xml:space="preserve"> </w:t>
      </w:r>
      <w:r>
        <w:rPr>
          <w:rFonts w:hint="eastAsia" w:ascii="宋体" w:hAnsi="宋体" w:cs="TimesNewRomanPSMT"/>
          <w:kern w:val="0"/>
          <w:sz w:val="24"/>
        </w:rPr>
        <w:t>性别：</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年龄：</w:t>
      </w:r>
      <w:r>
        <w:rPr>
          <w:rFonts w:hint="eastAsia" w:ascii="宋体" w:hAnsi="宋体" w:cs="TimesNewRomanPSMT"/>
          <w:kern w:val="0"/>
          <w:sz w:val="24"/>
          <w:u w:val="single"/>
        </w:rPr>
        <w:t xml:space="preserve">              </w:t>
      </w:r>
      <w:r>
        <w:rPr>
          <w:rFonts w:ascii="宋体" w:hAnsi="宋体" w:cs="TimesNewRomanPSMT"/>
          <w:kern w:val="0"/>
          <w:sz w:val="24"/>
        </w:rPr>
        <w:t xml:space="preserve"> </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职务：</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系</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的法定代表人。为承接项目，签署上述项目的投标文件，进行合同谈判、签署合同和处理与之有关的一切事务。</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特此证明。</w:t>
      </w:r>
    </w:p>
    <w:p>
      <w:pPr>
        <w:autoSpaceDE w:val="0"/>
        <w:autoSpaceDN w:val="0"/>
        <w:adjustRightInd w:val="0"/>
        <w:jc w:val="left"/>
        <w:rPr>
          <w:rFonts w:ascii="宋体" w:hAnsi="宋体" w:cs="TimesNewRomanPSMT"/>
          <w:kern w:val="0"/>
          <w:sz w:val="24"/>
        </w:rPr>
      </w:pPr>
    </w:p>
    <w:p>
      <w:pPr>
        <w:autoSpaceDE w:val="0"/>
        <w:autoSpaceDN w:val="0"/>
        <w:adjustRightInd w:val="0"/>
        <w:jc w:val="left"/>
        <w:rPr>
          <w:rFonts w:ascii="宋体" w:hAnsi="宋体" w:cs="TimesNewRomanPSMT"/>
          <w:kern w:val="0"/>
          <w:sz w:val="24"/>
        </w:rPr>
      </w:pP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投标人（盖公章）：</w:t>
      </w: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 xml:space="preserve">日 期： </w:t>
      </w:r>
      <w:r>
        <w:rPr>
          <w:rFonts w:ascii="宋体" w:hAnsi="宋体" w:cs="TimesNewRomanPSMT"/>
          <w:kern w:val="0"/>
          <w:sz w:val="24"/>
        </w:rPr>
        <w:t xml:space="preserve"> </w:t>
      </w:r>
      <w:r>
        <w:rPr>
          <w:rFonts w:hint="eastAsia" w:ascii="宋体" w:hAnsi="宋体" w:cs="TimesNewRomanPSMT"/>
          <w:kern w:val="0"/>
          <w:sz w:val="24"/>
        </w:rPr>
        <w:t>年   月   日</w:t>
      </w:r>
    </w:p>
    <w:p>
      <w:pPr>
        <w:pStyle w:val="30"/>
        <w:rPr>
          <w:rFonts w:ascii="宋体" w:hAnsi="宋体" w:cs="TimesNewRomanPSMT"/>
        </w:rPr>
      </w:pPr>
    </w:p>
    <w:p>
      <w:pPr>
        <w:pStyle w:val="30"/>
        <w:rPr>
          <w:rFonts w:ascii="宋体" w:hAnsi="宋体" w:cs="TimesNewRomanPSMT"/>
        </w:rPr>
      </w:pPr>
    </w:p>
    <w:p>
      <w:pPr>
        <w:pStyle w:val="30"/>
        <w:rPr>
          <w:rFonts w:ascii="宋体" w:hAnsi="宋体" w:cs="TimesNewRomanPSMT"/>
        </w:rPr>
      </w:pPr>
    </w:p>
    <w:p>
      <w:pPr>
        <w:pStyle w:val="30"/>
        <w:rPr>
          <w:rFonts w:ascii="宋体" w:hAnsi="宋体" w:cs="TimesNewRomanPSMT"/>
        </w:rPr>
      </w:pPr>
    </w:p>
    <w:p>
      <w:pPr>
        <w:adjustRightInd w:val="0"/>
        <w:snapToGrid w:val="0"/>
        <w:spacing w:line="360" w:lineRule="auto"/>
        <w:rPr>
          <w:rFonts w:ascii="宋体" w:hAnsi="宋体" w:cs="宋体"/>
          <w:sz w:val="24"/>
        </w:rPr>
      </w:pPr>
      <w:r>
        <w:rPr>
          <w:rFonts w:hint="eastAsia" w:ascii="宋体" w:hAnsi="宋体" w:cs="宋体"/>
          <w:sz w:val="24"/>
        </w:rPr>
        <w:br w:type="page"/>
      </w:r>
    </w:p>
    <w:p>
      <w:pPr>
        <w:adjustRightInd w:val="0"/>
        <w:snapToGrid w:val="0"/>
        <w:spacing w:line="360" w:lineRule="auto"/>
        <w:rPr>
          <w:rFonts w:ascii="宋体" w:hAnsi="宋体" w:cs="宋体"/>
          <w:sz w:val="24"/>
        </w:rPr>
      </w:pPr>
    </w:p>
    <w:p>
      <w:pPr>
        <w:pStyle w:val="46"/>
        <w:rPr>
          <w:lang w:val="zh-CN"/>
        </w:rPr>
      </w:pPr>
    </w:p>
    <w:p>
      <w:pPr>
        <w:adjustRightInd w:val="0"/>
        <w:snapToGrid w:val="0"/>
        <w:spacing w:line="360" w:lineRule="auto"/>
        <w:jc w:val="center"/>
        <w:rPr>
          <w:rFonts w:ascii="宋体" w:hAnsi="宋体"/>
          <w:b/>
          <w:color w:val="000000"/>
          <w:kern w:val="0"/>
          <w:sz w:val="24"/>
          <w:lang w:val="zh-CN"/>
        </w:rPr>
      </w:pPr>
      <w:r>
        <w:rPr>
          <w:rFonts w:hint="eastAsia" w:ascii="宋体" w:hAnsi="宋体"/>
          <w:b/>
          <w:color w:val="000000"/>
          <w:kern w:val="0"/>
          <w:sz w:val="24"/>
          <w:lang w:val="zh-CN"/>
        </w:rPr>
        <w:t>三、</w:t>
      </w:r>
      <w:r>
        <w:rPr>
          <w:rFonts w:hint="eastAsia" w:ascii="宋体" w:hAnsi="宋体" w:cs="宋体"/>
          <w:b/>
          <w:bCs/>
          <w:sz w:val="24"/>
        </w:rPr>
        <w:t>法定代表人授权委托书</w:t>
      </w:r>
    </w:p>
    <w:p>
      <w:pPr>
        <w:adjustRightInd w:val="0"/>
        <w:snapToGrid w:val="0"/>
        <w:spacing w:line="360" w:lineRule="auto"/>
        <w:rPr>
          <w:rFonts w:ascii="宋体" w:hAnsi="宋体"/>
          <w:color w:val="000000"/>
          <w:kern w:val="0"/>
          <w:sz w:val="24"/>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ind w:firstLine="576"/>
        <w:rPr>
          <w:rFonts w:ascii="宋体" w:hAnsi="宋体"/>
          <w:color w:val="000000"/>
          <w:kern w:val="0"/>
          <w:sz w:val="24"/>
        </w:rPr>
      </w:pPr>
      <w:r>
        <w:rPr>
          <w:rFonts w:hint="eastAsia" w:ascii="宋体" w:hAnsi="宋体"/>
          <w:color w:val="000000"/>
          <w:kern w:val="0"/>
          <w:sz w:val="24"/>
          <w:lang w:val="zh-CN"/>
        </w:rPr>
        <w:t>兹委派我公司</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先生/女士(其在本公司的职务是：</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，联系电话：</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手机：</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传真：</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)，代表我公司全权处理</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项目(编号：</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)政府采购</w:t>
      </w:r>
      <w:r>
        <w:rPr>
          <w:rFonts w:hint="eastAsia" w:ascii="宋体" w:hAnsi="宋体"/>
          <w:color w:val="000000"/>
          <w:kern w:val="0"/>
          <w:sz w:val="24"/>
        </w:rPr>
        <w:t>投标</w:t>
      </w:r>
      <w:r>
        <w:rPr>
          <w:rFonts w:hint="eastAsia" w:ascii="宋体" w:hAnsi="宋体"/>
          <w:color w:val="000000"/>
          <w:kern w:val="0"/>
          <w:sz w:val="24"/>
          <w:lang w:val="zh-CN"/>
        </w:rPr>
        <w:t>的一切事项，若中标则全权代表本公司签订相关合同，并负责处理合同履行等事宜。</w:t>
      </w:r>
    </w:p>
    <w:p>
      <w:pPr>
        <w:adjustRightInd w:val="0"/>
        <w:snapToGrid w:val="0"/>
        <w:spacing w:line="360" w:lineRule="auto"/>
        <w:rPr>
          <w:rFonts w:ascii="宋体" w:hAnsi="宋体"/>
          <w:color w:val="000000"/>
          <w:kern w:val="0"/>
          <w:sz w:val="24"/>
          <w:lang w:val="zh-CN"/>
        </w:rPr>
      </w:pPr>
      <w:r>
        <w:rPr>
          <w:rFonts w:hint="eastAsia" w:ascii="宋体" w:hAnsi="宋体"/>
          <w:color w:val="000000"/>
          <w:kern w:val="0"/>
          <w:sz w:val="24"/>
          <w:lang w:val="zh-CN"/>
        </w:rPr>
        <w:t xml:space="preserve">    本委托书有效期：自   年 月  日起至    年  月  日止。</w:t>
      </w:r>
    </w:p>
    <w:p>
      <w:pPr>
        <w:adjustRightInd w:val="0"/>
        <w:snapToGrid w:val="0"/>
        <w:spacing w:line="360" w:lineRule="auto"/>
        <w:ind w:firstLine="480"/>
        <w:rPr>
          <w:rFonts w:ascii="宋体" w:hAnsi="宋体"/>
          <w:color w:val="000000"/>
          <w:kern w:val="0"/>
          <w:sz w:val="24"/>
          <w:lang w:val="zh-CN"/>
        </w:rPr>
      </w:pPr>
      <w:r>
        <w:rPr>
          <w:rFonts w:hint="eastAsia" w:ascii="宋体" w:hAnsi="宋体"/>
          <w:color w:val="000000"/>
          <w:kern w:val="0"/>
          <w:sz w:val="24"/>
          <w:lang w:val="zh-CN"/>
        </w:rPr>
        <w:t>特此告知。</w:t>
      </w:r>
    </w:p>
    <w:p>
      <w:pPr>
        <w:pStyle w:val="46"/>
        <w:rPr>
          <w:lang w:val="zh-CN"/>
        </w:rPr>
      </w:pP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名称(公章)：</w:t>
      </w: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法定代表人(签字或盖章)：</w:t>
      </w:r>
    </w:p>
    <w:p>
      <w:pPr>
        <w:wordWrap w:val="0"/>
        <w:adjustRightInd w:val="0"/>
        <w:snapToGrid w:val="0"/>
        <w:spacing w:line="360" w:lineRule="auto"/>
        <w:jc w:val="right"/>
        <w:rPr>
          <w:rFonts w:ascii="宋体" w:hAnsi="宋体"/>
          <w:color w:val="000000"/>
          <w:kern w:val="0"/>
          <w:sz w:val="24"/>
          <w:lang w:val="zh-CN"/>
        </w:rPr>
      </w:pPr>
      <w:r>
        <w:rPr>
          <w:rFonts w:hint="eastAsia" w:ascii="宋体" w:hAnsi="宋体"/>
          <w:color w:val="000000"/>
          <w:kern w:val="0"/>
          <w:sz w:val="24"/>
          <w:lang w:val="zh-CN"/>
        </w:rPr>
        <w:t>签发日期：  年  月   日</w:t>
      </w:r>
    </w:p>
    <w:p>
      <w:pPr>
        <w:adjustRightInd w:val="0"/>
        <w:snapToGrid w:val="0"/>
        <w:spacing w:line="360" w:lineRule="auto"/>
        <w:jc w:val="right"/>
        <w:rPr>
          <w:rFonts w:ascii="宋体" w:hAnsi="宋体"/>
          <w:color w:val="000000"/>
          <w:kern w:val="0"/>
          <w:sz w:val="24"/>
          <w:lang w:val="zh-CN"/>
        </w:rPr>
      </w:pPr>
    </w:p>
    <w:p>
      <w:pPr>
        <w:pStyle w:val="4"/>
        <w:rPr>
          <w:rFonts w:ascii="宋体" w:hAnsi="宋体"/>
          <w:color w:val="000000"/>
          <w:kern w:val="0"/>
          <w:sz w:val="24"/>
          <w:lang w:val="zh-CN"/>
        </w:rPr>
      </w:pPr>
    </w:p>
    <w:p>
      <w:pPr>
        <w:rPr>
          <w:lang w:val="zh-CN"/>
        </w:rPr>
      </w:pPr>
    </w:p>
    <w:p>
      <w:pPr>
        <w:adjustRightInd w:val="0"/>
        <w:snapToGrid w:val="0"/>
        <w:spacing w:line="360" w:lineRule="auto"/>
        <w:jc w:val="right"/>
        <w:rPr>
          <w:rFonts w:ascii="宋体" w:hAnsi="宋体"/>
          <w:color w:val="000000"/>
          <w:kern w:val="0"/>
          <w:sz w:val="24"/>
          <w:lang w:val="zh-CN"/>
        </w:rPr>
      </w:pPr>
    </w:p>
    <w:p>
      <w:pPr>
        <w:adjustRightInd w:val="0"/>
        <w:snapToGrid w:val="0"/>
        <w:spacing w:line="360" w:lineRule="auto"/>
        <w:ind w:right="480"/>
        <w:jc w:val="center"/>
        <w:rPr>
          <w:rFonts w:ascii="宋体" w:hAnsi="宋体"/>
          <w:b/>
          <w:color w:val="000000"/>
          <w:sz w:val="24"/>
          <w:lang w:val="zh-CN"/>
        </w:rPr>
      </w:pPr>
      <w:r>
        <w:rPr>
          <w:rFonts w:hint="eastAsia" w:ascii="宋体" w:hAnsi="宋体"/>
          <w:b/>
          <w:color w:val="000000"/>
          <w:sz w:val="24"/>
        </w:rPr>
        <w:t>法定代表人及授权委托人的身份证（复印件加盖公章）</w:t>
      </w: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bCs/>
          <w:color w:val="000000"/>
          <w:sz w:val="24"/>
        </w:rPr>
      </w:pPr>
    </w:p>
    <w:p>
      <w:pPr>
        <w:adjustRightInd w:val="0"/>
        <w:snapToGrid w:val="0"/>
        <w:spacing w:line="360" w:lineRule="auto"/>
        <w:ind w:right="480"/>
        <w:jc w:val="center"/>
        <w:rPr>
          <w:rFonts w:ascii="宋体" w:hAnsi="宋体"/>
          <w:b/>
          <w:bCs/>
          <w:color w:val="000000"/>
          <w:sz w:val="24"/>
        </w:rPr>
      </w:pPr>
    </w:p>
    <w:p>
      <w:pPr>
        <w:adjustRightInd w:val="0"/>
        <w:snapToGrid w:val="0"/>
        <w:spacing w:line="360" w:lineRule="auto"/>
        <w:ind w:right="480"/>
        <w:jc w:val="center"/>
        <w:rPr>
          <w:rFonts w:ascii="宋体" w:hAnsi="宋体"/>
          <w:b/>
          <w:color w:val="000000"/>
          <w:sz w:val="24"/>
        </w:rPr>
      </w:pPr>
      <w:r>
        <w:rPr>
          <w:rFonts w:hint="eastAsia" w:ascii="宋体" w:hAnsi="宋体"/>
          <w:b/>
          <w:bCs/>
          <w:color w:val="000000"/>
          <w:sz w:val="24"/>
        </w:rPr>
        <w:t>四、</w:t>
      </w:r>
      <w:r>
        <w:rPr>
          <w:rFonts w:hint="eastAsia" w:ascii="宋体" w:hAnsi="宋体"/>
          <w:b/>
          <w:color w:val="000000"/>
          <w:sz w:val="24"/>
        </w:rPr>
        <w:t xml:space="preserve"> </w:t>
      </w:r>
      <w:r>
        <w:rPr>
          <w:rFonts w:hint="eastAsia" w:ascii="宋体" w:hAnsi="宋体"/>
          <w:b/>
          <w:color w:val="000000"/>
          <w:sz w:val="24"/>
          <w:lang w:val="zh-CN"/>
        </w:rPr>
        <w:t>有效的企业法人营业执照</w:t>
      </w:r>
      <w:r>
        <w:rPr>
          <w:rFonts w:hint="eastAsia" w:ascii="宋体" w:hAnsi="宋体"/>
          <w:b/>
          <w:color w:val="000000"/>
          <w:sz w:val="24"/>
        </w:rPr>
        <w:t>（复印件加盖公章）</w:t>
      </w:r>
    </w:p>
    <w:p>
      <w:pPr>
        <w:spacing w:line="480" w:lineRule="exact"/>
        <w:rPr>
          <w:rFonts w:ascii="宋体" w:hAnsi="宋体"/>
          <w:b/>
          <w:color w:val="000000"/>
          <w:sz w:val="24"/>
        </w:rPr>
      </w:pPr>
    </w:p>
    <w:p>
      <w:pPr>
        <w:spacing w:line="480" w:lineRule="exact"/>
        <w:rPr>
          <w:rFonts w:ascii="宋体" w:hAnsi="宋体"/>
          <w:b/>
          <w:color w:val="000000"/>
          <w:sz w:val="24"/>
        </w:rPr>
      </w:pPr>
    </w:p>
    <w:p>
      <w:pPr>
        <w:pStyle w:val="12"/>
      </w:pPr>
    </w:p>
    <w:p>
      <w:pPr>
        <w:spacing w:line="480" w:lineRule="exact"/>
        <w:rPr>
          <w:rFonts w:ascii="宋体" w:hAnsi="宋体"/>
          <w:b/>
          <w:color w:val="000000"/>
          <w:sz w:val="24"/>
        </w:rPr>
      </w:pPr>
    </w:p>
    <w:p>
      <w:pPr>
        <w:adjustRightInd w:val="0"/>
        <w:snapToGrid w:val="0"/>
        <w:spacing w:line="360" w:lineRule="auto"/>
        <w:ind w:right="480"/>
        <w:jc w:val="center"/>
        <w:rPr>
          <w:rFonts w:ascii="宋体" w:hAnsi="宋体"/>
          <w:b/>
          <w:bCs/>
          <w:color w:val="000000"/>
          <w:sz w:val="24"/>
        </w:rPr>
      </w:pPr>
    </w:p>
    <w:p>
      <w:pPr>
        <w:widowControl/>
        <w:numPr>
          <w:ilvl w:val="0"/>
          <w:numId w:val="7"/>
        </w:numPr>
        <w:jc w:val="center"/>
        <w:rPr>
          <w:rFonts w:ascii="宋体" w:hAnsi="宋体"/>
          <w:b/>
          <w:color w:val="000000"/>
          <w:sz w:val="24"/>
        </w:rPr>
      </w:pPr>
      <w:r>
        <w:rPr>
          <w:rFonts w:hint="eastAsia" w:ascii="宋体" w:hAnsi="宋体"/>
          <w:b/>
          <w:color w:val="000000"/>
          <w:sz w:val="24"/>
        </w:rPr>
        <w:t>所有资质文件</w:t>
      </w:r>
    </w:p>
    <w:p>
      <w:pPr>
        <w:widowControl/>
        <w:jc w:val="center"/>
        <w:rPr>
          <w:rFonts w:ascii="宋体" w:hAnsi="宋体"/>
          <w:b/>
          <w:color w:val="000000"/>
          <w:sz w:val="24"/>
        </w:rPr>
      </w:pPr>
      <w:r>
        <w:rPr>
          <w:rFonts w:hint="eastAsia" w:ascii="宋体" w:hAnsi="宋体"/>
          <w:b/>
          <w:color w:val="000000"/>
          <w:sz w:val="24"/>
        </w:rPr>
        <w:t>（如投标资格及评分办法中要求的证书等，提供复印件加盖公章）</w:t>
      </w:r>
    </w:p>
    <w:p>
      <w:pPr>
        <w:spacing w:line="480" w:lineRule="exact"/>
        <w:jc w:val="center"/>
        <w:rPr>
          <w:rFonts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根据采购需求及采购文件自行编制）</w:t>
      </w:r>
    </w:p>
    <w:tbl>
      <w:tblPr>
        <w:tblStyle w:val="24"/>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600"/>
        <w:gridCol w:w="1122"/>
        <w:gridCol w:w="1144"/>
        <w:gridCol w:w="1134"/>
        <w:gridCol w:w="1611"/>
        <w:gridCol w:w="1062"/>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6" w:type="dxa"/>
            <w:gridSpan w:val="2"/>
            <w:tcBorders>
              <w:bottom w:val="single" w:color="auto" w:sz="4" w:space="0"/>
            </w:tcBorders>
            <w:vAlign w:val="center"/>
          </w:tcPr>
          <w:p>
            <w:pPr>
              <w:spacing w:line="480" w:lineRule="exact"/>
              <w:ind w:firstLine="482"/>
              <w:jc w:val="center"/>
              <w:rPr>
                <w:rFonts w:ascii="宋体" w:hAnsi="宋体"/>
                <w:b/>
                <w:color w:val="000000"/>
                <w:sz w:val="24"/>
              </w:rPr>
            </w:pPr>
            <w:r>
              <w:rPr>
                <w:rFonts w:hint="eastAsia" w:ascii="宋体" w:hAnsi="宋体"/>
                <w:b/>
                <w:color w:val="000000"/>
                <w:sz w:val="24"/>
              </w:rPr>
              <w:t>资质要求</w:t>
            </w:r>
          </w:p>
        </w:tc>
        <w:tc>
          <w:tcPr>
            <w:tcW w:w="6589" w:type="dxa"/>
            <w:gridSpan w:val="6"/>
            <w:vAlign w:val="center"/>
          </w:tcPr>
          <w:p>
            <w:pPr>
              <w:spacing w:line="480" w:lineRule="exact"/>
              <w:ind w:firstLine="482"/>
              <w:jc w:val="center"/>
              <w:rPr>
                <w:rFonts w:ascii="宋体" w:hAnsi="宋体"/>
                <w:b/>
                <w:color w:val="000000"/>
                <w:sz w:val="24"/>
              </w:rPr>
            </w:pPr>
            <w:r>
              <w:rPr>
                <w:rFonts w:hint="eastAsia" w:ascii="宋体" w:hAnsi="宋体"/>
                <w:b/>
                <w:color w:val="000000"/>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spacing w:line="480" w:lineRule="exact"/>
              <w:jc w:val="center"/>
              <w:rPr>
                <w:rFonts w:ascii="宋体" w:hAnsi="宋体"/>
                <w:b/>
                <w:color w:val="000000"/>
                <w:sz w:val="24"/>
              </w:rPr>
            </w:pPr>
            <w:r>
              <w:rPr>
                <w:rFonts w:hint="eastAsia" w:ascii="宋体" w:hAnsi="宋体"/>
                <w:b/>
                <w:color w:val="000000"/>
                <w:sz w:val="24"/>
              </w:rPr>
              <w:t>必备资质</w:t>
            </w:r>
          </w:p>
        </w:tc>
        <w:tc>
          <w:tcPr>
            <w:tcW w:w="1600" w:type="dxa"/>
            <w:tcBorders>
              <w:left w:val="single" w:color="auto" w:sz="4" w:space="0"/>
            </w:tcBorders>
            <w:vAlign w:val="center"/>
          </w:tcPr>
          <w:p>
            <w:pPr>
              <w:spacing w:line="480" w:lineRule="exact"/>
              <w:jc w:val="center"/>
              <w:rPr>
                <w:rFonts w:ascii="宋体" w:hAnsi="宋体"/>
                <w:b/>
                <w:color w:val="000000"/>
                <w:sz w:val="24"/>
              </w:rPr>
            </w:pPr>
            <w:r>
              <w:rPr>
                <w:rFonts w:hint="eastAsia" w:ascii="宋体" w:hAnsi="宋体"/>
                <w:b/>
                <w:color w:val="000000"/>
                <w:sz w:val="24"/>
              </w:rPr>
              <w:t>资质级别</w:t>
            </w:r>
          </w:p>
        </w:tc>
        <w:tc>
          <w:tcPr>
            <w:tcW w:w="1122" w:type="dxa"/>
            <w:vAlign w:val="center"/>
          </w:tcPr>
          <w:p>
            <w:pPr>
              <w:jc w:val="center"/>
              <w:rPr>
                <w:rFonts w:ascii="宋体" w:hAnsi="宋体"/>
                <w:b/>
                <w:color w:val="000000"/>
                <w:sz w:val="24"/>
              </w:rPr>
            </w:pPr>
            <w:r>
              <w:rPr>
                <w:rFonts w:hint="eastAsia" w:ascii="宋体" w:hAnsi="宋体"/>
                <w:b/>
                <w:color w:val="000000"/>
                <w:sz w:val="24"/>
              </w:rPr>
              <w:t>资质</w:t>
            </w:r>
          </w:p>
          <w:p>
            <w:pPr>
              <w:jc w:val="center"/>
              <w:rPr>
                <w:rFonts w:ascii="宋体" w:hAnsi="宋体"/>
                <w:b/>
                <w:color w:val="000000"/>
                <w:sz w:val="24"/>
              </w:rPr>
            </w:pPr>
            <w:r>
              <w:rPr>
                <w:rFonts w:hint="eastAsia" w:ascii="宋体" w:hAnsi="宋体"/>
                <w:b/>
                <w:color w:val="000000"/>
                <w:sz w:val="24"/>
              </w:rPr>
              <w:t>名称</w:t>
            </w:r>
          </w:p>
        </w:tc>
        <w:tc>
          <w:tcPr>
            <w:tcW w:w="1144" w:type="dxa"/>
            <w:vAlign w:val="center"/>
          </w:tcPr>
          <w:p>
            <w:pPr>
              <w:jc w:val="center"/>
              <w:rPr>
                <w:rFonts w:ascii="宋体" w:hAnsi="宋体"/>
                <w:b/>
                <w:color w:val="000000"/>
                <w:sz w:val="24"/>
              </w:rPr>
            </w:pPr>
            <w:r>
              <w:rPr>
                <w:rFonts w:hint="eastAsia" w:ascii="宋体" w:hAnsi="宋体"/>
                <w:b/>
                <w:color w:val="000000"/>
                <w:sz w:val="24"/>
              </w:rPr>
              <w:t>资质</w:t>
            </w:r>
          </w:p>
          <w:p>
            <w:pPr>
              <w:jc w:val="center"/>
              <w:rPr>
                <w:rFonts w:ascii="宋体" w:hAnsi="宋体"/>
                <w:b/>
                <w:color w:val="000000"/>
                <w:sz w:val="24"/>
              </w:rPr>
            </w:pPr>
            <w:r>
              <w:rPr>
                <w:rFonts w:hint="eastAsia" w:ascii="宋体" w:hAnsi="宋体"/>
                <w:b/>
                <w:color w:val="000000"/>
                <w:sz w:val="24"/>
              </w:rPr>
              <w:t>级别</w:t>
            </w:r>
          </w:p>
        </w:tc>
        <w:tc>
          <w:tcPr>
            <w:tcW w:w="1134" w:type="dxa"/>
            <w:vAlign w:val="center"/>
          </w:tcPr>
          <w:p>
            <w:pPr>
              <w:jc w:val="center"/>
              <w:rPr>
                <w:rFonts w:ascii="宋体" w:hAnsi="宋体"/>
                <w:b/>
                <w:color w:val="000000"/>
                <w:sz w:val="24"/>
              </w:rPr>
            </w:pPr>
            <w:r>
              <w:rPr>
                <w:rFonts w:hint="eastAsia" w:ascii="宋体" w:hAnsi="宋体"/>
                <w:b/>
                <w:color w:val="000000"/>
                <w:sz w:val="24"/>
              </w:rPr>
              <w:t>颁证</w:t>
            </w:r>
          </w:p>
          <w:p>
            <w:pPr>
              <w:jc w:val="center"/>
              <w:rPr>
                <w:rFonts w:ascii="宋体" w:hAnsi="宋体"/>
                <w:b/>
                <w:color w:val="000000"/>
                <w:sz w:val="24"/>
              </w:rPr>
            </w:pPr>
            <w:r>
              <w:rPr>
                <w:rFonts w:hint="eastAsia" w:ascii="宋体" w:hAnsi="宋体"/>
                <w:b/>
                <w:color w:val="000000"/>
                <w:sz w:val="24"/>
              </w:rPr>
              <w:t>机构</w:t>
            </w:r>
          </w:p>
        </w:tc>
        <w:tc>
          <w:tcPr>
            <w:tcW w:w="1611" w:type="dxa"/>
            <w:vAlign w:val="center"/>
          </w:tcPr>
          <w:p>
            <w:pPr>
              <w:jc w:val="center"/>
              <w:rPr>
                <w:rFonts w:ascii="宋体" w:hAnsi="宋体"/>
                <w:b/>
                <w:color w:val="000000"/>
                <w:sz w:val="24"/>
              </w:rPr>
            </w:pPr>
            <w:r>
              <w:rPr>
                <w:rFonts w:hint="eastAsia" w:ascii="宋体" w:hAnsi="宋体"/>
                <w:b/>
                <w:color w:val="000000"/>
                <w:sz w:val="24"/>
              </w:rPr>
              <w:t>证书有效期（起止年月）</w:t>
            </w:r>
          </w:p>
        </w:tc>
        <w:tc>
          <w:tcPr>
            <w:tcW w:w="1062" w:type="dxa"/>
            <w:vAlign w:val="center"/>
          </w:tcPr>
          <w:p>
            <w:pPr>
              <w:jc w:val="center"/>
              <w:rPr>
                <w:rFonts w:ascii="宋体" w:hAnsi="宋体"/>
                <w:b/>
                <w:color w:val="000000"/>
                <w:sz w:val="24"/>
              </w:rPr>
            </w:pPr>
            <w:r>
              <w:rPr>
                <w:rFonts w:hint="eastAsia" w:ascii="宋体" w:hAnsi="宋体"/>
                <w:b/>
                <w:color w:val="000000"/>
                <w:sz w:val="24"/>
              </w:rPr>
              <w:t>证书复印件所在页码</w:t>
            </w:r>
          </w:p>
        </w:tc>
        <w:tc>
          <w:tcPr>
            <w:tcW w:w="516" w:type="dxa"/>
            <w:vAlign w:val="center"/>
          </w:tcPr>
          <w:p>
            <w:pPr>
              <w:jc w:val="center"/>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jc w:val="center"/>
              <w:rPr>
                <w:rFonts w:ascii="宋体" w:hAnsi="宋体"/>
                <w:color w:val="000000"/>
                <w:sz w:val="24"/>
              </w:rPr>
            </w:pPr>
          </w:p>
        </w:tc>
        <w:tc>
          <w:tcPr>
            <w:tcW w:w="1600" w:type="dxa"/>
            <w:tcBorders>
              <w:left w:val="single" w:color="auto" w:sz="4" w:space="0"/>
            </w:tcBorders>
            <w:vAlign w:val="center"/>
          </w:tcPr>
          <w:p>
            <w:pPr>
              <w:jc w:val="center"/>
              <w:rPr>
                <w:rFonts w:ascii="宋体" w:hAnsi="宋体"/>
                <w:color w:val="000000"/>
                <w:sz w:val="24"/>
              </w:rPr>
            </w:pPr>
          </w:p>
        </w:tc>
        <w:tc>
          <w:tcPr>
            <w:tcW w:w="1122" w:type="dxa"/>
            <w:vAlign w:val="center"/>
          </w:tcPr>
          <w:p>
            <w:pPr>
              <w:spacing w:line="480" w:lineRule="exact"/>
              <w:ind w:firstLine="480"/>
              <w:jc w:val="center"/>
              <w:rPr>
                <w:rFonts w:ascii="宋体" w:hAnsi="宋体"/>
                <w:color w:val="000000"/>
                <w:sz w:val="24"/>
              </w:rPr>
            </w:pPr>
          </w:p>
        </w:tc>
        <w:tc>
          <w:tcPr>
            <w:tcW w:w="1144" w:type="dxa"/>
            <w:vAlign w:val="center"/>
          </w:tcPr>
          <w:p>
            <w:pPr>
              <w:spacing w:line="480" w:lineRule="exact"/>
              <w:ind w:firstLine="480"/>
              <w:jc w:val="center"/>
              <w:rPr>
                <w:rFonts w:ascii="宋体" w:hAnsi="宋体"/>
                <w:color w:val="000000"/>
                <w:sz w:val="24"/>
              </w:rPr>
            </w:pPr>
          </w:p>
        </w:tc>
        <w:tc>
          <w:tcPr>
            <w:tcW w:w="1134" w:type="dxa"/>
            <w:vAlign w:val="center"/>
          </w:tcPr>
          <w:p>
            <w:pPr>
              <w:spacing w:line="480" w:lineRule="exact"/>
              <w:ind w:firstLine="480"/>
              <w:jc w:val="center"/>
              <w:rPr>
                <w:rFonts w:ascii="宋体" w:hAnsi="宋体"/>
                <w:color w:val="000000"/>
                <w:sz w:val="24"/>
              </w:rPr>
            </w:pPr>
          </w:p>
        </w:tc>
        <w:tc>
          <w:tcPr>
            <w:tcW w:w="1611" w:type="dxa"/>
            <w:vAlign w:val="center"/>
          </w:tcPr>
          <w:p>
            <w:pPr>
              <w:spacing w:line="480" w:lineRule="exact"/>
              <w:ind w:firstLine="480"/>
              <w:jc w:val="center"/>
              <w:rPr>
                <w:rFonts w:ascii="宋体" w:hAnsi="宋体"/>
                <w:color w:val="000000"/>
                <w:sz w:val="24"/>
              </w:rPr>
            </w:pPr>
          </w:p>
        </w:tc>
        <w:tc>
          <w:tcPr>
            <w:tcW w:w="1062" w:type="dxa"/>
            <w:vAlign w:val="center"/>
          </w:tcPr>
          <w:p>
            <w:pPr>
              <w:spacing w:line="480" w:lineRule="exact"/>
              <w:ind w:firstLine="480"/>
              <w:jc w:val="center"/>
              <w:rPr>
                <w:rFonts w:ascii="宋体" w:hAnsi="宋体"/>
                <w:color w:val="000000"/>
                <w:sz w:val="24"/>
              </w:rPr>
            </w:pPr>
          </w:p>
        </w:tc>
        <w:tc>
          <w:tcPr>
            <w:tcW w:w="516"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jc w:val="center"/>
              <w:rPr>
                <w:rFonts w:ascii="宋体" w:hAnsi="宋体"/>
                <w:b/>
                <w:color w:val="000000"/>
                <w:sz w:val="24"/>
              </w:rPr>
            </w:pPr>
            <w:r>
              <w:rPr>
                <w:rFonts w:hint="eastAsia" w:ascii="宋体" w:hAnsi="宋体"/>
                <w:b/>
                <w:color w:val="000000"/>
                <w:sz w:val="24"/>
              </w:rPr>
              <w:t>其他资质</w:t>
            </w:r>
          </w:p>
        </w:tc>
        <w:tc>
          <w:tcPr>
            <w:tcW w:w="1600" w:type="dxa"/>
            <w:tcBorders>
              <w:left w:val="single" w:color="auto" w:sz="4" w:space="0"/>
            </w:tcBorders>
            <w:vAlign w:val="center"/>
          </w:tcPr>
          <w:p>
            <w:pPr>
              <w:jc w:val="center"/>
              <w:rPr>
                <w:rFonts w:ascii="宋体" w:hAnsi="宋体"/>
                <w:b/>
                <w:color w:val="000000"/>
                <w:sz w:val="24"/>
              </w:rPr>
            </w:pPr>
            <w:r>
              <w:rPr>
                <w:rFonts w:hint="eastAsia" w:ascii="宋体" w:hAnsi="宋体"/>
                <w:b/>
                <w:color w:val="000000"/>
                <w:sz w:val="24"/>
              </w:rPr>
              <w:t>资质级别</w:t>
            </w:r>
          </w:p>
        </w:tc>
        <w:tc>
          <w:tcPr>
            <w:tcW w:w="1122" w:type="dxa"/>
            <w:vAlign w:val="center"/>
          </w:tcPr>
          <w:p>
            <w:pPr>
              <w:jc w:val="center"/>
              <w:rPr>
                <w:rFonts w:ascii="宋体" w:hAnsi="宋体"/>
                <w:b/>
                <w:color w:val="000000"/>
                <w:sz w:val="24"/>
              </w:rPr>
            </w:pPr>
            <w:r>
              <w:rPr>
                <w:rFonts w:hint="eastAsia" w:ascii="宋体" w:hAnsi="宋体"/>
                <w:b/>
                <w:color w:val="000000"/>
                <w:sz w:val="24"/>
              </w:rPr>
              <w:t>资质</w:t>
            </w:r>
          </w:p>
          <w:p>
            <w:pPr>
              <w:jc w:val="center"/>
              <w:rPr>
                <w:rFonts w:ascii="宋体" w:hAnsi="宋体"/>
                <w:b/>
                <w:color w:val="000000"/>
                <w:sz w:val="24"/>
              </w:rPr>
            </w:pPr>
            <w:r>
              <w:rPr>
                <w:rFonts w:hint="eastAsia" w:ascii="宋体" w:hAnsi="宋体"/>
                <w:b/>
                <w:color w:val="000000"/>
                <w:sz w:val="24"/>
              </w:rPr>
              <w:t>名称</w:t>
            </w:r>
          </w:p>
        </w:tc>
        <w:tc>
          <w:tcPr>
            <w:tcW w:w="1144" w:type="dxa"/>
            <w:vAlign w:val="center"/>
          </w:tcPr>
          <w:p>
            <w:pPr>
              <w:jc w:val="center"/>
              <w:rPr>
                <w:rFonts w:ascii="宋体" w:hAnsi="宋体"/>
                <w:b/>
                <w:color w:val="000000"/>
                <w:sz w:val="24"/>
              </w:rPr>
            </w:pPr>
            <w:r>
              <w:rPr>
                <w:rFonts w:hint="eastAsia" w:ascii="宋体" w:hAnsi="宋体"/>
                <w:b/>
                <w:color w:val="000000"/>
                <w:sz w:val="24"/>
              </w:rPr>
              <w:t>资质</w:t>
            </w:r>
          </w:p>
          <w:p>
            <w:pPr>
              <w:jc w:val="center"/>
              <w:rPr>
                <w:rFonts w:ascii="宋体" w:hAnsi="宋体"/>
                <w:b/>
                <w:color w:val="000000"/>
                <w:sz w:val="24"/>
              </w:rPr>
            </w:pPr>
            <w:r>
              <w:rPr>
                <w:rFonts w:hint="eastAsia" w:ascii="宋体" w:hAnsi="宋体"/>
                <w:b/>
                <w:color w:val="000000"/>
                <w:sz w:val="24"/>
              </w:rPr>
              <w:t>级别</w:t>
            </w:r>
          </w:p>
        </w:tc>
        <w:tc>
          <w:tcPr>
            <w:tcW w:w="1134" w:type="dxa"/>
            <w:vAlign w:val="center"/>
          </w:tcPr>
          <w:p>
            <w:pPr>
              <w:jc w:val="center"/>
              <w:rPr>
                <w:rFonts w:ascii="宋体" w:hAnsi="宋体"/>
                <w:b/>
                <w:color w:val="000000"/>
                <w:sz w:val="24"/>
              </w:rPr>
            </w:pPr>
            <w:r>
              <w:rPr>
                <w:rFonts w:hint="eastAsia" w:ascii="宋体" w:hAnsi="宋体"/>
                <w:b/>
                <w:color w:val="000000"/>
                <w:sz w:val="24"/>
              </w:rPr>
              <w:t>颁证</w:t>
            </w:r>
          </w:p>
          <w:p>
            <w:pPr>
              <w:jc w:val="center"/>
              <w:rPr>
                <w:rFonts w:ascii="宋体" w:hAnsi="宋体"/>
                <w:b/>
                <w:color w:val="000000"/>
                <w:sz w:val="24"/>
              </w:rPr>
            </w:pPr>
            <w:r>
              <w:rPr>
                <w:rFonts w:hint="eastAsia" w:ascii="宋体" w:hAnsi="宋体"/>
                <w:b/>
                <w:color w:val="000000"/>
                <w:sz w:val="24"/>
              </w:rPr>
              <w:t>机构</w:t>
            </w:r>
          </w:p>
        </w:tc>
        <w:tc>
          <w:tcPr>
            <w:tcW w:w="1611" w:type="dxa"/>
            <w:vAlign w:val="center"/>
          </w:tcPr>
          <w:p>
            <w:pPr>
              <w:jc w:val="center"/>
              <w:rPr>
                <w:rFonts w:ascii="宋体" w:hAnsi="宋体"/>
                <w:b/>
                <w:color w:val="000000"/>
                <w:sz w:val="24"/>
              </w:rPr>
            </w:pPr>
            <w:r>
              <w:rPr>
                <w:rFonts w:hint="eastAsia" w:ascii="宋体" w:hAnsi="宋体"/>
                <w:b/>
                <w:color w:val="000000"/>
                <w:sz w:val="24"/>
              </w:rPr>
              <w:t>证书有效期（起止年月）</w:t>
            </w:r>
          </w:p>
        </w:tc>
        <w:tc>
          <w:tcPr>
            <w:tcW w:w="1062" w:type="dxa"/>
            <w:vAlign w:val="center"/>
          </w:tcPr>
          <w:p>
            <w:pPr>
              <w:jc w:val="center"/>
              <w:rPr>
                <w:rFonts w:ascii="宋体" w:hAnsi="宋体"/>
                <w:b/>
                <w:color w:val="000000"/>
                <w:sz w:val="24"/>
              </w:rPr>
            </w:pPr>
            <w:r>
              <w:rPr>
                <w:rFonts w:hint="eastAsia" w:ascii="宋体" w:hAnsi="宋体"/>
                <w:b/>
                <w:color w:val="000000"/>
                <w:sz w:val="24"/>
              </w:rPr>
              <w:t>证书复印件所在页码</w:t>
            </w:r>
          </w:p>
        </w:tc>
        <w:tc>
          <w:tcPr>
            <w:tcW w:w="516" w:type="dxa"/>
            <w:vAlign w:val="center"/>
          </w:tcPr>
          <w:p>
            <w:pPr>
              <w:jc w:val="center"/>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rPr>
                <w:rFonts w:ascii="宋体" w:hAnsi="宋体"/>
                <w:color w:val="000000"/>
                <w:sz w:val="24"/>
              </w:rPr>
            </w:pPr>
            <w:r>
              <w:rPr>
                <w:rFonts w:hint="eastAsia" w:ascii="宋体" w:hAnsi="宋体"/>
                <w:color w:val="000000"/>
                <w:sz w:val="24"/>
              </w:rPr>
              <w:t xml:space="preserve"> </w:t>
            </w:r>
          </w:p>
        </w:tc>
        <w:tc>
          <w:tcPr>
            <w:tcW w:w="1600" w:type="dxa"/>
            <w:tcBorders>
              <w:left w:val="single" w:color="auto" w:sz="4" w:space="0"/>
            </w:tcBorders>
            <w:vAlign w:val="center"/>
          </w:tcPr>
          <w:p>
            <w:pPr>
              <w:rPr>
                <w:rFonts w:ascii="宋体" w:hAnsi="宋体"/>
                <w:color w:val="000000"/>
                <w:sz w:val="24"/>
              </w:rPr>
            </w:pPr>
            <w:r>
              <w:rPr>
                <w:rFonts w:hint="eastAsia" w:ascii="宋体" w:hAnsi="宋体"/>
                <w:color w:val="000000"/>
                <w:sz w:val="24"/>
              </w:rPr>
              <w:t xml:space="preserve"> </w:t>
            </w:r>
          </w:p>
        </w:tc>
        <w:tc>
          <w:tcPr>
            <w:tcW w:w="1122" w:type="dxa"/>
            <w:vAlign w:val="center"/>
          </w:tcPr>
          <w:p>
            <w:pPr>
              <w:rPr>
                <w:rFonts w:ascii="宋体" w:hAnsi="宋体"/>
                <w:color w:val="000000"/>
                <w:sz w:val="24"/>
              </w:rPr>
            </w:pPr>
          </w:p>
        </w:tc>
        <w:tc>
          <w:tcPr>
            <w:tcW w:w="1144" w:type="dxa"/>
            <w:vAlign w:val="center"/>
          </w:tcPr>
          <w:p>
            <w:pPr>
              <w:rPr>
                <w:rFonts w:ascii="宋体" w:hAnsi="宋体"/>
                <w:color w:val="000000"/>
                <w:sz w:val="24"/>
              </w:rPr>
            </w:pPr>
          </w:p>
        </w:tc>
        <w:tc>
          <w:tcPr>
            <w:tcW w:w="1134" w:type="dxa"/>
            <w:vAlign w:val="center"/>
          </w:tcPr>
          <w:p>
            <w:pPr>
              <w:rPr>
                <w:rFonts w:ascii="宋体" w:hAnsi="宋体"/>
                <w:color w:val="000000"/>
                <w:sz w:val="24"/>
              </w:rPr>
            </w:pPr>
          </w:p>
        </w:tc>
        <w:tc>
          <w:tcPr>
            <w:tcW w:w="1611" w:type="dxa"/>
            <w:vAlign w:val="center"/>
          </w:tcPr>
          <w:p>
            <w:pPr>
              <w:rPr>
                <w:rFonts w:ascii="宋体" w:hAnsi="宋体"/>
                <w:color w:val="000000"/>
                <w:sz w:val="24"/>
              </w:rPr>
            </w:pPr>
          </w:p>
        </w:tc>
        <w:tc>
          <w:tcPr>
            <w:tcW w:w="1062" w:type="dxa"/>
            <w:vAlign w:val="center"/>
          </w:tcPr>
          <w:p>
            <w:pPr>
              <w:rPr>
                <w:rFonts w:ascii="宋体" w:hAnsi="宋体"/>
                <w:color w:val="000000"/>
                <w:sz w:val="24"/>
              </w:rPr>
            </w:pPr>
          </w:p>
        </w:tc>
        <w:tc>
          <w:tcPr>
            <w:tcW w:w="516"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rPr>
                <w:rFonts w:ascii="宋体" w:hAnsi="宋体"/>
                <w:color w:val="000000"/>
                <w:sz w:val="24"/>
              </w:rPr>
            </w:pPr>
            <w:r>
              <w:rPr>
                <w:rFonts w:hint="eastAsia" w:ascii="宋体" w:hAnsi="宋体"/>
                <w:color w:val="000000"/>
                <w:sz w:val="24"/>
              </w:rPr>
              <w:t xml:space="preserve"> </w:t>
            </w:r>
          </w:p>
        </w:tc>
        <w:tc>
          <w:tcPr>
            <w:tcW w:w="1600" w:type="dxa"/>
            <w:tcBorders>
              <w:left w:val="single" w:color="auto" w:sz="4" w:space="0"/>
            </w:tcBorders>
            <w:vAlign w:val="center"/>
          </w:tcPr>
          <w:p>
            <w:pPr>
              <w:rPr>
                <w:rFonts w:ascii="宋体" w:hAnsi="宋体"/>
                <w:color w:val="000000"/>
                <w:sz w:val="24"/>
              </w:rPr>
            </w:pPr>
            <w:r>
              <w:rPr>
                <w:rFonts w:hint="eastAsia" w:ascii="宋体" w:hAnsi="宋体"/>
                <w:color w:val="000000"/>
                <w:sz w:val="24"/>
              </w:rPr>
              <w:t xml:space="preserve"> </w:t>
            </w:r>
          </w:p>
        </w:tc>
        <w:tc>
          <w:tcPr>
            <w:tcW w:w="1122" w:type="dxa"/>
            <w:vAlign w:val="center"/>
          </w:tcPr>
          <w:p>
            <w:pPr>
              <w:rPr>
                <w:rFonts w:ascii="宋体" w:hAnsi="宋体"/>
                <w:color w:val="000000"/>
                <w:sz w:val="24"/>
              </w:rPr>
            </w:pPr>
          </w:p>
        </w:tc>
        <w:tc>
          <w:tcPr>
            <w:tcW w:w="1144" w:type="dxa"/>
            <w:vAlign w:val="center"/>
          </w:tcPr>
          <w:p>
            <w:pPr>
              <w:rPr>
                <w:rFonts w:ascii="宋体" w:hAnsi="宋体"/>
                <w:color w:val="000000"/>
                <w:sz w:val="24"/>
              </w:rPr>
            </w:pPr>
          </w:p>
        </w:tc>
        <w:tc>
          <w:tcPr>
            <w:tcW w:w="1134" w:type="dxa"/>
            <w:vAlign w:val="center"/>
          </w:tcPr>
          <w:p>
            <w:pPr>
              <w:rPr>
                <w:rFonts w:ascii="宋体" w:hAnsi="宋体"/>
                <w:color w:val="000000"/>
                <w:sz w:val="24"/>
              </w:rPr>
            </w:pPr>
          </w:p>
        </w:tc>
        <w:tc>
          <w:tcPr>
            <w:tcW w:w="1611" w:type="dxa"/>
            <w:vAlign w:val="center"/>
          </w:tcPr>
          <w:p>
            <w:pPr>
              <w:rPr>
                <w:rFonts w:ascii="宋体" w:hAnsi="宋体"/>
                <w:color w:val="000000"/>
                <w:sz w:val="24"/>
              </w:rPr>
            </w:pPr>
          </w:p>
        </w:tc>
        <w:tc>
          <w:tcPr>
            <w:tcW w:w="1062" w:type="dxa"/>
            <w:vAlign w:val="center"/>
          </w:tcPr>
          <w:p>
            <w:pPr>
              <w:rPr>
                <w:rFonts w:ascii="宋体" w:hAnsi="宋体"/>
                <w:color w:val="000000"/>
                <w:sz w:val="24"/>
              </w:rPr>
            </w:pPr>
          </w:p>
        </w:tc>
        <w:tc>
          <w:tcPr>
            <w:tcW w:w="516"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rPr>
                <w:rFonts w:ascii="宋体" w:hAnsi="宋体"/>
                <w:color w:val="000000"/>
                <w:sz w:val="24"/>
              </w:rPr>
            </w:pPr>
          </w:p>
        </w:tc>
        <w:tc>
          <w:tcPr>
            <w:tcW w:w="1600" w:type="dxa"/>
            <w:tcBorders>
              <w:left w:val="single" w:color="auto" w:sz="4" w:space="0"/>
            </w:tcBorders>
            <w:vAlign w:val="center"/>
          </w:tcPr>
          <w:p>
            <w:pPr>
              <w:rPr>
                <w:rFonts w:ascii="宋体" w:hAnsi="宋体"/>
                <w:color w:val="000000"/>
                <w:sz w:val="24"/>
              </w:rPr>
            </w:pPr>
          </w:p>
        </w:tc>
        <w:tc>
          <w:tcPr>
            <w:tcW w:w="1122" w:type="dxa"/>
            <w:vAlign w:val="center"/>
          </w:tcPr>
          <w:p>
            <w:pPr>
              <w:rPr>
                <w:rFonts w:ascii="宋体" w:hAnsi="宋体"/>
                <w:color w:val="000000"/>
                <w:sz w:val="24"/>
              </w:rPr>
            </w:pPr>
          </w:p>
        </w:tc>
        <w:tc>
          <w:tcPr>
            <w:tcW w:w="1144" w:type="dxa"/>
            <w:vAlign w:val="center"/>
          </w:tcPr>
          <w:p>
            <w:pPr>
              <w:rPr>
                <w:rFonts w:ascii="宋体" w:hAnsi="宋体"/>
                <w:color w:val="000000"/>
                <w:sz w:val="24"/>
              </w:rPr>
            </w:pPr>
          </w:p>
        </w:tc>
        <w:tc>
          <w:tcPr>
            <w:tcW w:w="1134" w:type="dxa"/>
            <w:vAlign w:val="center"/>
          </w:tcPr>
          <w:p>
            <w:pPr>
              <w:rPr>
                <w:rFonts w:ascii="宋体" w:hAnsi="宋体"/>
                <w:color w:val="000000"/>
                <w:sz w:val="24"/>
              </w:rPr>
            </w:pPr>
          </w:p>
        </w:tc>
        <w:tc>
          <w:tcPr>
            <w:tcW w:w="1611" w:type="dxa"/>
            <w:vAlign w:val="center"/>
          </w:tcPr>
          <w:p>
            <w:pPr>
              <w:rPr>
                <w:rFonts w:ascii="宋体" w:hAnsi="宋体"/>
                <w:color w:val="000000"/>
                <w:sz w:val="24"/>
              </w:rPr>
            </w:pPr>
          </w:p>
        </w:tc>
        <w:tc>
          <w:tcPr>
            <w:tcW w:w="1062" w:type="dxa"/>
            <w:vAlign w:val="center"/>
          </w:tcPr>
          <w:p>
            <w:pPr>
              <w:rPr>
                <w:rFonts w:ascii="宋体" w:hAnsi="宋体"/>
                <w:color w:val="000000"/>
                <w:sz w:val="24"/>
              </w:rPr>
            </w:pPr>
          </w:p>
        </w:tc>
        <w:tc>
          <w:tcPr>
            <w:tcW w:w="516"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rPr>
                <w:rFonts w:ascii="宋体" w:hAnsi="宋体"/>
                <w:color w:val="000000"/>
                <w:sz w:val="24"/>
              </w:rPr>
            </w:pPr>
          </w:p>
        </w:tc>
        <w:tc>
          <w:tcPr>
            <w:tcW w:w="1600" w:type="dxa"/>
            <w:tcBorders>
              <w:left w:val="single" w:color="auto" w:sz="4" w:space="0"/>
            </w:tcBorders>
            <w:vAlign w:val="center"/>
          </w:tcPr>
          <w:p>
            <w:pPr>
              <w:rPr>
                <w:rFonts w:ascii="宋体" w:hAnsi="宋体"/>
                <w:color w:val="000000"/>
                <w:sz w:val="24"/>
              </w:rPr>
            </w:pPr>
          </w:p>
        </w:tc>
        <w:tc>
          <w:tcPr>
            <w:tcW w:w="1122" w:type="dxa"/>
            <w:vAlign w:val="center"/>
          </w:tcPr>
          <w:p>
            <w:pPr>
              <w:rPr>
                <w:rFonts w:ascii="宋体" w:hAnsi="宋体"/>
                <w:color w:val="000000"/>
                <w:sz w:val="24"/>
              </w:rPr>
            </w:pPr>
          </w:p>
        </w:tc>
        <w:tc>
          <w:tcPr>
            <w:tcW w:w="1144" w:type="dxa"/>
            <w:vAlign w:val="center"/>
          </w:tcPr>
          <w:p>
            <w:pPr>
              <w:rPr>
                <w:rFonts w:ascii="宋体" w:hAnsi="宋体"/>
                <w:color w:val="000000"/>
                <w:sz w:val="24"/>
              </w:rPr>
            </w:pPr>
          </w:p>
        </w:tc>
        <w:tc>
          <w:tcPr>
            <w:tcW w:w="1134" w:type="dxa"/>
            <w:vAlign w:val="center"/>
          </w:tcPr>
          <w:p>
            <w:pPr>
              <w:rPr>
                <w:rFonts w:ascii="宋体" w:hAnsi="宋体"/>
                <w:color w:val="000000"/>
                <w:sz w:val="24"/>
              </w:rPr>
            </w:pPr>
          </w:p>
        </w:tc>
        <w:tc>
          <w:tcPr>
            <w:tcW w:w="1611" w:type="dxa"/>
            <w:vAlign w:val="center"/>
          </w:tcPr>
          <w:p>
            <w:pPr>
              <w:rPr>
                <w:rFonts w:ascii="宋体" w:hAnsi="宋体"/>
                <w:color w:val="000000"/>
                <w:sz w:val="24"/>
              </w:rPr>
            </w:pPr>
          </w:p>
        </w:tc>
        <w:tc>
          <w:tcPr>
            <w:tcW w:w="1062" w:type="dxa"/>
            <w:vAlign w:val="center"/>
          </w:tcPr>
          <w:p>
            <w:pPr>
              <w:rPr>
                <w:rFonts w:ascii="宋体" w:hAnsi="宋体"/>
                <w:color w:val="000000"/>
                <w:sz w:val="24"/>
              </w:rPr>
            </w:pPr>
          </w:p>
        </w:tc>
        <w:tc>
          <w:tcPr>
            <w:tcW w:w="516"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rPr>
                <w:rFonts w:ascii="宋体" w:hAnsi="宋体"/>
                <w:color w:val="000000"/>
                <w:sz w:val="24"/>
              </w:rPr>
            </w:pPr>
          </w:p>
        </w:tc>
        <w:tc>
          <w:tcPr>
            <w:tcW w:w="1600" w:type="dxa"/>
            <w:tcBorders>
              <w:left w:val="single" w:color="auto" w:sz="4" w:space="0"/>
            </w:tcBorders>
            <w:vAlign w:val="center"/>
          </w:tcPr>
          <w:p>
            <w:pPr>
              <w:rPr>
                <w:rFonts w:ascii="宋体" w:hAnsi="宋体"/>
                <w:color w:val="000000"/>
                <w:sz w:val="24"/>
              </w:rPr>
            </w:pPr>
          </w:p>
        </w:tc>
        <w:tc>
          <w:tcPr>
            <w:tcW w:w="1122" w:type="dxa"/>
            <w:vAlign w:val="center"/>
          </w:tcPr>
          <w:p>
            <w:pPr>
              <w:rPr>
                <w:rFonts w:ascii="宋体" w:hAnsi="宋体"/>
                <w:color w:val="000000"/>
                <w:sz w:val="24"/>
              </w:rPr>
            </w:pPr>
          </w:p>
        </w:tc>
        <w:tc>
          <w:tcPr>
            <w:tcW w:w="1144" w:type="dxa"/>
            <w:vAlign w:val="center"/>
          </w:tcPr>
          <w:p>
            <w:pPr>
              <w:rPr>
                <w:rFonts w:ascii="宋体" w:hAnsi="宋体"/>
                <w:color w:val="000000"/>
                <w:sz w:val="24"/>
              </w:rPr>
            </w:pPr>
          </w:p>
        </w:tc>
        <w:tc>
          <w:tcPr>
            <w:tcW w:w="1134" w:type="dxa"/>
            <w:vAlign w:val="center"/>
          </w:tcPr>
          <w:p>
            <w:pPr>
              <w:rPr>
                <w:rFonts w:ascii="宋体" w:hAnsi="宋体"/>
                <w:color w:val="000000"/>
                <w:sz w:val="24"/>
              </w:rPr>
            </w:pPr>
          </w:p>
        </w:tc>
        <w:tc>
          <w:tcPr>
            <w:tcW w:w="1611" w:type="dxa"/>
            <w:vAlign w:val="center"/>
          </w:tcPr>
          <w:p>
            <w:pPr>
              <w:rPr>
                <w:rFonts w:ascii="宋体" w:hAnsi="宋体"/>
                <w:color w:val="000000"/>
                <w:sz w:val="24"/>
              </w:rPr>
            </w:pPr>
          </w:p>
        </w:tc>
        <w:tc>
          <w:tcPr>
            <w:tcW w:w="1062" w:type="dxa"/>
            <w:vAlign w:val="center"/>
          </w:tcPr>
          <w:p>
            <w:pPr>
              <w:rPr>
                <w:rFonts w:ascii="宋体" w:hAnsi="宋体"/>
                <w:color w:val="000000"/>
                <w:sz w:val="24"/>
              </w:rPr>
            </w:pPr>
          </w:p>
        </w:tc>
        <w:tc>
          <w:tcPr>
            <w:tcW w:w="516"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rPr>
                <w:rFonts w:ascii="宋体" w:hAnsi="宋体"/>
                <w:color w:val="000000"/>
                <w:sz w:val="24"/>
              </w:rPr>
            </w:pPr>
          </w:p>
        </w:tc>
        <w:tc>
          <w:tcPr>
            <w:tcW w:w="1600" w:type="dxa"/>
            <w:tcBorders>
              <w:left w:val="single" w:color="auto" w:sz="4" w:space="0"/>
            </w:tcBorders>
            <w:vAlign w:val="center"/>
          </w:tcPr>
          <w:p>
            <w:pPr>
              <w:rPr>
                <w:rFonts w:ascii="宋体" w:hAnsi="宋体"/>
                <w:color w:val="000000"/>
                <w:sz w:val="24"/>
              </w:rPr>
            </w:pPr>
          </w:p>
        </w:tc>
        <w:tc>
          <w:tcPr>
            <w:tcW w:w="1122" w:type="dxa"/>
            <w:vAlign w:val="center"/>
          </w:tcPr>
          <w:p>
            <w:pPr>
              <w:rPr>
                <w:rFonts w:ascii="宋体" w:hAnsi="宋体"/>
                <w:color w:val="000000"/>
                <w:sz w:val="24"/>
              </w:rPr>
            </w:pPr>
          </w:p>
        </w:tc>
        <w:tc>
          <w:tcPr>
            <w:tcW w:w="1144" w:type="dxa"/>
            <w:vAlign w:val="center"/>
          </w:tcPr>
          <w:p>
            <w:pPr>
              <w:rPr>
                <w:rFonts w:ascii="宋体" w:hAnsi="宋体"/>
                <w:color w:val="000000"/>
                <w:sz w:val="24"/>
              </w:rPr>
            </w:pPr>
          </w:p>
        </w:tc>
        <w:tc>
          <w:tcPr>
            <w:tcW w:w="1134" w:type="dxa"/>
            <w:vAlign w:val="center"/>
          </w:tcPr>
          <w:p>
            <w:pPr>
              <w:rPr>
                <w:rFonts w:ascii="宋体" w:hAnsi="宋体"/>
                <w:color w:val="000000"/>
                <w:sz w:val="24"/>
              </w:rPr>
            </w:pPr>
          </w:p>
        </w:tc>
        <w:tc>
          <w:tcPr>
            <w:tcW w:w="1611" w:type="dxa"/>
            <w:vAlign w:val="center"/>
          </w:tcPr>
          <w:p>
            <w:pPr>
              <w:rPr>
                <w:rFonts w:ascii="宋体" w:hAnsi="宋体"/>
                <w:color w:val="000000"/>
                <w:sz w:val="24"/>
              </w:rPr>
            </w:pPr>
          </w:p>
        </w:tc>
        <w:tc>
          <w:tcPr>
            <w:tcW w:w="1062" w:type="dxa"/>
            <w:vAlign w:val="center"/>
          </w:tcPr>
          <w:p>
            <w:pPr>
              <w:rPr>
                <w:rFonts w:ascii="宋体" w:hAnsi="宋体"/>
                <w:color w:val="000000"/>
                <w:sz w:val="24"/>
              </w:rPr>
            </w:pPr>
          </w:p>
        </w:tc>
        <w:tc>
          <w:tcPr>
            <w:tcW w:w="516" w:type="dxa"/>
            <w:vAlign w:val="center"/>
          </w:tcPr>
          <w:p>
            <w:pPr>
              <w:rPr>
                <w:rFonts w:ascii="宋体" w:hAnsi="宋体"/>
                <w:color w:val="000000"/>
                <w:sz w:val="24"/>
              </w:rPr>
            </w:pPr>
          </w:p>
        </w:tc>
      </w:tr>
    </w:tbl>
    <w:p>
      <w:pPr>
        <w:autoSpaceDE w:val="0"/>
        <w:autoSpaceDN w:val="0"/>
        <w:adjustRightInd w:val="0"/>
        <w:rPr>
          <w:rFonts w:ascii="宋体" w:hAnsi="宋体"/>
          <w:b/>
          <w:color w:val="000000"/>
          <w:sz w:val="24"/>
        </w:rPr>
      </w:pPr>
    </w:p>
    <w:p>
      <w:pPr>
        <w:pStyle w:val="23"/>
        <w:ind w:firstLine="241"/>
        <w:rPr>
          <w:rFonts w:ascii="宋体" w:hAnsi="宋体"/>
          <w:b/>
          <w:color w:val="000000"/>
          <w:sz w:val="24"/>
        </w:rPr>
      </w:pPr>
    </w:p>
    <w:p>
      <w:pPr>
        <w:pStyle w:val="23"/>
        <w:ind w:firstLine="241"/>
        <w:rPr>
          <w:rFonts w:ascii="宋体" w:hAnsi="宋体"/>
          <w:b/>
          <w:color w:val="000000"/>
          <w:sz w:val="24"/>
        </w:rPr>
      </w:pPr>
    </w:p>
    <w:p>
      <w:pPr>
        <w:pStyle w:val="23"/>
        <w:ind w:firstLine="241"/>
        <w:rPr>
          <w:rFonts w:ascii="宋体" w:hAnsi="宋体"/>
          <w:b/>
          <w:color w:val="000000"/>
          <w:sz w:val="24"/>
        </w:rPr>
      </w:pPr>
    </w:p>
    <w:p>
      <w:pPr>
        <w:pStyle w:val="23"/>
        <w:ind w:firstLine="241"/>
        <w:rPr>
          <w:rFonts w:ascii="宋体" w:hAnsi="宋体"/>
          <w:b/>
          <w:color w:val="000000"/>
          <w:sz w:val="24"/>
        </w:rPr>
      </w:pPr>
    </w:p>
    <w:p>
      <w:pPr>
        <w:pStyle w:val="23"/>
        <w:ind w:firstLine="241"/>
        <w:rPr>
          <w:rFonts w:ascii="宋体" w:hAnsi="宋体"/>
          <w:b/>
          <w:color w:val="000000"/>
          <w:sz w:val="24"/>
        </w:rPr>
      </w:pPr>
    </w:p>
    <w:p>
      <w:pPr>
        <w:pStyle w:val="23"/>
        <w:ind w:firstLine="241"/>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autoSpaceDE w:val="0"/>
        <w:autoSpaceDN w:val="0"/>
        <w:adjustRightInd w:val="0"/>
        <w:spacing w:after="143" w:line="440" w:lineRule="exact"/>
        <w:jc w:val="center"/>
        <w:rPr>
          <w:rFonts w:ascii="宋体" w:hAnsi="宋体" w:cs="Arial"/>
          <w:b/>
          <w:color w:val="000000"/>
          <w:sz w:val="24"/>
        </w:rPr>
      </w:pPr>
      <w:r>
        <w:rPr>
          <w:rFonts w:hint="eastAsia" w:ascii="宋体" w:hAnsi="宋体" w:cs="Arial"/>
          <w:b/>
          <w:color w:val="000000"/>
          <w:sz w:val="24"/>
        </w:rPr>
        <w:t>六、投标人情况介绍</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jc w:val="center"/>
        <w:rPr>
          <w:rFonts w:ascii="宋体" w:hAnsi="宋体" w:cs="Arial"/>
          <w:b/>
          <w:color w:val="000000"/>
          <w:sz w:val="24"/>
        </w:rPr>
      </w:pPr>
      <w:r>
        <w:rPr>
          <w:rFonts w:hint="eastAsia" w:ascii="宋体" w:hAnsi="宋体" w:cs="Arial"/>
          <w:b/>
          <w:color w:val="000000"/>
          <w:sz w:val="24"/>
        </w:rPr>
        <w:t>（</w:t>
      </w:r>
      <w:r>
        <w:rPr>
          <w:rFonts w:hint="eastAsia" w:ascii="宋体" w:hAnsi="宋体"/>
          <w:b/>
          <w:bCs/>
          <w:color w:val="000000"/>
          <w:sz w:val="24"/>
        </w:rPr>
        <w:t>一般情况、</w:t>
      </w:r>
      <w:r>
        <w:rPr>
          <w:rFonts w:hint="eastAsia" w:ascii="宋体" w:hAnsi="宋体" w:cs="Arial"/>
          <w:b/>
          <w:color w:val="000000"/>
          <w:sz w:val="24"/>
        </w:rPr>
        <w:t>主要产品、技术力量、生产规模、经营业绩、公司财务状况等情况，具体内容由投标人自行编制）</w:t>
      </w:r>
    </w:p>
    <w:p>
      <w:pPr>
        <w:autoSpaceDE w:val="0"/>
        <w:autoSpaceDN w:val="0"/>
        <w:adjustRightInd w:val="0"/>
        <w:spacing w:after="143" w:line="440" w:lineRule="exact"/>
        <w:rPr>
          <w:rFonts w:ascii="宋体" w:hAnsi="宋体"/>
          <w:b/>
          <w:color w:val="000000"/>
          <w:sz w:val="24"/>
        </w:rPr>
      </w:pPr>
      <w:r>
        <w:rPr>
          <w:rFonts w:hint="eastAsia" w:ascii="宋体" w:hAnsi="宋体"/>
          <w:b/>
          <w:color w:val="000000"/>
          <w:sz w:val="24"/>
        </w:rPr>
        <w:t xml:space="preserve">附表: </w:t>
      </w:r>
      <w:r>
        <w:rPr>
          <w:rFonts w:hint="eastAsia" w:ascii="宋体" w:hAnsi="宋体" w:cs="Arial"/>
          <w:b/>
          <w:color w:val="000000"/>
          <w:sz w:val="24"/>
        </w:rPr>
        <w:t>投标人</w:t>
      </w:r>
      <w:r>
        <w:rPr>
          <w:rFonts w:hint="eastAsia" w:ascii="宋体" w:hAnsi="宋体"/>
          <w:b/>
          <w:color w:val="000000"/>
          <w:sz w:val="24"/>
        </w:rPr>
        <w:t xml:space="preserve">信息 </w:t>
      </w:r>
    </w:p>
    <w:tbl>
      <w:tblPr>
        <w:tblStyle w:val="24"/>
        <w:tblW w:w="9079" w:type="dxa"/>
        <w:tblInd w:w="168" w:type="dxa"/>
        <w:tblLayout w:type="fixed"/>
        <w:tblCellMar>
          <w:top w:w="0" w:type="dxa"/>
          <w:left w:w="168" w:type="dxa"/>
          <w:bottom w:w="0" w:type="dxa"/>
          <w:right w:w="168" w:type="dxa"/>
        </w:tblCellMar>
      </w:tblPr>
      <w:tblGrid>
        <w:gridCol w:w="5258"/>
        <w:gridCol w:w="3821"/>
      </w:tblGrid>
      <w:tr>
        <w:tblPrEx>
          <w:tblCellMar>
            <w:top w:w="0" w:type="dxa"/>
            <w:left w:w="168" w:type="dxa"/>
            <w:bottom w:w="0" w:type="dxa"/>
            <w:right w:w="168" w:type="dxa"/>
          </w:tblCellMar>
        </w:tblPrEx>
        <w:trPr>
          <w:trHeight w:val="428" w:hRule="atLeast"/>
        </w:trPr>
        <w:tc>
          <w:tcPr>
            <w:tcW w:w="5258" w:type="dxa"/>
            <w:tcBorders>
              <w:top w:val="single" w:color="auto" w:sz="6" w:space="0"/>
              <w:left w:val="single" w:color="auto" w:sz="6" w:space="0"/>
              <w:bottom w:val="nil"/>
              <w:right w:val="nil"/>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项目</w:t>
            </w:r>
          </w:p>
        </w:tc>
        <w:tc>
          <w:tcPr>
            <w:tcW w:w="3821" w:type="dxa"/>
            <w:tcBorders>
              <w:top w:val="single" w:color="auto" w:sz="6" w:space="0"/>
              <w:left w:val="single" w:color="auto" w:sz="6" w:space="0"/>
              <w:bottom w:val="nil"/>
              <w:right w:val="single" w:color="auto" w:sz="6" w:space="0"/>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叙述/提供</w:t>
            </w:r>
          </w:p>
        </w:tc>
      </w:tr>
      <w:tr>
        <w:tblPrEx>
          <w:tblCellMar>
            <w:top w:w="0" w:type="dxa"/>
            <w:left w:w="168" w:type="dxa"/>
            <w:bottom w:w="0" w:type="dxa"/>
            <w:right w:w="168" w:type="dxa"/>
          </w:tblCellMar>
        </w:tblPrEx>
        <w:trPr>
          <w:trHeight w:val="6226" w:hRule="atLeast"/>
        </w:trPr>
        <w:tc>
          <w:tcPr>
            <w:tcW w:w="5258" w:type="dxa"/>
            <w:tcBorders>
              <w:top w:val="single" w:color="auto" w:sz="6" w:space="0"/>
              <w:left w:val="single" w:color="auto" w:sz="6" w:space="0"/>
              <w:bottom w:val="single" w:color="auto" w:sz="6" w:space="0"/>
              <w:right w:val="nil"/>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1.一般情况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1.1</w:t>
            </w:r>
            <w:r>
              <w:rPr>
                <w:rFonts w:hint="eastAsia" w:ascii="宋体" w:hAnsi="宋体"/>
                <w:color w:val="000000"/>
                <w:sz w:val="24"/>
              </w:rPr>
              <w:tab/>
            </w:r>
            <w:r>
              <w:rPr>
                <w:rFonts w:hint="eastAsia" w:ascii="宋体" w:hAnsi="宋体"/>
                <w:color w:val="000000"/>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1.2</w:t>
            </w:r>
            <w:r>
              <w:rPr>
                <w:rFonts w:hint="eastAsia" w:ascii="宋体" w:hAnsi="宋体"/>
                <w:color w:val="000000"/>
                <w:sz w:val="24"/>
              </w:rPr>
              <w:tab/>
            </w:r>
            <w:r>
              <w:rPr>
                <w:rFonts w:hint="eastAsia" w:ascii="宋体" w:hAnsi="宋体"/>
                <w:color w:val="000000"/>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1.3</w:t>
            </w:r>
            <w:r>
              <w:rPr>
                <w:rFonts w:hint="eastAsia" w:ascii="宋体" w:hAnsi="宋体"/>
                <w:color w:val="000000"/>
                <w:sz w:val="24"/>
              </w:rPr>
              <w:tab/>
            </w:r>
            <w:r>
              <w:rPr>
                <w:rFonts w:hint="eastAsia" w:ascii="宋体" w:hAnsi="宋体"/>
                <w:color w:val="000000"/>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1.4</w:t>
            </w:r>
            <w:r>
              <w:rPr>
                <w:rFonts w:hint="eastAsia" w:ascii="宋体" w:hAnsi="宋体"/>
                <w:color w:val="000000"/>
                <w:sz w:val="24"/>
              </w:rPr>
              <w:tab/>
            </w:r>
            <w:r>
              <w:rPr>
                <w:rFonts w:hint="eastAsia" w:ascii="宋体" w:hAnsi="宋体"/>
                <w:color w:val="000000"/>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1.5</w:t>
            </w:r>
            <w:r>
              <w:rPr>
                <w:rFonts w:hint="eastAsia" w:ascii="宋体" w:hAnsi="宋体"/>
                <w:color w:val="000000"/>
                <w:sz w:val="24"/>
              </w:rPr>
              <w:tab/>
            </w:r>
            <w:r>
              <w:rPr>
                <w:rFonts w:hint="eastAsia" w:ascii="宋体" w:hAnsi="宋体"/>
                <w:color w:val="000000"/>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1.6</w:t>
            </w:r>
            <w:r>
              <w:rPr>
                <w:rFonts w:hint="eastAsia" w:ascii="宋体" w:hAnsi="宋体"/>
                <w:color w:val="000000"/>
                <w:sz w:val="24"/>
              </w:rPr>
              <w:tab/>
            </w:r>
            <w:r>
              <w:rPr>
                <w:rFonts w:hint="eastAsia" w:ascii="宋体" w:hAnsi="宋体"/>
                <w:color w:val="000000"/>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1.7</w:t>
            </w:r>
            <w:r>
              <w:rPr>
                <w:rFonts w:hint="eastAsia" w:ascii="宋体" w:hAnsi="宋体"/>
                <w:color w:val="000000"/>
                <w:sz w:val="24"/>
              </w:rPr>
              <w:tab/>
            </w:r>
            <w:r>
              <w:rPr>
                <w:rFonts w:hint="eastAsia" w:ascii="宋体" w:hAnsi="宋体"/>
                <w:color w:val="000000"/>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1.8</w:t>
            </w:r>
            <w:r>
              <w:rPr>
                <w:rFonts w:hint="eastAsia" w:ascii="宋体" w:hAnsi="宋体"/>
                <w:color w:val="000000"/>
                <w:sz w:val="24"/>
              </w:rPr>
              <w:tab/>
            </w:r>
            <w:r>
              <w:rPr>
                <w:rFonts w:hint="eastAsia" w:ascii="宋体" w:hAnsi="宋体"/>
                <w:color w:val="000000"/>
                <w:sz w:val="24"/>
              </w:rPr>
              <w:t>典型工程实例: 需提供合同</w:t>
            </w:r>
            <w:r>
              <w:rPr>
                <w:rFonts w:hint="eastAsia" w:ascii="宋体" w:hAnsi="宋体"/>
                <w:color w:val="000000"/>
                <w:sz w:val="24"/>
              </w:rPr>
              <w:tab/>
            </w:r>
            <w:r>
              <w:rPr>
                <w:rFonts w:hint="eastAsia" w:ascii="宋体" w:hAnsi="宋体"/>
                <w:color w:val="000000"/>
                <w:sz w:val="24"/>
              </w:rPr>
              <w:t>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2.主要产品</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3.技术力量</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4.生产规模</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5.经营业绩</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6.公司财务状况等情况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具体内容由投标人自行编制</w:t>
            </w:r>
          </w:p>
        </w:tc>
        <w:tc>
          <w:tcPr>
            <w:tcW w:w="3821" w:type="dxa"/>
            <w:tcBorders>
              <w:top w:val="single" w:color="auto" w:sz="6" w:space="0"/>
              <w:left w:val="single" w:color="auto" w:sz="6" w:space="0"/>
              <w:bottom w:val="single" w:color="auto" w:sz="6" w:space="0"/>
              <w:right w:val="single" w:color="auto" w:sz="6" w:space="0"/>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p>
        </w:tc>
      </w:tr>
    </w:tbl>
    <w:p>
      <w:pPr>
        <w:autoSpaceDE w:val="0"/>
        <w:autoSpaceDN w:val="0"/>
        <w:adjustRightInd w:val="0"/>
        <w:spacing w:line="420" w:lineRule="exact"/>
        <w:rPr>
          <w:rFonts w:ascii="宋体" w:hAnsi="宋体"/>
          <w:color w:val="000000"/>
          <w:kern w:val="0"/>
          <w:sz w:val="24"/>
        </w:rPr>
      </w:pPr>
    </w:p>
    <w:p>
      <w:pPr>
        <w:autoSpaceDE w:val="0"/>
        <w:autoSpaceDN w:val="0"/>
        <w:adjustRightInd w:val="0"/>
        <w:spacing w:line="420" w:lineRule="exact"/>
        <w:rPr>
          <w:rFonts w:ascii="宋体" w:hAnsi="宋体"/>
          <w:color w:val="000000"/>
          <w:kern w:val="0"/>
          <w:sz w:val="24"/>
        </w:rPr>
      </w:pPr>
    </w:p>
    <w:p>
      <w:pPr>
        <w:autoSpaceDE w:val="0"/>
        <w:autoSpaceDN w:val="0"/>
        <w:adjustRightInd w:val="0"/>
        <w:spacing w:line="420" w:lineRule="exact"/>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名称（公章）：</w:t>
      </w:r>
    </w:p>
    <w:p>
      <w:pPr>
        <w:autoSpaceDE w:val="0"/>
        <w:autoSpaceDN w:val="0"/>
        <w:adjustRightInd w:val="0"/>
        <w:spacing w:line="420" w:lineRule="exact"/>
        <w:ind w:firstLine="4800" w:firstLineChars="2000"/>
        <w:rPr>
          <w:rFonts w:ascii="宋体" w:hAnsi="宋体"/>
          <w:color w:val="000000"/>
          <w:kern w:val="0"/>
          <w:sz w:val="24"/>
        </w:rPr>
      </w:pPr>
      <w:r>
        <w:rPr>
          <w:rFonts w:hint="eastAsia" w:ascii="宋体" w:hAnsi="宋体"/>
          <w:color w:val="000000"/>
          <w:kern w:val="0"/>
          <w:sz w:val="24"/>
        </w:rPr>
        <w:t>法定代表人或授权委托人（签字）：</w:t>
      </w:r>
    </w:p>
    <w:p>
      <w:pPr>
        <w:autoSpaceDE w:val="0"/>
        <w:autoSpaceDN w:val="0"/>
        <w:adjustRightInd w:val="0"/>
        <w:spacing w:line="440" w:lineRule="exact"/>
        <w:rPr>
          <w:rFonts w:ascii="宋体" w:hAnsi="宋体"/>
          <w:color w:val="000000"/>
          <w:sz w:val="24"/>
        </w:rPr>
      </w:pPr>
      <w:r>
        <w:rPr>
          <w:rFonts w:hint="eastAsia" w:ascii="宋体" w:hAnsi="宋体"/>
          <w:color w:val="000000"/>
          <w:kern w:val="0"/>
          <w:sz w:val="24"/>
        </w:rPr>
        <w:t xml:space="preserve">                                        日期：    年  月   日</w:t>
      </w:r>
    </w:p>
    <w:p>
      <w:pPr>
        <w:pStyle w:val="4"/>
      </w:pPr>
    </w:p>
    <w:p>
      <w:pPr>
        <w:autoSpaceDE w:val="0"/>
        <w:autoSpaceDN w:val="0"/>
        <w:adjustRightInd w:val="0"/>
        <w:spacing w:line="440" w:lineRule="exact"/>
        <w:rPr>
          <w:rFonts w:ascii="宋体" w:hAnsi="宋体"/>
          <w:b/>
          <w:color w:val="000000"/>
          <w:sz w:val="24"/>
          <w:lang w:val="zh-CN"/>
        </w:rPr>
      </w:pPr>
    </w:p>
    <w:p>
      <w:pPr>
        <w:pStyle w:val="13"/>
        <w:rPr>
          <w:rFonts w:hAnsi="宋体"/>
          <w:b/>
          <w:color w:val="000000"/>
          <w:sz w:val="24"/>
          <w:lang w:val="zh-CN"/>
        </w:rPr>
      </w:pPr>
    </w:p>
    <w:p>
      <w:pPr>
        <w:rPr>
          <w:lang w:val="zh-CN"/>
        </w:rPr>
      </w:pPr>
    </w:p>
    <w:p>
      <w:pPr>
        <w:numPr>
          <w:ilvl w:val="0"/>
          <w:numId w:val="0"/>
        </w:numPr>
        <w:autoSpaceDE w:val="0"/>
        <w:autoSpaceDN w:val="0"/>
        <w:adjustRightInd w:val="0"/>
        <w:spacing w:line="440" w:lineRule="exact"/>
        <w:jc w:val="center"/>
        <w:rPr>
          <w:rFonts w:ascii="宋体" w:hAnsi="宋体"/>
          <w:b/>
          <w:color w:val="000000"/>
          <w:sz w:val="24"/>
          <w:lang w:val="zh-CN"/>
        </w:rPr>
      </w:pPr>
      <w:r>
        <w:rPr>
          <w:rFonts w:hint="eastAsia" w:ascii="宋体" w:hAnsi="宋体"/>
          <w:b/>
          <w:color w:val="000000"/>
          <w:sz w:val="24"/>
          <w:lang w:val="zh-CN"/>
        </w:rPr>
        <w:t>七、同类项目实施情况一览表</w:t>
      </w:r>
    </w:p>
    <w:p>
      <w:pPr>
        <w:autoSpaceDE w:val="0"/>
        <w:autoSpaceDN w:val="0"/>
        <w:adjustRightInd w:val="0"/>
        <w:spacing w:line="440" w:lineRule="exact"/>
        <w:jc w:val="center"/>
        <w:rPr>
          <w:rFonts w:ascii="宋体" w:hAnsi="宋体"/>
          <w:b/>
          <w:color w:val="000000"/>
          <w:sz w:val="24"/>
          <w:lang w:val="zh-CN"/>
        </w:rPr>
      </w:pPr>
      <w:r>
        <w:rPr>
          <w:rFonts w:hint="eastAsia" w:ascii="宋体" w:hAnsi="宋体"/>
          <w:b/>
          <w:color w:val="000000"/>
          <w:sz w:val="24"/>
          <w:lang w:val="zh-CN"/>
        </w:rPr>
        <w:t>（</w:t>
      </w:r>
      <w:r>
        <w:rPr>
          <w:rFonts w:hint="eastAsia" w:ascii="宋体" w:hAnsi="宋体"/>
          <w:b/>
          <w:color w:val="000000"/>
          <w:sz w:val="24"/>
        </w:rPr>
        <w:t>中标通知书或合同复印件加盖公章</w:t>
      </w:r>
      <w:r>
        <w:rPr>
          <w:rFonts w:hint="eastAsia" w:ascii="宋体" w:hAnsi="宋体"/>
          <w:b/>
          <w:color w:val="000000"/>
          <w:sz w:val="24"/>
          <w:lang w:val="zh-CN"/>
        </w:rPr>
        <w:t>）</w:t>
      </w:r>
    </w:p>
    <w:p>
      <w:pPr>
        <w:pStyle w:val="46"/>
      </w:pPr>
    </w:p>
    <w:p>
      <w:pPr>
        <w:autoSpaceDE w:val="0"/>
        <w:autoSpaceDN w:val="0"/>
        <w:adjustRightInd w:val="0"/>
        <w:spacing w:line="440" w:lineRule="exact"/>
        <w:ind w:firstLine="120"/>
        <w:rPr>
          <w:rFonts w:ascii="宋体" w:hAnsi="宋体"/>
          <w:b/>
          <w:color w:val="000000"/>
          <w:sz w:val="24"/>
        </w:rPr>
      </w:pPr>
      <w:r>
        <w:rPr>
          <w:rFonts w:hint="eastAsia" w:ascii="宋体" w:hAnsi="宋体"/>
          <w:b/>
          <w:color w:val="000000"/>
          <w:sz w:val="24"/>
        </w:rPr>
        <w:t>附表 :相关项目建设业绩一览表</w:t>
      </w:r>
    </w:p>
    <w:tbl>
      <w:tblPr>
        <w:tblStyle w:val="24"/>
        <w:tblW w:w="0" w:type="auto"/>
        <w:jc w:val="center"/>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jc w:val="center"/>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投资</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所在页码</w:t>
            </w:r>
          </w:p>
        </w:tc>
      </w:tr>
      <w:tr>
        <w:tblPrEx>
          <w:tblCellMar>
            <w:top w:w="0" w:type="dxa"/>
            <w:left w:w="108" w:type="dxa"/>
            <w:bottom w:w="0" w:type="dxa"/>
            <w:right w:w="108" w:type="dxa"/>
          </w:tblCellMar>
        </w:tblPrEx>
        <w:trPr>
          <w:trHeight w:val="894"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20"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27"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bl>
    <w:p>
      <w:pPr>
        <w:autoSpaceDE w:val="0"/>
        <w:autoSpaceDN w:val="0"/>
        <w:adjustRightInd w:val="0"/>
        <w:spacing w:line="440" w:lineRule="exact"/>
        <w:rPr>
          <w:rFonts w:ascii="宋体" w:hAnsi="宋体"/>
          <w:color w:val="000000"/>
          <w:sz w:val="24"/>
        </w:rPr>
      </w:pPr>
      <w:r>
        <w:rPr>
          <w:rFonts w:hint="eastAsia" w:ascii="宋体" w:hAnsi="宋体"/>
          <w:b/>
          <w:color w:val="000000"/>
          <w:sz w:val="24"/>
        </w:rPr>
        <w:t>注：</w:t>
      </w:r>
      <w:r>
        <w:rPr>
          <w:rFonts w:hint="eastAsia" w:ascii="宋体" w:hAnsi="宋体" w:cs="Arial"/>
          <w:b/>
          <w:color w:val="000000"/>
          <w:sz w:val="24"/>
        </w:rPr>
        <w:t>投标人</w:t>
      </w:r>
      <w:r>
        <w:rPr>
          <w:rFonts w:hint="eastAsia" w:ascii="宋体" w:hAnsi="宋体"/>
          <w:b/>
          <w:color w:val="000000"/>
          <w:sz w:val="24"/>
        </w:rPr>
        <w:t>可按上述的格式自行编制，须随表提交相应的合同复印件。</w:t>
      </w:r>
    </w:p>
    <w:p>
      <w:pPr>
        <w:autoSpaceDE w:val="0"/>
        <w:autoSpaceDN w:val="0"/>
        <w:adjustRightInd w:val="0"/>
        <w:spacing w:line="440" w:lineRule="exact"/>
        <w:rPr>
          <w:rFonts w:ascii="宋体" w:hAnsi="宋体"/>
          <w:color w:val="000000"/>
          <w:sz w:val="24"/>
        </w:rPr>
      </w:pPr>
    </w:p>
    <w:p>
      <w:pPr>
        <w:autoSpaceDE w:val="0"/>
        <w:autoSpaceDN w:val="0"/>
        <w:adjustRightInd w:val="0"/>
        <w:spacing w:line="420" w:lineRule="exact"/>
        <w:ind w:firstLine="5280" w:firstLineChars="2200"/>
        <w:rPr>
          <w:rFonts w:ascii="宋体" w:hAnsi="宋体"/>
          <w:color w:val="000000"/>
          <w:kern w:val="0"/>
          <w:sz w:val="24"/>
        </w:rPr>
      </w:pPr>
    </w:p>
    <w:p>
      <w:pPr>
        <w:autoSpaceDE w:val="0"/>
        <w:autoSpaceDN w:val="0"/>
        <w:adjustRightInd w:val="0"/>
        <w:spacing w:line="420" w:lineRule="exact"/>
        <w:ind w:firstLine="5280" w:firstLineChars="2200"/>
        <w:rPr>
          <w:rFonts w:ascii="宋体" w:hAnsi="宋体"/>
          <w:color w:val="000000"/>
          <w:kern w:val="0"/>
          <w:sz w:val="24"/>
        </w:rPr>
      </w:pPr>
    </w:p>
    <w:p>
      <w:pPr>
        <w:autoSpaceDE w:val="0"/>
        <w:autoSpaceDN w:val="0"/>
        <w:adjustRightInd w:val="0"/>
        <w:spacing w:line="420" w:lineRule="exact"/>
        <w:ind w:firstLine="4560" w:firstLineChars="1900"/>
        <w:rPr>
          <w:rFonts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 xml:space="preserve">名称（公章）：                       </w:t>
      </w:r>
    </w:p>
    <w:p>
      <w:pPr>
        <w:autoSpaceDE w:val="0"/>
        <w:autoSpaceDN w:val="0"/>
        <w:adjustRightInd w:val="0"/>
        <w:spacing w:line="420" w:lineRule="exact"/>
        <w:rPr>
          <w:rFonts w:ascii="宋体" w:hAnsi="宋体"/>
          <w:color w:val="000000"/>
          <w:kern w:val="0"/>
          <w:sz w:val="24"/>
        </w:rPr>
      </w:pPr>
      <w:r>
        <w:rPr>
          <w:rFonts w:hint="eastAsia" w:ascii="宋体" w:hAnsi="宋体"/>
          <w:color w:val="000000"/>
          <w:kern w:val="0"/>
          <w:sz w:val="24"/>
        </w:rPr>
        <w:t xml:space="preserve">                                      法定代表人或授权委托人（签字）：                   </w:t>
      </w:r>
    </w:p>
    <w:p>
      <w:pPr>
        <w:spacing w:line="480" w:lineRule="exact"/>
        <w:rPr>
          <w:rFonts w:ascii="宋体" w:hAnsi="宋体"/>
          <w:b/>
          <w:bCs/>
          <w:color w:val="000000"/>
          <w:sz w:val="24"/>
        </w:rPr>
      </w:pPr>
      <w:r>
        <w:rPr>
          <w:rFonts w:hint="eastAsia" w:ascii="宋体" w:hAnsi="宋体"/>
          <w:color w:val="000000"/>
          <w:kern w:val="0"/>
          <w:sz w:val="24"/>
        </w:rPr>
        <w:t xml:space="preserve">                                      日期：   年  月   日</w:t>
      </w: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jc w:val="center"/>
        <w:rPr>
          <w:rFonts w:ascii="宋体" w:hAnsi="宋体"/>
          <w:b/>
          <w:bCs/>
          <w:color w:val="000000"/>
          <w:sz w:val="24"/>
        </w:rPr>
      </w:pPr>
    </w:p>
    <w:p>
      <w:pPr>
        <w:spacing w:line="480" w:lineRule="exact"/>
        <w:jc w:val="center"/>
        <w:rPr>
          <w:rFonts w:ascii="宋体" w:hAnsi="宋体"/>
          <w:b/>
          <w:bCs/>
          <w:color w:val="000000"/>
          <w:sz w:val="24"/>
        </w:rPr>
      </w:pPr>
    </w:p>
    <w:p>
      <w:pPr>
        <w:pStyle w:val="12"/>
      </w:pPr>
    </w:p>
    <w:p>
      <w:pPr>
        <w:spacing w:line="480" w:lineRule="exact"/>
        <w:jc w:val="center"/>
        <w:rPr>
          <w:rFonts w:ascii="宋体" w:hAnsi="宋体"/>
          <w:b/>
          <w:bCs/>
          <w:color w:val="000000"/>
          <w:sz w:val="24"/>
        </w:rPr>
      </w:pPr>
    </w:p>
    <w:p>
      <w:pPr>
        <w:spacing w:line="480" w:lineRule="exact"/>
        <w:jc w:val="center"/>
        <w:rPr>
          <w:rFonts w:ascii="宋体" w:hAnsi="宋体"/>
          <w:b/>
          <w:bCs/>
          <w:color w:val="000000"/>
          <w:sz w:val="24"/>
        </w:rPr>
      </w:pPr>
      <w:r>
        <w:rPr>
          <w:rFonts w:hint="eastAsia" w:ascii="宋体" w:hAnsi="宋体"/>
          <w:b/>
          <w:bCs/>
          <w:color w:val="000000"/>
          <w:sz w:val="24"/>
          <w:lang w:eastAsia="zh-CN"/>
        </w:rPr>
        <w:t>八</w:t>
      </w:r>
      <w:r>
        <w:rPr>
          <w:rFonts w:hint="eastAsia" w:ascii="宋体" w:hAnsi="宋体"/>
          <w:b/>
          <w:bCs/>
          <w:color w:val="000000"/>
          <w:sz w:val="24"/>
        </w:rPr>
        <w:t>、</w:t>
      </w:r>
      <w:r>
        <w:rPr>
          <w:rFonts w:hint="eastAsia" w:ascii="宋体" w:hAnsi="宋体"/>
          <w:b/>
          <w:color w:val="000000"/>
          <w:sz w:val="24"/>
        </w:rPr>
        <w:t>商务偏离说明表</w:t>
      </w:r>
    </w:p>
    <w:p>
      <w:pPr>
        <w:spacing w:line="480" w:lineRule="exact"/>
        <w:rPr>
          <w:rFonts w:ascii="宋体" w:hAnsi="宋体"/>
          <w:color w:val="000000"/>
          <w:sz w:val="24"/>
        </w:rPr>
      </w:pPr>
      <w:r>
        <w:rPr>
          <w:rFonts w:hint="eastAsia" w:ascii="宋体" w:hAnsi="宋体"/>
          <w:color w:val="000000"/>
          <w:sz w:val="24"/>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spacing w:line="480" w:lineRule="exact"/>
              <w:jc w:val="center"/>
              <w:rPr>
                <w:rFonts w:ascii="宋体" w:hAnsi="宋体"/>
                <w:color w:val="000000"/>
                <w:sz w:val="24"/>
              </w:rPr>
            </w:pPr>
            <w:r>
              <w:rPr>
                <w:rFonts w:hint="eastAsia" w:ascii="宋体" w:hAnsi="宋体"/>
                <w:color w:val="000000"/>
                <w:sz w:val="24"/>
              </w:rPr>
              <w:t>采购文件条目号</w:t>
            </w:r>
          </w:p>
        </w:tc>
        <w:tc>
          <w:tcPr>
            <w:tcW w:w="2316" w:type="dxa"/>
            <w:vAlign w:val="center"/>
          </w:tcPr>
          <w:p>
            <w:pPr>
              <w:spacing w:line="480" w:lineRule="exact"/>
              <w:jc w:val="center"/>
              <w:rPr>
                <w:rFonts w:ascii="宋体" w:hAnsi="宋体"/>
                <w:color w:val="000000"/>
                <w:sz w:val="24"/>
              </w:rPr>
            </w:pPr>
            <w:r>
              <w:rPr>
                <w:rFonts w:hint="eastAsia" w:ascii="宋体" w:hAnsi="宋体"/>
                <w:color w:val="000000"/>
                <w:sz w:val="24"/>
              </w:rPr>
              <w:t>采购文件商务条款</w:t>
            </w:r>
          </w:p>
        </w:tc>
        <w:tc>
          <w:tcPr>
            <w:tcW w:w="2316" w:type="dxa"/>
            <w:vAlign w:val="center"/>
          </w:tcPr>
          <w:p>
            <w:pPr>
              <w:spacing w:line="480" w:lineRule="exact"/>
              <w:jc w:val="center"/>
              <w:rPr>
                <w:rFonts w:ascii="宋体" w:hAnsi="宋体"/>
                <w:color w:val="000000"/>
                <w:sz w:val="24"/>
              </w:rPr>
            </w:pPr>
            <w:r>
              <w:rPr>
                <w:rFonts w:hint="eastAsia" w:ascii="宋体" w:hAnsi="宋体"/>
                <w:color w:val="000000"/>
                <w:sz w:val="24"/>
              </w:rPr>
              <w:t>应标文件商务条款</w:t>
            </w:r>
          </w:p>
        </w:tc>
        <w:tc>
          <w:tcPr>
            <w:tcW w:w="2220" w:type="dxa"/>
            <w:vAlign w:val="center"/>
          </w:tcPr>
          <w:p>
            <w:pPr>
              <w:spacing w:line="480" w:lineRule="exact"/>
              <w:jc w:val="center"/>
              <w:rPr>
                <w:rFonts w:ascii="宋体" w:hAnsi="宋体"/>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220" w:type="dxa"/>
          </w:tcPr>
          <w:p>
            <w:pPr>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220" w:type="dxa"/>
          </w:tcPr>
          <w:p>
            <w:pPr>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bl>
    <w:p>
      <w:pPr>
        <w:autoSpaceDE w:val="0"/>
        <w:autoSpaceDN w:val="0"/>
        <w:adjustRightInd w:val="0"/>
        <w:spacing w:line="360" w:lineRule="auto"/>
        <w:ind w:firstLine="4800" w:firstLineChars="2000"/>
        <w:rPr>
          <w:rFonts w:ascii="宋体" w:hAnsi="宋体" w:cs="Arial"/>
          <w:color w:val="000000"/>
          <w:sz w:val="24"/>
        </w:rPr>
      </w:pPr>
    </w:p>
    <w:p>
      <w:pPr>
        <w:autoSpaceDE w:val="0"/>
        <w:autoSpaceDN w:val="0"/>
        <w:adjustRightInd w:val="0"/>
        <w:spacing w:line="360" w:lineRule="auto"/>
        <w:ind w:firstLine="4800" w:firstLineChars="2000"/>
        <w:rPr>
          <w:rFonts w:ascii="宋体" w:hAnsi="宋体" w:cs="Arial"/>
          <w:color w:val="000000"/>
          <w:sz w:val="24"/>
        </w:rPr>
      </w:pPr>
    </w:p>
    <w:p>
      <w:pPr>
        <w:autoSpaceDE w:val="0"/>
        <w:autoSpaceDN w:val="0"/>
        <w:adjustRightInd w:val="0"/>
        <w:spacing w:line="360" w:lineRule="auto"/>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360" w:lineRule="auto"/>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 </w:t>
      </w:r>
    </w:p>
    <w:p>
      <w:pPr>
        <w:spacing w:line="360" w:lineRule="auto"/>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numPr>
          <w:ilvl w:val="0"/>
          <w:numId w:val="0"/>
        </w:numPr>
        <w:spacing w:line="480" w:lineRule="exact"/>
        <w:jc w:val="center"/>
        <w:rPr>
          <w:rFonts w:ascii="宋体" w:hAnsi="宋体" w:cs="宋体"/>
          <w:b/>
          <w:bCs/>
          <w:kern w:val="0"/>
          <w:sz w:val="24"/>
        </w:rPr>
      </w:pPr>
      <w:r>
        <w:rPr>
          <w:rFonts w:hint="eastAsia" w:ascii="宋体" w:hAnsi="宋体" w:cs="宋体"/>
          <w:b/>
          <w:bCs/>
          <w:kern w:val="0"/>
          <w:sz w:val="24"/>
          <w:lang w:eastAsia="zh-CN"/>
        </w:rPr>
        <w:t>九、</w:t>
      </w:r>
      <w:r>
        <w:rPr>
          <w:rFonts w:hint="eastAsia" w:ascii="宋体" w:hAnsi="宋体" w:cs="宋体"/>
          <w:b/>
          <w:bCs/>
          <w:kern w:val="0"/>
          <w:sz w:val="24"/>
        </w:rPr>
        <w:t>对应商务技术评分细则提供相关证明资料；</w:t>
      </w:r>
    </w:p>
    <w:p>
      <w:pPr>
        <w:spacing w:line="480" w:lineRule="exact"/>
        <w:jc w:val="center"/>
        <w:rPr>
          <w:rFonts w:ascii="宋体" w:hAnsi="宋体"/>
          <w:b/>
          <w:bCs/>
          <w:color w:val="000000"/>
          <w:sz w:val="24"/>
        </w:rPr>
      </w:pPr>
      <w:r>
        <w:rPr>
          <w:rFonts w:hint="eastAsia" w:ascii="宋体" w:hAnsi="宋体"/>
          <w:b/>
          <w:bCs/>
          <w:color w:val="000000"/>
          <w:sz w:val="24"/>
        </w:rPr>
        <w:t>（由</w:t>
      </w:r>
      <w:r>
        <w:rPr>
          <w:rFonts w:hint="eastAsia" w:ascii="宋体" w:hAnsi="宋体" w:cs="Arial"/>
          <w:b/>
          <w:bCs/>
          <w:color w:val="000000"/>
          <w:sz w:val="24"/>
        </w:rPr>
        <w:t>投标人</w:t>
      </w:r>
      <w:r>
        <w:rPr>
          <w:rFonts w:hint="eastAsia" w:ascii="宋体" w:hAnsi="宋体"/>
          <w:b/>
          <w:bCs/>
          <w:color w:val="000000"/>
          <w:sz w:val="24"/>
        </w:rPr>
        <w:t>根据采购需求自行编制）</w:t>
      </w:r>
    </w:p>
    <w:p>
      <w:pPr>
        <w:pStyle w:val="13"/>
        <w:ind w:firstLine="0"/>
        <w:rPr>
          <w:b/>
          <w:bCs/>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pStyle w:val="4"/>
      </w:pPr>
    </w:p>
    <w:p>
      <w:pPr>
        <w:spacing w:line="480" w:lineRule="exact"/>
        <w:jc w:val="center"/>
        <w:rPr>
          <w:rFonts w:ascii="宋体" w:hAnsi="宋体" w:cs="仿宋_GB2312"/>
          <w:b/>
          <w:color w:val="000000"/>
          <w:kern w:val="0"/>
          <w:sz w:val="24"/>
          <w:lang w:val="zh-CN"/>
        </w:rPr>
      </w:pPr>
      <w:r>
        <w:rPr>
          <w:rFonts w:hint="eastAsia" w:ascii="宋体" w:hAnsi="宋体"/>
          <w:b/>
          <w:bCs/>
          <w:color w:val="000000"/>
          <w:sz w:val="24"/>
          <w:lang w:eastAsia="zh-CN"/>
        </w:rPr>
        <w:t>十</w:t>
      </w:r>
      <w:r>
        <w:rPr>
          <w:rFonts w:hint="eastAsia" w:ascii="宋体" w:hAnsi="宋体"/>
          <w:b/>
          <w:bCs/>
          <w:color w:val="000000"/>
          <w:sz w:val="24"/>
        </w:rPr>
        <w:t>、</w:t>
      </w:r>
      <w:r>
        <w:rPr>
          <w:rFonts w:hint="eastAsia" w:ascii="宋体" w:hAnsi="宋体" w:cs="仿宋_GB2312"/>
          <w:b/>
          <w:color w:val="000000"/>
          <w:kern w:val="0"/>
          <w:sz w:val="24"/>
          <w:lang w:val="zh-CN"/>
        </w:rPr>
        <w:t>对采购文件中有关条款的拒绝声明</w:t>
      </w:r>
    </w:p>
    <w:p>
      <w:pPr>
        <w:spacing w:line="480" w:lineRule="exact"/>
        <w:jc w:val="center"/>
        <w:rPr>
          <w:rFonts w:ascii="宋体" w:hAnsi="宋体"/>
          <w:b/>
          <w:bCs/>
          <w:color w:val="000000"/>
          <w:sz w:val="24"/>
        </w:rPr>
      </w:pPr>
      <w:r>
        <w:rPr>
          <w:rFonts w:hint="eastAsia" w:ascii="宋体" w:hAnsi="宋体"/>
          <w:b/>
          <w:bCs/>
          <w:color w:val="000000"/>
          <w:sz w:val="24"/>
        </w:rPr>
        <w:t>（由投标人根据采购需求自行编制）</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autoSpaceDE w:val="0"/>
        <w:autoSpaceDN w:val="0"/>
        <w:adjustRightInd w:val="0"/>
        <w:spacing w:line="440" w:lineRule="exact"/>
        <w:ind w:firstLine="5160" w:firstLineChars="215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440" w:lineRule="exact"/>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 </w:t>
      </w:r>
    </w:p>
    <w:p>
      <w:pPr>
        <w:spacing w:line="480" w:lineRule="exact"/>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480" w:lineRule="exact"/>
        <w:rPr>
          <w:rFonts w:ascii="宋体" w:hAnsi="宋体" w:cs="仿宋_GB2312"/>
          <w:color w:val="000000"/>
          <w:kern w:val="0"/>
          <w:sz w:val="24"/>
          <w:lang w:val="zh-CN"/>
        </w:rPr>
      </w:pPr>
    </w:p>
    <w:p>
      <w:pPr>
        <w:spacing w:line="480" w:lineRule="exact"/>
        <w:rPr>
          <w:rFonts w:ascii="宋体" w:hAnsi="宋体" w:cs="仿宋_GB2312"/>
          <w:color w:val="000000"/>
          <w:kern w:val="0"/>
          <w:sz w:val="24"/>
          <w:lang w:val="zh-CN"/>
        </w:rPr>
      </w:pPr>
    </w:p>
    <w:p>
      <w:pPr>
        <w:spacing w:line="480" w:lineRule="exact"/>
        <w:jc w:val="center"/>
        <w:rPr>
          <w:rFonts w:ascii="宋体" w:hAnsi="宋体" w:cs="仿宋_GB2312"/>
          <w:b/>
          <w:color w:val="000000"/>
          <w:kern w:val="0"/>
          <w:sz w:val="24"/>
          <w:lang w:val="zh-CN"/>
        </w:rPr>
      </w:pPr>
      <w:r>
        <w:rPr>
          <w:rFonts w:hint="eastAsia" w:ascii="宋体" w:hAnsi="宋体"/>
          <w:b/>
          <w:bCs/>
          <w:color w:val="000000"/>
          <w:sz w:val="24"/>
        </w:rPr>
        <w:t>十</w:t>
      </w:r>
      <w:r>
        <w:rPr>
          <w:rFonts w:hint="eastAsia" w:ascii="宋体" w:hAnsi="宋体"/>
          <w:b/>
          <w:bCs/>
          <w:color w:val="000000"/>
          <w:sz w:val="24"/>
          <w:lang w:eastAsia="zh-CN"/>
        </w:rPr>
        <w:t>一</w:t>
      </w:r>
      <w:r>
        <w:rPr>
          <w:rFonts w:hint="eastAsia" w:ascii="宋体" w:hAnsi="宋体"/>
          <w:b/>
          <w:bCs/>
          <w:color w:val="000000"/>
          <w:sz w:val="24"/>
        </w:rPr>
        <w:t>、采购文件要求的或响应人认为需要的其他商务文件或说明</w:t>
      </w:r>
    </w:p>
    <w:p>
      <w:pPr>
        <w:spacing w:line="480" w:lineRule="exact"/>
        <w:jc w:val="center"/>
        <w:rPr>
          <w:rFonts w:ascii="宋体" w:hAnsi="宋体"/>
          <w:b/>
          <w:bCs/>
          <w:color w:val="000000"/>
          <w:sz w:val="24"/>
        </w:rPr>
      </w:pPr>
      <w:r>
        <w:rPr>
          <w:rFonts w:hint="eastAsia" w:ascii="宋体" w:hAnsi="宋体"/>
          <w:b/>
          <w:bCs/>
          <w:color w:val="000000"/>
          <w:sz w:val="24"/>
        </w:rPr>
        <w:t>（由投标人根据采购需求自行编制）</w:t>
      </w:r>
    </w:p>
    <w:p>
      <w:pPr>
        <w:spacing w:line="480" w:lineRule="exact"/>
        <w:jc w:val="center"/>
        <w:rPr>
          <w:rFonts w:ascii="宋体" w:hAnsi="宋体"/>
          <w:color w:val="000000"/>
          <w:sz w:val="24"/>
        </w:rPr>
      </w:pPr>
    </w:p>
    <w:p>
      <w:pPr>
        <w:spacing w:line="480" w:lineRule="exact"/>
        <w:jc w:val="center"/>
        <w:rPr>
          <w:rFonts w:ascii="宋体" w:hAnsi="宋体"/>
          <w:color w:val="000000"/>
          <w:sz w:val="24"/>
        </w:rPr>
      </w:pPr>
    </w:p>
    <w:p>
      <w:pPr>
        <w:spacing w:line="480" w:lineRule="exact"/>
        <w:jc w:val="center"/>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autoSpaceDE w:val="0"/>
        <w:autoSpaceDN w:val="0"/>
        <w:adjustRightInd w:val="0"/>
        <w:spacing w:line="400" w:lineRule="exact"/>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400" w:lineRule="exact"/>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 </w:t>
      </w:r>
    </w:p>
    <w:p>
      <w:pPr>
        <w:rPr>
          <w:rFonts w:ascii="宋体" w:hAnsi="宋体" w:cs="仿宋_GB2312"/>
          <w:color w:val="000000"/>
          <w:kern w:val="0"/>
          <w:sz w:val="24"/>
        </w:rPr>
        <w:sectPr>
          <w:footerReference r:id="rId12" w:type="first"/>
          <w:headerReference r:id="rId9" w:type="default"/>
          <w:footerReference r:id="rId10" w:type="default"/>
          <w:footerReference r:id="rId11" w:type="even"/>
          <w:pgSz w:w="11906" w:h="16838"/>
          <w:pgMar w:top="1440" w:right="1797" w:bottom="1440" w:left="1797" w:header="1191" w:footer="1134" w:gutter="0"/>
          <w:cols w:space="720" w:num="1"/>
          <w:docGrid w:type="lines" w:linePitch="312" w:charSpace="0"/>
        </w:sectPr>
      </w:pPr>
      <w:r>
        <w:rPr>
          <w:rFonts w:hint="eastAsia" w:ascii="宋体" w:hAnsi="宋体" w:cs="仿宋_GB2312"/>
          <w:color w:val="000000"/>
          <w:kern w:val="0"/>
          <w:sz w:val="24"/>
          <w:lang w:val="zh-CN"/>
        </w:rPr>
        <w:t xml:space="preserve">                               </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日期</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年</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月</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w:t>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ascii="宋体" w:hAnsi="宋体"/>
          <w:color w:val="000000"/>
          <w:spacing w:val="40"/>
          <w:sz w:val="32"/>
          <w:szCs w:val="32"/>
        </w:rPr>
      </w:pPr>
      <w:r>
        <w:rPr>
          <w:rFonts w:hint="eastAsia" w:ascii="宋体" w:hAnsi="宋体"/>
          <w:color w:val="000000"/>
          <w:spacing w:val="40"/>
          <w:sz w:val="32"/>
          <w:szCs w:val="32"/>
        </w:rPr>
        <w:t>***项目名称</w:t>
      </w:r>
    </w:p>
    <w:p>
      <w:pPr>
        <w:spacing w:before="312" w:beforeLines="100" w:line="240" w:lineRule="atLeast"/>
        <w:ind w:right="-108"/>
        <w:jc w:val="center"/>
        <w:rPr>
          <w:rFonts w:ascii="宋体" w:hAnsi="宋体"/>
          <w:color w:val="000000"/>
          <w:sz w:val="24"/>
        </w:rPr>
      </w:pPr>
    </w:p>
    <w:p>
      <w:pPr>
        <w:spacing w:before="312" w:beforeLines="100" w:line="240" w:lineRule="atLeast"/>
        <w:ind w:right="-108"/>
        <w:jc w:val="center"/>
        <w:rPr>
          <w:rFonts w:ascii="宋体" w:hAnsi="宋体"/>
          <w:color w:val="000000"/>
          <w:sz w:val="24"/>
        </w:rPr>
      </w:pPr>
      <w:r>
        <w:rPr>
          <w:rFonts w:hint="eastAsia" w:ascii="宋体" w:hAnsi="宋体"/>
          <w:color w:val="000000"/>
          <w:sz w:val="24"/>
        </w:rPr>
        <w:t xml:space="preserve">项目编号：************** </w:t>
      </w:r>
    </w:p>
    <w:p>
      <w:pPr>
        <w:spacing w:after="100" w:afterAutospacing="1" w:line="4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技</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术</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600" w:lineRule="exact"/>
        <w:ind w:right="532" w:firstLine="480" w:firstLineChars="200"/>
        <w:rPr>
          <w:rFonts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hAnsi="宋体"/>
          <w:color w:val="000000"/>
          <w:sz w:val="24"/>
        </w:rPr>
      </w:pPr>
      <w:r>
        <w:rPr>
          <w:rFonts w:hint="eastAsia" w:ascii="宋体" w:hAnsi="宋体"/>
          <w:color w:val="000000"/>
          <w:sz w:val="24"/>
        </w:rPr>
        <w:t>地    址：</w:t>
      </w:r>
    </w:p>
    <w:p>
      <w:pPr>
        <w:spacing w:line="600" w:lineRule="exact"/>
        <w:ind w:right="532" w:firstLine="480" w:firstLineChars="200"/>
        <w:rPr>
          <w:rFonts w:ascii="宋体" w:hAnsi="宋体"/>
          <w:color w:val="000000"/>
          <w:sz w:val="24"/>
        </w:rPr>
      </w:pPr>
      <w:r>
        <w:rPr>
          <w:rFonts w:hint="eastAsia" w:ascii="宋体" w:hAnsi="宋体"/>
          <w:color w:val="000000"/>
          <w:sz w:val="24"/>
        </w:rPr>
        <w:t>时    间：</w:t>
      </w:r>
    </w:p>
    <w:p>
      <w:pPr>
        <w:snapToGrid w:val="0"/>
        <w:spacing w:before="50" w:after="50"/>
        <w:rPr>
          <w:rFonts w:ascii="宋体" w:hAnsi="宋体"/>
          <w:color w:val="000000"/>
          <w:sz w:val="24"/>
        </w:rPr>
      </w:pPr>
    </w:p>
    <w:p>
      <w:pPr>
        <w:snapToGrid w:val="0"/>
        <w:spacing w:line="420" w:lineRule="exact"/>
        <w:jc w:val="left"/>
        <w:rPr>
          <w:rFonts w:ascii="宋体" w:hAnsi="宋体"/>
          <w:bCs/>
          <w:color w:val="000000"/>
          <w:sz w:val="24"/>
        </w:rPr>
      </w:pPr>
    </w:p>
    <w:p>
      <w:pPr>
        <w:snapToGrid w:val="0"/>
        <w:spacing w:line="420" w:lineRule="exact"/>
        <w:jc w:val="left"/>
        <w:rPr>
          <w:rFonts w:ascii="宋体" w:hAnsi="宋体"/>
          <w:bCs/>
          <w:color w:val="000000"/>
          <w:sz w:val="24"/>
        </w:rPr>
      </w:pPr>
      <w:r>
        <w:rPr>
          <w:rFonts w:hint="eastAsia" w:ascii="宋体" w:hAnsi="宋体"/>
          <w:bCs/>
          <w:color w:val="000000"/>
          <w:sz w:val="24"/>
        </w:rPr>
        <w:t>▲技术响应部分内容（格式自拟）</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1</w:t>
      </w:r>
      <w:r>
        <w:rPr>
          <w:rFonts w:hint="eastAsia" w:ascii="宋体" w:hAnsi="宋体" w:cs="宋体"/>
          <w:kern w:val="0"/>
          <w:sz w:val="24"/>
          <w:lang w:val="zh-CN"/>
        </w:rPr>
        <w:t>）</w:t>
      </w:r>
      <w:r>
        <w:rPr>
          <w:rFonts w:hint="eastAsia" w:ascii="宋体" w:hAnsi="宋体" w:cs="宋体"/>
          <w:kern w:val="0"/>
          <w:sz w:val="24"/>
        </w:rPr>
        <w:t>设备部署建议（优化方案）</w:t>
      </w:r>
    </w:p>
    <w:p>
      <w:pPr>
        <w:spacing w:line="360" w:lineRule="auto"/>
        <w:ind w:firstLine="240" w:firstLineChars="100"/>
        <w:outlineLvl w:val="0"/>
        <w:rPr>
          <w:rFonts w:hint="eastAsia" w:ascii="宋体" w:hAnsi="宋体" w:cs="宋体"/>
          <w:kern w:val="0"/>
          <w:sz w:val="24"/>
          <w:lang w:eastAsia="zh-CN"/>
        </w:rPr>
      </w:pPr>
      <w:r>
        <w:rPr>
          <w:rFonts w:hint="eastAsia" w:ascii="宋体" w:hAnsi="宋体" w:cs="宋体"/>
          <w:kern w:val="0"/>
          <w:sz w:val="24"/>
          <w:lang w:val="zh-CN"/>
        </w:rPr>
        <w:t>（</w:t>
      </w:r>
      <w:r>
        <w:rPr>
          <w:rFonts w:hint="eastAsia" w:ascii="宋体" w:hAnsi="宋体" w:cs="宋体"/>
          <w:kern w:val="0"/>
          <w:sz w:val="24"/>
          <w:lang w:val="en-US" w:eastAsia="zh-CN"/>
        </w:rPr>
        <w:t>2</w:t>
      </w:r>
      <w:r>
        <w:rPr>
          <w:rFonts w:hint="eastAsia" w:ascii="宋体" w:hAnsi="宋体" w:cs="宋体"/>
          <w:kern w:val="0"/>
          <w:sz w:val="24"/>
          <w:lang w:val="zh-CN"/>
        </w:rPr>
        <w:t>）</w:t>
      </w:r>
      <w:r>
        <w:rPr>
          <w:rFonts w:hint="eastAsia" w:ascii="宋体" w:hAnsi="宋体" w:cs="宋体"/>
          <w:kern w:val="0"/>
          <w:sz w:val="24"/>
          <w:lang w:eastAsia="zh-CN"/>
        </w:rPr>
        <w:t>技术力量能力</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管理制度、措施：</w:t>
      </w:r>
    </w:p>
    <w:p>
      <w:pPr>
        <w:spacing w:line="360" w:lineRule="auto"/>
        <w:ind w:firstLine="240" w:firstLineChars="100"/>
        <w:outlineLvl w:val="0"/>
        <w:rPr>
          <w:rFonts w:hint="eastAsia" w:ascii="宋体" w:hAnsi="宋体" w:cs="宋体"/>
          <w:kern w:val="0"/>
          <w:sz w:val="24"/>
          <w:lang w:val="zh-CN" w:eastAsia="zh-CN"/>
        </w:rPr>
      </w:pPr>
      <w:r>
        <w:rPr>
          <w:rFonts w:hint="eastAsia" w:ascii="宋体" w:hAnsi="宋体" w:cs="宋体"/>
          <w:kern w:val="0"/>
          <w:sz w:val="24"/>
          <w:lang w:val="zh-CN"/>
        </w:rPr>
        <w:t>（</w:t>
      </w:r>
      <w:r>
        <w:rPr>
          <w:rFonts w:hint="eastAsia" w:ascii="宋体" w:hAnsi="宋体" w:cs="宋体"/>
          <w:kern w:val="0"/>
          <w:sz w:val="24"/>
          <w:lang w:val="en-US" w:eastAsia="zh-CN"/>
        </w:rPr>
        <w:t>4</w:t>
      </w:r>
      <w:r>
        <w:rPr>
          <w:rFonts w:hint="eastAsia" w:ascii="宋体" w:hAnsi="宋体" w:cs="宋体"/>
          <w:kern w:val="0"/>
          <w:sz w:val="24"/>
          <w:lang w:val="zh-CN" w:eastAsia="zh-CN"/>
        </w:rPr>
        <w:t>）</w:t>
      </w:r>
      <w:r>
        <w:rPr>
          <w:rFonts w:hint="eastAsia" w:ascii="宋体" w:hAnsi="宋体" w:cs="宋体"/>
          <w:kern w:val="0"/>
          <w:sz w:val="24"/>
          <w:lang w:eastAsia="zh-CN"/>
        </w:rPr>
        <w:t>安全技术管理</w:t>
      </w:r>
    </w:p>
    <w:p>
      <w:pPr>
        <w:spacing w:line="360" w:lineRule="auto"/>
        <w:ind w:firstLine="240" w:firstLineChars="100"/>
        <w:outlineLvl w:val="0"/>
        <w:rPr>
          <w:rFonts w:hint="eastAsia" w:ascii="宋体" w:hAnsi="宋体" w:cs="宋体"/>
          <w:kern w:val="0"/>
          <w:sz w:val="24"/>
        </w:rPr>
      </w:pPr>
      <w:r>
        <w:rPr>
          <w:rFonts w:hint="eastAsia" w:ascii="宋体" w:hAnsi="宋体" w:cs="宋体"/>
          <w:kern w:val="0"/>
          <w:sz w:val="24"/>
          <w:lang w:val="zh-CN" w:eastAsia="zh-CN"/>
        </w:rPr>
        <w:t>（</w:t>
      </w:r>
      <w:r>
        <w:rPr>
          <w:rFonts w:hint="eastAsia" w:ascii="宋体" w:hAnsi="宋体" w:cs="宋体"/>
          <w:kern w:val="0"/>
          <w:sz w:val="24"/>
          <w:lang w:val="en-US" w:eastAsia="zh-CN"/>
        </w:rPr>
        <w:t>5</w:t>
      </w:r>
      <w:r>
        <w:rPr>
          <w:rFonts w:hint="eastAsia" w:ascii="宋体" w:hAnsi="宋体" w:cs="宋体"/>
          <w:kern w:val="0"/>
          <w:sz w:val="24"/>
          <w:lang w:val="zh-CN" w:eastAsia="zh-CN"/>
        </w:rPr>
        <w:t>）</w:t>
      </w:r>
      <w:r>
        <w:rPr>
          <w:rFonts w:hint="eastAsia" w:ascii="宋体" w:hAnsi="宋体" w:cs="宋体"/>
          <w:kern w:val="0"/>
          <w:sz w:val="24"/>
          <w:lang w:eastAsia="zh-CN"/>
        </w:rPr>
        <w:t>具体组织实施方案</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）售后服务及优惠方案</w:t>
      </w:r>
      <w:r>
        <w:rPr>
          <w:rFonts w:hint="eastAsia" w:ascii="宋体" w:hAnsi="宋体" w:cs="宋体"/>
          <w:kern w:val="0"/>
          <w:sz w:val="24"/>
          <w:lang w:val="zh-CN"/>
        </w:rPr>
        <w:t>（</w:t>
      </w:r>
      <w:r>
        <w:rPr>
          <w:rFonts w:hint="eastAsia" w:ascii="宋体" w:hAnsi="宋体" w:cs="宋体"/>
          <w:kern w:val="0"/>
          <w:sz w:val="24"/>
        </w:rPr>
        <w:t>含本公司优势等</w:t>
      </w:r>
      <w:r>
        <w:rPr>
          <w:rFonts w:hint="eastAsia" w:ascii="宋体" w:hAnsi="宋体" w:cs="宋体"/>
          <w:kern w:val="0"/>
          <w:sz w:val="24"/>
          <w:lang w:val="zh-CN"/>
        </w:rPr>
        <w:t>）；</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rPr>
        <w:t>（</w:t>
      </w:r>
      <w:r>
        <w:rPr>
          <w:rFonts w:hint="eastAsia" w:ascii="宋体" w:hAnsi="宋体" w:cs="宋体"/>
          <w:kern w:val="0"/>
          <w:sz w:val="24"/>
          <w:lang w:val="en-US" w:eastAsia="zh-CN"/>
        </w:rPr>
        <w:t>7</w:t>
      </w:r>
      <w:r>
        <w:rPr>
          <w:rFonts w:hint="eastAsia" w:ascii="宋体" w:hAnsi="宋体" w:cs="宋体"/>
          <w:kern w:val="0"/>
          <w:sz w:val="24"/>
        </w:rPr>
        <w:t>）</w:t>
      </w:r>
      <w:r>
        <w:rPr>
          <w:rFonts w:hint="eastAsia" w:ascii="宋体" w:hAnsi="宋体" w:cs="宋体"/>
          <w:kern w:val="0"/>
          <w:sz w:val="24"/>
          <w:lang w:val="zh-CN"/>
        </w:rPr>
        <w:t>技术响应表；</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8</w:t>
      </w:r>
      <w:r>
        <w:rPr>
          <w:rFonts w:hint="eastAsia" w:ascii="宋体" w:hAnsi="宋体" w:cs="宋体"/>
          <w:kern w:val="0"/>
          <w:sz w:val="24"/>
          <w:lang w:val="zh-CN"/>
        </w:rPr>
        <w:t>）投标人认为需要的其他技术文件或说明。</w:t>
      </w:r>
    </w:p>
    <w:p>
      <w:pPr>
        <w:adjustRightInd w:val="0"/>
        <w:snapToGrid w:val="0"/>
        <w:spacing w:line="360" w:lineRule="auto"/>
        <w:rPr>
          <w:rFonts w:ascii="宋体" w:hAnsi="宋体"/>
          <w:b/>
          <w:color w:val="000000"/>
          <w:sz w:val="24"/>
        </w:rPr>
      </w:pPr>
      <w:r>
        <w:rPr>
          <w:rFonts w:hint="eastAsia" w:ascii="宋体" w:hAnsi="宋体"/>
          <w:b/>
          <w:bCs/>
          <w:color w:val="000000"/>
          <w:sz w:val="24"/>
        </w:rPr>
        <w:t>注：以上目录是编制投标技术文件的基本格式要求，各投标人可根据自身情况进一步细化。</w:t>
      </w:r>
    </w:p>
    <w:p>
      <w:pPr>
        <w:snapToGrid w:val="0"/>
        <w:spacing w:before="50" w:after="156" w:afterLines="50"/>
        <w:jc w:val="left"/>
        <w:rPr>
          <w:rFonts w:ascii="宋体" w:hAnsi="宋体"/>
          <w:color w:val="000000"/>
          <w:sz w:val="24"/>
        </w:rPr>
      </w:pPr>
    </w:p>
    <w:p>
      <w:pPr>
        <w:pStyle w:val="30"/>
      </w:pPr>
    </w:p>
    <w:p>
      <w:pPr>
        <w:pStyle w:val="12"/>
      </w:pPr>
    </w:p>
    <w:p>
      <w:pPr>
        <w:snapToGrid w:val="0"/>
        <w:spacing w:before="50" w:after="156" w:afterLines="50"/>
        <w:jc w:val="left"/>
        <w:rPr>
          <w:rFonts w:ascii="宋体" w:hAnsi="宋体"/>
          <w:color w:val="000000"/>
          <w:sz w:val="24"/>
        </w:rPr>
      </w:pPr>
    </w:p>
    <w:p>
      <w:pPr>
        <w:snapToGrid w:val="0"/>
        <w:spacing w:before="50" w:after="156" w:afterLines="50"/>
        <w:jc w:val="center"/>
        <w:rPr>
          <w:rFonts w:ascii="宋体" w:hAnsi="宋体"/>
          <w:color w:val="000000"/>
          <w:sz w:val="24"/>
        </w:rPr>
      </w:pPr>
      <w:r>
        <w:rPr>
          <w:rFonts w:ascii="宋体" w:hAnsi="宋体"/>
          <w:color w:val="000000"/>
          <w:sz w:val="24"/>
        </w:rPr>
        <w:br w:type="page"/>
      </w:r>
    </w:p>
    <w:p>
      <w:pPr>
        <w:snapToGrid w:val="0"/>
        <w:spacing w:before="50" w:after="156" w:afterLines="50"/>
        <w:jc w:val="center"/>
        <w:rPr>
          <w:rFonts w:ascii="宋体" w:hAnsi="宋体"/>
          <w:b/>
          <w:color w:val="000000"/>
          <w:sz w:val="24"/>
        </w:rPr>
      </w:pPr>
    </w:p>
    <w:p>
      <w:pPr>
        <w:snapToGrid w:val="0"/>
        <w:spacing w:before="50" w:after="156" w:afterLines="50"/>
        <w:jc w:val="center"/>
        <w:rPr>
          <w:rFonts w:ascii="宋体"/>
          <w:b/>
          <w:color w:val="000000"/>
          <w:sz w:val="24"/>
        </w:rPr>
      </w:pPr>
      <w:r>
        <w:rPr>
          <w:rFonts w:hint="eastAsia" w:ascii="宋体" w:hAnsi="宋体"/>
          <w:b/>
          <w:color w:val="000000"/>
          <w:sz w:val="24"/>
        </w:rPr>
        <w:t>技</w:t>
      </w:r>
      <w:r>
        <w:rPr>
          <w:rFonts w:ascii="宋体" w:hAnsi="宋体"/>
          <w:b/>
          <w:color w:val="000000"/>
          <w:sz w:val="24"/>
        </w:rPr>
        <w:t xml:space="preserve"> </w:t>
      </w:r>
      <w:r>
        <w:rPr>
          <w:rFonts w:hint="eastAsia" w:ascii="宋体" w:hAnsi="宋体"/>
          <w:b/>
          <w:color w:val="000000"/>
          <w:sz w:val="24"/>
        </w:rPr>
        <w:t>术</w:t>
      </w:r>
      <w:r>
        <w:rPr>
          <w:rFonts w:ascii="宋体" w:hAnsi="宋体"/>
          <w:b/>
          <w:color w:val="000000"/>
          <w:sz w:val="24"/>
        </w:rPr>
        <w:t xml:space="preserve"> </w:t>
      </w:r>
      <w:r>
        <w:rPr>
          <w:rFonts w:hint="eastAsia" w:ascii="宋体" w:hAnsi="宋体"/>
          <w:b/>
          <w:color w:val="000000"/>
          <w:sz w:val="24"/>
        </w:rPr>
        <w:t>响</w:t>
      </w:r>
      <w:r>
        <w:rPr>
          <w:rFonts w:ascii="宋体" w:hAnsi="宋体"/>
          <w:b/>
          <w:color w:val="000000"/>
          <w:sz w:val="24"/>
        </w:rPr>
        <w:t xml:space="preserve"> </w:t>
      </w:r>
      <w:r>
        <w:rPr>
          <w:rFonts w:hint="eastAsia" w:ascii="宋体" w:hAnsi="宋体"/>
          <w:b/>
          <w:color w:val="000000"/>
          <w:sz w:val="24"/>
        </w:rPr>
        <w:t>应</w:t>
      </w:r>
      <w:r>
        <w:rPr>
          <w:rFonts w:ascii="宋体" w:hAnsi="宋体"/>
          <w:b/>
          <w:color w:val="000000"/>
          <w:sz w:val="24"/>
        </w:rPr>
        <w:t xml:space="preserve"> </w:t>
      </w:r>
      <w:r>
        <w:rPr>
          <w:rFonts w:hint="eastAsia" w:ascii="宋体" w:hAnsi="宋体"/>
          <w:b/>
          <w:color w:val="000000"/>
          <w:sz w:val="24"/>
        </w:rPr>
        <w:t>表</w:t>
      </w:r>
    </w:p>
    <w:p>
      <w:pPr>
        <w:snapToGrid w:val="0"/>
        <w:spacing w:before="152" w:after="160"/>
        <w:rPr>
          <w:rFonts w:ascii="宋体" w:hAnsi="宋体"/>
          <w:color w:val="000000"/>
          <w:sz w:val="24"/>
          <w:u w:val="single"/>
        </w:rPr>
      </w:pPr>
      <w:r>
        <w:rPr>
          <w:rFonts w:hint="eastAsia" w:ascii="宋体" w:hAnsi="宋体"/>
          <w:color w:val="000000"/>
          <w:sz w:val="24"/>
        </w:rPr>
        <w:t>单位全称（公章）：</w:t>
      </w:r>
      <w:r>
        <w:rPr>
          <w:rFonts w:ascii="宋体" w:hAnsi="宋体"/>
          <w:color w:val="000000"/>
          <w:sz w:val="24"/>
        </w:rPr>
        <w:t xml:space="preserve">            </w:t>
      </w:r>
      <w:r>
        <w:rPr>
          <w:rFonts w:hint="eastAsia" w:ascii="宋体" w:hAnsi="宋体"/>
          <w:color w:val="000000"/>
          <w:sz w:val="24"/>
        </w:rPr>
        <w:t>标项：</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采购文件要求</w:t>
            </w: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投标文件响应</w:t>
            </w:r>
          </w:p>
        </w:tc>
        <w:tc>
          <w:tcPr>
            <w:tcW w:w="2423" w:type="dxa"/>
            <w:tcBorders>
              <w:top w:val="single" w:color="auto" w:sz="4" w:space="0"/>
              <w:left w:val="single" w:color="auto" w:sz="4" w:space="0"/>
              <w:bottom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156" w:beforeLines="50" w:after="156" w:afterLines="50" w:line="400" w:lineRule="exact"/>
              <w:jc w:val="center"/>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p>
        </w:tc>
        <w:tc>
          <w:tcPr>
            <w:tcW w:w="2423" w:type="dxa"/>
            <w:tcBorders>
              <w:top w:val="single" w:color="auto" w:sz="4" w:space="0"/>
              <w:left w:val="single" w:color="auto" w:sz="4" w:space="0"/>
              <w:bottom w:val="single" w:color="auto" w:sz="4" w:space="0"/>
            </w:tcBorders>
            <w:vAlign w:val="center"/>
          </w:tcPr>
          <w:p>
            <w:pPr>
              <w:snapToGrid w:val="0"/>
              <w:jc w:val="center"/>
              <w:outlineLvl w:val="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156" w:beforeLines="50" w:after="156" w:afterLines="50" w:line="400" w:lineRule="exact"/>
              <w:jc w:val="center"/>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423" w:type="dxa"/>
            <w:tcBorders>
              <w:top w:val="single" w:color="auto" w:sz="4" w:space="0"/>
              <w:left w:val="single" w:color="auto" w:sz="4" w:space="0"/>
              <w:bottom w:val="single" w:color="auto" w:sz="4" w:space="0"/>
            </w:tcBorders>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156" w:beforeLines="50" w:after="156" w:afterLines="50" w:line="400" w:lineRule="exact"/>
              <w:jc w:val="center"/>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p>
        </w:tc>
        <w:tc>
          <w:tcPr>
            <w:tcW w:w="2423" w:type="dxa"/>
            <w:tcBorders>
              <w:top w:val="single" w:color="auto" w:sz="4" w:space="0"/>
              <w:left w:val="single" w:color="auto" w:sz="4" w:space="0"/>
              <w:bottom w:val="single" w:color="auto" w:sz="4" w:space="0"/>
            </w:tcBorders>
            <w:vAlign w:val="center"/>
          </w:tcPr>
          <w:p>
            <w:pPr>
              <w:snapToGrid w:val="0"/>
              <w:jc w:val="center"/>
              <w:outlineLvl w:val="0"/>
              <w:rPr>
                <w:rFonts w:ascii="宋体" w:hAnsi="宋体"/>
                <w:color w:val="000000"/>
                <w:sz w:val="24"/>
              </w:rPr>
            </w:pPr>
          </w:p>
        </w:tc>
      </w:tr>
    </w:tbl>
    <w:p>
      <w:pPr>
        <w:snapToGrid w:val="0"/>
        <w:spacing w:before="50" w:after="50"/>
        <w:rPr>
          <w:rFonts w:ascii="宋体" w:hAnsi="Times New Roman"/>
          <w:color w:val="000000"/>
          <w:sz w:val="24"/>
        </w:rPr>
      </w:pPr>
      <w:r>
        <w:rPr>
          <w:rFonts w:hint="eastAsia" w:ascii="宋体" w:hAnsi="宋体"/>
          <w:color w:val="000000"/>
          <w:sz w:val="24"/>
        </w:rPr>
        <w:t>注：投标人应根据所投产品的性能指标、对照采购文件要求在</w:t>
      </w:r>
      <w:r>
        <w:rPr>
          <w:rFonts w:hint="eastAsia" w:ascii="宋体" w:hAnsi="Times New Roman"/>
          <w:color w:val="000000"/>
          <w:sz w:val="24"/>
        </w:rPr>
        <w:t>“</w:t>
      </w:r>
      <w:r>
        <w:rPr>
          <w:rFonts w:hint="eastAsia" w:ascii="宋体" w:hAnsi="宋体"/>
          <w:color w:val="000000"/>
          <w:sz w:val="24"/>
        </w:rPr>
        <w:t>偏离情况</w:t>
      </w:r>
      <w:r>
        <w:rPr>
          <w:rFonts w:hint="eastAsia" w:ascii="宋体" w:hAnsi="Times New Roman"/>
          <w:color w:val="000000"/>
          <w:sz w:val="24"/>
        </w:rPr>
        <w:t>”</w:t>
      </w:r>
      <w:r>
        <w:rPr>
          <w:rFonts w:hint="eastAsia" w:ascii="宋体" w:hAnsi="宋体"/>
          <w:color w:val="000000"/>
          <w:sz w:val="24"/>
        </w:rPr>
        <w:t>栏注明</w:t>
      </w:r>
      <w:r>
        <w:rPr>
          <w:rFonts w:hint="eastAsia" w:ascii="宋体" w:hAnsi="Times New Roman"/>
          <w:color w:val="000000"/>
          <w:sz w:val="24"/>
        </w:rPr>
        <w:t>“</w:t>
      </w:r>
      <w:r>
        <w:rPr>
          <w:rFonts w:hint="eastAsia" w:ascii="宋体" w:hAnsi="宋体"/>
          <w:color w:val="000000"/>
          <w:sz w:val="24"/>
        </w:rPr>
        <w:t>正偏离</w:t>
      </w:r>
      <w:r>
        <w:rPr>
          <w:rFonts w:hint="eastAsia" w:ascii="宋体" w:hAnsi="Times New Roman"/>
          <w:color w:val="000000"/>
          <w:sz w:val="24"/>
        </w:rPr>
        <w:t>”</w:t>
      </w:r>
      <w:r>
        <w:rPr>
          <w:rFonts w:hint="eastAsia" w:ascii="宋体" w:hAnsi="宋体"/>
          <w:color w:val="000000"/>
          <w:sz w:val="24"/>
        </w:rPr>
        <w:t>、</w:t>
      </w:r>
      <w:r>
        <w:rPr>
          <w:rFonts w:hint="eastAsia" w:ascii="宋体" w:hAnsi="Times New Roman"/>
          <w:color w:val="000000"/>
          <w:sz w:val="24"/>
        </w:rPr>
        <w:t>“</w:t>
      </w:r>
      <w:r>
        <w:rPr>
          <w:rFonts w:hint="eastAsia" w:ascii="宋体" w:hAnsi="宋体"/>
          <w:color w:val="000000"/>
          <w:sz w:val="24"/>
        </w:rPr>
        <w:t>负偏离</w:t>
      </w:r>
      <w:r>
        <w:rPr>
          <w:rFonts w:hint="eastAsia" w:ascii="宋体" w:hAnsi="Times New Roman"/>
          <w:color w:val="000000"/>
          <w:sz w:val="24"/>
        </w:rPr>
        <w:t>”</w:t>
      </w:r>
      <w:r>
        <w:rPr>
          <w:rFonts w:hint="eastAsia" w:ascii="宋体" w:hAnsi="宋体"/>
          <w:color w:val="000000"/>
          <w:sz w:val="24"/>
        </w:rPr>
        <w:t>或</w:t>
      </w:r>
      <w:r>
        <w:rPr>
          <w:rFonts w:hint="eastAsia" w:ascii="宋体" w:hAnsi="Times New Roman"/>
          <w:color w:val="000000"/>
          <w:sz w:val="24"/>
        </w:rPr>
        <w:t>“</w:t>
      </w:r>
      <w:r>
        <w:rPr>
          <w:rFonts w:hint="eastAsia" w:ascii="宋体" w:hAnsi="宋体"/>
          <w:color w:val="000000"/>
          <w:sz w:val="24"/>
        </w:rPr>
        <w:t>无偏离</w:t>
      </w:r>
      <w:r>
        <w:rPr>
          <w:rFonts w:hint="eastAsia" w:ascii="宋体" w:hAnsi="Times New Roman"/>
          <w:color w:val="000000"/>
          <w:sz w:val="24"/>
        </w:rPr>
        <w:t>”</w:t>
      </w:r>
      <w:r>
        <w:rPr>
          <w:rFonts w:hint="eastAsia" w:ascii="宋体" w:hAnsi="宋体"/>
          <w:color w:val="000000"/>
          <w:sz w:val="24"/>
        </w:rPr>
        <w:t>。</w:t>
      </w:r>
    </w:p>
    <w:p>
      <w:pPr>
        <w:snapToGrid w:val="0"/>
        <w:spacing w:before="50" w:after="50"/>
        <w:rPr>
          <w:rFonts w:ascii="宋体" w:hAnsi="宋体"/>
          <w:color w:val="000000"/>
          <w:spacing w:val="20"/>
          <w:sz w:val="24"/>
        </w:rPr>
      </w:pPr>
    </w:p>
    <w:p>
      <w:pPr>
        <w:snapToGrid w:val="0"/>
        <w:spacing w:before="50" w:after="50"/>
        <w:rPr>
          <w:rFonts w:ascii="宋体"/>
          <w:color w:val="000000"/>
          <w:sz w:val="24"/>
        </w:rPr>
      </w:pPr>
      <w:r>
        <w:rPr>
          <w:rFonts w:hint="eastAsia" w:ascii="宋体" w:hAnsi="宋体"/>
          <w:color w:val="000000"/>
          <w:spacing w:val="20"/>
          <w:sz w:val="24"/>
        </w:rPr>
        <w:t>全权代表签名：</w:t>
      </w:r>
      <w:r>
        <w:rPr>
          <w:rFonts w:ascii="宋体" w:hAnsi="宋体"/>
          <w:color w:val="000000"/>
          <w:spacing w:val="20"/>
          <w:sz w:val="24"/>
        </w:rPr>
        <w:t xml:space="preserve">          </w:t>
      </w:r>
      <w:r>
        <w:rPr>
          <w:rFonts w:hint="eastAsia" w:ascii="宋体" w:hAnsi="宋体"/>
          <w:color w:val="000000"/>
          <w:spacing w:val="20"/>
          <w:sz w:val="24"/>
        </w:rPr>
        <w:t>日</w:t>
      </w:r>
      <w:r>
        <w:rPr>
          <w:rFonts w:ascii="宋体" w:hAnsi="宋体"/>
          <w:color w:val="000000"/>
          <w:spacing w:val="20"/>
          <w:sz w:val="24"/>
        </w:rPr>
        <w:t xml:space="preserve"> </w:t>
      </w:r>
      <w:r>
        <w:rPr>
          <w:rFonts w:hint="eastAsia" w:ascii="宋体" w:hAnsi="宋体"/>
          <w:color w:val="000000"/>
          <w:spacing w:val="20"/>
          <w:sz w:val="24"/>
        </w:rPr>
        <w:t>期：</w:t>
      </w:r>
    </w:p>
    <w:p>
      <w:pPr>
        <w:snapToGrid w:val="0"/>
        <w:spacing w:before="50" w:after="156" w:afterLines="50"/>
        <w:jc w:val="left"/>
        <w:rPr>
          <w:rFonts w:ascii="宋体"/>
          <w:color w:val="000000"/>
          <w:sz w:val="24"/>
        </w:rPr>
      </w:pPr>
    </w:p>
    <w:p>
      <w:pPr>
        <w:tabs>
          <w:tab w:val="left" w:pos="1418"/>
        </w:tabs>
        <w:snapToGrid w:val="0"/>
        <w:spacing w:before="50" w:after="50"/>
        <w:ind w:left="1418" w:hanging="567"/>
        <w:jc w:val="center"/>
        <w:rPr>
          <w:rFonts w:ascii="宋体" w:hAnsi="宋体"/>
          <w:color w:val="000000"/>
          <w:spacing w:val="20"/>
          <w:sz w:val="24"/>
          <w:u w:val="single"/>
        </w:rPr>
      </w:pPr>
      <w:r>
        <w:rPr>
          <w:rFonts w:ascii="宋体" w:hAnsi="宋体"/>
          <w:color w:val="000000"/>
          <w:sz w:val="24"/>
        </w:rPr>
        <w:br w:type="page"/>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ascii="宋体" w:hAnsi="宋体"/>
          <w:color w:val="000000"/>
          <w:spacing w:val="40"/>
          <w:sz w:val="32"/>
          <w:szCs w:val="32"/>
        </w:rPr>
      </w:pPr>
      <w:r>
        <w:rPr>
          <w:rFonts w:hint="eastAsia" w:ascii="宋体" w:hAnsi="宋体"/>
          <w:color w:val="000000"/>
          <w:spacing w:val="40"/>
          <w:sz w:val="32"/>
          <w:szCs w:val="32"/>
        </w:rPr>
        <w:t>***项目名称</w:t>
      </w:r>
    </w:p>
    <w:p>
      <w:pPr>
        <w:spacing w:before="312" w:beforeLines="100" w:line="240" w:lineRule="atLeast"/>
        <w:ind w:right="-108"/>
        <w:jc w:val="center"/>
        <w:rPr>
          <w:rFonts w:ascii="宋体" w:hAnsi="宋体"/>
          <w:color w:val="000000"/>
          <w:sz w:val="24"/>
        </w:rPr>
      </w:pPr>
    </w:p>
    <w:p>
      <w:pPr>
        <w:spacing w:before="312" w:beforeLines="100" w:line="240" w:lineRule="atLeast"/>
        <w:ind w:right="-108"/>
        <w:jc w:val="center"/>
        <w:rPr>
          <w:rFonts w:ascii="宋体" w:hAnsi="宋体"/>
          <w:color w:val="000000"/>
          <w:sz w:val="24"/>
        </w:rPr>
      </w:pPr>
      <w:r>
        <w:rPr>
          <w:rFonts w:hint="eastAsia" w:ascii="宋体" w:hAnsi="宋体"/>
          <w:color w:val="000000"/>
          <w:sz w:val="24"/>
        </w:rPr>
        <w:t xml:space="preserve">项目编号：************** </w:t>
      </w:r>
    </w:p>
    <w:p>
      <w:pPr>
        <w:spacing w:after="100" w:afterAutospacing="1" w:line="4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报</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价</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600" w:lineRule="exact"/>
        <w:ind w:right="532" w:firstLine="480" w:firstLineChars="200"/>
        <w:rPr>
          <w:rFonts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hAnsi="宋体"/>
          <w:color w:val="000000"/>
          <w:sz w:val="24"/>
        </w:rPr>
      </w:pPr>
      <w:r>
        <w:rPr>
          <w:rFonts w:hint="eastAsia" w:ascii="宋体" w:hAnsi="宋体"/>
          <w:color w:val="000000"/>
          <w:sz w:val="24"/>
        </w:rPr>
        <w:t>地    址：</w:t>
      </w:r>
    </w:p>
    <w:p>
      <w:pPr>
        <w:spacing w:line="600" w:lineRule="exact"/>
        <w:ind w:right="532" w:firstLine="480" w:firstLineChars="200"/>
        <w:rPr>
          <w:rFonts w:ascii="宋体" w:hAnsi="宋体"/>
          <w:color w:val="000000"/>
          <w:sz w:val="24"/>
        </w:rPr>
      </w:pPr>
      <w:r>
        <w:rPr>
          <w:rFonts w:hint="eastAsia" w:ascii="宋体" w:hAnsi="宋体"/>
          <w:color w:val="000000"/>
          <w:sz w:val="24"/>
        </w:rPr>
        <w:t>时    间：</w:t>
      </w:r>
    </w:p>
    <w:p>
      <w:pPr>
        <w:pStyle w:val="15"/>
        <w:snapToGrid w:val="0"/>
        <w:ind w:leftChars="0"/>
        <w:rPr>
          <w:rFonts w:ascii="宋体" w:hAnsi="宋体" w:eastAsia="宋体"/>
          <w:color w:val="000000"/>
          <w:sz w:val="24"/>
          <w:szCs w:val="24"/>
        </w:rPr>
      </w:pPr>
    </w:p>
    <w:p>
      <w:pPr>
        <w:snapToGrid w:val="0"/>
        <w:spacing w:line="420" w:lineRule="exact"/>
        <w:jc w:val="left"/>
        <w:rPr>
          <w:rFonts w:ascii="宋体" w:hAnsi="宋体"/>
          <w:color w:val="000000"/>
          <w:sz w:val="24"/>
        </w:rPr>
      </w:pPr>
    </w:p>
    <w:p>
      <w:pPr>
        <w:snapToGrid w:val="0"/>
        <w:spacing w:line="420" w:lineRule="exact"/>
        <w:jc w:val="left"/>
        <w:rPr>
          <w:rFonts w:ascii="宋体" w:hAnsi="宋体"/>
          <w:color w:val="000000"/>
          <w:sz w:val="24"/>
        </w:rPr>
      </w:pPr>
      <w:r>
        <w:rPr>
          <w:rFonts w:hint="eastAsia" w:ascii="宋体" w:hAnsi="宋体"/>
          <w:color w:val="000000"/>
          <w:sz w:val="24"/>
        </w:rPr>
        <w:t xml:space="preserve">           </w:t>
      </w:r>
    </w:p>
    <w:p>
      <w:pPr>
        <w:snapToGrid w:val="0"/>
        <w:spacing w:line="420" w:lineRule="exact"/>
        <w:jc w:val="left"/>
        <w:rPr>
          <w:rFonts w:ascii="宋体" w:hAnsi="宋体"/>
          <w:color w:val="000000"/>
          <w:sz w:val="24"/>
        </w:rPr>
      </w:pPr>
      <w:r>
        <w:rPr>
          <w:rFonts w:hint="eastAsia" w:ascii="宋体" w:hAnsi="宋体"/>
          <w:color w:val="000000"/>
          <w:sz w:val="24"/>
        </w:rPr>
        <w:t>▲报价文件</w:t>
      </w:r>
    </w:p>
    <w:p>
      <w:pPr>
        <w:spacing w:line="480" w:lineRule="exact"/>
        <w:ind w:firstLine="240" w:firstLineChars="100"/>
        <w:rPr>
          <w:rFonts w:ascii="宋体" w:hAnsi="宋体" w:cs="宋体"/>
          <w:kern w:val="0"/>
          <w:sz w:val="24"/>
        </w:rPr>
      </w:pPr>
      <w:r>
        <w:rPr>
          <w:rFonts w:hint="eastAsia" w:ascii="宋体" w:hAnsi="宋体" w:cs="宋体"/>
          <w:kern w:val="0"/>
          <w:sz w:val="24"/>
        </w:rPr>
        <w:t>（1）投标报价一览表；</w:t>
      </w:r>
    </w:p>
    <w:p>
      <w:pPr>
        <w:spacing w:line="480" w:lineRule="exact"/>
        <w:ind w:firstLine="240" w:firstLineChars="100"/>
        <w:rPr>
          <w:rFonts w:ascii="宋体" w:hAnsi="宋体" w:cs="宋体"/>
          <w:kern w:val="0"/>
          <w:sz w:val="24"/>
        </w:rPr>
      </w:pPr>
      <w:r>
        <w:rPr>
          <w:rFonts w:hint="eastAsia" w:ascii="宋体" w:hAnsi="宋体" w:cs="宋体"/>
          <w:kern w:val="0"/>
          <w:sz w:val="24"/>
        </w:rPr>
        <w:t>（2）报价明细清单（须详细报价的组成明细）；</w:t>
      </w:r>
    </w:p>
    <w:p>
      <w:pPr>
        <w:spacing w:line="480" w:lineRule="exact"/>
        <w:ind w:firstLine="240" w:firstLineChars="1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中小企业声明函及证明材料复印件加盖公章（若有）；</w:t>
      </w:r>
    </w:p>
    <w:p>
      <w:pPr>
        <w:spacing w:line="480" w:lineRule="exact"/>
        <w:ind w:firstLine="240" w:firstLineChars="100"/>
        <w:rPr>
          <w:rFonts w:ascii="宋体" w:hAnsi="宋体" w:cs="宋体"/>
          <w:kern w:val="0"/>
          <w:sz w:val="24"/>
        </w:rPr>
      </w:pPr>
      <w:r>
        <w:rPr>
          <w:rFonts w:hint="eastAsia" w:ascii="宋体" w:hAnsi="宋体" w:cs="宋体"/>
          <w:kern w:val="0"/>
          <w:sz w:val="24"/>
        </w:rPr>
        <w:t>（4）采购文件要求的或响应人认为需要的其它资料。</w:t>
      </w:r>
    </w:p>
    <w:p>
      <w:pPr>
        <w:spacing w:line="480" w:lineRule="exact"/>
        <w:rPr>
          <w:rFonts w:ascii="宋体" w:hAnsi="宋体" w:cs="宋体"/>
          <w:kern w:val="0"/>
          <w:sz w:val="24"/>
        </w:rPr>
      </w:pPr>
    </w:p>
    <w:p>
      <w:pPr>
        <w:spacing w:line="480" w:lineRule="exact"/>
        <w:rPr>
          <w:rFonts w:ascii="宋体" w:hAnsi="宋体" w:cs="宋体"/>
          <w:kern w:val="0"/>
          <w:sz w:val="24"/>
        </w:rPr>
      </w:pPr>
    </w:p>
    <w:p>
      <w:pPr>
        <w:spacing w:line="420" w:lineRule="exact"/>
        <w:ind w:firstLine="480" w:firstLineChars="200"/>
        <w:rPr>
          <w:rFonts w:ascii="宋体" w:hAnsi="宋体"/>
          <w:color w:val="000000"/>
          <w:kern w:val="0"/>
          <w:sz w:val="24"/>
        </w:rPr>
      </w:pPr>
    </w:p>
    <w:p>
      <w:pPr>
        <w:rPr>
          <w:rFonts w:ascii="宋体" w:hAnsi="宋体"/>
          <w:color w:val="000000"/>
          <w:sz w:val="24"/>
        </w:rPr>
      </w:pPr>
    </w:p>
    <w:p>
      <w:pPr>
        <w:rPr>
          <w:rFonts w:ascii="宋体" w:hAnsi="宋体"/>
          <w:color w:val="000000"/>
          <w:sz w:val="24"/>
        </w:rPr>
        <w:sectPr>
          <w:pgSz w:w="11906" w:h="16838"/>
          <w:pgMar w:top="1440" w:right="1797" w:bottom="1440" w:left="1797" w:header="1134" w:footer="964" w:gutter="0"/>
          <w:cols w:space="720" w:num="1"/>
          <w:docGrid w:type="lines" w:linePitch="312" w:charSpace="0"/>
        </w:sectPr>
      </w:pPr>
    </w:p>
    <w:p>
      <w:pPr>
        <w:snapToGrid w:val="0"/>
        <w:spacing w:before="50" w:after="240"/>
        <w:jc w:val="center"/>
        <w:rPr>
          <w:rFonts w:ascii="宋体" w:hAnsi="宋体"/>
          <w:b/>
          <w:color w:val="000000"/>
          <w:sz w:val="24"/>
        </w:r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color w:val="000000"/>
          <w:sz w:val="24"/>
          <w:u w:val="single"/>
        </w:rPr>
      </w:pPr>
      <w:r>
        <w:rPr>
          <w:rFonts w:hint="eastAsia" w:ascii="宋体" w:hAnsi="宋体"/>
          <w:color w:val="000000"/>
          <w:sz w:val="24"/>
        </w:rPr>
        <w:t>单位全称（公章）：</w:t>
      </w:r>
      <w:r>
        <w:rPr>
          <w:rFonts w:hint="eastAsia" w:ascii="宋体" w:hAnsi="宋体"/>
          <w:color w:val="000000"/>
          <w:sz w:val="24"/>
          <w:u w:val="single"/>
        </w:rPr>
        <w:t xml:space="preserve">                  </w:t>
      </w:r>
      <w:r>
        <w:rPr>
          <w:rFonts w:hint="eastAsia" w:ascii="宋体" w:hAnsi="宋体"/>
          <w:color w:val="000000"/>
          <w:sz w:val="24"/>
        </w:rPr>
        <w:t>项目编号：</w:t>
      </w:r>
      <w:r>
        <w:rPr>
          <w:rFonts w:hint="eastAsia" w:ascii="宋体" w:hAnsi="宋体"/>
          <w:color w:val="000000"/>
          <w:sz w:val="24"/>
          <w:u w:val="single"/>
        </w:rPr>
        <w:t xml:space="preserve">             </w:t>
      </w:r>
    </w:p>
    <w:tbl>
      <w:tblPr>
        <w:tblStyle w:val="24"/>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93"/>
        <w:gridCol w:w="1350"/>
        <w:gridCol w:w="1684"/>
        <w:gridCol w:w="1163"/>
        <w:gridCol w:w="1459"/>
        <w:gridCol w:w="13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exact"/>
          <w:jc w:val="center"/>
        </w:trPr>
        <w:tc>
          <w:tcPr>
            <w:tcW w:w="289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项目名称</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数量</w:t>
            </w: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color w:val="000000"/>
                <w:sz w:val="24"/>
              </w:rPr>
            </w:pPr>
            <w:r>
              <w:rPr>
                <w:rFonts w:hint="eastAsia" w:ascii="宋体" w:hAnsi="宋体" w:cs="Arial"/>
                <w:bCs/>
                <w:color w:val="000000"/>
                <w:sz w:val="24"/>
              </w:rPr>
              <w:t>投标报价</w:t>
            </w:r>
          </w:p>
          <w:p>
            <w:pPr>
              <w:snapToGrid w:val="0"/>
              <w:spacing w:line="400" w:lineRule="exact"/>
              <w:jc w:val="center"/>
            </w:pPr>
            <w:r>
              <w:rPr>
                <w:rFonts w:hint="eastAsia" w:ascii="宋体" w:hAnsi="宋体" w:cs="Arial"/>
                <w:bCs/>
                <w:color w:val="000000"/>
                <w:sz w:val="24"/>
              </w:rPr>
              <w:t>（元）</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质保期（年）</w:t>
            </w:r>
          </w:p>
        </w:tc>
        <w:tc>
          <w:tcPr>
            <w:tcW w:w="14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Arial"/>
                <w:bCs/>
                <w:color w:val="000000"/>
                <w:sz w:val="24"/>
                <w:lang w:val="en-US" w:eastAsia="zh-CN"/>
              </w:rPr>
            </w:pPr>
            <w:r>
              <w:rPr>
                <w:rFonts w:hint="eastAsia" w:ascii="宋体" w:hAnsi="宋体" w:cs="Arial"/>
                <w:bCs/>
                <w:color w:val="000000"/>
                <w:sz w:val="24"/>
                <w:lang w:val="en-US" w:eastAsia="zh-CN"/>
              </w:rPr>
              <w:t>项目负责人</w:t>
            </w: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cs="Arial"/>
                <w:bCs/>
                <w:color w:val="000000"/>
                <w:sz w:val="24"/>
                <w:lang w:val="en-US" w:eastAsia="zh-CN"/>
              </w:rPr>
            </w:pPr>
            <w:r>
              <w:rPr>
                <w:rFonts w:hint="eastAsia" w:ascii="宋体" w:hAnsi="宋体" w:cs="Arial"/>
                <w:bCs/>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exact"/>
          <w:jc w:val="center"/>
        </w:trPr>
        <w:tc>
          <w:tcPr>
            <w:tcW w:w="289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40" w:firstLineChars="100"/>
              <w:rPr>
                <w:rFonts w:ascii="宋体" w:hAnsi="宋体" w:cs="Arial"/>
                <w:bCs/>
                <w:color w:val="000000"/>
                <w:sz w:val="24"/>
              </w:rPr>
            </w:pPr>
            <w:r>
              <w:rPr>
                <w:rFonts w:hint="eastAsia" w:ascii="宋体" w:hAnsi="宋体" w:cs="Arial"/>
                <w:bCs/>
                <w:color w:val="000000"/>
                <w:sz w:val="24"/>
              </w:rPr>
              <w:t xml:space="preserve"> </w:t>
            </w: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c>
          <w:tcPr>
            <w:tcW w:w="14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r>
    </w:tbl>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left="958" w:leftChars="456" w:firstLine="120" w:firstLineChars="50"/>
        <w:jc w:val="left"/>
        <w:rPr>
          <w:rFonts w:ascii="宋体" w:hAnsi="宋体"/>
          <w:color w:val="000000"/>
          <w:sz w:val="24"/>
        </w:rPr>
      </w:pPr>
      <w:r>
        <w:rPr>
          <w:rFonts w:hint="eastAsia" w:ascii="宋体" w:hAnsi="宋体"/>
          <w:color w:val="000000"/>
          <w:sz w:val="24"/>
        </w:rPr>
        <w:t>3、投标费用包括项目实施所需的人工费、服务费、运输费、培训费、制作标书费、税费及其他一切费用。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w:t>
      </w:r>
      <w:r>
        <w:rPr>
          <w:rFonts w:hint="eastAsia" w:ascii="宋体" w:hAnsi="宋体"/>
          <w:color w:val="000000"/>
          <w:sz w:val="24"/>
          <w:u w:val="single"/>
        </w:rPr>
        <w:t xml:space="preserve">                </w:t>
      </w:r>
      <w:r>
        <w:rPr>
          <w:rFonts w:hint="eastAsia" w:ascii="宋体" w:hAnsi="宋体"/>
          <w:color w:val="000000"/>
          <w:sz w:val="24"/>
        </w:rPr>
        <w:t xml:space="preserve">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color w:val="000000"/>
          <w:sz w:val="24"/>
        </w:rPr>
        <w:sectPr>
          <w:pgSz w:w="11906" w:h="16838"/>
          <w:pgMar w:top="1474" w:right="1531" w:bottom="936" w:left="1531" w:header="1134" w:footer="851" w:gutter="0"/>
          <w:cols w:space="720" w:num="1"/>
          <w:titlePg/>
          <w:docGrid w:linePitch="312" w:charSpace="0"/>
        </w:sectPr>
      </w:pPr>
    </w:p>
    <w:p>
      <w:pPr>
        <w:rPr>
          <w:rFonts w:ascii="宋体" w:hAnsi="宋体"/>
          <w:color w:val="000000"/>
          <w:sz w:val="24"/>
        </w:rPr>
      </w:pPr>
    </w:p>
    <w:p>
      <w:pPr>
        <w:rPr>
          <w:rFonts w:ascii="宋体" w:hAnsi="宋体"/>
          <w:color w:val="000000"/>
          <w:sz w:val="24"/>
        </w:rPr>
      </w:pPr>
    </w:p>
    <w:p>
      <w:pPr>
        <w:pStyle w:val="14"/>
        <w:snapToGrid w:val="0"/>
        <w:spacing w:beforeLines="0" w:afterLines="0" w:line="240" w:lineRule="auto"/>
        <w:jc w:val="center"/>
        <w:rPr>
          <w:rFonts w:hAnsi="宋体"/>
          <w:b/>
          <w:color w:val="000000"/>
        </w:rPr>
      </w:pPr>
      <w:r>
        <w:rPr>
          <w:rFonts w:hAnsi="宋体"/>
          <w:b/>
          <w:color w:val="000000"/>
        </w:rPr>
        <w:t>报</w:t>
      </w:r>
      <w:r>
        <w:rPr>
          <w:rFonts w:hint="eastAsia" w:hAnsi="宋体"/>
          <w:b/>
          <w:color w:val="000000"/>
        </w:rPr>
        <w:t xml:space="preserve"> </w:t>
      </w:r>
      <w:r>
        <w:rPr>
          <w:rFonts w:hAnsi="宋体"/>
          <w:b/>
          <w:color w:val="000000"/>
        </w:rPr>
        <w:t>价</w:t>
      </w:r>
      <w:r>
        <w:rPr>
          <w:rFonts w:hint="eastAsia" w:hAnsi="宋体"/>
          <w:b/>
          <w:color w:val="000000"/>
        </w:rPr>
        <w:t xml:space="preserve"> </w:t>
      </w:r>
      <w:r>
        <w:rPr>
          <w:rFonts w:hAnsi="宋体"/>
          <w:b/>
          <w:color w:val="000000"/>
        </w:rPr>
        <w:t>明</w:t>
      </w:r>
      <w:r>
        <w:rPr>
          <w:rFonts w:hint="eastAsia" w:hAnsi="宋体"/>
          <w:b/>
          <w:color w:val="000000"/>
        </w:rPr>
        <w:t xml:space="preserve"> </w:t>
      </w:r>
      <w:r>
        <w:rPr>
          <w:rFonts w:hAnsi="宋体"/>
          <w:b/>
          <w:color w:val="000000"/>
        </w:rPr>
        <w:t>细</w:t>
      </w:r>
      <w:r>
        <w:rPr>
          <w:rFonts w:hint="eastAsia" w:hAnsi="宋体"/>
          <w:b/>
          <w:color w:val="000000"/>
        </w:rPr>
        <w:t xml:space="preserve"> </w:t>
      </w:r>
      <w:r>
        <w:rPr>
          <w:rFonts w:hAnsi="宋体"/>
          <w:b/>
          <w:color w:val="000000"/>
        </w:rPr>
        <w:t>表</w:t>
      </w:r>
    </w:p>
    <w:p>
      <w:pPr>
        <w:pStyle w:val="10"/>
        <w:snapToGrid w:val="0"/>
        <w:rPr>
          <w:rFonts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单位：元</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7"/>
        <w:gridCol w:w="1955"/>
        <w:gridCol w:w="1249"/>
        <w:gridCol w:w="799"/>
        <w:gridCol w:w="799"/>
        <w:gridCol w:w="799"/>
        <w:gridCol w:w="799"/>
        <w:gridCol w:w="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序号</w:t>
            </w: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项目名称</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单位</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数量</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单价</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合价</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r>
              <w:rPr>
                <w:rFonts w:hint="eastAsia" w:ascii="宋体" w:hAnsi="宋体" w:cs="Arial"/>
                <w:bCs/>
                <w:color w:val="000000"/>
                <w:sz w:val="24"/>
              </w:rPr>
              <w:t>合计</w:t>
            </w:r>
          </w:p>
        </w:tc>
        <w:tc>
          <w:tcPr>
            <w:tcW w:w="195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r>
              <w:rPr>
                <w:rFonts w:hint="eastAsia" w:ascii="宋体" w:hAnsi="宋体" w:cs="Arial"/>
                <w:bCs/>
                <w:color w:val="000000"/>
                <w:sz w:val="24"/>
              </w:rPr>
              <w:t>小写：</w:t>
            </w:r>
          </w:p>
        </w:tc>
        <w:tc>
          <w:tcPr>
            <w:tcW w:w="124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r>
              <w:rPr>
                <w:rFonts w:hint="eastAsia" w:ascii="宋体" w:hAnsi="宋体" w:cs="Arial"/>
                <w:bCs/>
                <w:color w:val="000000"/>
                <w:sz w:val="24"/>
              </w:rPr>
              <w:t>大写：</w:t>
            </w:r>
          </w:p>
        </w:tc>
        <w:tc>
          <w:tcPr>
            <w:tcW w:w="399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bl>
    <w:p>
      <w:pPr>
        <w:rPr>
          <w:rFonts w:ascii="宋体" w:hAnsi="宋体"/>
          <w:color w:val="000000"/>
          <w:sz w:val="24"/>
        </w:rPr>
      </w:pPr>
    </w:p>
    <w:p>
      <w:pPr>
        <w:tabs>
          <w:tab w:val="left" w:pos="1418"/>
        </w:tabs>
        <w:snapToGrid w:val="0"/>
        <w:spacing w:before="50" w:after="50" w:line="460" w:lineRule="exact"/>
        <w:ind w:left="1418" w:hanging="567"/>
        <w:jc w:val="center"/>
        <w:rPr>
          <w:rFonts w:ascii="宋体" w:hAnsi="宋体"/>
          <w:color w:val="000000"/>
          <w:spacing w:val="20"/>
          <w:sz w:val="24"/>
          <w:u w:val="single"/>
        </w:rPr>
      </w:pPr>
    </w:p>
    <w:p>
      <w:pPr>
        <w:snapToGrid w:val="0"/>
        <w:spacing w:before="50" w:after="50" w:line="460" w:lineRule="exact"/>
        <w:rPr>
          <w:rFonts w:ascii="宋体" w:hAnsi="宋体"/>
          <w:color w:val="000000"/>
          <w:spacing w:val="20"/>
          <w:sz w:val="24"/>
          <w:u w:val="single"/>
        </w:rPr>
      </w:pPr>
      <w:r>
        <w:rPr>
          <w:rFonts w:hint="eastAsia" w:ascii="宋体" w:hAnsi="宋体"/>
          <w:color w:val="000000"/>
          <w:spacing w:val="20"/>
          <w:sz w:val="24"/>
        </w:rPr>
        <w:t>全权代表签名：</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pStyle w:val="20"/>
        <w:spacing w:before="0" w:beforeAutospacing="0" w:after="0" w:afterAutospacing="0" w:line="560" w:lineRule="exact"/>
        <w:ind w:right="685"/>
        <w:rPr>
          <w:color w:val="000000"/>
        </w:rPr>
      </w:pPr>
    </w:p>
    <w:p>
      <w:pPr>
        <w:pStyle w:val="14"/>
        <w:adjustRightInd w:val="0"/>
        <w:snapToGrid w:val="0"/>
        <w:spacing w:before="156" w:after="156" w:line="460" w:lineRule="exact"/>
        <w:ind w:left="1" w:firstLine="511" w:firstLineChars="213"/>
        <w:jc w:val="center"/>
        <w:rPr>
          <w:color w:val="000000"/>
        </w:rPr>
      </w:pPr>
    </w:p>
    <w:p>
      <w:pPr>
        <w:pStyle w:val="14"/>
        <w:adjustRightInd w:val="0"/>
        <w:snapToGrid w:val="0"/>
        <w:spacing w:before="156" w:after="156" w:line="460" w:lineRule="exact"/>
        <w:ind w:left="1" w:firstLine="511" w:firstLineChars="213"/>
        <w:jc w:val="center"/>
        <w:rPr>
          <w:color w:val="000000"/>
        </w:rPr>
      </w:pPr>
    </w:p>
    <w:p>
      <w:pPr>
        <w:pStyle w:val="14"/>
        <w:adjustRightInd w:val="0"/>
        <w:snapToGrid w:val="0"/>
        <w:spacing w:before="156" w:after="156" w:line="460" w:lineRule="exact"/>
        <w:ind w:left="1" w:firstLine="511" w:firstLineChars="213"/>
        <w:jc w:val="center"/>
        <w:rPr>
          <w:color w:val="000000"/>
        </w:rPr>
      </w:pPr>
    </w:p>
    <w:p>
      <w:pPr>
        <w:pStyle w:val="14"/>
        <w:adjustRightInd w:val="0"/>
        <w:snapToGrid w:val="0"/>
        <w:spacing w:before="156" w:after="156" w:line="460" w:lineRule="exact"/>
        <w:ind w:left="1" w:firstLine="511" w:firstLineChars="213"/>
        <w:jc w:val="center"/>
        <w:rPr>
          <w:color w:val="000000"/>
        </w:rPr>
      </w:pPr>
    </w:p>
    <w:p>
      <w:pPr>
        <w:pStyle w:val="14"/>
        <w:adjustRightInd w:val="0"/>
        <w:snapToGrid w:val="0"/>
        <w:spacing w:before="156" w:after="156" w:line="460" w:lineRule="exact"/>
        <w:ind w:left="1" w:firstLine="511" w:firstLineChars="213"/>
        <w:jc w:val="center"/>
        <w:rPr>
          <w:color w:val="000000"/>
        </w:rPr>
      </w:pPr>
    </w:p>
    <w:p>
      <w:pPr>
        <w:pStyle w:val="14"/>
        <w:adjustRightInd w:val="0"/>
        <w:snapToGrid w:val="0"/>
        <w:spacing w:before="156" w:after="156" w:line="460" w:lineRule="exact"/>
        <w:ind w:left="1" w:firstLine="511" w:firstLineChars="213"/>
        <w:jc w:val="center"/>
        <w:rPr>
          <w:color w:val="000000"/>
        </w:rPr>
      </w:pPr>
    </w:p>
    <w:p>
      <w:pPr>
        <w:pStyle w:val="14"/>
        <w:adjustRightInd w:val="0"/>
        <w:snapToGrid w:val="0"/>
        <w:spacing w:before="156" w:after="156" w:line="460" w:lineRule="exact"/>
        <w:ind w:left="1" w:firstLine="511" w:firstLineChars="213"/>
        <w:jc w:val="center"/>
        <w:rPr>
          <w:color w:val="000000"/>
        </w:rPr>
      </w:pPr>
    </w:p>
    <w:p>
      <w:pPr>
        <w:snapToGrid w:val="0"/>
        <w:spacing w:before="50"/>
        <w:jc w:val="center"/>
        <w:rPr>
          <w:rFonts w:ascii="宋体" w:hAnsi="宋体" w:cs="宋体"/>
          <w:b/>
          <w:bCs/>
          <w:sz w:val="24"/>
        </w:rPr>
      </w:pPr>
      <w:r>
        <w:rPr>
          <w:rFonts w:hint="eastAsia" w:ascii="宋体" w:hAnsi="宋体" w:cs="宋体"/>
          <w:b/>
          <w:bCs/>
          <w:spacing w:val="40"/>
          <w:kern w:val="0"/>
          <w:sz w:val="24"/>
        </w:rPr>
        <w:t>中小企业声明函</w:t>
      </w:r>
    </w:p>
    <w:p>
      <w:pPr>
        <w:spacing w:line="480" w:lineRule="exact"/>
        <w:rPr>
          <w:rFonts w:ascii="宋体" w:hAnsi="宋体" w:cs="宋体"/>
          <w:b/>
          <w:bCs/>
          <w:sz w:val="24"/>
        </w:rPr>
      </w:pPr>
    </w:p>
    <w:p>
      <w:pPr>
        <w:spacing w:line="360" w:lineRule="exact"/>
        <w:jc w:val="center"/>
        <w:rPr>
          <w:rFonts w:ascii="宋体" w:hAnsi="宋体" w:cs="宋体"/>
          <w:color w:val="000000"/>
          <w:sz w:val="24"/>
        </w:rPr>
      </w:pPr>
      <w:r>
        <w:rPr>
          <w:rFonts w:hint="eastAsia" w:ascii="宋体" w:hAnsi="宋体" w:cs="宋体"/>
          <w:color w:val="000000"/>
          <w:sz w:val="24"/>
        </w:rPr>
        <w:t>中小企业声明函</w:t>
      </w:r>
    </w:p>
    <w:p>
      <w:pPr>
        <w:spacing w:before="312" w:beforeLines="100" w:line="360" w:lineRule="exact"/>
        <w:ind w:firstLine="480" w:firstLineChars="200"/>
        <w:rPr>
          <w:rFonts w:ascii="宋体" w:hAnsi="宋体" w:cs="宋体"/>
          <w:color w:val="000000"/>
          <w:sz w:val="24"/>
        </w:rPr>
      </w:pPr>
      <w:r>
        <w:rPr>
          <w:rFonts w:hint="eastAsia" w:ascii="宋体" w:hAnsi="宋体" w:cs="宋体"/>
          <w:color w:val="000000"/>
          <w:sz w:val="24"/>
        </w:rPr>
        <w:t>本公司郑重声明，根据《政府采购促进中小企业发展暂行办法》（财库〔2011〕181号）的规定，本公司为     （请填写：中型、小型、微型）企业。即，本公司同时满足以下条件：</w:t>
      </w:r>
    </w:p>
    <w:p>
      <w:pPr>
        <w:spacing w:line="360" w:lineRule="exact"/>
        <w:ind w:firstLine="480" w:firstLineChars="200"/>
        <w:rPr>
          <w:rFonts w:ascii="宋体" w:hAnsi="宋体" w:cs="宋体"/>
          <w:color w:val="000000"/>
          <w:sz w:val="24"/>
        </w:rPr>
      </w:pPr>
      <w:r>
        <w:rPr>
          <w:rFonts w:hint="eastAsia" w:ascii="宋体" w:hAnsi="宋体" w:cs="宋体"/>
          <w:color w:val="000000"/>
          <w:sz w:val="24"/>
        </w:rPr>
        <w:t>1．根据《工业和信息化部、国家统计局、国家发展和改革委员会、财政部关于印发中小企业划型标准规定的通知》（工信部联企业〔2011〕300号）规定的划分标准，本公司为     （请填写：中型、小型、微型）企业。</w:t>
      </w:r>
    </w:p>
    <w:p>
      <w:pPr>
        <w:spacing w:line="360" w:lineRule="exact"/>
        <w:ind w:firstLine="480" w:firstLineChars="200"/>
        <w:rPr>
          <w:rFonts w:ascii="宋体" w:hAnsi="宋体" w:cs="宋体"/>
          <w:color w:val="000000"/>
          <w:sz w:val="24"/>
        </w:rPr>
      </w:pPr>
      <w:r>
        <w:rPr>
          <w:rFonts w:hint="eastAsia" w:ascii="宋体" w:hAnsi="宋体" w:cs="宋体"/>
          <w:color w:val="000000"/>
          <w:sz w:val="24"/>
        </w:rPr>
        <w:t>2．本公司参加     单位的     项目采购活动提供本企业制造的货物，由本企业承担工程、提供服务，或者提供其他      （请填写：中型、小型、微型）企业制造的货物。本条所称货物不包括使用大型企业注册商标的货物。</w:t>
      </w:r>
    </w:p>
    <w:p>
      <w:pPr>
        <w:spacing w:line="360" w:lineRule="exact"/>
        <w:ind w:firstLine="480" w:firstLineChars="200"/>
        <w:rPr>
          <w:rFonts w:ascii="宋体" w:hAnsi="宋体" w:cs="宋体"/>
          <w:color w:val="000000"/>
          <w:sz w:val="24"/>
        </w:rPr>
      </w:pPr>
      <w:r>
        <w:rPr>
          <w:rFonts w:hint="eastAsia" w:ascii="宋体" w:hAnsi="宋体" w:cs="宋体"/>
          <w:color w:val="000000"/>
          <w:sz w:val="24"/>
        </w:rPr>
        <w:t>本公司对上述声明的真实性负责。如有虚假，将依法承担相应责任。</w:t>
      </w:r>
    </w:p>
    <w:p>
      <w:pPr>
        <w:spacing w:line="360" w:lineRule="exact"/>
        <w:ind w:firstLine="480" w:firstLineChars="200"/>
        <w:rPr>
          <w:rFonts w:ascii="宋体" w:hAnsi="宋体" w:cs="宋体"/>
          <w:color w:val="000000"/>
          <w:sz w:val="24"/>
        </w:rPr>
      </w:pPr>
    </w:p>
    <w:p>
      <w:pPr>
        <w:spacing w:line="360" w:lineRule="exact"/>
        <w:ind w:firstLine="480" w:firstLineChars="200"/>
        <w:rPr>
          <w:rFonts w:ascii="宋体" w:hAnsi="宋体" w:cs="宋体"/>
          <w:color w:val="000000"/>
          <w:sz w:val="24"/>
        </w:rPr>
      </w:pPr>
    </w:p>
    <w:p>
      <w:pPr>
        <w:spacing w:line="360" w:lineRule="exact"/>
        <w:ind w:firstLine="480" w:firstLineChars="200"/>
        <w:jc w:val="right"/>
        <w:rPr>
          <w:rFonts w:ascii="宋体" w:hAnsi="宋体" w:cs="宋体"/>
          <w:color w:val="000000"/>
          <w:sz w:val="24"/>
        </w:rPr>
      </w:pPr>
      <w:r>
        <w:rPr>
          <w:rFonts w:hint="eastAsia" w:ascii="宋体" w:hAnsi="宋体" w:cs="宋体"/>
          <w:color w:val="000000"/>
          <w:sz w:val="24"/>
        </w:rPr>
        <w:t>企业名称（盖章）：</w:t>
      </w:r>
    </w:p>
    <w:p>
      <w:pPr>
        <w:spacing w:line="480" w:lineRule="exact"/>
        <w:jc w:val="right"/>
        <w:rPr>
          <w:rFonts w:ascii="宋体" w:hAnsi="宋体" w:cs="宋体"/>
          <w:color w:val="000000"/>
          <w:sz w:val="24"/>
        </w:rPr>
      </w:pPr>
      <w:r>
        <w:rPr>
          <w:rFonts w:hint="eastAsia" w:ascii="宋体" w:hAnsi="宋体" w:cs="宋体"/>
          <w:color w:val="000000"/>
          <w:sz w:val="24"/>
        </w:rPr>
        <w:t>日  期：</w:t>
      </w:r>
    </w:p>
    <w:p>
      <w:pPr>
        <w:spacing w:line="480" w:lineRule="exact"/>
        <w:jc w:val="right"/>
        <w:rPr>
          <w:rFonts w:ascii="宋体" w:hAnsi="宋体" w:cs="宋体"/>
          <w:color w:val="000000"/>
          <w:sz w:val="24"/>
        </w:rPr>
      </w:pPr>
    </w:p>
    <w:p>
      <w:pPr>
        <w:spacing w:line="480" w:lineRule="exact"/>
        <w:jc w:val="right"/>
        <w:rPr>
          <w:rFonts w:ascii="宋体" w:hAnsi="宋体" w:cs="宋体"/>
          <w:color w:val="000000"/>
          <w:sz w:val="24"/>
        </w:rPr>
      </w:pPr>
    </w:p>
    <w:p>
      <w:pPr>
        <w:snapToGrid w:val="0"/>
        <w:spacing w:before="50"/>
        <w:rPr>
          <w:rFonts w:ascii="宋体" w:hAnsi="宋体" w:cs="宋体"/>
          <w:b/>
          <w:bCs/>
          <w:spacing w:val="40"/>
          <w:kern w:val="0"/>
          <w:sz w:val="24"/>
        </w:rPr>
      </w:pPr>
      <w:r>
        <w:rPr>
          <w:rFonts w:hint="eastAsia" w:ascii="宋体" w:hAnsi="宋体" w:cs="宋体"/>
          <w:b/>
          <w:bCs/>
          <w:spacing w:val="40"/>
          <w:kern w:val="0"/>
          <w:sz w:val="24"/>
        </w:rPr>
        <w:t>注：若为小微企业，附小微企业名录网页截图</w:t>
      </w: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spacing w:val="6"/>
          <w:sz w:val="24"/>
        </w:rPr>
      </w:pPr>
      <w:r>
        <w:rPr>
          <w:rFonts w:hint="eastAsia" w:ascii="宋体" w:hAnsi="宋体"/>
          <w:b/>
          <w:spacing w:val="6"/>
          <w:sz w:val="24"/>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（签字或盖章）</w:t>
      </w:r>
      <w:r>
        <w:rPr>
          <w:rFonts w:ascii="宋体" w:hAnsi="宋体"/>
          <w:spacing w:val="20"/>
          <w:sz w:val="24"/>
          <w:u w:val="single"/>
        </w:rPr>
        <w:t xml:space="preserve">  </w:t>
      </w:r>
    </w:p>
    <w:p>
      <w:pPr>
        <w:spacing w:line="360" w:lineRule="auto"/>
        <w:rPr>
          <w:rFonts w:ascii="宋体" w:hAnsi="宋体"/>
          <w:spacing w:val="20"/>
          <w:sz w:val="24"/>
        </w:rPr>
      </w:pPr>
    </w:p>
    <w:p>
      <w:pPr>
        <w:snapToGrid w:val="0"/>
        <w:spacing w:before="50" w:after="50" w:line="360" w:lineRule="auto"/>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rPr>
          <w:rFonts w:ascii="宋体" w:hAnsi="宋体"/>
          <w:spacing w:val="20"/>
          <w:sz w:val="24"/>
          <w:szCs w:val="20"/>
          <w:u w:val="single"/>
        </w:rPr>
      </w:pPr>
      <w:r>
        <w:rPr>
          <w:rFonts w:ascii="宋体" w:hAnsi="宋体"/>
          <w:spacing w:val="20"/>
          <w:sz w:val="24"/>
          <w:u w:val="single"/>
        </w:rPr>
        <w:t xml:space="preserve">     </w:t>
      </w:r>
    </w:p>
    <w:p>
      <w:pPr>
        <w:snapToGrid w:val="0"/>
        <w:spacing w:line="400" w:lineRule="exact"/>
        <w:jc w:val="left"/>
        <w:rPr>
          <w:rFonts w:ascii="Arial" w:hAnsi="Arial" w:cs="Arial"/>
          <w:color w:val="FF0000"/>
          <w:kern w:val="0"/>
          <w:sz w:val="24"/>
        </w:rPr>
      </w:pPr>
      <w:r>
        <w:rPr>
          <w:rFonts w:hint="eastAsia" w:ascii="宋体" w:hAnsi="宋体"/>
          <w:b/>
          <w:bCs/>
          <w:sz w:val="24"/>
        </w:rPr>
        <w:t>附相关证明文件（加盖公章）</w:t>
      </w:r>
    </w:p>
    <w:p>
      <w:pPr>
        <w:pStyle w:val="3"/>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color w:val="000000"/>
          <w:sz w:val="24"/>
        </w:rPr>
      </w:pPr>
    </w:p>
    <w:p>
      <w:pPr>
        <w:snapToGrid w:val="0"/>
        <w:spacing w:before="50"/>
        <w:jc w:val="center"/>
        <w:rPr>
          <w:rFonts w:ascii="宋体" w:hAnsi="宋体" w:cs="宋体"/>
          <w:color w:val="000000"/>
          <w:sz w:val="24"/>
        </w:rPr>
      </w:pPr>
    </w:p>
    <w:p>
      <w:pPr>
        <w:snapToGrid w:val="0"/>
        <w:spacing w:before="50"/>
        <w:jc w:val="center"/>
        <w:rPr>
          <w:rFonts w:ascii="宋体" w:hAnsi="宋体" w:cs="宋体"/>
          <w:color w:val="000000"/>
          <w:sz w:val="24"/>
        </w:rPr>
      </w:pPr>
    </w:p>
    <w:p>
      <w:pPr>
        <w:snapToGrid w:val="0"/>
        <w:spacing w:before="50"/>
        <w:jc w:val="center"/>
        <w:rPr>
          <w:rFonts w:ascii="宋体" w:hAnsi="宋体" w:cs="宋体"/>
          <w:color w:val="000000"/>
          <w:sz w:val="24"/>
        </w:rPr>
      </w:pPr>
    </w:p>
    <w:p>
      <w:pPr>
        <w:pStyle w:val="14"/>
        <w:adjustRightInd w:val="0"/>
        <w:snapToGrid w:val="0"/>
        <w:spacing w:before="156" w:after="156" w:line="460" w:lineRule="exact"/>
        <w:ind w:left="1" w:firstLine="511" w:firstLineChars="213"/>
        <w:jc w:val="center"/>
        <w:rPr>
          <w:color w:val="000000"/>
        </w:rPr>
      </w:pPr>
    </w:p>
    <w:p>
      <w:pPr>
        <w:pStyle w:val="14"/>
        <w:adjustRightInd w:val="0"/>
        <w:snapToGrid w:val="0"/>
        <w:spacing w:before="156" w:after="156" w:line="460" w:lineRule="exact"/>
        <w:ind w:left="1" w:firstLine="511" w:firstLineChars="213"/>
        <w:jc w:val="center"/>
        <w:rPr>
          <w:color w:val="000000"/>
        </w:rPr>
      </w:pPr>
    </w:p>
    <w:sectPr>
      <w:headerReference r:id="rId14" w:type="first"/>
      <w:footerReference r:id="rId17" w:type="first"/>
      <w:headerReference r:id="rId13" w:type="default"/>
      <w:footerReference r:id="rId15" w:type="default"/>
      <w:footerReference r:id="rId16"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宋体" w:hAnsi="宋体" w:cs="宋体"/>
        <w:sz w:val="18"/>
        <w:szCs w:val="18"/>
      </w:rPr>
      <w:t>杭州建设工程造价咨询有限公司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宋体" w:hAnsi="宋体" w:cs="宋体"/>
      </w:rPr>
      <w:t>杭州建设工程造价咨询有限公司</w:t>
    </w:r>
    <w:r>
      <w:pict>
        <v:shape id="_x0000_s4097" o:spid="_x0000_s4097" o:spt="202" type="#_x0000_t202" style="position:absolute;left:0pt;margin-top:0pt;height:11pt;width:8.15pt;mso-position-horizontal:center;mso-position-horizontal-relative:margin;mso-wrap-style:none;z-index:251658240;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oMiFHNAAAAADAQAADwAA&#10;AAAAAAABACAAAAAiAAAAZHJzL2Rvd25yZXYueG1sUEsBAhQAFAAAAAgAh07iQPh/s2WsAQAAPQMA&#10;AA4AAAAAAAAAAQAgAAAAHwEAAGRycy9lMm9Eb2MueG1sUEsFBgAAAAAGAAYAWQEAAD0FAAAAAA==&#10;">
          <v:path/>
          <v:fill on="f" focussize="0,0"/>
          <v:stroke on="f"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rFonts w:hint="eastAsia" w:ascii="宋体" w:hAnsi="宋体" w:cs="宋体"/>
      </w:rPr>
      <w:t>杭州建设工程造价咨询有限公司</w:t>
    </w: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path/>
          <v:fill on="f" focussize="0,0"/>
          <v:stroke on="f" joinstyle="miter"/>
          <v:imagedata o:title=""/>
          <o:lock v:ext="edit"/>
          <v:textbox inset="0mm,0mm,0mm,0mm" style="mso-fit-shape-to-text:t;">
            <w:txbxContent>
              <w:p>
                <w:pPr>
                  <w:pStyle w:val="17"/>
                  <w:rPr>
                    <w:rStyle w:val="27"/>
                  </w:rPr>
                </w:pPr>
                <w:r>
                  <w:fldChar w:fldCharType="begin"/>
                </w:r>
                <w:r>
                  <w:rPr>
                    <w:rStyle w:val="27"/>
                  </w:rPr>
                  <w:instrText xml:space="preserve">PAGE  </w:instrText>
                </w:r>
                <w:r>
                  <w:fldChar w:fldCharType="separate"/>
                </w:r>
                <w:r>
                  <w:rPr>
                    <w:rStyle w:val="27"/>
                  </w:rPr>
                  <w:t>11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end"/>
    </w:r>
  </w:p>
  <w:p>
    <w:pPr>
      <w:pStyle w:val="1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ascii="宋体" w:hAnsi="宋体" w:cs="宋体"/>
      </w:rPr>
      <w:t xml:space="preserve">杭州建设工程造价咨询有限公司                       </w:t>
    </w:r>
    <w:r>
      <w:rPr>
        <w:rFonts w:hint="eastAsia"/>
      </w:rPr>
      <w:t>40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宋体" w:hAnsi="宋体" w:cs="宋体"/>
      </w:rPr>
      <w:t>杭州建设工程造价咨询有限公司</w:t>
    </w: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48</w:t>
                </w:r>
                <w:r>
                  <w:fldChar w:fldCharType="end"/>
                </w:r>
              </w:p>
            </w:txbxContent>
          </v:textbox>
        </v:shape>
      </w:pict>
    </w:r>
    <w:r>
      <w:pict>
        <v:shape id="_x0000_s4100" o:spid="_x0000_s4100" o:spt="202" type="#_x0000_t202" style="position:absolute;left:0pt;margin-left:194.6pt;margin-top:0pt;height:7.85pt;width:17.7pt;mso-position-horizontal-relative:margin;z-index:251660288;mso-width-relative:page;mso-height-relative:page;" filled="f" stroked="f" coordsize="21600,21600" o:gfxdata="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Kw9d9cAAAAHAQAADwAAAAAAAAABACAAAAAiAAAA&#10;ZHJzL2Rvd25yZXYueG1sUEsBAhQAFAAAAAgAh07iQOJSR1uWAQAAFgMAAA4AAAAAAAAAAQAgAAAA&#10;JgEAAGRycy9lMm9Eb2MueG1sUEsFBgAAAAAGAAYAWQEAAC4FAAAAAA==&#10;">
          <v:path/>
          <v:fill on="f" focussize="0,0"/>
          <v:stroke on="f" joinstyle="miter"/>
          <v:imagedata o:title=""/>
          <o:lock v:ext="edit"/>
          <v:textbox inset="0mm,0mm,0mm,0mm">
            <w:txbxContent>
              <w:p>
                <w:pPr>
                  <w:pStyle w:val="17"/>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end"/>
    </w:r>
  </w:p>
  <w:p>
    <w:pPr>
      <w:pStyle w:val="17"/>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ascii="宋体" w:hAnsi="宋体" w:cs="宋体"/>
        <w:bCs/>
        <w:sz w:val="18"/>
        <w:szCs w:val="18"/>
        <w:lang w:eastAsia="zh-CN"/>
      </w:rPr>
      <w:t>临安区水灾害防御指挥中心会商系统项目（重新）</w:t>
    </w:r>
    <w:r>
      <w:rPr>
        <w:rFonts w:hint="eastAsia" w:ascii="宋体" w:hAnsi="宋体" w:cs="宋体"/>
        <w:bCs/>
        <w:sz w:val="18"/>
        <w:szCs w:val="18"/>
        <w:lang w:val="en-US" w:eastAsia="zh-CN"/>
      </w:rPr>
      <w:t xml:space="preserve">                                      </w:t>
    </w:r>
    <w:r>
      <w:rPr>
        <w:rFonts w:hint="eastAsia" w:ascii="宋体" w:hAnsi="宋体" w:cs="宋体"/>
        <w:bCs/>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right="-110"/>
      <w:jc w:val="left"/>
      <w:rPr>
        <w:sz w:val="18"/>
        <w:szCs w:val="18"/>
      </w:rPr>
    </w:pPr>
    <w:r>
      <w:rPr>
        <w:rFonts w:hint="eastAsia" w:ascii="宋体" w:hAnsi="宋体" w:cs="宋体"/>
        <w:bCs/>
        <w:sz w:val="18"/>
        <w:szCs w:val="18"/>
        <w:lang w:eastAsia="zh-CN"/>
      </w:rPr>
      <w:t>临安区水灾害防御指挥中心会商系统项目（重新）</w:t>
    </w:r>
    <w:r>
      <w:rPr>
        <w:rFonts w:hint="eastAsia" w:ascii="宋体" w:hAnsi="宋体" w:cs="宋体"/>
        <w:bCs/>
        <w:sz w:val="18"/>
        <w:szCs w:val="18"/>
        <w:lang w:val="en-US" w:eastAsia="zh-CN"/>
      </w:rPr>
      <w:t xml:space="preserve">                                          </w:t>
    </w:r>
    <w:r>
      <w:rPr>
        <w:rFonts w:hint="eastAsia" w:ascii="宋体" w:hAnsi="宋体" w:cs="宋体"/>
        <w:bCs/>
        <w:sz w:val="18"/>
        <w:szCs w:val="18"/>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right="-110"/>
      <w:jc w:val="left"/>
    </w:pPr>
    <w:r>
      <w:rPr>
        <w:rFonts w:hint="eastAsia" w:ascii="宋体" w:hAnsi="宋体" w:cs="宋体"/>
        <w:bCs/>
        <w:sz w:val="18"/>
        <w:szCs w:val="18"/>
        <w:lang w:eastAsia="zh-CN"/>
      </w:rPr>
      <w:t>临安区水灾害防御指挥中心会商系统项目（重新）</w:t>
    </w:r>
    <w:r>
      <w:rPr>
        <w:rFonts w:hint="eastAsia" w:ascii="宋体" w:hAnsi="宋体" w:cs="宋体"/>
        <w:bCs/>
        <w:sz w:val="18"/>
        <w:szCs w:val="18"/>
        <w:lang w:val="en-US" w:eastAsia="zh-CN"/>
      </w:rPr>
      <w:t xml:space="preserve">                                      </w:t>
    </w:r>
    <w:r>
      <w:rPr>
        <w:rFonts w:hint="eastAsia" w:ascii="宋体" w:hAnsi="宋体" w:cs="宋体"/>
        <w:bCs/>
        <w:sz w:val="18"/>
        <w:szCs w:val="18"/>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left"/>
      <w:rPr>
        <w:rFonts w:ascii="宋体" w:hAnsi="宋体" w:cs="宋体"/>
        <w:bCs/>
        <w:sz w:val="18"/>
        <w:szCs w:val="18"/>
      </w:rPr>
    </w:pPr>
  </w:p>
  <w:p>
    <w:pPr>
      <w:pBdr>
        <w:bottom w:val="single" w:color="auto" w:sz="4" w:space="0"/>
      </w:pBdr>
      <w:jc w:val="left"/>
    </w:pPr>
    <w:r>
      <w:rPr>
        <w:rFonts w:hint="eastAsia" w:ascii="宋体" w:hAnsi="宋体" w:cs="宋体"/>
        <w:bCs/>
        <w:sz w:val="18"/>
        <w:szCs w:val="18"/>
        <w:lang w:eastAsia="zh-CN"/>
      </w:rPr>
      <w:t>临安区水灾害防御指挥中心会商系统项目（重新）</w:t>
    </w:r>
    <w:r>
      <w:rPr>
        <w:rFonts w:hint="eastAsia" w:ascii="宋体" w:hAnsi="宋体" w:cs="宋体"/>
        <w:bCs/>
        <w:sz w:val="18"/>
        <w:szCs w:val="18"/>
        <w:lang w:val="en-US" w:eastAsia="zh-CN"/>
      </w:rPr>
      <w:t xml:space="preserve">                                      </w:t>
    </w:r>
    <w:r>
      <w:rPr>
        <w:rFonts w:hint="eastAsia" w:ascii="宋体" w:hAnsi="宋体" w:cs="宋体"/>
        <w:bCs/>
        <w:sz w:val="18"/>
        <w:szCs w:val="18"/>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2ABE0E"/>
    <w:multiLevelType w:val="singleLevel"/>
    <w:tmpl w:val="B62ABE0E"/>
    <w:lvl w:ilvl="0" w:tentative="0">
      <w:start w:val="5"/>
      <w:numFmt w:val="chineseCounting"/>
      <w:suff w:val="nothing"/>
      <w:lvlText w:val="%1、"/>
      <w:lvlJc w:val="left"/>
      <w:rPr>
        <w:rFonts w:hint="eastAsia"/>
      </w:rPr>
    </w:lvl>
  </w:abstractNum>
  <w:abstractNum w:abstractNumId="1">
    <w:nsid w:val="C1300031"/>
    <w:multiLevelType w:val="singleLevel"/>
    <w:tmpl w:val="C1300031"/>
    <w:lvl w:ilvl="0" w:tentative="0">
      <w:start w:val="4"/>
      <w:numFmt w:val="chineseCounting"/>
      <w:suff w:val="space"/>
      <w:lvlText w:val="第%1章"/>
      <w:lvlJc w:val="left"/>
      <w:rPr>
        <w:rFonts w:hint="eastAsia"/>
      </w:rPr>
    </w:lvl>
  </w:abstractNum>
  <w:abstractNum w:abstractNumId="2">
    <w:nsid w:val="F210BCC8"/>
    <w:multiLevelType w:val="singleLevel"/>
    <w:tmpl w:val="F210BCC8"/>
    <w:lvl w:ilvl="0" w:tentative="0">
      <w:start w:val="1"/>
      <w:numFmt w:val="chineseCounting"/>
      <w:lvlText w:val="%1."/>
      <w:lvlJc w:val="left"/>
      <w:pPr>
        <w:tabs>
          <w:tab w:val="left" w:pos="312"/>
        </w:tabs>
      </w:pPr>
      <w:rPr>
        <w:rFonts w:hint="eastAsia"/>
      </w:rPr>
    </w:lvl>
  </w:abstractNum>
  <w:abstractNum w:abstractNumId="3">
    <w:nsid w:val="19B90DD7"/>
    <w:multiLevelType w:val="multilevel"/>
    <w:tmpl w:val="19B90DD7"/>
    <w:lvl w:ilvl="0" w:tentative="0">
      <w:start w:val="1"/>
      <w:numFmt w:val="chineseCountingThousand"/>
      <w:lvlText w:val="%1."/>
      <w:lvlJc w:val="left"/>
      <w:pPr>
        <w:ind w:left="567" w:hanging="567"/>
      </w:pPr>
      <w:rPr>
        <w:rFonts w:hint="eastAsia" w:eastAsia="微软雅黑"/>
        <w:b/>
        <w:i w:val="0"/>
        <w:sz w:val="36"/>
      </w:rPr>
    </w:lvl>
    <w:lvl w:ilvl="1" w:tentative="0">
      <w:start w:val="1"/>
      <w:numFmt w:val="decimal"/>
      <w:pStyle w:val="41"/>
      <w:isLgl/>
      <w:lvlText w:val="%1.%2"/>
      <w:lvlJc w:val="left"/>
      <w:pPr>
        <w:ind w:left="1702" w:hanging="567"/>
      </w:pPr>
      <w:rPr>
        <w:rFonts w:hint="eastAsia"/>
      </w:rPr>
    </w:lvl>
    <w:lvl w:ilvl="2" w:tentative="0">
      <w:start w:val="1"/>
      <w:numFmt w:val="decimal"/>
      <w:isLgl/>
      <w:lvlText w:val="%1.%2.%3"/>
      <w:lvlJc w:val="left"/>
      <w:pPr>
        <w:ind w:left="1135" w:hanging="567"/>
      </w:pPr>
      <w:rPr>
        <w:rFonts w:hint="eastAsia"/>
        <w:color w:val="000000"/>
      </w:rPr>
    </w:lvl>
    <w:lvl w:ilvl="3" w:tentative="0">
      <w:start w:val="1"/>
      <w:numFmt w:val="decimal"/>
      <w:isLgl/>
      <w:lvlText w:val="%1.%2.%3.%4."/>
      <w:lvlJc w:val="left"/>
      <w:pPr>
        <w:ind w:left="567" w:hanging="567"/>
      </w:pPr>
      <w:rPr>
        <w:rFonts w:hint="eastAsia"/>
        <w:b w:val="0"/>
        <w:sz w:val="28"/>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1C9C843E"/>
    <w:multiLevelType w:val="singleLevel"/>
    <w:tmpl w:val="1C9C843E"/>
    <w:lvl w:ilvl="0" w:tentative="0">
      <w:start w:val="1"/>
      <w:numFmt w:val="decimal"/>
      <w:suff w:val="nothing"/>
      <w:lvlText w:val="（%1）"/>
      <w:lvlJc w:val="left"/>
    </w:lvl>
  </w:abstractNum>
  <w:abstractNum w:abstractNumId="5">
    <w:nsid w:val="42F486D4"/>
    <w:multiLevelType w:val="singleLevel"/>
    <w:tmpl w:val="42F486D4"/>
    <w:lvl w:ilvl="0" w:tentative="0">
      <w:start w:val="1"/>
      <w:numFmt w:val="chineseCounting"/>
      <w:suff w:val="nothing"/>
      <w:lvlText w:val="%1、"/>
      <w:lvlJc w:val="left"/>
      <w:rPr>
        <w:rFonts w:hint="eastAsia"/>
      </w:rPr>
    </w:lvl>
  </w:abstractNum>
  <w:abstractNum w:abstractNumId="6">
    <w:nsid w:val="59C5D90E"/>
    <w:multiLevelType w:val="singleLevel"/>
    <w:tmpl w:val="59C5D90E"/>
    <w:lvl w:ilvl="0" w:tentative="0">
      <w:start w:val="1"/>
      <w:numFmt w:val="decimal"/>
      <w:pStyle w:val="8"/>
      <w:lvlText w:val="%1."/>
      <w:lvlJc w:val="left"/>
      <w:pPr>
        <w:tabs>
          <w:tab w:val="left" w:pos="360"/>
        </w:tabs>
        <w:ind w:left="360" w:hanging="360"/>
      </w:p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C515686"/>
    <w:rsid w:val="00036B94"/>
    <w:rsid w:val="00056F48"/>
    <w:rsid w:val="00093440"/>
    <w:rsid w:val="000F2083"/>
    <w:rsid w:val="00105053"/>
    <w:rsid w:val="00157F33"/>
    <w:rsid w:val="001C0401"/>
    <w:rsid w:val="001D728D"/>
    <w:rsid w:val="00255540"/>
    <w:rsid w:val="002E7268"/>
    <w:rsid w:val="003B23D7"/>
    <w:rsid w:val="003D0BA9"/>
    <w:rsid w:val="003E7384"/>
    <w:rsid w:val="004E44EE"/>
    <w:rsid w:val="00521498"/>
    <w:rsid w:val="00586409"/>
    <w:rsid w:val="005B512A"/>
    <w:rsid w:val="00624D19"/>
    <w:rsid w:val="006545B1"/>
    <w:rsid w:val="006644F6"/>
    <w:rsid w:val="006B0D67"/>
    <w:rsid w:val="00750437"/>
    <w:rsid w:val="007A6255"/>
    <w:rsid w:val="007B371B"/>
    <w:rsid w:val="00812703"/>
    <w:rsid w:val="008515D6"/>
    <w:rsid w:val="00886E60"/>
    <w:rsid w:val="008E7645"/>
    <w:rsid w:val="009D6FEF"/>
    <w:rsid w:val="009F5847"/>
    <w:rsid w:val="00B50D39"/>
    <w:rsid w:val="00C75249"/>
    <w:rsid w:val="00D23A82"/>
    <w:rsid w:val="00E428B5"/>
    <w:rsid w:val="00E744E2"/>
    <w:rsid w:val="00EA4575"/>
    <w:rsid w:val="00ED3930"/>
    <w:rsid w:val="016B724F"/>
    <w:rsid w:val="02573D93"/>
    <w:rsid w:val="035074AF"/>
    <w:rsid w:val="047E5E06"/>
    <w:rsid w:val="052E6EAE"/>
    <w:rsid w:val="055062DE"/>
    <w:rsid w:val="05917BB2"/>
    <w:rsid w:val="070E030C"/>
    <w:rsid w:val="07E8387B"/>
    <w:rsid w:val="081A2DAF"/>
    <w:rsid w:val="08C50A84"/>
    <w:rsid w:val="097A5AF0"/>
    <w:rsid w:val="0A0E79A9"/>
    <w:rsid w:val="0A6726F7"/>
    <w:rsid w:val="0AC21C90"/>
    <w:rsid w:val="0AEC791A"/>
    <w:rsid w:val="0C3436B0"/>
    <w:rsid w:val="0CCE210A"/>
    <w:rsid w:val="0F244782"/>
    <w:rsid w:val="107346B7"/>
    <w:rsid w:val="11466A77"/>
    <w:rsid w:val="118B0A51"/>
    <w:rsid w:val="12415D14"/>
    <w:rsid w:val="128A757E"/>
    <w:rsid w:val="13A8344B"/>
    <w:rsid w:val="15453D1E"/>
    <w:rsid w:val="15FA5B7F"/>
    <w:rsid w:val="16AF646B"/>
    <w:rsid w:val="179F03F9"/>
    <w:rsid w:val="18A4753D"/>
    <w:rsid w:val="1967351E"/>
    <w:rsid w:val="1AE55444"/>
    <w:rsid w:val="1D5C0296"/>
    <w:rsid w:val="1D9858D8"/>
    <w:rsid w:val="1DAC02AC"/>
    <w:rsid w:val="1E465264"/>
    <w:rsid w:val="1F361097"/>
    <w:rsid w:val="1F9A4528"/>
    <w:rsid w:val="20C45D0C"/>
    <w:rsid w:val="215448FF"/>
    <w:rsid w:val="225907A8"/>
    <w:rsid w:val="22890100"/>
    <w:rsid w:val="23124CF0"/>
    <w:rsid w:val="25372908"/>
    <w:rsid w:val="25475974"/>
    <w:rsid w:val="28E90860"/>
    <w:rsid w:val="29053362"/>
    <w:rsid w:val="29B06D07"/>
    <w:rsid w:val="29DD368D"/>
    <w:rsid w:val="2A44781C"/>
    <w:rsid w:val="2A52310D"/>
    <w:rsid w:val="2B5A6B88"/>
    <w:rsid w:val="2B6A6976"/>
    <w:rsid w:val="2B722052"/>
    <w:rsid w:val="2BC427CE"/>
    <w:rsid w:val="2BE27F42"/>
    <w:rsid w:val="2CD45342"/>
    <w:rsid w:val="2D5E577F"/>
    <w:rsid w:val="2ED1201A"/>
    <w:rsid w:val="2F657C58"/>
    <w:rsid w:val="2FF554CC"/>
    <w:rsid w:val="30BD4CE9"/>
    <w:rsid w:val="313C09B8"/>
    <w:rsid w:val="346D7F60"/>
    <w:rsid w:val="347C232B"/>
    <w:rsid w:val="359A4990"/>
    <w:rsid w:val="359C310F"/>
    <w:rsid w:val="35CE14DB"/>
    <w:rsid w:val="36506454"/>
    <w:rsid w:val="375C4D2C"/>
    <w:rsid w:val="3AA363A4"/>
    <w:rsid w:val="3AAD7441"/>
    <w:rsid w:val="3B716CC9"/>
    <w:rsid w:val="3B7C6DA2"/>
    <w:rsid w:val="3D2F4353"/>
    <w:rsid w:val="3D69234E"/>
    <w:rsid w:val="3E172F96"/>
    <w:rsid w:val="3E3E41C2"/>
    <w:rsid w:val="3F9D456A"/>
    <w:rsid w:val="418652EA"/>
    <w:rsid w:val="41BF5362"/>
    <w:rsid w:val="421975C2"/>
    <w:rsid w:val="427476D7"/>
    <w:rsid w:val="4332073B"/>
    <w:rsid w:val="45DF23C7"/>
    <w:rsid w:val="46555D8A"/>
    <w:rsid w:val="4784694B"/>
    <w:rsid w:val="48FA7BB3"/>
    <w:rsid w:val="49447F9B"/>
    <w:rsid w:val="496028B7"/>
    <w:rsid w:val="4989378B"/>
    <w:rsid w:val="49BD1C2C"/>
    <w:rsid w:val="4A913AE6"/>
    <w:rsid w:val="4B573E05"/>
    <w:rsid w:val="4C92329A"/>
    <w:rsid w:val="4D921080"/>
    <w:rsid w:val="4DAD48AB"/>
    <w:rsid w:val="4E931BA5"/>
    <w:rsid w:val="4F824E26"/>
    <w:rsid w:val="4FE27BD5"/>
    <w:rsid w:val="508C4D62"/>
    <w:rsid w:val="52E863BC"/>
    <w:rsid w:val="54233D48"/>
    <w:rsid w:val="54584EF2"/>
    <w:rsid w:val="555A4A03"/>
    <w:rsid w:val="55D102AB"/>
    <w:rsid w:val="56872962"/>
    <w:rsid w:val="56D4665B"/>
    <w:rsid w:val="56E90CC3"/>
    <w:rsid w:val="57851753"/>
    <w:rsid w:val="5862182B"/>
    <w:rsid w:val="58956FF4"/>
    <w:rsid w:val="596963A0"/>
    <w:rsid w:val="5AB66897"/>
    <w:rsid w:val="5CE10AA5"/>
    <w:rsid w:val="5DCA4B27"/>
    <w:rsid w:val="5E6C4A24"/>
    <w:rsid w:val="5F835501"/>
    <w:rsid w:val="60EA2DC6"/>
    <w:rsid w:val="612B05E1"/>
    <w:rsid w:val="62E77632"/>
    <w:rsid w:val="63027CDD"/>
    <w:rsid w:val="63CA18B4"/>
    <w:rsid w:val="63D946DA"/>
    <w:rsid w:val="653B3A38"/>
    <w:rsid w:val="66D02ABE"/>
    <w:rsid w:val="66DD37C3"/>
    <w:rsid w:val="68204539"/>
    <w:rsid w:val="68531918"/>
    <w:rsid w:val="697A23F2"/>
    <w:rsid w:val="6A966E1B"/>
    <w:rsid w:val="6ACF3AB5"/>
    <w:rsid w:val="6BA8300F"/>
    <w:rsid w:val="6C515686"/>
    <w:rsid w:val="6E667752"/>
    <w:rsid w:val="6ECD5E1E"/>
    <w:rsid w:val="6EF51F6B"/>
    <w:rsid w:val="6F0513FB"/>
    <w:rsid w:val="6F063E1D"/>
    <w:rsid w:val="6F414EC4"/>
    <w:rsid w:val="70431BFE"/>
    <w:rsid w:val="71FF1426"/>
    <w:rsid w:val="72066CAA"/>
    <w:rsid w:val="7596645A"/>
    <w:rsid w:val="75AB7717"/>
    <w:rsid w:val="77706CC5"/>
    <w:rsid w:val="77D91670"/>
    <w:rsid w:val="77EC0917"/>
    <w:rsid w:val="783970DD"/>
    <w:rsid w:val="78AF475F"/>
    <w:rsid w:val="78C53FD2"/>
    <w:rsid w:val="7B1F16E8"/>
    <w:rsid w:val="7BCD5455"/>
    <w:rsid w:val="7CB85AE1"/>
    <w:rsid w:val="7F12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416" w:lineRule="auto"/>
      <w:outlineLvl w:val="1"/>
    </w:pPr>
    <w:rPr>
      <w:rFonts w:ascii="Arial" w:hAnsi="Arial" w:eastAsia="黑体"/>
      <w:sz w:val="32"/>
      <w:szCs w:val="32"/>
    </w:rPr>
  </w:style>
  <w:style w:type="paragraph" w:styleId="5">
    <w:name w:val="heading 3"/>
    <w:basedOn w:val="1"/>
    <w:next w:val="1"/>
    <w:qFormat/>
    <w:uiPriority w:val="0"/>
    <w:pPr>
      <w:outlineLvl w:val="2"/>
    </w:p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semiHidden/>
    <w:unhideWhenUsed/>
    <w:qFormat/>
    <w:uiPriority w:val="9"/>
    <w:pPr>
      <w:keepNext/>
      <w:keepLines/>
      <w:spacing w:before="280" w:after="290" w:line="376" w:lineRule="auto"/>
      <w:outlineLvl w:val="4"/>
    </w:pPr>
    <w:rPr>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20" w:firstLineChars="200"/>
    </w:pPr>
    <w:rPr>
      <w:rFonts w:ascii="宋体" w:hAnsi="宋体"/>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sz w:val="20"/>
      <w:szCs w:val="20"/>
    </w:rPr>
  </w:style>
  <w:style w:type="paragraph" w:styleId="11">
    <w:name w:val="annotation text"/>
    <w:basedOn w:val="1"/>
    <w:link w:val="43"/>
    <w:qFormat/>
    <w:uiPriority w:val="0"/>
    <w:pPr>
      <w:jc w:val="left"/>
    </w:pPr>
  </w:style>
  <w:style w:type="paragraph" w:styleId="12">
    <w:name w:val="Body Text"/>
    <w:basedOn w:val="1"/>
    <w:next w:val="1"/>
    <w:qFormat/>
    <w:uiPriority w:val="0"/>
    <w:pPr>
      <w:spacing w:after="120"/>
    </w:pPr>
    <w:rPr>
      <w:sz w:val="28"/>
    </w:rPr>
  </w:style>
  <w:style w:type="paragraph" w:styleId="13">
    <w:name w:val="Body Text Indent"/>
    <w:basedOn w:val="1"/>
    <w:next w:val="1"/>
    <w:qFormat/>
    <w:uiPriority w:val="0"/>
    <w:pPr>
      <w:spacing w:line="200" w:lineRule="exact"/>
      <w:ind w:firstLine="301"/>
    </w:pPr>
    <w:rPr>
      <w:rFonts w:ascii="宋体" w:hAnsi="Courier New"/>
      <w:spacing w:val="-4"/>
      <w:sz w:val="18"/>
      <w:szCs w:val="20"/>
    </w:rPr>
  </w:style>
  <w:style w:type="paragraph" w:styleId="14">
    <w:name w:val="Plain Text"/>
    <w:basedOn w:val="1"/>
    <w:next w:val="1"/>
    <w:qFormat/>
    <w:uiPriority w:val="0"/>
    <w:pPr>
      <w:spacing w:beforeLines="50" w:afterLines="50" w:line="400" w:lineRule="exact"/>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alloon Text"/>
    <w:basedOn w:val="1"/>
    <w:link w:val="45"/>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spacing w:before="240" w:after="60"/>
      <w:jc w:val="center"/>
      <w:outlineLvl w:val="0"/>
    </w:pPr>
    <w:rPr>
      <w:sz w:val="18"/>
      <w:szCs w:val="18"/>
    </w:rPr>
  </w:style>
  <w:style w:type="paragraph" w:styleId="22">
    <w:name w:val="annotation subject"/>
    <w:basedOn w:val="11"/>
    <w:next w:val="11"/>
    <w:link w:val="44"/>
    <w:qFormat/>
    <w:uiPriority w:val="0"/>
    <w:rPr>
      <w:b/>
      <w:bCs/>
    </w:rPr>
  </w:style>
  <w:style w:type="paragraph" w:styleId="23">
    <w:name w:val="Body Text First Indent"/>
    <w:basedOn w:val="12"/>
    <w:qFormat/>
    <w:uiPriority w:val="0"/>
    <w:pPr>
      <w:ind w:firstLine="420" w:firstLineChars="100"/>
    </w:pPr>
    <w:rPr>
      <w:sz w:val="21"/>
      <w:szCs w:val="22"/>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1">
    <w:name w:val="*正文"/>
    <w:basedOn w:val="1"/>
    <w:qFormat/>
    <w:uiPriority w:val="0"/>
    <w:pPr>
      <w:spacing w:line="360" w:lineRule="auto"/>
      <w:ind w:left="420" w:leftChars="200" w:firstLine="200" w:firstLineChars="200"/>
    </w:pPr>
    <w:rPr>
      <w:rFonts w:ascii="宋体" w:hAnsi="宋体"/>
      <w:kern w:val="0"/>
      <w:sz w:val="22"/>
      <w:szCs w:val="20"/>
    </w:rPr>
  </w:style>
  <w:style w:type="paragraph" w:customStyle="1" w:styleId="32">
    <w:name w:val="[Normal]"/>
    <w:qFormat/>
    <w:uiPriority w:val="0"/>
    <w:rPr>
      <w:rFonts w:ascii="宋体" w:hAnsi="宋体" w:eastAsia="宋体" w:cs="Times New Roman"/>
      <w:sz w:val="24"/>
      <w:lang w:val="en-US" w:eastAsia="en-US" w:bidi="ar-SA"/>
    </w:rPr>
  </w:style>
  <w:style w:type="paragraph" w:customStyle="1" w:styleId="33">
    <w:name w:val="_Style 1"/>
    <w:qFormat/>
    <w:uiPriority w:val="0"/>
    <w:rPr>
      <w:rFonts w:ascii="Times New Roman" w:hAnsi="Times New Roman" w:eastAsia="宋体" w:cs="Times New Roman"/>
      <w:kern w:val="2"/>
      <w:sz w:val="28"/>
      <w:szCs w:val="22"/>
      <w:lang w:val="en-US" w:eastAsia="zh-CN" w:bidi="ar-SA"/>
    </w:rPr>
  </w:style>
  <w:style w:type="paragraph" w:customStyle="1" w:styleId="34">
    <w:name w:val="正文2"/>
    <w:basedOn w:val="1"/>
    <w:qFormat/>
    <w:uiPriority w:val="0"/>
    <w:pPr>
      <w:spacing w:before="156" w:line="360" w:lineRule="auto"/>
      <w:ind w:firstLine="510" w:firstLineChars="200"/>
    </w:pPr>
    <w:rPr>
      <w:kern w:val="0"/>
      <w:sz w:val="24"/>
      <w:szCs w:val="20"/>
    </w:rPr>
  </w:style>
  <w:style w:type="paragraph" w:customStyle="1" w:styleId="35">
    <w:name w:val="Char Char Char"/>
    <w:basedOn w:val="1"/>
    <w:qFormat/>
    <w:uiPriority w:val="0"/>
  </w:style>
  <w:style w:type="paragraph" w:customStyle="1" w:styleId="36">
    <w:name w:val="Char1 Char Char Char"/>
    <w:basedOn w:val="1"/>
    <w:qFormat/>
    <w:uiPriority w:val="0"/>
    <w:rPr>
      <w:rFonts w:ascii="Tahoma" w:hAnsi="Tahoma" w:cs="Tahoma"/>
      <w:sz w:val="24"/>
    </w:rPr>
  </w:style>
  <w:style w:type="character" w:customStyle="1" w:styleId="37">
    <w:name w:val="17"/>
    <w:qFormat/>
    <w:uiPriority w:val="0"/>
    <w:rPr>
      <w:rFonts w:hint="default" w:ascii="Times New Roman" w:hAnsi="Times New Roman" w:eastAsia="宋体" w:cs="Times New Roman"/>
      <w:b/>
      <w:bCs/>
      <w:spacing w:val="-2"/>
      <w:sz w:val="24"/>
      <w:szCs w:val="24"/>
    </w:rPr>
  </w:style>
  <w:style w:type="paragraph" w:styleId="38">
    <w:name w:val="List Paragraph"/>
    <w:basedOn w:val="1"/>
    <w:qFormat/>
    <w:uiPriority w:val="34"/>
    <w:pPr>
      <w:ind w:firstLine="420"/>
    </w:pPr>
  </w:style>
  <w:style w:type="paragraph" w:customStyle="1" w:styleId="39">
    <w:name w:val="彩色列表1"/>
    <w:basedOn w:val="1"/>
    <w:qFormat/>
    <w:uiPriority w:val="0"/>
    <w:pPr>
      <w:ind w:firstLine="420"/>
    </w:pPr>
  </w:style>
  <w:style w:type="paragraph" w:customStyle="1" w:styleId="40">
    <w:name w:val="样式 首行缩进:  0 字符"/>
    <w:basedOn w:val="1"/>
    <w:qFormat/>
    <w:uiPriority w:val="0"/>
    <w:pPr>
      <w:adjustRightInd w:val="0"/>
      <w:spacing w:line="360" w:lineRule="auto"/>
      <w:ind w:firstLine="200" w:firstLineChars="200"/>
    </w:pPr>
    <w:rPr>
      <w:sz w:val="24"/>
    </w:rPr>
  </w:style>
  <w:style w:type="paragraph" w:customStyle="1" w:styleId="41">
    <w:name w:val="级别2"/>
    <w:basedOn w:val="4"/>
    <w:qFormat/>
    <w:uiPriority w:val="0"/>
    <w:pPr>
      <w:numPr>
        <w:ilvl w:val="1"/>
        <w:numId w:val="2"/>
      </w:numPr>
      <w:spacing w:before="120" w:after="120" w:line="360" w:lineRule="auto"/>
      <w:jc w:val="left"/>
    </w:pPr>
    <w:rPr>
      <w:rFonts w:ascii="Cambria" w:hAnsi="Cambria" w:eastAsia="宋体"/>
      <w:kern w:val="0"/>
      <w:sz w:val="30"/>
    </w:rPr>
  </w:style>
  <w:style w:type="paragraph" w:customStyle="1" w:styleId="42">
    <w:name w:val="GP正文(首行缩进)"/>
    <w:basedOn w:val="1"/>
    <w:qFormat/>
    <w:uiPriority w:val="0"/>
    <w:pPr>
      <w:spacing w:line="360" w:lineRule="auto"/>
      <w:ind w:firstLine="200" w:firstLineChars="200"/>
      <w:jc w:val="left"/>
    </w:pPr>
    <w:rPr>
      <w:sz w:val="24"/>
      <w:szCs w:val="21"/>
    </w:rPr>
  </w:style>
  <w:style w:type="character" w:customStyle="1" w:styleId="43">
    <w:name w:val="批注文字 字符"/>
    <w:basedOn w:val="26"/>
    <w:link w:val="11"/>
    <w:qFormat/>
    <w:uiPriority w:val="0"/>
    <w:rPr>
      <w:rFonts w:ascii="Calibri" w:hAnsi="Calibri"/>
      <w:kern w:val="2"/>
      <w:sz w:val="21"/>
      <w:szCs w:val="24"/>
    </w:rPr>
  </w:style>
  <w:style w:type="character" w:customStyle="1" w:styleId="44">
    <w:name w:val="批注主题 字符"/>
    <w:basedOn w:val="43"/>
    <w:link w:val="22"/>
    <w:qFormat/>
    <w:uiPriority w:val="0"/>
    <w:rPr>
      <w:rFonts w:ascii="Calibri" w:hAnsi="Calibri"/>
      <w:b/>
      <w:bCs/>
      <w:kern w:val="2"/>
      <w:sz w:val="21"/>
      <w:szCs w:val="24"/>
    </w:rPr>
  </w:style>
  <w:style w:type="character" w:customStyle="1" w:styleId="45">
    <w:name w:val="批注框文本 字符"/>
    <w:basedOn w:val="26"/>
    <w:link w:val="16"/>
    <w:qFormat/>
    <w:uiPriority w:val="0"/>
    <w:rPr>
      <w:rFonts w:ascii="Calibri" w:hAnsi="Calibri"/>
      <w:kern w:val="2"/>
      <w:sz w:val="18"/>
      <w:szCs w:val="18"/>
    </w:rPr>
  </w:style>
  <w:style w:type="paragraph" w:customStyle="1" w:styleId="46">
    <w:name w:val="表格文字"/>
    <w:basedOn w:val="1"/>
    <w:next w:val="12"/>
    <w:qFormat/>
    <w:uiPriority w:val="0"/>
    <w:pPr>
      <w:jc w:val="left"/>
      <w:textAlignment w:val="top"/>
    </w:pPr>
    <w:rPr>
      <w:sz w:val="18"/>
    </w:rPr>
  </w:style>
  <w:style w:type="character" w:customStyle="1" w:styleId="47">
    <w:name w:val="font51"/>
    <w:basedOn w:val="26"/>
    <w:qFormat/>
    <w:uiPriority w:val="0"/>
    <w:rPr>
      <w:rFonts w:hint="eastAsia" w:ascii="宋体" w:hAnsi="宋体" w:eastAsia="宋体" w:cs="宋体"/>
      <w:color w:val="000000"/>
      <w:sz w:val="24"/>
      <w:szCs w:val="24"/>
      <w:u w:val="none"/>
    </w:rPr>
  </w:style>
  <w:style w:type="character" w:customStyle="1" w:styleId="48">
    <w:name w:val="font31"/>
    <w:basedOn w:val="26"/>
    <w:qFormat/>
    <w:uiPriority w:val="0"/>
    <w:rPr>
      <w:rFonts w:hint="default" w:ascii="Times New Roman" w:hAnsi="Times New Roman" w:cs="Times New Roman"/>
      <w:color w:val="000000"/>
      <w:sz w:val="24"/>
      <w:szCs w:val="24"/>
      <w:u w:val="none"/>
    </w:rPr>
  </w:style>
  <w:style w:type="paragraph" w:customStyle="1" w:styleId="49">
    <w:name w:val="列出段落1"/>
    <w:basedOn w:val="1"/>
    <w:qFormat/>
    <w:uiPriority w:val="34"/>
    <w:pPr>
      <w:ind w:firstLine="420" w:firstLineChars="200"/>
    </w:pPr>
    <w:rPr>
      <w:rFonts w:ascii="Times New Roman" w:hAnsi="Times New Roman" w:eastAsia="宋体" w:cs="Times New Roman"/>
      <w:szCs w:val="24"/>
    </w:rPr>
  </w:style>
  <w:style w:type="character" w:customStyle="1" w:styleId="50">
    <w:name w:val="Char Char302"/>
    <w:qFormat/>
    <w:uiPriority w:val="0"/>
    <w:rPr>
      <w:rFonts w:eastAsia="宋体"/>
      <w:b/>
      <w:spacing w:val="-2"/>
      <w:sz w:val="24"/>
      <w:lang w:val="en-US" w:eastAsia="zh-CN"/>
    </w:rPr>
  </w:style>
  <w:style w:type="paragraph" w:customStyle="1" w:styleId="51">
    <w:name w:val="Char1 Char Char Char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8D1BE-577F-4787-8C03-2FF7347D746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61</Pages>
  <Words>33041</Words>
  <Characters>36995</Characters>
  <Lines>236</Lines>
  <Paragraphs>66</Paragraphs>
  <TotalTime>59</TotalTime>
  <ScaleCrop>false</ScaleCrop>
  <LinksUpToDate>false</LinksUpToDate>
  <CharactersWithSpaces>39980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2020-03-09T01:38:00Z</dcterms:created>
  <dc:creator> 阿呆。</dc:creator>
  <cp:lastModifiedBy>WPS_1525914571</cp:lastModifiedBy>
  <cp:lastPrinted>2020-08-17T08:13:00Z</cp:lastPrinted>
  <dcterms:modified xsi:type="dcterms:W3CDTF">2020-10-09T01:26:01Z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