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</w:p>
    <w:tbl>
      <w:tblPr>
        <w:tblStyle w:val="8"/>
        <w:tblW w:w="886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1"/>
        <w:gridCol w:w="1107"/>
        <w:gridCol w:w="1062"/>
        <w:gridCol w:w="1226"/>
        <w:gridCol w:w="929"/>
        <w:gridCol w:w="1063"/>
        <w:gridCol w:w="1063"/>
        <w:gridCol w:w="141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66" w:type="dxa"/>
            <w:gridSpan w:val="8"/>
            <w:vAlign w:val="center"/>
          </w:tcPr>
          <w:p>
            <w:pPr>
              <w:widowControl/>
              <w:spacing w:line="288" w:lineRule="auto"/>
              <w:ind w:right="60"/>
              <w:jc w:val="left"/>
              <w:rPr>
                <w:highlight w:val="none"/>
              </w:rPr>
            </w:pPr>
            <w:r>
              <w:rPr>
                <w:rFonts w:hint="eastAsia"/>
                <w:highlight w:val="none"/>
              </w:rPr>
              <w:t>采购人的名称：浙江经济职业技术学院</w:t>
            </w:r>
          </w:p>
          <w:p>
            <w:pPr>
              <w:widowControl/>
              <w:spacing w:line="288" w:lineRule="auto"/>
              <w:ind w:right="60"/>
              <w:jc w:val="left"/>
              <w:rPr>
                <w:rFonts w:ascii="宋体" w:hAnsi="宋体" w:cs="宋体"/>
                <w:spacing w:val="-6"/>
                <w:kern w:val="0"/>
                <w:szCs w:val="21"/>
                <w:highlight w:val="none"/>
              </w:rPr>
            </w:pPr>
            <w:r>
              <w:rPr>
                <w:rFonts w:hint="eastAsia"/>
                <w:highlight w:val="none"/>
              </w:rPr>
              <w:t>地址：杭州市江干区经济技术开发区学正街66号</w:t>
            </w:r>
          </w:p>
          <w:p>
            <w:pPr>
              <w:widowControl/>
              <w:spacing w:line="288" w:lineRule="auto"/>
              <w:ind w:right="60"/>
              <w:jc w:val="left"/>
              <w:rPr>
                <w:rFonts w:ascii="宋体" w:hAnsi="宋体" w:cs="宋体"/>
                <w:spacing w:val="-6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spacing w:val="-6"/>
                <w:kern w:val="0"/>
                <w:szCs w:val="21"/>
                <w:highlight w:val="none"/>
              </w:rPr>
              <w:t>联系人：</w:t>
            </w:r>
            <w:r>
              <w:rPr>
                <w:rFonts w:hint="eastAsia" w:ascii="宋体" w:hAnsi="宋体" w:cs="宋体"/>
                <w:spacing w:val="-6"/>
                <w:kern w:val="0"/>
                <w:szCs w:val="21"/>
                <w:highlight w:val="none"/>
                <w:lang w:eastAsia="zh-CN"/>
              </w:rPr>
              <w:t>郑</w:t>
            </w:r>
            <w:r>
              <w:rPr>
                <w:rFonts w:hint="eastAsia" w:ascii="宋体" w:hAnsi="宋体" w:cs="宋体"/>
                <w:spacing w:val="-6"/>
                <w:kern w:val="0"/>
                <w:szCs w:val="21"/>
                <w:highlight w:val="none"/>
              </w:rPr>
              <w:t>老师</w:t>
            </w:r>
          </w:p>
          <w:p>
            <w:pPr>
              <w:widowControl/>
              <w:spacing w:line="288" w:lineRule="auto"/>
              <w:ind w:right="60"/>
              <w:jc w:val="left"/>
            </w:pPr>
            <w:r>
              <w:rPr>
                <w:rFonts w:hint="eastAsia"/>
                <w:highlight w:val="none"/>
              </w:rPr>
              <w:t>联系方式：0571-86928231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1" w:type="dxa"/>
            <w:vAlign w:val="center"/>
          </w:tcPr>
          <w:p>
            <w:pPr>
              <w:rPr>
                <w:rFonts w:cs="Arial"/>
                <w:color w:val="000000"/>
              </w:rPr>
            </w:pPr>
            <w:r>
              <w:rPr>
                <w:rFonts w:hint="eastAsia" w:cs="Arial"/>
                <w:color w:val="000000"/>
              </w:rPr>
              <w:t>标项序号</w:t>
            </w:r>
          </w:p>
        </w:tc>
        <w:tc>
          <w:tcPr>
            <w:tcW w:w="1107" w:type="dxa"/>
            <w:vAlign w:val="center"/>
          </w:tcPr>
          <w:p>
            <w:pPr>
              <w:rPr>
                <w:rFonts w:cs="Arial"/>
                <w:color w:val="000000"/>
              </w:rPr>
            </w:pPr>
            <w:r>
              <w:rPr>
                <w:rFonts w:hint="eastAsia" w:cs="Arial"/>
                <w:color w:val="000000"/>
              </w:rPr>
              <w:t>中标或者成交供应商名称、地址</w:t>
            </w:r>
          </w:p>
        </w:tc>
        <w:tc>
          <w:tcPr>
            <w:tcW w:w="1062" w:type="dxa"/>
            <w:vAlign w:val="center"/>
          </w:tcPr>
          <w:p>
            <w:r>
              <w:rPr>
                <w:rFonts w:hint="eastAsia" w:cs="Arial"/>
                <w:color w:val="000000"/>
              </w:rPr>
              <w:t>主要中标或者成交标的的名称</w:t>
            </w:r>
          </w:p>
        </w:tc>
        <w:tc>
          <w:tcPr>
            <w:tcW w:w="1226" w:type="dxa"/>
            <w:vAlign w:val="center"/>
          </w:tcPr>
          <w:p>
            <w:pPr>
              <w:rPr>
                <w:rFonts w:cs="Arial"/>
                <w:color w:val="000000"/>
              </w:rPr>
            </w:pPr>
            <w:r>
              <w:rPr>
                <w:rFonts w:hint="eastAsia" w:cs="Arial"/>
                <w:color w:val="000000"/>
              </w:rPr>
              <w:t>规格型号</w:t>
            </w:r>
          </w:p>
        </w:tc>
        <w:tc>
          <w:tcPr>
            <w:tcW w:w="929" w:type="dxa"/>
            <w:vAlign w:val="center"/>
          </w:tcPr>
          <w:p>
            <w:r>
              <w:rPr>
                <w:rFonts w:hint="eastAsia" w:cs="Arial"/>
                <w:color w:val="000000"/>
              </w:rPr>
              <w:t>数量</w:t>
            </w:r>
          </w:p>
        </w:tc>
        <w:tc>
          <w:tcPr>
            <w:tcW w:w="1063" w:type="dxa"/>
            <w:vAlign w:val="center"/>
          </w:tcPr>
          <w:p>
            <w:r>
              <w:rPr>
                <w:rFonts w:hint="eastAsia" w:cs="Arial"/>
                <w:color w:val="000000"/>
                <w:lang w:eastAsia="zh-CN"/>
              </w:rPr>
              <w:t>报价</w:t>
            </w:r>
            <w:r>
              <w:rPr>
                <w:rFonts w:hint="eastAsia" w:cs="Arial"/>
                <w:color w:val="000000"/>
              </w:rPr>
              <w:t>（元）</w:t>
            </w: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</w:rPr>
              <w:t>工期</w:t>
            </w:r>
          </w:p>
        </w:tc>
        <w:tc>
          <w:tcPr>
            <w:tcW w:w="1415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eastAsia="zh-CN"/>
              </w:rPr>
            </w:pPr>
            <w:r>
              <w:rPr>
                <w:rFonts w:hint="eastAsia" w:cs="Arial"/>
                <w:color w:val="000000"/>
                <w:lang w:eastAsia="zh-CN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5" w:hRule="atLeast"/>
        </w:trPr>
        <w:tc>
          <w:tcPr>
            <w:tcW w:w="1001" w:type="dxa"/>
            <w:vAlign w:val="center"/>
          </w:tcPr>
          <w:p>
            <w:r>
              <w:rPr>
                <w:rFonts w:hint="eastAsia"/>
              </w:rPr>
              <w:t>1</w:t>
            </w:r>
          </w:p>
        </w:tc>
        <w:tc>
          <w:tcPr>
            <w:tcW w:w="1107" w:type="dxa"/>
            <w:vAlign w:val="center"/>
          </w:tcPr>
          <w:p>
            <w:pPr>
              <w:rPr>
                <w:rFonts w:hint="eastAsia" w:ascii="宋体" w:hAnsi="宋体" w:cs="宋体" w:eastAsiaTheme="minorEastAsia"/>
                <w:sz w:val="24"/>
                <w:lang w:eastAsia="zh-CN"/>
              </w:rPr>
            </w:pPr>
            <w:r>
              <w:rPr>
                <w:rFonts w:hint="eastAsia" w:ascii="宋体" w:hAnsi="宋体" w:cs="宋体" w:eastAsiaTheme="minorEastAsia"/>
                <w:sz w:val="24"/>
                <w:lang w:eastAsia="zh-CN"/>
              </w:rPr>
              <w:t>四川汉驭空间钢结构有限公司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，邻水县工业集中发展二区</w:t>
            </w:r>
          </w:p>
        </w:tc>
        <w:tc>
          <w:tcPr>
            <w:tcW w:w="1062" w:type="dxa"/>
            <w:vAlign w:val="center"/>
          </w:tcPr>
          <w:p>
            <w:r>
              <w:rPr>
                <w:rFonts w:hint="eastAsia"/>
              </w:rPr>
              <w:t>看台南门等钢结构油漆项目</w:t>
            </w:r>
          </w:p>
        </w:tc>
        <w:tc>
          <w:tcPr>
            <w:tcW w:w="122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/</w:t>
            </w:r>
          </w:p>
        </w:tc>
        <w:tc>
          <w:tcPr>
            <w:tcW w:w="929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1项</w:t>
            </w: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eastAsiaTheme="minorEastAsia"/>
                <w:lang w:val="en-US" w:eastAsia="zh-CN"/>
              </w:rPr>
              <w:t>1150000</w:t>
            </w:r>
          </w:p>
        </w:tc>
        <w:tc>
          <w:tcPr>
            <w:tcW w:w="106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施工总工期：30个自然日，保质保量如期完工</w:t>
            </w:r>
          </w:p>
        </w:tc>
        <w:tc>
          <w:tcPr>
            <w:tcW w:w="141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/</w:t>
            </w:r>
          </w:p>
        </w:tc>
      </w:tr>
    </w:tbl>
    <w:p/>
    <w:p>
      <w:r>
        <w:rPr>
          <w:rFonts w:hint="eastAsia"/>
        </w:rPr>
        <w:t>服务费：</w:t>
      </w:r>
      <w:r>
        <w:rPr>
          <w:rFonts w:hint="eastAsia"/>
          <w:lang w:val="en-US" w:eastAsia="zh-CN"/>
        </w:rPr>
        <w:t>11050元</w:t>
      </w:r>
      <w:bookmarkStart w:id="0" w:name="_GoBack"/>
      <w:bookmarkEnd w:id="0"/>
    </w:p>
    <w:p>
      <w:r>
        <w:rPr>
          <w:rFonts w:hint="eastAsia"/>
        </w:rPr>
        <w:t>服务费收费标准：</w:t>
      </w:r>
    </w:p>
    <w:tbl>
      <w:tblPr>
        <w:tblStyle w:val="7"/>
        <w:tblW w:w="7796" w:type="dxa"/>
        <w:tblInd w:w="5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0"/>
        <w:gridCol w:w="3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80" w:type="dxa"/>
          </w:tcPr>
          <w:p>
            <w:pPr>
              <w:spacing w:line="288" w:lineRule="auto"/>
              <w:jc w:val="center"/>
              <w:rPr>
                <w:rFonts w:ascii="宋体" w:hAnsi="宋体"/>
                <w:color w:val="auto"/>
                <w:spacing w:val="-6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auto"/>
                <w:spacing w:val="-6"/>
                <w:sz w:val="21"/>
                <w:szCs w:val="21"/>
                <w:highlight w:val="none"/>
              </w:rPr>
              <w:t>中标</w:t>
            </w:r>
            <w:r>
              <w:rPr>
                <w:rFonts w:ascii="宋体" w:hAnsi="宋体"/>
                <w:color w:val="auto"/>
                <w:spacing w:val="-6"/>
                <w:sz w:val="21"/>
                <w:szCs w:val="21"/>
                <w:highlight w:val="none"/>
              </w:rPr>
              <w:t>金额（万元）</w:t>
            </w:r>
          </w:p>
        </w:tc>
        <w:tc>
          <w:tcPr>
            <w:tcW w:w="3516" w:type="dxa"/>
          </w:tcPr>
          <w:p>
            <w:pPr>
              <w:spacing w:line="288" w:lineRule="auto"/>
              <w:jc w:val="center"/>
              <w:rPr>
                <w:rFonts w:ascii="宋体" w:hAnsi="宋体"/>
                <w:color w:val="auto"/>
                <w:spacing w:val="-6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auto"/>
                <w:spacing w:val="-6"/>
                <w:sz w:val="21"/>
                <w:szCs w:val="21"/>
                <w:highlight w:val="none"/>
              </w:rPr>
              <w:t>收费标准</w:t>
            </w:r>
            <w:r>
              <w:rPr>
                <w:rFonts w:ascii="宋体" w:hAnsi="宋体"/>
                <w:color w:val="auto"/>
                <w:spacing w:val="-6"/>
                <w:sz w:val="21"/>
                <w:szCs w:val="21"/>
                <w:highlight w:val="none"/>
              </w:rPr>
              <w:t>（费率，</w:t>
            </w:r>
            <w:r>
              <w:rPr>
                <w:rFonts w:hint="eastAsia" w:ascii="宋体" w:hAnsi="宋体"/>
                <w:color w:val="auto"/>
                <w:spacing w:val="-6"/>
                <w:sz w:val="21"/>
                <w:szCs w:val="21"/>
                <w:highlight w:val="none"/>
              </w:rPr>
              <w:t>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80" w:type="dxa"/>
          </w:tcPr>
          <w:p>
            <w:pPr>
              <w:spacing w:line="288" w:lineRule="auto"/>
              <w:jc w:val="center"/>
              <w:rPr>
                <w:rFonts w:ascii="宋体" w:hAnsi="宋体"/>
                <w:color w:val="auto"/>
                <w:spacing w:val="-6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auto"/>
                <w:spacing w:val="-6"/>
                <w:sz w:val="21"/>
                <w:szCs w:val="21"/>
                <w:highlight w:val="none"/>
              </w:rPr>
              <w:t>100</w:t>
            </w:r>
          </w:p>
        </w:tc>
        <w:tc>
          <w:tcPr>
            <w:tcW w:w="3516" w:type="dxa"/>
          </w:tcPr>
          <w:p>
            <w:pPr>
              <w:spacing w:line="288" w:lineRule="auto"/>
              <w:jc w:val="center"/>
              <w:rPr>
                <w:rFonts w:ascii="宋体" w:hAnsi="宋体"/>
                <w:color w:val="auto"/>
                <w:spacing w:val="-6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auto"/>
                <w:spacing w:val="-6"/>
                <w:sz w:val="21"/>
                <w:szCs w:val="21"/>
                <w:highlight w:val="none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80" w:type="dxa"/>
          </w:tcPr>
          <w:p>
            <w:pPr>
              <w:spacing w:line="288" w:lineRule="auto"/>
              <w:jc w:val="center"/>
              <w:rPr>
                <w:rFonts w:ascii="宋体" w:hAnsi="宋体"/>
                <w:color w:val="auto"/>
                <w:spacing w:val="-6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auto"/>
                <w:spacing w:val="-6"/>
                <w:sz w:val="21"/>
                <w:szCs w:val="21"/>
                <w:highlight w:val="none"/>
              </w:rPr>
              <w:t>100-500</w:t>
            </w:r>
          </w:p>
        </w:tc>
        <w:tc>
          <w:tcPr>
            <w:tcW w:w="3516" w:type="dxa"/>
          </w:tcPr>
          <w:p>
            <w:pPr>
              <w:spacing w:line="288" w:lineRule="auto"/>
              <w:jc w:val="center"/>
              <w:rPr>
                <w:rFonts w:ascii="宋体" w:hAnsi="宋体"/>
                <w:color w:val="auto"/>
                <w:spacing w:val="-6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/>
                <w:color w:val="auto"/>
                <w:spacing w:val="-6"/>
                <w:sz w:val="21"/>
                <w:szCs w:val="21"/>
                <w:highlight w:val="none"/>
              </w:rPr>
              <w:t>0.7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BB7060"/>
    <w:rsid w:val="000D587E"/>
    <w:rsid w:val="001133F1"/>
    <w:rsid w:val="0017707F"/>
    <w:rsid w:val="001F4F5D"/>
    <w:rsid w:val="002059DF"/>
    <w:rsid w:val="002E1B5A"/>
    <w:rsid w:val="00372E9E"/>
    <w:rsid w:val="003A369C"/>
    <w:rsid w:val="003A6D84"/>
    <w:rsid w:val="0042363D"/>
    <w:rsid w:val="004A0EAC"/>
    <w:rsid w:val="004B59E0"/>
    <w:rsid w:val="0052179F"/>
    <w:rsid w:val="006B2550"/>
    <w:rsid w:val="00740983"/>
    <w:rsid w:val="00824B54"/>
    <w:rsid w:val="0087172B"/>
    <w:rsid w:val="008A16E6"/>
    <w:rsid w:val="0091403B"/>
    <w:rsid w:val="009A43F2"/>
    <w:rsid w:val="00A36865"/>
    <w:rsid w:val="00A52205"/>
    <w:rsid w:val="00AA689A"/>
    <w:rsid w:val="00AA7A41"/>
    <w:rsid w:val="00B25F7B"/>
    <w:rsid w:val="00B6624D"/>
    <w:rsid w:val="00B77EBB"/>
    <w:rsid w:val="00BB7060"/>
    <w:rsid w:val="00C30238"/>
    <w:rsid w:val="00D44788"/>
    <w:rsid w:val="00DB2F1E"/>
    <w:rsid w:val="00E45960"/>
    <w:rsid w:val="00F80D0D"/>
    <w:rsid w:val="05DD02CB"/>
    <w:rsid w:val="0B1E552C"/>
    <w:rsid w:val="0C3C59B7"/>
    <w:rsid w:val="10BA6AD5"/>
    <w:rsid w:val="14866C03"/>
    <w:rsid w:val="18743711"/>
    <w:rsid w:val="1CCD1496"/>
    <w:rsid w:val="1EFB5479"/>
    <w:rsid w:val="28FD5FC4"/>
    <w:rsid w:val="2E5F2873"/>
    <w:rsid w:val="31341620"/>
    <w:rsid w:val="34244D31"/>
    <w:rsid w:val="3BC54CD3"/>
    <w:rsid w:val="3C2F240A"/>
    <w:rsid w:val="40D07D86"/>
    <w:rsid w:val="42B66677"/>
    <w:rsid w:val="478C085D"/>
    <w:rsid w:val="47E278C9"/>
    <w:rsid w:val="52BD6E57"/>
    <w:rsid w:val="58AB3463"/>
    <w:rsid w:val="611B6344"/>
    <w:rsid w:val="613E161B"/>
    <w:rsid w:val="614F0282"/>
    <w:rsid w:val="62243F24"/>
    <w:rsid w:val="639D0602"/>
    <w:rsid w:val="63E97460"/>
    <w:rsid w:val="7359014D"/>
    <w:rsid w:val="797B54BB"/>
    <w:rsid w:val="7E37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3"/>
    <w:qFormat/>
    <w:uiPriority w:val="0"/>
    <w:pPr>
      <w:widowControl w:val="0"/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  <w:style w:type="paragraph" w:customStyle="1" w:styleId="3">
    <w:name w:val="目录 71"/>
    <w:next w:val="1"/>
    <w:qFormat/>
    <w:uiPriority w:val="0"/>
    <w:pPr>
      <w:wordWrap w:val="0"/>
      <w:ind w:left="2550"/>
      <w:jc w:val="both"/>
    </w:pPr>
    <w:rPr>
      <w:rFonts w:ascii="Calibri" w:hAnsi="Calibri" w:eastAsia="宋体" w:cs="Times New Roman"/>
      <w:sz w:val="21"/>
      <w:lang w:val="en-US" w:eastAsia="zh-CN" w:bidi="ar-SA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</w:tblPr>
  </w:style>
  <w:style w:type="character" w:customStyle="1" w:styleId="9">
    <w:name w:val="页眉 Char"/>
    <w:basedOn w:val="6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137</Characters>
  <Lines>1</Lines>
  <Paragraphs>1</Paragraphs>
  <TotalTime>2</TotalTime>
  <ScaleCrop>false</ScaleCrop>
  <LinksUpToDate>false</LinksUpToDate>
  <CharactersWithSpaces>159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2015-07-01T04:54:00Z</dcterms:created>
  <dc:creator>Camel</dc:creator>
  <cp:lastModifiedBy>halo1382942689</cp:lastModifiedBy>
  <dcterms:modified xsi:type="dcterms:W3CDTF">2018-08-06T06:44:06Z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