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r>
        <w:rPr>
          <w:rFonts w:hint="eastAsia" w:ascii="楷体" w:hAnsi="楷体" w:eastAsia="楷体"/>
          <w:b/>
          <w:spacing w:val="-6"/>
          <w:sz w:val="44"/>
          <w:szCs w:val="44"/>
        </w:rPr>
        <w:t>.</w:t>
      </w:r>
    </w:p>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52"/>
          <w:szCs w:val="52"/>
        </w:rPr>
      </w:pPr>
      <w:r>
        <w:rPr>
          <w:rFonts w:hint="eastAsia" w:ascii="楷体" w:hAnsi="楷体" w:eastAsia="楷体"/>
          <w:b/>
          <w:spacing w:val="-6"/>
          <w:sz w:val="52"/>
          <w:szCs w:val="52"/>
        </w:rPr>
        <w:t>中国美术学院</w:t>
      </w:r>
    </w:p>
    <w:p>
      <w:pPr>
        <w:spacing w:line="360" w:lineRule="auto"/>
        <w:jc w:val="center"/>
        <w:rPr>
          <w:rFonts w:ascii="楷体" w:hAnsi="楷体" w:eastAsia="楷体"/>
          <w:b/>
          <w:spacing w:val="-6"/>
          <w:sz w:val="52"/>
          <w:szCs w:val="52"/>
        </w:rPr>
      </w:pPr>
      <w:r>
        <w:rPr>
          <w:rFonts w:hint="eastAsia" w:ascii="楷体" w:hAnsi="楷体" w:eastAsia="楷体"/>
          <w:b/>
          <w:spacing w:val="-6"/>
          <w:sz w:val="52"/>
          <w:szCs w:val="52"/>
        </w:rPr>
        <w:t>创新设计学院良渚校区智能展厅设备一批</w:t>
      </w:r>
    </w:p>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磋 商 文 件</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ind w:firstLine="1446" w:firstLineChars="500"/>
        <w:rPr>
          <w:rFonts w:ascii="楷体" w:hAnsi="楷体" w:eastAsia="楷体"/>
          <w:b/>
          <w:spacing w:val="-6"/>
          <w:sz w:val="30"/>
          <w:szCs w:val="30"/>
        </w:rPr>
      </w:pPr>
      <w:r>
        <w:rPr>
          <w:rFonts w:hint="eastAsia" w:ascii="楷体" w:hAnsi="楷体" w:eastAsia="楷体"/>
          <w:b/>
          <w:spacing w:val="-6"/>
          <w:sz w:val="30"/>
          <w:szCs w:val="30"/>
        </w:rPr>
        <w:t>项目编号：QSZB-Z(H)-C19291(CS)</w:t>
      </w:r>
    </w:p>
    <w:p>
      <w:pPr>
        <w:spacing w:line="360" w:lineRule="auto"/>
        <w:ind w:firstLine="1446" w:firstLineChars="500"/>
        <w:rPr>
          <w:rFonts w:ascii="楷体" w:hAnsi="楷体" w:eastAsia="楷体"/>
          <w:b/>
          <w:spacing w:val="-6"/>
          <w:sz w:val="30"/>
          <w:szCs w:val="30"/>
        </w:rPr>
      </w:pPr>
      <w:r>
        <w:rPr>
          <w:rFonts w:hint="eastAsia" w:ascii="楷体" w:hAnsi="楷体" w:eastAsia="楷体"/>
          <w:b/>
          <w:spacing w:val="-6"/>
          <w:sz w:val="30"/>
          <w:szCs w:val="30"/>
        </w:rPr>
        <w:t>项目名称：创新设计学院良渚校区智能展厅设备一批</w:t>
      </w:r>
    </w:p>
    <w:p>
      <w:pPr>
        <w:spacing w:line="360" w:lineRule="auto"/>
        <w:ind w:firstLine="1446" w:firstLineChars="500"/>
        <w:rPr>
          <w:rFonts w:ascii="楷体" w:hAnsi="楷体" w:eastAsia="楷体"/>
          <w:b/>
          <w:spacing w:val="-6"/>
          <w:sz w:val="30"/>
          <w:szCs w:val="30"/>
        </w:rPr>
      </w:pPr>
      <w:r>
        <w:rPr>
          <w:rFonts w:hint="eastAsia" w:ascii="楷体" w:hAnsi="楷体" w:eastAsia="楷体"/>
          <w:b/>
          <w:spacing w:val="-6"/>
          <w:sz w:val="30"/>
          <w:szCs w:val="30"/>
        </w:rPr>
        <w:t>采 购 人：中国美术学院</w:t>
      </w:r>
    </w:p>
    <w:p>
      <w:pPr>
        <w:spacing w:line="360" w:lineRule="auto"/>
        <w:ind w:firstLine="1446" w:firstLineChars="500"/>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pStyle w:val="13"/>
        <w:spacing w:beforeLines="0" w:afterLines="0" w:line="288" w:lineRule="auto"/>
        <w:jc w:val="center"/>
        <w:rPr>
          <w:rFonts w:ascii="楷体" w:hAnsi="楷体" w:eastAsia="楷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247" w:bottom="1440" w:left="1247" w:header="340" w:footer="850" w:gutter="0"/>
          <w:pgNumType w:start="1"/>
          <w:cols w:space="720" w:num="1"/>
          <w:docGrid w:linePitch="381" w:charSpace="0"/>
        </w:sectPr>
      </w:pPr>
    </w:p>
    <w:p>
      <w:pPr>
        <w:pStyle w:val="13"/>
        <w:spacing w:beforeLines="0" w:afterLines="0" w:line="360" w:lineRule="auto"/>
        <w:jc w:val="center"/>
        <w:rPr>
          <w:rFonts w:ascii="楷体" w:hAnsi="楷体" w:eastAsia="楷体"/>
          <w:b/>
          <w:sz w:val="30"/>
          <w:szCs w:val="30"/>
        </w:rPr>
      </w:pPr>
    </w:p>
    <w:p>
      <w:pPr>
        <w:pStyle w:val="13"/>
        <w:spacing w:beforeLines="0" w:afterLines="0" w:line="480" w:lineRule="auto"/>
        <w:jc w:val="center"/>
        <w:outlineLvl w:val="0"/>
        <w:rPr>
          <w:rFonts w:ascii="楷体" w:hAnsi="楷体" w:eastAsia="楷体"/>
          <w:b/>
          <w:sz w:val="30"/>
          <w:szCs w:val="30"/>
        </w:rPr>
      </w:pPr>
      <w:r>
        <w:rPr>
          <w:rFonts w:ascii="楷体" w:hAnsi="楷体" w:eastAsia="楷体"/>
          <w:b/>
          <w:sz w:val="30"/>
          <w:szCs w:val="30"/>
        </w:rPr>
        <w:t>目录</w:t>
      </w:r>
    </w:p>
    <w:p>
      <w:pPr>
        <w:spacing w:before="120" w:beforeLines="50" w:line="288" w:lineRule="auto"/>
        <w:ind w:left="164"/>
        <w:jc w:val="left"/>
        <w:rPr>
          <w:rFonts w:ascii="楷体" w:hAnsi="楷体" w:eastAsia="楷体"/>
          <w:b/>
          <w:spacing w:val="-6"/>
          <w:sz w:val="30"/>
          <w:szCs w:val="30"/>
        </w:rPr>
      </w:pPr>
      <w:r>
        <w:rPr>
          <w:rFonts w:hint="eastAsia" w:ascii="楷体" w:hAnsi="楷体" w:eastAsia="楷体"/>
          <w:b/>
          <w:spacing w:val="-6"/>
          <w:sz w:val="30"/>
          <w:szCs w:val="30"/>
        </w:rPr>
        <w:t>第一章   采购邀请</w:t>
      </w:r>
    </w:p>
    <w:p>
      <w:pPr>
        <w:spacing w:before="120" w:beforeLines="50" w:line="288" w:lineRule="auto"/>
        <w:ind w:left="164"/>
        <w:jc w:val="left"/>
        <w:rPr>
          <w:rFonts w:ascii="楷体" w:hAnsi="楷体" w:eastAsia="楷体"/>
          <w:b/>
          <w:spacing w:val="-6"/>
          <w:sz w:val="30"/>
          <w:szCs w:val="30"/>
        </w:rPr>
      </w:pPr>
      <w:r>
        <w:rPr>
          <w:rFonts w:hint="eastAsia" w:ascii="楷体" w:hAnsi="楷体" w:eastAsia="楷体"/>
          <w:b/>
          <w:spacing w:val="-6"/>
          <w:sz w:val="30"/>
          <w:szCs w:val="30"/>
        </w:rPr>
        <w:t>第二章   采购需求</w:t>
      </w:r>
    </w:p>
    <w:p>
      <w:pPr>
        <w:spacing w:before="120" w:beforeLines="50" w:line="288" w:lineRule="auto"/>
        <w:ind w:left="164"/>
        <w:jc w:val="left"/>
        <w:rPr>
          <w:rFonts w:ascii="楷体" w:hAnsi="楷体" w:eastAsia="楷体"/>
          <w:b/>
          <w:spacing w:val="-6"/>
          <w:sz w:val="30"/>
          <w:szCs w:val="30"/>
        </w:rPr>
      </w:pPr>
      <w:r>
        <w:rPr>
          <w:rFonts w:hint="eastAsia" w:ascii="楷体" w:hAnsi="楷体" w:eastAsia="楷体"/>
          <w:b/>
          <w:spacing w:val="-6"/>
          <w:sz w:val="30"/>
          <w:szCs w:val="30"/>
        </w:rPr>
        <w:t>第三章   供应商须知</w:t>
      </w:r>
    </w:p>
    <w:p>
      <w:pPr>
        <w:spacing w:before="120" w:beforeLines="50" w:line="288" w:lineRule="auto"/>
        <w:ind w:left="164"/>
        <w:jc w:val="left"/>
        <w:rPr>
          <w:rFonts w:ascii="楷体" w:hAnsi="楷体" w:eastAsia="楷体"/>
          <w:b/>
          <w:spacing w:val="-6"/>
          <w:sz w:val="30"/>
          <w:szCs w:val="30"/>
        </w:rPr>
      </w:pPr>
      <w:r>
        <w:rPr>
          <w:rFonts w:hint="eastAsia" w:ascii="楷体" w:hAnsi="楷体" w:eastAsia="楷体"/>
          <w:b/>
          <w:spacing w:val="-6"/>
          <w:sz w:val="30"/>
          <w:szCs w:val="30"/>
        </w:rPr>
        <w:t>第四章   评审办法及评分标准</w:t>
      </w:r>
    </w:p>
    <w:p>
      <w:pPr>
        <w:spacing w:before="120" w:beforeLines="50" w:line="288" w:lineRule="auto"/>
        <w:ind w:left="164"/>
        <w:jc w:val="left"/>
        <w:rPr>
          <w:rFonts w:ascii="楷体" w:hAnsi="楷体" w:eastAsia="楷体"/>
          <w:b/>
          <w:spacing w:val="-6"/>
          <w:sz w:val="30"/>
          <w:szCs w:val="30"/>
        </w:rPr>
      </w:pPr>
      <w:r>
        <w:rPr>
          <w:rFonts w:hint="eastAsia" w:ascii="楷体" w:hAnsi="楷体" w:eastAsia="楷体"/>
          <w:b/>
          <w:spacing w:val="-6"/>
          <w:sz w:val="30"/>
          <w:szCs w:val="30"/>
        </w:rPr>
        <w:t>第五章   合同主要条款</w:t>
      </w:r>
    </w:p>
    <w:p>
      <w:pPr>
        <w:spacing w:before="120" w:beforeLines="50" w:line="288" w:lineRule="auto"/>
        <w:ind w:left="164"/>
        <w:jc w:val="left"/>
        <w:rPr>
          <w:rFonts w:ascii="楷体" w:hAnsi="楷体" w:eastAsia="楷体"/>
          <w:b/>
          <w:sz w:val="30"/>
          <w:szCs w:val="30"/>
        </w:rPr>
      </w:pPr>
      <w:r>
        <w:rPr>
          <w:rFonts w:hint="eastAsia" w:ascii="楷体" w:hAnsi="楷体" w:eastAsia="楷体"/>
          <w:b/>
          <w:spacing w:val="-6"/>
          <w:sz w:val="30"/>
          <w:szCs w:val="30"/>
        </w:rPr>
        <w:t>第六章   响应文件格式</w:t>
      </w:r>
    </w:p>
    <w:p>
      <w:pPr>
        <w:pStyle w:val="13"/>
        <w:spacing w:beforeLines="0" w:afterLines="0" w:line="288" w:lineRule="auto"/>
        <w:jc w:val="center"/>
        <w:outlineLvl w:val="0"/>
        <w:rPr>
          <w:rFonts w:hAnsi="宋体"/>
          <w:b/>
          <w:spacing w:val="-6"/>
          <w:sz w:val="32"/>
          <w:szCs w:val="32"/>
        </w:rPr>
      </w:pPr>
      <w:r>
        <w:rPr>
          <w:rFonts w:hint="eastAsia" w:hAnsi="宋体"/>
          <w:sz w:val="21"/>
          <w:szCs w:val="21"/>
        </w:rPr>
        <w:br w:type="page"/>
      </w:r>
      <w:bookmarkStart w:id="0" w:name="_Toc17716"/>
      <w:bookmarkStart w:id="1" w:name="_Toc26612"/>
      <w:r>
        <w:rPr>
          <w:rFonts w:hAnsi="宋体"/>
          <w:b/>
          <w:spacing w:val="-6"/>
          <w:sz w:val="32"/>
          <w:szCs w:val="32"/>
        </w:rPr>
        <w:t>第一章  采购邀请</w:t>
      </w:r>
      <w:bookmarkEnd w:id="0"/>
      <w:bookmarkEnd w:id="1"/>
    </w:p>
    <w:p>
      <w:pPr>
        <w:spacing w:line="288" w:lineRule="auto"/>
        <w:ind w:firstLine="420" w:firstLineChars="200"/>
        <w:rPr>
          <w:rFonts w:ascii="宋体" w:hAnsi="宋体"/>
          <w:sz w:val="21"/>
          <w:szCs w:val="21"/>
        </w:rPr>
      </w:pPr>
      <w:r>
        <w:rPr>
          <w:rFonts w:hint="eastAsia" w:ascii="宋体" w:hAnsi="宋体"/>
          <w:sz w:val="21"/>
          <w:szCs w:val="21"/>
        </w:rPr>
        <w:t>根据</w:t>
      </w:r>
      <w:r>
        <w:rPr>
          <w:rFonts w:ascii="宋体" w:hAnsi="宋体"/>
          <w:sz w:val="21"/>
          <w:szCs w:val="21"/>
        </w:rPr>
        <w:t>《中华人民共和国政府采购法》</w:t>
      </w:r>
      <w:r>
        <w:rPr>
          <w:rFonts w:hint="eastAsia" w:ascii="宋体" w:hAnsi="宋体"/>
          <w:sz w:val="21"/>
          <w:szCs w:val="21"/>
        </w:rPr>
        <w:t>等有关规定</w:t>
      </w:r>
      <w:r>
        <w:rPr>
          <w:rFonts w:ascii="宋体" w:hAnsi="宋体"/>
          <w:sz w:val="21"/>
          <w:szCs w:val="21"/>
        </w:rPr>
        <w:t>，</w:t>
      </w:r>
      <w:r>
        <w:rPr>
          <w:rFonts w:hint="eastAsia" w:ascii="宋体" w:hAnsi="宋体"/>
          <w:sz w:val="21"/>
          <w:szCs w:val="21"/>
        </w:rPr>
        <w:t>经浙江省财政厅[2019]68776号确认书批准，浙江求是招标代理有限公司受中国美术学院委托，现</w:t>
      </w:r>
      <w:r>
        <w:rPr>
          <w:rFonts w:ascii="宋体" w:hAnsi="宋体"/>
          <w:sz w:val="21"/>
          <w:szCs w:val="21"/>
        </w:rPr>
        <w:t>就</w:t>
      </w:r>
      <w:r>
        <w:rPr>
          <w:rFonts w:hint="eastAsia" w:ascii="宋体" w:hAnsi="宋体"/>
          <w:sz w:val="21"/>
          <w:szCs w:val="21"/>
        </w:rPr>
        <w:t>创新设计学院良渚校区智能展厅设备一批</w:t>
      </w:r>
      <w:r>
        <w:rPr>
          <w:rFonts w:ascii="宋体" w:hAnsi="宋体"/>
          <w:sz w:val="21"/>
          <w:szCs w:val="21"/>
        </w:rPr>
        <w:t>进行</w:t>
      </w:r>
      <w:r>
        <w:rPr>
          <w:rFonts w:hint="eastAsia" w:ascii="宋体" w:hAnsi="宋体"/>
          <w:sz w:val="21"/>
          <w:szCs w:val="21"/>
        </w:rPr>
        <w:t>竞争性磋商</w:t>
      </w:r>
      <w:r>
        <w:rPr>
          <w:rFonts w:ascii="宋体" w:hAnsi="宋体"/>
          <w:sz w:val="21"/>
          <w:szCs w:val="21"/>
        </w:rPr>
        <w:t>，</w:t>
      </w:r>
      <w:r>
        <w:rPr>
          <w:rFonts w:hint="eastAsia" w:ascii="宋体" w:hAnsi="宋体"/>
          <w:sz w:val="21"/>
          <w:szCs w:val="21"/>
        </w:rPr>
        <w:t>欢迎</w:t>
      </w:r>
      <w:r>
        <w:rPr>
          <w:rFonts w:ascii="宋体" w:hAnsi="宋体"/>
          <w:sz w:val="21"/>
          <w:szCs w:val="21"/>
        </w:rPr>
        <w:t>国内合格的供应商前来</w:t>
      </w:r>
      <w:r>
        <w:rPr>
          <w:rFonts w:hint="eastAsia" w:ascii="宋体" w:hAnsi="宋体"/>
          <w:sz w:val="21"/>
          <w:szCs w:val="21"/>
        </w:rPr>
        <w:t>磋商</w:t>
      </w:r>
      <w:r>
        <w:rPr>
          <w:rFonts w:ascii="宋体" w:hAnsi="宋体"/>
          <w:sz w:val="21"/>
          <w:szCs w:val="21"/>
        </w:rPr>
        <w:t>。</w:t>
      </w:r>
    </w:p>
    <w:p>
      <w:pPr>
        <w:spacing w:line="288" w:lineRule="auto"/>
        <w:rPr>
          <w:rFonts w:ascii="宋体" w:hAnsi="宋体"/>
          <w:sz w:val="21"/>
          <w:szCs w:val="21"/>
        </w:rPr>
      </w:pPr>
      <w:r>
        <w:rPr>
          <w:rFonts w:hint="eastAsia" w:ascii="宋体" w:hAnsi="宋体"/>
          <w:b/>
          <w:sz w:val="24"/>
        </w:rPr>
        <w:t>一、项目名称：</w:t>
      </w:r>
      <w:r>
        <w:rPr>
          <w:rFonts w:hint="eastAsia" w:ascii="宋体" w:hAnsi="宋体"/>
          <w:sz w:val="21"/>
          <w:szCs w:val="21"/>
        </w:rPr>
        <w:t>创新设计学院良渚校区智能展厅设备一批</w:t>
      </w:r>
    </w:p>
    <w:p>
      <w:pPr>
        <w:spacing w:line="288" w:lineRule="auto"/>
        <w:rPr>
          <w:rFonts w:ascii="宋体" w:hAnsi="宋体"/>
          <w:sz w:val="21"/>
          <w:szCs w:val="21"/>
        </w:rPr>
      </w:pPr>
      <w:r>
        <w:rPr>
          <w:rFonts w:hint="eastAsia" w:ascii="宋体" w:hAnsi="宋体"/>
          <w:b/>
          <w:sz w:val="24"/>
        </w:rPr>
        <w:t>二、项目</w:t>
      </w:r>
      <w:r>
        <w:rPr>
          <w:rFonts w:ascii="宋体" w:hAnsi="宋体"/>
          <w:b/>
          <w:sz w:val="24"/>
        </w:rPr>
        <w:t>编号</w:t>
      </w:r>
      <w:r>
        <w:rPr>
          <w:rFonts w:hint="eastAsia" w:ascii="宋体" w:hAnsi="宋体"/>
          <w:b/>
          <w:sz w:val="24"/>
        </w:rPr>
        <w:t>：</w:t>
      </w:r>
      <w:r>
        <w:rPr>
          <w:rFonts w:hint="eastAsia" w:ascii="宋体" w:hAnsi="宋体"/>
          <w:sz w:val="21"/>
          <w:szCs w:val="21"/>
        </w:rPr>
        <w:t>QSZB-Z(H)-C19291(CS)</w:t>
      </w:r>
    </w:p>
    <w:p>
      <w:pPr>
        <w:spacing w:line="288" w:lineRule="auto"/>
        <w:rPr>
          <w:rFonts w:ascii="宋体" w:hAnsi="宋体"/>
          <w:sz w:val="21"/>
          <w:szCs w:val="21"/>
        </w:rPr>
      </w:pPr>
      <w:r>
        <w:rPr>
          <w:rFonts w:hint="eastAsia" w:ascii="宋体" w:hAnsi="宋体"/>
          <w:b/>
          <w:sz w:val="24"/>
        </w:rPr>
        <w:t>三、采购组织类型：</w:t>
      </w:r>
      <w:r>
        <w:rPr>
          <w:rFonts w:hint="eastAsia" w:ascii="宋体" w:hAnsi="宋体"/>
          <w:sz w:val="21"/>
          <w:szCs w:val="21"/>
        </w:rPr>
        <w:t>分散采购委托代理</w:t>
      </w:r>
    </w:p>
    <w:p>
      <w:pPr>
        <w:spacing w:line="288" w:lineRule="auto"/>
        <w:rPr>
          <w:rFonts w:ascii="宋体" w:hAnsi="宋体"/>
          <w:b/>
          <w:sz w:val="24"/>
        </w:rPr>
      </w:pPr>
      <w:r>
        <w:rPr>
          <w:rFonts w:hint="eastAsia" w:ascii="宋体" w:hAnsi="宋体"/>
          <w:b/>
          <w:sz w:val="24"/>
        </w:rPr>
        <w:t>四、采购项目概况：</w:t>
      </w:r>
    </w:p>
    <w:tbl>
      <w:tblPr>
        <w:tblStyle w:val="23"/>
        <w:tblW w:w="962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825"/>
        <w:gridCol w:w="732"/>
        <w:gridCol w:w="3468"/>
        <w:gridCol w:w="16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825" w:type="dxa"/>
            <w:tcBorders>
              <w:lef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项目名称</w:t>
            </w:r>
          </w:p>
        </w:tc>
        <w:tc>
          <w:tcPr>
            <w:tcW w:w="732" w:type="dxa"/>
            <w:vAlign w:val="center"/>
          </w:tcPr>
          <w:p>
            <w:pPr>
              <w:jc w:val="center"/>
              <w:rPr>
                <w:rFonts w:ascii="宋体" w:hAnsi="宋体" w:cs="宋体"/>
                <w:b/>
                <w:bCs/>
                <w:sz w:val="21"/>
                <w:szCs w:val="21"/>
              </w:rPr>
            </w:pPr>
            <w:r>
              <w:rPr>
                <w:rFonts w:hint="eastAsia" w:ascii="宋体" w:hAnsi="宋体" w:cs="宋体"/>
                <w:b/>
                <w:bCs/>
                <w:sz w:val="21"/>
                <w:szCs w:val="21"/>
              </w:rPr>
              <w:t>数量</w:t>
            </w:r>
          </w:p>
        </w:tc>
        <w:tc>
          <w:tcPr>
            <w:tcW w:w="3468" w:type="dxa"/>
            <w:vAlign w:val="center"/>
          </w:tcPr>
          <w:p>
            <w:pPr>
              <w:jc w:val="center"/>
              <w:rPr>
                <w:rFonts w:ascii="宋体" w:hAnsi="宋体" w:cs="宋体"/>
                <w:b/>
                <w:bCs/>
                <w:sz w:val="21"/>
                <w:szCs w:val="21"/>
              </w:rPr>
            </w:pPr>
            <w:r>
              <w:rPr>
                <w:rFonts w:hint="eastAsia" w:ascii="宋体" w:hAnsi="宋体" w:cs="宋体"/>
                <w:b/>
                <w:bCs/>
                <w:sz w:val="21"/>
                <w:szCs w:val="21"/>
              </w:rPr>
              <w:t>简要规格描述或标项基本概况介绍</w:t>
            </w:r>
          </w:p>
        </w:tc>
        <w:tc>
          <w:tcPr>
            <w:tcW w:w="1603" w:type="dxa"/>
            <w:vAlign w:val="center"/>
          </w:tcPr>
          <w:p>
            <w:pPr>
              <w:jc w:val="center"/>
              <w:rPr>
                <w:rFonts w:ascii="宋体" w:hAnsi="宋体" w:cs="宋体"/>
                <w:b/>
                <w:bCs/>
                <w:sz w:val="21"/>
                <w:szCs w:val="21"/>
              </w:rPr>
            </w:pPr>
            <w:r>
              <w:rPr>
                <w:rFonts w:hint="eastAsia" w:ascii="宋体" w:hAnsi="宋体" w:cs="宋体"/>
                <w:b/>
                <w:bCs/>
                <w:sz w:val="21"/>
                <w:szCs w:val="21"/>
              </w:rPr>
              <w:t>预算金额</w:t>
            </w:r>
          </w:p>
          <w:p>
            <w:pPr>
              <w:jc w:val="center"/>
              <w:rPr>
                <w:rFonts w:ascii="宋体" w:hAnsi="宋体" w:cs="宋体"/>
                <w:b/>
                <w:bCs/>
                <w:sz w:val="21"/>
                <w:szCs w:val="21"/>
              </w:rPr>
            </w:pPr>
            <w:r>
              <w:rPr>
                <w:rFonts w:hint="eastAsia" w:ascii="宋体" w:hAnsi="宋体" w:cs="宋体"/>
                <w:b/>
                <w:bCs/>
                <w:sz w:val="21"/>
                <w:szCs w:val="21"/>
              </w:rPr>
              <w:t>(万元人民币)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825" w:type="dxa"/>
            <w:tcBorders>
              <w:left w:val="single" w:color="auto" w:sz="4" w:space="0"/>
            </w:tcBorders>
            <w:vAlign w:val="center"/>
          </w:tcPr>
          <w:p>
            <w:pPr>
              <w:jc w:val="center"/>
              <w:rPr>
                <w:rFonts w:ascii="宋体" w:hAnsi="宋体"/>
                <w:sz w:val="21"/>
                <w:szCs w:val="21"/>
              </w:rPr>
            </w:pPr>
            <w:r>
              <w:rPr>
                <w:rFonts w:hint="eastAsia" w:ascii="宋体" w:hAnsi="宋体"/>
                <w:sz w:val="21"/>
                <w:szCs w:val="21"/>
              </w:rPr>
              <w:t>创新设计学院良渚校区智能展厅设备一批</w:t>
            </w:r>
          </w:p>
        </w:tc>
        <w:tc>
          <w:tcPr>
            <w:tcW w:w="732" w:type="dxa"/>
            <w:vAlign w:val="center"/>
          </w:tcPr>
          <w:p>
            <w:pPr>
              <w:jc w:val="center"/>
              <w:rPr>
                <w:rFonts w:ascii="宋体" w:hAnsi="宋体" w:cs="宋体"/>
                <w:sz w:val="21"/>
                <w:szCs w:val="21"/>
              </w:rPr>
            </w:pPr>
            <w:r>
              <w:rPr>
                <w:rFonts w:hint="eastAsia" w:ascii="宋体" w:hAnsi="宋体" w:cs="宋体"/>
                <w:sz w:val="21"/>
                <w:szCs w:val="21"/>
              </w:rPr>
              <w:t>1批</w:t>
            </w:r>
          </w:p>
        </w:tc>
        <w:tc>
          <w:tcPr>
            <w:tcW w:w="3468" w:type="dxa"/>
            <w:vAlign w:val="center"/>
          </w:tcPr>
          <w:p>
            <w:pPr>
              <w:jc w:val="center"/>
              <w:rPr>
                <w:rFonts w:ascii="宋体" w:hAnsi="宋体" w:cs="宋体"/>
                <w:sz w:val="21"/>
                <w:szCs w:val="21"/>
              </w:rPr>
            </w:pPr>
            <w:r>
              <w:rPr>
                <w:rFonts w:hint="eastAsia" w:ascii="宋体" w:hAnsi="宋体" w:cs="宋体"/>
                <w:sz w:val="21"/>
                <w:szCs w:val="21"/>
              </w:rPr>
              <w:t>具体详见第二章  采购需求</w:t>
            </w:r>
          </w:p>
        </w:tc>
        <w:tc>
          <w:tcPr>
            <w:tcW w:w="1603" w:type="dxa"/>
            <w:vAlign w:val="center"/>
          </w:tcPr>
          <w:p>
            <w:pPr>
              <w:jc w:val="center"/>
              <w:rPr>
                <w:rFonts w:ascii="宋体" w:hAnsi="宋体" w:cs="宋体"/>
                <w:sz w:val="21"/>
                <w:szCs w:val="21"/>
              </w:rPr>
            </w:pPr>
            <w:r>
              <w:rPr>
                <w:rFonts w:hint="eastAsia" w:ascii="宋体" w:hAnsi="宋体" w:cs="宋体"/>
                <w:sz w:val="21"/>
                <w:szCs w:val="21"/>
              </w:rPr>
              <w:t>118.4</w:t>
            </w:r>
          </w:p>
        </w:tc>
      </w:tr>
    </w:tbl>
    <w:p>
      <w:pPr>
        <w:spacing w:line="288" w:lineRule="auto"/>
        <w:rPr>
          <w:rFonts w:ascii="宋体" w:hAnsi="宋体"/>
          <w:b/>
          <w:sz w:val="24"/>
        </w:rPr>
      </w:pPr>
      <w:r>
        <w:rPr>
          <w:rFonts w:hint="eastAsia" w:ascii="宋体" w:hAnsi="宋体"/>
          <w:b/>
          <w:sz w:val="24"/>
        </w:rPr>
        <w:t>五、供应商资格要求：</w:t>
      </w:r>
    </w:p>
    <w:p>
      <w:pPr>
        <w:spacing w:line="288" w:lineRule="auto"/>
        <w:ind w:firstLine="420" w:firstLineChars="200"/>
        <w:rPr>
          <w:rFonts w:ascii="宋体" w:hAnsi="宋体"/>
          <w:sz w:val="21"/>
          <w:szCs w:val="21"/>
        </w:rPr>
      </w:pPr>
      <w:r>
        <w:rPr>
          <w:rFonts w:hint="eastAsia" w:ascii="宋体" w:hAnsi="宋体"/>
          <w:sz w:val="21"/>
          <w:szCs w:val="21"/>
        </w:rPr>
        <w:t>符合《中华人民共和国政府采购法》第二十二条规定的供应商资格条件：</w:t>
      </w:r>
    </w:p>
    <w:p>
      <w:pPr>
        <w:spacing w:line="288" w:lineRule="auto"/>
        <w:ind w:firstLine="420" w:firstLineChars="200"/>
        <w:rPr>
          <w:rFonts w:ascii="宋体" w:hAnsi="宋体"/>
          <w:sz w:val="21"/>
          <w:szCs w:val="21"/>
        </w:rPr>
      </w:pPr>
      <w:r>
        <w:rPr>
          <w:rFonts w:hint="eastAsia" w:ascii="宋体" w:hAnsi="宋体"/>
          <w:sz w:val="21"/>
          <w:szCs w:val="21"/>
        </w:rPr>
        <w:t>（一）具有独立承担民事责任的能力；</w:t>
      </w:r>
    </w:p>
    <w:p>
      <w:pPr>
        <w:spacing w:line="288" w:lineRule="auto"/>
        <w:ind w:firstLine="420" w:firstLineChars="200"/>
        <w:rPr>
          <w:rFonts w:ascii="宋体" w:hAnsi="宋体"/>
          <w:sz w:val="21"/>
          <w:szCs w:val="21"/>
        </w:rPr>
      </w:pPr>
      <w:r>
        <w:rPr>
          <w:rFonts w:hint="eastAsia" w:ascii="宋体" w:hAnsi="宋体"/>
          <w:sz w:val="21"/>
          <w:szCs w:val="21"/>
        </w:rPr>
        <w:t>（二）具有良好的商业信誉和健全的财务会计制度；</w:t>
      </w:r>
    </w:p>
    <w:p>
      <w:pPr>
        <w:spacing w:line="288" w:lineRule="auto"/>
        <w:ind w:firstLine="420" w:firstLineChars="200"/>
        <w:rPr>
          <w:rFonts w:ascii="宋体" w:hAnsi="宋体"/>
          <w:sz w:val="21"/>
          <w:szCs w:val="21"/>
        </w:rPr>
      </w:pPr>
      <w:r>
        <w:rPr>
          <w:rFonts w:hint="eastAsia" w:ascii="宋体" w:hAnsi="宋体"/>
          <w:sz w:val="21"/>
          <w:szCs w:val="21"/>
        </w:rPr>
        <w:t>（三）具有履行合同所必需的设备和专业技术能力；</w:t>
      </w:r>
    </w:p>
    <w:p>
      <w:pPr>
        <w:spacing w:line="288" w:lineRule="auto"/>
        <w:ind w:firstLine="420" w:firstLineChars="200"/>
        <w:rPr>
          <w:rFonts w:ascii="宋体" w:hAnsi="宋体"/>
          <w:sz w:val="21"/>
          <w:szCs w:val="21"/>
        </w:rPr>
      </w:pPr>
      <w:r>
        <w:rPr>
          <w:rFonts w:hint="eastAsia" w:ascii="宋体" w:hAnsi="宋体"/>
          <w:sz w:val="21"/>
          <w:szCs w:val="21"/>
        </w:rPr>
        <w:t>（四）有依法缴纳税收和社会保障资金的良好记录；</w:t>
      </w:r>
    </w:p>
    <w:p>
      <w:pPr>
        <w:spacing w:line="288" w:lineRule="auto"/>
        <w:ind w:firstLine="420" w:firstLineChars="200"/>
        <w:rPr>
          <w:rFonts w:ascii="宋体" w:hAnsi="宋体"/>
          <w:sz w:val="21"/>
          <w:szCs w:val="21"/>
        </w:rPr>
      </w:pPr>
      <w:r>
        <w:rPr>
          <w:rFonts w:hint="eastAsia" w:ascii="宋体" w:hAnsi="宋体"/>
          <w:sz w:val="21"/>
          <w:szCs w:val="21"/>
        </w:rPr>
        <w:t>（五）参加政府采购活动前三年内，在经营活动中没有重大违法记录；</w:t>
      </w:r>
    </w:p>
    <w:p>
      <w:pPr>
        <w:spacing w:line="288" w:lineRule="auto"/>
        <w:ind w:firstLine="420" w:firstLineChars="200"/>
        <w:rPr>
          <w:rFonts w:ascii="宋体" w:hAnsi="宋体"/>
          <w:sz w:val="21"/>
          <w:szCs w:val="21"/>
        </w:rPr>
      </w:pPr>
      <w:r>
        <w:rPr>
          <w:rFonts w:hint="eastAsia" w:ascii="宋体" w:hAnsi="宋体"/>
          <w:sz w:val="21"/>
          <w:szCs w:val="21"/>
        </w:rPr>
        <w:t>（六）法律、行政法规规定的其他条件。</w:t>
      </w:r>
    </w:p>
    <w:p>
      <w:pPr>
        <w:spacing w:line="288" w:lineRule="auto"/>
        <w:ind w:firstLine="422" w:firstLineChars="200"/>
        <w:rPr>
          <w:rFonts w:ascii="宋体" w:hAnsi="宋体"/>
          <w:bCs/>
          <w:sz w:val="21"/>
          <w:szCs w:val="21"/>
        </w:rPr>
      </w:pPr>
      <w:r>
        <w:rPr>
          <w:rFonts w:hint="eastAsia" w:ascii="宋体" w:hAnsi="宋体"/>
          <w:b/>
          <w:sz w:val="21"/>
          <w:szCs w:val="21"/>
        </w:rPr>
        <w:t>供应商特定资格条件：</w:t>
      </w:r>
      <w:r>
        <w:rPr>
          <w:rFonts w:hint="eastAsia" w:ascii="宋体" w:hAnsi="宋体"/>
          <w:bCs/>
          <w:sz w:val="21"/>
          <w:szCs w:val="21"/>
        </w:rPr>
        <w:t>本项目不接受联合体响应。</w:t>
      </w:r>
    </w:p>
    <w:p>
      <w:pPr>
        <w:spacing w:line="288" w:lineRule="auto"/>
        <w:rPr>
          <w:rFonts w:ascii="宋体" w:hAnsi="宋体"/>
          <w:b/>
          <w:sz w:val="24"/>
        </w:rPr>
      </w:pPr>
      <w:r>
        <w:rPr>
          <w:rFonts w:hint="eastAsia" w:ascii="宋体" w:hAnsi="宋体"/>
          <w:b/>
          <w:sz w:val="24"/>
        </w:rPr>
        <w:t>六、获取磋商文件的时间、地点、方式及售价：</w:t>
      </w:r>
    </w:p>
    <w:p>
      <w:pPr>
        <w:spacing w:line="288" w:lineRule="auto"/>
        <w:ind w:firstLine="420" w:firstLineChars="200"/>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时间：2019年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29</w:t>
      </w:r>
      <w:r>
        <w:rPr>
          <w:rFonts w:hint="eastAsia" w:ascii="宋体" w:hAnsi="宋体"/>
          <w:sz w:val="21"/>
          <w:szCs w:val="21"/>
        </w:rPr>
        <w:t>日至2019年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6</w:t>
      </w:r>
      <w:r>
        <w:rPr>
          <w:rFonts w:hint="eastAsia" w:ascii="宋体" w:hAnsi="宋体"/>
          <w:sz w:val="21"/>
          <w:szCs w:val="21"/>
        </w:rPr>
        <w:t>日</w:t>
      </w:r>
      <w:r>
        <w:rPr>
          <w:rFonts w:hint="eastAsia" w:ascii="宋体" w:hAnsi="宋体"/>
          <w:spacing w:val="-6"/>
          <w:sz w:val="21"/>
          <w:szCs w:val="21"/>
        </w:rPr>
        <w:t>（双休日及法定节假日除外）</w:t>
      </w:r>
    </w:p>
    <w:p>
      <w:pPr>
        <w:spacing w:line="288" w:lineRule="auto"/>
        <w:ind w:firstLine="630" w:firstLineChars="300"/>
        <w:rPr>
          <w:rFonts w:ascii="宋体" w:hAnsi="宋体"/>
          <w:sz w:val="21"/>
          <w:szCs w:val="21"/>
        </w:rPr>
      </w:pPr>
      <w:r>
        <w:rPr>
          <w:rFonts w:hint="eastAsia" w:ascii="宋体" w:hAnsi="宋体"/>
          <w:sz w:val="21"/>
          <w:szCs w:val="21"/>
        </w:rPr>
        <w:t>上午：8:30-11:30、下午：13:00-17:00</w:t>
      </w:r>
    </w:p>
    <w:p>
      <w:pPr>
        <w:spacing w:line="288" w:lineRule="auto"/>
        <w:ind w:firstLine="420" w:firstLineChars="200"/>
        <w:rPr>
          <w:rFonts w:ascii="宋体" w:hAnsi="宋体"/>
          <w:sz w:val="21"/>
          <w:szCs w:val="21"/>
        </w:rPr>
      </w:pPr>
      <w:r>
        <w:rPr>
          <w:rFonts w:hint="eastAsia" w:ascii="宋体" w:hAnsi="宋体"/>
          <w:sz w:val="21"/>
          <w:szCs w:val="21"/>
        </w:rPr>
        <w:t>2.地点：浙江求是招标代理有限公司（杭州市西湖区玉古路173号中田大厦16楼H室）</w:t>
      </w:r>
    </w:p>
    <w:p>
      <w:pPr>
        <w:spacing w:line="288" w:lineRule="auto"/>
        <w:ind w:firstLine="420" w:firstLineChars="200"/>
        <w:rPr>
          <w:rFonts w:ascii="宋体" w:hAnsi="宋体"/>
          <w:sz w:val="21"/>
          <w:szCs w:val="21"/>
        </w:rPr>
      </w:pPr>
      <w:r>
        <w:rPr>
          <w:rFonts w:hint="eastAsia" w:ascii="宋体" w:hAnsi="宋体"/>
          <w:sz w:val="21"/>
          <w:szCs w:val="21"/>
        </w:rPr>
        <w:t>3.方式：微信（扫描附件二维码或关注“浙江求是招标代理有限公司”企业公众号）或现场领售</w:t>
      </w:r>
    </w:p>
    <w:p>
      <w:pPr>
        <w:spacing w:line="288" w:lineRule="auto"/>
        <w:ind w:firstLine="420" w:firstLineChars="200"/>
        <w:rPr>
          <w:rFonts w:ascii="宋体" w:hAnsi="宋体"/>
          <w:sz w:val="21"/>
          <w:szCs w:val="21"/>
        </w:rPr>
      </w:pPr>
      <w:r>
        <w:rPr>
          <w:rFonts w:hint="eastAsia" w:ascii="宋体" w:hAnsi="宋体"/>
          <w:sz w:val="21"/>
          <w:szCs w:val="21"/>
        </w:rPr>
        <w:t>4.售价</w:t>
      </w:r>
      <w:r>
        <w:rPr>
          <w:rFonts w:ascii="宋体" w:hAnsi="宋体"/>
          <w:sz w:val="21"/>
          <w:szCs w:val="21"/>
        </w:rPr>
        <w:t>：每本</w:t>
      </w:r>
      <w:r>
        <w:rPr>
          <w:rFonts w:hint="eastAsia" w:ascii="宋体" w:hAnsi="宋体"/>
          <w:sz w:val="21"/>
          <w:szCs w:val="21"/>
        </w:rPr>
        <w:t>500元整（</w:t>
      </w:r>
      <w:r>
        <w:rPr>
          <w:rFonts w:ascii="宋体" w:hAnsi="宋体"/>
          <w:sz w:val="21"/>
          <w:szCs w:val="21"/>
        </w:rPr>
        <w:t>售后不退</w:t>
      </w:r>
      <w:r>
        <w:rPr>
          <w:rFonts w:hint="eastAsia" w:ascii="宋体" w:hAnsi="宋体"/>
          <w:sz w:val="21"/>
          <w:szCs w:val="21"/>
        </w:rPr>
        <w:t>）</w:t>
      </w:r>
    </w:p>
    <w:p>
      <w:pPr>
        <w:spacing w:line="288" w:lineRule="auto"/>
        <w:ind w:firstLine="630" w:firstLineChars="300"/>
        <w:rPr>
          <w:rFonts w:ascii="宋体" w:hAnsi="宋体"/>
          <w:sz w:val="21"/>
          <w:szCs w:val="21"/>
        </w:rPr>
      </w:pPr>
      <w:r>
        <w:rPr>
          <w:rFonts w:hint="eastAsia" w:ascii="宋体" w:hAnsi="宋体"/>
          <w:sz w:val="21"/>
          <w:szCs w:val="21"/>
        </w:rPr>
        <w:t>收款单位（户名）：浙江求是招标代理有限公司</w:t>
      </w:r>
    </w:p>
    <w:p>
      <w:pPr>
        <w:spacing w:line="288" w:lineRule="auto"/>
        <w:ind w:firstLine="630" w:firstLineChars="300"/>
        <w:rPr>
          <w:rFonts w:ascii="宋体" w:hAnsi="宋体"/>
          <w:sz w:val="21"/>
          <w:szCs w:val="21"/>
        </w:rPr>
      </w:pPr>
      <w:r>
        <w:rPr>
          <w:rFonts w:hint="eastAsia" w:ascii="宋体" w:hAnsi="宋体"/>
          <w:sz w:val="21"/>
          <w:szCs w:val="21"/>
        </w:rPr>
        <w:t>开户银行：工行浙大支行</w:t>
      </w:r>
    </w:p>
    <w:p>
      <w:pPr>
        <w:spacing w:line="288" w:lineRule="auto"/>
        <w:ind w:firstLine="630" w:firstLineChars="300"/>
        <w:rPr>
          <w:rFonts w:ascii="宋体" w:hAnsi="宋体"/>
          <w:sz w:val="21"/>
          <w:szCs w:val="21"/>
        </w:rPr>
      </w:pPr>
      <w:r>
        <w:rPr>
          <w:rFonts w:hint="eastAsia" w:ascii="宋体" w:hAnsi="宋体"/>
          <w:sz w:val="21"/>
          <w:szCs w:val="21"/>
        </w:rPr>
        <w:t>银行帐号：</w:t>
      </w:r>
      <w:r>
        <w:rPr>
          <w:rFonts w:ascii="宋体" w:hAnsi="宋体"/>
          <w:sz w:val="21"/>
          <w:szCs w:val="21"/>
        </w:rPr>
        <w:t>1202024609900033043</w:t>
      </w:r>
    </w:p>
    <w:p>
      <w:pPr>
        <w:spacing w:line="288" w:lineRule="auto"/>
        <w:ind w:firstLine="630" w:firstLineChars="300"/>
        <w:rPr>
          <w:rFonts w:ascii="宋体" w:hAnsi="宋体"/>
          <w:sz w:val="21"/>
          <w:szCs w:val="21"/>
        </w:rPr>
      </w:pPr>
      <w:r>
        <w:rPr>
          <w:rFonts w:hint="eastAsia" w:ascii="宋体" w:hAnsi="宋体"/>
          <w:sz w:val="21"/>
          <w:szCs w:val="21"/>
        </w:rPr>
        <w:t>财务联系方式：0571-87666113</w:t>
      </w:r>
    </w:p>
    <w:p>
      <w:pPr>
        <w:spacing w:line="288" w:lineRule="auto"/>
        <w:ind w:firstLine="420" w:firstLineChars="200"/>
        <w:rPr>
          <w:rFonts w:ascii="宋体" w:hAnsi="宋体"/>
          <w:sz w:val="21"/>
          <w:szCs w:val="21"/>
        </w:rPr>
      </w:pPr>
      <w:r>
        <w:rPr>
          <w:rFonts w:hint="eastAsia" w:ascii="宋体" w:hAnsi="宋体"/>
          <w:sz w:val="21"/>
          <w:szCs w:val="21"/>
        </w:rPr>
        <w:t>备注：</w:t>
      </w:r>
    </w:p>
    <w:p>
      <w:pPr>
        <w:spacing w:line="288" w:lineRule="auto"/>
        <w:ind w:firstLine="420" w:firstLineChars="200"/>
        <w:rPr>
          <w:rFonts w:ascii="宋体" w:hAnsi="宋体"/>
          <w:sz w:val="21"/>
          <w:szCs w:val="21"/>
        </w:rPr>
      </w:pPr>
      <w:r>
        <w:rPr>
          <w:rFonts w:hint="eastAsia" w:ascii="宋体" w:hAnsi="宋体"/>
          <w:sz w:val="21"/>
          <w:szCs w:val="21"/>
        </w:rPr>
        <w:t>1.磋商文件发售截止之后有潜在供应商提出要求获取磋商文件的允许其获取，如对磋商文件有质疑的应在规定的质疑期限内提出。</w:t>
      </w:r>
    </w:p>
    <w:p>
      <w:pPr>
        <w:spacing w:line="288" w:lineRule="auto"/>
        <w:ind w:firstLine="420" w:firstLineChars="200"/>
        <w:rPr>
          <w:rFonts w:ascii="宋体" w:hAnsi="宋体"/>
          <w:sz w:val="21"/>
          <w:szCs w:val="21"/>
        </w:rPr>
      </w:pPr>
      <w:r>
        <w:rPr>
          <w:rFonts w:hint="eastAsia" w:ascii="宋体" w:hAnsi="宋体"/>
          <w:sz w:val="21"/>
          <w:szCs w:val="21"/>
        </w:rPr>
        <w:t>2.本公告规定的磋商文件获取方式为依法获取磋商文件的方式，未按照本公告规定的方式获取磋商文件的，不得对磋商文件提起质疑投诉。</w:t>
      </w:r>
    </w:p>
    <w:p>
      <w:pPr>
        <w:spacing w:line="288" w:lineRule="auto"/>
        <w:rPr>
          <w:rFonts w:ascii="宋体" w:hAnsi="宋体"/>
          <w:b/>
          <w:sz w:val="24"/>
          <w:lang w:val="zh-CN"/>
        </w:rPr>
      </w:pPr>
      <w:r>
        <w:rPr>
          <w:rFonts w:hint="eastAsia" w:ascii="宋体" w:hAnsi="宋体"/>
          <w:b/>
          <w:sz w:val="24"/>
        </w:rPr>
        <w:t>七、获取竞争性磋商文件时应提交的资料：</w:t>
      </w:r>
      <w:r>
        <w:rPr>
          <w:rFonts w:hint="eastAsia" w:ascii="宋体" w:hAnsi="宋体"/>
          <w:sz w:val="21"/>
          <w:szCs w:val="21"/>
        </w:rPr>
        <w:t>文件获取申请函（格式详见附件）。</w:t>
      </w:r>
    </w:p>
    <w:p>
      <w:pPr>
        <w:spacing w:line="288" w:lineRule="auto"/>
        <w:ind w:firstLine="420" w:firstLineChars="200"/>
        <w:rPr>
          <w:rFonts w:ascii="宋体" w:hAnsi="宋体"/>
          <w:sz w:val="21"/>
          <w:szCs w:val="21"/>
        </w:rPr>
      </w:pPr>
      <w:r>
        <w:rPr>
          <w:rFonts w:hint="eastAsia" w:ascii="宋体" w:hAnsi="宋体"/>
          <w:sz w:val="21"/>
          <w:szCs w:val="21"/>
        </w:rPr>
        <w:t>备注：</w:t>
      </w:r>
    </w:p>
    <w:p>
      <w:pPr>
        <w:spacing w:line="288" w:lineRule="auto"/>
        <w:ind w:firstLine="420" w:firstLineChars="200"/>
        <w:rPr>
          <w:rFonts w:ascii="宋体" w:hAnsi="宋体"/>
          <w:sz w:val="21"/>
          <w:szCs w:val="21"/>
        </w:rPr>
      </w:pPr>
      <w:r>
        <w:rPr>
          <w:rFonts w:hint="eastAsia" w:ascii="宋体" w:hAnsi="宋体"/>
          <w:sz w:val="21"/>
          <w:szCs w:val="21"/>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spacing w:line="288" w:lineRule="auto"/>
        <w:ind w:firstLine="420" w:firstLineChars="200"/>
        <w:rPr>
          <w:rFonts w:ascii="宋体" w:hAnsi="宋体"/>
          <w:sz w:val="21"/>
          <w:szCs w:val="21"/>
        </w:rPr>
      </w:pPr>
      <w:r>
        <w:rPr>
          <w:rFonts w:hint="eastAsia" w:ascii="宋体" w:hAnsi="宋体"/>
          <w:sz w:val="21"/>
          <w:szCs w:val="21"/>
        </w:rPr>
        <w:t>2.供应商未按照本公告规定的方式获取磋商文件的，磋商响应文件予以拒收。</w:t>
      </w:r>
    </w:p>
    <w:p>
      <w:pPr>
        <w:spacing w:line="288" w:lineRule="auto"/>
        <w:rPr>
          <w:rFonts w:ascii="宋体" w:hAnsi="宋体"/>
          <w:b/>
          <w:sz w:val="24"/>
        </w:rPr>
      </w:pPr>
      <w:r>
        <w:rPr>
          <w:rFonts w:hint="eastAsia" w:ascii="宋体" w:hAnsi="宋体"/>
          <w:b/>
          <w:sz w:val="24"/>
        </w:rPr>
        <w:t>八、响应文件提交</w:t>
      </w:r>
      <w:r>
        <w:rPr>
          <w:rFonts w:ascii="宋体" w:hAnsi="宋体"/>
          <w:b/>
          <w:sz w:val="24"/>
        </w:rPr>
        <w:t>截止时间</w:t>
      </w:r>
      <w:r>
        <w:rPr>
          <w:rFonts w:hint="eastAsia" w:ascii="宋体" w:hAnsi="宋体"/>
          <w:b/>
          <w:sz w:val="24"/>
        </w:rPr>
        <w:t>：</w:t>
      </w:r>
      <w:r>
        <w:rPr>
          <w:rFonts w:hint="eastAsia" w:ascii="宋体" w:hAnsi="宋体"/>
          <w:sz w:val="21"/>
          <w:szCs w:val="21"/>
        </w:rPr>
        <w:t>2019年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13</w:t>
      </w:r>
      <w:r>
        <w:rPr>
          <w:rFonts w:hint="eastAsia" w:ascii="宋体" w:hAnsi="宋体"/>
          <w:sz w:val="21"/>
          <w:szCs w:val="21"/>
        </w:rPr>
        <w:t>日</w:t>
      </w:r>
      <w:r>
        <w:rPr>
          <w:rFonts w:hint="eastAsia" w:ascii="宋体" w:hAnsi="宋体"/>
          <w:sz w:val="21"/>
          <w:szCs w:val="21"/>
          <w:lang w:eastAsia="zh-CN"/>
        </w:rPr>
        <w:t>下</w:t>
      </w:r>
      <w:r>
        <w:rPr>
          <w:rFonts w:hint="eastAsia" w:ascii="宋体" w:hAnsi="宋体"/>
          <w:sz w:val="21"/>
          <w:szCs w:val="21"/>
        </w:rPr>
        <w:t>午</w:t>
      </w:r>
      <w:r>
        <w:rPr>
          <w:rFonts w:hint="eastAsia" w:ascii="宋体" w:hAnsi="宋体"/>
          <w:sz w:val="21"/>
          <w:szCs w:val="21"/>
          <w:lang w:val="en-US" w:eastAsia="zh-CN"/>
        </w:rPr>
        <w:t>13</w:t>
      </w:r>
      <w:r>
        <w:rPr>
          <w:rFonts w:hint="eastAsia" w:ascii="宋体" w:hAnsi="宋体"/>
          <w:sz w:val="21"/>
          <w:szCs w:val="21"/>
        </w:rPr>
        <w:t>:30:00</w:t>
      </w:r>
    </w:p>
    <w:p>
      <w:pPr>
        <w:spacing w:line="288" w:lineRule="auto"/>
        <w:rPr>
          <w:rFonts w:ascii="宋体" w:hAnsi="宋体"/>
          <w:sz w:val="21"/>
          <w:szCs w:val="21"/>
        </w:rPr>
      </w:pPr>
      <w:r>
        <w:rPr>
          <w:rFonts w:hint="eastAsia" w:ascii="宋体" w:hAnsi="宋体"/>
          <w:b/>
          <w:sz w:val="24"/>
        </w:rPr>
        <w:t>九、响应文件提交地点：</w:t>
      </w:r>
      <w:r>
        <w:rPr>
          <w:rFonts w:hint="eastAsia" w:ascii="宋体" w:hAnsi="宋体"/>
          <w:sz w:val="21"/>
          <w:szCs w:val="21"/>
        </w:rPr>
        <w:t>杭州市西湖区玉古路173号中田大厦16楼求是招标会议室，逾期送达或者未按照磋商文件要求密封的响应文件予以拒收。</w:t>
      </w:r>
    </w:p>
    <w:p>
      <w:pPr>
        <w:spacing w:line="288" w:lineRule="auto"/>
        <w:rPr>
          <w:rFonts w:ascii="宋体" w:hAnsi="宋体"/>
          <w:sz w:val="21"/>
          <w:szCs w:val="21"/>
        </w:rPr>
      </w:pPr>
      <w:r>
        <w:rPr>
          <w:rFonts w:hint="eastAsia" w:ascii="宋体" w:hAnsi="宋体"/>
          <w:b/>
          <w:sz w:val="24"/>
        </w:rPr>
        <w:t>十、响应文件开启</w:t>
      </w:r>
      <w:r>
        <w:rPr>
          <w:rFonts w:ascii="宋体" w:hAnsi="宋体"/>
          <w:b/>
          <w:sz w:val="24"/>
        </w:rPr>
        <w:t>时间：</w:t>
      </w:r>
      <w:r>
        <w:rPr>
          <w:rFonts w:hint="eastAsia" w:ascii="宋体" w:hAnsi="宋体"/>
          <w:sz w:val="21"/>
          <w:szCs w:val="21"/>
        </w:rPr>
        <w:t>2019年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13</w:t>
      </w:r>
      <w:r>
        <w:rPr>
          <w:rFonts w:hint="eastAsia" w:ascii="宋体" w:hAnsi="宋体"/>
          <w:sz w:val="21"/>
          <w:szCs w:val="21"/>
        </w:rPr>
        <w:t>日</w:t>
      </w:r>
      <w:r>
        <w:rPr>
          <w:rFonts w:hint="eastAsia" w:ascii="宋体" w:hAnsi="宋体"/>
          <w:sz w:val="21"/>
          <w:szCs w:val="21"/>
          <w:lang w:eastAsia="zh-CN"/>
        </w:rPr>
        <w:t>下</w:t>
      </w:r>
      <w:r>
        <w:rPr>
          <w:rFonts w:hint="eastAsia" w:ascii="宋体" w:hAnsi="宋体"/>
          <w:sz w:val="21"/>
          <w:szCs w:val="21"/>
        </w:rPr>
        <w:t>午</w:t>
      </w:r>
      <w:r>
        <w:rPr>
          <w:rFonts w:hint="eastAsia" w:ascii="宋体" w:hAnsi="宋体"/>
          <w:sz w:val="21"/>
          <w:szCs w:val="21"/>
          <w:lang w:val="en-US" w:eastAsia="zh-CN"/>
        </w:rPr>
        <w:t>13</w:t>
      </w:r>
      <w:r>
        <w:rPr>
          <w:rFonts w:hint="eastAsia" w:ascii="宋体" w:hAnsi="宋体"/>
          <w:sz w:val="21"/>
          <w:szCs w:val="21"/>
        </w:rPr>
        <w:t>:30:00</w:t>
      </w:r>
    </w:p>
    <w:p>
      <w:pPr>
        <w:spacing w:line="288" w:lineRule="auto"/>
        <w:rPr>
          <w:rFonts w:ascii="宋体" w:hAnsi="宋体"/>
          <w:sz w:val="21"/>
          <w:szCs w:val="21"/>
        </w:rPr>
      </w:pPr>
      <w:r>
        <w:rPr>
          <w:rFonts w:hint="eastAsia" w:ascii="宋体" w:hAnsi="宋体"/>
          <w:b/>
          <w:sz w:val="24"/>
        </w:rPr>
        <w:t>十一、磋商地点：</w:t>
      </w:r>
      <w:r>
        <w:rPr>
          <w:rFonts w:hint="eastAsia" w:ascii="宋体" w:hAnsi="宋体"/>
          <w:sz w:val="21"/>
          <w:szCs w:val="21"/>
        </w:rPr>
        <w:t>杭州市西湖区玉古路173号中田大厦16楼求是招标会议室</w:t>
      </w:r>
    </w:p>
    <w:p>
      <w:pPr>
        <w:spacing w:line="288" w:lineRule="auto"/>
        <w:rPr>
          <w:rFonts w:ascii="宋体" w:hAnsi="宋体"/>
          <w:sz w:val="21"/>
          <w:szCs w:val="21"/>
        </w:rPr>
      </w:pPr>
      <w:r>
        <w:rPr>
          <w:rFonts w:hint="eastAsia" w:ascii="宋体" w:hAnsi="宋体"/>
          <w:b/>
          <w:sz w:val="24"/>
        </w:rPr>
        <w:t>十二、公告期限：</w:t>
      </w:r>
      <w:r>
        <w:rPr>
          <w:rFonts w:hint="eastAsia" w:ascii="宋体" w:hAnsi="宋体"/>
          <w:sz w:val="21"/>
          <w:szCs w:val="21"/>
        </w:rPr>
        <w:t>3个工作日</w:t>
      </w:r>
    </w:p>
    <w:p>
      <w:pPr>
        <w:spacing w:line="288" w:lineRule="auto"/>
        <w:rPr>
          <w:rFonts w:ascii="宋体" w:hAnsi="宋体"/>
          <w:b/>
          <w:sz w:val="24"/>
        </w:rPr>
      </w:pPr>
      <w:r>
        <w:rPr>
          <w:rFonts w:hint="eastAsia" w:ascii="宋体" w:hAnsi="宋体"/>
          <w:b/>
          <w:sz w:val="24"/>
        </w:rPr>
        <w:t>十三、其他事项：</w:t>
      </w:r>
    </w:p>
    <w:p>
      <w:pPr>
        <w:spacing w:line="288" w:lineRule="auto"/>
        <w:ind w:firstLine="422" w:firstLineChars="200"/>
        <w:rPr>
          <w:rFonts w:ascii="宋体" w:hAnsi="宋体"/>
          <w:b/>
          <w:bCs/>
          <w:sz w:val="21"/>
          <w:szCs w:val="21"/>
        </w:rPr>
      </w:pPr>
      <w:bookmarkStart w:id="2" w:name="_Toc4595"/>
      <w:r>
        <w:rPr>
          <w:rFonts w:ascii="宋体" w:hAnsi="宋体"/>
          <w:b/>
          <w:bCs/>
          <w:sz w:val="21"/>
          <w:szCs w:val="21"/>
        </w:rPr>
        <w:t>1.</w:t>
      </w:r>
      <w:r>
        <w:rPr>
          <w:rFonts w:hint="eastAsia" w:ascii="宋体" w:hAnsi="宋体"/>
          <w:b/>
          <w:bCs/>
          <w:sz w:val="21"/>
          <w:szCs w:val="21"/>
        </w:rPr>
        <w:t>质疑和投诉：</w:t>
      </w:r>
      <w:bookmarkEnd w:id="2"/>
    </w:p>
    <w:p>
      <w:pPr>
        <w:spacing w:line="288" w:lineRule="auto"/>
        <w:ind w:firstLine="420" w:firstLineChars="200"/>
        <w:rPr>
          <w:rFonts w:ascii="宋体" w:hAnsi="宋体"/>
          <w:sz w:val="21"/>
          <w:szCs w:val="21"/>
        </w:rPr>
      </w:pPr>
      <w:r>
        <w:rPr>
          <w:rFonts w:hint="eastAsia" w:ascii="宋体" w:hAnsi="宋体"/>
          <w:sz w:val="21"/>
          <w:szCs w:val="21"/>
        </w:rPr>
        <w:t>供应商依法获取磋商文件后认为磋商文件使自己的权益受到损害的，可以自收到磋商文件之日（发售截止日之后收到磋商文件的，以发售截止日为准）或者磋商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bCs/>
          <w:sz w:val="21"/>
          <w:szCs w:val="21"/>
        </w:rPr>
      </w:pPr>
      <w:bookmarkStart w:id="3" w:name="_Toc547"/>
      <w:r>
        <w:rPr>
          <w:rFonts w:hint="eastAsia" w:ascii="宋体" w:hAnsi="宋体"/>
          <w:b/>
          <w:bCs/>
          <w:sz w:val="21"/>
          <w:szCs w:val="21"/>
        </w:rPr>
        <w:t>2.采购项目需要落实的政府采购政策：</w:t>
      </w:r>
      <w:bookmarkEnd w:id="3"/>
    </w:p>
    <w:p>
      <w:pPr>
        <w:spacing w:line="288" w:lineRule="auto"/>
        <w:ind w:firstLine="420" w:firstLineChars="200"/>
        <w:rPr>
          <w:rFonts w:ascii="宋体" w:hAnsi="宋体"/>
          <w:sz w:val="21"/>
          <w:szCs w:val="21"/>
        </w:rPr>
      </w:pPr>
      <w:bookmarkStart w:id="4" w:name="_Toc30654"/>
      <w:r>
        <w:rPr>
          <w:rFonts w:hint="eastAsia" w:ascii="宋体" w:hAnsi="宋体"/>
          <w:sz w:val="21"/>
          <w:szCs w:val="21"/>
        </w:rPr>
        <w:t>1）政府采购促进中小企业发展</w:t>
      </w:r>
      <w:bookmarkEnd w:id="4"/>
    </w:p>
    <w:p>
      <w:pPr>
        <w:spacing w:line="288" w:lineRule="auto"/>
        <w:ind w:firstLine="420" w:firstLineChars="200"/>
        <w:rPr>
          <w:rFonts w:ascii="宋体" w:hAnsi="宋体"/>
          <w:sz w:val="21"/>
          <w:szCs w:val="21"/>
        </w:rPr>
      </w:pPr>
      <w:bookmarkStart w:id="5" w:name="_Toc21083"/>
      <w:r>
        <w:rPr>
          <w:rFonts w:hint="eastAsia" w:ascii="宋体" w:hAnsi="宋体"/>
          <w:sz w:val="21"/>
          <w:szCs w:val="21"/>
        </w:rPr>
        <w:t>2）政府采购支持监狱企业发展</w:t>
      </w:r>
      <w:bookmarkEnd w:id="5"/>
    </w:p>
    <w:p>
      <w:pPr>
        <w:spacing w:line="288" w:lineRule="auto"/>
        <w:ind w:firstLine="420" w:firstLineChars="200"/>
        <w:rPr>
          <w:rFonts w:ascii="宋体" w:hAnsi="宋体"/>
          <w:sz w:val="21"/>
          <w:szCs w:val="21"/>
        </w:rPr>
      </w:pPr>
      <w:bookmarkStart w:id="6" w:name="_Toc9829"/>
      <w:r>
        <w:rPr>
          <w:rFonts w:hint="eastAsia" w:ascii="宋体" w:hAnsi="宋体"/>
          <w:sz w:val="21"/>
          <w:szCs w:val="21"/>
        </w:rPr>
        <w:t>3）政府采购促进残疾人就业</w:t>
      </w:r>
      <w:bookmarkEnd w:id="6"/>
    </w:p>
    <w:p>
      <w:pPr>
        <w:spacing w:line="288" w:lineRule="auto"/>
        <w:ind w:firstLine="420" w:firstLineChars="200"/>
        <w:rPr>
          <w:rFonts w:ascii="宋体" w:hAnsi="宋体"/>
          <w:sz w:val="21"/>
          <w:szCs w:val="21"/>
        </w:rPr>
      </w:pPr>
      <w:r>
        <w:rPr>
          <w:rFonts w:hint="eastAsia" w:ascii="宋体" w:hAnsi="宋体"/>
          <w:sz w:val="21"/>
          <w:szCs w:val="21"/>
        </w:rPr>
        <w:t>4）政府强制采购节能产品</w:t>
      </w:r>
    </w:p>
    <w:p>
      <w:pPr>
        <w:spacing w:line="288" w:lineRule="auto"/>
        <w:ind w:firstLine="420" w:firstLineChars="200"/>
        <w:rPr>
          <w:rFonts w:ascii="宋体" w:hAnsi="宋体"/>
          <w:sz w:val="21"/>
          <w:szCs w:val="21"/>
        </w:rPr>
      </w:pPr>
      <w:r>
        <w:rPr>
          <w:rFonts w:hint="eastAsia" w:ascii="宋体" w:hAnsi="宋体"/>
          <w:sz w:val="21"/>
          <w:szCs w:val="21"/>
        </w:rPr>
        <w:t>5）政府优先采购节能、环保产品</w:t>
      </w:r>
    </w:p>
    <w:p>
      <w:pPr>
        <w:spacing w:line="288" w:lineRule="auto"/>
        <w:ind w:firstLine="422" w:firstLineChars="200"/>
        <w:rPr>
          <w:rFonts w:ascii="宋体" w:hAnsi="宋体"/>
          <w:b/>
          <w:bCs/>
          <w:sz w:val="21"/>
          <w:szCs w:val="21"/>
        </w:rPr>
      </w:pPr>
      <w:bookmarkStart w:id="7" w:name="_Toc19405"/>
      <w:r>
        <w:rPr>
          <w:rFonts w:hint="eastAsia" w:ascii="宋体" w:hAnsi="宋体"/>
          <w:b/>
          <w:bCs/>
          <w:sz w:val="21"/>
          <w:szCs w:val="21"/>
        </w:rPr>
        <w:t>3.</w:t>
      </w:r>
      <w:r>
        <w:rPr>
          <w:rFonts w:ascii="宋体" w:hAnsi="宋体"/>
          <w:b/>
          <w:bCs/>
          <w:sz w:val="21"/>
          <w:szCs w:val="21"/>
        </w:rPr>
        <w:t>其他事项</w:t>
      </w:r>
      <w:r>
        <w:rPr>
          <w:rFonts w:hint="eastAsia" w:ascii="宋体" w:hAnsi="宋体"/>
          <w:b/>
          <w:bCs/>
          <w:sz w:val="21"/>
          <w:szCs w:val="21"/>
        </w:rPr>
        <w:t>：</w:t>
      </w:r>
      <w:bookmarkEnd w:id="7"/>
    </w:p>
    <w:p>
      <w:pPr>
        <w:spacing w:line="288" w:lineRule="auto"/>
        <w:ind w:firstLine="420" w:firstLineChars="200"/>
        <w:rPr>
          <w:rFonts w:ascii="宋体" w:hAnsi="宋体"/>
          <w:sz w:val="21"/>
          <w:szCs w:val="21"/>
        </w:rPr>
      </w:pPr>
      <w:r>
        <w:rPr>
          <w:rFonts w:hint="eastAsia" w:ascii="宋体" w:hAnsi="宋体"/>
          <w:sz w:val="21"/>
          <w:szCs w:val="21"/>
        </w:rPr>
        <w:t>信用记录：根据财库[2016]125号《关于在政府采购活动中查询及使用信用记录有关问题的通知》要求，采购代理机构会对供应商信用记录进行查询并甄别。</w:t>
      </w:r>
    </w:p>
    <w:p>
      <w:pPr>
        <w:numPr>
          <w:ilvl w:val="0"/>
          <w:numId w:val="1"/>
        </w:numPr>
        <w:spacing w:line="288" w:lineRule="auto"/>
        <w:ind w:firstLine="420" w:firstLineChars="200"/>
        <w:rPr>
          <w:rFonts w:ascii="宋体" w:hAnsi="宋体"/>
          <w:sz w:val="21"/>
          <w:szCs w:val="21"/>
        </w:rPr>
      </w:pPr>
      <w:r>
        <w:rPr>
          <w:rFonts w:hint="eastAsia" w:ascii="宋体" w:hAnsi="宋体"/>
          <w:sz w:val="21"/>
          <w:szCs w:val="21"/>
        </w:rPr>
        <w:t>信用信息查询的截止时点：响应文件提交截止时间；</w:t>
      </w:r>
    </w:p>
    <w:p>
      <w:pPr>
        <w:numPr>
          <w:ilvl w:val="0"/>
          <w:numId w:val="1"/>
        </w:numPr>
        <w:spacing w:line="288" w:lineRule="auto"/>
        <w:ind w:firstLine="420" w:firstLineChars="200"/>
        <w:rPr>
          <w:rFonts w:ascii="宋体" w:hAnsi="宋体"/>
          <w:sz w:val="21"/>
          <w:szCs w:val="21"/>
        </w:rPr>
      </w:pPr>
      <w:r>
        <w:rPr>
          <w:rFonts w:hint="eastAsia" w:ascii="宋体" w:hAnsi="宋体"/>
          <w:sz w:val="21"/>
          <w:szCs w:val="21"/>
        </w:rPr>
        <w:t>查询渠道：“信用中国”（www.creditchina.gov.cn）、“中国政府采购网”（www.ccgp.gov.cn）；</w:t>
      </w:r>
    </w:p>
    <w:p>
      <w:pPr>
        <w:numPr>
          <w:ilvl w:val="0"/>
          <w:numId w:val="1"/>
        </w:numPr>
        <w:spacing w:line="288" w:lineRule="auto"/>
        <w:ind w:firstLine="420" w:firstLineChars="200"/>
        <w:rPr>
          <w:rFonts w:ascii="宋体" w:hAnsi="宋体"/>
          <w:sz w:val="21"/>
          <w:szCs w:val="21"/>
        </w:rPr>
      </w:pPr>
      <w:r>
        <w:rPr>
          <w:rFonts w:hint="eastAsia" w:ascii="宋体" w:hAnsi="宋体"/>
          <w:sz w:val="21"/>
          <w:szCs w:val="21"/>
        </w:rPr>
        <w:t>信用信息查询记录和证据留存具体方式：采购代理机构经办人和监督人员将查询网页打印、签字与其他采购文件一并保存；</w:t>
      </w:r>
    </w:p>
    <w:p>
      <w:pPr>
        <w:numPr>
          <w:ilvl w:val="0"/>
          <w:numId w:val="1"/>
        </w:numPr>
        <w:spacing w:line="288" w:lineRule="auto"/>
        <w:ind w:firstLine="420" w:firstLineChars="200"/>
        <w:rPr>
          <w:rFonts w:ascii="宋体" w:hAnsi="宋体"/>
          <w:sz w:val="21"/>
          <w:szCs w:val="21"/>
        </w:rPr>
      </w:pPr>
      <w:r>
        <w:rPr>
          <w:rFonts w:hint="eastAsia" w:ascii="宋体" w:hAnsi="宋体"/>
          <w:sz w:val="21"/>
          <w:szCs w:val="21"/>
        </w:rPr>
        <w:t>信用信息的使用规则：供应商存在不良信用记录的，其响应将被作为无效处理。</w:t>
      </w:r>
    </w:p>
    <w:p>
      <w:pPr>
        <w:spacing w:line="288" w:lineRule="auto"/>
        <w:ind w:firstLine="420" w:firstLineChars="200"/>
        <w:rPr>
          <w:rFonts w:ascii="宋体" w:hAnsi="宋体"/>
          <w:sz w:val="21"/>
          <w:szCs w:val="21"/>
        </w:rPr>
      </w:pPr>
      <w:r>
        <w:rPr>
          <w:rFonts w:hint="eastAsia" w:ascii="宋体" w:hAnsi="宋体"/>
          <w:sz w:val="21"/>
          <w:szCs w:val="21"/>
        </w:rPr>
        <w:t>不良信用记录指：被列入失信被执行人、重大税收违法案件当事人名单、政府采购严重违法失信行为记录名单。</w:t>
      </w:r>
    </w:p>
    <w:p>
      <w:pPr>
        <w:spacing w:line="288" w:lineRule="auto"/>
        <w:ind w:firstLine="422" w:firstLineChars="200"/>
      </w:pPr>
      <w:r>
        <w:rPr>
          <w:rFonts w:hint="eastAsia" w:ascii="宋体" w:hAnsi="宋体"/>
          <w:b/>
          <w:bCs/>
          <w:sz w:val="21"/>
          <w:szCs w:val="21"/>
        </w:rPr>
        <w:t>4.磋商保证金：</w:t>
      </w:r>
      <w:r>
        <w:rPr>
          <w:rFonts w:hint="eastAsia" w:ascii="宋体" w:hAnsi="宋体"/>
          <w:sz w:val="21"/>
          <w:szCs w:val="21"/>
        </w:rPr>
        <w:t>本项目无磋商保证金。</w:t>
      </w:r>
    </w:p>
    <w:p>
      <w:pPr>
        <w:spacing w:line="288" w:lineRule="auto"/>
        <w:rPr>
          <w:rFonts w:ascii="宋体" w:hAnsi="宋体"/>
          <w:b/>
          <w:sz w:val="24"/>
        </w:rPr>
      </w:pPr>
      <w:r>
        <w:rPr>
          <w:rFonts w:hint="eastAsia" w:ascii="宋体" w:hAnsi="宋体"/>
          <w:b/>
          <w:sz w:val="24"/>
        </w:rPr>
        <w:t>十四、联系方式:</w:t>
      </w:r>
    </w:p>
    <w:p>
      <w:pPr>
        <w:spacing w:line="288" w:lineRule="auto"/>
        <w:ind w:firstLine="420" w:firstLineChars="200"/>
        <w:rPr>
          <w:rFonts w:ascii="宋体" w:hAnsi="宋体"/>
          <w:sz w:val="21"/>
          <w:szCs w:val="21"/>
        </w:rPr>
      </w:pPr>
      <w:bookmarkStart w:id="8" w:name="_Toc32532"/>
      <w:bookmarkStart w:id="9" w:name="_Toc2363"/>
      <w:r>
        <w:rPr>
          <w:rFonts w:hint="eastAsia" w:ascii="宋体" w:hAnsi="宋体"/>
          <w:sz w:val="21"/>
          <w:szCs w:val="21"/>
        </w:rPr>
        <w:t>1.采购人名称：</w:t>
      </w:r>
      <w:bookmarkEnd w:id="8"/>
      <w:r>
        <w:rPr>
          <w:rFonts w:hint="eastAsia" w:ascii="宋体" w:hAnsi="宋体"/>
          <w:sz w:val="21"/>
          <w:szCs w:val="21"/>
        </w:rPr>
        <w:t>中国美术学院</w:t>
      </w:r>
    </w:p>
    <w:p>
      <w:pPr>
        <w:spacing w:line="288" w:lineRule="auto"/>
        <w:ind w:firstLine="630" w:firstLineChars="300"/>
        <w:rPr>
          <w:rFonts w:ascii="宋体" w:hAnsi="宋体"/>
          <w:sz w:val="21"/>
          <w:szCs w:val="21"/>
        </w:rPr>
      </w:pPr>
      <w:r>
        <w:rPr>
          <w:rFonts w:hint="eastAsia" w:ascii="宋体" w:hAnsi="宋体"/>
          <w:sz w:val="21"/>
          <w:szCs w:val="21"/>
        </w:rPr>
        <w:t>地址：杭州市南山路218号</w:t>
      </w:r>
    </w:p>
    <w:p>
      <w:pPr>
        <w:spacing w:line="288" w:lineRule="auto"/>
        <w:ind w:firstLine="630" w:firstLineChars="300"/>
        <w:rPr>
          <w:rFonts w:ascii="宋体" w:hAnsi="宋体"/>
          <w:sz w:val="21"/>
          <w:szCs w:val="21"/>
        </w:rPr>
      </w:pPr>
      <w:r>
        <w:rPr>
          <w:rFonts w:hint="eastAsia" w:ascii="宋体" w:hAnsi="宋体"/>
          <w:sz w:val="21"/>
          <w:szCs w:val="21"/>
        </w:rPr>
        <w:t>联系人：陈老师</w:t>
      </w:r>
    </w:p>
    <w:p>
      <w:pPr>
        <w:spacing w:line="288" w:lineRule="auto"/>
        <w:ind w:firstLine="630" w:firstLineChars="300"/>
        <w:rPr>
          <w:rFonts w:ascii="宋体" w:hAnsi="宋体"/>
          <w:sz w:val="21"/>
          <w:szCs w:val="21"/>
        </w:rPr>
      </w:pPr>
      <w:r>
        <w:rPr>
          <w:rFonts w:hint="eastAsia" w:ascii="宋体" w:hAnsi="宋体"/>
          <w:sz w:val="21"/>
          <w:szCs w:val="21"/>
        </w:rPr>
        <w:t>联系方式：0571-87164696</w:t>
      </w:r>
    </w:p>
    <w:p>
      <w:pPr>
        <w:spacing w:line="288" w:lineRule="auto"/>
        <w:ind w:firstLine="630" w:firstLineChars="300"/>
        <w:rPr>
          <w:rFonts w:ascii="宋体" w:hAnsi="宋体"/>
          <w:sz w:val="21"/>
          <w:szCs w:val="21"/>
        </w:rPr>
      </w:pPr>
      <w:r>
        <w:rPr>
          <w:rFonts w:hint="eastAsia" w:ascii="宋体" w:hAnsi="宋体"/>
          <w:sz w:val="21"/>
          <w:szCs w:val="21"/>
        </w:rPr>
        <w:t>采购项目联系人：张老师</w:t>
      </w:r>
    </w:p>
    <w:p>
      <w:pPr>
        <w:spacing w:line="288" w:lineRule="auto"/>
        <w:ind w:firstLine="630" w:firstLineChars="300"/>
        <w:rPr>
          <w:rFonts w:ascii="宋体" w:hAnsi="宋体"/>
          <w:sz w:val="21"/>
          <w:szCs w:val="21"/>
        </w:rPr>
      </w:pPr>
      <w:r>
        <w:rPr>
          <w:rFonts w:hint="eastAsia" w:ascii="宋体" w:hAnsi="宋体"/>
          <w:sz w:val="21"/>
          <w:szCs w:val="21"/>
        </w:rPr>
        <w:t>采购联系方式：0571-87200939</w:t>
      </w:r>
    </w:p>
    <w:p>
      <w:pPr>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采购代理机构名称：浙江求是招标代理有限公司</w:t>
      </w:r>
      <w:bookmarkEnd w:id="9"/>
    </w:p>
    <w:p>
      <w:pPr>
        <w:spacing w:line="288" w:lineRule="auto"/>
        <w:ind w:firstLine="630" w:firstLineChars="300"/>
        <w:rPr>
          <w:rFonts w:ascii="宋体" w:hAnsi="宋体"/>
          <w:sz w:val="21"/>
          <w:szCs w:val="21"/>
        </w:rPr>
      </w:pPr>
      <w:r>
        <w:rPr>
          <w:rFonts w:hint="eastAsia" w:ascii="宋体" w:hAnsi="宋体"/>
          <w:sz w:val="21"/>
          <w:szCs w:val="21"/>
        </w:rPr>
        <w:t>地址：杭州市西湖区玉古路173号中田大厦16楼</w:t>
      </w:r>
    </w:p>
    <w:p>
      <w:pPr>
        <w:spacing w:line="288" w:lineRule="auto"/>
        <w:ind w:firstLine="630" w:firstLineChars="300"/>
        <w:rPr>
          <w:rFonts w:ascii="宋体" w:hAnsi="宋体"/>
          <w:sz w:val="21"/>
          <w:szCs w:val="21"/>
        </w:rPr>
      </w:pPr>
      <w:r>
        <w:rPr>
          <w:rFonts w:hint="eastAsia" w:ascii="宋体" w:hAnsi="宋体"/>
          <w:sz w:val="21"/>
          <w:szCs w:val="21"/>
        </w:rPr>
        <w:t>获取文件联系人：於路莹</w:t>
      </w:r>
    </w:p>
    <w:p>
      <w:pPr>
        <w:spacing w:line="288" w:lineRule="auto"/>
        <w:ind w:firstLine="630" w:firstLineChars="300"/>
        <w:rPr>
          <w:rFonts w:ascii="宋体" w:hAnsi="宋体"/>
          <w:sz w:val="21"/>
          <w:szCs w:val="21"/>
        </w:rPr>
      </w:pPr>
      <w:r>
        <w:rPr>
          <w:rFonts w:hint="eastAsia" w:ascii="宋体" w:hAnsi="宋体"/>
          <w:sz w:val="21"/>
          <w:szCs w:val="21"/>
        </w:rPr>
        <w:t>联系方法：0571-87666112</w:t>
      </w:r>
    </w:p>
    <w:p>
      <w:pPr>
        <w:spacing w:line="288" w:lineRule="auto"/>
        <w:ind w:firstLine="630" w:firstLineChars="300"/>
        <w:rPr>
          <w:rFonts w:ascii="宋体" w:hAnsi="宋体"/>
          <w:sz w:val="21"/>
          <w:szCs w:val="21"/>
        </w:rPr>
      </w:pPr>
      <w:r>
        <w:rPr>
          <w:rFonts w:hint="eastAsia" w:ascii="宋体" w:hAnsi="宋体"/>
          <w:sz w:val="21"/>
          <w:szCs w:val="21"/>
        </w:rPr>
        <w:t>传真：0571-87666116</w:t>
      </w:r>
    </w:p>
    <w:p>
      <w:pPr>
        <w:spacing w:line="288" w:lineRule="auto"/>
        <w:ind w:firstLine="630" w:firstLineChars="300"/>
        <w:rPr>
          <w:rFonts w:ascii="宋体" w:hAnsi="宋体"/>
          <w:sz w:val="21"/>
          <w:szCs w:val="21"/>
        </w:rPr>
      </w:pPr>
      <w:r>
        <w:rPr>
          <w:rFonts w:hint="eastAsia" w:ascii="宋体" w:hAnsi="宋体"/>
          <w:sz w:val="21"/>
          <w:szCs w:val="21"/>
        </w:rPr>
        <w:t>获取文件二维码：详见附件</w:t>
      </w:r>
    </w:p>
    <w:p>
      <w:pPr>
        <w:spacing w:line="288" w:lineRule="auto"/>
        <w:ind w:firstLine="630" w:firstLineChars="300"/>
        <w:rPr>
          <w:rFonts w:ascii="宋体" w:hAnsi="宋体"/>
          <w:sz w:val="21"/>
          <w:szCs w:val="21"/>
        </w:rPr>
      </w:pPr>
      <w:r>
        <w:rPr>
          <w:rFonts w:hint="eastAsia" w:ascii="宋体" w:hAnsi="宋体"/>
          <w:sz w:val="21"/>
          <w:szCs w:val="21"/>
        </w:rPr>
        <w:t>业务联系人：陈培特</w:t>
      </w:r>
    </w:p>
    <w:p>
      <w:pPr>
        <w:spacing w:line="288" w:lineRule="auto"/>
        <w:ind w:firstLine="630" w:firstLineChars="300"/>
        <w:rPr>
          <w:rFonts w:ascii="宋体" w:hAnsi="宋体"/>
          <w:sz w:val="21"/>
          <w:szCs w:val="21"/>
        </w:rPr>
      </w:pPr>
      <w:r>
        <w:rPr>
          <w:rFonts w:hint="eastAsia" w:ascii="宋体" w:hAnsi="宋体"/>
          <w:sz w:val="21"/>
          <w:szCs w:val="21"/>
        </w:rPr>
        <w:t>联系方法：0571-87666115</w:t>
      </w:r>
    </w:p>
    <w:p>
      <w:pPr>
        <w:spacing w:line="288" w:lineRule="auto"/>
        <w:ind w:firstLine="630" w:firstLineChars="300"/>
        <w:rPr>
          <w:rFonts w:ascii="宋体" w:hAnsi="宋体"/>
          <w:sz w:val="21"/>
          <w:szCs w:val="21"/>
        </w:rPr>
      </w:pPr>
      <w:r>
        <w:rPr>
          <w:rFonts w:hint="eastAsia" w:ascii="宋体" w:hAnsi="宋体"/>
          <w:sz w:val="21"/>
          <w:szCs w:val="21"/>
        </w:rPr>
        <w:t>采购代理机构质疑联系人：王庆庆</w:t>
      </w:r>
    </w:p>
    <w:p>
      <w:pPr>
        <w:spacing w:line="288" w:lineRule="auto"/>
        <w:ind w:firstLine="630" w:firstLineChars="300"/>
        <w:rPr>
          <w:rFonts w:ascii="宋体" w:hAnsi="宋体"/>
          <w:sz w:val="21"/>
          <w:szCs w:val="21"/>
        </w:rPr>
      </w:pPr>
      <w:r>
        <w:rPr>
          <w:rFonts w:hint="eastAsia" w:ascii="宋体" w:hAnsi="宋体"/>
          <w:sz w:val="21"/>
          <w:szCs w:val="21"/>
        </w:rPr>
        <w:t>联系方法：0571-87666119</w:t>
      </w:r>
    </w:p>
    <w:p>
      <w:pPr>
        <w:spacing w:line="288" w:lineRule="auto"/>
        <w:ind w:firstLine="630" w:firstLineChars="300"/>
        <w:rPr>
          <w:rFonts w:ascii="宋体" w:hAnsi="宋体"/>
          <w:sz w:val="21"/>
          <w:szCs w:val="21"/>
        </w:rPr>
      </w:pPr>
      <w:r>
        <w:rPr>
          <w:rFonts w:hint="eastAsia" w:ascii="宋体" w:hAnsi="宋体"/>
          <w:sz w:val="21"/>
          <w:szCs w:val="21"/>
        </w:rPr>
        <w:t>质疑邮箱：jdkh@qszb.net</w:t>
      </w:r>
    </w:p>
    <w:p>
      <w:pPr>
        <w:spacing w:line="288" w:lineRule="auto"/>
        <w:ind w:firstLine="420" w:firstLineChars="200"/>
        <w:rPr>
          <w:rFonts w:ascii="宋体" w:hAnsi="宋体"/>
          <w:sz w:val="21"/>
          <w:szCs w:val="21"/>
        </w:rPr>
      </w:pPr>
      <w:bookmarkStart w:id="10" w:name="_Toc11651"/>
      <w:r>
        <w:rPr>
          <w:rFonts w:hint="eastAsia" w:ascii="宋体" w:hAnsi="宋体"/>
          <w:sz w:val="21"/>
          <w:szCs w:val="21"/>
        </w:rPr>
        <w:t>3</w:t>
      </w:r>
      <w:r>
        <w:rPr>
          <w:rFonts w:ascii="宋体" w:hAnsi="宋体"/>
          <w:sz w:val="21"/>
          <w:szCs w:val="21"/>
        </w:rPr>
        <w:t>.</w:t>
      </w:r>
      <w:r>
        <w:rPr>
          <w:rFonts w:hint="eastAsia" w:ascii="宋体" w:hAnsi="宋体"/>
          <w:sz w:val="21"/>
          <w:szCs w:val="21"/>
        </w:rPr>
        <w:t>同级政府采购监督管理部门：浙江省财政厅政府采购监管处</w:t>
      </w:r>
      <w:bookmarkEnd w:id="10"/>
    </w:p>
    <w:p>
      <w:pPr>
        <w:spacing w:line="288" w:lineRule="auto"/>
        <w:ind w:firstLine="630" w:firstLineChars="300"/>
        <w:rPr>
          <w:rFonts w:ascii="宋体" w:hAnsi="宋体"/>
          <w:sz w:val="21"/>
          <w:szCs w:val="21"/>
        </w:rPr>
      </w:pPr>
      <w:r>
        <w:rPr>
          <w:rFonts w:hint="eastAsia" w:ascii="宋体" w:hAnsi="宋体"/>
          <w:sz w:val="21"/>
          <w:szCs w:val="21"/>
        </w:rPr>
        <w:t>联系人：倪文良</w:t>
      </w:r>
    </w:p>
    <w:p>
      <w:pPr>
        <w:spacing w:line="288" w:lineRule="auto"/>
        <w:ind w:firstLine="630" w:firstLineChars="300"/>
        <w:rPr>
          <w:rFonts w:ascii="宋体" w:hAnsi="宋体"/>
          <w:sz w:val="21"/>
          <w:szCs w:val="21"/>
        </w:rPr>
      </w:pPr>
      <w:r>
        <w:rPr>
          <w:rFonts w:hint="eastAsia" w:ascii="宋体" w:hAnsi="宋体"/>
          <w:sz w:val="21"/>
          <w:szCs w:val="21"/>
        </w:rPr>
        <w:t>监督投诉电话：0571-87057615</w:t>
      </w:r>
    </w:p>
    <w:p>
      <w:pPr>
        <w:spacing w:line="288" w:lineRule="auto"/>
        <w:ind w:firstLine="630" w:firstLineChars="300"/>
        <w:rPr>
          <w:rFonts w:ascii="宋体" w:hAnsi="宋体"/>
          <w:sz w:val="21"/>
          <w:szCs w:val="21"/>
        </w:rPr>
      </w:pPr>
      <w:r>
        <w:rPr>
          <w:rFonts w:hint="eastAsia" w:ascii="宋体" w:hAnsi="宋体"/>
          <w:sz w:val="21"/>
          <w:szCs w:val="21"/>
        </w:rPr>
        <w:t>地址：杭州市环城西路37号</w:t>
      </w:r>
    </w:p>
    <w:p>
      <w:pPr>
        <w:widowControl/>
        <w:spacing w:line="288" w:lineRule="auto"/>
        <w:ind w:firstLine="396" w:firstLineChars="200"/>
        <w:jc w:val="center"/>
        <w:outlineLvl w:val="0"/>
        <w:rPr>
          <w:rFonts w:ascii="宋体" w:hAnsi="宋体" w:cs="宋体"/>
          <w:spacing w:val="-6"/>
          <w:kern w:val="0"/>
          <w:sz w:val="21"/>
          <w:szCs w:val="21"/>
        </w:rPr>
      </w:pPr>
      <w:r>
        <w:rPr>
          <w:rFonts w:ascii="宋体" w:hAnsi="宋体" w:cs="宋体"/>
          <w:spacing w:val="-6"/>
          <w:kern w:val="0"/>
          <w:sz w:val="21"/>
          <w:szCs w:val="21"/>
        </w:rPr>
        <w:br w:type="page"/>
      </w:r>
      <w:bookmarkStart w:id="11" w:name="_Toc11365"/>
      <w:bookmarkStart w:id="12" w:name="_Toc30215"/>
      <w:r>
        <w:rPr>
          <w:rFonts w:hint="eastAsia" w:ascii="宋体" w:hAnsi="宋体"/>
          <w:b/>
          <w:sz w:val="32"/>
          <w:szCs w:val="32"/>
        </w:rPr>
        <w:t xml:space="preserve">第二章  </w:t>
      </w:r>
      <w:r>
        <w:rPr>
          <w:rFonts w:hint="eastAsia" w:ascii="宋体" w:hAnsi="宋体"/>
          <w:b/>
          <w:bCs/>
          <w:sz w:val="32"/>
          <w:szCs w:val="32"/>
        </w:rPr>
        <w:t>采购需求</w:t>
      </w:r>
      <w:bookmarkEnd w:id="11"/>
      <w:bookmarkEnd w:id="12"/>
    </w:p>
    <w:p>
      <w:pPr>
        <w:spacing w:line="288" w:lineRule="auto"/>
        <w:rPr>
          <w:rFonts w:ascii="宋体" w:hAnsi="宋体" w:cs="宋体"/>
          <w:b/>
          <w:sz w:val="24"/>
        </w:rPr>
      </w:pPr>
      <w:bookmarkStart w:id="13" w:name="_Toc4284"/>
      <w:r>
        <w:rPr>
          <w:rFonts w:hint="eastAsia" w:ascii="宋体" w:hAnsi="宋体" w:cs="宋体"/>
          <w:b/>
          <w:sz w:val="24"/>
        </w:rPr>
        <w:t>一、采购资金的支付方式、时间、条件：</w:t>
      </w:r>
      <w:bookmarkEnd w:id="13"/>
    </w:p>
    <w:p>
      <w:pPr>
        <w:pStyle w:val="78"/>
        <w:spacing w:line="288" w:lineRule="auto"/>
        <w:ind w:firstLine="422" w:firstLineChars="200"/>
        <w:rPr>
          <w:rFonts w:ascii="宋体" w:hAnsi="宋体" w:cs="宋体"/>
          <w:color w:val="auto"/>
          <w:sz w:val="21"/>
          <w:szCs w:val="21"/>
        </w:rPr>
      </w:pPr>
      <w:bookmarkStart w:id="14" w:name="_Toc4674"/>
      <w:r>
        <w:rPr>
          <w:rFonts w:hint="eastAsia" w:ascii="宋体" w:hAnsi="宋体" w:cs="宋体"/>
          <w:b/>
          <w:bCs/>
          <w:color w:val="auto"/>
          <w:sz w:val="21"/>
          <w:szCs w:val="21"/>
        </w:rPr>
        <w:t>1.履约保证金：</w:t>
      </w:r>
      <w:r>
        <w:rPr>
          <w:rFonts w:hint="eastAsia" w:ascii="宋体" w:hAnsi="宋体" w:cs="宋体"/>
          <w:color w:val="auto"/>
          <w:sz w:val="21"/>
          <w:szCs w:val="21"/>
        </w:rPr>
        <w:t>合同总价的5%作为履约保证金</w:t>
      </w:r>
      <w:r>
        <w:rPr>
          <w:rFonts w:hint="eastAsia" w:ascii="宋体" w:hAnsi="宋体"/>
          <w:color w:val="auto"/>
          <w:sz w:val="21"/>
          <w:szCs w:val="21"/>
        </w:rPr>
        <w:t>（提交方式：支票、汇票、本票或者金融机构、担保机构出具的保函等非现金形式）</w:t>
      </w:r>
      <w:r>
        <w:rPr>
          <w:rFonts w:hint="eastAsia" w:ascii="宋体" w:hAnsi="宋体" w:cs="宋体"/>
          <w:color w:val="auto"/>
          <w:sz w:val="21"/>
          <w:szCs w:val="21"/>
        </w:rPr>
        <w:t>，合同签订后七个工作日内由成交供应商提交给采购人，在质保期满后确认成交供应商无违约行为后无息返还给成交供应商（遇寒暑假及国定假日顺延）。</w:t>
      </w:r>
    </w:p>
    <w:p>
      <w:pPr>
        <w:pStyle w:val="78"/>
        <w:spacing w:line="288" w:lineRule="auto"/>
        <w:ind w:firstLine="422" w:firstLineChars="200"/>
        <w:rPr>
          <w:rFonts w:ascii="宋体" w:hAnsi="宋体" w:cs="宋体"/>
          <w:color w:val="auto"/>
          <w:sz w:val="21"/>
          <w:szCs w:val="21"/>
        </w:rPr>
      </w:pPr>
      <w:r>
        <w:rPr>
          <w:rFonts w:hint="eastAsia" w:ascii="宋体" w:hAnsi="宋体" w:cs="宋体"/>
          <w:b/>
          <w:bCs/>
          <w:color w:val="auto"/>
          <w:sz w:val="21"/>
          <w:szCs w:val="21"/>
        </w:rPr>
        <w:t>2.付款方式：</w:t>
      </w:r>
      <w:r>
        <w:rPr>
          <w:rFonts w:hint="eastAsia" w:ascii="宋体" w:hAnsi="宋体" w:cs="宋体"/>
          <w:bCs/>
          <w:color w:val="auto"/>
          <w:sz w:val="21"/>
          <w:szCs w:val="21"/>
        </w:rPr>
        <w:t>合同签署后支付合同价款的</w:t>
      </w:r>
      <w:r>
        <w:rPr>
          <w:rFonts w:ascii="宋体" w:hAnsi="宋体" w:cs="宋体"/>
          <w:bCs/>
          <w:color w:val="auto"/>
          <w:sz w:val="21"/>
          <w:szCs w:val="21"/>
        </w:rPr>
        <w:t>30%</w:t>
      </w:r>
      <w:r>
        <w:rPr>
          <w:rFonts w:hint="eastAsia" w:ascii="宋体" w:hAnsi="宋体" w:cs="宋体"/>
          <w:bCs/>
          <w:color w:val="auto"/>
          <w:sz w:val="21"/>
          <w:szCs w:val="21"/>
        </w:rPr>
        <w:t>，</w:t>
      </w:r>
      <w:r>
        <w:rPr>
          <w:rFonts w:hint="eastAsia" w:ascii="宋体" w:hAnsi="宋体" w:cs="宋体"/>
          <w:color w:val="auto"/>
          <w:sz w:val="21"/>
          <w:szCs w:val="21"/>
        </w:rPr>
        <w:t>设备到货、安装、验收合格后一个月内，采购人支付</w:t>
      </w:r>
      <w:r>
        <w:rPr>
          <w:rFonts w:hint="eastAsia" w:ascii="宋体" w:hAnsi="宋体" w:cs="宋体"/>
          <w:bCs/>
          <w:color w:val="auto"/>
          <w:sz w:val="21"/>
          <w:szCs w:val="21"/>
        </w:rPr>
        <w:t>合同价款的7</w:t>
      </w:r>
      <w:r>
        <w:rPr>
          <w:rFonts w:ascii="宋体" w:hAnsi="宋体" w:cs="宋体"/>
          <w:bCs/>
          <w:color w:val="auto"/>
          <w:sz w:val="21"/>
          <w:szCs w:val="21"/>
        </w:rPr>
        <w:t>0%</w:t>
      </w:r>
      <w:r>
        <w:rPr>
          <w:rFonts w:hint="eastAsia" w:ascii="宋体" w:hAnsi="宋体"/>
          <w:color w:val="auto"/>
          <w:sz w:val="21"/>
          <w:szCs w:val="21"/>
        </w:rPr>
        <w:t>。</w:t>
      </w:r>
    </w:p>
    <w:p>
      <w:pPr>
        <w:spacing w:line="288" w:lineRule="auto"/>
        <w:rPr>
          <w:rFonts w:ascii="宋体" w:hAnsi="宋体"/>
          <w:b/>
          <w:sz w:val="24"/>
        </w:rPr>
      </w:pPr>
    </w:p>
    <w:p>
      <w:pPr>
        <w:spacing w:line="288" w:lineRule="auto"/>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服务</w:t>
      </w:r>
      <w:r>
        <w:rPr>
          <w:rFonts w:ascii="宋体" w:hAnsi="宋体"/>
          <w:b/>
          <w:sz w:val="24"/>
        </w:rPr>
        <w:t>要求</w:t>
      </w:r>
      <w:r>
        <w:rPr>
          <w:rFonts w:hint="eastAsia" w:ascii="宋体" w:hAnsi="宋体"/>
          <w:b/>
          <w:sz w:val="24"/>
        </w:rPr>
        <w:t>（技术要求里另有注明的以技术要求为准）</w:t>
      </w:r>
      <w:r>
        <w:rPr>
          <w:rFonts w:ascii="宋体" w:hAnsi="宋体"/>
          <w:b/>
          <w:sz w:val="24"/>
        </w:rPr>
        <w:t>：</w:t>
      </w:r>
      <w:bookmarkEnd w:id="14"/>
    </w:p>
    <w:tbl>
      <w:tblPr>
        <w:tblStyle w:val="2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质保期</w:t>
            </w:r>
          </w:p>
        </w:tc>
        <w:tc>
          <w:tcPr>
            <w:tcW w:w="7371"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z w:val="21"/>
                <w:szCs w:val="21"/>
              </w:rPr>
              <w:t>服务标准</w:t>
            </w:r>
          </w:p>
        </w:tc>
        <w:tc>
          <w:tcPr>
            <w:tcW w:w="7371"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质保期内因不能排除的故障而影响工作的情况每发生一次，其质保期相应延长60天，质保期内因货物本身缺陷造成各种故障应由</w:t>
            </w:r>
            <w:r>
              <w:rPr>
                <w:rFonts w:hint="eastAsia" w:ascii="宋体" w:hAnsi="宋体" w:cs="宋体"/>
                <w:sz w:val="21"/>
                <w:szCs w:val="21"/>
              </w:rPr>
              <w:t>成交供应商</w:t>
            </w:r>
            <w:r>
              <w:rPr>
                <w:rFonts w:hint="eastAsia" w:ascii="宋体" w:hAnsi="宋体"/>
                <w:sz w:val="21"/>
                <w:szCs w:val="21"/>
              </w:rPr>
              <w:t>免费予以更换，否则将扣除质量保证金作为对采购人的补偿。质保期满后，仅收取零配件成本费用，免人工费、差旅费，所涉及软件终身免费升级。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服务</w:t>
            </w:r>
            <w:r>
              <w:rPr>
                <w:rFonts w:ascii="宋体" w:hAnsi="宋体"/>
                <w:sz w:val="21"/>
                <w:szCs w:val="21"/>
              </w:rPr>
              <w:t>效率</w:t>
            </w:r>
          </w:p>
        </w:tc>
        <w:tc>
          <w:tcPr>
            <w:tcW w:w="737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合同货物出现故障后，</w:t>
            </w:r>
            <w:r>
              <w:rPr>
                <w:rFonts w:hint="eastAsia" w:ascii="宋体" w:hAnsi="宋体" w:cs="宋体"/>
                <w:sz w:val="21"/>
                <w:szCs w:val="21"/>
              </w:rPr>
              <w:t>成交供应商</w:t>
            </w:r>
            <w:r>
              <w:rPr>
                <w:rFonts w:hint="eastAsia" w:ascii="宋体" w:hAnsi="宋体"/>
                <w:sz w:val="21"/>
                <w:szCs w:val="21"/>
              </w:rPr>
              <w:t>接到采购人通知应在不超过2小时内做出响应，不超过2个工作日内解决故障。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交付时间和地点</w:t>
            </w:r>
          </w:p>
        </w:tc>
        <w:tc>
          <w:tcPr>
            <w:tcW w:w="7371"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交付时间：中标后一月内完成设备交付。</w:t>
            </w:r>
          </w:p>
          <w:p>
            <w:pPr>
              <w:rPr>
                <w:rFonts w:ascii="宋体" w:hAnsi="宋体"/>
                <w:spacing w:val="-6"/>
                <w:sz w:val="21"/>
                <w:szCs w:val="21"/>
              </w:rPr>
            </w:pPr>
            <w:r>
              <w:rPr>
                <w:rFonts w:hint="eastAsia" w:ascii="宋体" w:hAnsi="宋体"/>
                <w:spacing w:val="-6"/>
                <w:sz w:val="21"/>
                <w:szCs w:val="21"/>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验收</w:t>
            </w:r>
            <w:r>
              <w:rPr>
                <w:rFonts w:ascii="宋体" w:hAnsi="宋体"/>
                <w:spacing w:val="-6"/>
                <w:sz w:val="21"/>
                <w:szCs w:val="21"/>
              </w:rPr>
              <w:t>标准</w:t>
            </w:r>
          </w:p>
        </w:tc>
        <w:tc>
          <w:tcPr>
            <w:tcW w:w="737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cs="宋体"/>
                <w:sz w:val="21"/>
                <w:szCs w:val="21"/>
              </w:rPr>
              <w:t>成交供应商</w:t>
            </w:r>
            <w:r>
              <w:rPr>
                <w:rFonts w:hint="eastAsia" w:ascii="宋体" w:hAnsi="宋体"/>
                <w:sz w:val="21"/>
                <w:szCs w:val="21"/>
              </w:rPr>
              <w:t>应提供合同货物的有效检验文件，经采购人认可后，与合同的性能指标一起作为合同货物验收标准。采购人对样品（如有）验收合格后，双方共同签署验收样品合格证书，在合同期限内采购人将对</w:t>
            </w:r>
            <w:r>
              <w:rPr>
                <w:rFonts w:hint="eastAsia" w:ascii="宋体" w:hAnsi="宋体" w:cs="宋体"/>
                <w:sz w:val="21"/>
                <w:szCs w:val="21"/>
              </w:rPr>
              <w:t>成交供应商</w:t>
            </w:r>
            <w:r>
              <w:rPr>
                <w:rFonts w:hint="eastAsia" w:ascii="宋体" w:hAnsi="宋体"/>
                <w:sz w:val="21"/>
                <w:szCs w:val="21"/>
              </w:rPr>
              <w:t>提供的货物进行抽检验收，验收中发现合同货物达不到样品验收标准或合同规定的性能指标，</w:t>
            </w:r>
            <w:r>
              <w:rPr>
                <w:rFonts w:hint="eastAsia" w:ascii="宋体" w:hAnsi="宋体" w:cs="宋体"/>
                <w:sz w:val="21"/>
                <w:szCs w:val="21"/>
              </w:rPr>
              <w:t>成交供应商</w:t>
            </w:r>
            <w:r>
              <w:rPr>
                <w:rFonts w:hint="eastAsia" w:ascii="宋体" w:hAnsi="宋体"/>
                <w:sz w:val="21"/>
                <w:szCs w:val="21"/>
              </w:rPr>
              <w:t>必须更换合同货物，并负担由此给采购人造成的损失，直到验收合格为止。</w:t>
            </w:r>
          </w:p>
          <w:p>
            <w:pPr>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cs="宋体"/>
                <w:sz w:val="21"/>
                <w:szCs w:val="21"/>
              </w:rPr>
              <w:t>供应商</w:t>
            </w:r>
            <w:r>
              <w:rPr>
                <w:rFonts w:hint="eastAsia" w:ascii="宋体" w:hAnsi="宋体"/>
                <w:sz w:val="21"/>
                <w:szCs w:val="21"/>
              </w:rPr>
              <w:t>应于投标文件中提供合同货物的验收标准和检测办法，并在验收中提供采购人认可的相应检测手段，验收标准应符合中国有关的国家、地方、行业的标准，如若成交，经采购人确认后作为验收的依据。</w:t>
            </w:r>
          </w:p>
          <w:p>
            <w:pPr>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如</w:t>
            </w:r>
            <w:r>
              <w:rPr>
                <w:rFonts w:hint="eastAsia" w:ascii="宋体" w:hAnsi="宋体" w:cs="宋体"/>
                <w:sz w:val="21"/>
                <w:szCs w:val="21"/>
              </w:rPr>
              <w:t>成交供应商</w:t>
            </w:r>
            <w:r>
              <w:rPr>
                <w:rFonts w:hint="eastAsia" w:ascii="宋体" w:hAnsi="宋体"/>
                <w:sz w:val="21"/>
                <w:szCs w:val="21"/>
              </w:rPr>
              <w:t>委托国内代理（或其他机构）负责安装或配合安装，应在签约时指明，但</w:t>
            </w:r>
            <w:r>
              <w:rPr>
                <w:rFonts w:hint="eastAsia" w:ascii="宋体" w:hAnsi="宋体" w:cs="宋体"/>
                <w:sz w:val="21"/>
                <w:szCs w:val="21"/>
              </w:rPr>
              <w:t>成交供应商</w:t>
            </w:r>
            <w:r>
              <w:rPr>
                <w:rFonts w:hint="eastAsia" w:ascii="宋体" w:hAnsi="宋体"/>
                <w:sz w:val="21"/>
                <w:szCs w:val="21"/>
              </w:rPr>
              <w:t>仍要对合同货物及其安装质量负全部责任。</w:t>
            </w:r>
          </w:p>
          <w:p>
            <w:pPr>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验收费用由</w:t>
            </w:r>
            <w:r>
              <w:rPr>
                <w:rFonts w:hint="eastAsia" w:ascii="宋体" w:hAnsi="宋体" w:cs="宋体"/>
                <w:sz w:val="21"/>
                <w:szCs w:val="21"/>
              </w:rPr>
              <w:t>成交供应商</w:t>
            </w:r>
            <w:r>
              <w:rPr>
                <w:rFonts w:hint="eastAsia" w:ascii="宋体" w:hAnsi="宋体"/>
                <w:sz w:val="21"/>
                <w:szCs w:val="21"/>
              </w:rPr>
              <w:t>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ascii="宋体" w:hAnsi="宋体"/>
                <w:sz w:val="21"/>
                <w:szCs w:val="21"/>
              </w:rPr>
              <w:t>其他技术、服务要求</w:t>
            </w:r>
          </w:p>
        </w:tc>
        <w:tc>
          <w:tcPr>
            <w:tcW w:w="737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培训：</w:t>
            </w:r>
          </w:p>
          <w:p>
            <w:pPr>
              <w:rPr>
                <w:rFonts w:ascii="宋体" w:hAnsi="宋体"/>
                <w:sz w:val="21"/>
                <w:szCs w:val="21"/>
              </w:rPr>
            </w:pPr>
            <w:r>
              <w:rPr>
                <w:rFonts w:hint="eastAsia" w:ascii="宋体" w:hAnsi="宋体"/>
                <w:sz w:val="21"/>
                <w:szCs w:val="21"/>
              </w:rPr>
              <w:t>1</w:t>
            </w:r>
            <w:r>
              <w:rPr>
                <w:rFonts w:ascii="宋体" w:hAnsi="宋体"/>
                <w:sz w:val="21"/>
                <w:szCs w:val="21"/>
              </w:rPr>
              <w:t xml:space="preserve">.1 </w:t>
            </w:r>
            <w:r>
              <w:rPr>
                <w:rFonts w:hint="eastAsia" w:ascii="宋体" w:hAnsi="宋体" w:cs="宋体"/>
                <w:sz w:val="21"/>
                <w:szCs w:val="21"/>
              </w:rPr>
              <w:t>成交供应商</w:t>
            </w:r>
            <w:r>
              <w:rPr>
                <w:rFonts w:hint="eastAsia" w:ascii="宋体" w:hAnsi="宋体"/>
                <w:sz w:val="21"/>
                <w:szCs w:val="21"/>
              </w:rPr>
              <w:t>应对采购人的操作人员、维修人员免费进行培训。</w:t>
            </w:r>
          </w:p>
          <w:p>
            <w:pPr>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 xml:space="preserve"> </w:t>
            </w:r>
            <w:r>
              <w:rPr>
                <w:rFonts w:hint="eastAsia" w:ascii="宋体" w:hAnsi="宋体" w:cs="宋体"/>
                <w:sz w:val="21"/>
                <w:szCs w:val="21"/>
              </w:rPr>
              <w:t>成交供应商</w:t>
            </w:r>
            <w:r>
              <w:rPr>
                <w:rFonts w:hint="eastAsia" w:ascii="宋体" w:hAnsi="宋体"/>
                <w:sz w:val="21"/>
                <w:szCs w:val="21"/>
              </w:rPr>
              <w:t>应提供相应的培训计划：</w:t>
            </w:r>
            <w:r>
              <w:rPr>
                <w:rFonts w:hint="eastAsia" w:ascii="宋体" w:hAnsi="宋体" w:cs="Helvetica"/>
                <w:color w:val="000000"/>
                <w:kern w:val="0"/>
                <w:sz w:val="21"/>
                <w:szCs w:val="21"/>
              </w:rPr>
              <w:t>上门安装、调试，技术工程师上门免费技术培训不少于2次，三年及以上免费升级使用维护</w:t>
            </w:r>
            <w:r>
              <w:rPr>
                <w:rFonts w:hint="eastAsia" w:ascii="宋体" w:hAnsi="宋体"/>
                <w:sz w:val="21"/>
                <w:szCs w:val="21"/>
              </w:rPr>
              <w:t>。</w:t>
            </w:r>
          </w:p>
          <w:p>
            <w:pPr>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 xml:space="preserve"> </w:t>
            </w:r>
            <w:r>
              <w:rPr>
                <w:rFonts w:hint="eastAsia" w:ascii="宋体" w:hAnsi="宋体" w:cs="宋体"/>
                <w:sz w:val="21"/>
                <w:szCs w:val="21"/>
              </w:rPr>
              <w:t>成交供应商</w:t>
            </w:r>
            <w:r>
              <w:rPr>
                <w:rFonts w:hint="eastAsia" w:ascii="宋体" w:hAnsi="宋体"/>
                <w:sz w:val="21"/>
                <w:szCs w:val="21"/>
              </w:rPr>
              <w:t>应对上述内容的实现方式、地点、人数、时间在响应文件中详细说明。</w:t>
            </w:r>
          </w:p>
          <w:p>
            <w:pPr>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技术支持：</w:t>
            </w:r>
          </w:p>
          <w:p>
            <w:pPr>
              <w:rPr>
                <w:rFonts w:ascii="宋体" w:hAnsi="宋体"/>
                <w:sz w:val="21"/>
                <w:szCs w:val="21"/>
              </w:rPr>
            </w:pPr>
            <w:r>
              <w:rPr>
                <w:rFonts w:hint="eastAsia" w:ascii="宋体" w:hAnsi="宋体" w:cs="宋体"/>
                <w:sz w:val="21"/>
                <w:szCs w:val="21"/>
              </w:rPr>
              <w:t>成交供应商</w:t>
            </w:r>
            <w:r>
              <w:rPr>
                <w:rFonts w:hint="eastAsia" w:ascii="宋体" w:hAnsi="宋体"/>
                <w:sz w:val="21"/>
                <w:szCs w:val="21"/>
              </w:rPr>
              <w:t>应及时免费提供合同货物软件的升级，免费提供合同货物新功能和应用的资料。</w:t>
            </w:r>
          </w:p>
          <w:p>
            <w:pPr>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安装调试（若需要安装调试）：</w:t>
            </w:r>
          </w:p>
          <w:p>
            <w:pPr>
              <w:rPr>
                <w:rFonts w:ascii="宋体" w:hAnsi="宋体"/>
                <w:sz w:val="21"/>
                <w:szCs w:val="21"/>
              </w:rPr>
            </w:pPr>
            <w:r>
              <w:rPr>
                <w:rFonts w:hint="eastAsia" w:ascii="宋体" w:hAnsi="宋体"/>
                <w:sz w:val="21"/>
                <w:szCs w:val="21"/>
              </w:rPr>
              <w:t>3</w:t>
            </w:r>
            <w:r>
              <w:rPr>
                <w:rFonts w:ascii="宋体" w:hAnsi="宋体"/>
                <w:sz w:val="21"/>
                <w:szCs w:val="21"/>
              </w:rPr>
              <w:t xml:space="preserve">.1 </w:t>
            </w:r>
            <w:r>
              <w:rPr>
                <w:rFonts w:hint="eastAsia" w:ascii="宋体" w:hAnsi="宋体"/>
                <w:sz w:val="21"/>
                <w:szCs w:val="21"/>
              </w:rPr>
              <w:t>安装地点：采购人指定地点。</w:t>
            </w:r>
          </w:p>
          <w:p>
            <w:pPr>
              <w:rPr>
                <w:rFonts w:ascii="宋体" w:hAnsi="宋体"/>
                <w:sz w:val="21"/>
                <w:szCs w:val="21"/>
              </w:rPr>
            </w:pPr>
            <w:r>
              <w:rPr>
                <w:rFonts w:hint="eastAsia" w:ascii="宋体" w:hAnsi="宋体"/>
                <w:sz w:val="21"/>
                <w:szCs w:val="21"/>
              </w:rPr>
              <w:t>3</w:t>
            </w:r>
            <w:r>
              <w:rPr>
                <w:rFonts w:ascii="宋体" w:hAnsi="宋体"/>
                <w:sz w:val="21"/>
                <w:szCs w:val="21"/>
              </w:rPr>
              <w:t xml:space="preserve">.2 </w:t>
            </w:r>
            <w:r>
              <w:rPr>
                <w:rFonts w:hint="eastAsia" w:ascii="宋体" w:hAnsi="宋体"/>
                <w:sz w:val="21"/>
                <w:szCs w:val="21"/>
              </w:rPr>
              <w:t>安装完成时间：接到采购人通知后在7日内完成安装和调试，如在规定的时间内由于</w:t>
            </w:r>
            <w:r>
              <w:rPr>
                <w:rFonts w:hint="eastAsia" w:ascii="宋体" w:hAnsi="宋体" w:cs="宋体"/>
                <w:sz w:val="21"/>
                <w:szCs w:val="21"/>
              </w:rPr>
              <w:t>成交供应商</w:t>
            </w:r>
            <w:r>
              <w:rPr>
                <w:rFonts w:hint="eastAsia" w:ascii="宋体" w:hAnsi="宋体"/>
                <w:sz w:val="21"/>
                <w:szCs w:val="21"/>
              </w:rPr>
              <w:t>的原因不能完成安装和调试，</w:t>
            </w:r>
            <w:r>
              <w:rPr>
                <w:rFonts w:hint="eastAsia" w:ascii="宋体" w:hAnsi="宋体" w:cs="宋体"/>
                <w:sz w:val="21"/>
                <w:szCs w:val="21"/>
              </w:rPr>
              <w:t>成交供应商</w:t>
            </w:r>
            <w:r>
              <w:rPr>
                <w:rFonts w:hint="eastAsia" w:ascii="宋体" w:hAnsi="宋体"/>
                <w:sz w:val="21"/>
                <w:szCs w:val="21"/>
              </w:rPr>
              <w:t>应承担由此给采购人造成的损失。</w:t>
            </w:r>
          </w:p>
          <w:p>
            <w:pPr>
              <w:rPr>
                <w:rFonts w:ascii="宋体" w:hAnsi="宋体"/>
                <w:sz w:val="21"/>
                <w:szCs w:val="21"/>
              </w:rPr>
            </w:pPr>
            <w:r>
              <w:rPr>
                <w:rFonts w:hint="eastAsia" w:ascii="宋体" w:hAnsi="宋体"/>
                <w:sz w:val="21"/>
                <w:szCs w:val="21"/>
              </w:rPr>
              <w:t>3</w:t>
            </w:r>
            <w:r>
              <w:rPr>
                <w:rFonts w:ascii="宋体" w:hAnsi="宋体"/>
                <w:sz w:val="21"/>
                <w:szCs w:val="21"/>
              </w:rPr>
              <w:t xml:space="preserve">.3 </w:t>
            </w:r>
            <w:r>
              <w:rPr>
                <w:rFonts w:hint="eastAsia" w:ascii="宋体" w:hAnsi="宋体"/>
                <w:sz w:val="21"/>
                <w:szCs w:val="21"/>
              </w:rPr>
              <w:t>安装标准：符合我国国家有关技术规范要求和技术标准，所有的软件和硬件必须保证同时安装到位。</w:t>
            </w:r>
          </w:p>
          <w:p>
            <w:pPr>
              <w:rPr>
                <w:rFonts w:ascii="宋体" w:hAnsi="宋体"/>
                <w:sz w:val="21"/>
                <w:szCs w:val="21"/>
              </w:rPr>
            </w:pPr>
            <w:r>
              <w:rPr>
                <w:rFonts w:hint="eastAsia" w:ascii="宋体" w:hAnsi="宋体"/>
                <w:sz w:val="21"/>
                <w:szCs w:val="21"/>
              </w:rPr>
              <w:t>3</w:t>
            </w:r>
            <w:r>
              <w:rPr>
                <w:rFonts w:ascii="宋体" w:hAnsi="宋体"/>
                <w:sz w:val="21"/>
                <w:szCs w:val="21"/>
              </w:rPr>
              <w:t xml:space="preserve">.4 </w:t>
            </w:r>
            <w:r>
              <w:rPr>
                <w:rFonts w:hint="eastAsia" w:ascii="宋体" w:hAnsi="宋体" w:cs="宋体"/>
                <w:sz w:val="21"/>
                <w:szCs w:val="21"/>
              </w:rPr>
              <w:t>成交供应商</w:t>
            </w:r>
            <w:r>
              <w:rPr>
                <w:rFonts w:hint="eastAsia" w:ascii="宋体" w:hAnsi="宋体"/>
                <w:sz w:val="21"/>
                <w:szCs w:val="21"/>
              </w:rPr>
              <w:t>免费提供合同货物的安装服务。</w:t>
            </w:r>
          </w:p>
          <w:p>
            <w:pPr>
              <w:rPr>
                <w:rFonts w:ascii="宋体" w:hAnsi="宋体"/>
                <w:sz w:val="21"/>
                <w:szCs w:val="21"/>
              </w:rPr>
            </w:pPr>
            <w:r>
              <w:rPr>
                <w:rFonts w:hint="eastAsia" w:ascii="宋体" w:hAnsi="宋体"/>
                <w:sz w:val="21"/>
                <w:szCs w:val="21"/>
              </w:rPr>
              <w:t>3</w:t>
            </w:r>
            <w:r>
              <w:rPr>
                <w:rFonts w:ascii="宋体" w:hAnsi="宋体"/>
                <w:sz w:val="21"/>
                <w:szCs w:val="21"/>
              </w:rPr>
              <w:t xml:space="preserve">.5 </w:t>
            </w:r>
            <w:r>
              <w:rPr>
                <w:rFonts w:hint="eastAsia" w:ascii="宋体" w:hAnsi="宋体" w:cs="宋体"/>
                <w:sz w:val="21"/>
                <w:szCs w:val="21"/>
              </w:rPr>
              <w:t>成交供应商</w:t>
            </w:r>
            <w:r>
              <w:rPr>
                <w:rFonts w:hint="eastAsia" w:ascii="宋体" w:hAnsi="宋体"/>
                <w:sz w:val="21"/>
                <w:szCs w:val="21"/>
              </w:rPr>
              <w:t>在响应文件中应提供安装调试计划、对安装场地和环境的要求。</w:t>
            </w:r>
          </w:p>
        </w:tc>
      </w:tr>
    </w:tbl>
    <w:p>
      <w:pPr>
        <w:spacing w:line="288" w:lineRule="auto"/>
        <w:rPr>
          <w:rFonts w:ascii="宋体" w:hAnsi="宋体"/>
          <w:b/>
          <w:sz w:val="24"/>
        </w:rPr>
      </w:pPr>
    </w:p>
    <w:p>
      <w:pPr>
        <w:numPr>
          <w:ilvl w:val="0"/>
          <w:numId w:val="2"/>
        </w:numPr>
        <w:spacing w:line="288" w:lineRule="auto"/>
        <w:rPr>
          <w:rFonts w:ascii="宋体" w:hAnsi="宋体"/>
          <w:b/>
          <w:sz w:val="24"/>
        </w:rPr>
      </w:pPr>
      <w:bookmarkStart w:id="15" w:name="_Toc4885"/>
      <w:r>
        <w:rPr>
          <w:rFonts w:hint="eastAsia" w:ascii="宋体" w:hAnsi="宋体"/>
          <w:b/>
          <w:sz w:val="24"/>
        </w:rPr>
        <w:t>技术要求：</w:t>
      </w:r>
      <w:bookmarkEnd w:id="15"/>
    </w:p>
    <w:tbl>
      <w:tblPr>
        <w:tblStyle w:val="23"/>
        <w:tblW w:w="5000" w:type="pct"/>
        <w:tblInd w:w="0" w:type="dxa"/>
        <w:tblLayout w:type="fixed"/>
        <w:tblCellMar>
          <w:top w:w="0" w:type="dxa"/>
          <w:left w:w="0" w:type="dxa"/>
          <w:bottom w:w="0" w:type="dxa"/>
          <w:right w:w="0" w:type="dxa"/>
        </w:tblCellMar>
      </w:tblPr>
      <w:tblGrid>
        <w:gridCol w:w="1070"/>
        <w:gridCol w:w="495"/>
        <w:gridCol w:w="746"/>
        <w:gridCol w:w="5976"/>
        <w:gridCol w:w="611"/>
        <w:gridCol w:w="538"/>
      </w:tblGrid>
      <w:tr>
        <w:tblPrEx>
          <w:tblCellMar>
            <w:top w:w="0" w:type="dxa"/>
            <w:left w:w="0" w:type="dxa"/>
            <w:bottom w:w="0" w:type="dxa"/>
            <w:right w:w="0" w:type="dxa"/>
          </w:tblCellMar>
        </w:tblPrEx>
        <w:trPr>
          <w:trHeight w:val="576"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展项名称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序号</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项目名称</w:t>
            </w:r>
          </w:p>
        </w:tc>
        <w:tc>
          <w:tcPr>
            <w:tcW w:w="31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详细参数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数量</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单位</w:t>
            </w:r>
          </w:p>
        </w:tc>
      </w:tr>
      <w:tr>
        <w:tblPrEx>
          <w:tblCellMar>
            <w:top w:w="0" w:type="dxa"/>
            <w:left w:w="0" w:type="dxa"/>
            <w:bottom w:w="0" w:type="dxa"/>
            <w:right w:w="0" w:type="dxa"/>
          </w:tblCellMar>
        </w:tblPrEx>
        <w:trPr>
          <w:trHeight w:val="660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信息环幕</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环幕投影机一</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1、激光光源：采用新型激光光源，色域更广，画质细腻。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2、全高清：全高清Full HD精细呈现。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3、6300流明：亮度高达6300流明，白天晚上全天投影。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4、20000小时光源：光源寿命是普通汞灯的3-5倍更长寿低耗材。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5、微弧曲面屏：内置CURVE变形模块，通过调节可实现微弧曲面画面。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6、几何校正：2*2/3*3/5*5/9*9 17*17画面可以任意拉伸调整，17*17时可以做到189个点调节，切任意方向。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7、画面比例可以定制，可以投影任意不规则画面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8、多台投影融合：内置融合模块，多台投影可以融合为更大画面而不损失画质。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9、做几何调整及定制画面时，几何调整中心点可以随意控制开关。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10、3D支持：支持多种格式3D，支持主动式和被动式3D。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11、节能降噪设计：激光光源让投影机耗能更小，高效能冷却系统，噪音小，散热快。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12、360度灵活投影：可以在各种角度灵活摆放、安装，支持侧立投影。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13、HDBaseT接口：搭载HDBaseT接口，支持信号更远距离传输。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14、可同时实现2个窗口同时显示。可实现画中画、画面大小可以切换以及并排显示的开窗功能。画中画时，画面可以任意漫游。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15、融合范围:1.Left : 0(0%) / 192(10%) ~ 960(50%)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2.Right : 0(0%) / 192(10%) ~ 960(50%)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3.Top:0(0%) / 108(10%) ~ 540(50%)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4.Bottom:0(0%) / 108(10%) ~ 540(50%)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819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硬件融合器</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21"/>
                <w:szCs w:val="21"/>
              </w:rPr>
            </w:pPr>
            <w:r>
              <w:rPr>
                <w:rFonts w:hint="eastAsia" w:ascii="宋体" w:hAnsi="宋体" w:cs="宋体"/>
                <w:color w:val="000000"/>
                <w:kern w:val="0"/>
                <w:sz w:val="21"/>
                <w:szCs w:val="21"/>
                <w:lang w:bidi="ar"/>
              </w:rPr>
              <w:t>★ 1、纯硬件融合器，不会出现死机或病毒入侵导致系统瘫痪故障，确保系统稳定运行，1U专业标准工业设计机壳，低噪音，低功耗。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2、1U标准小巧机身。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3、具有较强的自愈能力，在意外掉电、网络连接等故障修复后可以自动恢复到故障发生前的运行状况。平均故障恢复时间MTTR不超过20秒。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4、支持边缘融合系统需支持立体3D投影系统设计，支持主动式3D及被动式3D立体投影。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5、可通过遥控器或者无线网络进行调试。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6、成交后7个工作日内提供厂家出据的售后服务维保证明。</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7、可支持最高15*15通道投影融合，实现大规模投影系统组网。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8、支持种种环境融合系统调试。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9、支持720*480、XGA、WXGA、1280*1024、1366*768、1400*1050、1600*1200、1920*1080、及1920*1200分辨率输出，最高支持1920*1200分辨率输出。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10、支持5路信号输入，接口丰富，2xHDMI、1xDualLink DVI、1XVGA、1XDisplayport。五路信号可以通过手持端任意切换。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支持通过无线模块畅享汇来实现区域内无线传输。（1.畅享汇最高可提供同时连接装置达64台(依照国际网络环境及设备效能)；通过管理系统及四分割画面功能，连接的所有使用者可同时共享四分割或个别使用者的简报画面；2.畅享汇提供密码登入机制，与会者可选择需输入密码以连接畅享汇,避免会议机密资料外泄；3.畅享汇随机附赠简报管理系统，会议主持人可预先浏览并确认参与简报者的画面及投影资料，并指定投影画面。另外主持人也能将会议者其中四位的画面任意排放在四分割的画面中供讨论分享，至于主持人的权限也可以随时依需求指派改变人选；4.畅享汇提供各种主流系统平台的個人电脑及笔电、手持平板装置，如Windows及Mac OS X、Android及iOS；5.U盘：支援USB 2.0，最高容量至32GB。microSD：支持Class 10且相容SDHC，最高容量可至32GB ※ 以上皆支持FAT32及NTFS档案系统。支持档案格式：文件Microsoft Office (Word, Excel及Power Point); Adobe PDF图片BMP, GIF, JPG, TGA, TIFF影片AVI, MKV, MOV, MPG, QT, RM, RMVB）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12、内置网格功能，方便应用于各种场合。</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通道</w:t>
            </w:r>
          </w:p>
        </w:tc>
      </w:tr>
      <w:tr>
        <w:tblPrEx>
          <w:tblCellMar>
            <w:top w:w="0" w:type="dxa"/>
            <w:left w:w="0" w:type="dxa"/>
            <w:bottom w:w="0" w:type="dxa"/>
            <w:right w:w="0" w:type="dxa"/>
          </w:tblCellMar>
        </w:tblPrEx>
        <w:trPr>
          <w:trHeight w:val="6859"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环幕金属硬幕</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1、投影方式：正投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2、亮度增益系数：0.7—1.6</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3、幕面颜色：白色（可定制深灰色、浅灰色、银色）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4、对比度：5000:1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5、均匀度：≥96%</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6、解像力：125线/mm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7、图像还原性：≥97%</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8、环境光吸收率≥80%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9、入射角度：18度±5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10、屏幕材质：采用进口树脂基材，无热胀冷缩现象；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11、材质厚度&gt;2.0mm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12、重量≤1.6kg/㎡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13、适应明亮环境：高达300LUX室内,具有WT- B light平衡吸收环境光处理技术多层光学结构，具有底层防漏光处理，表面吸光及抗划伤能力。</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14、视角：≥150度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15、工作温度环境：（-15℃到55℃）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16、工作湿度环境：（30%到90%）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17、综合指数：98K</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18、反射光颜色：23K</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19、色彩还原偏差≤4%</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20、幕面应具有阻燃特性，提供检测报告复印件并加盖公章；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21、幕面应不含有可溶性重金属，提供检测报告复印件并加盖公章；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22、要求提供幕面通过安姆斯质量检测的检测报告复印件并加盖公章；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23、要求提供机械工业电影机械与电教化教育设备检测报告并加盖公章；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24、成交后7个工作日内提供厂家出据的售后服务维保证明。</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平方</w:t>
            </w:r>
          </w:p>
        </w:tc>
      </w:tr>
      <w:tr>
        <w:tblPrEx>
          <w:tblCellMar>
            <w:top w:w="0" w:type="dxa"/>
            <w:left w:w="0" w:type="dxa"/>
            <w:bottom w:w="0" w:type="dxa"/>
            <w:right w:w="0" w:type="dxa"/>
          </w:tblCellMar>
        </w:tblPrEx>
        <w:trPr>
          <w:trHeight w:val="243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校园行程导视软件</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Style w:val="90"/>
                <w:rFonts w:hint="default"/>
                <w:sz w:val="21"/>
                <w:szCs w:val="21"/>
                <w:lang w:bidi="ar"/>
              </w:rPr>
              <w:t>★</w:t>
            </w:r>
            <w:r>
              <w:rPr>
                <w:rStyle w:val="91"/>
                <w:rFonts w:hint="default"/>
                <w:sz w:val="21"/>
                <w:szCs w:val="21"/>
                <w:lang w:bidi="ar"/>
              </w:rPr>
              <w:t>校园行程导视功能 ：用户可基于GPS定位、发布并管理学校内各教学点的位置和布局，并且该教学点的位置可以通过360°全景进行展示。同时，老师或者学生都可以通过该功能规划（发布、管理、查看）当天的学习行程导览：首先，发布行程封面、标题、参加人员、行程开始时间和结束时间、联系人、联系电话和老师等介绍信息；其次、每一阶段行程规划的详细描述，都包含分项目的地点、主题、时间、事件等内容，并且可以重复添加多个行程项目。第三，用户还可以通过微信、微博和QQ分享或者推送给其他用户。</w:t>
            </w:r>
            <w:r>
              <w:rPr>
                <w:rStyle w:val="57"/>
                <w:rFonts w:hint="default"/>
                <w:lang w:bidi="ar"/>
              </w:rPr>
              <w:t>注：该项目要提供行程导览和全景漫</w:t>
            </w:r>
            <w:r>
              <w:rPr>
                <w:rStyle w:val="91"/>
                <w:rFonts w:hint="default"/>
                <w:sz w:val="21"/>
                <w:szCs w:val="21"/>
              </w:rPr>
              <w:t>游的相关软件著作权证明</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r>
      <w:tr>
        <w:tblPrEx>
          <w:tblCellMar>
            <w:top w:w="0" w:type="dxa"/>
            <w:left w:w="0" w:type="dxa"/>
            <w:bottom w:w="0" w:type="dxa"/>
            <w:right w:w="0"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配件与材料</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Style w:val="90"/>
                <w:rFonts w:hint="default"/>
                <w:sz w:val="21"/>
                <w:szCs w:val="21"/>
                <w:lang w:bidi="ar"/>
              </w:rPr>
              <w:t>可承重</w:t>
            </w:r>
            <w:r>
              <w:rPr>
                <w:rStyle w:val="92"/>
                <w:rFonts w:hint="eastAsia" w:ascii="宋体" w:hAnsi="宋体" w:cs="宋体"/>
                <w:sz w:val="21"/>
                <w:szCs w:val="21"/>
                <w:lang w:bidi="ar"/>
              </w:rPr>
              <w:t>15-20</w:t>
            </w:r>
            <w:r>
              <w:rPr>
                <w:rStyle w:val="90"/>
                <w:rFonts w:hint="default"/>
                <w:sz w:val="21"/>
                <w:szCs w:val="21"/>
                <w:lang w:bidi="ar"/>
              </w:rPr>
              <w:t>公斤</w:t>
            </w:r>
            <w:r>
              <w:rPr>
                <w:rStyle w:val="92"/>
                <w:rFonts w:hint="eastAsia" w:ascii="宋体" w:hAnsi="宋体" w:cs="宋体"/>
                <w:sz w:val="21"/>
                <w:szCs w:val="21"/>
                <w:lang w:bidi="ar"/>
              </w:rPr>
              <w:t xml:space="preserve"> </w:t>
            </w:r>
            <w:r>
              <w:rPr>
                <w:rStyle w:val="90"/>
                <w:rFonts w:hint="default"/>
                <w:sz w:val="21"/>
                <w:szCs w:val="21"/>
                <w:lang w:bidi="ar"/>
              </w:rPr>
              <w:t>支持</w:t>
            </w:r>
            <w:r>
              <w:rPr>
                <w:rStyle w:val="92"/>
                <w:rFonts w:hint="eastAsia" w:ascii="宋体" w:hAnsi="宋体" w:cs="宋体"/>
                <w:sz w:val="21"/>
                <w:szCs w:val="21"/>
                <w:lang w:bidi="ar"/>
              </w:rPr>
              <w:t>360</w:t>
            </w:r>
            <w:r>
              <w:rPr>
                <w:rStyle w:val="90"/>
                <w:rFonts w:hint="default"/>
                <w:sz w:val="21"/>
                <w:szCs w:val="21"/>
                <w:lang w:bidi="ar"/>
              </w:rPr>
              <w:t>度旋转</w:t>
            </w:r>
            <w:r>
              <w:rPr>
                <w:rStyle w:val="92"/>
                <w:rFonts w:hint="eastAsia" w:ascii="宋体" w:hAnsi="宋体" w:cs="宋体"/>
                <w:sz w:val="21"/>
                <w:szCs w:val="21"/>
                <w:lang w:bidi="ar"/>
              </w:rPr>
              <w:t xml:space="preserve"> </w:t>
            </w:r>
            <w:r>
              <w:rPr>
                <w:rStyle w:val="90"/>
                <w:rFonts w:hint="default"/>
                <w:sz w:val="21"/>
                <w:szCs w:val="21"/>
                <w:lang w:bidi="ar"/>
              </w:rPr>
              <w:t>的</w:t>
            </w:r>
            <w:r>
              <w:rPr>
                <w:rStyle w:val="92"/>
                <w:rFonts w:hint="eastAsia" w:ascii="宋体" w:hAnsi="宋体" w:cs="宋体"/>
                <w:sz w:val="21"/>
                <w:szCs w:val="21"/>
                <w:lang w:bidi="ar"/>
              </w:rPr>
              <w:t>2</w:t>
            </w:r>
            <w:r>
              <w:rPr>
                <w:rStyle w:val="90"/>
                <w:rFonts w:hint="default"/>
                <w:sz w:val="21"/>
                <w:szCs w:val="21"/>
                <w:lang w:bidi="ar"/>
              </w:rPr>
              <w:t>米吊架、</w:t>
            </w:r>
            <w:r>
              <w:rPr>
                <w:rStyle w:val="92"/>
                <w:rFonts w:hint="eastAsia" w:ascii="宋体" w:hAnsi="宋体" w:cs="宋体"/>
                <w:sz w:val="21"/>
                <w:szCs w:val="21"/>
                <w:lang w:bidi="ar"/>
              </w:rPr>
              <w:t>HDMI</w:t>
            </w:r>
            <w:r>
              <w:rPr>
                <w:rStyle w:val="90"/>
                <w:rFonts w:hint="default"/>
                <w:sz w:val="21"/>
                <w:szCs w:val="21"/>
                <w:lang w:bidi="ar"/>
              </w:rPr>
              <w:t>国标线及其他辅助材料、网传器、控制主机，设备安装与调试</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若干</w:t>
            </w:r>
          </w:p>
        </w:tc>
      </w:tr>
      <w:tr>
        <w:tblPrEx>
          <w:tblCellMar>
            <w:top w:w="0" w:type="dxa"/>
            <w:left w:w="0" w:type="dxa"/>
            <w:bottom w:w="0" w:type="dxa"/>
            <w:right w:w="0" w:type="dxa"/>
          </w:tblCellMar>
        </w:tblPrEx>
        <w:trPr>
          <w:trHeight w:val="6565"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展示位-序厅</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序厅投影机</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1、激光光源：采用新型激光光源，色域更广，画质细腻。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2、全高清：全高清Full HD精细呈现。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3、6300流明：亮度高达6300流明，白天晚上全天投影。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4、20000小时光源：光源寿命是普通汞灯的3-5倍更长寿低耗材。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5、微弧曲面屏：内置CURVE变形模块，通过调节可实现微弧曲面画面。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6、几何校正：2*2/3*3/5*5/9*9 17*17画面可以任意拉伸调整，17*17时可以做到189个点调节，切任意方向。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7、画面比例可以定制，可以投影任意不规则画面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8、多台投影融合：内置融合模块，多台投影可以融合为更大画面而不损失画质。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9、做几何调整及定制画面时，几何调整中心点可以随意控制开关。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10、3D支持：支持多种格式3D，支持主动式和被动式3D。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11、节能降噪设计：激光光源让投影机耗能更小，高效能冷却系统，噪音小，散热快。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12、360度灵活投影：可以在各种角度灵活摆放、安装，支持侧立投影。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13、HDBaseT接口：搭载HDBaseT接口，支持信号更远距离传输。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14、可同时实现2个窗口同时显示。可实现画中画、画面大小可以切换以及并排显示的开窗功能。画中画时，画面可以任意漫游。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15、融合范围1.Left : 0(0%) / 192(10%) ~ 960(50%)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2.Right : 0(0%) / 192(10%) ~ 960(50%)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3.Top:0(0%) / 108(10%) ~ 540(50%)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4.Bottom:0(0%) / 108(10%) ~ 540(50%)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819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序厅硬件融合器</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21"/>
                <w:szCs w:val="21"/>
              </w:rPr>
            </w:pPr>
            <w:r>
              <w:rPr>
                <w:rFonts w:hint="eastAsia" w:ascii="宋体" w:hAnsi="宋体" w:cs="宋体"/>
                <w:color w:val="000000"/>
                <w:kern w:val="0"/>
                <w:sz w:val="21"/>
                <w:szCs w:val="21"/>
                <w:lang w:bidi="ar"/>
              </w:rPr>
              <w:t>★ 1、纯硬件融合器，不会出现死机或病毒入侵导致系统瘫痪故障，确保系统稳定运行，1U专业标准工业设计机壳，低噪音，低功耗。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2、1U标准小巧机身。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3、具有较强的自愈能力，在意外掉电、网络连接等故障修复后可以自动恢复到故障发生前的运行状况。平均故障恢复时间MTTR不超过20秒。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4、支持边缘融合系统需支持立体3D投影系统设计，支持主动式3D及被动式3D立体投影。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5、可通过遥控器或者无线网络进行调试。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6、成交后7个工作日内提供厂家出据的售后服务维保证明。</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7、可支持最高15*15通道投影融合，实现大规模投影系统组网。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8、支持种种环境融合系统调试。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9、支持720*480、XGA、WXGA、1280*1024、1366*768、1400*1050、1600*1200、1920*1080、及1920*1200分辨率输出，最高支持1920*1200分辨率输出。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10、支持5路信号输入，接口丰富，2xHDMI、1xDualLink DVI、1XVGA、1XDisplayport。五路信号可以通过手持端任意切换。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支持通过无线模块畅享汇来实现区域内无线传输。（1.畅享汇最高可提供同时连接装置达64台(依照国际网络环境及设备效能)；通过管理系统及四分割画面功能，连接的所有使用者可同时共享四分割或个别使用者的简报画面；2.畅享汇提供密码登入机制，与会者可选择需输入密码以连接畅享汇,避免会议机密资料外泄；3.畅享汇随机附赠简报管理系统，会议主持人可预先浏览并确认参与简报者的画面及投影资料，并指定投影画面。另外主持人也能将会议者其中四位的画面任意排放在四分割的画面中供讨论分享，至于主持人的权限也可以随时依需求指派改变人选；4.畅享汇提供各种主流系统平台的個人电脑及笔电、手持平板装置，如Windows及Mac OS X、Android及iOS；5、U盘：支援USB 2.0，最高容量至32GB。microSD：支持Class 10且相容SDHC，最高容量可至32GB ※ 以上皆支持FAT32及NTFS档案系统。支持档案格式：文件Microsoft Office (Word, Excel及Power Point); Adobe PDF图片BMP, GIF, JPG, TGA, TIFF影片AVI, MKV, MOV, MPG, QT, RM, RMVB）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12、内置网格功能，方便应用于各种场合。</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通道</w:t>
            </w:r>
          </w:p>
        </w:tc>
      </w:tr>
      <w:tr>
        <w:tblPrEx>
          <w:tblCellMar>
            <w:top w:w="0" w:type="dxa"/>
            <w:left w:w="0" w:type="dxa"/>
            <w:bottom w:w="0" w:type="dxa"/>
            <w:right w:w="0" w:type="dxa"/>
          </w:tblCellMar>
        </w:tblPrEx>
        <w:trPr>
          <w:trHeight w:val="819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音响系统</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1、数字可控波束柱状阵列*2个：频率范围 (-10 dB)：58 Hz - 18 kHz、垂直波束控制角度：+ / - 20°、最大声压级 @ 1 m：112 dB、全频扬声器单元：36 x 2.25” (57 mm)；功放通道/额定功率：36 x 50 W；物理阵列高度：117” (3 m)、输入灵敏度：15 dBu、输入阻抗：20kΩ；A/D 和 D/A 转换器：24 位, 48 kHz、支持波束数量：2个、音频延迟：5.7ms；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2、边界式扬声器*4个：频率响应（+/-3dB）：50-18kHz；                                                                                                                                                                                                                                             频率范围（-10dB）：45-20kHz；连续功率：125W（BOSE） 150W AES）；                                                                                                                                                                                                                             峰值功率：500W（BOSE）600W（AES）; 灵敏度：96dB（BOSE &amp; AES）；                                                                                                                                                                                                                                                 连续最大声压级：117dB（BOSE）118dB（AES）；                                                                                                                                                                                                         峰值最大声压级：123dB（BOSE）124dB（AES）; 扬声器结构：低频1x8寸低音单元（1.5寸音圈），高频1个压缩单元（1.3英寸音圈）；</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3、数字功率放大器：4×500W @4Ω；4×300W @8Ω（单通道模式）；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2×1000W @4Ω/8Ω/100V（电压桥接模式）；2×800W @70V;2×1000W @2Ω（电流共享模式）；1×2000W @4Ω/100V（四路桥接模式）；1×1600W @70V;频率响应：20Hz -20kHz (1W，+/-0.5dB)；信噪比，模拟输入：&gt;102dBA（低于额定功率1dB，A计权）;THD（额定功率）：&lt;0.4%（1W，20Hz到20kHz）;串扰：&gt;65dB（相邻通道，1kHz）;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4、网络音频扩展卡：8 路行业标准的低延迟；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5、数字音频媒体矩阵：支持采样率为 48kHz/24-bit 的音频，采用浮点开放式架构的DSP、内置Dante音频网络，支持32×32通道Dante设备；内置AmpLink输出，可使用标准的CAT5线，输出8通道无压缩的数字音频信号，至含有AmpLink的Bose®功放、前面板RJ-45以太网口，支持本地化配置和监视，同时可连通后面板网口、支持行业标准的控制系统，通过板载的RS-232 和以太网端口的串口协议，支持AMX和Crestron-based系统；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数字调音台：17个马达推子（16通道+1主控）、40条输入混音通道（32单声道+2立体声+2返送通道）、20个AUX（8单声道+6立体声）+立体声+子母线、8个带有Roll-out的DCA编组、16个模拟XLR/TRS混合麦克风/线路输入+2个模拟RCA立体声线路输入、16个模拟XLR输出、34×34 USB数字录音/回放 + 2×2 录音/回放通过USB存储设备支持NY64-D音频介面卡的扩展槽；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7、调台扩展卡：NY64-D 网络设备及扩展卡；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8、无线麦克风*2支：工作频率： 550MHz~980MHz 调制方式： 宽带FM 信道数目： 200 信道间隔： 250kHz 频率稳定度： ±0.005% 动态范围： 100dB 最大偏移： ±45kHz 音频频率响应：20Hz～20kHz (±3dB) 导频频率： 32.768kHz 综合信噪比： ＞105dB 综合失真： ≤0.5%；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电源管理器：8路通道输出，每路延时开启和关闭时间可自由设置（范围0~999S）、10组设备开关场景数据保存/调用、特设欠压、超压检测及报警功能，为您的设备提供了可靠的保障，总功率6000W，单路最大功率2000W、支持面板Lock锁定功能，防止人为误操作。</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r>
      <w:tr>
        <w:tblPrEx>
          <w:tblCellMar>
            <w:top w:w="0" w:type="dxa"/>
            <w:left w:w="0" w:type="dxa"/>
            <w:bottom w:w="0" w:type="dxa"/>
            <w:right w:w="0"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配件与材料</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both"/>
              <w:textAlignment w:val="top"/>
              <w:rPr>
                <w:rFonts w:ascii="宋体" w:hAnsi="宋体" w:cs="宋体"/>
                <w:color w:val="000000"/>
                <w:sz w:val="21"/>
                <w:szCs w:val="21"/>
              </w:rPr>
            </w:pPr>
            <w:r>
              <w:rPr>
                <w:rFonts w:hint="eastAsia" w:ascii="宋体" w:hAnsi="宋体" w:cs="宋体"/>
                <w:color w:val="000000"/>
                <w:kern w:val="0"/>
                <w:sz w:val="21"/>
                <w:szCs w:val="21"/>
                <w:lang w:bidi="ar"/>
              </w:rPr>
              <w:t>可承重15-20公斤 支持360度旋转 的2米吊架、HDMI国标线及其他辅助材料、网传器、控制主机，设备安装与调试；</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若干</w:t>
            </w:r>
          </w:p>
        </w:tc>
      </w:tr>
      <w:tr>
        <w:tblPrEx>
          <w:tblCellMar>
            <w:top w:w="0" w:type="dxa"/>
            <w:left w:w="0" w:type="dxa"/>
            <w:bottom w:w="0" w:type="dxa"/>
            <w:right w:w="0" w:type="dxa"/>
          </w:tblCellMar>
        </w:tblPrEx>
        <w:trPr>
          <w:trHeight w:val="7712"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展示位-走廊地面</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走廊投影机</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numPr>
                <w:ilvl w:val="0"/>
                <w:numId w:val="3"/>
              </w:numPr>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商务投影机，教育投影机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2、投影机特性 短焦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3、投影技术 DLP</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4、亮度 3700流明</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5、对比度 25000:1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6、标准分辨率 WXGA（1280*800）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7、光源参数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8、光源类型 激光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9、光源寿命 20000小时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10、投影参数：变焦方式 固定（定焦）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11、变焦比 1.0X</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12、投射比 0.521：1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13、屏幕比例 4:3/16:9/16:10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14、投影方式 正投，背投，桌上，吊顶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15、系统参数：扬声器 10W×1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16、接口参数：输入接口 2×HDMI</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1×VGA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1×复合视频输入接口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1×3.5MM音频输入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输出接口 1×VGA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1×音频输出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控制接口 1×RJ45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1×RS-232（D-sub 9-pin）</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17、规格参数: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产品噪音 正常模式：35dB，经济模式：30dB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产品尺寸 386×310×116mm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产品重量 5kg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适用环境 工作温度：5-40℃，工作湿度：10-85%</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819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融合软件</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融合软件是基于显卡GPU运算处理，兼容NVIDIA、AMD各类显卡，纯GPU融合渲染，融合运算速度极快；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融合软件支持Windows x86及x64全平台运行，系统性能好，可靠性高，而且不同的操作系统使用不同的显卡，只需要按照欧亚特的说明书去配备就可以使用了；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融合软件支持TCP/IP网络协议、串口协议，可与任意第三方中控系统进行控制匹配；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融合软件支持任意设备控制播放、调节，IOS、Android移动设备、笔记本等局域网内远程调试融合和播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融合软件支持投影色差调节及全黑场漏光处理，完美实现大屏幕色彩统一；</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融合软件支持多主机集群同步融合运行，投影阵列随意排序，通道数量不再受物理显卡口限制，可实现百台超大规模投影拼接工程；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融合软件支持无显示器点对点大桌面融合；支持无限预案布局保存；可以播放本地桌面、PPT、Word、第三方采集卡数据源等；同样可以实现本地显示器与大屏幕同步显示内容；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融合软件支持超高清分辨率输出；单机片源播放支持8K超高分辨率；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融合软件支持投影亮度倍增，可实现双机叠加投影，大屏幕亮度增加至2倍；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融合软件支持主（被）动3D立体，2D与3D可实时切换；刷新率可达120HZ或更高；兼容DLP-Link、nVIDIA 3DVision、AMD HD3D主动3D方式；MultiHD融合软件支持任意平面、曲面、球面、柱面几何校正调节；支持3DMapping；支持投影异形拼接，支持图像旋转，投影画面可任意旋转、环形旋转叠加、空间形体表面投影、球冠和整球、穹顶投影拼接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融合软件配置简单，只需要一个主机、一个集成卡、一个显卡就可以了。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融合软件支持Windows x86及x64全平台运行，系统性能好，可靠性高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支持黑暗场景下的黑亮度调节功能，在全黑室内场景下能消除黑亮带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支持控制显示终端的实时回显功能，回显分辨率为1920×1080，帧率不小于每秒30帧，要求回显内容与投影到幕上内容完全一致（这个特性为产品独有）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支持系统意外停电设置保存功能，保证下次开机后仍然运行相同配置和预案（此特性为产品独有）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支持HDMI信号输入（此特性为产品独有）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支持Max、Maya、Sketchup、AutuCAD、PowerPoint、Word等各种应用程序的环幕全屏</w:t>
            </w:r>
          </w:p>
          <w:p>
            <w:pPr>
              <w:widowControl/>
              <w:jc w:val="left"/>
              <w:textAlignment w:val="top"/>
              <w:rPr>
                <w:rFonts w:ascii="宋体" w:hAnsi="宋体" w:cs="宋体"/>
                <w:color w:val="000000"/>
                <w:sz w:val="21"/>
                <w:szCs w:val="21"/>
              </w:rPr>
            </w:pPr>
            <w:r>
              <w:rPr>
                <w:rFonts w:hint="eastAsia" w:ascii="宋体" w:hAnsi="宋体" w:cs="宋体"/>
                <w:color w:val="000000"/>
                <w:kern w:val="0"/>
                <w:sz w:val="21"/>
                <w:szCs w:val="21"/>
                <w:lang w:bidi="ar"/>
              </w:rPr>
              <w:t>通过Unis UVCM 系列无线指控系统，能够进行网络远程3G回显示，可以远程观看融合大屏幕上的显示内容（此特性为产品独有）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融合软件典型应用</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通道</w:t>
            </w:r>
          </w:p>
        </w:tc>
      </w:tr>
      <w:tr>
        <w:tblPrEx>
          <w:tblCellMar>
            <w:top w:w="0" w:type="dxa"/>
            <w:left w:w="0" w:type="dxa"/>
            <w:bottom w:w="0" w:type="dxa"/>
            <w:right w:w="0" w:type="dxa"/>
          </w:tblCellMar>
        </w:tblPrEx>
        <w:trPr>
          <w:trHeight w:val="576"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互动软件</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Style w:val="90"/>
                <w:rFonts w:hint="default"/>
                <w:sz w:val="21"/>
                <w:szCs w:val="21"/>
                <w:lang w:bidi="ar"/>
              </w:rPr>
              <w:t>地面互动软件创新学院片头</w:t>
            </w:r>
            <w:r>
              <w:rPr>
                <w:rStyle w:val="92"/>
                <w:rFonts w:hint="eastAsia" w:ascii="宋体" w:hAnsi="宋体" w:cs="宋体"/>
                <w:sz w:val="21"/>
                <w:szCs w:val="21"/>
                <w:lang w:bidi="ar"/>
              </w:rPr>
              <w:t xml:space="preserve"> </w:t>
            </w:r>
            <w:r>
              <w:rPr>
                <w:rStyle w:val="90"/>
                <w:rFonts w:hint="default"/>
                <w:sz w:val="21"/>
                <w:szCs w:val="21"/>
                <w:lang w:bidi="ar"/>
              </w:rPr>
              <w:t>五感实验教学理念等动态视频演播</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通道</w:t>
            </w:r>
          </w:p>
        </w:tc>
      </w:tr>
      <w:tr>
        <w:tblPrEx>
          <w:tblCellMar>
            <w:top w:w="0" w:type="dxa"/>
            <w:left w:w="0" w:type="dxa"/>
            <w:bottom w:w="0" w:type="dxa"/>
            <w:right w:w="0" w:type="dxa"/>
          </w:tblCellMar>
        </w:tblPrEx>
        <w:trPr>
          <w:trHeight w:val="525"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互动程序及设备</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感应设备 JSY-480B/W摄像机，单台摄像机640*480.最大捕捉4*3米，每秒采集25-30f 摄像机专用支架 HD红外补光灯 红外摄像头支架。系统可以通过摄像机对范围内的人体进行行为采集，反馈给控制主机实现内容交互。</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r>
      <w:tr>
        <w:tblPrEx>
          <w:tblCellMar>
            <w:top w:w="0" w:type="dxa"/>
            <w:left w:w="0" w:type="dxa"/>
            <w:bottom w:w="0" w:type="dxa"/>
            <w:right w:w="0" w:type="dxa"/>
          </w:tblCellMar>
        </w:tblPrEx>
        <w:trPr>
          <w:trHeight w:val="267"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配件与材料</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Style w:val="90"/>
                <w:rFonts w:hint="default"/>
                <w:sz w:val="21"/>
                <w:szCs w:val="21"/>
                <w:lang w:bidi="ar"/>
              </w:rPr>
              <w:t>可承重</w:t>
            </w:r>
            <w:r>
              <w:rPr>
                <w:rStyle w:val="92"/>
                <w:rFonts w:hint="eastAsia" w:ascii="宋体" w:hAnsi="宋体" w:cs="宋体"/>
                <w:sz w:val="21"/>
                <w:szCs w:val="21"/>
                <w:lang w:bidi="ar"/>
              </w:rPr>
              <w:t>15-20</w:t>
            </w:r>
            <w:r>
              <w:rPr>
                <w:rStyle w:val="90"/>
                <w:rFonts w:hint="default"/>
                <w:sz w:val="21"/>
                <w:szCs w:val="21"/>
                <w:lang w:bidi="ar"/>
              </w:rPr>
              <w:t>公斤</w:t>
            </w:r>
            <w:r>
              <w:rPr>
                <w:rStyle w:val="92"/>
                <w:rFonts w:hint="eastAsia" w:ascii="宋体" w:hAnsi="宋体" w:cs="宋体"/>
                <w:sz w:val="21"/>
                <w:szCs w:val="21"/>
                <w:lang w:bidi="ar"/>
              </w:rPr>
              <w:t xml:space="preserve"> </w:t>
            </w:r>
            <w:r>
              <w:rPr>
                <w:rStyle w:val="90"/>
                <w:rFonts w:hint="default"/>
                <w:sz w:val="21"/>
                <w:szCs w:val="21"/>
                <w:lang w:bidi="ar"/>
              </w:rPr>
              <w:t>支持</w:t>
            </w:r>
            <w:r>
              <w:rPr>
                <w:rStyle w:val="92"/>
                <w:rFonts w:hint="eastAsia" w:ascii="宋体" w:hAnsi="宋体" w:cs="宋体"/>
                <w:sz w:val="21"/>
                <w:szCs w:val="21"/>
                <w:lang w:bidi="ar"/>
              </w:rPr>
              <w:t>360</w:t>
            </w:r>
            <w:r>
              <w:rPr>
                <w:rStyle w:val="90"/>
                <w:rFonts w:hint="default"/>
                <w:sz w:val="21"/>
                <w:szCs w:val="21"/>
                <w:lang w:bidi="ar"/>
              </w:rPr>
              <w:t>度旋转</w:t>
            </w:r>
            <w:r>
              <w:rPr>
                <w:rStyle w:val="92"/>
                <w:rFonts w:hint="eastAsia" w:ascii="宋体" w:hAnsi="宋体" w:cs="宋体"/>
                <w:sz w:val="21"/>
                <w:szCs w:val="21"/>
                <w:lang w:bidi="ar"/>
              </w:rPr>
              <w:t xml:space="preserve"> </w:t>
            </w:r>
            <w:r>
              <w:rPr>
                <w:rStyle w:val="90"/>
                <w:rFonts w:hint="default"/>
                <w:sz w:val="21"/>
                <w:szCs w:val="21"/>
                <w:lang w:bidi="ar"/>
              </w:rPr>
              <w:t>的</w:t>
            </w:r>
            <w:r>
              <w:rPr>
                <w:rStyle w:val="92"/>
                <w:rFonts w:hint="eastAsia" w:ascii="宋体" w:hAnsi="宋体" w:cs="宋体"/>
                <w:sz w:val="21"/>
                <w:szCs w:val="21"/>
                <w:lang w:bidi="ar"/>
              </w:rPr>
              <w:t>2</w:t>
            </w:r>
            <w:r>
              <w:rPr>
                <w:rStyle w:val="90"/>
                <w:rFonts w:hint="default"/>
                <w:sz w:val="21"/>
                <w:szCs w:val="21"/>
                <w:lang w:bidi="ar"/>
              </w:rPr>
              <w:t>米吊架、</w:t>
            </w:r>
            <w:r>
              <w:rPr>
                <w:rStyle w:val="92"/>
                <w:rFonts w:hint="eastAsia" w:ascii="宋体" w:hAnsi="宋体" w:cs="宋体"/>
                <w:sz w:val="21"/>
                <w:szCs w:val="21"/>
                <w:lang w:bidi="ar"/>
              </w:rPr>
              <w:t>HDMI</w:t>
            </w:r>
            <w:r>
              <w:rPr>
                <w:rStyle w:val="90"/>
                <w:rFonts w:hint="default"/>
                <w:sz w:val="21"/>
                <w:szCs w:val="21"/>
                <w:lang w:bidi="ar"/>
              </w:rPr>
              <w:t>国标线及其他辅助材料、网传器、控制主机，设备安装与调试</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若干</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若干</w:t>
            </w:r>
          </w:p>
        </w:tc>
      </w:tr>
      <w:tr>
        <w:tblPrEx>
          <w:tblCellMar>
            <w:top w:w="0" w:type="dxa"/>
            <w:left w:w="0" w:type="dxa"/>
            <w:bottom w:w="0" w:type="dxa"/>
            <w:right w:w="0" w:type="dxa"/>
          </w:tblCellMar>
        </w:tblPrEx>
        <w:trPr>
          <w:trHeight w:val="3563"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虚拟电子阅览室</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实验成果虚拟翻书机</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1、显示器： 43寸LG品牌LED液晶显示设备，高清高亮，分辨率1920*1080，可视角度178°/178°，亮度500cd/㎡，对比度1000::1 ，色彩16.7m，背光寿命60000h</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2、触摸屏 43寸红外线10点触摸屏，分辨率4096*4096，防尘防暴，抗油污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3、软件：3D效果，书页码400、图像识别系统，FLASH处理系统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4、电源：AC220V±10%,50Hz 最大功耗 300W ，开机瞬时电流 5A</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5、软件运行环境： Windows2000/ Windows XP/ Windows7</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6、网络功能： RJ45 、网络接头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7、工作环境: 温度： -10-+60度 湿度： 40%-80%( 相对，非压缩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8、机柜： 全钢2mm模具制造、表面汽车金属烤漆、独立电源管理、多媒体音响控制系统、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9、内部构件全部电镀、彻底防锈、防磁、防静电</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576"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翻书软件</w:t>
            </w:r>
          </w:p>
        </w:tc>
        <w:tc>
          <w:tcPr>
            <w:tcW w:w="31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触摸翻书系统可让用有触屏设备的用户实现方式多样的翻页式浏览功能，触摸翻书软件可进行图片、视频以及文字进行有效的排版就能呈现出华丽的翻书效果。</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r>
      <w:tr>
        <w:tblPrEx>
          <w:tblCellMar>
            <w:top w:w="0" w:type="dxa"/>
            <w:left w:w="0" w:type="dxa"/>
            <w:bottom w:w="0" w:type="dxa"/>
            <w:right w:w="0" w:type="dxa"/>
          </w:tblCellMar>
        </w:tblPrEx>
        <w:trPr>
          <w:trHeight w:val="1395"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电子展示牌</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壁挂式电视</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1、操作系统：无系统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2、设备接口：USB\HDMI\3.5mm耳机接口；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3、软件支持：支持图片、音乐、视频播放；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4、播放模式：插入SD卡或U盘，自动播放视频、图片或者图片+音乐，循环播放。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5、设备尺寸：32英寸</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555"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展厅声光装修</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Style w:val="93"/>
                <w:rFonts w:hint="eastAsia" w:ascii="宋体" w:hAnsi="宋体" w:cs="宋体"/>
                <w:lang w:bidi="ar"/>
              </w:rPr>
              <w:t>PVC</w:t>
            </w:r>
            <w:r>
              <w:rPr>
                <w:rStyle w:val="94"/>
                <w:rFonts w:hint="default"/>
                <w:lang w:bidi="ar"/>
              </w:rPr>
              <w:t>塑料卷材楼地面</w:t>
            </w:r>
          </w:p>
        </w:tc>
        <w:tc>
          <w:tcPr>
            <w:tcW w:w="31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1"/>
                <w:szCs w:val="21"/>
              </w:rPr>
            </w:pPr>
            <w:r>
              <w:rPr>
                <w:rStyle w:val="92"/>
                <w:rFonts w:hint="eastAsia" w:ascii="宋体" w:hAnsi="宋体" w:cs="宋体"/>
                <w:sz w:val="21"/>
                <w:szCs w:val="21"/>
                <w:lang w:bidi="ar"/>
              </w:rPr>
              <w:t>1</w:t>
            </w:r>
            <w:r>
              <w:rPr>
                <w:rStyle w:val="90"/>
                <w:rFonts w:hint="default"/>
                <w:sz w:val="21"/>
                <w:szCs w:val="21"/>
                <w:lang w:bidi="ar"/>
              </w:rPr>
              <w:t>、水泥砂浆地面找平；</w:t>
            </w:r>
            <w:r>
              <w:rPr>
                <w:rStyle w:val="92"/>
                <w:rFonts w:hint="eastAsia" w:ascii="宋体" w:hAnsi="宋体" w:cs="宋体"/>
                <w:sz w:val="21"/>
                <w:szCs w:val="21"/>
                <w:lang w:bidi="ar"/>
              </w:rPr>
              <w:t>2</w:t>
            </w:r>
            <w:r>
              <w:rPr>
                <w:rStyle w:val="90"/>
                <w:rFonts w:hint="default"/>
                <w:sz w:val="21"/>
                <w:szCs w:val="21"/>
                <w:lang w:bidi="ar"/>
              </w:rPr>
              <w:t>、</w:t>
            </w:r>
            <w:r>
              <w:rPr>
                <w:rStyle w:val="92"/>
                <w:rFonts w:hint="eastAsia" w:ascii="宋体" w:hAnsi="宋体" w:cs="宋体"/>
                <w:sz w:val="21"/>
                <w:szCs w:val="21"/>
                <w:lang w:bidi="ar"/>
              </w:rPr>
              <w:t>PVC</w:t>
            </w:r>
            <w:r>
              <w:rPr>
                <w:rStyle w:val="90"/>
                <w:rFonts w:hint="default"/>
                <w:sz w:val="21"/>
                <w:szCs w:val="21"/>
                <w:lang w:bidi="ar"/>
              </w:rPr>
              <w:t>地胶铺贴</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m2</w:t>
            </w:r>
          </w:p>
        </w:tc>
      </w:tr>
      <w:tr>
        <w:tblPrEx>
          <w:tblCellMar>
            <w:top w:w="0" w:type="dxa"/>
            <w:left w:w="0" w:type="dxa"/>
            <w:bottom w:w="0" w:type="dxa"/>
            <w:right w:w="0" w:type="dxa"/>
          </w:tblCellMar>
        </w:tblPrEx>
        <w:trPr>
          <w:trHeight w:val="576"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格栅吊顶</w:t>
            </w:r>
          </w:p>
        </w:tc>
        <w:tc>
          <w:tcPr>
            <w:tcW w:w="31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1"/>
                <w:szCs w:val="21"/>
              </w:rPr>
            </w:pPr>
            <w:r>
              <w:rPr>
                <w:rStyle w:val="92"/>
                <w:rFonts w:hint="eastAsia" w:ascii="宋体" w:hAnsi="宋体" w:cs="宋体"/>
                <w:sz w:val="21"/>
                <w:szCs w:val="21"/>
                <w:lang w:bidi="ar"/>
              </w:rPr>
              <w:t>1</w:t>
            </w:r>
            <w:r>
              <w:rPr>
                <w:rStyle w:val="90"/>
                <w:rFonts w:hint="default"/>
                <w:sz w:val="21"/>
                <w:szCs w:val="21"/>
                <w:lang w:bidi="ar"/>
              </w:rPr>
              <w:t>、吊顶轻钢龙骨安装、固</w:t>
            </w:r>
            <w:bookmarkStart w:id="76" w:name="_GoBack"/>
            <w:bookmarkEnd w:id="76"/>
            <w:r>
              <w:rPr>
                <w:rStyle w:val="90"/>
                <w:rFonts w:hint="default"/>
                <w:sz w:val="21"/>
                <w:szCs w:val="21"/>
                <w:lang w:bidi="ar"/>
              </w:rPr>
              <w:t>定；</w:t>
            </w:r>
            <w:r>
              <w:rPr>
                <w:rStyle w:val="92"/>
                <w:rFonts w:hint="eastAsia" w:ascii="宋体" w:hAnsi="宋体" w:cs="宋体"/>
                <w:sz w:val="21"/>
                <w:szCs w:val="21"/>
                <w:lang w:bidi="ar"/>
              </w:rPr>
              <w:t>2</w:t>
            </w:r>
            <w:r>
              <w:rPr>
                <w:rStyle w:val="90"/>
                <w:rFonts w:hint="default"/>
                <w:sz w:val="21"/>
                <w:szCs w:val="21"/>
                <w:lang w:bidi="ar"/>
              </w:rPr>
              <w:t>、安装铝格栅</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m2</w:t>
            </w:r>
          </w:p>
        </w:tc>
      </w:tr>
      <w:tr>
        <w:tblPrEx>
          <w:tblCellMar>
            <w:top w:w="0" w:type="dxa"/>
            <w:left w:w="0" w:type="dxa"/>
            <w:bottom w:w="0" w:type="dxa"/>
            <w:right w:w="0" w:type="dxa"/>
          </w:tblCellMar>
        </w:tblPrEx>
        <w:trPr>
          <w:trHeight w:val="693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输出装裱</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大型多功能数码打印复合机</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1、类型 控制台式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2、内存容量 3GB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3、硬盘容量注1 320GB大于（可用空间：128GB）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4、彩色功能 全彩色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5、扫描分辨率 600 x 600dpi</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6、打印分辨率 2,400 x 2,400dpi（多值图片）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7、原稿尺寸 纸张和书籍的最大尺寸均为297×432mm (A3, 11×17")</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8、纸张尺寸 最大 SRA3 (320×450mm), 13×18" (330×457mm)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使用旁路纸盘时为 13×19.2 (330×488mm)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9、纸盘容量 标配 500张 x 2个纸盘 + 870张 + 1,140张 + 手送纸盘 250张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10、选配 大容量纸库2: 2,000张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11、最大进稿容量 5,260张 [HCF 2 或 HCF B1-S]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12、出纸盘容量 500张（输出接纸盘）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13、电源 AC220 - 240V±10%、10A (1 电源)、 50/60Hz、AC110 +/- 10%、11A+9A (2 电源)、50/60Hz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14、消耗功率 2.4kW以下 (AC220 - 240)/2.2kW以下 (110V)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15、睡眠模式: 1.0W以下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16、节电模式下: 107W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17、待机模式: 192W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18、尺寸 [ 9" WVGA UI ]: 宽 700×深 804×高 1,154mm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大尺寸的UI ]: 宽 1,022×深 804×高 1,392mm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19、重量 [ 9" WVGA UI ]: 240 kg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大尺寸的UI ]: 247 kg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20、含墨盒5套</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r>
      <w:tr>
        <w:tblPrEx>
          <w:tblCellMar>
            <w:top w:w="0" w:type="dxa"/>
            <w:left w:w="0" w:type="dxa"/>
            <w:bottom w:w="0" w:type="dxa"/>
            <w:right w:w="0" w:type="dxa"/>
          </w:tblCellMar>
        </w:tblPrEx>
        <w:trPr>
          <w:trHeight w:val="2839"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395"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sz w:val="21"/>
                <w:szCs w:val="21"/>
              </w:rPr>
              <w:t>大画幅喷墨打印机</w:t>
            </w:r>
          </w:p>
        </w:tc>
        <w:tc>
          <w:tcPr>
            <w:tcW w:w="3166"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1、双PrecisionCoreTM TFP微压电喷头，2.0英寸宽本机最高分辨率：720*1440dpi</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2、本机最小墨滴：4.0pl</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3、输出速度：108.6平方米/小时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4、喷头技术：双PrecisionCoreTM TFP微压电喷头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5、颜色：双4色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6、墨水：爱普生“活的色彩DS”热转印墨水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7、幅面：64英寸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8、最大打印幅面：64英寸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9、含墨盒5套</w:t>
            </w:r>
          </w:p>
        </w:tc>
        <w:tc>
          <w:tcPr>
            <w:tcW w:w="323" w:type="pct"/>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r>
      <w:tr>
        <w:tblPrEx>
          <w:tblCellMar>
            <w:top w:w="0" w:type="dxa"/>
            <w:left w:w="0" w:type="dxa"/>
            <w:bottom w:w="0" w:type="dxa"/>
            <w:right w:w="0" w:type="dxa"/>
          </w:tblCellMar>
        </w:tblPrEx>
        <w:trPr>
          <w:trHeight w:val="2304" w:hRule="atLeast"/>
        </w:trPr>
        <w:tc>
          <w:tcPr>
            <w:tcW w:w="566"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39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胶装机</w:t>
            </w:r>
          </w:p>
        </w:tc>
        <w:tc>
          <w:tcPr>
            <w:tcW w:w="316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1、显示方式 10寸彩色触摸屏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2、制本长度 420mm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3、制本厚度 55mm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4、机械速度 333本/小时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5、铣刀方式 24刃太阳刀加小铣刀</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6、电压/功率 220V/2500W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7、重量 350kg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8、机器尺寸 1570X1350X620mm</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2955" w:hRule="atLeast"/>
        </w:trPr>
        <w:tc>
          <w:tcPr>
            <w:tcW w:w="566" w:type="pct"/>
            <w:vMerge w:val="continue"/>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39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切纸刀</w:t>
            </w:r>
          </w:p>
        </w:tc>
        <w:tc>
          <w:tcPr>
            <w:tcW w:w="316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1、显示 数显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2、裁大裁切尺寸 670mm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3、最小裁切尺寸 20mm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4、裁纸厚度 80mm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5、裁切精度 30s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6、切纸方式 液压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7、压纸方式 液压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8、推纸方式 电动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9、电源参数 220v/380v（220v电压需要订货生产＋2000元）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10、机器净重 565kg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11、机器尺寸 1540*1085*1360mm</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5038"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395"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压痕机</w:t>
            </w:r>
          </w:p>
        </w:tc>
        <w:tc>
          <w:tcPr>
            <w:tcW w:w="3166"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1、进纸方式 手动送纸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2、进纸速度 35-60张/分钟单痕（A4横向）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3、进纸幅面 50*90mm－330*900mm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4、最小压痕间隙 0.1mm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5、压痕精度 0.3mm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6、压痕宽度 1.0m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7、压痕/虚线次数 最高32条，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8、刀具规格 压痕刀 、虚线刀 （标配）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9、变量压痕 递增/递减/增减/方脊(完全达到平背装订的效果)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10、收纸盘载纸量 60mm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11、压痕/虚线调整 压痕深度调整 压痕宽度调整 压痕歪斜调整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12、封面模式 只需输入两个尺寸（封面尺寸，书本厚度），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13、自动生成两条翻书线，两条书脊线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14、使用电压 220V/50HZ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15、机器功率 120W/100W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16、机器尺 110cmx51cmx38cm（长/宽/高）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17、机器毛重 50kg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18、选购刀具 纵向虚线最多4条，压痕宽度 0.6/1.2/1.4mm</w:t>
            </w:r>
          </w:p>
        </w:tc>
        <w:tc>
          <w:tcPr>
            <w:tcW w:w="323" w:type="pct"/>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171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骑马钉</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1、每分钟装订次数: 50一100次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2、使用铁丝规格: 25#卷盘铁丝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3、装订厚度: 0.2一0.5 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4、电机功率新款:25w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5、电压:220v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6、机器外观尺寸:490X380X690mm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7、机器重量: 25Kg</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2535"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配页机</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1、纸张尺寸：最小：120×105mm 最大：328×457mm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2、订折厚度：24页(80克纸)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3、订折速度：2500套/小时(A4/64克)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4、订折方式：平订、骑马订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5、钉头数量：2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6、书订类型：铁丝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7、订头距离：70、140、240mm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8、机身重量：135kg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9、电 源： 117、230VAC，50/60Hz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10机身尺寸： 1350(W)×550(D)×980(H)mm</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57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冷裱机</w:t>
            </w:r>
          </w:p>
        </w:tc>
        <w:tc>
          <w:tcPr>
            <w:tcW w:w="31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 1.2米全自动</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r>
        <w:tblPrEx>
          <w:tblCellMar>
            <w:top w:w="0" w:type="dxa"/>
            <w:left w:w="0" w:type="dxa"/>
            <w:bottom w:w="0" w:type="dxa"/>
            <w:right w:w="0" w:type="dxa"/>
          </w:tblCellMar>
        </w:tblPrEx>
        <w:trPr>
          <w:trHeight w:val="1963"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1"/>
                <w:szCs w:val="21"/>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压平机</w:t>
            </w:r>
          </w:p>
        </w:tc>
        <w:tc>
          <w:tcPr>
            <w:tcW w:w="31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1、工作幅面：800*640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2、工作压力：10T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3、有效行程：520MM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4、亚平折移速度：1.5m/min</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5、电压功率：380V/50Hz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6、机器重量：950kg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7、外形尺寸：1070*640*1450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bl>
    <w:p>
      <w:pPr>
        <w:pStyle w:val="76"/>
        <w:spacing w:line="288" w:lineRule="auto"/>
        <w:ind w:firstLine="0" w:firstLineChars="0"/>
        <w:rPr>
          <w:rFonts w:ascii="宋体" w:hAnsi="宋体"/>
          <w:szCs w:val="21"/>
        </w:rPr>
      </w:pPr>
    </w:p>
    <w:p>
      <w:pPr>
        <w:spacing w:line="288" w:lineRule="auto"/>
        <w:rPr>
          <w:rFonts w:ascii="宋体" w:hAnsi="宋体"/>
          <w:sz w:val="21"/>
          <w:szCs w:val="21"/>
        </w:rPr>
      </w:pPr>
      <w:r>
        <w:rPr>
          <w:rFonts w:hint="eastAsia" w:ascii="宋体" w:hAnsi="宋体"/>
          <w:b/>
          <w:sz w:val="21"/>
          <w:szCs w:val="21"/>
        </w:rPr>
        <w:t>注：除磋商文件中所明确的技术规格和品牌外，欢迎其他能满足本项目技术需求且性能相当于或高于所明确品牌的产品参加磋商。同时在采购需求偏离表中作出详细对比说明。</w:t>
      </w:r>
    </w:p>
    <w:p>
      <w:pPr>
        <w:pStyle w:val="13"/>
        <w:snapToGrid w:val="0"/>
        <w:spacing w:beforeLines="0" w:afterLines="0" w:line="288" w:lineRule="auto"/>
        <w:outlineLvl w:val="0"/>
        <w:rPr>
          <w:rFonts w:hAnsi="宋体"/>
          <w:b/>
          <w:sz w:val="32"/>
          <w:szCs w:val="32"/>
        </w:rPr>
        <w:sectPr>
          <w:footerReference r:id="rId9" w:type="default"/>
          <w:pgSz w:w="11906" w:h="16838"/>
          <w:pgMar w:top="1440" w:right="1247" w:bottom="1440" w:left="1247" w:header="340" w:footer="850" w:gutter="0"/>
          <w:pgNumType w:start="1"/>
          <w:cols w:space="720" w:num="1"/>
          <w:docGrid w:linePitch="381" w:charSpace="0"/>
        </w:sectPr>
      </w:pPr>
      <w:bookmarkStart w:id="16" w:name="_Toc18279"/>
      <w:bookmarkStart w:id="17" w:name="_Toc32664"/>
    </w:p>
    <w:p>
      <w:pPr>
        <w:pStyle w:val="13"/>
        <w:snapToGrid w:val="0"/>
        <w:spacing w:beforeLines="0" w:afterLines="0" w:line="288" w:lineRule="auto"/>
        <w:rPr>
          <w:rFonts w:ascii="仿宋" w:hAnsi="仿宋" w:eastAsia="仿宋"/>
        </w:rPr>
      </w:pPr>
    </w:p>
    <w:p>
      <w:pPr>
        <w:pStyle w:val="13"/>
        <w:snapToGrid w:val="0"/>
        <w:spacing w:beforeLines="0" w:afterLines="0" w:line="288" w:lineRule="auto"/>
        <w:ind w:firstLine="643" w:firstLineChars="200"/>
        <w:jc w:val="center"/>
        <w:outlineLvl w:val="0"/>
        <w:rPr>
          <w:rFonts w:hAnsi="宋体"/>
          <w:b/>
          <w:sz w:val="32"/>
          <w:szCs w:val="32"/>
        </w:rPr>
      </w:pPr>
      <w:r>
        <w:rPr>
          <w:rFonts w:hint="eastAsia" w:hAnsi="宋体"/>
          <w:b/>
          <w:sz w:val="32"/>
          <w:szCs w:val="32"/>
        </w:rPr>
        <w:t>第三章  供应商须知</w:t>
      </w:r>
      <w:bookmarkEnd w:id="16"/>
      <w:bookmarkEnd w:id="17"/>
    </w:p>
    <w:p>
      <w:pPr>
        <w:spacing w:line="288" w:lineRule="auto"/>
        <w:ind w:left="238"/>
        <w:jc w:val="center"/>
        <w:rPr>
          <w:rFonts w:ascii="宋体" w:hAnsi="宋体"/>
          <w:b/>
          <w:sz w:val="24"/>
        </w:rPr>
      </w:pPr>
      <w:r>
        <w:rPr>
          <w:rFonts w:hint="eastAsia" w:ascii="宋体" w:hAnsi="宋体"/>
          <w:b/>
          <w:sz w:val="24"/>
        </w:rPr>
        <w:t>前附表</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8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8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1</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采 购 人：中国美术学院</w:t>
            </w:r>
          </w:p>
          <w:p>
            <w:pPr>
              <w:rPr>
                <w:rFonts w:ascii="宋体" w:hAnsi="宋体" w:cs="宋体"/>
                <w:sz w:val="21"/>
                <w:szCs w:val="21"/>
              </w:rPr>
            </w:pPr>
            <w:r>
              <w:rPr>
                <w:rFonts w:hint="eastAsia" w:ascii="宋体" w:hAnsi="宋体" w:cs="宋体"/>
                <w:sz w:val="21"/>
                <w:szCs w:val="21"/>
              </w:rPr>
              <w:t>项目名称：创新设计学院良渚校区智能展厅设备一批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2</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sz w:val="21"/>
                <w:szCs w:val="21"/>
              </w:rPr>
              <w:t>磋商响应报价：</w:t>
            </w:r>
            <w:r>
              <w:rPr>
                <w:rFonts w:hint="eastAsia" w:ascii="宋体" w:hAnsi="宋体"/>
                <w:b/>
                <w:spacing w:val="-6"/>
                <w:sz w:val="21"/>
                <w:szCs w:val="21"/>
              </w:rPr>
              <w:t>本项目采用</w:t>
            </w:r>
            <w:r>
              <w:rPr>
                <w:rFonts w:ascii="宋体" w:hAnsi="宋体"/>
                <w:b/>
                <w:spacing w:val="-6"/>
                <w:sz w:val="21"/>
                <w:szCs w:val="21"/>
              </w:rPr>
              <w:t>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3</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磋商费用：</w:t>
            </w:r>
          </w:p>
          <w:p>
            <w:pPr>
              <w:rPr>
                <w:rFonts w:ascii="宋体" w:hAnsi="宋体" w:cs="宋体"/>
                <w:sz w:val="21"/>
                <w:szCs w:val="21"/>
              </w:rPr>
            </w:pPr>
            <w:r>
              <w:rPr>
                <w:rFonts w:hint="eastAsia" w:ascii="宋体" w:hAnsi="宋体" w:cs="宋体"/>
                <w:sz w:val="21"/>
                <w:szCs w:val="21"/>
              </w:rPr>
              <w:t>1.不论磋商结果如何，供应商均应自行承担所有与磋商有关的全部费用；</w:t>
            </w:r>
          </w:p>
          <w:p>
            <w:pPr>
              <w:rPr>
                <w:rFonts w:ascii="宋体" w:hAnsi="宋体" w:cs="宋体"/>
                <w:sz w:val="21"/>
                <w:szCs w:val="21"/>
              </w:rPr>
            </w:pPr>
            <w:r>
              <w:rPr>
                <w:rFonts w:hint="eastAsia" w:ascii="宋体" w:hAnsi="宋体" w:cs="宋体"/>
                <w:sz w:val="21"/>
                <w:szCs w:val="21"/>
              </w:rPr>
              <w:t>2.成交供应商在成交通知书发出之日起七个工作日内，向采购代理机构交纳代理服务费。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b/>
                <w:bCs/>
                <w:sz w:val="21"/>
                <w:szCs w:val="21"/>
              </w:rPr>
              <w:t>响应文件份数：正本一份，副本五份，电子文档一份（U盘或光盘形式，彩色扫描件）。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5</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响应文件装订要求：</w:t>
            </w:r>
          </w:p>
          <w:p>
            <w:pPr>
              <w:rPr>
                <w:rFonts w:ascii="宋体" w:hAnsi="宋体" w:cs="宋体"/>
                <w:sz w:val="21"/>
                <w:szCs w:val="21"/>
              </w:rPr>
            </w:pPr>
            <w:r>
              <w:rPr>
                <w:rFonts w:hint="eastAsia" w:ascii="宋体" w:hAnsi="宋体" w:cs="宋体"/>
                <w:sz w:val="21"/>
                <w:szCs w:val="21"/>
              </w:rPr>
              <w:t>报价文件、商务和技术文件分别编制合并装订成册，同时提供响应文件电子文档（U盘或光盘形式，电子文档需为签字且加盖公章后的响应文件完成版彩色扫描件）；</w:t>
            </w:r>
          </w:p>
          <w:p>
            <w:pPr>
              <w:rPr>
                <w:rFonts w:ascii="宋体" w:hAnsi="宋体" w:cs="宋体"/>
                <w:sz w:val="21"/>
                <w:szCs w:val="21"/>
              </w:rPr>
            </w:pPr>
            <w:r>
              <w:rPr>
                <w:rFonts w:hint="eastAsia" w:ascii="宋体" w:hAnsi="宋体" w:cs="宋体"/>
                <w:b/>
                <w:bCs/>
                <w:sz w:val="21"/>
                <w:szCs w:val="21"/>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6</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7</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成交结果公示：成交结果公示于浙江政府采购网（http://www.zjzfcg.gov.cn)等相关网站或媒体。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8</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9</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签订合同：成交通知书发出之日起30日内。</w:t>
            </w:r>
          </w:p>
          <w:p>
            <w:pPr>
              <w:rPr>
                <w:rFonts w:ascii="宋体" w:hAnsi="宋体" w:cs="宋体"/>
                <w:sz w:val="21"/>
                <w:szCs w:val="21"/>
              </w:rPr>
            </w:pPr>
            <w:r>
              <w:rPr>
                <w:rFonts w:hint="eastAsia" w:ascii="宋体" w:hAnsi="宋体" w:cs="宋体"/>
                <w:sz w:val="21"/>
                <w:szCs w:val="21"/>
              </w:rPr>
              <w:t>支付代理服务费：成交通知书发出之日起七个工作日内，</w:t>
            </w:r>
            <w:r>
              <w:rPr>
                <w:rFonts w:hint="eastAsia" w:ascii="宋体" w:hAnsi="宋体"/>
                <w:sz w:val="21"/>
                <w:szCs w:val="21"/>
              </w:rPr>
              <w:t>成交供应商逾期支付代理服务费，须承担代理服务费每日百分之三的违约金，逾期十日未支付的，采购代理机构有权向杭州仲裁委员会对成交供应商提起仲裁，</w:t>
            </w:r>
            <w:r>
              <w:rPr>
                <w:rFonts w:hint="eastAsia"/>
                <w:sz w:val="21"/>
                <w:szCs w:val="21"/>
              </w:rPr>
              <w:t>仲裁费用（包括仲裁受理费和仲裁处理费）均</w:t>
            </w:r>
            <w:r>
              <w:rPr>
                <w:rFonts w:hint="eastAsia" w:ascii="宋体" w:hAnsi="宋体"/>
                <w:sz w:val="21"/>
                <w:szCs w:val="21"/>
              </w:rPr>
              <w:t>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10</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11</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磋商前答疑会：无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12</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13</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▲供应商授权代表持本人有效的身份证原件、驾驶证原件或护照原件于响应文件提交的截止时间前到达响应文件的开启地点参与磋商。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rPr>
            </w:pPr>
            <w:r>
              <w:rPr>
                <w:rFonts w:hint="eastAsia" w:ascii="宋体" w:hAnsi="宋体" w:cs="宋体"/>
                <w:b/>
                <w:bCs/>
                <w:sz w:val="21"/>
                <w:szCs w:val="21"/>
              </w:rPr>
              <w:t>14</w:t>
            </w:r>
          </w:p>
        </w:tc>
        <w:tc>
          <w:tcPr>
            <w:tcW w:w="8920" w:type="dxa"/>
            <w:vAlign w:val="center"/>
          </w:tcPr>
          <w:p>
            <w:pPr>
              <w:rPr>
                <w:rFonts w:ascii="宋体" w:hAnsi="宋体" w:cs="宋体"/>
                <w:sz w:val="21"/>
                <w:szCs w:val="21"/>
              </w:rPr>
            </w:pPr>
            <w:r>
              <w:rPr>
                <w:rFonts w:hint="eastAsia" w:ascii="宋体" w:hAnsi="宋体" w:cs="宋体"/>
                <w:sz w:val="21"/>
                <w:szCs w:val="21"/>
              </w:rPr>
              <w:t>政府采购促进中小企业发展：提供材料详见磋商文件第六章“报价文件”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rPr>
            </w:pPr>
            <w:r>
              <w:rPr>
                <w:rFonts w:hint="eastAsia" w:ascii="宋体" w:hAnsi="宋体" w:cs="宋体"/>
                <w:b/>
                <w:bCs/>
                <w:sz w:val="21"/>
                <w:szCs w:val="21"/>
              </w:rPr>
              <w:t>15</w:t>
            </w:r>
          </w:p>
        </w:tc>
        <w:tc>
          <w:tcPr>
            <w:tcW w:w="8920" w:type="dxa"/>
            <w:vAlign w:val="center"/>
          </w:tcPr>
          <w:p>
            <w:pPr>
              <w:rPr>
                <w:rFonts w:ascii="宋体" w:hAnsi="宋体" w:cs="宋体"/>
                <w:sz w:val="21"/>
                <w:szCs w:val="21"/>
              </w:rPr>
            </w:pPr>
            <w:r>
              <w:rPr>
                <w:rFonts w:hint="eastAsia" w:ascii="宋体" w:hAnsi="宋体" w:cs="宋体"/>
                <w:sz w:val="21"/>
                <w:szCs w:val="21"/>
              </w:rPr>
              <w:t>政府采购支持监狱企业发展：提供材料详见磋商文件第六章“报价文件”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rPr>
            </w:pPr>
            <w:r>
              <w:rPr>
                <w:rFonts w:hint="eastAsia" w:ascii="宋体" w:hAnsi="宋体" w:cs="宋体"/>
                <w:b/>
                <w:bCs/>
                <w:sz w:val="21"/>
                <w:szCs w:val="21"/>
              </w:rPr>
              <w:t>16</w:t>
            </w:r>
          </w:p>
        </w:tc>
        <w:tc>
          <w:tcPr>
            <w:tcW w:w="8920" w:type="dxa"/>
            <w:vAlign w:val="center"/>
          </w:tcPr>
          <w:p>
            <w:pPr>
              <w:rPr>
                <w:rFonts w:ascii="宋体" w:hAnsi="宋体" w:cs="宋体"/>
                <w:sz w:val="21"/>
                <w:szCs w:val="21"/>
              </w:rPr>
            </w:pPr>
            <w:r>
              <w:rPr>
                <w:rFonts w:hint="eastAsia" w:ascii="宋体" w:hAnsi="宋体" w:cs="宋体"/>
                <w:sz w:val="21"/>
                <w:szCs w:val="21"/>
              </w:rPr>
              <w:t>政府采购促进残疾人就业：提供材料详见磋商文件第六章“报价文件”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rPr>
            </w:pPr>
            <w:r>
              <w:rPr>
                <w:rFonts w:hint="eastAsia" w:ascii="宋体" w:hAnsi="宋体" w:cs="宋体"/>
                <w:b/>
                <w:bCs/>
                <w:sz w:val="21"/>
                <w:szCs w:val="21"/>
              </w:rPr>
              <w:t>17</w:t>
            </w:r>
          </w:p>
        </w:tc>
        <w:tc>
          <w:tcPr>
            <w:tcW w:w="8920" w:type="dxa"/>
            <w:vAlign w:val="center"/>
          </w:tcPr>
          <w:p>
            <w:pPr>
              <w:rPr>
                <w:rFonts w:ascii="宋体" w:hAnsi="宋体" w:cs="宋体"/>
                <w:sz w:val="21"/>
                <w:szCs w:val="21"/>
              </w:rPr>
            </w:pPr>
            <w:r>
              <w:rPr>
                <w:rFonts w:hint="eastAsia" w:ascii="宋体" w:hAnsi="宋体" w:cs="宋体"/>
                <w:sz w:val="21"/>
                <w:szCs w:val="21"/>
              </w:rPr>
              <w:t>政府强制采购节能产品：详见采购需求，提供材料详见磋商文件第六章“商务文件”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rPr>
            </w:pPr>
            <w:r>
              <w:rPr>
                <w:rFonts w:hint="eastAsia" w:ascii="宋体" w:hAnsi="宋体" w:cs="宋体"/>
                <w:b/>
                <w:bCs/>
                <w:sz w:val="21"/>
                <w:szCs w:val="21"/>
              </w:rPr>
              <w:t>18</w:t>
            </w:r>
          </w:p>
        </w:tc>
        <w:tc>
          <w:tcPr>
            <w:tcW w:w="8920" w:type="dxa"/>
            <w:vAlign w:val="center"/>
          </w:tcPr>
          <w:p>
            <w:pPr>
              <w:rPr>
                <w:rFonts w:ascii="宋体" w:hAnsi="宋体" w:cs="宋体"/>
                <w:sz w:val="21"/>
                <w:szCs w:val="21"/>
              </w:rPr>
            </w:pPr>
            <w:r>
              <w:rPr>
                <w:rFonts w:hint="eastAsia" w:ascii="宋体" w:hAnsi="宋体" w:cs="宋体"/>
                <w:sz w:val="21"/>
                <w:szCs w:val="21"/>
              </w:rPr>
              <w:t>政府优先采购节能、环保产品：提供材料详见磋商文件第六章“商务文件”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sz w:val="21"/>
                <w:szCs w:val="21"/>
              </w:rPr>
            </w:pPr>
            <w:r>
              <w:rPr>
                <w:rFonts w:hint="eastAsia" w:ascii="宋体" w:hAnsi="宋体" w:cs="宋体"/>
                <w:b/>
                <w:bCs/>
                <w:sz w:val="21"/>
                <w:szCs w:val="21"/>
              </w:rPr>
              <w:t>19</w:t>
            </w:r>
          </w:p>
        </w:tc>
        <w:tc>
          <w:tcPr>
            <w:tcW w:w="8920" w:type="dxa"/>
            <w:vAlign w:val="center"/>
          </w:tcPr>
          <w:p>
            <w:pPr>
              <w:rPr>
                <w:rFonts w:ascii="宋体" w:hAnsi="宋体" w:cs="宋体"/>
                <w:sz w:val="21"/>
                <w:szCs w:val="21"/>
              </w:rPr>
            </w:pPr>
            <w:r>
              <w:rPr>
                <w:rFonts w:hint="eastAsia" w:ascii="宋体" w:hAnsi="宋体" w:cs="宋体"/>
                <w:sz w:val="21"/>
                <w:szCs w:val="21"/>
              </w:rPr>
              <w:t>政府采购进口产品：不允许采购进口产品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20</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解释：本磋商文件的解释权属于采购代理机构。</w:t>
            </w:r>
          </w:p>
        </w:tc>
      </w:tr>
    </w:tbl>
    <w:p>
      <w:pPr>
        <w:pStyle w:val="13"/>
        <w:spacing w:beforeLines="0" w:afterLines="0" w:line="288" w:lineRule="auto"/>
        <w:jc w:val="center"/>
        <w:outlineLvl w:val="1"/>
        <w:rPr>
          <w:rFonts w:hAnsi="宋体"/>
          <w:b/>
          <w:spacing w:val="-6"/>
          <w:sz w:val="32"/>
          <w:szCs w:val="32"/>
        </w:rPr>
      </w:pPr>
      <w:r>
        <w:rPr>
          <w:rFonts w:hAnsi="宋体"/>
          <w:b/>
          <w:spacing w:val="-6"/>
          <w:sz w:val="21"/>
          <w:szCs w:val="21"/>
        </w:rPr>
        <w:br w:type="page"/>
      </w:r>
      <w:bookmarkStart w:id="18" w:name="_Toc31181"/>
      <w:r>
        <w:rPr>
          <w:rFonts w:hAnsi="宋体"/>
          <w:b/>
          <w:spacing w:val="-6"/>
          <w:sz w:val="32"/>
          <w:szCs w:val="32"/>
        </w:rPr>
        <w:t>一</w:t>
      </w:r>
      <w:r>
        <w:rPr>
          <w:rFonts w:hint="eastAsia" w:hAnsi="宋体"/>
          <w:b/>
          <w:spacing w:val="-6"/>
          <w:sz w:val="32"/>
          <w:szCs w:val="32"/>
        </w:rPr>
        <w:t>、</w:t>
      </w:r>
      <w:r>
        <w:rPr>
          <w:rFonts w:hAnsi="宋体"/>
          <w:b/>
          <w:spacing w:val="-6"/>
          <w:sz w:val="32"/>
          <w:szCs w:val="32"/>
        </w:rPr>
        <w:t>总则</w:t>
      </w:r>
      <w:bookmarkEnd w:id="18"/>
    </w:p>
    <w:p>
      <w:pPr>
        <w:spacing w:line="288" w:lineRule="auto"/>
        <w:jc w:val="left"/>
        <w:rPr>
          <w:rFonts w:ascii="宋体" w:hAnsi="宋体"/>
          <w:b/>
          <w:spacing w:val="-6"/>
          <w:sz w:val="24"/>
        </w:rPr>
      </w:pPr>
      <w:bookmarkStart w:id="19" w:name="_Toc26085"/>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bookmarkEnd w:id="19"/>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本磋商文件适用于中国美术学院创新设计学院良渚校区智能展厅设备一批的磋商、评审、成交、验收、合同履约、付款等（法律、法规另有规定的，从其规定）。</w:t>
      </w:r>
    </w:p>
    <w:p>
      <w:pPr>
        <w:spacing w:line="288" w:lineRule="auto"/>
        <w:jc w:val="left"/>
        <w:rPr>
          <w:rFonts w:ascii="宋体" w:hAnsi="宋体"/>
          <w:b/>
          <w:spacing w:val="-6"/>
          <w:sz w:val="24"/>
        </w:rPr>
      </w:pPr>
      <w:bookmarkStart w:id="20" w:name="_Toc935"/>
      <w:r>
        <w:rPr>
          <w:rFonts w:hint="eastAsia" w:ascii="宋体" w:hAnsi="宋体"/>
          <w:b/>
          <w:spacing w:val="-6"/>
          <w:sz w:val="24"/>
        </w:rPr>
        <w:t>（二） 定义</w:t>
      </w:r>
      <w:bookmarkEnd w:id="20"/>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1.“采购人”系指中国美术学院；</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3．“供应商”系指响应磋商、参加竞争的法人、其他组织或者自然人；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4．“书面形式”包括信函、传真、电子文档等；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5．“▲”系指实质性要求条款，供应商必须做出实质性响应。</w:t>
      </w:r>
    </w:p>
    <w:p>
      <w:pPr>
        <w:spacing w:line="288" w:lineRule="auto"/>
        <w:jc w:val="left"/>
        <w:rPr>
          <w:rFonts w:ascii="宋体" w:hAnsi="宋体"/>
          <w:b/>
          <w:spacing w:val="-6"/>
          <w:sz w:val="24"/>
        </w:rPr>
      </w:pPr>
      <w:bookmarkStart w:id="21" w:name="_Toc28078"/>
      <w:r>
        <w:rPr>
          <w:rFonts w:hint="eastAsia" w:ascii="宋体" w:hAnsi="宋体"/>
          <w:b/>
          <w:spacing w:val="-6"/>
          <w:sz w:val="24"/>
        </w:rPr>
        <w:t>（三） 采购方式</w:t>
      </w:r>
      <w:bookmarkEnd w:id="21"/>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本次采购采用竞争性磋商方式进行。</w:t>
      </w:r>
    </w:p>
    <w:p>
      <w:pPr>
        <w:spacing w:line="288" w:lineRule="auto"/>
        <w:jc w:val="left"/>
        <w:rPr>
          <w:rFonts w:ascii="宋体" w:hAnsi="宋体"/>
          <w:b/>
          <w:spacing w:val="-6"/>
          <w:sz w:val="24"/>
        </w:rPr>
      </w:pPr>
      <w:bookmarkStart w:id="22" w:name="_Toc26979"/>
      <w:r>
        <w:rPr>
          <w:rFonts w:hint="eastAsia" w:ascii="宋体" w:hAnsi="宋体"/>
          <w:b/>
          <w:spacing w:val="-6"/>
          <w:sz w:val="24"/>
        </w:rPr>
        <w:t>（四） 竞争性磋商委托</w:t>
      </w:r>
      <w:bookmarkEnd w:id="22"/>
    </w:p>
    <w:p>
      <w:pPr>
        <w:spacing w:line="288" w:lineRule="auto"/>
        <w:ind w:firstLine="396" w:firstLineChars="200"/>
        <w:jc w:val="left"/>
        <w:rPr>
          <w:rFonts w:ascii="宋体" w:hAnsi="宋体"/>
          <w:spacing w:val="-6"/>
          <w:sz w:val="21"/>
          <w:szCs w:val="21"/>
        </w:rPr>
      </w:pPr>
      <w:r>
        <w:rPr>
          <w:rFonts w:ascii="宋体" w:hAnsi="宋体"/>
          <w:spacing w:val="-6"/>
          <w:sz w:val="21"/>
          <w:szCs w:val="21"/>
        </w:rPr>
        <w:t>供应商授权代表须携带有效身份证件</w:t>
      </w:r>
      <w:r>
        <w:rPr>
          <w:rFonts w:hint="eastAsia" w:ascii="宋体" w:hAnsi="宋体"/>
          <w:spacing w:val="-6"/>
          <w:sz w:val="21"/>
          <w:szCs w:val="21"/>
        </w:rPr>
        <w:t>（</w:t>
      </w:r>
      <w:r>
        <w:rPr>
          <w:rFonts w:hint="eastAsia" w:ascii="宋体" w:hAnsi="宋体"/>
          <w:sz w:val="21"/>
          <w:szCs w:val="21"/>
        </w:rPr>
        <w:t>身份证原件、驾驶证原件或护照原件</w:t>
      </w:r>
      <w:r>
        <w:rPr>
          <w:rFonts w:ascii="宋体" w:hAnsi="宋体"/>
          <w:spacing w:val="-6"/>
          <w:sz w:val="21"/>
          <w:szCs w:val="21"/>
        </w:rPr>
        <w:t>）</w:t>
      </w:r>
      <w:r>
        <w:rPr>
          <w:rFonts w:hint="eastAsia" w:ascii="宋体" w:hAnsi="宋体"/>
          <w:spacing w:val="-6"/>
          <w:sz w:val="21"/>
          <w:szCs w:val="21"/>
        </w:rPr>
        <w:t>。</w:t>
      </w: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hint="eastAsia" w:ascii="宋体" w:hAnsi="宋体"/>
          <w:bCs/>
          <w:spacing w:val="-6"/>
          <w:sz w:val="21"/>
          <w:szCs w:val="21"/>
        </w:rPr>
        <w:t>书</w:t>
      </w:r>
      <w:r>
        <w:rPr>
          <w:rFonts w:ascii="宋体" w:hAnsi="宋体"/>
          <w:bCs/>
          <w:spacing w:val="-6"/>
          <w:sz w:val="21"/>
          <w:szCs w:val="21"/>
        </w:rPr>
        <w:t>的法定代表人授权</w:t>
      </w:r>
      <w:r>
        <w:rPr>
          <w:rFonts w:hint="eastAsia" w:ascii="宋体" w:hAnsi="宋体"/>
          <w:bCs/>
          <w:spacing w:val="-6"/>
          <w:sz w:val="21"/>
          <w:szCs w:val="21"/>
        </w:rPr>
        <w:t>委托</w:t>
      </w:r>
      <w:r>
        <w:rPr>
          <w:rFonts w:ascii="宋体" w:hAnsi="宋体"/>
          <w:bCs/>
          <w:spacing w:val="-6"/>
          <w:sz w:val="21"/>
          <w:szCs w:val="21"/>
        </w:rPr>
        <w:t>书</w:t>
      </w:r>
      <w:r>
        <w:rPr>
          <w:rFonts w:hint="eastAsia" w:ascii="宋体" w:hAnsi="宋体"/>
          <w:spacing w:val="-6"/>
          <w:sz w:val="21"/>
          <w:szCs w:val="21"/>
        </w:rPr>
        <w:t>（</w:t>
      </w:r>
      <w:r>
        <w:rPr>
          <w:rFonts w:ascii="宋体" w:hAnsi="宋体"/>
          <w:spacing w:val="-6"/>
          <w:sz w:val="21"/>
          <w:szCs w:val="21"/>
        </w:rPr>
        <w:t>正本用原件，副本用复印件</w:t>
      </w:r>
      <w:r>
        <w:rPr>
          <w:rFonts w:hint="eastAsia" w:ascii="宋体" w:hAnsi="宋体"/>
          <w:spacing w:val="-6"/>
          <w:sz w:val="21"/>
          <w:szCs w:val="21"/>
        </w:rPr>
        <w:t>，详见响应文件格式）</w:t>
      </w:r>
      <w:r>
        <w:rPr>
          <w:rFonts w:ascii="宋体" w:hAnsi="宋体"/>
          <w:spacing w:val="-6"/>
          <w:sz w:val="21"/>
          <w:szCs w:val="21"/>
        </w:rPr>
        <w:t>。</w:t>
      </w:r>
    </w:p>
    <w:p>
      <w:pPr>
        <w:spacing w:line="288" w:lineRule="auto"/>
        <w:jc w:val="left"/>
        <w:rPr>
          <w:rFonts w:ascii="宋体" w:hAnsi="宋体"/>
          <w:b/>
          <w:spacing w:val="-6"/>
          <w:sz w:val="24"/>
        </w:rPr>
      </w:pPr>
      <w:bookmarkStart w:id="23" w:name="_Toc32218"/>
      <w:r>
        <w:rPr>
          <w:rFonts w:hint="eastAsia" w:ascii="宋体" w:hAnsi="宋体"/>
          <w:b/>
          <w:spacing w:val="-6"/>
          <w:sz w:val="24"/>
        </w:rPr>
        <w:t>（五） 磋商费用</w:t>
      </w:r>
      <w:bookmarkEnd w:id="23"/>
    </w:p>
    <w:p>
      <w:pPr>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不论磋商结果如何，供应商均应自行承担所有与磋商有关的全部费用；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2.成交供应商在成交通知书发出之日起七个工作日内，向采购代理机构交纳代理服务费，收费标准：</w:t>
      </w:r>
    </w:p>
    <w:tbl>
      <w:tblPr>
        <w:tblStyle w:val="23"/>
        <w:tblW w:w="96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813"/>
        <w:gridCol w:w="48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813" w:type="dxa"/>
            <w:tcMar>
              <w:top w:w="0" w:type="dxa"/>
              <w:left w:w="108" w:type="dxa"/>
              <w:bottom w:w="0" w:type="dxa"/>
              <w:right w:w="108" w:type="dxa"/>
            </w:tcMar>
            <w:vAlign w:val="center"/>
          </w:tcPr>
          <w:p>
            <w:pPr>
              <w:jc w:val="center"/>
              <w:rPr>
                <w:rFonts w:ascii="宋体" w:hAnsi="宋体" w:cs="宋体"/>
                <w:b/>
                <w:bCs/>
                <w:sz w:val="21"/>
                <w:szCs w:val="21"/>
              </w:rPr>
            </w:pPr>
            <w:r>
              <w:rPr>
                <w:rFonts w:hint="eastAsia" w:ascii="宋体" w:hAnsi="宋体" w:cs="宋体"/>
                <w:b/>
                <w:bCs/>
                <w:sz w:val="21"/>
                <w:szCs w:val="21"/>
              </w:rPr>
              <w:t>成交金额（万元）</w:t>
            </w:r>
          </w:p>
        </w:tc>
        <w:tc>
          <w:tcPr>
            <w:tcW w:w="4815" w:type="dxa"/>
            <w:tcMar>
              <w:top w:w="0" w:type="dxa"/>
              <w:left w:w="108" w:type="dxa"/>
              <w:bottom w:w="0" w:type="dxa"/>
              <w:right w:w="108" w:type="dxa"/>
            </w:tcMar>
            <w:vAlign w:val="center"/>
          </w:tcPr>
          <w:p>
            <w:pPr>
              <w:jc w:val="center"/>
              <w:rPr>
                <w:rFonts w:ascii="宋体" w:hAnsi="宋体" w:cs="宋体"/>
                <w:b/>
                <w:bCs/>
                <w:sz w:val="21"/>
                <w:szCs w:val="21"/>
              </w:rPr>
            </w:pPr>
            <w:r>
              <w:rPr>
                <w:rFonts w:hint="eastAsia" w:ascii="宋体" w:hAnsi="宋体" w:cs="宋体"/>
                <w:b/>
                <w:bCs/>
                <w:sz w:val="21"/>
                <w:szCs w:val="21"/>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813" w:type="dxa"/>
            <w:tcMar>
              <w:top w:w="0" w:type="dxa"/>
              <w:left w:w="108" w:type="dxa"/>
              <w:bottom w:w="0" w:type="dxa"/>
              <w:right w:w="108" w:type="dxa"/>
            </w:tcMar>
            <w:vAlign w:val="center"/>
          </w:tcPr>
          <w:p>
            <w:pPr>
              <w:jc w:val="center"/>
              <w:rPr>
                <w:rFonts w:ascii="宋体" w:hAnsi="宋体" w:cs="宋体"/>
                <w:sz w:val="21"/>
                <w:szCs w:val="21"/>
              </w:rPr>
            </w:pPr>
            <w:r>
              <w:rPr>
                <w:rFonts w:hint="eastAsia" w:ascii="宋体" w:hAnsi="宋体" w:cs="宋体"/>
                <w:sz w:val="21"/>
                <w:szCs w:val="21"/>
              </w:rPr>
              <w:t>100以下</w:t>
            </w:r>
          </w:p>
        </w:tc>
        <w:tc>
          <w:tcPr>
            <w:tcW w:w="4815" w:type="dxa"/>
            <w:tcMar>
              <w:top w:w="0" w:type="dxa"/>
              <w:left w:w="108" w:type="dxa"/>
              <w:bottom w:w="0" w:type="dxa"/>
              <w:right w:w="108" w:type="dxa"/>
            </w:tcMar>
            <w:vAlign w:val="center"/>
          </w:tcPr>
          <w:p>
            <w:pPr>
              <w:jc w:val="center"/>
              <w:rPr>
                <w:rFonts w:ascii="宋体" w:hAnsi="宋体" w:cs="宋体"/>
                <w:sz w:val="21"/>
                <w:szCs w:val="21"/>
              </w:rPr>
            </w:pPr>
            <w:r>
              <w:rPr>
                <w:rFonts w:hint="eastAsia" w:ascii="宋体" w:hAnsi="宋体" w:cs="宋体"/>
                <w:sz w:val="21"/>
                <w:szCs w:val="21"/>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813" w:type="dxa"/>
            <w:tcMar>
              <w:top w:w="0" w:type="dxa"/>
              <w:left w:w="108" w:type="dxa"/>
              <w:bottom w:w="0" w:type="dxa"/>
              <w:right w:w="108" w:type="dxa"/>
            </w:tcMar>
            <w:vAlign w:val="center"/>
          </w:tcPr>
          <w:p>
            <w:pPr>
              <w:jc w:val="center"/>
              <w:rPr>
                <w:rFonts w:ascii="宋体" w:hAnsi="宋体" w:cs="宋体"/>
                <w:sz w:val="21"/>
                <w:szCs w:val="21"/>
              </w:rPr>
            </w:pPr>
            <w:r>
              <w:rPr>
                <w:rFonts w:hint="eastAsia" w:ascii="宋体" w:hAnsi="宋体" w:cs="宋体"/>
                <w:sz w:val="21"/>
                <w:szCs w:val="21"/>
              </w:rPr>
              <w:t>100-500</w:t>
            </w:r>
          </w:p>
        </w:tc>
        <w:tc>
          <w:tcPr>
            <w:tcW w:w="4815" w:type="dxa"/>
            <w:tcMar>
              <w:top w:w="0" w:type="dxa"/>
              <w:left w:w="108" w:type="dxa"/>
              <w:bottom w:w="0" w:type="dxa"/>
              <w:right w:w="108" w:type="dxa"/>
            </w:tcMar>
            <w:vAlign w:val="center"/>
          </w:tcPr>
          <w:p>
            <w:pPr>
              <w:jc w:val="center"/>
              <w:rPr>
                <w:rFonts w:ascii="宋体" w:hAnsi="宋体" w:cs="宋体"/>
                <w:sz w:val="21"/>
                <w:szCs w:val="21"/>
              </w:rPr>
            </w:pPr>
            <w:r>
              <w:rPr>
                <w:rFonts w:hint="eastAsia" w:ascii="宋体" w:hAnsi="宋体" w:cs="宋体"/>
                <w:sz w:val="21"/>
                <w:szCs w:val="21"/>
              </w:rPr>
              <w:t>0.88（采用差额累计法计算）</w:t>
            </w:r>
          </w:p>
        </w:tc>
      </w:tr>
    </w:tbl>
    <w:p>
      <w:pPr>
        <w:spacing w:line="288" w:lineRule="auto"/>
        <w:ind w:firstLine="396" w:firstLineChars="200"/>
        <w:jc w:val="left"/>
        <w:rPr>
          <w:rFonts w:ascii="宋体" w:hAnsi="宋体"/>
          <w:b/>
          <w:spacing w:val="-6"/>
          <w:sz w:val="24"/>
        </w:rPr>
      </w:pPr>
      <w:bookmarkStart w:id="24" w:name="_Toc19168"/>
      <w:r>
        <w:rPr>
          <w:rFonts w:hint="eastAsia" w:ascii="宋体" w:hAnsi="宋体"/>
          <w:spacing w:val="-6"/>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ascii="宋体" w:hAnsi="宋体"/>
          <w:b/>
          <w:spacing w:val="-6"/>
          <w:sz w:val="24"/>
        </w:rPr>
      </w:pPr>
      <w:r>
        <w:rPr>
          <w:rFonts w:hint="eastAsia" w:ascii="宋体" w:hAnsi="宋体"/>
          <w:b/>
          <w:spacing w:val="-6"/>
          <w:sz w:val="24"/>
        </w:rPr>
        <w:t>（六） 联合体响应</w:t>
      </w:r>
      <w:bookmarkEnd w:id="24"/>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本项目不接受联合体响应。</w:t>
      </w:r>
    </w:p>
    <w:p>
      <w:pPr>
        <w:spacing w:line="288" w:lineRule="auto"/>
        <w:jc w:val="left"/>
        <w:rPr>
          <w:rFonts w:ascii="宋体" w:hAnsi="宋体"/>
          <w:b/>
          <w:spacing w:val="-6"/>
          <w:sz w:val="24"/>
        </w:rPr>
      </w:pPr>
      <w:bookmarkStart w:id="25" w:name="_Toc8442"/>
      <w:r>
        <w:rPr>
          <w:rFonts w:hint="eastAsia" w:ascii="宋体" w:hAnsi="宋体"/>
          <w:b/>
          <w:spacing w:val="-6"/>
          <w:sz w:val="24"/>
        </w:rPr>
        <w:t>（七） 转包与分包</w:t>
      </w:r>
      <w:bookmarkEnd w:id="25"/>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本项目不允许转包；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ascii="宋体" w:hAnsi="宋体" w:cs="宋体"/>
          <w:b/>
          <w:spacing w:val="-6"/>
          <w:kern w:val="0"/>
          <w:sz w:val="24"/>
        </w:rPr>
      </w:pPr>
      <w:bookmarkStart w:id="26" w:name="_Toc4571"/>
      <w:r>
        <w:rPr>
          <w:rFonts w:hint="eastAsia" w:ascii="宋体" w:hAnsi="宋体" w:cs="宋体"/>
          <w:b/>
          <w:spacing w:val="-6"/>
          <w:kern w:val="0"/>
          <w:sz w:val="24"/>
        </w:rPr>
        <w:t>（八） 特别说明</w:t>
      </w:r>
      <w:bookmarkEnd w:id="26"/>
    </w:p>
    <w:p>
      <w:pPr>
        <w:pStyle w:val="11"/>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w:t>
      </w:r>
      <w:r>
        <w:rPr>
          <w:rFonts w:hint="eastAsia" w:hAnsi="宋体"/>
          <w:spacing w:val="-6"/>
          <w:sz w:val="21"/>
          <w:szCs w:val="21"/>
        </w:rPr>
        <w:t>供应商</w:t>
      </w:r>
      <w:r>
        <w:rPr>
          <w:rFonts w:hAnsi="宋体"/>
          <w:spacing w:val="-6"/>
          <w:sz w:val="21"/>
          <w:szCs w:val="21"/>
        </w:rPr>
        <w:t>应仔细阅读</w:t>
      </w:r>
      <w:r>
        <w:rPr>
          <w:rFonts w:hint="eastAsia" w:hAnsi="宋体"/>
          <w:spacing w:val="-6"/>
          <w:sz w:val="21"/>
          <w:szCs w:val="21"/>
        </w:rPr>
        <w:t>磋商</w:t>
      </w:r>
      <w:r>
        <w:rPr>
          <w:rFonts w:hAnsi="宋体"/>
          <w:spacing w:val="-6"/>
          <w:sz w:val="21"/>
          <w:szCs w:val="21"/>
        </w:rPr>
        <w:t>文件的所有内容，按照</w:t>
      </w:r>
      <w:r>
        <w:rPr>
          <w:rFonts w:hint="eastAsia" w:hAnsi="宋体"/>
          <w:spacing w:val="-6"/>
          <w:sz w:val="21"/>
          <w:szCs w:val="21"/>
        </w:rPr>
        <w:t>磋商</w:t>
      </w:r>
      <w:r>
        <w:rPr>
          <w:rFonts w:hAnsi="宋体"/>
          <w:spacing w:val="-6"/>
          <w:sz w:val="21"/>
          <w:szCs w:val="21"/>
        </w:rPr>
        <w:t>文件的要求提交</w:t>
      </w:r>
      <w:r>
        <w:rPr>
          <w:rFonts w:hint="eastAsia" w:hAnsi="宋体"/>
          <w:spacing w:val="-6"/>
          <w:sz w:val="21"/>
          <w:szCs w:val="21"/>
        </w:rPr>
        <w:t>响应</w:t>
      </w:r>
      <w:r>
        <w:rPr>
          <w:rFonts w:hAnsi="宋体"/>
          <w:spacing w:val="-6"/>
          <w:sz w:val="21"/>
          <w:szCs w:val="21"/>
        </w:rPr>
        <w:t>文件，并对所提供的全部资料的真实性承担法律责任。</w:t>
      </w:r>
    </w:p>
    <w:p>
      <w:pPr>
        <w:pStyle w:val="11"/>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单位负责人为同一人或者存在直接控股、管理关系的不同供应商，不得参加同一合同项下的政府采购活动。</w:t>
      </w:r>
    </w:p>
    <w:p>
      <w:pPr>
        <w:pStyle w:val="11"/>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3.为采购项目提供整体设计、规范编制或者项目管理、监理、检测等服务的供应商，不得再参加该采购项目的其他采购活动。</w:t>
      </w:r>
    </w:p>
    <w:p>
      <w:pPr>
        <w:pStyle w:val="11"/>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4.供应商授权代表必须为供应商本单位在职职工，并提供2019年1月至今任意一月社保缴纳证明。</w:t>
      </w:r>
    </w:p>
    <w:p>
      <w:pPr>
        <w:pStyle w:val="11"/>
        <w:spacing w:line="288" w:lineRule="auto"/>
        <w:ind w:firstLine="406" w:firstLineChars="200"/>
        <w:jc w:val="left"/>
        <w:rPr>
          <w:rFonts w:hAnsi="宋体"/>
          <w:spacing w:val="-6"/>
          <w:sz w:val="21"/>
          <w:szCs w:val="21"/>
        </w:rPr>
      </w:pPr>
      <w:r>
        <w:rPr>
          <w:rFonts w:hint="eastAsia" w:hAnsi="宋体"/>
          <w:b/>
          <w:sz w:val="21"/>
          <w:szCs w:val="21"/>
        </w:rPr>
        <w:t>▲</w:t>
      </w:r>
      <w:r>
        <w:rPr>
          <w:rFonts w:hint="eastAsia" w:hAnsi="宋体"/>
          <w:sz w:val="21"/>
          <w:szCs w:val="21"/>
        </w:rPr>
        <w:t>5.供应商授权代表必须持本人有效的身份证原件、驾驶证原件或护照原件于响应文件提交的截止时间前到达响应文件的开启地点参与磋商。</w:t>
      </w:r>
    </w:p>
    <w:p>
      <w:pPr>
        <w:pStyle w:val="11"/>
        <w:spacing w:line="288" w:lineRule="auto"/>
        <w:ind w:firstLine="396" w:firstLineChars="200"/>
        <w:jc w:val="left"/>
        <w:rPr>
          <w:rFonts w:hAnsi="宋体"/>
          <w:spacing w:val="-6"/>
          <w:sz w:val="21"/>
          <w:szCs w:val="21"/>
        </w:rPr>
      </w:pPr>
      <w:r>
        <w:rPr>
          <w:rFonts w:hint="eastAsia" w:hAnsi="宋体"/>
          <w:spacing w:val="-6"/>
          <w:sz w:val="21"/>
          <w:szCs w:val="21"/>
        </w:rPr>
        <w:t>6.采购人、采购代理机构可以视采购项目的具体情况，组织供应商进行现场考察或召开磋商前答疑会，但不得单独或分别组织只有一个供应商参加的现场考察和答疑会。</w:t>
      </w:r>
    </w:p>
    <w:p>
      <w:pPr>
        <w:pStyle w:val="11"/>
        <w:spacing w:line="288" w:lineRule="auto"/>
        <w:ind w:firstLine="396" w:firstLineChars="200"/>
        <w:jc w:val="left"/>
        <w:rPr>
          <w:rFonts w:hAnsi="宋体"/>
          <w:spacing w:val="-6"/>
          <w:sz w:val="21"/>
          <w:szCs w:val="21"/>
        </w:rPr>
      </w:pPr>
      <w:r>
        <w:rPr>
          <w:rFonts w:hint="eastAsia" w:hAnsi="宋体"/>
          <w:spacing w:val="-6"/>
          <w:sz w:val="21"/>
          <w:szCs w:val="21"/>
        </w:rPr>
        <w:t>7.浙财采监[2013]24号《关于规范政府采购供应商资格设定及资格审查的通知》第九条规定：</w:t>
      </w:r>
      <w:r>
        <w:rPr>
          <w:rFonts w:hAnsi="宋体"/>
          <w:spacing w:val="-6"/>
          <w:sz w:val="21"/>
          <w:szCs w:val="21"/>
        </w:rPr>
        <w:t>如多家供应商提供相同品牌相同型号的产品参加同一政府采购项目</w:t>
      </w:r>
      <w:r>
        <w:rPr>
          <w:rFonts w:hint="eastAsia" w:hAnsi="宋体"/>
          <w:spacing w:val="-6"/>
          <w:sz w:val="21"/>
          <w:szCs w:val="21"/>
        </w:rPr>
        <w:t>响应</w:t>
      </w:r>
      <w:r>
        <w:rPr>
          <w:rFonts w:hAnsi="宋体"/>
          <w:spacing w:val="-6"/>
          <w:sz w:val="21"/>
          <w:szCs w:val="21"/>
        </w:rPr>
        <w:t>的，应当按一家供应商认定。评审时，应取其中通过资格审查后的</w:t>
      </w:r>
      <w:r>
        <w:rPr>
          <w:rFonts w:hint="eastAsia" w:hAnsi="宋体"/>
          <w:spacing w:val="-6"/>
          <w:sz w:val="21"/>
          <w:szCs w:val="21"/>
        </w:rPr>
        <w:t>最后磋商</w:t>
      </w:r>
      <w:r>
        <w:rPr>
          <w:rFonts w:hAnsi="宋体"/>
          <w:spacing w:val="-6"/>
          <w:sz w:val="21"/>
          <w:szCs w:val="21"/>
        </w:rPr>
        <w:t>报价最低一家为有效供应商；</w:t>
      </w:r>
      <w:r>
        <w:rPr>
          <w:rFonts w:hint="eastAsia" w:hAnsi="宋体"/>
          <w:spacing w:val="-6"/>
          <w:sz w:val="21"/>
          <w:szCs w:val="21"/>
        </w:rPr>
        <w:t>最后</w:t>
      </w:r>
      <w:r>
        <w:rPr>
          <w:rFonts w:hAnsi="宋体"/>
          <w:spacing w:val="-6"/>
          <w:sz w:val="21"/>
          <w:szCs w:val="21"/>
        </w:rPr>
        <w:t>磋商报价相同时，取技术分最高者；均相同时，由</w:t>
      </w:r>
      <w:r>
        <w:rPr>
          <w:rFonts w:hint="eastAsia" w:hAnsi="宋体"/>
          <w:spacing w:val="-6"/>
          <w:sz w:val="21"/>
          <w:szCs w:val="21"/>
        </w:rPr>
        <w:t>磋商</w:t>
      </w:r>
      <w:r>
        <w:rPr>
          <w:rFonts w:hAnsi="宋体"/>
          <w:spacing w:val="-6"/>
          <w:sz w:val="21"/>
          <w:szCs w:val="21"/>
        </w:rPr>
        <w:t>小组集体决定。</w:t>
      </w:r>
    </w:p>
    <w:p>
      <w:pPr>
        <w:pStyle w:val="11"/>
        <w:spacing w:line="288" w:lineRule="auto"/>
        <w:ind w:firstLine="396" w:firstLineChars="200"/>
        <w:jc w:val="left"/>
        <w:rPr>
          <w:rFonts w:hAnsi="宋体"/>
          <w:spacing w:val="-6"/>
          <w:sz w:val="21"/>
          <w:szCs w:val="21"/>
        </w:rPr>
      </w:pPr>
      <w:r>
        <w:rPr>
          <w:rFonts w:hAnsi="宋体"/>
          <w:spacing w:val="-6"/>
          <w:sz w:val="21"/>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11"/>
        <w:spacing w:line="288" w:lineRule="auto"/>
        <w:ind w:firstLine="396" w:firstLineChars="200"/>
        <w:jc w:val="left"/>
        <w:rPr>
          <w:rFonts w:hAnsi="宋体"/>
          <w:spacing w:val="-6"/>
          <w:sz w:val="21"/>
          <w:szCs w:val="21"/>
        </w:rPr>
      </w:pPr>
      <w:r>
        <w:rPr>
          <w:rFonts w:hint="eastAsia" w:hAnsi="宋体"/>
          <w:spacing w:val="-6"/>
          <w:sz w:val="21"/>
          <w:szCs w:val="21"/>
        </w:rPr>
        <w:t>8.按照《浙江省政府采购供应商注册及诚信管理暂行办法》（浙财采监字［2009］28号）的相关规定，</w:t>
      </w:r>
      <w:r>
        <w:rPr>
          <w:rFonts w:hAnsi="宋体"/>
          <w:spacing w:val="-6"/>
          <w:sz w:val="21"/>
          <w:szCs w:val="21"/>
        </w:rPr>
        <w:t>未注册入库供应商参加政府采购活动时，应按</w:t>
      </w:r>
      <w:r>
        <w:rPr>
          <w:rFonts w:hint="eastAsia" w:hAnsi="宋体"/>
          <w:spacing w:val="-6"/>
          <w:sz w:val="21"/>
          <w:szCs w:val="21"/>
        </w:rPr>
        <w:t>磋商</w:t>
      </w:r>
      <w:r>
        <w:rPr>
          <w:rFonts w:hAnsi="宋体"/>
          <w:spacing w:val="-6"/>
          <w:sz w:val="21"/>
          <w:szCs w:val="21"/>
        </w:rPr>
        <w:t>文件要求提交相应的资格证明材料，按规定接受</w:t>
      </w:r>
      <w:r>
        <w:rPr>
          <w:rFonts w:hint="eastAsia" w:hAnsi="宋体"/>
          <w:spacing w:val="-6"/>
          <w:sz w:val="21"/>
          <w:szCs w:val="21"/>
        </w:rPr>
        <w:t>采购代理机构</w:t>
      </w:r>
      <w:r>
        <w:rPr>
          <w:rFonts w:hAnsi="宋体"/>
          <w:spacing w:val="-6"/>
          <w:sz w:val="21"/>
          <w:szCs w:val="21"/>
        </w:rPr>
        <w:t>或其委托的评审专家的资格审查和其他评审。一旦被确定为</w:t>
      </w:r>
      <w:r>
        <w:rPr>
          <w:rFonts w:hint="eastAsia" w:hAnsi="宋体"/>
          <w:spacing w:val="-6"/>
          <w:sz w:val="21"/>
          <w:szCs w:val="21"/>
        </w:rPr>
        <w:t>成交</w:t>
      </w:r>
      <w:r>
        <w:rPr>
          <w:rFonts w:hAnsi="宋体"/>
          <w:spacing w:val="-6"/>
          <w:sz w:val="21"/>
          <w:szCs w:val="21"/>
        </w:rPr>
        <w:t>候选供应商的，应在</w:t>
      </w:r>
      <w:r>
        <w:rPr>
          <w:rFonts w:hint="eastAsia" w:hAnsi="宋体"/>
          <w:spacing w:val="-6"/>
          <w:sz w:val="21"/>
          <w:szCs w:val="21"/>
        </w:rPr>
        <w:t>成交</w:t>
      </w:r>
      <w:r>
        <w:rPr>
          <w:rFonts w:hAnsi="宋体"/>
          <w:spacing w:val="-6"/>
          <w:sz w:val="21"/>
          <w:szCs w:val="21"/>
        </w:rPr>
        <w:t>通知书发出前的3个工作日内按本办法的规定进行注册申请，否则，</w:t>
      </w:r>
      <w:r>
        <w:rPr>
          <w:rFonts w:hint="eastAsia" w:hAnsi="宋体"/>
          <w:spacing w:val="-6"/>
          <w:sz w:val="21"/>
          <w:szCs w:val="21"/>
        </w:rPr>
        <w:t>采购代理机构</w:t>
      </w:r>
      <w:r>
        <w:rPr>
          <w:rFonts w:hAnsi="宋体"/>
          <w:spacing w:val="-6"/>
          <w:sz w:val="21"/>
          <w:szCs w:val="21"/>
        </w:rPr>
        <w:t>可以拒绝向其发出</w:t>
      </w:r>
      <w:r>
        <w:rPr>
          <w:rFonts w:hint="eastAsia" w:hAnsi="宋体"/>
          <w:spacing w:val="-6"/>
          <w:sz w:val="21"/>
          <w:szCs w:val="21"/>
        </w:rPr>
        <w:t>成交</w:t>
      </w:r>
      <w:r>
        <w:rPr>
          <w:rFonts w:hAnsi="宋体"/>
          <w:spacing w:val="-6"/>
          <w:sz w:val="21"/>
          <w:szCs w:val="21"/>
        </w:rPr>
        <w:t>通知书，并直接推荐排名次之的供应商为</w:t>
      </w:r>
      <w:r>
        <w:rPr>
          <w:rFonts w:hint="eastAsia" w:hAnsi="宋体"/>
          <w:spacing w:val="-6"/>
          <w:sz w:val="21"/>
          <w:szCs w:val="21"/>
        </w:rPr>
        <w:t>成交</w:t>
      </w:r>
      <w:r>
        <w:rPr>
          <w:rFonts w:hAnsi="宋体"/>
          <w:spacing w:val="-6"/>
          <w:sz w:val="21"/>
          <w:szCs w:val="21"/>
        </w:rPr>
        <w:t>候选供应商，依次类推。</w:t>
      </w:r>
    </w:p>
    <w:p>
      <w:pPr>
        <w:spacing w:line="288" w:lineRule="auto"/>
        <w:rPr>
          <w:rFonts w:ascii="宋体" w:hAnsi="宋体" w:cs="宋体"/>
          <w:b/>
          <w:spacing w:val="-6"/>
          <w:kern w:val="0"/>
          <w:sz w:val="24"/>
        </w:rPr>
      </w:pPr>
      <w:bookmarkStart w:id="27" w:name="_Toc9627"/>
      <w:r>
        <w:rPr>
          <w:rFonts w:ascii="宋体" w:hAnsi="宋体" w:cs="宋体"/>
          <w:b/>
          <w:spacing w:val="-6"/>
          <w:kern w:val="0"/>
          <w:sz w:val="24"/>
        </w:rPr>
        <w:t>（九）质疑和投诉</w:t>
      </w:r>
      <w:bookmarkEnd w:id="27"/>
    </w:p>
    <w:p>
      <w:pPr>
        <w:pStyle w:val="11"/>
        <w:spacing w:line="288" w:lineRule="auto"/>
        <w:ind w:firstLine="396" w:firstLineChars="200"/>
        <w:jc w:val="left"/>
        <w:rPr>
          <w:rFonts w:hAnsi="宋体"/>
          <w:spacing w:val="-6"/>
          <w:sz w:val="21"/>
          <w:szCs w:val="21"/>
        </w:rPr>
      </w:pPr>
      <w:r>
        <w:rPr>
          <w:rFonts w:hAnsi="宋体"/>
          <w:spacing w:val="-6"/>
          <w:sz w:val="21"/>
          <w:szCs w:val="21"/>
        </w:rPr>
        <w:t>1</w:t>
      </w:r>
      <w:r>
        <w:rPr>
          <w:rFonts w:hint="eastAsia" w:hAnsi="宋体"/>
          <w:spacing w:val="-6"/>
          <w:sz w:val="21"/>
          <w:szCs w:val="21"/>
        </w:rPr>
        <w:t>.供应商认为磋商文件、磋商过程和成交结果使自己的权益受到损害的，可以在知道或者应知其权益受到损害之日起七个工作日内，以书面形式向采购人或</w:t>
      </w:r>
      <w:r>
        <w:rPr>
          <w:rFonts w:hAnsi="宋体"/>
          <w:spacing w:val="-6"/>
          <w:sz w:val="21"/>
          <w:szCs w:val="21"/>
        </w:rPr>
        <w:t>采购代理机构</w:t>
      </w:r>
      <w:r>
        <w:rPr>
          <w:rFonts w:hint="eastAsia" w:hAnsi="宋体"/>
          <w:spacing w:val="-6"/>
          <w:sz w:val="21"/>
          <w:szCs w:val="21"/>
        </w:rPr>
        <w:t>提出质疑。质疑供应商对采购人、采购代理机构的答复不满意或者采购人、采购代理机构未在规定的时间内作出答复的，可以在答复期满后十五个工作日内向同级政府采购监督管理部门投诉。</w:t>
      </w:r>
    </w:p>
    <w:p>
      <w:pPr>
        <w:pStyle w:val="11"/>
        <w:spacing w:line="288" w:lineRule="auto"/>
        <w:ind w:firstLine="398" w:firstLineChars="200"/>
        <w:jc w:val="left"/>
        <w:rPr>
          <w:rFonts w:hAnsi="宋体"/>
          <w:b/>
          <w:spacing w:val="-6"/>
          <w:sz w:val="21"/>
          <w:szCs w:val="21"/>
        </w:rPr>
      </w:pPr>
      <w:r>
        <w:rPr>
          <w:rFonts w:hint="eastAsia" w:hAnsi="宋体"/>
          <w:b/>
          <w:spacing w:val="-6"/>
          <w:sz w:val="21"/>
          <w:szCs w:val="21"/>
        </w:rPr>
        <w:t>2.供应商提出质疑应当提交质疑函和必要的证明材料，</w:t>
      </w:r>
      <w:r>
        <w:rPr>
          <w:rFonts w:hint="eastAsia" w:hAnsi="宋体" w:cs="宋体"/>
          <w:b/>
          <w:sz w:val="21"/>
          <w:szCs w:val="21"/>
        </w:rPr>
        <w:t>质疑函范本请到“浙江政府采购网下载专区”下载，</w:t>
      </w:r>
      <w:r>
        <w:rPr>
          <w:rFonts w:hint="eastAsia" w:hAnsi="宋体"/>
          <w:b/>
          <w:spacing w:val="-6"/>
          <w:sz w:val="21"/>
          <w:szCs w:val="21"/>
        </w:rPr>
        <w:t>质疑函应当包括下列内容：</w:t>
      </w:r>
    </w:p>
    <w:p>
      <w:pPr>
        <w:pStyle w:val="11"/>
        <w:spacing w:line="288" w:lineRule="auto"/>
        <w:ind w:firstLine="396" w:firstLineChars="200"/>
        <w:jc w:val="left"/>
        <w:rPr>
          <w:rFonts w:hAnsi="宋体"/>
          <w:spacing w:val="-6"/>
          <w:sz w:val="21"/>
          <w:szCs w:val="21"/>
        </w:rPr>
      </w:pPr>
      <w:bookmarkStart w:id="28" w:name="_Toc14180"/>
      <w:r>
        <w:rPr>
          <w:rFonts w:hint="eastAsia" w:hAnsi="宋体"/>
          <w:spacing w:val="-6"/>
          <w:sz w:val="21"/>
          <w:szCs w:val="21"/>
        </w:rPr>
        <w:t>（一）供应商的姓名或者名称、地址、邮编、联系人及联系电话；</w:t>
      </w:r>
      <w:bookmarkEnd w:id="28"/>
    </w:p>
    <w:p>
      <w:pPr>
        <w:pStyle w:val="11"/>
        <w:spacing w:line="288" w:lineRule="auto"/>
        <w:ind w:firstLine="396" w:firstLineChars="200"/>
        <w:jc w:val="left"/>
        <w:rPr>
          <w:rFonts w:hAnsi="宋体"/>
          <w:spacing w:val="-6"/>
          <w:sz w:val="21"/>
          <w:szCs w:val="21"/>
        </w:rPr>
      </w:pPr>
      <w:bookmarkStart w:id="29" w:name="_Toc23134"/>
      <w:r>
        <w:rPr>
          <w:rFonts w:hint="eastAsia" w:hAnsi="宋体"/>
          <w:spacing w:val="-6"/>
          <w:sz w:val="21"/>
          <w:szCs w:val="21"/>
        </w:rPr>
        <w:t>（二）质疑项目的名称、编号；</w:t>
      </w:r>
      <w:bookmarkEnd w:id="29"/>
    </w:p>
    <w:p>
      <w:pPr>
        <w:pStyle w:val="11"/>
        <w:spacing w:line="288" w:lineRule="auto"/>
        <w:ind w:firstLine="396" w:firstLineChars="200"/>
        <w:jc w:val="left"/>
        <w:rPr>
          <w:rFonts w:hAnsi="宋体"/>
          <w:spacing w:val="-6"/>
          <w:sz w:val="21"/>
          <w:szCs w:val="21"/>
        </w:rPr>
      </w:pPr>
      <w:bookmarkStart w:id="30" w:name="_Toc27169"/>
      <w:r>
        <w:rPr>
          <w:rFonts w:hint="eastAsia" w:hAnsi="宋体"/>
          <w:spacing w:val="-6"/>
          <w:sz w:val="21"/>
          <w:szCs w:val="21"/>
        </w:rPr>
        <w:t>（三）具体、明确的质疑事项和与质疑事项相关的请求；</w:t>
      </w:r>
      <w:bookmarkEnd w:id="30"/>
    </w:p>
    <w:p>
      <w:pPr>
        <w:pStyle w:val="11"/>
        <w:spacing w:line="288" w:lineRule="auto"/>
        <w:ind w:firstLine="396" w:firstLineChars="200"/>
        <w:jc w:val="left"/>
        <w:rPr>
          <w:rFonts w:hAnsi="宋体"/>
          <w:spacing w:val="-6"/>
          <w:sz w:val="21"/>
          <w:szCs w:val="21"/>
        </w:rPr>
      </w:pPr>
      <w:bookmarkStart w:id="31" w:name="_Toc2993"/>
      <w:r>
        <w:rPr>
          <w:rFonts w:hint="eastAsia" w:hAnsi="宋体"/>
          <w:spacing w:val="-6"/>
          <w:sz w:val="21"/>
          <w:szCs w:val="21"/>
        </w:rPr>
        <w:t>（四）事实依据；</w:t>
      </w:r>
      <w:bookmarkEnd w:id="31"/>
    </w:p>
    <w:p>
      <w:pPr>
        <w:pStyle w:val="11"/>
        <w:spacing w:line="288" w:lineRule="auto"/>
        <w:ind w:firstLine="396" w:firstLineChars="200"/>
        <w:jc w:val="left"/>
        <w:rPr>
          <w:rFonts w:hAnsi="宋体"/>
          <w:spacing w:val="-6"/>
          <w:sz w:val="21"/>
          <w:szCs w:val="21"/>
        </w:rPr>
      </w:pPr>
      <w:bookmarkStart w:id="32" w:name="_Toc17316"/>
      <w:r>
        <w:rPr>
          <w:rFonts w:hint="eastAsia" w:hAnsi="宋体"/>
          <w:spacing w:val="-6"/>
          <w:sz w:val="21"/>
          <w:szCs w:val="21"/>
        </w:rPr>
        <w:t>（五）必要的法律依据；</w:t>
      </w:r>
      <w:bookmarkEnd w:id="32"/>
    </w:p>
    <w:p>
      <w:pPr>
        <w:pStyle w:val="11"/>
        <w:spacing w:line="288" w:lineRule="auto"/>
        <w:ind w:firstLine="396" w:firstLineChars="200"/>
        <w:jc w:val="left"/>
        <w:rPr>
          <w:rFonts w:hAnsi="宋体"/>
          <w:spacing w:val="-6"/>
          <w:sz w:val="21"/>
          <w:szCs w:val="21"/>
        </w:rPr>
      </w:pPr>
      <w:bookmarkStart w:id="33" w:name="_Toc22614"/>
      <w:r>
        <w:rPr>
          <w:rFonts w:hint="eastAsia" w:hAnsi="宋体"/>
          <w:spacing w:val="-6"/>
          <w:sz w:val="21"/>
          <w:szCs w:val="21"/>
        </w:rPr>
        <w:t>（六）提出质疑的日期。</w:t>
      </w:r>
      <w:bookmarkEnd w:id="33"/>
    </w:p>
    <w:p>
      <w:pPr>
        <w:pStyle w:val="11"/>
        <w:spacing w:line="288" w:lineRule="auto"/>
        <w:ind w:firstLine="396" w:firstLineChars="200"/>
        <w:jc w:val="left"/>
        <w:rPr>
          <w:rFonts w:hAnsi="宋体"/>
          <w:spacing w:val="-6"/>
          <w:sz w:val="21"/>
          <w:szCs w:val="21"/>
        </w:rPr>
      </w:pPr>
      <w:r>
        <w:rPr>
          <w:rFonts w:hint="eastAsia" w:hAnsi="宋体"/>
          <w:spacing w:val="-6"/>
          <w:sz w:val="21"/>
          <w:szCs w:val="21"/>
        </w:rPr>
        <w:t>供应商为自然人的，应当由本人签字；供应商为法人或者其他组织的，应当由法定代表人、主要负责人，或者其授权代表签字或者盖章，并加盖公章。</w:t>
      </w:r>
    </w:p>
    <w:p>
      <w:pPr>
        <w:pStyle w:val="11"/>
        <w:spacing w:line="288" w:lineRule="auto"/>
        <w:ind w:firstLine="404" w:firstLineChars="200"/>
        <w:rPr>
          <w:rFonts w:cs="宋体"/>
          <w:b/>
          <w:sz w:val="21"/>
          <w:szCs w:val="21"/>
        </w:rPr>
      </w:pPr>
      <w:r>
        <w:rPr>
          <w:rFonts w:hint="eastAsia" w:hAnsi="宋体" w:cs="宋体"/>
          <w:sz w:val="21"/>
          <w:szCs w:val="21"/>
        </w:rPr>
        <w:t>3.提出质疑的供应商应当是参与本项目响应活动的供应商。</w:t>
      </w:r>
      <w:r>
        <w:rPr>
          <w:rFonts w:hint="eastAsia" w:cs="宋体"/>
          <w:b/>
          <w:sz w:val="21"/>
          <w:szCs w:val="21"/>
        </w:rPr>
        <w:t>供应商在法定质疑期内应一次性提出针对同一采购程序环节的质疑。</w:t>
      </w:r>
    </w:p>
    <w:p>
      <w:pPr>
        <w:pStyle w:val="11"/>
        <w:spacing w:line="288" w:lineRule="auto"/>
        <w:ind w:firstLine="404" w:firstLineChars="200"/>
        <w:rPr>
          <w:rFonts w:cs="宋体"/>
          <w:sz w:val="21"/>
          <w:szCs w:val="21"/>
        </w:rPr>
      </w:pPr>
      <w:r>
        <w:rPr>
          <w:rFonts w:hint="eastAsia" w:cs="宋体"/>
          <w:sz w:val="21"/>
          <w:szCs w:val="21"/>
        </w:rPr>
        <w:t>4.根据《政府采购质疑和投诉办法》第三十七条的规定，供应商在全国范围</w:t>
      </w:r>
      <w:r>
        <w:rPr>
          <w:rFonts w:cs="宋体"/>
          <w:sz w:val="21"/>
          <w:szCs w:val="21"/>
        </w:rPr>
        <w:t>12</w:t>
      </w:r>
      <w:r>
        <w:rPr>
          <w:rFonts w:hint="eastAsia" w:cs="宋体"/>
          <w:sz w:val="21"/>
          <w:szCs w:val="21"/>
        </w:rPr>
        <w:t>个月内三次以上投诉查无实据的，由财政部门列入不良行为记录名单。</w:t>
      </w:r>
    </w:p>
    <w:p>
      <w:pPr>
        <w:pStyle w:val="11"/>
        <w:spacing w:line="288" w:lineRule="auto"/>
        <w:ind w:firstLine="404" w:firstLineChars="200"/>
        <w:rPr>
          <w:rFonts w:cs="宋体"/>
          <w:sz w:val="21"/>
          <w:szCs w:val="21"/>
        </w:rPr>
      </w:pPr>
      <w:r>
        <w:rPr>
          <w:rFonts w:hint="eastAsia" w:cs="宋体"/>
          <w:sz w:val="21"/>
          <w:szCs w:val="21"/>
        </w:rPr>
        <w:t>投诉人有下列行为之一的，属于虚假、恶意投诉，由财政部门列入不良行为记录名单，禁止其</w:t>
      </w:r>
      <w:r>
        <w:rPr>
          <w:rFonts w:cs="宋体"/>
          <w:sz w:val="21"/>
          <w:szCs w:val="21"/>
        </w:rPr>
        <w:t>1</w:t>
      </w:r>
      <w:r>
        <w:rPr>
          <w:rFonts w:hint="eastAsia" w:cs="宋体"/>
          <w:sz w:val="21"/>
          <w:szCs w:val="21"/>
        </w:rPr>
        <w:t>至</w:t>
      </w:r>
      <w:r>
        <w:rPr>
          <w:rFonts w:cs="宋体"/>
          <w:sz w:val="21"/>
          <w:szCs w:val="21"/>
        </w:rPr>
        <w:t>3</w:t>
      </w:r>
      <w:r>
        <w:rPr>
          <w:rFonts w:hint="eastAsia" w:cs="宋体"/>
          <w:sz w:val="21"/>
          <w:szCs w:val="21"/>
        </w:rPr>
        <w:t>年内参加政府采购活动：</w:t>
      </w:r>
    </w:p>
    <w:p>
      <w:pPr>
        <w:pStyle w:val="11"/>
        <w:spacing w:line="288" w:lineRule="auto"/>
        <w:ind w:firstLine="404" w:firstLineChars="200"/>
        <w:rPr>
          <w:rFonts w:cs="宋体"/>
          <w:sz w:val="21"/>
          <w:szCs w:val="21"/>
        </w:rPr>
      </w:pPr>
      <w:r>
        <w:rPr>
          <w:rFonts w:hint="eastAsia" w:cs="宋体"/>
          <w:sz w:val="21"/>
          <w:szCs w:val="21"/>
        </w:rPr>
        <w:t>（一）捏造事实；</w:t>
      </w:r>
    </w:p>
    <w:p>
      <w:pPr>
        <w:pStyle w:val="11"/>
        <w:spacing w:line="288" w:lineRule="auto"/>
        <w:ind w:firstLine="404" w:firstLineChars="200"/>
        <w:rPr>
          <w:rFonts w:cs="宋体"/>
          <w:sz w:val="21"/>
          <w:szCs w:val="21"/>
        </w:rPr>
      </w:pPr>
      <w:r>
        <w:rPr>
          <w:rFonts w:hint="eastAsia" w:cs="宋体"/>
          <w:sz w:val="21"/>
          <w:szCs w:val="21"/>
        </w:rPr>
        <w:t>（二）提供虚假材料；</w:t>
      </w:r>
    </w:p>
    <w:p>
      <w:pPr>
        <w:pStyle w:val="11"/>
        <w:spacing w:line="288" w:lineRule="auto"/>
        <w:ind w:firstLine="404" w:firstLineChars="200"/>
        <w:rPr>
          <w:rFonts w:cs="宋体"/>
          <w:sz w:val="21"/>
          <w:szCs w:val="21"/>
        </w:rPr>
      </w:pPr>
      <w:r>
        <w:rPr>
          <w:rFonts w:hint="eastAsia" w:cs="宋体"/>
          <w:sz w:val="21"/>
          <w:szCs w:val="21"/>
        </w:rPr>
        <w:t>（三）以非法手段取得证明材料。证据来源的合法性存在明显疑问，投诉人无法证明其取得方式合法的，视为以非法手段取得证明材料。</w:t>
      </w:r>
    </w:p>
    <w:p>
      <w:pPr>
        <w:pStyle w:val="13"/>
        <w:spacing w:beforeLines="0" w:afterLines="0" w:line="288" w:lineRule="auto"/>
        <w:jc w:val="center"/>
        <w:outlineLvl w:val="1"/>
        <w:rPr>
          <w:rFonts w:hAnsi="宋体"/>
          <w:b/>
          <w:spacing w:val="-6"/>
          <w:sz w:val="32"/>
          <w:szCs w:val="32"/>
        </w:rPr>
      </w:pPr>
      <w:r>
        <w:rPr>
          <w:rFonts w:hAnsi="宋体"/>
          <w:b/>
          <w:spacing w:val="-6"/>
          <w:sz w:val="21"/>
          <w:szCs w:val="21"/>
        </w:rPr>
        <w:br w:type="page"/>
      </w:r>
      <w:bookmarkStart w:id="34" w:name="_Toc27985"/>
      <w:r>
        <w:rPr>
          <w:rFonts w:hAnsi="宋体"/>
          <w:b/>
          <w:spacing w:val="-6"/>
          <w:sz w:val="32"/>
          <w:szCs w:val="32"/>
        </w:rPr>
        <w:t>二</w:t>
      </w:r>
      <w:r>
        <w:rPr>
          <w:rFonts w:hint="eastAsia" w:hAnsi="宋体"/>
          <w:b/>
          <w:spacing w:val="-6"/>
          <w:sz w:val="32"/>
          <w:szCs w:val="32"/>
        </w:rPr>
        <w:t>、磋商文件</w:t>
      </w:r>
      <w:bookmarkEnd w:id="34"/>
    </w:p>
    <w:p>
      <w:pPr>
        <w:spacing w:line="288" w:lineRule="auto"/>
        <w:jc w:val="left"/>
        <w:rPr>
          <w:rFonts w:ascii="宋体" w:hAnsi="宋体"/>
          <w:b/>
          <w:spacing w:val="-6"/>
          <w:sz w:val="24"/>
        </w:rPr>
      </w:pPr>
      <w:bookmarkStart w:id="35" w:name="_Toc23324"/>
      <w:r>
        <w:rPr>
          <w:rFonts w:hint="eastAsia" w:ascii="宋体" w:hAnsi="宋体"/>
          <w:b/>
          <w:spacing w:val="-6"/>
          <w:sz w:val="24"/>
        </w:rPr>
        <w:t>（一） 磋商文件的构成。本磋商文件由以下部份组成：</w:t>
      </w:r>
      <w:bookmarkEnd w:id="35"/>
    </w:p>
    <w:p>
      <w:pPr>
        <w:pStyle w:val="11"/>
        <w:spacing w:line="288" w:lineRule="auto"/>
        <w:ind w:firstLine="396" w:firstLineChars="200"/>
        <w:jc w:val="left"/>
        <w:rPr>
          <w:rFonts w:hAnsi="宋体"/>
          <w:spacing w:val="-6"/>
          <w:sz w:val="21"/>
          <w:szCs w:val="21"/>
        </w:rPr>
      </w:pPr>
      <w:r>
        <w:rPr>
          <w:rFonts w:hint="eastAsia" w:hAnsi="宋体"/>
          <w:spacing w:val="-6"/>
          <w:sz w:val="21"/>
          <w:szCs w:val="21"/>
        </w:rPr>
        <w:t>1.采购邀请</w:t>
      </w:r>
    </w:p>
    <w:p>
      <w:pPr>
        <w:pStyle w:val="11"/>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1"/>
        <w:spacing w:line="288" w:lineRule="auto"/>
        <w:ind w:firstLine="396" w:firstLineChars="200"/>
        <w:jc w:val="left"/>
        <w:rPr>
          <w:rFonts w:hAnsi="宋体"/>
          <w:spacing w:val="-6"/>
          <w:sz w:val="21"/>
          <w:szCs w:val="21"/>
        </w:rPr>
      </w:pPr>
      <w:r>
        <w:rPr>
          <w:rFonts w:hint="eastAsia" w:hAnsi="宋体"/>
          <w:spacing w:val="-6"/>
          <w:sz w:val="21"/>
          <w:szCs w:val="21"/>
        </w:rPr>
        <w:t>3.供应商须知</w:t>
      </w:r>
    </w:p>
    <w:p>
      <w:pPr>
        <w:pStyle w:val="11"/>
        <w:spacing w:line="288" w:lineRule="auto"/>
        <w:ind w:firstLine="396" w:firstLineChars="200"/>
        <w:jc w:val="left"/>
        <w:rPr>
          <w:rFonts w:hAnsi="宋体"/>
          <w:spacing w:val="-6"/>
          <w:sz w:val="21"/>
          <w:szCs w:val="21"/>
        </w:rPr>
      </w:pPr>
      <w:r>
        <w:rPr>
          <w:rFonts w:hint="eastAsia" w:hAnsi="宋体"/>
          <w:spacing w:val="-6"/>
          <w:sz w:val="21"/>
          <w:szCs w:val="21"/>
        </w:rPr>
        <w:t>4.评审办法及评分标准</w:t>
      </w:r>
    </w:p>
    <w:p>
      <w:pPr>
        <w:pStyle w:val="11"/>
        <w:spacing w:line="288" w:lineRule="auto"/>
        <w:ind w:firstLine="396" w:firstLineChars="200"/>
        <w:jc w:val="left"/>
        <w:rPr>
          <w:rFonts w:hAnsi="宋体"/>
          <w:spacing w:val="-6"/>
          <w:sz w:val="21"/>
          <w:szCs w:val="21"/>
        </w:rPr>
      </w:pPr>
      <w:r>
        <w:rPr>
          <w:rFonts w:hint="eastAsia" w:hAnsi="宋体"/>
          <w:spacing w:val="-6"/>
          <w:sz w:val="21"/>
          <w:szCs w:val="21"/>
        </w:rPr>
        <w:t>5.合同主要条款</w:t>
      </w:r>
    </w:p>
    <w:p>
      <w:pPr>
        <w:pStyle w:val="11"/>
        <w:spacing w:line="288" w:lineRule="auto"/>
        <w:ind w:firstLine="396" w:firstLineChars="200"/>
        <w:jc w:val="left"/>
        <w:rPr>
          <w:rFonts w:hAnsi="宋体"/>
          <w:spacing w:val="-6"/>
          <w:sz w:val="21"/>
          <w:szCs w:val="21"/>
        </w:rPr>
      </w:pPr>
      <w:r>
        <w:rPr>
          <w:rFonts w:hint="eastAsia" w:hAnsi="宋体"/>
          <w:spacing w:val="-6"/>
          <w:sz w:val="21"/>
          <w:szCs w:val="21"/>
        </w:rPr>
        <w:t>6.响应文件格式</w:t>
      </w:r>
    </w:p>
    <w:p>
      <w:pPr>
        <w:pStyle w:val="11"/>
        <w:spacing w:line="288" w:lineRule="auto"/>
        <w:ind w:firstLine="396" w:firstLineChars="200"/>
        <w:jc w:val="left"/>
        <w:rPr>
          <w:rFonts w:hAnsi="宋体"/>
          <w:spacing w:val="-6"/>
          <w:sz w:val="21"/>
          <w:szCs w:val="21"/>
        </w:rPr>
      </w:pPr>
      <w:r>
        <w:rPr>
          <w:rFonts w:hint="eastAsia" w:hAnsi="宋体"/>
          <w:spacing w:val="-6"/>
          <w:sz w:val="21"/>
          <w:szCs w:val="21"/>
        </w:rPr>
        <w:t>7.本项目磋商文件的澄清、答复、修改、补充的内容</w:t>
      </w:r>
    </w:p>
    <w:p>
      <w:pPr>
        <w:spacing w:line="288" w:lineRule="auto"/>
        <w:jc w:val="left"/>
        <w:rPr>
          <w:rFonts w:ascii="宋体" w:hAnsi="宋体"/>
          <w:spacing w:val="-6"/>
          <w:sz w:val="24"/>
        </w:rPr>
      </w:pPr>
      <w:bookmarkStart w:id="36" w:name="_Toc22962"/>
      <w:r>
        <w:rPr>
          <w:rFonts w:hint="eastAsia" w:ascii="宋体" w:hAnsi="宋体"/>
          <w:b/>
          <w:spacing w:val="-6"/>
          <w:sz w:val="24"/>
        </w:rPr>
        <w:t>（二） 供应商的风险</w:t>
      </w:r>
      <w:bookmarkEnd w:id="36"/>
    </w:p>
    <w:p>
      <w:pPr>
        <w:pStyle w:val="11"/>
        <w:spacing w:line="288" w:lineRule="auto"/>
        <w:ind w:firstLine="396" w:firstLineChars="200"/>
        <w:jc w:val="left"/>
        <w:rPr>
          <w:rFonts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pPr>
        <w:spacing w:line="288" w:lineRule="auto"/>
        <w:jc w:val="left"/>
        <w:rPr>
          <w:rFonts w:ascii="宋体" w:hAnsi="宋体"/>
          <w:b/>
          <w:spacing w:val="-6"/>
          <w:sz w:val="24"/>
        </w:rPr>
      </w:pPr>
      <w:bookmarkStart w:id="37" w:name="_Toc23421"/>
      <w:r>
        <w:rPr>
          <w:rFonts w:hint="eastAsia" w:ascii="宋体" w:hAnsi="宋体"/>
          <w:b/>
          <w:spacing w:val="-6"/>
          <w:sz w:val="24"/>
        </w:rPr>
        <w:t>（三） 磋商文件的澄清与修改</w:t>
      </w:r>
      <w:bookmarkEnd w:id="37"/>
    </w:p>
    <w:p>
      <w:pPr>
        <w:pStyle w:val="11"/>
        <w:spacing w:line="288" w:lineRule="auto"/>
        <w:ind w:firstLine="396" w:firstLineChars="200"/>
        <w:jc w:val="left"/>
        <w:rPr>
          <w:rFonts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1"/>
        <w:spacing w:line="288" w:lineRule="auto"/>
        <w:ind w:firstLine="396" w:firstLineChars="200"/>
        <w:jc w:val="left"/>
        <w:rPr>
          <w:rFonts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11"/>
        <w:spacing w:line="288" w:lineRule="auto"/>
        <w:ind w:firstLine="396" w:firstLineChars="200"/>
        <w:jc w:val="left"/>
        <w:rPr>
          <w:rFonts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pPr>
        <w:pStyle w:val="11"/>
        <w:spacing w:line="288" w:lineRule="auto"/>
        <w:ind w:firstLine="396" w:firstLineChars="200"/>
        <w:jc w:val="left"/>
        <w:rPr>
          <w:rFonts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pPr>
        <w:pStyle w:val="13"/>
        <w:spacing w:beforeLines="0" w:afterLines="0" w:line="288" w:lineRule="auto"/>
        <w:jc w:val="center"/>
        <w:outlineLvl w:val="1"/>
        <w:rPr>
          <w:rFonts w:hAnsi="宋体"/>
          <w:b/>
          <w:spacing w:val="-6"/>
          <w:sz w:val="32"/>
          <w:szCs w:val="32"/>
        </w:rPr>
      </w:pPr>
      <w:r>
        <w:rPr>
          <w:rFonts w:hAnsi="宋体"/>
          <w:spacing w:val="-6"/>
          <w:sz w:val="21"/>
          <w:szCs w:val="21"/>
        </w:rPr>
        <w:br w:type="page"/>
      </w:r>
      <w:bookmarkStart w:id="38" w:name="_Toc7464"/>
      <w:r>
        <w:rPr>
          <w:rFonts w:hAnsi="宋体"/>
          <w:b/>
          <w:spacing w:val="-6"/>
          <w:sz w:val="32"/>
          <w:szCs w:val="32"/>
        </w:rPr>
        <w:t>三</w:t>
      </w:r>
      <w:r>
        <w:rPr>
          <w:rFonts w:hint="eastAsia" w:hAnsi="宋体"/>
          <w:b/>
          <w:spacing w:val="-6"/>
          <w:sz w:val="32"/>
          <w:szCs w:val="32"/>
        </w:rPr>
        <w:t>、</w:t>
      </w:r>
      <w:r>
        <w:rPr>
          <w:rFonts w:hAnsi="宋体"/>
          <w:b/>
          <w:spacing w:val="-6"/>
          <w:sz w:val="32"/>
          <w:szCs w:val="32"/>
        </w:rPr>
        <w:t>响应文件的编制</w:t>
      </w:r>
      <w:bookmarkEnd w:id="38"/>
    </w:p>
    <w:p>
      <w:pPr>
        <w:spacing w:line="288" w:lineRule="auto"/>
        <w:jc w:val="left"/>
        <w:rPr>
          <w:rFonts w:ascii="宋体" w:hAnsi="宋体"/>
          <w:b/>
          <w:spacing w:val="-6"/>
          <w:sz w:val="24"/>
        </w:rPr>
      </w:pPr>
      <w:bookmarkStart w:id="39" w:name="_Toc1013"/>
      <w:r>
        <w:rPr>
          <w:rFonts w:hint="eastAsia" w:ascii="宋体" w:hAnsi="宋体"/>
          <w:b/>
          <w:spacing w:val="-6"/>
          <w:sz w:val="24"/>
        </w:rPr>
        <w:t>（一） 响应文件的组成</w:t>
      </w:r>
      <w:bookmarkEnd w:id="39"/>
    </w:p>
    <w:p>
      <w:pPr>
        <w:pStyle w:val="11"/>
        <w:spacing w:line="288" w:lineRule="auto"/>
        <w:ind w:firstLine="396" w:firstLineChars="200"/>
        <w:jc w:val="left"/>
        <w:rPr>
          <w:rFonts w:hAnsi="宋体"/>
          <w:spacing w:val="-6"/>
          <w:sz w:val="21"/>
          <w:szCs w:val="21"/>
        </w:rPr>
      </w:pPr>
      <w:r>
        <w:rPr>
          <w:rFonts w:hint="eastAsia" w:hAnsi="宋体"/>
          <w:spacing w:val="-6"/>
          <w:sz w:val="21"/>
          <w:szCs w:val="21"/>
        </w:rPr>
        <w:t>响应文件由</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两部分组成（格式详见磋商文件第六章）。</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1.报价文件：</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（1）初次报价一览表</w:t>
      </w:r>
    </w:p>
    <w:p>
      <w:pPr>
        <w:pStyle w:val="11"/>
        <w:spacing w:line="288" w:lineRule="auto"/>
        <w:ind w:firstLine="396" w:firstLineChars="200"/>
        <w:jc w:val="left"/>
        <w:rPr>
          <w:rFonts w:hAnsi="宋体"/>
          <w:spacing w:val="-6"/>
          <w:sz w:val="21"/>
          <w:szCs w:val="21"/>
        </w:rPr>
      </w:pPr>
      <w:r>
        <w:rPr>
          <w:rFonts w:hint="eastAsia" w:hAnsi="宋体"/>
          <w:spacing w:val="-6"/>
          <w:sz w:val="21"/>
          <w:szCs w:val="21"/>
        </w:rPr>
        <w:t>（2）初次报价明细表</w:t>
      </w:r>
    </w:p>
    <w:p>
      <w:pPr>
        <w:pStyle w:val="11"/>
        <w:spacing w:line="288" w:lineRule="auto"/>
        <w:ind w:firstLine="396" w:firstLineChars="200"/>
        <w:jc w:val="left"/>
        <w:rPr>
          <w:rFonts w:hAnsi="宋体"/>
          <w:spacing w:val="-6"/>
          <w:sz w:val="21"/>
          <w:szCs w:val="21"/>
        </w:rPr>
      </w:pPr>
      <w:r>
        <w:rPr>
          <w:rFonts w:hint="eastAsia" w:hAnsi="宋体"/>
          <w:spacing w:val="-6"/>
          <w:sz w:val="21"/>
          <w:szCs w:val="21"/>
        </w:rPr>
        <w:t>（3）供应商企业类型声明函</w:t>
      </w:r>
    </w:p>
    <w:p>
      <w:pPr>
        <w:pStyle w:val="11"/>
        <w:spacing w:line="288" w:lineRule="auto"/>
        <w:ind w:firstLine="396" w:firstLineChars="200"/>
        <w:jc w:val="left"/>
        <w:rPr>
          <w:rFonts w:hAnsi="宋体"/>
          <w:spacing w:val="-6"/>
          <w:sz w:val="21"/>
          <w:szCs w:val="21"/>
        </w:rPr>
      </w:pPr>
      <w:r>
        <w:rPr>
          <w:rFonts w:hint="eastAsia" w:hAnsi="宋体"/>
          <w:spacing w:val="-6"/>
          <w:sz w:val="21"/>
          <w:szCs w:val="21"/>
        </w:rPr>
        <w:t>（4）小微企业资格证明材料、监狱企业资格证明材料（若属于小微、监狱企业）</w:t>
      </w:r>
    </w:p>
    <w:p>
      <w:pPr>
        <w:pStyle w:val="11"/>
        <w:spacing w:line="288" w:lineRule="auto"/>
        <w:ind w:firstLine="396" w:firstLineChars="200"/>
        <w:jc w:val="left"/>
        <w:rPr>
          <w:rFonts w:hAnsi="宋体"/>
          <w:spacing w:val="-6"/>
          <w:sz w:val="21"/>
          <w:szCs w:val="21"/>
        </w:rPr>
      </w:pPr>
      <w:r>
        <w:rPr>
          <w:rFonts w:hint="eastAsia" w:hAnsi="宋体"/>
          <w:spacing w:val="-6"/>
          <w:sz w:val="21"/>
          <w:szCs w:val="21"/>
        </w:rPr>
        <w:t>（5）残疾人福利性单位声明函（若属于残疾人福利性单位）</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2.商务和技术文件：</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A.商务文件：</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（1）响应函</w:t>
      </w:r>
    </w:p>
    <w:p>
      <w:pPr>
        <w:pStyle w:val="11"/>
        <w:spacing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法定代表人资格证明书</w:t>
      </w:r>
      <w:r>
        <w:rPr>
          <w:rFonts w:hint="eastAsia" w:hAnsi="宋体"/>
          <w:spacing w:val="-6"/>
          <w:sz w:val="21"/>
          <w:szCs w:val="21"/>
        </w:rPr>
        <w:t>、法定代表人授权委托书</w:t>
      </w:r>
    </w:p>
    <w:p>
      <w:pPr>
        <w:pStyle w:val="11"/>
        <w:spacing w:line="288" w:lineRule="auto"/>
        <w:ind w:firstLine="396" w:firstLineChars="200"/>
        <w:jc w:val="left"/>
        <w:rPr>
          <w:rFonts w:hAnsi="宋体"/>
          <w:spacing w:val="-6"/>
          <w:sz w:val="21"/>
          <w:szCs w:val="21"/>
        </w:rPr>
      </w:pPr>
      <w:r>
        <w:rPr>
          <w:rFonts w:hint="eastAsia" w:hAnsi="宋体"/>
          <w:spacing w:val="-6"/>
          <w:sz w:val="21"/>
          <w:szCs w:val="21"/>
        </w:rPr>
        <w:t>（3）2019年1月至今任意一月供应商</w:t>
      </w:r>
      <w:r>
        <w:rPr>
          <w:rFonts w:hAnsi="宋体"/>
          <w:spacing w:val="-6"/>
          <w:sz w:val="21"/>
          <w:szCs w:val="21"/>
        </w:rPr>
        <w:t>授权代表社保缴纳证明</w:t>
      </w:r>
    </w:p>
    <w:p>
      <w:pPr>
        <w:pStyle w:val="11"/>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4</w:t>
      </w:r>
      <w:r>
        <w:rPr>
          <w:rFonts w:hint="eastAsia" w:hAnsi="宋体"/>
          <w:spacing w:val="-6"/>
          <w:sz w:val="21"/>
          <w:szCs w:val="21"/>
        </w:rPr>
        <w:t>）响应声明书</w:t>
      </w:r>
    </w:p>
    <w:p>
      <w:pPr>
        <w:pStyle w:val="11"/>
        <w:spacing w:line="288" w:lineRule="auto"/>
        <w:ind w:firstLine="398" w:firstLineChars="200"/>
        <w:jc w:val="left"/>
        <w:rPr>
          <w:rFonts w:hAnsi="宋体"/>
          <w:b/>
          <w:bCs/>
          <w:spacing w:val="-6"/>
          <w:sz w:val="21"/>
          <w:szCs w:val="21"/>
        </w:rPr>
      </w:pPr>
      <w:r>
        <w:rPr>
          <w:rFonts w:hint="eastAsia" w:hAnsi="宋体"/>
          <w:b/>
          <w:bCs/>
          <w:spacing w:val="-6"/>
          <w:sz w:val="21"/>
          <w:szCs w:val="21"/>
        </w:rPr>
        <w:t>（5）资格审查要求的资格证明材料(均需加盖公章)</w:t>
      </w:r>
    </w:p>
    <w:p>
      <w:pPr>
        <w:pStyle w:val="11"/>
        <w:spacing w:line="288" w:lineRule="auto"/>
        <w:ind w:left="560" w:leftChars="200" w:firstLine="0"/>
        <w:jc w:val="left"/>
        <w:rPr>
          <w:rFonts w:hAnsi="宋体"/>
          <w:b/>
          <w:spacing w:val="-6"/>
          <w:sz w:val="21"/>
          <w:szCs w:val="21"/>
        </w:rPr>
      </w:pPr>
      <w:r>
        <w:rPr>
          <w:rFonts w:hint="eastAsia" w:hAnsi="宋体"/>
          <w:b/>
          <w:spacing w:val="-6"/>
          <w:sz w:val="21"/>
          <w:szCs w:val="21"/>
        </w:rPr>
        <w:t>5.1）有效的法人或者其他组织的营业执照等证明文件（复印件），自然人的身份证明</w:t>
      </w:r>
    </w:p>
    <w:p>
      <w:pPr>
        <w:pStyle w:val="11"/>
        <w:spacing w:line="288" w:lineRule="auto"/>
        <w:ind w:left="560" w:leftChars="200" w:firstLine="0"/>
        <w:jc w:val="left"/>
        <w:rPr>
          <w:rFonts w:hAnsi="宋体"/>
          <w:b/>
          <w:spacing w:val="-6"/>
          <w:sz w:val="21"/>
          <w:szCs w:val="21"/>
        </w:rPr>
      </w:pPr>
      <w:r>
        <w:rPr>
          <w:rFonts w:hint="eastAsia" w:hAnsi="宋体"/>
          <w:b/>
          <w:spacing w:val="-6"/>
          <w:sz w:val="21"/>
          <w:szCs w:val="21"/>
        </w:rPr>
        <w:t>5.2）2018年12月至今任意一月的财务状况报告（复印件）或响应文件开启前三个月内出具的银行资信证明（若资信证明中注明复印无效，需提交正本）</w:t>
      </w:r>
    </w:p>
    <w:p>
      <w:pPr>
        <w:pStyle w:val="11"/>
        <w:spacing w:line="288" w:lineRule="auto"/>
        <w:ind w:left="560" w:leftChars="200" w:firstLine="0"/>
        <w:jc w:val="left"/>
        <w:rPr>
          <w:rFonts w:hAnsi="宋体"/>
          <w:b/>
          <w:spacing w:val="-6"/>
          <w:sz w:val="21"/>
          <w:szCs w:val="21"/>
        </w:rPr>
      </w:pPr>
      <w:r>
        <w:rPr>
          <w:rFonts w:hint="eastAsia" w:hAnsi="宋体"/>
          <w:b/>
          <w:spacing w:val="-6"/>
          <w:sz w:val="21"/>
          <w:szCs w:val="21"/>
        </w:rPr>
        <w:t>5.3）2019年1月至今任意一月依法缴纳税收的证明材料（依法免税的供应商应提供相应文件证明其依法免税）</w:t>
      </w:r>
    </w:p>
    <w:p>
      <w:pPr>
        <w:pStyle w:val="11"/>
        <w:spacing w:line="288" w:lineRule="auto"/>
        <w:ind w:left="560" w:leftChars="200" w:firstLine="0"/>
        <w:jc w:val="left"/>
        <w:rPr>
          <w:rFonts w:hAnsi="宋体"/>
          <w:b/>
          <w:spacing w:val="-6"/>
          <w:sz w:val="21"/>
          <w:szCs w:val="21"/>
        </w:rPr>
      </w:pPr>
      <w:r>
        <w:rPr>
          <w:rFonts w:hint="eastAsia" w:hAnsi="宋体"/>
          <w:b/>
          <w:spacing w:val="-6"/>
          <w:sz w:val="21"/>
          <w:szCs w:val="21"/>
        </w:rPr>
        <w:t>5.4）2019年1月至今任意一月依法缴纳社会保障资金的证明材料（依法不需要缴纳社会保障资金的供应商应提供相应文件证明其依法不需要缴纳社会保障资金）</w:t>
      </w:r>
    </w:p>
    <w:p>
      <w:pPr>
        <w:pStyle w:val="11"/>
        <w:spacing w:line="288" w:lineRule="auto"/>
        <w:ind w:left="560" w:leftChars="200" w:firstLine="0"/>
        <w:jc w:val="left"/>
        <w:rPr>
          <w:rFonts w:hAnsi="宋体"/>
          <w:b/>
          <w:spacing w:val="-6"/>
          <w:sz w:val="21"/>
          <w:szCs w:val="21"/>
        </w:rPr>
      </w:pPr>
      <w:r>
        <w:rPr>
          <w:rFonts w:hint="eastAsia" w:hAnsi="宋体"/>
          <w:b/>
          <w:spacing w:val="-6"/>
          <w:sz w:val="21"/>
          <w:szCs w:val="21"/>
        </w:rPr>
        <w:t>5.5）具有履行合同所必需的设备和专业技术能力的承诺函</w:t>
      </w:r>
    </w:p>
    <w:p>
      <w:pPr>
        <w:pStyle w:val="11"/>
        <w:spacing w:line="288" w:lineRule="auto"/>
        <w:ind w:left="560" w:leftChars="200" w:firstLine="0"/>
        <w:jc w:val="left"/>
        <w:rPr>
          <w:rFonts w:hAnsi="宋体"/>
          <w:b/>
          <w:spacing w:val="-6"/>
          <w:sz w:val="21"/>
          <w:szCs w:val="21"/>
        </w:rPr>
      </w:pPr>
      <w:r>
        <w:rPr>
          <w:rFonts w:hint="eastAsia" w:hAnsi="宋体"/>
          <w:b/>
          <w:spacing w:val="-6"/>
          <w:sz w:val="21"/>
          <w:szCs w:val="21"/>
        </w:rPr>
        <w:t>5.6）参加政府采购活动前3年内在经营活动中没有重大违法记录的书面声明</w:t>
      </w:r>
    </w:p>
    <w:p>
      <w:pPr>
        <w:pStyle w:val="11"/>
        <w:spacing w:line="288" w:lineRule="auto"/>
        <w:ind w:firstLine="396" w:firstLineChars="200"/>
        <w:jc w:val="left"/>
        <w:rPr>
          <w:rFonts w:hAnsi="宋体"/>
          <w:spacing w:val="-6"/>
          <w:sz w:val="21"/>
          <w:szCs w:val="21"/>
        </w:rPr>
      </w:pPr>
      <w:r>
        <w:rPr>
          <w:rFonts w:hint="eastAsia" w:hAnsi="宋体"/>
          <w:spacing w:val="-6"/>
          <w:sz w:val="21"/>
          <w:szCs w:val="21"/>
        </w:rPr>
        <w:t>（6）供应商同类项目实施情况一览表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（7）节能、环保产品证明材料</w:t>
      </w:r>
    </w:p>
    <w:p>
      <w:pPr>
        <w:pStyle w:val="11"/>
        <w:spacing w:line="288" w:lineRule="auto"/>
        <w:ind w:firstLine="396" w:firstLineChars="200"/>
        <w:jc w:val="left"/>
        <w:rPr>
          <w:rFonts w:hAnsi="宋体"/>
          <w:spacing w:val="-6"/>
          <w:sz w:val="21"/>
          <w:szCs w:val="21"/>
        </w:rPr>
      </w:pPr>
      <w:r>
        <w:rPr>
          <w:rFonts w:hint="eastAsia" w:hAnsi="宋体"/>
          <w:spacing w:val="-6"/>
          <w:sz w:val="21"/>
          <w:szCs w:val="21"/>
        </w:rPr>
        <w:t>（8）供应商需要说明的其他文件和材料</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B.技术文件</w:t>
      </w:r>
    </w:p>
    <w:p>
      <w:pPr>
        <w:spacing w:line="288" w:lineRule="auto"/>
        <w:ind w:firstLine="396" w:firstLineChars="200"/>
        <w:jc w:val="left"/>
        <w:rPr>
          <w:rFonts w:ascii="宋体" w:hAnsi="宋体"/>
          <w:spacing w:val="-6"/>
          <w:sz w:val="21"/>
          <w:szCs w:val="21"/>
        </w:rPr>
      </w:pPr>
      <w:bookmarkStart w:id="40" w:name="_Toc2388"/>
      <w:r>
        <w:rPr>
          <w:rFonts w:hint="eastAsia" w:ascii="宋体" w:hAnsi="宋体"/>
          <w:spacing w:val="-6"/>
          <w:sz w:val="21"/>
          <w:szCs w:val="21"/>
        </w:rPr>
        <w:t>（1）采购</w:t>
      </w:r>
      <w:r>
        <w:rPr>
          <w:rFonts w:ascii="宋体" w:hAnsi="宋体"/>
          <w:spacing w:val="-6"/>
          <w:sz w:val="21"/>
          <w:szCs w:val="21"/>
        </w:rPr>
        <w:t>需求</w:t>
      </w:r>
      <w:r>
        <w:rPr>
          <w:rFonts w:hint="eastAsia" w:ascii="宋体" w:hAnsi="宋体"/>
          <w:spacing w:val="-6"/>
          <w:sz w:val="21"/>
          <w:szCs w:val="21"/>
        </w:rPr>
        <w:t>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hint="eastAsia" w:ascii="宋体" w:hAnsi="宋体" w:cs="宋体"/>
          <w:sz w:val="21"/>
          <w:szCs w:val="21"/>
        </w:rPr>
        <w:t>货物配置清单</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（3）技术支持资料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（4）合同履约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售后服务</w:t>
      </w:r>
      <w:r>
        <w:rPr>
          <w:rFonts w:hint="eastAsia" w:ascii="宋体" w:hAnsi="宋体"/>
          <w:spacing w:val="-6"/>
          <w:sz w:val="21"/>
          <w:szCs w:val="21"/>
        </w:rPr>
        <w:t>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（6）技术服务、技术培训的内容和措施</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（7）配件、专用耗材和售后服务优惠表</w:t>
      </w:r>
    </w:p>
    <w:p>
      <w:pPr>
        <w:spacing w:line="288" w:lineRule="auto"/>
        <w:jc w:val="left"/>
        <w:rPr>
          <w:rFonts w:ascii="宋体" w:hAnsi="宋体"/>
          <w:b/>
          <w:spacing w:val="-6"/>
          <w:sz w:val="24"/>
        </w:rPr>
      </w:pPr>
      <w:r>
        <w:rPr>
          <w:rFonts w:hint="eastAsia" w:ascii="宋体" w:hAnsi="宋体"/>
          <w:b/>
          <w:spacing w:val="-6"/>
          <w:sz w:val="24"/>
        </w:rPr>
        <w:t>（二） 响应文件的签署和份数</w:t>
      </w:r>
      <w:bookmarkEnd w:id="40"/>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2.供应商应按报价文件、商务和技术文件分别编制合并装订成册，其中正本一份、副本五份，响应文件的封面应注明“正本</w:t>
      </w:r>
      <w:r>
        <w:rPr>
          <w:rFonts w:ascii="宋体" w:hAnsi="宋体"/>
          <w:b/>
          <w:bCs/>
          <w:spacing w:val="-6"/>
          <w:sz w:val="21"/>
          <w:szCs w:val="21"/>
        </w:rPr>
        <w:t>”</w:t>
      </w:r>
      <w:r>
        <w:rPr>
          <w:rFonts w:hint="eastAsia" w:ascii="宋体" w:hAnsi="宋体"/>
          <w:b/>
          <w:bCs/>
          <w:spacing w:val="-6"/>
          <w:sz w:val="21"/>
          <w:szCs w:val="21"/>
        </w:rPr>
        <w:t>、“副本”字样，同时提供响应文件电子文档一份（U盘或光盘形式，电子文档需为签字且加盖公章后的响应文件完成版</w:t>
      </w:r>
      <w:r>
        <w:rPr>
          <w:rFonts w:hint="eastAsia" w:ascii="宋体" w:hAnsi="宋体"/>
          <w:b/>
          <w:sz w:val="21"/>
          <w:szCs w:val="21"/>
        </w:rPr>
        <w:t>彩色扫描件</w:t>
      </w:r>
      <w:r>
        <w:rPr>
          <w:rFonts w:hint="eastAsia" w:ascii="宋体" w:hAnsi="宋体"/>
          <w:b/>
          <w:bCs/>
          <w:spacing w:val="-6"/>
          <w:sz w:val="21"/>
          <w:szCs w:val="21"/>
        </w:rPr>
        <w:t>）。</w:t>
      </w:r>
    </w:p>
    <w:p>
      <w:pPr>
        <w:spacing w:line="288" w:lineRule="auto"/>
        <w:ind w:firstLine="398" w:firstLineChars="200"/>
        <w:jc w:val="left"/>
        <w:rPr>
          <w:rFonts w:ascii="宋体" w:hAnsi="宋体"/>
          <w:b/>
          <w:snapToGrid w:val="0"/>
          <w:kern w:val="0"/>
          <w:sz w:val="21"/>
          <w:szCs w:val="21"/>
        </w:rPr>
      </w:pPr>
      <w:r>
        <w:rPr>
          <w:rFonts w:hint="eastAsia" w:ascii="宋体" w:hAnsi="宋体"/>
          <w:b/>
          <w:spacing w:val="-6"/>
          <w:sz w:val="21"/>
          <w:szCs w:val="21"/>
        </w:rPr>
        <w:t>▲</w:t>
      </w:r>
      <w:r>
        <w:rPr>
          <w:rFonts w:hint="eastAsia" w:ascii="宋体" w:hAnsi="宋体"/>
          <w:b/>
          <w:snapToGrid w:val="0"/>
          <w:kern w:val="0"/>
          <w:sz w:val="21"/>
          <w:szCs w:val="21"/>
        </w:rPr>
        <w:t>活页装订（卡条、抽杆夹、订书机、散装）的响应文件无效。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3.响应文件的正本需打印或用不褪色的墨水填写，响应文件正本除本《供应商须知》中规定的可提供复印件外均须提供原件（复印件须加盖公章）。副本可以是正本加盖公章后的复印件。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w:t>
      </w:r>
      <w:r>
        <w:rPr>
          <w:rFonts w:ascii="宋体" w:hAnsi="宋体"/>
          <w:spacing w:val="-6"/>
          <w:sz w:val="21"/>
          <w:szCs w:val="21"/>
        </w:rPr>
        <w:t>文件</w:t>
      </w:r>
      <w:r>
        <w:rPr>
          <w:rFonts w:hint="eastAsia" w:ascii="宋体" w:hAnsi="宋体"/>
          <w:spacing w:val="-6"/>
          <w:sz w:val="21"/>
          <w:szCs w:val="21"/>
        </w:rPr>
        <w:t>不得涂改，若有修改错漏处，须由供应商</w:t>
      </w:r>
      <w:r>
        <w:rPr>
          <w:rFonts w:ascii="宋体" w:hAnsi="宋体"/>
          <w:spacing w:val="-6"/>
          <w:sz w:val="21"/>
          <w:szCs w:val="21"/>
        </w:rPr>
        <w:t>代表</w:t>
      </w:r>
      <w:r>
        <w:rPr>
          <w:rFonts w:hint="eastAsia" w:ascii="宋体" w:hAnsi="宋体"/>
          <w:spacing w:val="-6"/>
          <w:sz w:val="21"/>
          <w:szCs w:val="21"/>
        </w:rPr>
        <w:t>签字并加盖公章。响应文件因字迹潦草或表达不清所引起的后果由供应商负责。</w:t>
      </w:r>
    </w:p>
    <w:p>
      <w:pPr>
        <w:spacing w:line="288" w:lineRule="auto"/>
        <w:jc w:val="left"/>
        <w:rPr>
          <w:rFonts w:ascii="宋体" w:hAnsi="宋体"/>
          <w:b/>
          <w:spacing w:val="-6"/>
          <w:sz w:val="24"/>
        </w:rPr>
      </w:pPr>
      <w:bookmarkStart w:id="41" w:name="_Toc21587"/>
      <w:r>
        <w:rPr>
          <w:rFonts w:hint="eastAsia" w:ascii="宋体" w:hAnsi="宋体"/>
          <w:b/>
          <w:spacing w:val="-6"/>
          <w:sz w:val="24"/>
        </w:rPr>
        <w:t>（三） 响应文件的包装、递交、修改和撤回</w:t>
      </w:r>
      <w:bookmarkEnd w:id="41"/>
    </w:p>
    <w:p>
      <w:pPr>
        <w:spacing w:line="288" w:lineRule="auto"/>
        <w:ind w:firstLine="396" w:firstLineChars="200"/>
        <w:rPr>
          <w:rFonts w:ascii="宋体" w:hAnsi="宋体"/>
          <w:spacing w:val="-6"/>
          <w:sz w:val="21"/>
          <w:szCs w:val="21"/>
        </w:rPr>
      </w:pPr>
      <w:r>
        <w:rPr>
          <w:rFonts w:hint="eastAsia" w:ascii="宋体" w:hAnsi="宋体"/>
          <w:spacing w:val="-6"/>
          <w:sz w:val="21"/>
          <w:szCs w:val="21"/>
        </w:rPr>
        <w:t>1.供应商应在响应文件包装封面上注明供应商名称、供应商地址、磋商响应项目名称、项目编号及“响应文件开启时启封”字样，并加盖供应商公章。</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pPr>
        <w:spacing w:line="288" w:lineRule="auto"/>
        <w:ind w:firstLine="396" w:firstLineChars="200"/>
        <w:rPr>
          <w:rFonts w:ascii="宋体" w:hAnsi="宋体"/>
          <w:spacing w:val="-6"/>
          <w:sz w:val="21"/>
          <w:szCs w:val="21"/>
        </w:rPr>
      </w:pPr>
      <w:r>
        <w:rPr>
          <w:rFonts w:hint="eastAsia" w:ascii="宋体" w:hAnsi="宋体"/>
          <w:spacing w:val="-6"/>
          <w:sz w:val="21"/>
          <w:szCs w:val="21"/>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288" w:lineRule="auto"/>
        <w:jc w:val="left"/>
        <w:rPr>
          <w:rFonts w:ascii="宋体" w:hAnsi="宋体"/>
          <w:spacing w:val="-6"/>
          <w:sz w:val="24"/>
        </w:rPr>
      </w:pPr>
      <w:bookmarkStart w:id="42" w:name="_Toc2232"/>
      <w:r>
        <w:rPr>
          <w:rFonts w:hint="eastAsia" w:ascii="宋体" w:hAnsi="宋体"/>
          <w:b/>
          <w:spacing w:val="-6"/>
          <w:sz w:val="24"/>
        </w:rPr>
        <w:t>（四） 响应文件的语言及计量</w:t>
      </w:r>
      <w:bookmarkEnd w:id="42"/>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ascii="宋体" w:hAnsi="宋体"/>
          <w:spacing w:val="-6"/>
          <w:sz w:val="24"/>
        </w:rPr>
      </w:pPr>
      <w:bookmarkStart w:id="43" w:name="_Toc30546"/>
      <w:r>
        <w:rPr>
          <w:rFonts w:hint="eastAsia" w:ascii="宋体" w:hAnsi="宋体"/>
          <w:b/>
          <w:spacing w:val="-6"/>
          <w:sz w:val="24"/>
        </w:rPr>
        <w:t>（五） 磋商响应报价</w:t>
      </w:r>
      <w:bookmarkEnd w:id="43"/>
    </w:p>
    <w:p>
      <w:pPr>
        <w:pStyle w:val="13"/>
        <w:spacing w:beforeLines="0" w:afterLines="0" w:line="288" w:lineRule="auto"/>
        <w:ind w:firstLine="398" w:firstLineChars="200"/>
        <w:jc w:val="left"/>
        <w:rPr>
          <w:rFonts w:hAnsi="宋体"/>
          <w:b/>
          <w:spacing w:val="-6"/>
          <w:sz w:val="21"/>
          <w:szCs w:val="21"/>
        </w:rPr>
      </w:pPr>
      <w:r>
        <w:rPr>
          <w:rFonts w:hint="eastAsia" w:hAnsi="宋体"/>
          <w:b/>
          <w:spacing w:val="-6"/>
          <w:sz w:val="21"/>
          <w:szCs w:val="21"/>
        </w:rPr>
        <w:t>1</w:t>
      </w:r>
      <w:r>
        <w:rPr>
          <w:rFonts w:hAnsi="宋体"/>
          <w:b/>
          <w:spacing w:val="-6"/>
          <w:sz w:val="21"/>
          <w:szCs w:val="21"/>
        </w:rPr>
        <w:t>.</w:t>
      </w:r>
      <w:r>
        <w:rPr>
          <w:rFonts w:hint="eastAsia" w:hAnsi="宋体"/>
          <w:b/>
          <w:spacing w:val="-6"/>
          <w:sz w:val="21"/>
          <w:szCs w:val="21"/>
        </w:rPr>
        <w:t>本项目采用</w:t>
      </w:r>
      <w:r>
        <w:rPr>
          <w:rFonts w:hAnsi="宋体"/>
          <w:b/>
          <w:spacing w:val="-6"/>
          <w:sz w:val="21"/>
          <w:szCs w:val="21"/>
        </w:rPr>
        <w:t>人民币报价</w:t>
      </w:r>
      <w:r>
        <w:rPr>
          <w:rFonts w:hint="eastAsia" w:hAnsi="宋体"/>
          <w:b/>
          <w:spacing w:val="-6"/>
          <w:sz w:val="21"/>
          <w:szCs w:val="21"/>
        </w:rPr>
        <w:t>。</w:t>
      </w:r>
    </w:p>
    <w:p>
      <w:pPr>
        <w:pStyle w:val="13"/>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磋商响应报价应按磋商文件中相关附表格式填写</w:t>
      </w:r>
      <w:r>
        <w:rPr>
          <w:rFonts w:hint="eastAsia" w:hAnsi="宋体"/>
          <w:spacing w:val="-6"/>
          <w:sz w:val="21"/>
          <w:szCs w:val="21"/>
        </w:rPr>
        <w:t>。</w:t>
      </w:r>
    </w:p>
    <w:p>
      <w:pPr>
        <w:pStyle w:val="13"/>
        <w:spacing w:beforeLines="0" w:afterLines="0" w:line="288" w:lineRule="auto"/>
        <w:ind w:firstLine="396" w:firstLineChars="200"/>
        <w:jc w:val="left"/>
        <w:rPr>
          <w:rFonts w:hAnsi="宋体"/>
          <w:spacing w:val="-6"/>
          <w:sz w:val="21"/>
          <w:szCs w:val="21"/>
        </w:rPr>
      </w:pPr>
      <w:r>
        <w:rPr>
          <w:rFonts w:hint="eastAsia" w:hAnsi="宋体"/>
          <w:spacing w:val="-6"/>
          <w:sz w:val="21"/>
          <w:szCs w:val="21"/>
        </w:rPr>
        <w:t>3.最后磋商</w:t>
      </w:r>
      <w:r>
        <w:rPr>
          <w:rFonts w:hAnsi="宋体"/>
          <w:spacing w:val="-6"/>
          <w:sz w:val="21"/>
          <w:szCs w:val="21"/>
        </w:rPr>
        <w:t>报价是履行合同的最终价格，应包括</w:t>
      </w:r>
      <w:r>
        <w:rPr>
          <w:rFonts w:hint="eastAsia" w:hAnsi="宋体"/>
          <w:spacing w:val="-6"/>
          <w:sz w:val="21"/>
          <w:szCs w:val="21"/>
        </w:rPr>
        <w:t>完成所有产品供货及履行所有规定服务所产生的全部税费。</w:t>
      </w:r>
    </w:p>
    <w:p>
      <w:pPr>
        <w:pStyle w:val="6"/>
        <w:widowControl w:val="0"/>
        <w:tabs>
          <w:tab w:val="left" w:pos="720"/>
        </w:tabs>
        <w:spacing w:afterLines="0" w:line="288" w:lineRule="auto"/>
        <w:ind w:left="327" w:hanging="327" w:hangingChars="143"/>
        <w:rPr>
          <w:rFonts w:ascii="宋体" w:hAnsi="宋体"/>
          <w:b/>
          <w:spacing w:val="-6"/>
          <w:kern w:val="2"/>
          <w:szCs w:val="24"/>
        </w:rPr>
      </w:pPr>
      <w:bookmarkStart w:id="44" w:name="_Toc25687"/>
      <w:r>
        <w:rPr>
          <w:rFonts w:hint="eastAsia" w:ascii="宋体" w:hAnsi="宋体"/>
          <w:b/>
          <w:spacing w:val="-6"/>
          <w:kern w:val="2"/>
          <w:szCs w:val="24"/>
        </w:rPr>
        <w:t>（六） 响应有效期</w:t>
      </w:r>
      <w:bookmarkEnd w:id="44"/>
    </w:p>
    <w:p>
      <w:pPr>
        <w:pStyle w:val="13"/>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从提交响应文件的截止之日起算90天。</w:t>
      </w:r>
    </w:p>
    <w:p>
      <w:pPr>
        <w:pStyle w:val="13"/>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在原响应有效期满之前，如果出现特殊情况，采购人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以书面形式通知供应商延长响应有效期。</w:t>
      </w:r>
    </w:p>
    <w:p>
      <w:pPr>
        <w:spacing w:line="288" w:lineRule="auto"/>
        <w:rPr>
          <w:rFonts w:ascii="宋体" w:hAnsi="宋体"/>
          <w:b/>
          <w:spacing w:val="-6"/>
          <w:sz w:val="24"/>
        </w:rPr>
      </w:pPr>
      <w:bookmarkStart w:id="45" w:name="_Toc7741"/>
      <w:r>
        <w:rPr>
          <w:rFonts w:hint="eastAsia" w:ascii="宋体" w:hAnsi="宋体"/>
          <w:b/>
          <w:spacing w:val="-6"/>
          <w:sz w:val="24"/>
        </w:rPr>
        <w:t>（七） 磋商响应无效的情形</w:t>
      </w:r>
      <w:bookmarkEnd w:id="45"/>
    </w:p>
    <w:p>
      <w:pPr>
        <w:widowControl/>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（2）供应商不具备磋商文件中规定的资格要求的；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（3）经查询存在不良信用记录的。</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（2）未提供或未按要求提供响应函</w:t>
      </w:r>
      <w:r>
        <w:rPr>
          <w:rFonts w:ascii="宋体" w:hAnsi="宋体"/>
          <w:spacing w:val="-6"/>
          <w:sz w:val="21"/>
          <w:szCs w:val="21"/>
        </w:rPr>
        <w:t>、法定代表人资格证明书</w:t>
      </w:r>
      <w:r>
        <w:rPr>
          <w:rFonts w:hint="eastAsia" w:ascii="宋体" w:hAnsi="宋体"/>
          <w:spacing w:val="-6"/>
          <w:sz w:val="21"/>
          <w:szCs w:val="21"/>
        </w:rPr>
        <w:t>、法定代表人授权委托书、响应</w:t>
      </w:r>
      <w:r>
        <w:rPr>
          <w:rFonts w:ascii="宋体" w:hAnsi="宋体"/>
          <w:spacing w:val="-6"/>
          <w:sz w:val="21"/>
          <w:szCs w:val="21"/>
        </w:rPr>
        <w:t>声明书</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hint="eastAsia" w:ascii="宋体" w:hAnsi="宋体"/>
          <w:bCs/>
          <w:spacing w:val="-6"/>
          <w:sz w:val="21"/>
          <w:szCs w:val="21"/>
        </w:rPr>
        <w:t>法定代表人委托授权代表</w:t>
      </w:r>
      <w:r>
        <w:rPr>
          <w:rFonts w:ascii="宋体" w:hAnsi="宋体"/>
          <w:bCs/>
          <w:spacing w:val="-6"/>
          <w:sz w:val="21"/>
          <w:szCs w:val="21"/>
        </w:rPr>
        <w:t>参加</w:t>
      </w:r>
      <w:r>
        <w:rPr>
          <w:rFonts w:hint="eastAsia" w:ascii="宋体" w:hAnsi="宋体"/>
          <w:bCs/>
          <w:spacing w:val="-6"/>
          <w:sz w:val="21"/>
          <w:szCs w:val="21"/>
        </w:rPr>
        <w:t>响应但未按要求</w:t>
      </w:r>
      <w:r>
        <w:rPr>
          <w:rFonts w:ascii="宋体" w:hAnsi="宋体"/>
          <w:bCs/>
          <w:spacing w:val="-6"/>
          <w:sz w:val="21"/>
          <w:szCs w:val="21"/>
        </w:rPr>
        <w:t>提供</w:t>
      </w:r>
      <w:r>
        <w:rPr>
          <w:rFonts w:hint="eastAsia" w:ascii="宋体" w:hAnsi="宋体"/>
          <w:bCs/>
          <w:spacing w:val="-6"/>
          <w:sz w:val="21"/>
          <w:szCs w:val="21"/>
        </w:rPr>
        <w:t>授权代表社保缴纳证明的</w:t>
      </w:r>
      <w:r>
        <w:rPr>
          <w:rFonts w:ascii="宋体" w:hAnsi="宋体"/>
          <w:bCs/>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与磋商</w:t>
      </w:r>
      <w:r>
        <w:rPr>
          <w:rFonts w:ascii="宋体" w:hAnsi="宋体"/>
          <w:spacing w:val="-6"/>
          <w:sz w:val="21"/>
          <w:szCs w:val="21"/>
        </w:rPr>
        <w:t>文件中标“▲”的项目发生实质性偏离的；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未提供或未如实提供</w:t>
      </w:r>
      <w:r>
        <w:rPr>
          <w:rFonts w:hint="eastAsia" w:ascii="宋体" w:hAnsi="宋体"/>
          <w:spacing w:val="-6"/>
          <w:sz w:val="21"/>
          <w:szCs w:val="21"/>
        </w:rPr>
        <w:t>货物的技术参数</w:t>
      </w:r>
      <w:r>
        <w:rPr>
          <w:rFonts w:ascii="宋体" w:hAnsi="宋体"/>
          <w:spacing w:val="-6"/>
          <w:sz w:val="21"/>
          <w:szCs w:val="21"/>
        </w:rPr>
        <w:t>，或者</w:t>
      </w:r>
      <w:r>
        <w:rPr>
          <w:rFonts w:hint="eastAsia" w:ascii="宋体" w:hAnsi="宋体"/>
          <w:spacing w:val="-6"/>
          <w:sz w:val="21"/>
          <w:szCs w:val="21"/>
        </w:rPr>
        <w:t>响应</w:t>
      </w:r>
      <w:r>
        <w:rPr>
          <w:rFonts w:ascii="宋体" w:hAnsi="宋体"/>
          <w:spacing w:val="-6"/>
          <w:sz w:val="21"/>
          <w:szCs w:val="21"/>
        </w:rPr>
        <w:t>文件标明的响应或偏离与事实不符或虚假</w:t>
      </w:r>
      <w:r>
        <w:rPr>
          <w:rFonts w:hint="eastAsia" w:ascii="宋体" w:hAnsi="宋体"/>
          <w:spacing w:val="-6"/>
          <w:sz w:val="21"/>
          <w:szCs w:val="21"/>
        </w:rPr>
        <w:t>响应</w:t>
      </w:r>
      <w:r>
        <w:rPr>
          <w:rFonts w:ascii="宋体" w:hAnsi="宋体"/>
          <w:spacing w:val="-6"/>
          <w:sz w:val="21"/>
          <w:szCs w:val="21"/>
        </w:rPr>
        <w:t>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（7）响应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（8）响应文件含有采购人不能接受的附加条件的；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（9）法律、法规和磋商文件规定的其他无效情形。</w:t>
      </w:r>
    </w:p>
    <w:p>
      <w:pPr>
        <w:widowControl/>
        <w:spacing w:line="288" w:lineRule="auto"/>
        <w:ind w:firstLine="398" w:firstLineChars="200"/>
        <w:jc w:val="left"/>
        <w:rPr>
          <w:rFonts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Ansi="宋体"/>
          <w:b/>
          <w:spacing w:val="-6"/>
          <w:sz w:val="21"/>
          <w:szCs w:val="21"/>
        </w:rPr>
        <w:t>在报价评审时，如发现下列情形之一的，</w:t>
      </w:r>
      <w:r>
        <w:rPr>
          <w:rFonts w:hint="eastAsia" w:hAnsi="宋体"/>
          <w:b/>
          <w:spacing w:val="-6"/>
          <w:sz w:val="21"/>
          <w:szCs w:val="21"/>
        </w:rPr>
        <w:t>响应</w:t>
      </w:r>
      <w:r>
        <w:rPr>
          <w:rFonts w:hAnsi="宋体"/>
          <w:b/>
          <w:spacing w:val="-6"/>
          <w:sz w:val="21"/>
          <w:szCs w:val="21"/>
        </w:rPr>
        <w:t>文件将被视为无效：</w:t>
      </w:r>
    </w:p>
    <w:p>
      <w:pPr>
        <w:widowControl/>
        <w:spacing w:line="288" w:lineRule="auto"/>
        <w:ind w:firstLine="396" w:firstLineChars="200"/>
        <w:jc w:val="left"/>
        <w:rPr>
          <w:rFonts w:ascii="宋体" w:hAnsi="宋体"/>
          <w:spacing w:val="-6"/>
          <w:sz w:val="21"/>
          <w:szCs w:val="21"/>
        </w:rPr>
      </w:pPr>
      <w:r>
        <w:rPr>
          <w:rFonts w:hint="eastAsia" w:hAnsi="宋体"/>
          <w:spacing w:val="-6"/>
          <w:sz w:val="21"/>
          <w:szCs w:val="21"/>
        </w:rPr>
        <w:t>（1）最后</w:t>
      </w:r>
      <w:r>
        <w:rPr>
          <w:rFonts w:hint="eastAsia" w:ascii="宋体" w:hAnsi="宋体"/>
          <w:spacing w:val="-6"/>
          <w:sz w:val="21"/>
          <w:szCs w:val="21"/>
        </w:rPr>
        <w:t>报价超过磋商文件中规定的预算金额的；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（2）最后报价具有选择性的。</w:t>
      </w:r>
    </w:p>
    <w:p>
      <w:pPr>
        <w:widowControl/>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（1）不同供应商的响应文件由同一单位或者个人编制；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（2）不同供应商委托同一单位或者个人办理响应事宜；</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（3）不同供应商的响应文件载明的项目管理成员或者联系人员为同一人；</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（4）不同供应商的响应文件异常一致或者最后报价呈规律性差异；</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（5）不同供应商的响应文件相互混装。</w:t>
      </w:r>
    </w:p>
    <w:p>
      <w:pPr>
        <w:pStyle w:val="13"/>
        <w:spacing w:beforeLines="0" w:afterLines="0" w:line="288" w:lineRule="auto"/>
        <w:jc w:val="center"/>
        <w:outlineLvl w:val="1"/>
        <w:rPr>
          <w:rFonts w:hAnsi="宋体"/>
          <w:b/>
          <w:spacing w:val="-6"/>
          <w:sz w:val="32"/>
          <w:szCs w:val="32"/>
        </w:rPr>
      </w:pPr>
      <w:r>
        <w:rPr>
          <w:rFonts w:hAnsi="宋体"/>
          <w:b/>
          <w:spacing w:val="-6"/>
          <w:sz w:val="21"/>
          <w:szCs w:val="21"/>
        </w:rPr>
        <w:br w:type="page"/>
      </w:r>
      <w:bookmarkStart w:id="46" w:name="_Toc11103"/>
      <w:r>
        <w:rPr>
          <w:rFonts w:hAnsi="宋体"/>
          <w:b/>
          <w:spacing w:val="-6"/>
          <w:sz w:val="32"/>
          <w:szCs w:val="32"/>
        </w:rPr>
        <w:t>四</w:t>
      </w:r>
      <w:r>
        <w:rPr>
          <w:rFonts w:hint="eastAsia" w:hAnsi="宋体"/>
          <w:b/>
          <w:spacing w:val="-6"/>
          <w:sz w:val="32"/>
          <w:szCs w:val="32"/>
        </w:rPr>
        <w:t>、响应文件开启</w:t>
      </w:r>
      <w:bookmarkEnd w:id="46"/>
    </w:p>
    <w:p>
      <w:pPr>
        <w:pStyle w:val="11"/>
        <w:spacing w:line="288" w:lineRule="auto"/>
        <w:ind w:firstLine="0"/>
        <w:rPr>
          <w:rFonts w:hAnsi="宋体"/>
          <w:b/>
          <w:spacing w:val="-6"/>
          <w:sz w:val="24"/>
          <w:szCs w:val="24"/>
        </w:rPr>
      </w:pPr>
      <w:bookmarkStart w:id="47" w:name="_Toc23146"/>
      <w:r>
        <w:rPr>
          <w:rFonts w:hint="eastAsia" w:hAnsi="宋体"/>
          <w:b/>
          <w:spacing w:val="-6"/>
          <w:sz w:val="24"/>
          <w:szCs w:val="24"/>
        </w:rPr>
        <w:t>（一） 响应文件开启准备</w:t>
      </w:r>
      <w:bookmarkEnd w:id="47"/>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制订</w:t>
      </w:r>
      <w:r>
        <w:rPr>
          <w:rFonts w:hint="eastAsia" w:ascii="宋体" w:hAnsi="宋体"/>
          <w:spacing w:val="-6"/>
          <w:sz w:val="21"/>
          <w:szCs w:val="21"/>
        </w:rPr>
        <w:t>响应文件开启</w:t>
      </w:r>
      <w:r>
        <w:rPr>
          <w:rFonts w:ascii="宋体" w:hAnsi="宋体"/>
          <w:spacing w:val="-6"/>
          <w:sz w:val="21"/>
          <w:szCs w:val="21"/>
        </w:rPr>
        <w:t>、评审工作的组织方案，落实工作场地、设施，检查录音录像采集设备运行情况。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w:t>
      </w:r>
      <w:r>
        <w:rPr>
          <w:rFonts w:hint="eastAsia" w:ascii="宋体" w:hAnsi="宋体"/>
          <w:spacing w:val="-6"/>
          <w:sz w:val="21"/>
          <w:szCs w:val="21"/>
        </w:rPr>
        <w:t>响应文件开启</w:t>
      </w:r>
      <w:r>
        <w:rPr>
          <w:rFonts w:ascii="宋体" w:hAnsi="宋体"/>
          <w:spacing w:val="-6"/>
          <w:sz w:val="21"/>
          <w:szCs w:val="21"/>
        </w:rPr>
        <w:t>、评审活动（按规定由相关监管部门或其授权机构随机抽取、通知的政府采购评审专家除外）。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准备政府采购项目的相关文件资料，如项目政府采购预算确认书（计划）及专家抽取有关凭证、项目书面说明、</w:t>
      </w:r>
      <w:r>
        <w:rPr>
          <w:rFonts w:hint="eastAsia" w:ascii="宋体" w:hAnsi="宋体"/>
          <w:spacing w:val="-6"/>
          <w:sz w:val="21"/>
          <w:szCs w:val="21"/>
        </w:rPr>
        <w:t>磋商</w:t>
      </w:r>
      <w:r>
        <w:rPr>
          <w:rFonts w:ascii="宋体" w:hAnsi="宋体"/>
          <w:spacing w:val="-6"/>
          <w:sz w:val="21"/>
          <w:szCs w:val="21"/>
        </w:rPr>
        <w:t>文件、补充文件及质疑答复情况、现场工作所需的相关登记表单、评审工作底稿等。</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11"/>
        <w:spacing w:line="288" w:lineRule="auto"/>
        <w:ind w:firstLine="0"/>
        <w:rPr>
          <w:rFonts w:hAnsi="宋体"/>
          <w:b/>
          <w:spacing w:val="-6"/>
          <w:sz w:val="24"/>
          <w:szCs w:val="24"/>
        </w:rPr>
      </w:pPr>
      <w:bookmarkStart w:id="48" w:name="_Toc29989"/>
      <w:r>
        <w:rPr>
          <w:rFonts w:hint="eastAsia" w:hAnsi="宋体"/>
          <w:b/>
          <w:spacing w:val="-6"/>
          <w:sz w:val="24"/>
          <w:szCs w:val="24"/>
        </w:rPr>
        <w:t>（二） 响应文件开启程序</w:t>
      </w:r>
      <w:bookmarkEnd w:id="48"/>
    </w:p>
    <w:p>
      <w:pPr>
        <w:pStyle w:val="11"/>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磋商文件</w:t>
      </w:r>
      <w:r>
        <w:rPr>
          <w:rFonts w:hAnsi="宋体"/>
          <w:spacing w:val="-6"/>
          <w:sz w:val="21"/>
          <w:szCs w:val="21"/>
        </w:rPr>
        <w:t>规定的时间、地点和程序组织</w:t>
      </w:r>
      <w:r>
        <w:rPr>
          <w:rFonts w:hint="eastAsia" w:hAnsi="宋体"/>
          <w:spacing w:val="-6"/>
          <w:sz w:val="21"/>
          <w:szCs w:val="21"/>
        </w:rPr>
        <w:t>响应文件开启</w:t>
      </w:r>
      <w:r>
        <w:rPr>
          <w:rFonts w:hAnsi="宋体"/>
          <w:spacing w:val="-6"/>
          <w:sz w:val="21"/>
          <w:szCs w:val="21"/>
        </w:rPr>
        <w:t>。具体按以下程序进行：</w:t>
      </w:r>
    </w:p>
    <w:p>
      <w:pPr>
        <w:pStyle w:val="11"/>
        <w:spacing w:line="288" w:lineRule="auto"/>
        <w:ind w:firstLine="396" w:firstLineChars="200"/>
        <w:rPr>
          <w:rFonts w:hAnsi="宋体"/>
          <w:sz w:val="21"/>
          <w:szCs w:val="21"/>
        </w:rPr>
      </w:pPr>
      <w:r>
        <w:rPr>
          <w:rFonts w:hint="eastAsia" w:hAnsi="宋体"/>
          <w:spacing w:val="-6"/>
          <w:sz w:val="21"/>
          <w:szCs w:val="21"/>
        </w:rPr>
        <w:t>1.</w:t>
      </w:r>
      <w:r>
        <w:rPr>
          <w:rFonts w:hAnsi="宋体"/>
          <w:sz w:val="21"/>
          <w:szCs w:val="21"/>
        </w:rPr>
        <w:t>开启</w:t>
      </w:r>
      <w:r>
        <w:rPr>
          <w:rFonts w:hint="eastAsia" w:hAnsi="宋体"/>
          <w:sz w:val="21"/>
          <w:szCs w:val="21"/>
        </w:rPr>
        <w:t>响应文件开启</w:t>
      </w:r>
      <w:r>
        <w:rPr>
          <w:rFonts w:hAnsi="宋体"/>
          <w:sz w:val="21"/>
          <w:szCs w:val="21"/>
        </w:rPr>
        <w:t>场地的录音录像采集设备，并确保其正常运行。</w:t>
      </w:r>
    </w:p>
    <w:p>
      <w:pPr>
        <w:pStyle w:val="11"/>
        <w:spacing w:line="288" w:lineRule="auto"/>
        <w:ind w:firstLine="404" w:firstLineChars="200"/>
        <w:rPr>
          <w:rFonts w:hAnsi="宋体"/>
          <w:sz w:val="21"/>
          <w:szCs w:val="21"/>
        </w:rPr>
      </w:pPr>
      <w:r>
        <w:rPr>
          <w:rFonts w:hint="eastAsia" w:hAnsi="宋体"/>
          <w:sz w:val="21"/>
          <w:szCs w:val="21"/>
        </w:rPr>
        <w:t>2.</w:t>
      </w:r>
      <w:r>
        <w:rPr>
          <w:rFonts w:hAnsi="宋体"/>
          <w:sz w:val="21"/>
          <w:szCs w:val="21"/>
        </w:rPr>
        <w:t>核验出席</w:t>
      </w:r>
      <w:r>
        <w:rPr>
          <w:rFonts w:hint="eastAsia" w:hAnsi="宋体"/>
          <w:sz w:val="21"/>
          <w:szCs w:val="21"/>
        </w:rPr>
        <w:t>响应文件开启</w:t>
      </w:r>
      <w:r>
        <w:rPr>
          <w:rFonts w:hAnsi="宋体"/>
          <w:sz w:val="21"/>
          <w:szCs w:val="21"/>
        </w:rPr>
        <w:t>活动现场的各授权供应商代表及相关单位人员身份，并组织其分别登记、签到，无关人员可拒绝其进入现场。</w:t>
      </w:r>
    </w:p>
    <w:p>
      <w:pPr>
        <w:pStyle w:val="11"/>
        <w:spacing w:line="288" w:lineRule="auto"/>
        <w:ind w:firstLine="404" w:firstLineChars="200"/>
        <w:rPr>
          <w:rFonts w:hAnsi="宋体"/>
          <w:sz w:val="21"/>
          <w:szCs w:val="21"/>
        </w:rPr>
      </w:pPr>
      <w:r>
        <w:rPr>
          <w:rFonts w:hint="eastAsia" w:hAnsi="宋体"/>
          <w:sz w:val="21"/>
          <w:szCs w:val="21"/>
        </w:rPr>
        <w:t>3.</w:t>
      </w:r>
      <w:r>
        <w:rPr>
          <w:rFonts w:hAnsi="宋体"/>
          <w:sz w:val="21"/>
          <w:szCs w:val="21"/>
        </w:rPr>
        <w:t>对现场接受</w:t>
      </w:r>
      <w:r>
        <w:rPr>
          <w:rFonts w:hint="eastAsia" w:hAnsi="宋体"/>
          <w:sz w:val="21"/>
          <w:szCs w:val="21"/>
        </w:rPr>
        <w:t>响应文件的，</w:t>
      </w:r>
      <w:r>
        <w:rPr>
          <w:rFonts w:hAnsi="宋体"/>
          <w:sz w:val="21"/>
          <w:szCs w:val="21"/>
        </w:rPr>
        <w:t>由现场工作人员接收</w:t>
      </w:r>
      <w:r>
        <w:rPr>
          <w:rFonts w:hint="eastAsia" w:hAnsi="宋体"/>
          <w:sz w:val="21"/>
          <w:szCs w:val="21"/>
        </w:rPr>
        <w:t>响应文件</w:t>
      </w:r>
      <w:r>
        <w:rPr>
          <w:rFonts w:hAnsi="宋体"/>
          <w:sz w:val="21"/>
          <w:szCs w:val="21"/>
        </w:rPr>
        <w:t>并登记，请供应商代表对</w:t>
      </w:r>
      <w:r>
        <w:rPr>
          <w:rFonts w:hint="eastAsia" w:hAnsi="宋体"/>
          <w:sz w:val="21"/>
          <w:szCs w:val="21"/>
        </w:rPr>
        <w:t>响应文件</w:t>
      </w:r>
      <w:r>
        <w:rPr>
          <w:rFonts w:hAnsi="宋体"/>
          <w:sz w:val="21"/>
          <w:szCs w:val="21"/>
        </w:rPr>
        <w:t>的递交记录情况进行签字确认。</w:t>
      </w:r>
    </w:p>
    <w:p>
      <w:pPr>
        <w:pStyle w:val="11"/>
        <w:spacing w:line="288" w:lineRule="auto"/>
        <w:ind w:firstLine="404" w:firstLineChars="200"/>
        <w:rPr>
          <w:rFonts w:hAnsi="宋体"/>
          <w:sz w:val="21"/>
          <w:szCs w:val="21"/>
        </w:rPr>
      </w:pPr>
      <w:r>
        <w:rPr>
          <w:rFonts w:hint="eastAsia" w:hAnsi="宋体"/>
          <w:sz w:val="21"/>
          <w:szCs w:val="21"/>
        </w:rPr>
        <w:t>4.</w:t>
      </w:r>
      <w:r>
        <w:rPr>
          <w:rFonts w:hAnsi="宋体"/>
          <w:sz w:val="21"/>
          <w:szCs w:val="21"/>
        </w:rPr>
        <w:t>主持人宣布</w:t>
      </w:r>
      <w:r>
        <w:rPr>
          <w:rFonts w:hint="eastAsia" w:hAnsi="宋体"/>
          <w:sz w:val="21"/>
          <w:szCs w:val="21"/>
        </w:rPr>
        <w:t>响应文件开启</w:t>
      </w:r>
      <w:r>
        <w:rPr>
          <w:rFonts w:hAnsi="宋体"/>
          <w:sz w:val="21"/>
          <w:szCs w:val="21"/>
        </w:rPr>
        <w:t>，介绍</w:t>
      </w:r>
      <w:r>
        <w:rPr>
          <w:rFonts w:hint="eastAsia" w:hAnsi="宋体"/>
          <w:sz w:val="21"/>
          <w:szCs w:val="21"/>
        </w:rPr>
        <w:t>响应文件开启</w:t>
      </w:r>
      <w:r>
        <w:rPr>
          <w:rFonts w:hAnsi="宋体"/>
          <w:sz w:val="21"/>
          <w:szCs w:val="21"/>
        </w:rPr>
        <w:t>现场的人员情况，宣读递交</w:t>
      </w:r>
      <w:r>
        <w:rPr>
          <w:rFonts w:hint="eastAsia" w:hAnsi="宋体"/>
          <w:sz w:val="21"/>
          <w:szCs w:val="21"/>
        </w:rPr>
        <w:t>响应文件的供应商名单</w:t>
      </w:r>
      <w:r>
        <w:rPr>
          <w:rFonts w:hAnsi="宋体"/>
          <w:sz w:val="21"/>
          <w:szCs w:val="21"/>
        </w:rPr>
        <w:t>、</w:t>
      </w:r>
      <w:r>
        <w:rPr>
          <w:rFonts w:hint="eastAsia" w:hAnsi="宋体"/>
          <w:sz w:val="21"/>
          <w:szCs w:val="21"/>
        </w:rPr>
        <w:t>响应文件开启</w:t>
      </w:r>
      <w:r>
        <w:rPr>
          <w:rFonts w:hAnsi="宋体"/>
          <w:sz w:val="21"/>
          <w:szCs w:val="21"/>
        </w:rPr>
        <w:t>纪律、应当回避的情形等注意事项，组织供应商签署不存在影响公平竞争的《政府采购活动现场确认声明书》。</w:t>
      </w:r>
    </w:p>
    <w:p>
      <w:pPr>
        <w:pStyle w:val="11"/>
        <w:spacing w:line="288" w:lineRule="auto"/>
        <w:ind w:firstLine="404" w:firstLineChars="200"/>
        <w:rPr>
          <w:rFonts w:hAnsi="宋体"/>
          <w:sz w:val="21"/>
          <w:szCs w:val="21"/>
        </w:rPr>
      </w:pPr>
      <w:r>
        <w:rPr>
          <w:rFonts w:hint="eastAsia" w:hAnsi="宋体"/>
          <w:sz w:val="21"/>
          <w:szCs w:val="21"/>
        </w:rPr>
        <w:t>5.</w:t>
      </w:r>
      <w:r>
        <w:rPr>
          <w:rFonts w:hAnsi="宋体"/>
          <w:sz w:val="21"/>
          <w:szCs w:val="21"/>
        </w:rPr>
        <w:t>提请供应商代表或公证人员查验响应文件密封情况。</w:t>
      </w:r>
    </w:p>
    <w:p>
      <w:pPr>
        <w:pStyle w:val="11"/>
        <w:spacing w:line="288" w:lineRule="auto"/>
        <w:ind w:firstLine="404" w:firstLineChars="200"/>
        <w:rPr>
          <w:rFonts w:hAnsi="宋体"/>
          <w:sz w:val="21"/>
          <w:szCs w:val="21"/>
        </w:rPr>
      </w:pPr>
      <w:r>
        <w:rPr>
          <w:rFonts w:hint="eastAsia" w:hAnsi="宋体"/>
          <w:sz w:val="21"/>
          <w:szCs w:val="21"/>
        </w:rPr>
        <w:t>6.</w:t>
      </w:r>
      <w:r>
        <w:rPr>
          <w:rFonts w:hAnsi="宋体"/>
          <w:sz w:val="21"/>
          <w:szCs w:val="21"/>
        </w:rPr>
        <w:t>按供应商提交响应文件的先后顺序当众拆封、清点</w:t>
      </w:r>
      <w:r>
        <w:rPr>
          <w:rFonts w:hint="eastAsia" w:hAnsi="宋体"/>
          <w:sz w:val="21"/>
          <w:szCs w:val="21"/>
        </w:rPr>
        <w:t>响应文件</w:t>
      </w:r>
      <w:r>
        <w:rPr>
          <w:rFonts w:hAnsi="宋体"/>
          <w:sz w:val="21"/>
          <w:szCs w:val="21"/>
        </w:rPr>
        <w:t>（包括正本、副本）数量。</w:t>
      </w:r>
    </w:p>
    <w:p>
      <w:pPr>
        <w:pStyle w:val="13"/>
        <w:spacing w:beforeLines="0" w:afterLines="0" w:line="288" w:lineRule="auto"/>
        <w:jc w:val="center"/>
        <w:outlineLvl w:val="1"/>
        <w:rPr>
          <w:rFonts w:hAnsi="宋体"/>
          <w:b/>
          <w:spacing w:val="-6"/>
          <w:sz w:val="32"/>
          <w:szCs w:val="32"/>
        </w:rPr>
      </w:pPr>
      <w:r>
        <w:rPr>
          <w:rFonts w:hAnsi="宋体"/>
          <w:b/>
          <w:spacing w:val="-6"/>
          <w:sz w:val="32"/>
          <w:szCs w:val="32"/>
        </w:rPr>
        <w:br w:type="page"/>
      </w:r>
      <w:bookmarkStart w:id="49" w:name="_Toc27597"/>
      <w:r>
        <w:rPr>
          <w:rFonts w:hAnsi="宋体"/>
          <w:b/>
          <w:spacing w:val="-6"/>
          <w:sz w:val="32"/>
          <w:szCs w:val="32"/>
        </w:rPr>
        <w:t>五</w:t>
      </w:r>
      <w:r>
        <w:rPr>
          <w:rFonts w:hint="eastAsia" w:hAnsi="宋体"/>
          <w:b/>
          <w:spacing w:val="-6"/>
          <w:sz w:val="32"/>
          <w:szCs w:val="32"/>
        </w:rPr>
        <w:t>、磋商程序</w:t>
      </w:r>
      <w:bookmarkEnd w:id="49"/>
    </w:p>
    <w:p>
      <w:pPr>
        <w:spacing w:line="288" w:lineRule="auto"/>
        <w:rPr>
          <w:rFonts w:ascii="宋体" w:hAnsi="宋体"/>
          <w:b/>
          <w:spacing w:val="-6"/>
          <w:sz w:val="24"/>
        </w:rPr>
      </w:pPr>
      <w:bookmarkStart w:id="50" w:name="_Toc14329"/>
      <w:r>
        <w:rPr>
          <w:rFonts w:hint="eastAsia" w:ascii="宋体" w:hAnsi="宋体"/>
          <w:b/>
          <w:spacing w:val="-6"/>
          <w:sz w:val="24"/>
        </w:rPr>
        <w:t>（一） 组建磋商小组</w:t>
      </w:r>
      <w:bookmarkEnd w:id="50"/>
    </w:p>
    <w:p>
      <w:pPr>
        <w:pStyle w:val="13"/>
        <w:spacing w:beforeLines="0" w:afterLines="0" w:line="288" w:lineRule="auto"/>
        <w:ind w:firstLine="396" w:firstLineChars="200"/>
        <w:rPr>
          <w:rFonts w:hAnsi="宋体"/>
          <w:spacing w:val="-6"/>
          <w:sz w:val="21"/>
          <w:szCs w:val="21"/>
        </w:rPr>
      </w:pPr>
      <w:r>
        <w:rPr>
          <w:rFonts w:hAnsi="宋体"/>
          <w:spacing w:val="-6"/>
          <w:sz w:val="21"/>
          <w:szCs w:val="21"/>
        </w:rPr>
        <w:t>本项目磋商小组由政府采购评审专家共</w:t>
      </w:r>
      <w:r>
        <w:rPr>
          <w:rFonts w:hint="eastAsia" w:hAnsi="宋体"/>
          <w:spacing w:val="-6"/>
          <w:sz w:val="21"/>
          <w:szCs w:val="21"/>
        </w:rPr>
        <w:t>3</w:t>
      </w:r>
      <w:r>
        <w:rPr>
          <w:rFonts w:hAnsi="宋体"/>
          <w:spacing w:val="-6"/>
          <w:sz w:val="21"/>
          <w:szCs w:val="21"/>
        </w:rPr>
        <w:t>人组成。</w:t>
      </w:r>
    </w:p>
    <w:p>
      <w:pPr>
        <w:pStyle w:val="11"/>
        <w:spacing w:line="288" w:lineRule="auto"/>
        <w:ind w:firstLine="0"/>
        <w:rPr>
          <w:rFonts w:hAnsi="宋体"/>
          <w:b/>
          <w:spacing w:val="-6"/>
          <w:sz w:val="24"/>
          <w:szCs w:val="24"/>
        </w:rPr>
      </w:pPr>
      <w:bookmarkStart w:id="51" w:name="_Toc29946"/>
      <w:r>
        <w:rPr>
          <w:rFonts w:hAnsi="宋体"/>
          <w:b/>
          <w:spacing w:val="-6"/>
          <w:sz w:val="24"/>
          <w:szCs w:val="24"/>
        </w:rPr>
        <w:t>（二</w:t>
      </w:r>
      <w:r>
        <w:rPr>
          <w:rFonts w:hint="eastAsia" w:hAnsi="宋体"/>
          <w:b/>
          <w:spacing w:val="-6"/>
          <w:sz w:val="24"/>
          <w:szCs w:val="24"/>
        </w:rPr>
        <w:t>） 评审</w:t>
      </w:r>
      <w:r>
        <w:rPr>
          <w:rFonts w:hAnsi="宋体"/>
          <w:b/>
          <w:spacing w:val="-6"/>
          <w:sz w:val="24"/>
          <w:szCs w:val="24"/>
        </w:rPr>
        <w:t>的方式</w:t>
      </w:r>
      <w:bookmarkEnd w:id="51"/>
    </w:p>
    <w:p>
      <w:pPr>
        <w:pStyle w:val="11"/>
        <w:spacing w:line="288" w:lineRule="auto"/>
        <w:ind w:firstLine="396" w:firstLineChars="200"/>
        <w:rPr>
          <w:rFonts w:hAnsi="宋体"/>
          <w:spacing w:val="-6"/>
          <w:sz w:val="21"/>
          <w:szCs w:val="21"/>
        </w:rPr>
      </w:pPr>
      <w:r>
        <w:rPr>
          <w:rFonts w:hAnsi="宋体"/>
          <w:spacing w:val="-6"/>
          <w:sz w:val="21"/>
          <w:szCs w:val="21"/>
        </w:rPr>
        <w:t>本项目采用不公开方式</w:t>
      </w:r>
      <w:r>
        <w:rPr>
          <w:rFonts w:hint="eastAsia" w:hAnsi="宋体"/>
          <w:spacing w:val="-6"/>
          <w:sz w:val="21"/>
          <w:szCs w:val="21"/>
        </w:rPr>
        <w:t>评审</w:t>
      </w:r>
      <w:r>
        <w:rPr>
          <w:rFonts w:hAnsi="宋体"/>
          <w:spacing w:val="-6"/>
          <w:sz w:val="21"/>
          <w:szCs w:val="21"/>
        </w:rPr>
        <w:t>，</w:t>
      </w:r>
      <w:r>
        <w:rPr>
          <w:rFonts w:hint="eastAsia" w:hAnsi="宋体"/>
          <w:spacing w:val="-6"/>
          <w:sz w:val="21"/>
          <w:szCs w:val="21"/>
        </w:rPr>
        <w:t>评审</w:t>
      </w:r>
      <w:r>
        <w:rPr>
          <w:rFonts w:hAnsi="宋体"/>
          <w:spacing w:val="-6"/>
          <w:sz w:val="21"/>
          <w:szCs w:val="21"/>
        </w:rPr>
        <w:t>的依据为磋商文件</w:t>
      </w:r>
      <w:r>
        <w:rPr>
          <w:rFonts w:hint="eastAsia" w:hAnsi="宋体"/>
          <w:spacing w:val="-6"/>
          <w:sz w:val="21"/>
          <w:szCs w:val="21"/>
        </w:rPr>
        <w:t>、</w:t>
      </w:r>
      <w:r>
        <w:rPr>
          <w:rFonts w:hAnsi="宋体"/>
          <w:spacing w:val="-6"/>
          <w:sz w:val="21"/>
          <w:szCs w:val="21"/>
        </w:rPr>
        <w:t>响应文件</w:t>
      </w:r>
      <w:r>
        <w:rPr>
          <w:rFonts w:hint="eastAsia" w:hAnsi="宋体"/>
          <w:spacing w:val="-6"/>
          <w:sz w:val="21"/>
          <w:szCs w:val="21"/>
        </w:rPr>
        <w:t>和磋商记录</w:t>
      </w:r>
      <w:r>
        <w:rPr>
          <w:rFonts w:hAnsi="宋体"/>
          <w:spacing w:val="-6"/>
          <w:sz w:val="21"/>
          <w:szCs w:val="21"/>
        </w:rPr>
        <w:t>。</w:t>
      </w:r>
    </w:p>
    <w:p>
      <w:pPr>
        <w:pStyle w:val="11"/>
        <w:spacing w:line="288" w:lineRule="auto"/>
        <w:ind w:firstLine="0"/>
        <w:rPr>
          <w:rFonts w:hAnsi="宋体"/>
          <w:b/>
          <w:spacing w:val="-6"/>
          <w:sz w:val="24"/>
          <w:szCs w:val="24"/>
        </w:rPr>
      </w:pPr>
      <w:bookmarkStart w:id="52" w:name="_Toc922"/>
      <w:r>
        <w:rPr>
          <w:rFonts w:hAnsi="宋体"/>
          <w:b/>
          <w:spacing w:val="-6"/>
          <w:sz w:val="24"/>
          <w:szCs w:val="24"/>
        </w:rPr>
        <w:t>（三）</w:t>
      </w:r>
      <w:r>
        <w:rPr>
          <w:rFonts w:hint="eastAsia" w:hAnsi="宋体"/>
          <w:b/>
          <w:spacing w:val="-6"/>
          <w:sz w:val="24"/>
          <w:szCs w:val="24"/>
        </w:rPr>
        <w:t xml:space="preserve"> 评审</w:t>
      </w:r>
      <w:r>
        <w:rPr>
          <w:rFonts w:hAnsi="宋体"/>
          <w:b/>
          <w:spacing w:val="-6"/>
          <w:sz w:val="24"/>
          <w:szCs w:val="24"/>
        </w:rPr>
        <w:t>程序</w:t>
      </w:r>
      <w:bookmarkEnd w:id="52"/>
    </w:p>
    <w:p>
      <w:pPr>
        <w:pStyle w:val="11"/>
        <w:spacing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磋商文件</w:t>
      </w:r>
      <w:r>
        <w:rPr>
          <w:rFonts w:hAnsi="宋体"/>
          <w:spacing w:val="-6"/>
          <w:sz w:val="21"/>
          <w:szCs w:val="21"/>
        </w:rPr>
        <w:t>规定的时间、地点及程序组织评审。评审活动一般应按以下程序组织开展：</w:t>
      </w:r>
    </w:p>
    <w:p>
      <w:pPr>
        <w:pStyle w:val="11"/>
        <w:spacing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开启评审场地的录音录像采集设备，并确保其正常运行</w:t>
      </w:r>
      <w:r>
        <w:rPr>
          <w:rFonts w:hint="eastAsia" w:hAnsi="宋体"/>
          <w:spacing w:val="-6"/>
          <w:sz w:val="21"/>
          <w:szCs w:val="21"/>
        </w:rPr>
        <w:t>。</w:t>
      </w:r>
    </w:p>
    <w:p>
      <w:pPr>
        <w:pStyle w:val="11"/>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核验出席评审活动现场的</w:t>
      </w:r>
      <w:r>
        <w:rPr>
          <w:rFonts w:hint="eastAsia" w:hAnsi="宋体"/>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pPr>
        <w:pStyle w:val="11"/>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介绍评审现场的人员情况，宣布评审工作纪律，告知</w:t>
      </w:r>
      <w:r>
        <w:rPr>
          <w:rFonts w:hint="eastAsia" w:hAnsi="宋体"/>
          <w:spacing w:val="-6"/>
          <w:sz w:val="21"/>
          <w:szCs w:val="21"/>
        </w:rPr>
        <w:t>磋商小组</w:t>
      </w:r>
      <w:r>
        <w:rPr>
          <w:rFonts w:hAnsi="宋体"/>
          <w:spacing w:val="-6"/>
          <w:sz w:val="21"/>
          <w:szCs w:val="21"/>
        </w:rPr>
        <w:t>应当回避情形；组织推选</w:t>
      </w:r>
      <w:r>
        <w:rPr>
          <w:rFonts w:hint="eastAsia" w:hAnsi="宋体"/>
          <w:spacing w:val="-6"/>
          <w:sz w:val="21"/>
          <w:szCs w:val="21"/>
        </w:rPr>
        <w:t>磋商小组</w:t>
      </w:r>
      <w:r>
        <w:rPr>
          <w:rFonts w:hAnsi="宋体"/>
          <w:spacing w:val="-6"/>
          <w:sz w:val="21"/>
          <w:szCs w:val="21"/>
        </w:rPr>
        <w:t>组长。</w:t>
      </w:r>
    </w:p>
    <w:p>
      <w:pPr>
        <w:pStyle w:val="11"/>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通报</w:t>
      </w:r>
      <w:r>
        <w:rPr>
          <w:rFonts w:hint="eastAsia" w:hAnsi="宋体"/>
          <w:spacing w:val="-6"/>
          <w:sz w:val="21"/>
          <w:szCs w:val="21"/>
        </w:rPr>
        <w:t>获取磋商文件</w:t>
      </w:r>
      <w:r>
        <w:rPr>
          <w:rFonts w:hAnsi="宋体"/>
          <w:spacing w:val="-6"/>
          <w:sz w:val="21"/>
          <w:szCs w:val="21"/>
        </w:rPr>
        <w:t>参加本项目采购的供应商名单及资格预审情况（如有），宣读最终提交</w:t>
      </w:r>
      <w:r>
        <w:rPr>
          <w:rFonts w:hint="eastAsia" w:hAnsi="宋体"/>
          <w:spacing w:val="-6"/>
          <w:sz w:val="21"/>
          <w:szCs w:val="21"/>
        </w:rPr>
        <w:t>响应文件</w:t>
      </w:r>
      <w:r>
        <w:rPr>
          <w:rFonts w:hAnsi="宋体"/>
          <w:spacing w:val="-6"/>
          <w:sz w:val="21"/>
          <w:szCs w:val="21"/>
        </w:rPr>
        <w:t>的供应商名单，组织</w:t>
      </w:r>
      <w:r>
        <w:rPr>
          <w:rFonts w:hint="eastAsia" w:hAnsi="宋体"/>
          <w:spacing w:val="-6"/>
          <w:sz w:val="21"/>
          <w:szCs w:val="21"/>
        </w:rPr>
        <w:t>磋商小组</w:t>
      </w:r>
      <w:r>
        <w:rPr>
          <w:rFonts w:hAnsi="宋体"/>
          <w:spacing w:val="-6"/>
          <w:sz w:val="21"/>
          <w:szCs w:val="21"/>
        </w:rPr>
        <w:t>各位成员签订《政府采购评审人员廉洁自律承诺书》。</w:t>
      </w:r>
    </w:p>
    <w:p>
      <w:pPr>
        <w:pStyle w:val="11"/>
        <w:spacing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磋商小组</w:t>
      </w:r>
      <w:r>
        <w:rPr>
          <w:rFonts w:hAnsi="宋体"/>
          <w:spacing w:val="-6"/>
          <w:sz w:val="21"/>
          <w:szCs w:val="21"/>
        </w:rPr>
        <w:t>提出的有关</w:t>
      </w:r>
      <w:r>
        <w:rPr>
          <w:rFonts w:hint="eastAsia" w:hAnsi="宋体"/>
          <w:spacing w:val="-6"/>
          <w:sz w:val="21"/>
          <w:szCs w:val="21"/>
        </w:rPr>
        <w:t>磋商文件</w:t>
      </w:r>
      <w:r>
        <w:rPr>
          <w:rFonts w:hAnsi="宋体"/>
          <w:spacing w:val="-6"/>
          <w:sz w:val="21"/>
          <w:szCs w:val="21"/>
        </w:rPr>
        <w:t>、</w:t>
      </w:r>
      <w:r>
        <w:rPr>
          <w:rFonts w:hint="eastAsia" w:hAnsi="宋体"/>
          <w:spacing w:val="-6"/>
          <w:sz w:val="21"/>
          <w:szCs w:val="21"/>
        </w:rPr>
        <w:t>响应文件</w:t>
      </w:r>
      <w:r>
        <w:rPr>
          <w:rFonts w:hAnsi="宋体"/>
          <w:spacing w:val="-6"/>
          <w:sz w:val="21"/>
          <w:szCs w:val="21"/>
        </w:rPr>
        <w:t>的问题进行必要的说明、解释或讨论。</w:t>
      </w:r>
    </w:p>
    <w:p>
      <w:pPr>
        <w:pStyle w:val="11"/>
        <w:spacing w:line="288" w:lineRule="auto"/>
        <w:ind w:firstLine="396" w:firstLineChars="200"/>
        <w:rPr>
          <w:rFonts w:hAnsi="宋体"/>
          <w:sz w:val="21"/>
          <w:szCs w:val="21"/>
        </w:rPr>
      </w:pPr>
      <w:r>
        <w:rPr>
          <w:rFonts w:hint="eastAsia" w:hAnsi="宋体"/>
          <w:spacing w:val="-6"/>
          <w:sz w:val="21"/>
          <w:szCs w:val="21"/>
        </w:rPr>
        <w:t>6.磋商小组</w:t>
      </w:r>
      <w:r>
        <w:rPr>
          <w:rFonts w:hAnsi="宋体"/>
          <w:spacing w:val="-6"/>
          <w:sz w:val="21"/>
          <w:szCs w:val="21"/>
        </w:rPr>
        <w:t>组长组织</w:t>
      </w:r>
      <w:r>
        <w:rPr>
          <w:rFonts w:hint="eastAsia" w:hAnsi="宋体"/>
          <w:spacing w:val="-6"/>
          <w:sz w:val="21"/>
          <w:szCs w:val="21"/>
        </w:rPr>
        <w:t>磋商小组成员根据</w:t>
      </w:r>
      <w:r>
        <w:rPr>
          <w:rFonts w:hint="eastAsia" w:hAnsi="宋体" w:cs="宋体"/>
          <w:kern w:val="0"/>
          <w:sz w:val="21"/>
          <w:szCs w:val="21"/>
        </w:rPr>
        <w:t>磋商文件规定的评审程序、评审方法和评审标准进行独立评审。未实质性响应磋商文件的响应文件按无效响应处理，磋商小组告知提交响应文件的供应商</w:t>
      </w:r>
      <w:r>
        <w:rPr>
          <w:rFonts w:hint="eastAsia" w:hAnsi="宋体"/>
          <w:sz w:val="21"/>
          <w:szCs w:val="21"/>
        </w:rPr>
        <w:t>。</w:t>
      </w:r>
    </w:p>
    <w:p>
      <w:pPr>
        <w:pStyle w:val="11"/>
        <w:spacing w:line="288" w:lineRule="auto"/>
        <w:ind w:firstLine="404" w:firstLineChars="200"/>
        <w:rPr>
          <w:rFonts w:hAnsi="宋体" w:cs="宋体"/>
          <w:kern w:val="0"/>
          <w:sz w:val="21"/>
          <w:szCs w:val="21"/>
        </w:rPr>
      </w:pPr>
      <w:r>
        <w:rPr>
          <w:rFonts w:hint="eastAsia" w:hAnsi="宋体" w:cs="宋体"/>
          <w:kern w:val="0"/>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11"/>
        <w:spacing w:line="288" w:lineRule="auto"/>
        <w:ind w:firstLine="404" w:firstLineChars="200"/>
        <w:rPr>
          <w:rFonts w:hAnsi="宋体" w:cs="宋体"/>
          <w:kern w:val="0"/>
          <w:sz w:val="21"/>
          <w:szCs w:val="21"/>
        </w:rPr>
      </w:pPr>
      <w:r>
        <w:rPr>
          <w:rFonts w:hint="eastAsia" w:hAnsi="宋体" w:cs="宋体"/>
          <w:kern w:val="0"/>
          <w:sz w:val="21"/>
          <w:szCs w:val="21"/>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11"/>
        <w:spacing w:line="288" w:lineRule="auto"/>
        <w:ind w:firstLine="404" w:firstLineChars="200"/>
        <w:rPr>
          <w:rFonts w:hAnsi="宋体" w:cs="宋体"/>
          <w:kern w:val="0"/>
          <w:sz w:val="21"/>
          <w:szCs w:val="21"/>
        </w:rPr>
      </w:pPr>
      <w:r>
        <w:rPr>
          <w:rFonts w:hint="eastAsia" w:hAnsi="宋体" w:cs="宋体"/>
          <w:kern w:val="0"/>
          <w:sz w:val="21"/>
          <w:szCs w:val="21"/>
        </w:rPr>
        <w:t>9.经磋商确定最终采购需求和提交最后磋商报价的供应商后，由磋商小组采用综合评分法对提交最后磋商报价的供应商的响应文件和最后磋商报价进行综合评分。</w:t>
      </w:r>
    </w:p>
    <w:p>
      <w:pPr>
        <w:pStyle w:val="11"/>
        <w:spacing w:line="288" w:lineRule="auto"/>
        <w:ind w:firstLine="404" w:firstLineChars="200"/>
        <w:rPr>
          <w:rFonts w:hAnsi="宋体" w:cs="宋体"/>
          <w:kern w:val="0"/>
          <w:sz w:val="21"/>
          <w:szCs w:val="21"/>
        </w:rPr>
      </w:pPr>
      <w:r>
        <w:rPr>
          <w:rFonts w:hint="eastAsia" w:hAnsi="宋体" w:cs="宋体"/>
          <w:kern w:val="0"/>
          <w:sz w:val="21"/>
          <w:szCs w:val="21"/>
        </w:rPr>
        <w:t>10.</w:t>
      </w:r>
      <w:r>
        <w:rPr>
          <w:rFonts w:hAnsi="宋体" w:cs="宋体"/>
          <w:kern w:val="0"/>
          <w:sz w:val="21"/>
          <w:szCs w:val="21"/>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11"/>
        <w:spacing w:line="288" w:lineRule="auto"/>
        <w:ind w:firstLine="404" w:firstLineChars="200"/>
        <w:rPr>
          <w:rFonts w:hAnsi="宋体" w:cs="宋体"/>
          <w:kern w:val="0"/>
          <w:sz w:val="21"/>
          <w:szCs w:val="21"/>
        </w:rPr>
      </w:pPr>
      <w:r>
        <w:rPr>
          <w:rFonts w:hint="eastAsia" w:hAnsi="宋体" w:cs="宋体"/>
          <w:kern w:val="0"/>
          <w:sz w:val="21"/>
          <w:szCs w:val="21"/>
        </w:rPr>
        <w:t>11.</w:t>
      </w:r>
      <w:r>
        <w:rPr>
          <w:rFonts w:hAnsi="宋体" w:cs="宋体"/>
          <w:kern w:val="0"/>
          <w:sz w:val="21"/>
          <w:szCs w:val="21"/>
        </w:rPr>
        <w:t>做好评审现场相关记录，协助磋商小组组长做好评审报告起草、有关内容电脑文字录入等工作，并要求磋商小组各成员签字确认。</w:t>
      </w:r>
    </w:p>
    <w:p>
      <w:pPr>
        <w:pStyle w:val="11"/>
        <w:spacing w:line="288" w:lineRule="auto"/>
        <w:ind w:firstLine="404" w:firstLineChars="200"/>
        <w:rPr>
          <w:rFonts w:hAnsi="宋体"/>
          <w:spacing w:val="-6"/>
          <w:sz w:val="21"/>
          <w:szCs w:val="21"/>
        </w:rPr>
      </w:pPr>
      <w:r>
        <w:rPr>
          <w:rFonts w:hint="eastAsia" w:hAnsi="宋体" w:cs="宋体"/>
          <w:kern w:val="0"/>
          <w:sz w:val="21"/>
          <w:szCs w:val="21"/>
        </w:rPr>
        <w:t>12.</w:t>
      </w:r>
      <w:r>
        <w:rPr>
          <w:rFonts w:hAnsi="宋体" w:cs="宋体"/>
          <w:kern w:val="0"/>
          <w:sz w:val="21"/>
          <w:szCs w:val="21"/>
        </w:rPr>
        <w:t>评审结束后，</w:t>
      </w:r>
      <w:r>
        <w:rPr>
          <w:rFonts w:hint="eastAsia" w:hAnsi="宋体" w:cs="宋体"/>
          <w:kern w:val="0"/>
          <w:sz w:val="21"/>
          <w:szCs w:val="21"/>
        </w:rPr>
        <w:t>采购代理机构</w:t>
      </w:r>
      <w:r>
        <w:rPr>
          <w:rFonts w:hAnsi="宋体" w:cs="宋体"/>
          <w:kern w:val="0"/>
          <w:sz w:val="21"/>
          <w:szCs w:val="21"/>
        </w:rPr>
        <w:t>交还评审人员及其他现场相关人员的通讯工具</w:t>
      </w:r>
      <w:r>
        <w:rPr>
          <w:rFonts w:hint="eastAsia" w:hAnsi="宋体" w:cs="宋体"/>
          <w:kern w:val="0"/>
          <w:sz w:val="21"/>
          <w:szCs w:val="21"/>
        </w:rPr>
        <w:t>，</w:t>
      </w:r>
      <w:r>
        <w:rPr>
          <w:rFonts w:hAnsi="宋体" w:cs="宋体"/>
          <w:kern w:val="0"/>
          <w:sz w:val="21"/>
          <w:szCs w:val="21"/>
        </w:rPr>
        <w:t>主持人公布</w:t>
      </w:r>
      <w:r>
        <w:rPr>
          <w:rFonts w:hint="eastAsia" w:hAnsi="宋体" w:cs="宋体"/>
          <w:kern w:val="0"/>
          <w:sz w:val="21"/>
          <w:szCs w:val="21"/>
        </w:rPr>
        <w:t>成交</w:t>
      </w:r>
      <w:r>
        <w:rPr>
          <w:rFonts w:hAnsi="宋体" w:cs="宋体"/>
          <w:kern w:val="0"/>
          <w:sz w:val="21"/>
          <w:szCs w:val="21"/>
        </w:rPr>
        <w:t>候选供应</w:t>
      </w:r>
      <w:r>
        <w:rPr>
          <w:rFonts w:hAnsi="宋体"/>
          <w:spacing w:val="-6"/>
          <w:sz w:val="21"/>
          <w:szCs w:val="21"/>
        </w:rPr>
        <w:t>商名单，及采购人最终确定</w:t>
      </w:r>
      <w:r>
        <w:rPr>
          <w:rFonts w:hint="eastAsia" w:hAnsi="宋体"/>
          <w:spacing w:val="-6"/>
          <w:sz w:val="21"/>
          <w:szCs w:val="21"/>
        </w:rPr>
        <w:t>成交</w:t>
      </w:r>
      <w:r>
        <w:rPr>
          <w:rFonts w:hAnsi="宋体"/>
          <w:spacing w:val="-6"/>
          <w:sz w:val="21"/>
          <w:szCs w:val="21"/>
        </w:rPr>
        <w:t>供应商名单的时间和公告方式等。</w:t>
      </w:r>
    </w:p>
    <w:p>
      <w:pPr>
        <w:pStyle w:val="11"/>
        <w:spacing w:line="288" w:lineRule="auto"/>
        <w:ind w:firstLine="0"/>
        <w:rPr>
          <w:rFonts w:hAnsi="宋体"/>
          <w:b/>
          <w:spacing w:val="-6"/>
          <w:sz w:val="24"/>
          <w:szCs w:val="24"/>
        </w:rPr>
      </w:pPr>
      <w:bookmarkStart w:id="53" w:name="_Toc18500"/>
      <w:r>
        <w:rPr>
          <w:rFonts w:hAnsi="宋体"/>
          <w:b/>
          <w:spacing w:val="-6"/>
          <w:sz w:val="24"/>
          <w:szCs w:val="24"/>
        </w:rPr>
        <w:t>（四）澄清问题的形式</w:t>
      </w:r>
      <w:bookmarkEnd w:id="53"/>
    </w:p>
    <w:p>
      <w:pPr>
        <w:pStyle w:val="11"/>
        <w:spacing w:line="288" w:lineRule="auto"/>
        <w:ind w:firstLine="396" w:firstLineChars="200"/>
        <w:rPr>
          <w:rFonts w:hAnsi="宋体"/>
          <w:spacing w:val="-6"/>
          <w:sz w:val="21"/>
          <w:szCs w:val="21"/>
        </w:rPr>
      </w:pPr>
      <w:r>
        <w:rPr>
          <w:rFonts w:hint="eastAsia" w:hAnsi="宋体"/>
          <w:spacing w:val="-6"/>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1"/>
        <w:spacing w:line="288" w:lineRule="auto"/>
        <w:ind w:firstLine="396" w:firstLineChars="200"/>
        <w:rPr>
          <w:rFonts w:hAnsi="宋体"/>
          <w:spacing w:val="-6"/>
          <w:sz w:val="21"/>
          <w:szCs w:val="21"/>
        </w:rPr>
      </w:pPr>
      <w:r>
        <w:rPr>
          <w:rFonts w:hint="eastAsia" w:hAnsi="宋体"/>
          <w:spacing w:val="-6"/>
          <w:sz w:val="21"/>
          <w:szCs w:val="21"/>
        </w:rPr>
        <w:t>磋商小组要求供应商澄清、说明或者更正响应文件应当以书面形式作出。供应商的澄清、说明或者更正应当由法定代表人或其授权代表签字或者加盖公章。</w:t>
      </w:r>
    </w:p>
    <w:p>
      <w:pPr>
        <w:pStyle w:val="11"/>
        <w:spacing w:line="288" w:lineRule="auto"/>
        <w:ind w:firstLine="0"/>
        <w:rPr>
          <w:rFonts w:hAnsi="宋体"/>
          <w:b/>
          <w:spacing w:val="-6"/>
          <w:sz w:val="24"/>
          <w:szCs w:val="24"/>
        </w:rPr>
      </w:pPr>
      <w:bookmarkStart w:id="54" w:name="_Toc9301"/>
      <w:r>
        <w:rPr>
          <w:rFonts w:hAnsi="宋体"/>
          <w:b/>
          <w:spacing w:val="-6"/>
          <w:sz w:val="24"/>
          <w:szCs w:val="24"/>
        </w:rPr>
        <w:t>（</w:t>
      </w:r>
      <w:r>
        <w:rPr>
          <w:rFonts w:hint="eastAsia" w:hAnsi="宋体"/>
          <w:b/>
          <w:spacing w:val="-6"/>
          <w:sz w:val="24"/>
          <w:szCs w:val="24"/>
        </w:rPr>
        <w:t>五</w:t>
      </w:r>
      <w:r>
        <w:rPr>
          <w:rFonts w:hAnsi="宋体"/>
          <w:b/>
          <w:spacing w:val="-6"/>
          <w:sz w:val="24"/>
          <w:szCs w:val="24"/>
        </w:rPr>
        <w:t>）</w:t>
      </w:r>
      <w:r>
        <w:rPr>
          <w:rFonts w:hint="eastAsia" w:hAnsi="宋体"/>
          <w:b/>
          <w:spacing w:val="-6"/>
          <w:sz w:val="24"/>
          <w:szCs w:val="24"/>
        </w:rPr>
        <w:t xml:space="preserve"> 评审</w:t>
      </w:r>
      <w:r>
        <w:rPr>
          <w:rFonts w:hAnsi="宋体"/>
          <w:b/>
          <w:spacing w:val="-6"/>
          <w:sz w:val="24"/>
          <w:szCs w:val="24"/>
        </w:rPr>
        <w:t>原则和</w:t>
      </w:r>
      <w:r>
        <w:rPr>
          <w:rFonts w:hint="eastAsia" w:hAnsi="宋体"/>
          <w:b/>
          <w:spacing w:val="-6"/>
          <w:sz w:val="24"/>
          <w:szCs w:val="24"/>
        </w:rPr>
        <w:t>评审</w:t>
      </w:r>
      <w:r>
        <w:rPr>
          <w:rFonts w:hAnsi="宋体"/>
          <w:b/>
          <w:spacing w:val="-6"/>
          <w:sz w:val="24"/>
          <w:szCs w:val="24"/>
        </w:rPr>
        <w:t>办法</w:t>
      </w:r>
      <w:bookmarkEnd w:id="54"/>
    </w:p>
    <w:p>
      <w:pPr>
        <w:spacing w:line="288" w:lineRule="auto"/>
        <w:ind w:firstLine="396" w:firstLineChars="200"/>
        <w:rPr>
          <w:rFonts w:ascii="宋体" w:hAnsi="宋体"/>
          <w:spacing w:val="-6"/>
          <w:sz w:val="21"/>
          <w:szCs w:val="21"/>
        </w:rPr>
      </w:pPr>
      <w:r>
        <w:rPr>
          <w:rFonts w:hint="eastAsia" w:ascii="宋体" w:hAnsi="宋体"/>
          <w:spacing w:val="-6"/>
          <w:sz w:val="21"/>
          <w:szCs w:val="21"/>
        </w:rPr>
        <w:t>1.评审专家应当遵守评审工作纪律，不得泄露评审情况和评审中获悉的商业秘密。磋商小组成员应当按照客观、公正、审慎的原则，</w:t>
      </w:r>
      <w:r>
        <w:rPr>
          <w:rFonts w:hint="eastAsia" w:hAnsi="宋体"/>
          <w:spacing w:val="-6"/>
          <w:sz w:val="21"/>
          <w:szCs w:val="21"/>
        </w:rPr>
        <w:t>根据</w:t>
      </w:r>
      <w:r>
        <w:rPr>
          <w:rFonts w:hint="eastAsia" w:ascii="宋体" w:hAnsi="宋体" w:cs="宋体"/>
          <w:kern w:val="0"/>
          <w:sz w:val="21"/>
          <w:szCs w:val="21"/>
        </w:rPr>
        <w:t>磋商文件规定的评审程序、评审方法和评审标准进行独立评审。</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hint="eastAsia" w:ascii="宋体" w:hAnsi="宋体"/>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3.磋商文件内容违反国家有关强制性规定的，磋商小组应当停止评审并向采购人或者采购代理机构说明情况。</w:t>
      </w:r>
    </w:p>
    <w:p>
      <w:pPr>
        <w:spacing w:line="288" w:lineRule="auto"/>
        <w:ind w:firstLine="396" w:firstLineChars="200"/>
        <w:rPr>
          <w:rFonts w:ascii="宋体" w:hAnsi="宋体" w:cs="宋体"/>
          <w:kern w:val="0"/>
          <w:sz w:val="21"/>
          <w:szCs w:val="21"/>
        </w:rPr>
      </w:pPr>
      <w:r>
        <w:rPr>
          <w:rFonts w:hint="eastAsia" w:ascii="宋体" w:hAnsi="宋体"/>
          <w:bCs/>
          <w:spacing w:val="-6"/>
          <w:sz w:val="21"/>
          <w:szCs w:val="21"/>
        </w:rPr>
        <w:t>4.</w:t>
      </w:r>
      <w:r>
        <w:rPr>
          <w:rFonts w:hint="eastAsia" w:ascii="宋体" w:hAnsi="宋体" w:cs="宋体"/>
          <w:kern w:val="0"/>
          <w:sz w:val="21"/>
          <w:szCs w:val="21"/>
        </w:rPr>
        <w:t>采购人、采购代理机构不得向磋商小组中的评审专家作倾向性、误导性的解释或者说明。</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5.已提交响应文件的供应商，在提交最后磋商报价之前，可以根据磋商情况退出磋商。</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6</w:t>
      </w:r>
      <w:r>
        <w:rPr>
          <w:rFonts w:ascii="宋体" w:hAnsi="宋体"/>
          <w:bCs/>
          <w:spacing w:val="-6"/>
          <w:sz w:val="21"/>
          <w:szCs w:val="21"/>
        </w:rPr>
        <w:t>.</w:t>
      </w:r>
      <w:r>
        <w:rPr>
          <w:rFonts w:hint="eastAsia" w:ascii="宋体" w:hAnsi="宋体" w:cs="宋体"/>
          <w:kern w:val="0"/>
          <w:sz w:val="21"/>
          <w:szCs w:val="21"/>
        </w:rPr>
        <w:t>采用竞争性磋商采购方式采购的政府购买服务项目（含政府和社会资本合作项目），在采购过程中符合要求的供应商（社会资本）只有2家的，竞争性磋商采购活动可以继续进行。</w:t>
      </w:r>
    </w:p>
    <w:p>
      <w:pPr>
        <w:pStyle w:val="11"/>
        <w:spacing w:line="288" w:lineRule="auto"/>
        <w:ind w:firstLine="396" w:firstLineChars="200"/>
        <w:rPr>
          <w:rFonts w:hAnsi="宋体" w:cs="宋体"/>
          <w:kern w:val="0"/>
          <w:sz w:val="21"/>
          <w:szCs w:val="21"/>
        </w:rPr>
      </w:pPr>
      <w:r>
        <w:rPr>
          <w:rFonts w:hint="eastAsia" w:hAnsi="宋体"/>
          <w:bCs/>
          <w:spacing w:val="-6"/>
          <w:sz w:val="21"/>
          <w:szCs w:val="21"/>
        </w:rPr>
        <w:t>7.</w:t>
      </w:r>
      <w:r>
        <w:rPr>
          <w:rFonts w:hint="eastAsia" w:hAnsi="宋体" w:cs="宋体"/>
          <w:kern w:val="0"/>
          <w:sz w:val="21"/>
          <w:szCs w:val="21"/>
        </w:rPr>
        <w:t>磋商轮次不超过三轮，具体根据项目的情况由磋商小组决定。</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9.评审办法。本项目评审办法是综合评分法，具体评审内容及评分标准等详见《第四章：评审办法及评分标准》。</w:t>
      </w:r>
    </w:p>
    <w:p>
      <w:pPr>
        <w:spacing w:line="288" w:lineRule="auto"/>
        <w:rPr>
          <w:rFonts w:ascii="宋体" w:hAnsi="宋体"/>
          <w:b/>
          <w:spacing w:val="-6"/>
          <w:sz w:val="24"/>
        </w:rPr>
      </w:pPr>
      <w:bookmarkStart w:id="55" w:name="_Toc24295"/>
      <w:r>
        <w:rPr>
          <w:rFonts w:hint="eastAsia" w:ascii="宋体" w:hAnsi="宋体"/>
          <w:b/>
          <w:spacing w:val="-6"/>
          <w:sz w:val="24"/>
        </w:rPr>
        <w:t>（六） 成 交</w:t>
      </w:r>
      <w:bookmarkEnd w:id="55"/>
    </w:p>
    <w:p>
      <w:pPr>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2.采购代理机构在成交供应商确定后2个工作日内在浙江政府采购网（http://www.zjzfcg.gov.cn)</w:t>
      </w:r>
      <w:r>
        <w:rPr>
          <w:rFonts w:hint="eastAsia" w:ascii="宋体" w:hAnsi="宋体"/>
          <w:sz w:val="21"/>
          <w:szCs w:val="21"/>
        </w:rPr>
        <w:t>等相关网站或媒体</w:t>
      </w:r>
      <w:r>
        <w:rPr>
          <w:rFonts w:hint="eastAsia" w:ascii="宋体" w:hAnsi="宋体"/>
          <w:spacing w:val="-6"/>
          <w:sz w:val="21"/>
          <w:szCs w:val="21"/>
        </w:rPr>
        <w:t>上公告成交结果，同时向成交供应商发出成交通知书，并将磋商文件随成交结果同时公告。</w:t>
      </w:r>
    </w:p>
    <w:p>
      <w:pPr>
        <w:spacing w:line="288" w:lineRule="auto"/>
        <w:rPr>
          <w:rFonts w:ascii="宋体" w:hAnsi="宋体"/>
          <w:spacing w:val="-6"/>
          <w:sz w:val="24"/>
        </w:rPr>
      </w:pPr>
      <w:bookmarkStart w:id="56" w:name="_Toc7188"/>
      <w:r>
        <w:rPr>
          <w:rFonts w:hint="eastAsia" w:ascii="宋体" w:hAnsi="宋体"/>
          <w:b/>
          <w:bCs/>
          <w:spacing w:val="-6"/>
          <w:sz w:val="24"/>
        </w:rPr>
        <w:t>（七） 合同授予</w:t>
      </w:r>
      <w:bookmarkEnd w:id="56"/>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b/>
          <w:bCs/>
          <w:spacing w:val="-6"/>
          <w:sz w:val="21"/>
          <w:szCs w:val="21"/>
        </w:rPr>
      </w:pPr>
      <w:r>
        <w:rPr>
          <w:rFonts w:hint="eastAsia" w:ascii="宋体" w:hAnsi="宋体"/>
          <w:spacing w:val="-6"/>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662" w:firstLineChars="214"/>
        <w:jc w:val="center"/>
        <w:outlineLvl w:val="0"/>
        <w:rPr>
          <w:rFonts w:ascii="宋体" w:hAnsi="宋体"/>
          <w:b/>
          <w:spacing w:val="-6"/>
          <w:sz w:val="32"/>
          <w:szCs w:val="32"/>
        </w:rPr>
      </w:pPr>
      <w:r>
        <w:rPr>
          <w:rFonts w:hint="eastAsia" w:ascii="宋体" w:hAnsi="宋体"/>
          <w:b/>
          <w:spacing w:val="-6"/>
          <w:sz w:val="32"/>
          <w:szCs w:val="32"/>
        </w:rPr>
        <w:br w:type="page"/>
      </w:r>
      <w:bookmarkStart w:id="57" w:name="_Toc21077"/>
      <w:bookmarkStart w:id="58" w:name="_Toc9328"/>
      <w:r>
        <w:rPr>
          <w:rFonts w:hint="eastAsia" w:ascii="宋体" w:hAnsi="宋体"/>
          <w:b/>
          <w:spacing w:val="-6"/>
          <w:sz w:val="32"/>
          <w:szCs w:val="32"/>
        </w:rPr>
        <w:t>第四章  评审办法及评分标准</w:t>
      </w:r>
      <w:bookmarkEnd w:id="57"/>
      <w:bookmarkEnd w:id="58"/>
    </w:p>
    <w:p>
      <w:pPr>
        <w:spacing w:line="288" w:lineRule="auto"/>
        <w:rPr>
          <w:rFonts w:ascii="宋体" w:hAnsi="宋体"/>
          <w:b/>
          <w:spacing w:val="-6"/>
          <w:sz w:val="24"/>
        </w:rPr>
      </w:pPr>
      <w:bookmarkStart w:id="59" w:name="_Toc2278"/>
      <w:r>
        <w:rPr>
          <w:rFonts w:hint="eastAsia" w:ascii="宋体" w:hAnsi="宋体"/>
          <w:b/>
          <w:spacing w:val="-6"/>
          <w:sz w:val="24"/>
        </w:rPr>
        <w:t>一、总则</w:t>
      </w:r>
      <w:bookmarkEnd w:id="59"/>
    </w:p>
    <w:p>
      <w:pPr>
        <w:spacing w:line="288" w:lineRule="auto"/>
        <w:ind w:firstLine="396" w:firstLineChars="200"/>
        <w:rPr>
          <w:rFonts w:ascii="宋体" w:hAnsi="宋体"/>
          <w:bCs/>
          <w:spacing w:val="-6"/>
          <w:sz w:val="21"/>
          <w:szCs w:val="21"/>
        </w:rPr>
      </w:pPr>
      <w:r>
        <w:rPr>
          <w:rFonts w:hint="eastAsia" w:ascii="宋体" w:hAnsi="宋体"/>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spacing w:val="-6"/>
          <w:sz w:val="21"/>
          <w:szCs w:val="21"/>
        </w:rPr>
        <w:t>评分过程中采用四舍五入法，并保留小数2位。</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供应商评审</w:t>
      </w:r>
      <w:r>
        <w:rPr>
          <w:rFonts w:hint="eastAsia" w:ascii="宋体" w:hAnsi="宋体"/>
          <w:bCs/>
          <w:spacing w:val="-6"/>
          <w:sz w:val="21"/>
          <w:szCs w:val="21"/>
        </w:rPr>
        <w:t>综合得分=商务分+技术分+价格分</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商务分、技术分按照磋商小组成员的独立评分结果的算术平均分计算，计算公式为：商务分、技术分=（磋商小组所有成员评分合计数）</w:t>
      </w:r>
      <w:r>
        <w:rPr>
          <w:rFonts w:ascii="宋体" w:hAnsi="宋体"/>
          <w:bCs/>
          <w:spacing w:val="-6"/>
          <w:sz w:val="21"/>
          <w:szCs w:val="21"/>
        </w:rPr>
        <w:t>/（</w:t>
      </w:r>
      <w:r>
        <w:rPr>
          <w:rFonts w:hint="eastAsia" w:ascii="宋体" w:hAnsi="宋体"/>
          <w:bCs/>
          <w:spacing w:val="-6"/>
          <w:sz w:val="21"/>
          <w:szCs w:val="21"/>
        </w:rPr>
        <w:t>磋商小组组成人员数）</w:t>
      </w:r>
    </w:p>
    <w:p>
      <w:pPr>
        <w:numPr>
          <w:ilvl w:val="0"/>
          <w:numId w:val="4"/>
        </w:numPr>
        <w:spacing w:line="288" w:lineRule="auto"/>
        <w:rPr>
          <w:rFonts w:ascii="宋体" w:hAnsi="宋体"/>
          <w:b/>
          <w:spacing w:val="-6"/>
          <w:sz w:val="24"/>
        </w:rPr>
      </w:pPr>
      <w:bookmarkStart w:id="60" w:name="_Toc12580"/>
      <w:r>
        <w:rPr>
          <w:rFonts w:hint="eastAsia" w:ascii="宋体" w:hAnsi="宋体"/>
          <w:b/>
          <w:spacing w:val="-6"/>
          <w:sz w:val="24"/>
        </w:rPr>
        <w:t>评审内容及标准</w:t>
      </w:r>
      <w:bookmarkEnd w:id="60"/>
    </w:p>
    <w:tbl>
      <w:tblPr>
        <w:tblStyle w:val="2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09"/>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Align w:val="center"/>
          </w:tcPr>
          <w:p>
            <w:pPr>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jc w:val="center"/>
              <w:rPr>
                <w:rFonts w:ascii="宋体" w:hAnsi="宋体"/>
                <w:b/>
                <w:spacing w:val="-6"/>
                <w:sz w:val="21"/>
                <w:szCs w:val="21"/>
              </w:rPr>
            </w:pPr>
            <w:r>
              <w:rPr>
                <w:rFonts w:hint="eastAsia" w:ascii="宋体" w:hAnsi="宋体"/>
                <w:b/>
                <w:spacing w:val="-6"/>
                <w:sz w:val="21"/>
                <w:szCs w:val="21"/>
              </w:rPr>
              <w:t>分值</w:t>
            </w:r>
          </w:p>
        </w:tc>
        <w:tc>
          <w:tcPr>
            <w:tcW w:w="7626" w:type="dxa"/>
            <w:vAlign w:val="center"/>
          </w:tcPr>
          <w:p>
            <w:pPr>
              <w:pStyle w:val="83"/>
              <w:spacing w:line="240" w:lineRule="auto"/>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0" w:type="dxa"/>
            <w:gridSpan w:val="3"/>
            <w:vAlign w:val="center"/>
          </w:tcPr>
          <w:p>
            <w:pPr>
              <w:pStyle w:val="83"/>
              <w:spacing w:line="240" w:lineRule="auto"/>
              <w:rPr>
                <w:rFonts w:hint="default" w:ascii="宋体" w:hAnsi="宋体" w:eastAsia="宋体"/>
                <w:spacing w:val="-6"/>
                <w:sz w:val="21"/>
                <w:szCs w:val="21"/>
              </w:rPr>
            </w:pPr>
            <w:r>
              <w:rPr>
                <w:rFonts w:ascii="宋体" w:hAnsi="宋体" w:eastAsia="宋体"/>
                <w:b/>
                <w:bCs/>
                <w:spacing w:val="-6"/>
                <w:kern w:val="2"/>
                <w:sz w:val="21"/>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pStyle w:val="11"/>
              <w:spacing w:line="288" w:lineRule="auto"/>
              <w:ind w:firstLine="0"/>
              <w:jc w:val="center"/>
              <w:rPr>
                <w:rFonts w:hAnsi="宋体"/>
                <w:b/>
                <w:spacing w:val="-6"/>
                <w:sz w:val="21"/>
                <w:szCs w:val="21"/>
              </w:rPr>
            </w:pPr>
            <w:r>
              <w:rPr>
                <w:rFonts w:hint="eastAsia" w:hAnsi="宋体"/>
                <w:b/>
                <w:bCs/>
                <w:spacing w:val="-6"/>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
                <w:spacing w:val="-6"/>
                <w:sz w:val="21"/>
                <w:szCs w:val="21"/>
              </w:rPr>
            </w:pPr>
            <w:r>
              <w:rPr>
                <w:rFonts w:ascii="宋体" w:hAnsi="宋体"/>
                <w:b/>
                <w:bCs/>
                <w:spacing w:val="-6"/>
                <w:sz w:val="21"/>
                <w:szCs w:val="21"/>
              </w:rPr>
              <w:t>30</w:t>
            </w:r>
          </w:p>
        </w:tc>
        <w:tc>
          <w:tcPr>
            <w:tcW w:w="7626" w:type="dxa"/>
            <w:tcBorders>
              <w:top w:val="single" w:color="auto" w:sz="4" w:space="0"/>
              <w:left w:val="single" w:color="auto" w:sz="4" w:space="0"/>
              <w:bottom w:val="single" w:color="auto" w:sz="4" w:space="0"/>
              <w:right w:val="single" w:color="auto" w:sz="4" w:space="0"/>
            </w:tcBorders>
            <w:vAlign w:val="center"/>
          </w:tcPr>
          <w:p>
            <w:pPr>
              <w:pStyle w:val="11"/>
              <w:ind w:firstLine="0"/>
              <w:rPr>
                <w:rFonts w:hAnsi="宋体"/>
                <w:spacing w:val="-6"/>
                <w:sz w:val="21"/>
                <w:szCs w:val="21"/>
              </w:rPr>
            </w:pPr>
            <w:r>
              <w:rPr>
                <w:rFonts w:hint="eastAsia" w:hAnsi="宋体"/>
                <w:spacing w:val="-6"/>
                <w:sz w:val="21"/>
                <w:szCs w:val="21"/>
              </w:rPr>
              <w:t>价格分采用低价优先法计算，即满足磋商文件要求且最后磋商报价最低的供应商的价格为磋商基准价，其价格分为满分。其他供应商的价格分统一按照下列公式计算：</w:t>
            </w:r>
          </w:p>
          <w:p>
            <w:pPr>
              <w:pStyle w:val="11"/>
              <w:ind w:firstLine="0"/>
              <w:rPr>
                <w:rFonts w:hAnsi="宋体"/>
                <w:spacing w:val="-6"/>
                <w:sz w:val="21"/>
                <w:szCs w:val="21"/>
              </w:rPr>
            </w:pPr>
            <w:r>
              <w:rPr>
                <w:rFonts w:hint="eastAsia" w:hAnsi="宋体"/>
                <w:spacing w:val="-6"/>
                <w:sz w:val="21"/>
                <w:szCs w:val="21"/>
              </w:rPr>
              <w:t>磋商报价得分</w:t>
            </w:r>
            <w:r>
              <w:rPr>
                <w:rFonts w:hAnsi="宋体"/>
                <w:spacing w:val="-6"/>
                <w:sz w:val="21"/>
                <w:szCs w:val="21"/>
              </w:rPr>
              <w:t>=</w:t>
            </w:r>
            <w:r>
              <w:rPr>
                <w:rFonts w:hint="eastAsia" w:hAnsi="宋体"/>
                <w:spacing w:val="-6"/>
                <w:sz w:val="21"/>
                <w:szCs w:val="21"/>
              </w:rPr>
              <w:t>（磋商基准价</w:t>
            </w:r>
            <w:r>
              <w:rPr>
                <w:rFonts w:hAnsi="宋体"/>
                <w:spacing w:val="-6"/>
                <w:sz w:val="21"/>
                <w:szCs w:val="21"/>
              </w:rPr>
              <w:t>/</w:t>
            </w:r>
            <w:r>
              <w:rPr>
                <w:rFonts w:hint="eastAsia" w:hAnsi="宋体"/>
                <w:spacing w:val="-6"/>
                <w:sz w:val="21"/>
                <w:szCs w:val="21"/>
              </w:rPr>
              <w:t>最后磋商报价）×</w:t>
            </w:r>
            <w:r>
              <w:rPr>
                <w:rFonts w:hAnsi="宋体"/>
                <w:spacing w:val="-6"/>
                <w:sz w:val="21"/>
                <w:szCs w:val="21"/>
              </w:rPr>
              <w:t>30%</w:t>
            </w:r>
            <w:r>
              <w:rPr>
                <w:rFonts w:hint="eastAsia" w:hAnsi="宋体"/>
                <w:spacing w:val="-6"/>
                <w:sz w:val="21"/>
                <w:szCs w:val="21"/>
              </w:rPr>
              <w:t>×</w:t>
            </w:r>
            <w:r>
              <w:rPr>
                <w:rFonts w:hAnsi="宋体"/>
                <w:spacing w:val="-6"/>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0" w:type="dxa"/>
            <w:gridSpan w:val="3"/>
            <w:vAlign w:val="center"/>
          </w:tcPr>
          <w:p>
            <w:pPr>
              <w:pStyle w:val="83"/>
              <w:spacing w:line="240"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Align w:val="center"/>
          </w:tcPr>
          <w:p>
            <w:pPr>
              <w:jc w:val="center"/>
              <w:rPr>
                <w:rFonts w:ascii="宋体" w:hAnsi="宋体"/>
                <w:b/>
                <w:spacing w:val="-6"/>
                <w:sz w:val="21"/>
              </w:rPr>
            </w:pPr>
            <w:r>
              <w:rPr>
                <w:rFonts w:hint="eastAsia" w:ascii="宋体" w:hAnsi="宋体"/>
                <w:b/>
                <w:spacing w:val="-6"/>
                <w:sz w:val="21"/>
              </w:rPr>
              <w:t>业绩</w:t>
            </w:r>
          </w:p>
        </w:tc>
        <w:tc>
          <w:tcPr>
            <w:tcW w:w="709" w:type="dxa"/>
            <w:vAlign w:val="center"/>
          </w:tcPr>
          <w:p>
            <w:pPr>
              <w:jc w:val="center"/>
              <w:rPr>
                <w:rFonts w:ascii="宋体" w:hAnsi="宋体"/>
                <w:b/>
                <w:spacing w:val="-6"/>
                <w:sz w:val="21"/>
              </w:rPr>
            </w:pPr>
            <w:r>
              <w:rPr>
                <w:rFonts w:hint="eastAsia" w:ascii="宋体" w:hAnsi="宋体"/>
                <w:b/>
                <w:spacing w:val="-6"/>
                <w:sz w:val="21"/>
              </w:rPr>
              <w:t>5</w:t>
            </w:r>
          </w:p>
        </w:tc>
        <w:tc>
          <w:tcPr>
            <w:tcW w:w="7626" w:type="dxa"/>
            <w:vAlign w:val="center"/>
          </w:tcPr>
          <w:p>
            <w:pPr>
              <w:rPr>
                <w:rFonts w:ascii="宋体" w:hAnsi="宋体"/>
                <w:spacing w:val="-6"/>
                <w:sz w:val="21"/>
              </w:rPr>
            </w:pPr>
            <w:r>
              <w:rPr>
                <w:rFonts w:hint="eastAsia" w:ascii="宋体" w:hAnsi="宋体"/>
                <w:spacing w:val="-6"/>
                <w:sz w:val="21"/>
              </w:rPr>
              <w:t>供应商自2016年1月1日以来（以合同签订时间为准）同类项目业绩（以提供的合同复印件及对应验收报告为准）：每提供1份证明材料得1分，最高得5分。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Align w:val="center"/>
          </w:tcPr>
          <w:p>
            <w:pPr>
              <w:jc w:val="center"/>
              <w:rPr>
                <w:rFonts w:ascii="宋体" w:hAnsi="宋体"/>
                <w:b/>
                <w:spacing w:val="-6"/>
                <w:sz w:val="21"/>
              </w:rPr>
            </w:pPr>
            <w:r>
              <w:rPr>
                <w:rFonts w:hint="eastAsia" w:ascii="宋体" w:hAnsi="宋体"/>
                <w:b/>
                <w:spacing w:val="-6"/>
                <w:sz w:val="21"/>
              </w:rPr>
              <w:t>政策功能</w:t>
            </w:r>
          </w:p>
        </w:tc>
        <w:tc>
          <w:tcPr>
            <w:tcW w:w="709" w:type="dxa"/>
            <w:vAlign w:val="center"/>
          </w:tcPr>
          <w:p>
            <w:pPr>
              <w:jc w:val="center"/>
              <w:rPr>
                <w:rFonts w:ascii="宋体" w:hAnsi="宋体"/>
                <w:b/>
                <w:spacing w:val="-6"/>
                <w:sz w:val="21"/>
              </w:rPr>
            </w:pPr>
            <w:r>
              <w:rPr>
                <w:rFonts w:hint="eastAsia" w:ascii="宋体" w:hAnsi="宋体"/>
                <w:b/>
                <w:spacing w:val="-6"/>
                <w:sz w:val="21"/>
              </w:rPr>
              <w:t>1</w:t>
            </w:r>
          </w:p>
        </w:tc>
        <w:tc>
          <w:tcPr>
            <w:tcW w:w="7626" w:type="dxa"/>
            <w:vAlign w:val="center"/>
          </w:tcPr>
          <w:p>
            <w:pPr>
              <w:rPr>
                <w:rFonts w:ascii="宋体" w:hAnsi="宋体"/>
                <w:spacing w:val="-6"/>
                <w:sz w:val="21"/>
              </w:rPr>
            </w:pPr>
            <w:r>
              <w:rPr>
                <w:rFonts w:hint="eastAsia" w:ascii="宋体" w:hAnsi="宋体" w:cs="宋体"/>
                <w:sz w:val="21"/>
                <w:szCs w:val="21"/>
              </w:rPr>
              <w:t>响应产品属于品目清单范围且提供国家确定的认证机构出具的处于有效期之内的节能产品认证证书（复印件加盖公章）的得0.5分；响应产品属于品目清单范围且提供国家确定的认证机构出具的处于有效期之内的环境标志产品认证证书（复印件加盖公章）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0" w:type="dxa"/>
            <w:gridSpan w:val="3"/>
            <w:vAlign w:val="center"/>
          </w:tcPr>
          <w:p>
            <w:pPr>
              <w:pStyle w:val="11"/>
              <w:spacing w:line="240" w:lineRule="auto"/>
              <w:ind w:firstLine="0"/>
              <w:jc w:val="center"/>
              <w:rPr>
                <w:rFonts w:hAnsi="宋体"/>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Align w:val="center"/>
          </w:tcPr>
          <w:p>
            <w:pPr>
              <w:jc w:val="center"/>
              <w:rPr>
                <w:rFonts w:ascii="宋体" w:hAnsi="宋体"/>
                <w:b/>
                <w:spacing w:val="-6"/>
                <w:sz w:val="21"/>
              </w:rPr>
            </w:pPr>
            <w:r>
              <w:rPr>
                <w:rFonts w:hint="eastAsia" w:ascii="宋体" w:hAnsi="宋体"/>
                <w:b/>
                <w:spacing w:val="-6"/>
                <w:sz w:val="21"/>
                <w:szCs w:val="21"/>
              </w:rPr>
              <w:t>产品</w:t>
            </w:r>
            <w:r>
              <w:rPr>
                <w:rFonts w:ascii="宋体" w:hAnsi="宋体"/>
                <w:b/>
                <w:spacing w:val="-6"/>
                <w:sz w:val="21"/>
                <w:szCs w:val="21"/>
              </w:rPr>
              <w:t>响应程度</w:t>
            </w:r>
          </w:p>
        </w:tc>
        <w:tc>
          <w:tcPr>
            <w:tcW w:w="709" w:type="dxa"/>
            <w:vAlign w:val="center"/>
          </w:tcPr>
          <w:p>
            <w:pPr>
              <w:jc w:val="center"/>
              <w:rPr>
                <w:rFonts w:ascii="宋体" w:hAnsi="宋体"/>
                <w:b/>
                <w:spacing w:val="-6"/>
                <w:sz w:val="21"/>
              </w:rPr>
            </w:pPr>
            <w:r>
              <w:rPr>
                <w:rFonts w:hint="eastAsia" w:ascii="宋体" w:hAnsi="宋体"/>
                <w:b/>
                <w:spacing w:val="-6"/>
                <w:sz w:val="21"/>
              </w:rPr>
              <w:t>27</w:t>
            </w:r>
          </w:p>
        </w:tc>
        <w:tc>
          <w:tcPr>
            <w:tcW w:w="7626" w:type="dxa"/>
            <w:vAlign w:val="center"/>
          </w:tcPr>
          <w:p>
            <w:r>
              <w:rPr>
                <w:rFonts w:hint="eastAsia" w:ascii="宋体" w:hAnsi="宋体" w:cs="宋体"/>
                <w:sz w:val="21"/>
                <w:szCs w:val="21"/>
              </w:rPr>
              <w:t>不符合（负偏离）技术要求中标注“▲”条款（不可偏离）的响应无效，满足或明显优于磋商文件明确的技术条款要求的得</w:t>
            </w:r>
            <w:r>
              <w:rPr>
                <w:rFonts w:ascii="宋体" w:hAnsi="宋体" w:cs="宋体"/>
                <w:sz w:val="21"/>
                <w:szCs w:val="21"/>
              </w:rPr>
              <w:t>2</w:t>
            </w:r>
            <w:r>
              <w:rPr>
                <w:rFonts w:hint="eastAsia" w:ascii="宋体" w:hAnsi="宋体" w:cs="宋体"/>
                <w:sz w:val="21"/>
                <w:szCs w:val="21"/>
              </w:rPr>
              <w:t>3分，标“★”的</w:t>
            </w:r>
            <w:r>
              <w:rPr>
                <w:rFonts w:hint="eastAsia" w:ascii="宋体" w:hAnsi="宋体" w:cs="宋体"/>
                <w:spacing w:val="-6"/>
                <w:sz w:val="21"/>
                <w:szCs w:val="21"/>
              </w:rPr>
              <w:t>技术条款低于技术要求（负偏离）的每项扣3分（</w:t>
            </w:r>
            <w:r>
              <w:rPr>
                <w:rFonts w:ascii="宋体" w:hAnsi="宋体" w:cs="宋体"/>
                <w:spacing w:val="-6"/>
                <w:sz w:val="21"/>
                <w:szCs w:val="21"/>
              </w:rPr>
              <w:t>2</w:t>
            </w:r>
            <w:r>
              <w:rPr>
                <w:rFonts w:hint="eastAsia" w:ascii="宋体" w:hAnsi="宋体" w:cs="宋体"/>
                <w:spacing w:val="-6"/>
                <w:sz w:val="21"/>
                <w:szCs w:val="21"/>
              </w:rPr>
              <w:t>7分起扣）、8项以上的响应无效，非标</w:t>
            </w:r>
            <w:r>
              <w:rPr>
                <w:rFonts w:hint="eastAsia" w:ascii="宋体" w:hAnsi="宋体" w:cs="宋体"/>
                <w:sz w:val="21"/>
                <w:szCs w:val="21"/>
              </w:rPr>
              <w:t>“</w:t>
            </w:r>
            <w:r>
              <w:rPr>
                <w:rFonts w:hint="eastAsia" w:ascii="宋体" w:hAnsi="宋体"/>
                <w:sz w:val="21"/>
                <w:szCs w:val="21"/>
              </w:rPr>
              <w:t>★</w:t>
            </w:r>
            <w:r>
              <w:rPr>
                <w:rFonts w:hint="eastAsia" w:ascii="宋体" w:hAnsi="宋体" w:cs="宋体"/>
                <w:sz w:val="21"/>
                <w:szCs w:val="21"/>
              </w:rPr>
              <w:t>”的</w:t>
            </w:r>
            <w:r>
              <w:rPr>
                <w:rFonts w:hint="eastAsia" w:ascii="宋体" w:hAnsi="宋体" w:cs="宋体"/>
                <w:spacing w:val="-6"/>
                <w:sz w:val="21"/>
                <w:szCs w:val="21"/>
              </w:rPr>
              <w:t>技术条款低于技术要求（负偏离）的每项扣</w:t>
            </w:r>
            <w:r>
              <w:rPr>
                <w:rFonts w:ascii="宋体" w:hAnsi="宋体" w:cs="宋体"/>
                <w:spacing w:val="-6"/>
                <w:sz w:val="21"/>
                <w:szCs w:val="21"/>
              </w:rPr>
              <w:t>1</w:t>
            </w:r>
            <w:r>
              <w:rPr>
                <w:rFonts w:hint="eastAsia" w:ascii="宋体" w:hAnsi="宋体" w:cs="宋体"/>
                <w:spacing w:val="-6"/>
                <w:sz w:val="21"/>
                <w:szCs w:val="21"/>
              </w:rPr>
              <w:t>分（</w:t>
            </w:r>
            <w:r>
              <w:rPr>
                <w:rFonts w:ascii="宋体" w:hAnsi="宋体" w:cs="宋体"/>
                <w:spacing w:val="-6"/>
                <w:sz w:val="21"/>
                <w:szCs w:val="21"/>
              </w:rPr>
              <w:t>2</w:t>
            </w:r>
            <w:r>
              <w:rPr>
                <w:rFonts w:hint="eastAsia" w:ascii="宋体" w:hAnsi="宋体" w:cs="宋体"/>
                <w:spacing w:val="-6"/>
                <w:sz w:val="21"/>
                <w:szCs w:val="21"/>
              </w:rPr>
              <w:t>7分起扣）、10项以上的响应无效</w:t>
            </w:r>
            <w:r>
              <w:rPr>
                <w:rFonts w:hint="eastAsia" w:ascii="宋体" w:hAnsi="宋体" w:cs="宋体"/>
                <w:sz w:val="21"/>
                <w:szCs w:val="21"/>
              </w:rPr>
              <w:t>（采购需求偏离表技术要求中响应规格与技术支持资料不一致的经磋商小组讨论后可被认定为负偏离）。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Align w:val="center"/>
          </w:tcPr>
          <w:p>
            <w:pPr>
              <w:jc w:val="center"/>
              <w:rPr>
                <w:rFonts w:ascii="宋体" w:hAnsi="宋体" w:cs="宋体"/>
                <w:b/>
                <w:bCs/>
                <w:sz w:val="21"/>
                <w:szCs w:val="21"/>
              </w:rPr>
            </w:pPr>
            <w:r>
              <w:rPr>
                <w:rFonts w:hint="eastAsia" w:ascii="宋体" w:hAnsi="宋体" w:cs="宋体"/>
                <w:b/>
                <w:bCs/>
                <w:sz w:val="21"/>
                <w:szCs w:val="21"/>
              </w:rPr>
              <w:t>产品配置</w:t>
            </w:r>
          </w:p>
        </w:tc>
        <w:tc>
          <w:tcPr>
            <w:tcW w:w="709" w:type="dxa"/>
            <w:vAlign w:val="center"/>
          </w:tcPr>
          <w:p>
            <w:pPr>
              <w:jc w:val="center"/>
              <w:rPr>
                <w:rFonts w:ascii="宋体" w:hAnsi="宋体" w:cs="宋体"/>
                <w:b/>
                <w:bCs/>
                <w:sz w:val="21"/>
                <w:szCs w:val="21"/>
              </w:rPr>
            </w:pPr>
            <w:r>
              <w:rPr>
                <w:rFonts w:hint="eastAsia" w:ascii="宋体" w:hAnsi="宋体" w:cs="宋体"/>
                <w:b/>
                <w:bCs/>
                <w:sz w:val="21"/>
                <w:szCs w:val="21"/>
              </w:rPr>
              <w:t>5</w:t>
            </w:r>
          </w:p>
        </w:tc>
        <w:tc>
          <w:tcPr>
            <w:tcW w:w="7626" w:type="dxa"/>
            <w:vAlign w:val="center"/>
          </w:tcPr>
          <w:p>
            <w:pPr>
              <w:rPr>
                <w:rFonts w:ascii="宋体" w:hAnsi="宋体" w:cs="宋体"/>
                <w:sz w:val="21"/>
                <w:szCs w:val="21"/>
              </w:rPr>
            </w:pPr>
            <w:r>
              <w:rPr>
                <w:rFonts w:hint="eastAsia" w:ascii="宋体" w:hAnsi="宋体" w:cs="宋体"/>
                <w:sz w:val="21"/>
                <w:szCs w:val="21"/>
              </w:rPr>
              <w:t>响应产品配置的先进性、完整性和适用性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Merge w:val="restart"/>
            <w:vAlign w:val="center"/>
          </w:tcPr>
          <w:p>
            <w:pPr>
              <w:jc w:val="center"/>
              <w:rPr>
                <w:rFonts w:ascii="宋体" w:hAnsi="宋体"/>
                <w:b/>
                <w:spacing w:val="-6"/>
                <w:sz w:val="21"/>
                <w:szCs w:val="21"/>
              </w:rPr>
            </w:pPr>
            <w:r>
              <w:rPr>
                <w:rFonts w:hint="eastAsia" w:ascii="宋体" w:hAnsi="宋体"/>
                <w:b/>
                <w:spacing w:val="-6"/>
                <w:sz w:val="21"/>
                <w:szCs w:val="21"/>
              </w:rPr>
              <w:t>技术支持资料</w:t>
            </w:r>
          </w:p>
        </w:tc>
        <w:tc>
          <w:tcPr>
            <w:tcW w:w="709" w:type="dxa"/>
            <w:vAlign w:val="center"/>
          </w:tcPr>
          <w:p>
            <w:pPr>
              <w:jc w:val="center"/>
              <w:rPr>
                <w:rFonts w:ascii="宋体" w:hAnsi="宋体"/>
                <w:b/>
                <w:spacing w:val="-6"/>
                <w:sz w:val="21"/>
                <w:szCs w:val="21"/>
              </w:rPr>
            </w:pPr>
            <w:r>
              <w:rPr>
                <w:rFonts w:hint="eastAsia" w:ascii="宋体" w:hAnsi="宋体"/>
                <w:b/>
                <w:spacing w:val="-6"/>
                <w:sz w:val="21"/>
                <w:szCs w:val="21"/>
              </w:rPr>
              <w:t>5</w:t>
            </w:r>
          </w:p>
        </w:tc>
        <w:tc>
          <w:tcPr>
            <w:tcW w:w="7626" w:type="dxa"/>
            <w:vAlign w:val="center"/>
          </w:tcPr>
          <w:p>
            <w:pPr>
              <w:rPr>
                <w:rFonts w:ascii="宋体" w:hAnsi="宋体"/>
                <w:spacing w:val="-6"/>
                <w:sz w:val="21"/>
                <w:szCs w:val="21"/>
              </w:rPr>
            </w:pPr>
            <w:r>
              <w:rPr>
                <w:rFonts w:hint="eastAsia" w:ascii="宋体" w:hAnsi="宋体"/>
                <w:spacing w:val="-6"/>
                <w:sz w:val="21"/>
                <w:szCs w:val="21"/>
              </w:rPr>
              <w:t>产品技术资料覆盖情况，无效或未提供的不得分。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Merge w:val="continue"/>
            <w:vAlign w:val="center"/>
          </w:tcPr>
          <w:p>
            <w:pPr>
              <w:jc w:val="center"/>
              <w:rPr>
                <w:rFonts w:ascii="宋体" w:hAnsi="宋体"/>
                <w:b/>
                <w:spacing w:val="-6"/>
                <w:sz w:val="21"/>
                <w:szCs w:val="21"/>
              </w:rPr>
            </w:pPr>
          </w:p>
        </w:tc>
        <w:tc>
          <w:tcPr>
            <w:tcW w:w="709" w:type="dxa"/>
            <w:vAlign w:val="center"/>
          </w:tcPr>
          <w:p>
            <w:pPr>
              <w:jc w:val="center"/>
              <w:rPr>
                <w:rFonts w:ascii="宋体" w:hAnsi="宋体"/>
                <w:b/>
                <w:spacing w:val="-6"/>
                <w:sz w:val="21"/>
                <w:szCs w:val="21"/>
              </w:rPr>
            </w:pPr>
            <w:r>
              <w:rPr>
                <w:rFonts w:hint="eastAsia" w:ascii="宋体" w:hAnsi="宋体"/>
                <w:b/>
                <w:spacing w:val="-6"/>
                <w:sz w:val="21"/>
                <w:szCs w:val="21"/>
              </w:rPr>
              <w:t>5</w:t>
            </w:r>
          </w:p>
        </w:tc>
        <w:tc>
          <w:tcPr>
            <w:tcW w:w="7626" w:type="dxa"/>
            <w:vAlign w:val="center"/>
          </w:tcPr>
          <w:p>
            <w:pPr>
              <w:rPr>
                <w:rFonts w:ascii="宋体" w:hAnsi="宋体"/>
                <w:spacing w:val="-6"/>
                <w:sz w:val="21"/>
                <w:szCs w:val="21"/>
              </w:rPr>
            </w:pPr>
            <w:r>
              <w:rPr>
                <w:rFonts w:hint="eastAsia" w:ascii="宋体" w:hAnsi="宋体"/>
                <w:spacing w:val="-6"/>
                <w:sz w:val="21"/>
                <w:szCs w:val="21"/>
              </w:rPr>
              <w:t>技术支持资料对产品技术偏离程度的证明，无效或未提供的不得分。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Merge w:val="restart"/>
            <w:vAlign w:val="center"/>
          </w:tcPr>
          <w:p>
            <w:pPr>
              <w:jc w:val="center"/>
              <w:rPr>
                <w:rFonts w:ascii="宋体" w:hAnsi="宋体"/>
                <w:b/>
                <w:spacing w:val="-6"/>
                <w:sz w:val="21"/>
                <w:szCs w:val="21"/>
              </w:rPr>
            </w:pPr>
            <w:r>
              <w:rPr>
                <w:rFonts w:hint="eastAsia" w:ascii="宋体" w:hAnsi="宋体" w:cs="宋体"/>
                <w:b/>
                <w:bCs/>
                <w:sz w:val="21"/>
                <w:szCs w:val="21"/>
              </w:rPr>
              <w:t>合同履约</w:t>
            </w:r>
          </w:p>
        </w:tc>
        <w:tc>
          <w:tcPr>
            <w:tcW w:w="709" w:type="dxa"/>
            <w:vAlign w:val="center"/>
          </w:tcPr>
          <w:p>
            <w:pPr>
              <w:jc w:val="center"/>
              <w:rPr>
                <w:rFonts w:ascii="宋体" w:hAnsi="宋体" w:cs="宋体"/>
                <w:b/>
                <w:bCs/>
                <w:sz w:val="21"/>
                <w:szCs w:val="21"/>
              </w:rPr>
            </w:pPr>
            <w:r>
              <w:rPr>
                <w:rFonts w:hint="eastAsia" w:ascii="宋体" w:hAnsi="宋体" w:cs="宋体"/>
                <w:b/>
                <w:bCs/>
                <w:sz w:val="21"/>
                <w:szCs w:val="21"/>
              </w:rPr>
              <w:t>2</w:t>
            </w:r>
          </w:p>
        </w:tc>
        <w:tc>
          <w:tcPr>
            <w:tcW w:w="7626" w:type="dxa"/>
            <w:vAlign w:val="center"/>
          </w:tcPr>
          <w:p>
            <w:pPr>
              <w:rPr>
                <w:rFonts w:ascii="宋体" w:hAnsi="宋体" w:cs="宋体"/>
                <w:sz w:val="21"/>
                <w:szCs w:val="21"/>
              </w:rPr>
            </w:pPr>
            <w:r>
              <w:rPr>
                <w:rFonts w:hint="eastAsia" w:ascii="宋体" w:hAnsi="宋体"/>
                <w:spacing w:val="-6"/>
                <w:sz w:val="21"/>
              </w:rPr>
              <w:t>供应商</w:t>
            </w:r>
            <w:r>
              <w:rPr>
                <w:rFonts w:hint="eastAsia" w:ascii="宋体" w:hAnsi="宋体" w:cs="宋体"/>
                <w:sz w:val="21"/>
                <w:szCs w:val="21"/>
              </w:rPr>
              <w:t>自2016年1月1日以来同类项目的用户评价（至少良好）或验收报告，每提供一份有效证明材料得1分，最高得2分（响应文件中提供复印件，不提供不得分）。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Merge w:val="continue"/>
            <w:vAlign w:val="center"/>
          </w:tcPr>
          <w:p>
            <w:pPr>
              <w:jc w:val="center"/>
              <w:rPr>
                <w:rFonts w:ascii="宋体" w:hAnsi="宋体"/>
                <w:b/>
                <w:spacing w:val="-6"/>
                <w:sz w:val="21"/>
                <w:szCs w:val="21"/>
              </w:rPr>
            </w:pPr>
          </w:p>
        </w:tc>
        <w:tc>
          <w:tcPr>
            <w:tcW w:w="709" w:type="dxa"/>
            <w:vAlign w:val="center"/>
          </w:tcPr>
          <w:p>
            <w:pPr>
              <w:jc w:val="center"/>
              <w:rPr>
                <w:rFonts w:ascii="宋体" w:hAnsi="宋体" w:cs="宋体"/>
                <w:b/>
                <w:bCs/>
                <w:sz w:val="21"/>
                <w:szCs w:val="21"/>
              </w:rPr>
            </w:pPr>
            <w:r>
              <w:rPr>
                <w:rFonts w:hint="eastAsia" w:ascii="宋体" w:hAnsi="宋体" w:cs="宋体"/>
                <w:b/>
                <w:bCs/>
                <w:sz w:val="21"/>
                <w:szCs w:val="21"/>
              </w:rPr>
              <w:t>5</w:t>
            </w:r>
          </w:p>
        </w:tc>
        <w:tc>
          <w:tcPr>
            <w:tcW w:w="7626" w:type="dxa"/>
            <w:vAlign w:val="center"/>
          </w:tcPr>
          <w:p>
            <w:pPr>
              <w:rPr>
                <w:rFonts w:ascii="宋体" w:hAnsi="宋体" w:cs="宋体"/>
                <w:sz w:val="21"/>
                <w:szCs w:val="21"/>
              </w:rPr>
            </w:pPr>
            <w:r>
              <w:rPr>
                <w:rFonts w:hint="eastAsia" w:ascii="宋体" w:hAnsi="宋体"/>
                <w:spacing w:val="-6"/>
                <w:sz w:val="21"/>
              </w:rPr>
              <w:t>供应商</w:t>
            </w:r>
            <w:r>
              <w:rPr>
                <w:rFonts w:hint="eastAsia" w:ascii="宋体" w:hAnsi="宋体" w:cs="宋体"/>
                <w:sz w:val="21"/>
                <w:szCs w:val="21"/>
              </w:rPr>
              <w:t>资金安排、货物供货、验货、关键步骤的思路和要点以及组织机构、工作时间进度表、工作程序和步骤思路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Merge w:val="restart"/>
            <w:vAlign w:val="center"/>
          </w:tcPr>
          <w:p>
            <w:pPr>
              <w:jc w:val="center"/>
              <w:rPr>
                <w:rFonts w:ascii="宋体" w:hAnsi="宋体"/>
                <w:b/>
                <w:spacing w:val="-6"/>
                <w:sz w:val="21"/>
                <w:szCs w:val="21"/>
              </w:rPr>
            </w:pPr>
            <w:r>
              <w:rPr>
                <w:rFonts w:hint="eastAsia" w:ascii="宋体" w:hAnsi="宋体"/>
                <w:b/>
                <w:spacing w:val="-6"/>
                <w:sz w:val="21"/>
                <w:szCs w:val="21"/>
              </w:rPr>
              <w:t>售后服务</w:t>
            </w:r>
          </w:p>
        </w:tc>
        <w:tc>
          <w:tcPr>
            <w:tcW w:w="709" w:type="dxa"/>
            <w:vAlign w:val="center"/>
          </w:tcPr>
          <w:p>
            <w:pPr>
              <w:jc w:val="center"/>
              <w:rPr>
                <w:rFonts w:ascii="宋体" w:hAnsi="宋体"/>
                <w:b/>
                <w:spacing w:val="-6"/>
                <w:sz w:val="21"/>
                <w:szCs w:val="21"/>
              </w:rPr>
            </w:pPr>
            <w:r>
              <w:rPr>
                <w:rFonts w:hint="eastAsia" w:ascii="宋体" w:hAnsi="宋体"/>
                <w:b/>
                <w:spacing w:val="-6"/>
                <w:sz w:val="21"/>
                <w:szCs w:val="21"/>
              </w:rPr>
              <w:t>5</w:t>
            </w:r>
          </w:p>
        </w:tc>
        <w:tc>
          <w:tcPr>
            <w:tcW w:w="7626" w:type="dxa"/>
            <w:vAlign w:val="center"/>
          </w:tcPr>
          <w:p>
            <w:pPr>
              <w:rPr>
                <w:rFonts w:ascii="宋体" w:hAnsi="宋体"/>
                <w:spacing w:val="-6"/>
                <w:sz w:val="21"/>
                <w:szCs w:val="21"/>
              </w:rPr>
            </w:pPr>
            <w:r>
              <w:rPr>
                <w:rFonts w:hint="eastAsia" w:ascii="宋体" w:hAnsi="宋体"/>
                <w:spacing w:val="-6"/>
                <w:sz w:val="21"/>
                <w:szCs w:val="21"/>
              </w:rPr>
              <w:t>售后服务方案、售后服务承诺的可行性及时性以及服务承诺落实的保障措施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Merge w:val="continue"/>
            <w:vAlign w:val="center"/>
          </w:tcPr>
          <w:p>
            <w:pPr>
              <w:jc w:val="center"/>
              <w:rPr>
                <w:rFonts w:ascii="宋体" w:hAnsi="宋体"/>
                <w:b/>
                <w:spacing w:val="-6"/>
                <w:sz w:val="21"/>
                <w:szCs w:val="21"/>
              </w:rPr>
            </w:pPr>
          </w:p>
        </w:tc>
        <w:tc>
          <w:tcPr>
            <w:tcW w:w="709" w:type="dxa"/>
            <w:vAlign w:val="center"/>
          </w:tcPr>
          <w:p>
            <w:pPr>
              <w:jc w:val="center"/>
              <w:rPr>
                <w:rFonts w:ascii="宋体" w:hAnsi="宋体"/>
                <w:b/>
                <w:spacing w:val="-6"/>
                <w:sz w:val="21"/>
                <w:szCs w:val="21"/>
              </w:rPr>
            </w:pPr>
            <w:r>
              <w:rPr>
                <w:rFonts w:hint="eastAsia" w:ascii="宋体" w:hAnsi="宋体"/>
                <w:b/>
                <w:spacing w:val="-6"/>
                <w:sz w:val="21"/>
                <w:szCs w:val="21"/>
              </w:rPr>
              <w:t>5</w:t>
            </w:r>
          </w:p>
        </w:tc>
        <w:tc>
          <w:tcPr>
            <w:tcW w:w="7626" w:type="dxa"/>
            <w:vAlign w:val="center"/>
          </w:tcPr>
          <w:p>
            <w:pPr>
              <w:rPr>
                <w:rFonts w:ascii="宋体" w:hAnsi="宋体"/>
                <w:spacing w:val="-6"/>
                <w:sz w:val="21"/>
                <w:szCs w:val="21"/>
              </w:rPr>
            </w:pPr>
            <w:r>
              <w:rPr>
                <w:rFonts w:hint="eastAsia" w:ascii="宋体" w:hAnsi="宋体"/>
                <w:spacing w:val="-6"/>
                <w:sz w:val="21"/>
                <w:szCs w:val="21"/>
              </w:rPr>
              <w:t>质保期内外的后续技术支持和维护能力情况、配件、附件、备品备件的准备和保障措施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5" w:type="dxa"/>
            <w:vAlign w:val="center"/>
          </w:tcPr>
          <w:p>
            <w:pPr>
              <w:jc w:val="center"/>
              <w:rPr>
                <w:rFonts w:ascii="宋体" w:hAnsi="宋体"/>
                <w:b/>
                <w:spacing w:val="-6"/>
                <w:sz w:val="21"/>
                <w:szCs w:val="21"/>
              </w:rPr>
            </w:pPr>
            <w:r>
              <w:rPr>
                <w:rFonts w:hint="eastAsia" w:ascii="宋体" w:hAnsi="宋体"/>
                <w:b/>
                <w:spacing w:val="-6"/>
                <w:sz w:val="21"/>
                <w:szCs w:val="21"/>
              </w:rPr>
              <w:t>技术服务培训</w:t>
            </w:r>
          </w:p>
        </w:tc>
        <w:tc>
          <w:tcPr>
            <w:tcW w:w="709" w:type="dxa"/>
            <w:vAlign w:val="center"/>
          </w:tcPr>
          <w:p>
            <w:pPr>
              <w:jc w:val="center"/>
              <w:rPr>
                <w:rFonts w:ascii="宋体" w:hAnsi="宋体"/>
                <w:b/>
                <w:spacing w:val="-6"/>
                <w:sz w:val="21"/>
                <w:szCs w:val="21"/>
              </w:rPr>
            </w:pPr>
            <w:r>
              <w:rPr>
                <w:rFonts w:hint="eastAsia" w:ascii="宋体" w:hAnsi="宋体"/>
                <w:b/>
                <w:spacing w:val="-6"/>
                <w:sz w:val="21"/>
                <w:szCs w:val="21"/>
              </w:rPr>
              <w:t>5</w:t>
            </w:r>
          </w:p>
        </w:tc>
        <w:tc>
          <w:tcPr>
            <w:tcW w:w="7626" w:type="dxa"/>
            <w:vAlign w:val="center"/>
          </w:tcPr>
          <w:p>
            <w:pPr>
              <w:rPr>
                <w:rFonts w:ascii="宋体" w:hAnsi="宋体"/>
                <w:spacing w:val="-6"/>
                <w:sz w:val="21"/>
                <w:szCs w:val="21"/>
              </w:rPr>
            </w:pPr>
            <w:r>
              <w:rPr>
                <w:rFonts w:hint="eastAsia" w:ascii="宋体" w:hAnsi="宋体"/>
                <w:spacing w:val="-6"/>
                <w:sz w:val="21"/>
                <w:szCs w:val="21"/>
              </w:rPr>
              <w:t>服务力量和服务保障，培训计划内容，培训范围，实施及针对性。</w:t>
            </w:r>
          </w:p>
        </w:tc>
      </w:tr>
    </w:tbl>
    <w:p>
      <w:pPr>
        <w:spacing w:line="360" w:lineRule="auto"/>
        <w:jc w:val="left"/>
        <w:rPr>
          <w:rFonts w:ascii="宋体" w:hAnsi="宋体"/>
          <w:bCs/>
          <w:sz w:val="21"/>
          <w:szCs w:val="21"/>
        </w:rPr>
      </w:pPr>
    </w:p>
    <w:p>
      <w:pPr>
        <w:spacing w:line="360" w:lineRule="auto"/>
        <w:jc w:val="left"/>
        <w:rPr>
          <w:rFonts w:ascii="宋体" w:hAnsi="宋体"/>
          <w:b/>
          <w:sz w:val="21"/>
          <w:szCs w:val="21"/>
        </w:rPr>
      </w:pPr>
      <w:r>
        <w:rPr>
          <w:rFonts w:hint="eastAsia" w:ascii="宋体" w:hAnsi="宋体"/>
          <w:b/>
          <w:sz w:val="21"/>
          <w:szCs w:val="21"/>
        </w:rPr>
        <w:t>说明</w:t>
      </w:r>
      <w:r>
        <w:rPr>
          <w:rFonts w:ascii="宋体" w:hAnsi="宋体"/>
          <w:b/>
          <w:sz w:val="21"/>
          <w:szCs w:val="21"/>
        </w:rPr>
        <w:t>：</w:t>
      </w:r>
    </w:p>
    <w:p>
      <w:pPr>
        <w:spacing w:line="360" w:lineRule="auto"/>
        <w:jc w:val="left"/>
        <w:rPr>
          <w:rFonts w:ascii="宋体" w:hAnsi="宋体"/>
          <w:b/>
          <w:bCs/>
          <w:spacing w:val="-6"/>
          <w:sz w:val="21"/>
          <w:szCs w:val="21"/>
        </w:rPr>
      </w:pPr>
      <w:r>
        <w:rPr>
          <w:rFonts w:hint="eastAsia" w:ascii="宋体" w:hAnsi="宋体"/>
          <w:b/>
          <w:bCs/>
          <w:spacing w:val="-6"/>
          <w:sz w:val="21"/>
          <w:szCs w:val="21"/>
        </w:rPr>
        <w:t>1.根据《政府采购促进中小企业发展暂行办法》（财库[2011]181号）的规定，供应商如为小型或微型企业并提交相关证明材料的，其响应产品中的小型或微型企业制造部分的最后报价扣除6%后参与评审；</w:t>
      </w:r>
    </w:p>
    <w:p>
      <w:pPr>
        <w:spacing w:line="360" w:lineRule="auto"/>
        <w:jc w:val="left"/>
        <w:rPr>
          <w:rFonts w:ascii="宋体" w:hAnsi="宋体"/>
          <w:b/>
          <w:bCs/>
          <w:spacing w:val="-6"/>
          <w:sz w:val="21"/>
          <w:szCs w:val="21"/>
        </w:rPr>
      </w:pPr>
      <w:r>
        <w:rPr>
          <w:rFonts w:hint="eastAsia" w:ascii="宋体" w:hAnsi="宋体"/>
          <w:b/>
          <w:bCs/>
          <w:spacing w:val="-6"/>
          <w:sz w:val="21"/>
          <w:szCs w:val="21"/>
        </w:rPr>
        <w:t>2.根据《关于政府采购支持监狱企业发展有关问题的通知》（财库[2014]68号）的规定，供应商如为监狱企业并提交相关证明材料的，视同小型、微型企业；</w:t>
      </w:r>
    </w:p>
    <w:p>
      <w:pPr>
        <w:spacing w:line="360" w:lineRule="auto"/>
        <w:jc w:val="left"/>
        <w:rPr>
          <w:rFonts w:ascii="宋体" w:hAnsi="宋体"/>
          <w:b/>
          <w:bCs/>
          <w:spacing w:val="-6"/>
          <w:sz w:val="21"/>
          <w:szCs w:val="21"/>
        </w:rPr>
      </w:pPr>
      <w:r>
        <w:rPr>
          <w:rFonts w:hint="eastAsia" w:ascii="宋体" w:hAnsi="宋体"/>
          <w:b/>
          <w:bCs/>
          <w:spacing w:val="-6"/>
          <w:sz w:val="21"/>
          <w:szCs w:val="21"/>
        </w:rPr>
        <w:t>3.根据《关于促进残疾人就业政府采购政策的通知》（财库[2017]141号）的规定，供应商如为残疾人福利性单位并提交《残疾人福利性单位声明函》的，视同小型、微型企业；</w:t>
      </w:r>
    </w:p>
    <w:p>
      <w:pPr>
        <w:spacing w:line="360" w:lineRule="auto"/>
        <w:rPr>
          <w:rFonts w:ascii="宋体" w:hAnsi="宋体"/>
          <w:b/>
          <w:bCs/>
          <w:spacing w:val="-6"/>
          <w:sz w:val="21"/>
          <w:szCs w:val="21"/>
        </w:rPr>
      </w:pPr>
      <w:r>
        <w:rPr>
          <w:rFonts w:hint="eastAsia" w:ascii="宋体" w:hAnsi="宋体"/>
          <w:b/>
          <w:bCs/>
          <w:spacing w:val="-6"/>
          <w:sz w:val="21"/>
          <w:szCs w:val="21"/>
        </w:rPr>
        <w:t>4.残疾人福利性单位属于小型、微型企业的，不重复享受政策。</w:t>
      </w:r>
    </w:p>
    <w:p>
      <w:pPr>
        <w:spacing w:line="288" w:lineRule="auto"/>
        <w:jc w:val="center"/>
        <w:outlineLvl w:val="0"/>
        <w:rPr>
          <w:rFonts w:ascii="宋体" w:hAnsi="宋体"/>
          <w:b/>
          <w:bCs/>
          <w:spacing w:val="-6"/>
          <w:sz w:val="32"/>
          <w:szCs w:val="32"/>
        </w:rPr>
      </w:pPr>
      <w:r>
        <w:rPr>
          <w:rFonts w:ascii="宋体" w:hAnsi="宋体"/>
          <w:b/>
          <w:bCs/>
          <w:spacing w:val="-6"/>
          <w:sz w:val="21"/>
          <w:szCs w:val="21"/>
        </w:rPr>
        <w:br w:type="page"/>
      </w:r>
      <w:bookmarkStart w:id="61" w:name="_Toc25545"/>
      <w:bookmarkStart w:id="62" w:name="_Toc3273"/>
      <w:r>
        <w:rPr>
          <w:rFonts w:hint="eastAsia" w:ascii="宋体" w:hAnsi="宋体"/>
          <w:b/>
          <w:bCs/>
          <w:spacing w:val="-6"/>
          <w:sz w:val="32"/>
          <w:szCs w:val="32"/>
        </w:rPr>
        <w:t>第五章  合同主要条款</w:t>
      </w:r>
      <w:bookmarkEnd w:id="61"/>
      <w:bookmarkEnd w:id="62"/>
    </w:p>
    <w:p>
      <w:pPr>
        <w:pStyle w:val="13"/>
        <w:snapToGrid w:val="0"/>
        <w:spacing w:beforeLines="0" w:afterLines="0" w:line="288" w:lineRule="auto"/>
        <w:jc w:val="center"/>
        <w:rPr>
          <w:rFonts w:hAnsi="宋体"/>
          <w:b/>
          <w:spacing w:val="-6"/>
        </w:rPr>
      </w:pPr>
      <w:bookmarkStart w:id="63" w:name="_Toc5164"/>
      <w:r>
        <w:rPr>
          <w:rFonts w:hint="eastAsia" w:hAnsi="宋体"/>
          <w:b/>
          <w:spacing w:val="-6"/>
        </w:rPr>
        <w:t>中国美术学院创新设计学院良渚校区智能展厅设备一批</w:t>
      </w:r>
      <w:r>
        <w:rPr>
          <w:rFonts w:hAnsi="宋体"/>
          <w:b/>
          <w:spacing w:val="-6"/>
        </w:rPr>
        <w:t>政府</w:t>
      </w:r>
      <w:r>
        <w:rPr>
          <w:rFonts w:hint="eastAsia" w:hAnsi="宋体"/>
          <w:b/>
          <w:spacing w:val="-6"/>
        </w:rPr>
        <w:t>采购合同</w:t>
      </w:r>
      <w:bookmarkEnd w:id="63"/>
    </w:p>
    <w:p>
      <w:pPr>
        <w:spacing w:line="288" w:lineRule="auto"/>
        <w:ind w:firstLine="396" w:firstLineChars="200"/>
        <w:jc w:val="center"/>
        <w:rPr>
          <w:rFonts w:ascii="宋体" w:hAnsi="宋体" w:cs="宋体"/>
          <w:b/>
          <w:spacing w:val="-6"/>
          <w:sz w:val="21"/>
          <w:szCs w:val="21"/>
        </w:rPr>
      </w:pPr>
      <w:r>
        <w:rPr>
          <w:rFonts w:hint="eastAsia" w:ascii="宋体" w:hAnsi="宋体" w:cs="宋体"/>
          <w:spacing w:val="-6"/>
          <w:sz w:val="21"/>
          <w:szCs w:val="21"/>
        </w:rPr>
        <w:t>（本合同为合同样稿，最终稿由三方协商后确定，合同实质性内容不得更改；签订合同时删除此行）</w:t>
      </w:r>
    </w:p>
    <w:p>
      <w:pPr>
        <w:spacing w:line="288" w:lineRule="auto"/>
        <w:rPr>
          <w:rFonts w:ascii="宋体" w:hAnsi="宋体"/>
          <w:spacing w:val="-6"/>
          <w:sz w:val="21"/>
        </w:rPr>
      </w:pPr>
      <w:r>
        <w:rPr>
          <w:rFonts w:hint="eastAsia" w:ascii="宋体" w:hAnsi="宋体"/>
          <w:spacing w:val="-6"/>
          <w:sz w:val="21"/>
        </w:rPr>
        <w:t>采购编号：QSZB-Z(H)-C19291(CS)</w:t>
      </w:r>
    </w:p>
    <w:p>
      <w:pPr>
        <w:spacing w:line="288" w:lineRule="auto"/>
        <w:rPr>
          <w:rFonts w:ascii="宋体" w:hAnsi="宋体"/>
          <w:spacing w:val="-6"/>
          <w:sz w:val="21"/>
        </w:rPr>
      </w:pPr>
      <w:r>
        <w:rPr>
          <w:rFonts w:hint="eastAsia" w:ascii="宋体" w:hAnsi="宋体"/>
          <w:spacing w:val="-6"/>
          <w:sz w:val="21"/>
        </w:rPr>
        <w:t>确认书编号：[2019]68776号</w:t>
      </w:r>
    </w:p>
    <w:p>
      <w:pPr>
        <w:spacing w:line="288" w:lineRule="auto"/>
        <w:rPr>
          <w:rFonts w:ascii="宋体" w:hAnsi="宋体"/>
          <w:spacing w:val="-6"/>
          <w:sz w:val="21"/>
        </w:rPr>
      </w:pPr>
      <w:r>
        <w:rPr>
          <w:rFonts w:hint="eastAsia" w:ascii="宋体" w:hAnsi="宋体"/>
          <w:spacing w:val="-6"/>
          <w:sz w:val="21"/>
        </w:rPr>
        <w:t>甲方（采购人）：中国美术学院</w:t>
      </w:r>
    </w:p>
    <w:p>
      <w:pPr>
        <w:spacing w:line="288" w:lineRule="auto"/>
        <w:rPr>
          <w:rFonts w:ascii="宋体" w:hAnsi="宋体"/>
          <w:spacing w:val="-6"/>
          <w:sz w:val="21"/>
        </w:rPr>
      </w:pPr>
      <w:r>
        <w:rPr>
          <w:rFonts w:hint="eastAsia" w:ascii="宋体" w:hAnsi="宋体"/>
          <w:spacing w:val="-6"/>
          <w:sz w:val="21"/>
        </w:rPr>
        <w:t>乙方（成交供应商）：</w:t>
      </w:r>
    </w:p>
    <w:p>
      <w:pPr>
        <w:spacing w:line="288" w:lineRule="auto"/>
        <w:rPr>
          <w:rFonts w:ascii="宋体" w:hAnsi="宋体"/>
          <w:spacing w:val="-6"/>
          <w:sz w:val="21"/>
        </w:rPr>
      </w:pPr>
      <w:r>
        <w:rPr>
          <w:rFonts w:hint="eastAsia" w:ascii="宋体" w:hAnsi="宋体"/>
          <w:spacing w:val="-6"/>
          <w:sz w:val="21"/>
        </w:rPr>
        <w:t>采购代理机构：浙江求是招标代理有限公司</w:t>
      </w:r>
    </w:p>
    <w:p>
      <w:pPr>
        <w:spacing w:line="288" w:lineRule="auto"/>
        <w:rPr>
          <w:rFonts w:ascii="宋体" w:hAnsi="宋体"/>
          <w:spacing w:val="-6"/>
          <w:sz w:val="21"/>
        </w:rPr>
      </w:pPr>
      <w:r>
        <w:rPr>
          <w:rFonts w:hint="eastAsia" w:ascii="宋体" w:hAnsi="宋体"/>
          <w:spacing w:val="-6"/>
          <w:sz w:val="21"/>
        </w:rPr>
        <w:t>签约时间、地点：2019年  月   日，杭州</w:t>
      </w:r>
    </w:p>
    <w:p>
      <w:pPr>
        <w:spacing w:line="288" w:lineRule="auto"/>
        <w:ind w:firstLine="396" w:firstLineChars="200"/>
        <w:rPr>
          <w:rFonts w:ascii="宋体" w:hAnsi="宋体"/>
          <w:spacing w:val="-6"/>
          <w:sz w:val="21"/>
        </w:rPr>
      </w:pPr>
      <w:r>
        <w:rPr>
          <w:rFonts w:hint="eastAsia" w:ascii="宋体" w:hAnsi="宋体"/>
          <w:spacing w:val="-6"/>
          <w:sz w:val="21"/>
        </w:rPr>
        <w:t>甲、乙双方根据浙江求是招标代理有限公司关于中国美术学院创新设计学院良渚校区智能展厅设备一批竞争性磋商的结果，签署本合同。</w:t>
      </w:r>
    </w:p>
    <w:p>
      <w:pPr>
        <w:spacing w:line="288" w:lineRule="auto"/>
        <w:rPr>
          <w:rFonts w:ascii="宋体" w:hAnsi="宋体"/>
          <w:b/>
          <w:spacing w:val="-6"/>
          <w:sz w:val="21"/>
        </w:rPr>
      </w:pPr>
      <w:r>
        <w:rPr>
          <w:rFonts w:hint="eastAsia" w:ascii="宋体" w:hAnsi="宋体"/>
          <w:b/>
          <w:spacing w:val="-6"/>
          <w:sz w:val="21"/>
        </w:rPr>
        <w:t>第一条：采购商品清单及合同价格</w:t>
      </w:r>
    </w:p>
    <w:tbl>
      <w:tblPr>
        <w:tblStyle w:val="23"/>
        <w:tblW w:w="93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98"/>
        <w:gridCol w:w="1966"/>
        <w:gridCol w:w="799"/>
        <w:gridCol w:w="799"/>
        <w:gridCol w:w="139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序号</w:t>
            </w:r>
          </w:p>
        </w:tc>
        <w:tc>
          <w:tcPr>
            <w:tcW w:w="199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货物名称</w:t>
            </w:r>
          </w:p>
        </w:tc>
        <w:tc>
          <w:tcPr>
            <w:tcW w:w="19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厂牌、型号</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数量</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单位</w:t>
            </w:r>
          </w:p>
        </w:tc>
        <w:tc>
          <w:tcPr>
            <w:tcW w:w="13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单价</w:t>
            </w:r>
          </w:p>
        </w:tc>
        <w:tc>
          <w:tcPr>
            <w:tcW w:w="1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1</w:t>
            </w:r>
          </w:p>
        </w:tc>
        <w:tc>
          <w:tcPr>
            <w:tcW w:w="1998" w:type="dxa"/>
            <w:tcBorders>
              <w:top w:val="single" w:color="auto" w:sz="4" w:space="0"/>
              <w:left w:val="single" w:color="auto" w:sz="4" w:space="0"/>
              <w:bottom w:val="single" w:color="auto" w:sz="4" w:space="0"/>
              <w:right w:val="single" w:color="auto" w:sz="4" w:space="0"/>
            </w:tcBorders>
            <w:vAlign w:val="center"/>
          </w:tcPr>
          <w:p>
            <w:pPr>
              <w:spacing w:line="288" w:lineRule="auto"/>
              <w:ind w:left="238" w:leftChars="85"/>
              <w:jc w:val="center"/>
              <w:rPr>
                <w:rFonts w:ascii="宋体" w:hAnsi="宋体"/>
                <w:spacing w:val="-6"/>
                <w:sz w:val="21"/>
              </w:rPr>
            </w:pPr>
          </w:p>
        </w:tc>
        <w:tc>
          <w:tcPr>
            <w:tcW w:w="1966"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rPr>
            </w:pPr>
            <w:r>
              <w:rPr>
                <w:rFonts w:hint="eastAsia" w:ascii="宋体" w:hAnsi="宋体"/>
                <w:spacing w:val="-6"/>
                <w:sz w:val="21"/>
              </w:rPr>
              <w:t>（详细技术指标见配置清单）</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617"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合同总价（人民币）</w:t>
            </w:r>
          </w:p>
        </w:tc>
        <w:tc>
          <w:tcPr>
            <w:tcW w:w="6764"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p>
        </w:tc>
      </w:tr>
    </w:tbl>
    <w:p>
      <w:pPr>
        <w:spacing w:line="288" w:lineRule="auto"/>
        <w:rPr>
          <w:rFonts w:ascii="宋体" w:hAnsi="宋体"/>
          <w:spacing w:val="-6"/>
          <w:sz w:val="21"/>
        </w:rPr>
      </w:pPr>
      <w:r>
        <w:rPr>
          <w:rFonts w:hint="eastAsia" w:ascii="宋体" w:hAnsi="宋体"/>
          <w:spacing w:val="-6"/>
          <w:sz w:val="21"/>
        </w:rPr>
        <w:t>注：以上合同总价包括完成所有产品供货及履行所有规定服务所产生的全部费用。</w:t>
      </w:r>
    </w:p>
    <w:p>
      <w:pPr>
        <w:spacing w:line="288" w:lineRule="auto"/>
        <w:rPr>
          <w:rFonts w:ascii="宋体" w:hAnsi="宋体"/>
          <w:b/>
          <w:spacing w:val="-6"/>
          <w:sz w:val="21"/>
        </w:rPr>
      </w:pPr>
      <w:r>
        <w:rPr>
          <w:rFonts w:hint="eastAsia" w:ascii="宋体" w:hAnsi="宋体"/>
          <w:b/>
          <w:spacing w:val="-6"/>
          <w:sz w:val="21"/>
        </w:rPr>
        <w:t>第二条：质量保证及售后服务</w:t>
      </w:r>
    </w:p>
    <w:p>
      <w:pPr>
        <w:spacing w:line="288" w:lineRule="auto"/>
        <w:ind w:firstLine="396" w:firstLineChars="200"/>
        <w:rPr>
          <w:rFonts w:ascii="宋体" w:hAnsi="宋体"/>
          <w:spacing w:val="-6"/>
          <w:sz w:val="21"/>
        </w:rPr>
      </w:pPr>
      <w:r>
        <w:rPr>
          <w:rFonts w:hint="eastAsia" w:ascii="宋体" w:hAnsi="宋体"/>
          <w:spacing w:val="-6"/>
          <w:sz w:val="21"/>
        </w:rPr>
        <w:t>1.乙方应按磋商文件规定的货物性能、技术要求、质量标准向甲方提供未经使用的全新产品，符合国家法律规定和技术规格、质量标准的出厂原装合格产品；</w:t>
      </w:r>
    </w:p>
    <w:p>
      <w:pPr>
        <w:spacing w:line="288" w:lineRule="auto"/>
        <w:ind w:firstLine="396" w:firstLineChars="200"/>
        <w:rPr>
          <w:rFonts w:ascii="宋体" w:hAnsi="宋体"/>
          <w:spacing w:val="-6"/>
          <w:sz w:val="21"/>
        </w:rPr>
      </w:pPr>
      <w:r>
        <w:rPr>
          <w:rFonts w:hint="eastAsia" w:ascii="宋体" w:hAnsi="宋体"/>
          <w:spacing w:val="-6"/>
          <w:sz w:val="21"/>
        </w:rPr>
        <w:t>2.乙方提供的货物在质保期内因货物本身的质量问题发生故障，乙方应负责免费更换。对达不到技术要求者，根据实际情况，经双方协商，可按以下办法处理：</w:t>
      </w:r>
    </w:p>
    <w:p>
      <w:pPr>
        <w:spacing w:line="288" w:lineRule="auto"/>
        <w:ind w:firstLine="396" w:firstLineChars="200"/>
        <w:rPr>
          <w:rFonts w:ascii="宋体" w:hAnsi="宋体"/>
          <w:spacing w:val="-6"/>
          <w:sz w:val="21"/>
        </w:rPr>
      </w:pPr>
      <w:r>
        <w:rPr>
          <w:rFonts w:hint="eastAsia" w:ascii="宋体" w:hAnsi="宋体"/>
          <w:spacing w:val="-6"/>
          <w:sz w:val="21"/>
        </w:rPr>
        <w:t>⑴更换：由乙方承担所发生的全部费用。</w:t>
      </w:r>
    </w:p>
    <w:p>
      <w:pPr>
        <w:spacing w:line="288" w:lineRule="auto"/>
        <w:ind w:firstLine="396" w:firstLineChars="200"/>
        <w:rPr>
          <w:rFonts w:ascii="宋体" w:hAnsi="宋体"/>
          <w:spacing w:val="-6"/>
          <w:sz w:val="21"/>
        </w:rPr>
      </w:pPr>
      <w:r>
        <w:rPr>
          <w:rFonts w:hint="eastAsia" w:ascii="宋体" w:hAnsi="宋体"/>
          <w:spacing w:val="-6"/>
          <w:sz w:val="21"/>
        </w:rPr>
        <w:t>⑵贬值处理：由甲乙双方合议定价。</w:t>
      </w:r>
    </w:p>
    <w:p>
      <w:pPr>
        <w:spacing w:line="288" w:lineRule="auto"/>
        <w:ind w:firstLine="396" w:firstLineChars="200"/>
        <w:rPr>
          <w:rFonts w:ascii="宋体" w:hAnsi="宋体"/>
          <w:spacing w:val="-6"/>
          <w:sz w:val="21"/>
        </w:rPr>
      </w:pPr>
      <w:r>
        <w:rPr>
          <w:rFonts w:hint="eastAsia" w:ascii="宋体" w:hAnsi="宋体"/>
          <w:spacing w:val="-6"/>
          <w:sz w:val="21"/>
        </w:rPr>
        <w:t>⑶退货处理：乙方应退还甲方支付的合同款，同时应承担该货物的直接费用（运输、保险、检验、货款利息及银行手续费等）。</w:t>
      </w:r>
    </w:p>
    <w:p>
      <w:pPr>
        <w:spacing w:line="288" w:lineRule="auto"/>
        <w:ind w:firstLine="396" w:firstLineChars="200"/>
        <w:rPr>
          <w:rFonts w:ascii="宋体" w:hAnsi="宋体"/>
          <w:spacing w:val="-6"/>
          <w:sz w:val="21"/>
        </w:rPr>
      </w:pPr>
      <w:r>
        <w:rPr>
          <w:rFonts w:hint="eastAsia" w:ascii="宋体" w:hAnsi="宋体"/>
          <w:spacing w:val="-6"/>
          <w:sz w:val="21"/>
        </w:rPr>
        <w:t>3.如在使用过程中发生质量问题，乙方在接到甲方通知后在小时内到达甲方现场。</w:t>
      </w:r>
    </w:p>
    <w:p>
      <w:pPr>
        <w:spacing w:line="288" w:lineRule="auto"/>
        <w:ind w:firstLine="396" w:firstLineChars="200"/>
        <w:rPr>
          <w:rFonts w:ascii="宋体" w:hAnsi="宋体"/>
          <w:spacing w:val="-6"/>
          <w:sz w:val="21"/>
        </w:rPr>
      </w:pPr>
      <w:r>
        <w:rPr>
          <w:rFonts w:hint="eastAsia" w:ascii="宋体" w:hAnsi="宋体"/>
          <w:spacing w:val="-6"/>
          <w:sz w:val="21"/>
        </w:rPr>
        <w:t>4.在质保期内，乙方应对货物出现的质量及安全问题负责处理解决并承担一切费用。</w:t>
      </w:r>
    </w:p>
    <w:p>
      <w:pPr>
        <w:spacing w:line="288" w:lineRule="auto"/>
        <w:ind w:firstLine="396" w:firstLineChars="200"/>
        <w:rPr>
          <w:rFonts w:ascii="宋体" w:hAnsi="宋体"/>
          <w:spacing w:val="-6"/>
          <w:sz w:val="21"/>
        </w:rPr>
      </w:pPr>
      <w:r>
        <w:rPr>
          <w:rFonts w:hint="eastAsia" w:ascii="宋体" w:hAnsi="宋体"/>
          <w:spacing w:val="-6"/>
          <w:sz w:val="21"/>
        </w:rPr>
        <w:t>5.上述的货物免费保修期为年，因人为因素出现的故障不在免费保修范围内。超过保修期的货物，终生维修，维修时只收部件成本费。</w:t>
      </w:r>
    </w:p>
    <w:p>
      <w:pPr>
        <w:pStyle w:val="13"/>
        <w:spacing w:before="120" w:after="120" w:line="288" w:lineRule="auto"/>
        <w:rPr>
          <w:rFonts w:hAnsi="宋体"/>
          <w:b/>
          <w:spacing w:val="-6"/>
          <w:sz w:val="21"/>
        </w:rPr>
      </w:pPr>
      <w:r>
        <w:rPr>
          <w:rFonts w:hint="eastAsia" w:hAnsi="宋体"/>
          <w:b/>
          <w:spacing w:val="-6"/>
          <w:sz w:val="21"/>
        </w:rPr>
        <w:t>第三条：技术资料</w:t>
      </w:r>
    </w:p>
    <w:p>
      <w:pPr>
        <w:spacing w:line="288" w:lineRule="auto"/>
        <w:ind w:firstLine="396" w:firstLineChars="200"/>
        <w:rPr>
          <w:rFonts w:ascii="宋体" w:hAnsi="宋体"/>
          <w:spacing w:val="-6"/>
          <w:sz w:val="21"/>
        </w:rPr>
      </w:pPr>
      <w:r>
        <w:rPr>
          <w:rFonts w:hint="eastAsia" w:ascii="宋体" w:hAnsi="宋体"/>
          <w:spacing w:val="-6"/>
          <w:sz w:val="21"/>
        </w:rPr>
        <w:t>1.乙方应按磋商文件规定的时间向甲方提供使用货物的有关技术资料。</w:t>
      </w:r>
    </w:p>
    <w:p>
      <w:pPr>
        <w:spacing w:line="288" w:lineRule="auto"/>
        <w:ind w:firstLine="396" w:firstLineChars="200"/>
        <w:rPr>
          <w:rFonts w:ascii="宋体" w:hAnsi="宋体"/>
          <w:spacing w:val="-6"/>
          <w:sz w:val="21"/>
        </w:rPr>
      </w:pPr>
      <w:r>
        <w:rPr>
          <w:rFonts w:hint="eastAsia" w:ascii="宋体" w:hAnsi="宋体"/>
          <w:spacing w:val="-6"/>
          <w:sz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pacing w:before="120" w:after="120" w:line="288" w:lineRule="auto"/>
        <w:ind w:left="340" w:hanging="340" w:hangingChars="171"/>
        <w:rPr>
          <w:rFonts w:hAnsi="宋体"/>
          <w:b/>
          <w:spacing w:val="-6"/>
          <w:sz w:val="21"/>
        </w:rPr>
      </w:pPr>
      <w:r>
        <w:rPr>
          <w:rFonts w:hint="eastAsia" w:hAnsi="宋体"/>
          <w:b/>
          <w:spacing w:val="-6"/>
          <w:sz w:val="21"/>
        </w:rPr>
        <w:t>第四条：知识产权</w:t>
      </w:r>
    </w:p>
    <w:p>
      <w:pPr>
        <w:spacing w:line="288" w:lineRule="auto"/>
        <w:ind w:firstLine="396" w:firstLineChars="200"/>
        <w:rPr>
          <w:rFonts w:ascii="宋体" w:hAnsi="宋体"/>
          <w:spacing w:val="-6"/>
          <w:sz w:val="21"/>
        </w:rPr>
      </w:pPr>
      <w:r>
        <w:rPr>
          <w:rFonts w:hint="eastAsia" w:ascii="宋体" w:hAnsi="宋体"/>
          <w:spacing w:val="-6"/>
          <w:sz w:val="21"/>
        </w:rPr>
        <w:t>乙方应保证所提供的货物或其任何一部分均不会侵犯任何第三方的知识产权。</w:t>
      </w:r>
    </w:p>
    <w:p>
      <w:pPr>
        <w:spacing w:line="288" w:lineRule="auto"/>
        <w:rPr>
          <w:rFonts w:ascii="宋体" w:hAnsi="宋体"/>
          <w:b/>
          <w:spacing w:val="-6"/>
          <w:sz w:val="21"/>
        </w:rPr>
      </w:pPr>
      <w:r>
        <w:rPr>
          <w:rFonts w:hint="eastAsia" w:ascii="宋体" w:hAnsi="宋体"/>
          <w:b/>
          <w:spacing w:val="-6"/>
          <w:sz w:val="21"/>
        </w:rPr>
        <w:t>第五条：交货时间、地点</w:t>
      </w:r>
    </w:p>
    <w:p>
      <w:pPr>
        <w:spacing w:line="288" w:lineRule="auto"/>
        <w:ind w:right="-686" w:rightChars="-245" w:firstLine="396" w:firstLineChars="200"/>
        <w:rPr>
          <w:rFonts w:ascii="宋体" w:hAnsi="宋体"/>
          <w:spacing w:val="-6"/>
          <w:sz w:val="21"/>
        </w:rPr>
      </w:pPr>
      <w:r>
        <w:rPr>
          <w:rFonts w:hint="eastAsia" w:ascii="宋体" w:hAnsi="宋体"/>
          <w:spacing w:val="-6"/>
          <w:sz w:val="21"/>
        </w:rPr>
        <w:t>乙方应于2019年  月   日前将所供商品按时、安全运至甲方指定地点。</w:t>
      </w:r>
    </w:p>
    <w:p>
      <w:pPr>
        <w:spacing w:line="288" w:lineRule="auto"/>
        <w:rPr>
          <w:rFonts w:ascii="宋体" w:hAnsi="宋体"/>
          <w:b/>
          <w:spacing w:val="-6"/>
          <w:sz w:val="21"/>
        </w:rPr>
      </w:pPr>
      <w:r>
        <w:rPr>
          <w:rFonts w:hint="eastAsia" w:ascii="宋体" w:hAnsi="宋体"/>
          <w:b/>
          <w:spacing w:val="-6"/>
          <w:sz w:val="21"/>
        </w:rPr>
        <w:t>第六条：售后服务</w:t>
      </w:r>
    </w:p>
    <w:p>
      <w:pPr>
        <w:pStyle w:val="11"/>
        <w:spacing w:line="288" w:lineRule="auto"/>
        <w:ind w:right="31" w:rightChars="11" w:firstLine="420"/>
        <w:rPr>
          <w:rFonts w:hAnsi="宋体"/>
          <w:spacing w:val="-6"/>
          <w:sz w:val="21"/>
        </w:rPr>
      </w:pPr>
      <w:r>
        <w:rPr>
          <w:rFonts w:hint="eastAsia" w:hAnsi="宋体"/>
          <w:spacing w:val="-6"/>
          <w:sz w:val="21"/>
        </w:rPr>
        <w:t>货物自验收合格后起保修</w:t>
      </w:r>
      <w:r>
        <w:rPr>
          <w:rFonts w:hint="eastAsia" w:hAnsi="宋体"/>
          <w:spacing w:val="-6"/>
          <w:sz w:val="21"/>
          <w:lang w:val="en-US"/>
        </w:rPr>
        <w:t xml:space="preserve">  </w:t>
      </w:r>
      <w:r>
        <w:rPr>
          <w:rFonts w:hint="eastAsia" w:hAnsi="宋体"/>
          <w:spacing w:val="-6"/>
          <w:sz w:val="21"/>
        </w:rPr>
        <w:t>年。维修响应时间：</w:t>
      </w:r>
      <w:r>
        <w:rPr>
          <w:rFonts w:hint="eastAsia" w:hAnsi="宋体"/>
          <w:spacing w:val="-6"/>
          <w:sz w:val="21"/>
          <w:lang w:val="en-US"/>
        </w:rPr>
        <w:t xml:space="preserve"> </w:t>
      </w:r>
      <w:r>
        <w:rPr>
          <w:rFonts w:hint="eastAsia" w:hAnsi="宋体"/>
          <w:spacing w:val="-6"/>
          <w:sz w:val="21"/>
        </w:rPr>
        <w:t>小时以内，电话技术支持；若需上门维修，则小时内到达现场并进行维修；保修期后，乙方继续为甲方服务，仅收取零配件成本费。保修内出现无法排除的故障，乙方需无条件为甲方更换同型号产品。</w:t>
      </w:r>
    </w:p>
    <w:p>
      <w:pPr>
        <w:spacing w:line="288" w:lineRule="auto"/>
        <w:rPr>
          <w:rFonts w:ascii="宋体" w:hAnsi="宋体"/>
          <w:b/>
          <w:spacing w:val="-6"/>
          <w:sz w:val="21"/>
        </w:rPr>
      </w:pPr>
      <w:r>
        <w:rPr>
          <w:rFonts w:hint="eastAsia" w:ascii="宋体" w:hAnsi="宋体"/>
          <w:b/>
          <w:spacing w:val="-6"/>
          <w:sz w:val="21"/>
        </w:rPr>
        <w:t>第七条：调试与验收</w:t>
      </w:r>
    </w:p>
    <w:p>
      <w:pPr>
        <w:spacing w:line="288" w:lineRule="auto"/>
        <w:ind w:firstLine="396" w:firstLineChars="200"/>
        <w:rPr>
          <w:rFonts w:ascii="宋体" w:hAnsi="宋体"/>
          <w:spacing w:val="-6"/>
          <w:sz w:val="21"/>
        </w:rPr>
      </w:pPr>
      <w:r>
        <w:rPr>
          <w:rFonts w:hint="eastAsia" w:ascii="宋体" w:hAnsi="宋体"/>
          <w:spacing w:val="-6"/>
          <w:sz w:val="21"/>
        </w:rPr>
        <w:t>1.甲方对乙方提交的货物依据磋商文件上的技术规格要求和国家有关质量标准进行现场初步验收，外观、说明书符合磋商文件技术要求的，给予签收，初步验收不合格的不予签收。</w:t>
      </w:r>
    </w:p>
    <w:p>
      <w:pPr>
        <w:spacing w:line="288" w:lineRule="auto"/>
        <w:ind w:firstLine="396" w:firstLineChars="200"/>
        <w:rPr>
          <w:rFonts w:ascii="宋体" w:hAnsi="宋体"/>
          <w:spacing w:val="-6"/>
          <w:sz w:val="21"/>
        </w:rPr>
      </w:pPr>
      <w:r>
        <w:rPr>
          <w:rFonts w:hint="eastAsia" w:ascii="宋体" w:hAnsi="宋体"/>
          <w:spacing w:val="-6"/>
          <w:sz w:val="21"/>
        </w:rPr>
        <w:t>2.乙方交货前应对产品作出全面检查和对验收文件进行整理，并列出清单，作为甲方收货验收和使用的技术条件依据，检验的结果应随货物交甲方。</w:t>
      </w:r>
    </w:p>
    <w:p>
      <w:pPr>
        <w:spacing w:line="288" w:lineRule="auto"/>
        <w:ind w:firstLine="396" w:firstLineChars="200"/>
        <w:rPr>
          <w:rFonts w:ascii="宋体" w:hAnsi="宋体"/>
          <w:spacing w:val="-6"/>
          <w:sz w:val="21"/>
        </w:rPr>
      </w:pPr>
      <w:r>
        <w:rPr>
          <w:rFonts w:hint="eastAsia" w:ascii="宋体" w:hAnsi="宋体"/>
          <w:spacing w:val="-6"/>
          <w:sz w:val="21"/>
        </w:rPr>
        <w:t>3.对技术复杂的货物，甲方应请国家认可的专业检测机构参与初步验收及最终验收，并由其出具质量检测报告。</w:t>
      </w:r>
    </w:p>
    <w:p>
      <w:pPr>
        <w:spacing w:line="288" w:lineRule="auto"/>
        <w:ind w:firstLine="396" w:firstLineChars="200"/>
        <w:rPr>
          <w:rFonts w:ascii="宋体" w:hAnsi="宋体"/>
          <w:spacing w:val="-6"/>
          <w:sz w:val="21"/>
        </w:rPr>
      </w:pPr>
      <w:r>
        <w:rPr>
          <w:rFonts w:hint="eastAsia" w:ascii="宋体" w:hAnsi="宋体"/>
          <w:spacing w:val="-6"/>
          <w:sz w:val="21"/>
        </w:rPr>
        <w:t>4.验收时乙方必须在现场，验收完毕后作出验收结果报告；验收费用由乙方负责。</w:t>
      </w:r>
    </w:p>
    <w:p>
      <w:pPr>
        <w:spacing w:line="288" w:lineRule="auto"/>
        <w:ind w:right="31" w:rightChars="11" w:firstLine="396" w:firstLineChars="200"/>
        <w:rPr>
          <w:rFonts w:ascii="宋体" w:hAnsi="宋体"/>
          <w:spacing w:val="-6"/>
          <w:sz w:val="21"/>
        </w:rPr>
      </w:pPr>
      <w:r>
        <w:rPr>
          <w:rFonts w:hint="eastAsia" w:ascii="宋体" w:hAnsi="宋体"/>
          <w:spacing w:val="-6"/>
          <w:sz w:val="21"/>
        </w:rPr>
        <w:t>5.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pacing w:line="288" w:lineRule="auto"/>
        <w:rPr>
          <w:rFonts w:ascii="宋体" w:hAnsi="宋体"/>
          <w:b/>
          <w:spacing w:val="-6"/>
          <w:sz w:val="21"/>
        </w:rPr>
      </w:pPr>
      <w:r>
        <w:rPr>
          <w:rFonts w:hint="eastAsia" w:ascii="宋体" w:hAnsi="宋体"/>
          <w:b/>
          <w:spacing w:val="-6"/>
          <w:sz w:val="21"/>
        </w:rPr>
        <w:t>第八条：货款的支付</w:t>
      </w:r>
    </w:p>
    <w:p>
      <w:pPr>
        <w:spacing w:line="288" w:lineRule="auto"/>
        <w:ind w:firstLine="420" w:firstLineChars="200"/>
        <w:rPr>
          <w:rFonts w:ascii="宋体" w:hAnsi="宋体"/>
          <w:sz w:val="21"/>
          <w:szCs w:val="21"/>
        </w:rPr>
      </w:pPr>
      <w:r>
        <w:rPr>
          <w:rFonts w:hint="eastAsia" w:ascii="宋体" w:hAnsi="宋体"/>
          <w:sz w:val="21"/>
          <w:szCs w:val="21"/>
        </w:rPr>
        <w:t>1.</w:t>
      </w:r>
      <w:r>
        <w:rPr>
          <w:rFonts w:hint="eastAsia" w:ascii="宋体" w:hAnsi="宋体" w:cs="宋体"/>
          <w:bCs/>
          <w:sz w:val="21"/>
          <w:szCs w:val="21"/>
        </w:rPr>
        <w:t>合同签署后支付合同价款的</w:t>
      </w:r>
      <w:r>
        <w:rPr>
          <w:rFonts w:ascii="宋体" w:hAnsi="宋体" w:cs="宋体"/>
          <w:bCs/>
          <w:sz w:val="21"/>
          <w:szCs w:val="21"/>
        </w:rPr>
        <w:t>30%</w:t>
      </w:r>
      <w:r>
        <w:rPr>
          <w:rFonts w:hint="eastAsia" w:ascii="宋体" w:hAnsi="宋体" w:cs="宋体"/>
          <w:bCs/>
          <w:sz w:val="21"/>
          <w:szCs w:val="21"/>
        </w:rPr>
        <w:t>，</w:t>
      </w:r>
      <w:r>
        <w:rPr>
          <w:rFonts w:hint="eastAsia" w:ascii="宋体" w:hAnsi="宋体" w:cs="宋体"/>
          <w:sz w:val="21"/>
          <w:szCs w:val="21"/>
        </w:rPr>
        <w:t>设备到货、安装、验收合格后一个月内，甲方支付</w:t>
      </w:r>
      <w:r>
        <w:rPr>
          <w:rFonts w:hint="eastAsia" w:ascii="宋体" w:hAnsi="宋体" w:cs="宋体"/>
          <w:bCs/>
          <w:sz w:val="21"/>
          <w:szCs w:val="21"/>
        </w:rPr>
        <w:t>合同价款的7</w:t>
      </w:r>
      <w:r>
        <w:rPr>
          <w:rFonts w:ascii="宋体" w:hAnsi="宋体" w:cs="宋体"/>
          <w:bCs/>
          <w:sz w:val="21"/>
          <w:szCs w:val="21"/>
        </w:rPr>
        <w:t>0%</w:t>
      </w:r>
      <w:r>
        <w:rPr>
          <w:rFonts w:hint="eastAsia" w:ascii="宋体" w:hAnsi="宋体"/>
          <w:sz w:val="21"/>
          <w:szCs w:val="21"/>
        </w:rPr>
        <w:t>；</w:t>
      </w:r>
    </w:p>
    <w:p>
      <w:pPr>
        <w:spacing w:line="288" w:lineRule="auto"/>
        <w:ind w:firstLine="420" w:firstLineChars="200"/>
        <w:rPr>
          <w:rFonts w:ascii="宋体" w:hAnsi="宋体"/>
          <w:sz w:val="21"/>
          <w:szCs w:val="21"/>
        </w:rPr>
      </w:pPr>
      <w:r>
        <w:rPr>
          <w:rFonts w:hint="eastAsia" w:ascii="宋体" w:hAnsi="宋体"/>
          <w:sz w:val="21"/>
          <w:szCs w:val="21"/>
        </w:rPr>
        <w:t>2.合同总价的5%作为履约保证金（提交方式：支票、汇票、本票或者金融机构、担保机构出具的保函等非现金形式），合同签订后七个工作日内由乙方提交给甲方，在甲方验收合格</w:t>
      </w:r>
      <w:r>
        <w:rPr>
          <w:rFonts w:hint="eastAsia" w:ascii="宋体" w:hAnsi="宋体" w:cs="宋体"/>
          <w:sz w:val="21"/>
          <w:szCs w:val="21"/>
        </w:rPr>
        <w:t>在质保期满后</w:t>
      </w:r>
      <w:r>
        <w:rPr>
          <w:rFonts w:hint="eastAsia" w:ascii="宋体" w:hAnsi="宋体"/>
          <w:sz w:val="21"/>
          <w:szCs w:val="21"/>
        </w:rPr>
        <w:t>确认乙方无违约行为后无息返还给乙方（遇寒暑假及国定假日顺延）。</w:t>
      </w:r>
    </w:p>
    <w:p>
      <w:pPr>
        <w:spacing w:line="288" w:lineRule="auto"/>
        <w:ind w:right="-686" w:rightChars="-245"/>
        <w:rPr>
          <w:rFonts w:ascii="宋体" w:hAnsi="宋体"/>
          <w:b/>
          <w:spacing w:val="-6"/>
          <w:sz w:val="21"/>
        </w:rPr>
      </w:pPr>
      <w:r>
        <w:rPr>
          <w:rFonts w:hint="eastAsia" w:ascii="宋体" w:hAnsi="宋体"/>
          <w:b/>
          <w:spacing w:val="-6"/>
          <w:sz w:val="21"/>
        </w:rPr>
        <w:t>第九条：违约责任</w:t>
      </w:r>
    </w:p>
    <w:p>
      <w:pPr>
        <w:spacing w:line="288" w:lineRule="auto"/>
        <w:ind w:firstLine="396" w:firstLineChars="200"/>
        <w:rPr>
          <w:rFonts w:ascii="宋体" w:hAnsi="宋体"/>
          <w:spacing w:val="-6"/>
          <w:sz w:val="21"/>
        </w:rPr>
      </w:pPr>
      <w:r>
        <w:rPr>
          <w:rFonts w:hint="eastAsia" w:ascii="宋体" w:hAnsi="宋体"/>
          <w:spacing w:val="-6"/>
          <w:sz w:val="21"/>
        </w:rPr>
        <w:t>1.乙方逾期履行合同的，自逾期之日起，向甲方每日偿付合同总价千分之五的滞纳金。</w:t>
      </w:r>
    </w:p>
    <w:p>
      <w:pPr>
        <w:spacing w:line="288" w:lineRule="auto"/>
        <w:ind w:firstLine="396" w:firstLineChars="200"/>
        <w:rPr>
          <w:rFonts w:ascii="宋体" w:hAnsi="宋体"/>
          <w:spacing w:val="-6"/>
          <w:sz w:val="21"/>
        </w:rPr>
      </w:pPr>
      <w:r>
        <w:rPr>
          <w:rFonts w:hint="eastAsia" w:ascii="宋体" w:hAnsi="宋体"/>
          <w:spacing w:val="-6"/>
          <w:sz w:val="21"/>
        </w:rPr>
        <w:t>2.甲方逾期支付货款的，自逾期之日起，向乙方每日偿付未付价款千分之五的滞纳金。</w:t>
      </w:r>
    </w:p>
    <w:p>
      <w:pPr>
        <w:spacing w:line="288" w:lineRule="auto"/>
        <w:ind w:right="31" w:rightChars="11" w:firstLine="396" w:firstLineChars="200"/>
        <w:rPr>
          <w:rFonts w:ascii="宋体" w:hAnsi="宋体"/>
          <w:spacing w:val="-6"/>
          <w:sz w:val="21"/>
        </w:rPr>
      </w:pPr>
      <w:r>
        <w:rPr>
          <w:rFonts w:hint="eastAsia" w:ascii="宋体" w:hAnsi="宋体"/>
          <w:spacing w:val="-6"/>
          <w:sz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pacing w:line="288" w:lineRule="auto"/>
        <w:ind w:firstLine="396" w:firstLineChars="200"/>
        <w:rPr>
          <w:rFonts w:ascii="宋体" w:hAnsi="宋体"/>
          <w:spacing w:val="-6"/>
          <w:sz w:val="21"/>
        </w:rPr>
      </w:pPr>
      <w:r>
        <w:rPr>
          <w:rFonts w:hint="eastAsia" w:ascii="宋体" w:hAnsi="宋体"/>
          <w:spacing w:val="-6"/>
          <w:sz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spacing w:line="288" w:lineRule="auto"/>
        <w:ind w:right="-686" w:rightChars="-245"/>
        <w:rPr>
          <w:rFonts w:ascii="宋体" w:hAnsi="宋体"/>
          <w:b/>
          <w:spacing w:val="-6"/>
          <w:sz w:val="21"/>
        </w:rPr>
      </w:pPr>
      <w:r>
        <w:rPr>
          <w:rFonts w:hint="eastAsia" w:ascii="宋体" w:hAnsi="宋体"/>
          <w:b/>
          <w:spacing w:val="-6"/>
          <w:sz w:val="21"/>
        </w:rPr>
        <w:t>第十条：不可抗力事件处理</w:t>
      </w:r>
    </w:p>
    <w:p>
      <w:pPr>
        <w:spacing w:line="288" w:lineRule="auto"/>
        <w:ind w:firstLine="396" w:firstLineChars="200"/>
        <w:rPr>
          <w:rFonts w:ascii="宋体" w:hAnsi="宋体"/>
          <w:spacing w:val="-6"/>
          <w:sz w:val="21"/>
        </w:rPr>
      </w:pPr>
      <w:r>
        <w:rPr>
          <w:rFonts w:hint="eastAsia" w:ascii="宋体" w:hAnsi="宋体"/>
          <w:spacing w:val="-6"/>
          <w:sz w:val="21"/>
        </w:rPr>
        <w:t>1.在合同有效期内，任何一方因不可抗力事件导致不能履行合同，则合同履行期可延长，其延长期与不可抗力影响期相同。</w:t>
      </w:r>
    </w:p>
    <w:p>
      <w:pPr>
        <w:spacing w:line="288" w:lineRule="auto"/>
        <w:ind w:firstLine="396" w:firstLineChars="200"/>
        <w:rPr>
          <w:rFonts w:ascii="宋体" w:hAnsi="宋体"/>
          <w:spacing w:val="-6"/>
          <w:sz w:val="21"/>
        </w:rPr>
      </w:pPr>
      <w:r>
        <w:rPr>
          <w:rFonts w:hint="eastAsia" w:ascii="宋体" w:hAnsi="宋体"/>
          <w:spacing w:val="-6"/>
          <w:sz w:val="21"/>
        </w:rPr>
        <w:t>2.不可抗力事件发生后，应立即通知对方，并寄送有关权威机构出具的证明。</w:t>
      </w:r>
    </w:p>
    <w:p>
      <w:pPr>
        <w:spacing w:line="288" w:lineRule="auto"/>
        <w:ind w:firstLine="396" w:firstLineChars="200"/>
        <w:rPr>
          <w:rFonts w:ascii="宋体" w:hAnsi="宋体"/>
          <w:spacing w:val="-6"/>
          <w:sz w:val="21"/>
        </w:rPr>
      </w:pPr>
      <w:r>
        <w:rPr>
          <w:rFonts w:hint="eastAsia" w:ascii="宋体" w:hAnsi="宋体"/>
          <w:spacing w:val="-6"/>
          <w:sz w:val="21"/>
        </w:rPr>
        <w:t>3.不可抗力事件延续120天以上，双方应通过友好协商，确定是否继续履行合同。</w:t>
      </w:r>
    </w:p>
    <w:p>
      <w:pPr>
        <w:spacing w:line="288" w:lineRule="auto"/>
        <w:ind w:right="-686" w:rightChars="-245"/>
        <w:rPr>
          <w:rFonts w:ascii="宋体" w:hAnsi="宋体"/>
          <w:b/>
          <w:spacing w:val="-6"/>
          <w:sz w:val="21"/>
        </w:rPr>
      </w:pPr>
      <w:r>
        <w:rPr>
          <w:rFonts w:hint="eastAsia" w:ascii="宋体" w:hAnsi="宋体"/>
          <w:b/>
          <w:spacing w:val="-6"/>
          <w:sz w:val="21"/>
        </w:rPr>
        <w:t>第十一条：争议解决</w:t>
      </w:r>
    </w:p>
    <w:p>
      <w:pPr>
        <w:spacing w:line="288" w:lineRule="auto"/>
        <w:ind w:right="31" w:rightChars="11" w:firstLine="396" w:firstLineChars="200"/>
        <w:rPr>
          <w:rFonts w:ascii="宋体" w:hAnsi="宋体"/>
          <w:spacing w:val="-6"/>
          <w:sz w:val="21"/>
        </w:rPr>
      </w:pPr>
      <w:r>
        <w:rPr>
          <w:rFonts w:hint="eastAsia" w:ascii="宋体" w:hAnsi="宋体"/>
          <w:spacing w:val="-6"/>
          <w:sz w:val="21"/>
        </w:rPr>
        <w:t>本合同未尽事宜由三方协商解决，如协商不成，三方同意将本合同引起的争议提交杭州仲裁委员会仲裁解决，仲裁为终局。</w:t>
      </w:r>
    </w:p>
    <w:p>
      <w:pPr>
        <w:spacing w:line="288" w:lineRule="auto"/>
        <w:ind w:right="-686" w:rightChars="-245"/>
        <w:rPr>
          <w:rFonts w:ascii="宋体" w:hAnsi="宋体"/>
          <w:b/>
          <w:spacing w:val="-6"/>
          <w:sz w:val="21"/>
        </w:rPr>
      </w:pPr>
      <w:r>
        <w:rPr>
          <w:rFonts w:hint="eastAsia" w:ascii="宋体" w:hAnsi="宋体"/>
          <w:b/>
          <w:spacing w:val="-6"/>
          <w:sz w:val="21"/>
        </w:rPr>
        <w:t>第十二条：合同生效</w:t>
      </w:r>
    </w:p>
    <w:p>
      <w:pPr>
        <w:spacing w:line="288" w:lineRule="auto"/>
        <w:ind w:firstLine="396" w:firstLineChars="200"/>
        <w:rPr>
          <w:rFonts w:ascii="宋体" w:hAnsi="宋体"/>
          <w:spacing w:val="-6"/>
          <w:sz w:val="21"/>
        </w:rPr>
      </w:pPr>
      <w:r>
        <w:rPr>
          <w:rFonts w:hint="eastAsia" w:ascii="宋体" w:hAnsi="宋体"/>
          <w:spacing w:val="-6"/>
          <w:sz w:val="21"/>
        </w:rPr>
        <w:t>1.合同经三方法定代表人或授权代表签字并加盖单位公章后生效。</w:t>
      </w:r>
    </w:p>
    <w:p>
      <w:pPr>
        <w:spacing w:line="288" w:lineRule="auto"/>
        <w:ind w:firstLine="396" w:firstLineChars="200"/>
        <w:rPr>
          <w:rFonts w:ascii="宋体" w:hAnsi="宋体"/>
          <w:spacing w:val="-6"/>
          <w:sz w:val="21"/>
        </w:rPr>
      </w:pPr>
      <w:r>
        <w:rPr>
          <w:rFonts w:hint="eastAsia" w:ascii="宋体" w:hAnsi="宋体"/>
          <w:spacing w:val="-6"/>
          <w:sz w:val="21"/>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spacing w:val="-6"/>
          <w:sz w:val="21"/>
        </w:rPr>
      </w:pPr>
      <w:r>
        <w:rPr>
          <w:rFonts w:hint="eastAsia" w:ascii="宋体" w:hAnsi="宋体"/>
          <w:spacing w:val="-6"/>
          <w:sz w:val="21"/>
        </w:rPr>
        <w:t>3.本合同未尽事宜，遵照《合同法》有关条文执行。</w:t>
      </w:r>
    </w:p>
    <w:p>
      <w:pPr>
        <w:spacing w:line="288" w:lineRule="auto"/>
        <w:ind w:firstLine="396" w:firstLineChars="200"/>
        <w:rPr>
          <w:rFonts w:ascii="宋体" w:hAnsi="宋体"/>
          <w:spacing w:val="-6"/>
          <w:sz w:val="21"/>
        </w:rPr>
      </w:pPr>
      <w:r>
        <w:rPr>
          <w:rFonts w:hint="eastAsia" w:ascii="宋体" w:hAnsi="宋体"/>
          <w:spacing w:val="-6"/>
          <w:sz w:val="21"/>
        </w:rPr>
        <w:t>4.本合同一式五份，乙方、采购代理机构各执壹份，甲方执叁份。</w:t>
      </w:r>
    </w:p>
    <w:p>
      <w:pPr>
        <w:spacing w:line="288" w:lineRule="auto"/>
        <w:ind w:firstLine="398" w:firstLineChars="200"/>
        <w:rPr>
          <w:rFonts w:ascii="宋体" w:hAnsi="宋体"/>
          <w:b/>
          <w:spacing w:val="-6"/>
          <w:sz w:val="21"/>
        </w:rPr>
      </w:pPr>
      <w:r>
        <w:rPr>
          <w:rFonts w:hint="eastAsia" w:ascii="宋体" w:hAnsi="宋体"/>
          <w:b/>
          <w:spacing w:val="-6"/>
          <w:sz w:val="21"/>
        </w:rPr>
        <w:t>5.与本合同有关磋商文件、响应文件及记录同本合同具有同等法律效果。</w:t>
      </w:r>
    </w:p>
    <w:tbl>
      <w:tblPr>
        <w:tblStyle w:val="23"/>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甲方（采购人）：（公章）</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乙方（成交供应商）：（公章）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甲方代表：</w:t>
            </w:r>
          </w:p>
          <w:p>
            <w:pPr>
              <w:spacing w:line="288" w:lineRule="auto"/>
              <w:rPr>
                <w:rFonts w:ascii="宋体" w:hAnsi="宋体"/>
                <w:spacing w:val="-6"/>
                <w:sz w:val="21"/>
              </w:rPr>
            </w:pPr>
            <w:r>
              <w:rPr>
                <w:rFonts w:hint="eastAsia" w:ascii="宋体" w:hAnsi="宋体"/>
                <w:spacing w:val="-6"/>
                <w:sz w:val="21"/>
              </w:rPr>
              <w:t>(签字）</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乙方代表：</w:t>
            </w:r>
          </w:p>
          <w:p>
            <w:pPr>
              <w:spacing w:line="288" w:lineRule="auto"/>
              <w:rPr>
                <w:rFonts w:ascii="宋体" w:hAnsi="宋体"/>
                <w:spacing w:val="-6"/>
                <w:sz w:val="21"/>
              </w:rPr>
            </w:pPr>
            <w:r>
              <w:rPr>
                <w:rFonts w:hint="eastAsia" w:ascii="宋体" w:hAnsi="宋体"/>
                <w:spacing w:val="-6"/>
                <w:sz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地址：</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邮编：</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电话：</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传真：</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户名：</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开户银行：</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帐号：</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rPr>
            </w:pPr>
            <w:r>
              <w:rPr>
                <w:rFonts w:hint="eastAsia" w:ascii="宋体" w:hAnsi="宋体"/>
                <w:spacing w:val="-6"/>
                <w:sz w:val="21"/>
              </w:rPr>
              <w:t>采购代理机构：浙江求是招标代理有限公司（公章）</w:t>
            </w:r>
          </w:p>
        </w:tc>
        <w:tc>
          <w:tcPr>
            <w:tcW w:w="4320" w:type="dxa"/>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rPr>
            </w:pPr>
            <w:r>
              <w:rPr>
                <w:rFonts w:hint="eastAsia" w:ascii="宋体" w:hAnsi="宋体"/>
                <w:spacing w:val="-6"/>
                <w:sz w:val="21"/>
              </w:rPr>
              <w:t>采购代理机构代表：</w:t>
            </w:r>
          </w:p>
          <w:p>
            <w:pPr>
              <w:spacing w:line="288" w:lineRule="auto"/>
              <w:ind w:left="194"/>
              <w:rPr>
                <w:rFonts w:ascii="宋体" w:hAnsi="宋体"/>
                <w:spacing w:val="-6"/>
                <w:sz w:val="21"/>
              </w:rPr>
            </w:pPr>
            <w:r>
              <w:rPr>
                <w:rFonts w:hint="eastAsia" w:ascii="宋体" w:hAnsi="宋体"/>
                <w:spacing w:val="-6"/>
                <w:sz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rPr>
            </w:pPr>
            <w:r>
              <w:rPr>
                <w:rFonts w:hint="eastAsia" w:ascii="宋体" w:hAnsi="宋体"/>
                <w:spacing w:val="-6"/>
                <w:sz w:val="21"/>
              </w:rPr>
              <w:t>地址：杭州市西湖区玉古路173号中田大厦16楼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1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Pr>
        <w:tc>
          <w:tcPr>
            <w:tcW w:w="4320"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rPr>
            </w:pPr>
            <w:r>
              <w:rPr>
                <w:rFonts w:hint="eastAsia" w:ascii="宋体" w:hAnsi="宋体"/>
                <w:spacing w:val="-6"/>
                <w:sz w:val="21"/>
              </w:rPr>
              <w:t>鉴证时间：    年   月   日</w:t>
            </w:r>
          </w:p>
        </w:tc>
      </w:tr>
    </w:tbl>
    <w:p>
      <w:pPr>
        <w:pStyle w:val="13"/>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bookmarkStart w:id="64" w:name="_Toc29405"/>
      <w:bookmarkStart w:id="65" w:name="_Toc1173"/>
      <w:r>
        <w:rPr>
          <w:rFonts w:hAnsi="宋体"/>
          <w:b/>
          <w:spacing w:val="-6"/>
          <w:sz w:val="32"/>
          <w:szCs w:val="32"/>
        </w:rPr>
        <w:t>第六章响应文件格式</w:t>
      </w:r>
      <w:bookmarkEnd w:id="64"/>
      <w:bookmarkEnd w:id="65"/>
    </w:p>
    <w:p>
      <w:pPr>
        <w:spacing w:line="360" w:lineRule="auto"/>
        <w:rPr>
          <w:rFonts w:ascii="宋体" w:hAnsi="宋体"/>
          <w:b/>
          <w:bCs/>
          <w:spacing w:val="-6"/>
          <w:sz w:val="24"/>
        </w:rPr>
      </w:pPr>
    </w:p>
    <w:p>
      <w:pPr>
        <w:pStyle w:val="13"/>
        <w:spacing w:beforeLines="0" w:afterLines="0" w:line="360" w:lineRule="auto"/>
        <w:ind w:firstLine="398" w:firstLineChars="200"/>
        <w:rPr>
          <w:rFonts w:hAnsi="宋体"/>
          <w:b/>
          <w:bCs/>
          <w:spacing w:val="-6"/>
          <w:sz w:val="21"/>
          <w:szCs w:val="21"/>
        </w:rPr>
      </w:pPr>
      <w:r>
        <w:rPr>
          <w:rFonts w:hint="eastAsia" w:hAnsi="宋体"/>
          <w:b/>
          <w:bCs/>
          <w:spacing w:val="-6"/>
          <w:sz w:val="21"/>
          <w:szCs w:val="21"/>
        </w:rPr>
        <w:t>响应文件的编制应按照本项目：“第三章  供应商须知”</w:t>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r>
        <w:rPr>
          <w:rFonts w:hint="eastAsia" w:hAnsi="宋体"/>
          <w:b/>
          <w:spacing w:val="-6"/>
          <w:sz w:val="21"/>
          <w:szCs w:val="21"/>
        </w:rPr>
        <w:t>的要求编制。</w:t>
      </w: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jc w:val="center"/>
        <w:rPr>
          <w:rFonts w:ascii="宋体" w:hAnsi="宋体"/>
          <w:b/>
          <w:bCs/>
          <w:spacing w:val="-6"/>
          <w:sz w:val="24"/>
        </w:rPr>
      </w:pPr>
      <w:r>
        <w:rPr>
          <w:rFonts w:hint="eastAsia" w:ascii="宋体" w:hAnsi="宋体"/>
          <w:b/>
          <w:bCs/>
          <w:spacing w:val="-6"/>
          <w:sz w:val="24"/>
        </w:rPr>
        <w:t>外层包装（封签）</w:t>
      </w:r>
    </w:p>
    <w:p>
      <w:pPr>
        <w:spacing w:line="360" w:lineRule="auto"/>
        <w:rPr>
          <w:rFonts w:ascii="宋体" w:hAnsi="宋体"/>
          <w:spacing w:val="-6"/>
          <w:sz w:val="24"/>
        </w:rPr>
      </w:pPr>
    </w:p>
    <w:p>
      <w:pPr>
        <w:spacing w:line="360" w:lineRule="auto"/>
        <w:jc w:val="center"/>
        <w:rPr>
          <w:rFonts w:ascii="宋体" w:hAnsi="宋体"/>
          <w:bCs/>
          <w:spacing w:val="-6"/>
          <w:sz w:val="24"/>
        </w:rPr>
      </w:pPr>
      <w:bookmarkStart w:id="66" w:name="_Toc26540"/>
      <w:bookmarkStart w:id="67" w:name="_Toc7962"/>
      <w:r>
        <w:rPr>
          <w:rFonts w:hint="eastAsia" w:ascii="宋体" w:hAnsi="宋体"/>
          <w:bCs/>
          <w:spacing w:val="-6"/>
          <w:sz w:val="24"/>
        </w:rPr>
        <w:t>（供应商名称）</w:t>
      </w:r>
      <w:bookmarkEnd w:id="66"/>
      <w:bookmarkEnd w:id="67"/>
    </w:p>
    <w:p>
      <w:pPr>
        <w:spacing w:line="360" w:lineRule="auto"/>
        <w:jc w:val="center"/>
        <w:rPr>
          <w:rFonts w:ascii="宋体" w:hAnsi="宋体"/>
          <w:b/>
          <w:bCs/>
          <w:spacing w:val="-6"/>
          <w:sz w:val="24"/>
        </w:rPr>
      </w:pPr>
      <w:r>
        <w:rPr>
          <w:rFonts w:hint="eastAsia" w:ascii="宋体" w:hAnsi="宋体"/>
          <w:b/>
          <w:bCs/>
          <w:spacing w:val="-6"/>
          <w:sz w:val="24"/>
        </w:rPr>
        <w:t>响 应 文 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 购 人：中国美术学院</w:t>
      </w:r>
    </w:p>
    <w:p>
      <w:pPr>
        <w:spacing w:line="360" w:lineRule="auto"/>
        <w:rPr>
          <w:rFonts w:ascii="宋体" w:hAnsi="宋体"/>
          <w:bCs/>
          <w:spacing w:val="-6"/>
          <w:sz w:val="24"/>
        </w:rPr>
      </w:pPr>
      <w:r>
        <w:rPr>
          <w:rFonts w:hint="eastAsia" w:ascii="宋体" w:hAnsi="宋体"/>
          <w:bCs/>
          <w:spacing w:val="-6"/>
          <w:sz w:val="24"/>
        </w:rPr>
        <w:t>项目名称：创新设计学院良渚校区智能展厅设备一批</w:t>
      </w:r>
    </w:p>
    <w:p>
      <w:pPr>
        <w:spacing w:line="360" w:lineRule="auto"/>
        <w:rPr>
          <w:rFonts w:ascii="宋体" w:hAnsi="宋体"/>
          <w:bCs/>
          <w:spacing w:val="-6"/>
          <w:sz w:val="24"/>
        </w:rPr>
      </w:pPr>
      <w:r>
        <w:rPr>
          <w:rFonts w:hint="eastAsia" w:ascii="宋体" w:hAnsi="宋体"/>
          <w:bCs/>
          <w:spacing w:val="-6"/>
          <w:sz w:val="24"/>
        </w:rPr>
        <w:t>项目编号：QSZB-Z(H)-C19291(CS)</w:t>
      </w:r>
    </w:p>
    <w:p>
      <w:pPr>
        <w:spacing w:line="360" w:lineRule="auto"/>
        <w:rPr>
          <w:rFonts w:ascii="宋体" w:hAnsi="宋体"/>
          <w:bCs/>
          <w:spacing w:val="-6"/>
          <w:sz w:val="24"/>
        </w:rPr>
      </w:pPr>
      <w:r>
        <w:rPr>
          <w:rFonts w:hint="eastAsia" w:ascii="宋体" w:hAnsi="宋体"/>
          <w:bCs/>
          <w:spacing w:val="-6"/>
          <w:sz w:val="24"/>
        </w:rPr>
        <w:t>供应商名称（盖章）：</w:t>
      </w:r>
    </w:p>
    <w:p>
      <w:pPr>
        <w:spacing w:line="360" w:lineRule="auto"/>
        <w:rPr>
          <w:rFonts w:ascii="宋体" w:hAnsi="宋体"/>
          <w:bCs/>
          <w:spacing w:val="-6"/>
          <w:sz w:val="24"/>
        </w:rPr>
      </w:pPr>
      <w:r>
        <w:rPr>
          <w:rFonts w:hint="eastAsia" w:ascii="宋体" w:hAnsi="宋体"/>
          <w:bCs/>
          <w:spacing w:val="-6"/>
          <w:sz w:val="24"/>
        </w:rPr>
        <w:t>供应商地址：</w:t>
      </w:r>
    </w:p>
    <w:p>
      <w:pPr>
        <w:spacing w:line="360" w:lineRule="auto"/>
        <w:rPr>
          <w:rFonts w:ascii="宋体" w:hAnsi="宋体"/>
          <w:bCs/>
          <w:spacing w:val="-6"/>
          <w:sz w:val="24"/>
        </w:rPr>
      </w:pPr>
      <w:r>
        <w:rPr>
          <w:rFonts w:hint="eastAsia" w:ascii="宋体" w:hAnsi="宋体"/>
          <w:bCs/>
          <w:spacing w:val="-6"/>
          <w:sz w:val="24"/>
        </w:rPr>
        <w:t>在     年   月   日   时   分之前不得启封</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供应商授权代表签字：</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bookmarkStart w:id="68" w:name="_Toc26044"/>
      <w:bookmarkStart w:id="69" w:name="_Toc19583"/>
      <w:r>
        <w:rPr>
          <w:rFonts w:hint="eastAsia" w:ascii="宋体" w:hAnsi="宋体"/>
          <w:bCs/>
          <w:spacing w:val="-6"/>
          <w:sz w:val="24"/>
        </w:rPr>
        <w:t>（供应商名称）</w:t>
      </w:r>
      <w:bookmarkEnd w:id="68"/>
      <w:bookmarkEnd w:id="69"/>
    </w:p>
    <w:p>
      <w:pPr>
        <w:spacing w:line="360" w:lineRule="auto"/>
        <w:jc w:val="center"/>
        <w:rPr>
          <w:rFonts w:ascii="宋体" w:hAnsi="宋体"/>
          <w:b/>
          <w:bCs/>
          <w:spacing w:val="-6"/>
          <w:sz w:val="24"/>
        </w:rPr>
      </w:pPr>
      <w:r>
        <w:rPr>
          <w:rFonts w:hint="eastAsia" w:ascii="宋体" w:hAnsi="宋体"/>
          <w:b/>
          <w:bCs/>
          <w:spacing w:val="-6"/>
          <w:sz w:val="24"/>
        </w:rPr>
        <w:t>响 应 文 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 购 人：中国美术学院</w:t>
      </w:r>
    </w:p>
    <w:p>
      <w:pPr>
        <w:spacing w:line="360" w:lineRule="auto"/>
        <w:rPr>
          <w:rFonts w:ascii="宋体" w:hAnsi="宋体"/>
          <w:bCs/>
          <w:spacing w:val="-6"/>
          <w:sz w:val="24"/>
        </w:rPr>
      </w:pPr>
      <w:r>
        <w:rPr>
          <w:rFonts w:hint="eastAsia" w:ascii="宋体" w:hAnsi="宋体"/>
          <w:bCs/>
          <w:spacing w:val="-6"/>
          <w:sz w:val="24"/>
        </w:rPr>
        <w:t>项目名称：创新设计学院良渚校区智能展厅设备一批</w:t>
      </w:r>
    </w:p>
    <w:p>
      <w:pPr>
        <w:spacing w:line="360" w:lineRule="auto"/>
        <w:rPr>
          <w:rFonts w:ascii="宋体" w:hAnsi="宋体"/>
          <w:bCs/>
          <w:spacing w:val="-6"/>
          <w:sz w:val="24"/>
        </w:rPr>
      </w:pPr>
      <w:r>
        <w:rPr>
          <w:rFonts w:hint="eastAsia" w:ascii="宋体" w:hAnsi="宋体"/>
          <w:bCs/>
          <w:spacing w:val="-6"/>
          <w:sz w:val="24"/>
        </w:rPr>
        <w:t>项目编号：QSZB-Z(H)-C19291(CS)</w:t>
      </w:r>
    </w:p>
    <w:p>
      <w:pPr>
        <w:spacing w:line="360" w:lineRule="auto"/>
        <w:rPr>
          <w:rFonts w:ascii="宋体" w:hAnsi="宋体"/>
          <w:bCs/>
          <w:spacing w:val="-6"/>
          <w:sz w:val="24"/>
        </w:rPr>
      </w:pPr>
      <w:r>
        <w:rPr>
          <w:rFonts w:hint="eastAsia" w:ascii="宋体" w:hAnsi="宋体"/>
          <w:bCs/>
          <w:spacing w:val="-6"/>
          <w:sz w:val="24"/>
        </w:rPr>
        <w:t>供应商名称（盖章）：</w:t>
      </w:r>
    </w:p>
    <w:p>
      <w:pPr>
        <w:spacing w:line="360" w:lineRule="auto"/>
        <w:rPr>
          <w:rFonts w:ascii="宋体" w:hAnsi="宋体"/>
          <w:bCs/>
          <w:spacing w:val="-6"/>
          <w:sz w:val="24"/>
        </w:rPr>
      </w:pPr>
      <w:r>
        <w:rPr>
          <w:rFonts w:hint="eastAsia" w:ascii="宋体" w:hAnsi="宋体"/>
          <w:bCs/>
          <w:spacing w:val="-6"/>
          <w:sz w:val="24"/>
        </w:rPr>
        <w:t>供应商地址：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供应商授权代表签字：</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jc w:val="center"/>
        <w:outlineLvl w:val="1"/>
        <w:rPr>
          <w:rFonts w:ascii="宋体" w:hAnsi="宋体"/>
          <w:b/>
          <w:bCs/>
          <w:spacing w:val="-6"/>
          <w:sz w:val="24"/>
        </w:rPr>
      </w:pPr>
      <w:r>
        <w:rPr>
          <w:rFonts w:ascii="宋体" w:hAnsi="宋体"/>
          <w:bCs/>
          <w:spacing w:val="-6"/>
          <w:sz w:val="24"/>
        </w:rPr>
        <w:br w:type="page"/>
      </w:r>
      <w:r>
        <w:rPr>
          <w:rFonts w:hint="eastAsia" w:ascii="宋体" w:hAnsi="宋体"/>
          <w:b/>
          <w:bCs/>
          <w:spacing w:val="-6"/>
          <w:sz w:val="24"/>
        </w:rPr>
        <w:t>评分索引表</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971"/>
        <w:gridCol w:w="669"/>
        <w:gridCol w:w="3463"/>
        <w:gridCol w:w="981"/>
        <w:gridCol w:w="10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rPr>
            </w:pPr>
            <w:r>
              <w:rPr>
                <w:rFonts w:hint="eastAsia"/>
                <w:b/>
                <w:bCs/>
                <w:sz w:val="21"/>
                <w:szCs w:val="21"/>
              </w:rPr>
              <w:t>序号</w:t>
            </w:r>
          </w:p>
        </w:tc>
        <w:tc>
          <w:tcPr>
            <w:tcW w:w="1971" w:type="dxa"/>
            <w:vAlign w:val="center"/>
          </w:tcPr>
          <w:p>
            <w:pPr>
              <w:jc w:val="center"/>
              <w:rPr>
                <w:b/>
                <w:bCs/>
                <w:sz w:val="21"/>
                <w:szCs w:val="21"/>
              </w:rPr>
            </w:pPr>
            <w:r>
              <w:rPr>
                <w:rFonts w:hint="eastAsia"/>
                <w:b/>
                <w:bCs/>
                <w:sz w:val="21"/>
                <w:szCs w:val="21"/>
              </w:rPr>
              <w:t>评审因素</w:t>
            </w:r>
          </w:p>
        </w:tc>
        <w:tc>
          <w:tcPr>
            <w:tcW w:w="669" w:type="dxa"/>
            <w:vAlign w:val="center"/>
          </w:tcPr>
          <w:p>
            <w:pPr>
              <w:jc w:val="center"/>
              <w:rPr>
                <w:b/>
                <w:bCs/>
                <w:sz w:val="21"/>
                <w:szCs w:val="21"/>
              </w:rPr>
            </w:pPr>
            <w:r>
              <w:rPr>
                <w:rFonts w:hint="eastAsia"/>
                <w:b/>
                <w:bCs/>
                <w:sz w:val="21"/>
                <w:szCs w:val="21"/>
              </w:rPr>
              <w:t>分值</w:t>
            </w:r>
          </w:p>
        </w:tc>
        <w:tc>
          <w:tcPr>
            <w:tcW w:w="3463" w:type="dxa"/>
            <w:vAlign w:val="center"/>
          </w:tcPr>
          <w:p>
            <w:pPr>
              <w:jc w:val="center"/>
              <w:rPr>
                <w:b/>
                <w:bCs/>
                <w:sz w:val="21"/>
                <w:szCs w:val="21"/>
              </w:rPr>
            </w:pPr>
            <w:r>
              <w:rPr>
                <w:b/>
                <w:bCs/>
                <w:sz w:val="21"/>
                <w:szCs w:val="21"/>
              </w:rPr>
              <w:t>评分细则</w:t>
            </w:r>
          </w:p>
        </w:tc>
        <w:tc>
          <w:tcPr>
            <w:tcW w:w="981" w:type="dxa"/>
            <w:vAlign w:val="center"/>
          </w:tcPr>
          <w:p>
            <w:pPr>
              <w:jc w:val="center"/>
              <w:rPr>
                <w:b/>
                <w:bCs/>
                <w:sz w:val="21"/>
                <w:szCs w:val="21"/>
              </w:rPr>
            </w:pPr>
            <w:r>
              <w:rPr>
                <w:b/>
                <w:bCs/>
                <w:sz w:val="21"/>
                <w:szCs w:val="21"/>
              </w:rPr>
              <w:t>自评分</w:t>
            </w:r>
          </w:p>
        </w:tc>
        <w:tc>
          <w:tcPr>
            <w:tcW w:w="1071" w:type="dxa"/>
            <w:vAlign w:val="center"/>
          </w:tcPr>
          <w:p>
            <w:pPr>
              <w:jc w:val="center"/>
              <w:rPr>
                <w:b/>
                <w:bCs/>
                <w:sz w:val="21"/>
                <w:szCs w:val="21"/>
              </w:rPr>
            </w:pPr>
            <w:r>
              <w:rPr>
                <w:b/>
                <w:bCs/>
                <w:sz w:val="21"/>
                <w:szCs w:val="21"/>
              </w:rPr>
              <w:t>自评依据</w:t>
            </w:r>
          </w:p>
        </w:tc>
        <w:tc>
          <w:tcPr>
            <w:tcW w:w="831" w:type="dxa"/>
            <w:vAlign w:val="center"/>
          </w:tcPr>
          <w:p>
            <w:pPr>
              <w:jc w:val="center"/>
              <w:rPr>
                <w:b/>
                <w:bCs/>
                <w:sz w:val="21"/>
                <w:szCs w:val="21"/>
              </w:rPr>
            </w:pPr>
            <w:r>
              <w:rPr>
                <w:b/>
                <w:bCs/>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7"/>
            <w:vAlign w:val="center"/>
          </w:tcPr>
          <w:p>
            <w:pPr>
              <w:jc w:val="center"/>
              <w:rPr>
                <w:b/>
                <w:bCs/>
                <w:sz w:val="21"/>
                <w:szCs w:val="21"/>
              </w:rPr>
            </w:pPr>
            <w:r>
              <w:rPr>
                <w:b/>
                <w:bCs/>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rPr>
            </w:pPr>
          </w:p>
        </w:tc>
        <w:tc>
          <w:tcPr>
            <w:tcW w:w="1971" w:type="dxa"/>
            <w:vAlign w:val="center"/>
          </w:tcPr>
          <w:p>
            <w:pPr>
              <w:jc w:val="center"/>
              <w:rPr>
                <w:b/>
                <w:bCs/>
                <w:sz w:val="21"/>
                <w:szCs w:val="21"/>
              </w:rPr>
            </w:pPr>
          </w:p>
        </w:tc>
        <w:tc>
          <w:tcPr>
            <w:tcW w:w="669" w:type="dxa"/>
            <w:vAlign w:val="center"/>
          </w:tcPr>
          <w:p>
            <w:pPr>
              <w:jc w:val="center"/>
              <w:rPr>
                <w:b/>
                <w:bCs/>
                <w:sz w:val="21"/>
                <w:szCs w:val="21"/>
              </w:rPr>
            </w:pPr>
          </w:p>
        </w:tc>
        <w:tc>
          <w:tcPr>
            <w:tcW w:w="3463" w:type="dxa"/>
            <w:vAlign w:val="center"/>
          </w:tcPr>
          <w:p>
            <w:pPr>
              <w:jc w:val="center"/>
              <w:rPr>
                <w:b/>
                <w:bCs/>
                <w:sz w:val="21"/>
                <w:szCs w:val="21"/>
              </w:rPr>
            </w:pPr>
          </w:p>
        </w:tc>
        <w:tc>
          <w:tcPr>
            <w:tcW w:w="981" w:type="dxa"/>
            <w:vAlign w:val="center"/>
          </w:tcPr>
          <w:p>
            <w:pPr>
              <w:jc w:val="center"/>
              <w:rPr>
                <w:b/>
                <w:bCs/>
                <w:sz w:val="21"/>
                <w:szCs w:val="21"/>
              </w:rPr>
            </w:pPr>
          </w:p>
        </w:tc>
        <w:tc>
          <w:tcPr>
            <w:tcW w:w="1071" w:type="dxa"/>
            <w:vAlign w:val="center"/>
          </w:tcPr>
          <w:p>
            <w:pPr>
              <w:jc w:val="center"/>
              <w:rPr>
                <w:b/>
                <w:bCs/>
                <w:sz w:val="21"/>
                <w:szCs w:val="21"/>
              </w:rPr>
            </w:pPr>
          </w:p>
        </w:tc>
        <w:tc>
          <w:tcPr>
            <w:tcW w:w="831" w:type="dxa"/>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rPr>
            </w:pPr>
          </w:p>
        </w:tc>
        <w:tc>
          <w:tcPr>
            <w:tcW w:w="1971" w:type="dxa"/>
            <w:vAlign w:val="center"/>
          </w:tcPr>
          <w:p>
            <w:pPr>
              <w:jc w:val="center"/>
              <w:rPr>
                <w:b/>
                <w:bCs/>
                <w:sz w:val="21"/>
                <w:szCs w:val="21"/>
              </w:rPr>
            </w:pPr>
          </w:p>
        </w:tc>
        <w:tc>
          <w:tcPr>
            <w:tcW w:w="669" w:type="dxa"/>
            <w:vAlign w:val="center"/>
          </w:tcPr>
          <w:p>
            <w:pPr>
              <w:jc w:val="center"/>
              <w:rPr>
                <w:b/>
                <w:bCs/>
                <w:sz w:val="21"/>
                <w:szCs w:val="21"/>
              </w:rPr>
            </w:pPr>
          </w:p>
        </w:tc>
        <w:tc>
          <w:tcPr>
            <w:tcW w:w="3463" w:type="dxa"/>
            <w:vAlign w:val="center"/>
          </w:tcPr>
          <w:p>
            <w:pPr>
              <w:jc w:val="center"/>
              <w:rPr>
                <w:b/>
                <w:bCs/>
                <w:sz w:val="21"/>
                <w:szCs w:val="21"/>
              </w:rPr>
            </w:pPr>
          </w:p>
        </w:tc>
        <w:tc>
          <w:tcPr>
            <w:tcW w:w="981" w:type="dxa"/>
            <w:vAlign w:val="center"/>
          </w:tcPr>
          <w:p>
            <w:pPr>
              <w:jc w:val="center"/>
              <w:rPr>
                <w:b/>
                <w:bCs/>
                <w:sz w:val="21"/>
                <w:szCs w:val="21"/>
              </w:rPr>
            </w:pPr>
          </w:p>
        </w:tc>
        <w:tc>
          <w:tcPr>
            <w:tcW w:w="1071" w:type="dxa"/>
            <w:vAlign w:val="center"/>
          </w:tcPr>
          <w:p>
            <w:pPr>
              <w:jc w:val="center"/>
              <w:rPr>
                <w:b/>
                <w:bCs/>
                <w:sz w:val="21"/>
                <w:szCs w:val="21"/>
              </w:rPr>
            </w:pPr>
          </w:p>
        </w:tc>
        <w:tc>
          <w:tcPr>
            <w:tcW w:w="831" w:type="dxa"/>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rPr>
            </w:pPr>
          </w:p>
        </w:tc>
        <w:tc>
          <w:tcPr>
            <w:tcW w:w="1971" w:type="dxa"/>
            <w:vAlign w:val="center"/>
          </w:tcPr>
          <w:p>
            <w:pPr>
              <w:jc w:val="center"/>
              <w:rPr>
                <w:b/>
                <w:bCs/>
                <w:sz w:val="21"/>
                <w:szCs w:val="21"/>
              </w:rPr>
            </w:pPr>
          </w:p>
        </w:tc>
        <w:tc>
          <w:tcPr>
            <w:tcW w:w="669" w:type="dxa"/>
            <w:vAlign w:val="center"/>
          </w:tcPr>
          <w:p>
            <w:pPr>
              <w:jc w:val="center"/>
              <w:rPr>
                <w:b/>
                <w:bCs/>
                <w:sz w:val="21"/>
                <w:szCs w:val="21"/>
              </w:rPr>
            </w:pPr>
          </w:p>
        </w:tc>
        <w:tc>
          <w:tcPr>
            <w:tcW w:w="3463" w:type="dxa"/>
            <w:vAlign w:val="center"/>
          </w:tcPr>
          <w:p>
            <w:pPr>
              <w:jc w:val="center"/>
              <w:rPr>
                <w:b/>
                <w:bCs/>
                <w:sz w:val="21"/>
                <w:szCs w:val="21"/>
              </w:rPr>
            </w:pPr>
          </w:p>
        </w:tc>
        <w:tc>
          <w:tcPr>
            <w:tcW w:w="981" w:type="dxa"/>
            <w:vAlign w:val="center"/>
          </w:tcPr>
          <w:p>
            <w:pPr>
              <w:jc w:val="center"/>
              <w:rPr>
                <w:b/>
                <w:bCs/>
                <w:sz w:val="21"/>
                <w:szCs w:val="21"/>
              </w:rPr>
            </w:pPr>
          </w:p>
        </w:tc>
        <w:tc>
          <w:tcPr>
            <w:tcW w:w="1071" w:type="dxa"/>
            <w:vAlign w:val="center"/>
          </w:tcPr>
          <w:p>
            <w:pPr>
              <w:jc w:val="center"/>
              <w:rPr>
                <w:b/>
                <w:bCs/>
                <w:sz w:val="21"/>
                <w:szCs w:val="21"/>
              </w:rPr>
            </w:pPr>
          </w:p>
        </w:tc>
        <w:tc>
          <w:tcPr>
            <w:tcW w:w="831" w:type="dxa"/>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7"/>
            <w:vAlign w:val="center"/>
          </w:tcPr>
          <w:p>
            <w:pPr>
              <w:jc w:val="center"/>
              <w:rPr>
                <w:b/>
                <w:bCs/>
                <w:sz w:val="21"/>
                <w:szCs w:val="21"/>
              </w:rPr>
            </w:pPr>
            <w:r>
              <w:rPr>
                <w:rFonts w:hint="eastAsia"/>
                <w:b/>
                <w:bCs/>
                <w:sz w:val="21"/>
                <w:szCs w:val="21"/>
              </w:rPr>
              <w:t>技术</w:t>
            </w:r>
            <w:r>
              <w:rPr>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rPr>
            </w:pPr>
          </w:p>
        </w:tc>
        <w:tc>
          <w:tcPr>
            <w:tcW w:w="1971" w:type="dxa"/>
            <w:vAlign w:val="center"/>
          </w:tcPr>
          <w:p>
            <w:pPr>
              <w:jc w:val="center"/>
              <w:rPr>
                <w:b/>
                <w:bCs/>
                <w:sz w:val="21"/>
                <w:szCs w:val="21"/>
              </w:rPr>
            </w:pPr>
          </w:p>
        </w:tc>
        <w:tc>
          <w:tcPr>
            <w:tcW w:w="669" w:type="dxa"/>
            <w:vAlign w:val="center"/>
          </w:tcPr>
          <w:p>
            <w:pPr>
              <w:jc w:val="center"/>
              <w:rPr>
                <w:b/>
                <w:bCs/>
                <w:sz w:val="21"/>
                <w:szCs w:val="21"/>
              </w:rPr>
            </w:pPr>
          </w:p>
        </w:tc>
        <w:tc>
          <w:tcPr>
            <w:tcW w:w="3463" w:type="dxa"/>
            <w:vAlign w:val="center"/>
          </w:tcPr>
          <w:p>
            <w:pPr>
              <w:jc w:val="center"/>
              <w:rPr>
                <w:b/>
                <w:bCs/>
                <w:sz w:val="21"/>
                <w:szCs w:val="21"/>
              </w:rPr>
            </w:pPr>
          </w:p>
        </w:tc>
        <w:tc>
          <w:tcPr>
            <w:tcW w:w="981" w:type="dxa"/>
            <w:vAlign w:val="center"/>
          </w:tcPr>
          <w:p>
            <w:pPr>
              <w:jc w:val="center"/>
              <w:rPr>
                <w:b/>
                <w:bCs/>
                <w:sz w:val="21"/>
                <w:szCs w:val="21"/>
              </w:rPr>
            </w:pPr>
          </w:p>
        </w:tc>
        <w:tc>
          <w:tcPr>
            <w:tcW w:w="1071" w:type="dxa"/>
            <w:vAlign w:val="center"/>
          </w:tcPr>
          <w:p>
            <w:pPr>
              <w:jc w:val="center"/>
              <w:rPr>
                <w:b/>
                <w:bCs/>
                <w:sz w:val="21"/>
                <w:szCs w:val="21"/>
              </w:rPr>
            </w:pPr>
          </w:p>
        </w:tc>
        <w:tc>
          <w:tcPr>
            <w:tcW w:w="831" w:type="dxa"/>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rPr>
            </w:pPr>
          </w:p>
        </w:tc>
        <w:tc>
          <w:tcPr>
            <w:tcW w:w="1971" w:type="dxa"/>
            <w:vAlign w:val="center"/>
          </w:tcPr>
          <w:p>
            <w:pPr>
              <w:jc w:val="center"/>
              <w:rPr>
                <w:b/>
                <w:bCs/>
                <w:sz w:val="21"/>
                <w:szCs w:val="21"/>
              </w:rPr>
            </w:pPr>
          </w:p>
        </w:tc>
        <w:tc>
          <w:tcPr>
            <w:tcW w:w="669" w:type="dxa"/>
            <w:vAlign w:val="center"/>
          </w:tcPr>
          <w:p>
            <w:pPr>
              <w:jc w:val="center"/>
              <w:rPr>
                <w:b/>
                <w:bCs/>
                <w:sz w:val="21"/>
                <w:szCs w:val="21"/>
              </w:rPr>
            </w:pPr>
          </w:p>
        </w:tc>
        <w:tc>
          <w:tcPr>
            <w:tcW w:w="3463" w:type="dxa"/>
            <w:vAlign w:val="center"/>
          </w:tcPr>
          <w:p>
            <w:pPr>
              <w:jc w:val="center"/>
              <w:rPr>
                <w:b/>
                <w:bCs/>
                <w:sz w:val="21"/>
                <w:szCs w:val="21"/>
              </w:rPr>
            </w:pPr>
          </w:p>
        </w:tc>
        <w:tc>
          <w:tcPr>
            <w:tcW w:w="981" w:type="dxa"/>
            <w:vAlign w:val="center"/>
          </w:tcPr>
          <w:p>
            <w:pPr>
              <w:jc w:val="center"/>
              <w:rPr>
                <w:b/>
                <w:bCs/>
                <w:sz w:val="21"/>
                <w:szCs w:val="21"/>
              </w:rPr>
            </w:pPr>
          </w:p>
        </w:tc>
        <w:tc>
          <w:tcPr>
            <w:tcW w:w="1071" w:type="dxa"/>
            <w:vAlign w:val="center"/>
          </w:tcPr>
          <w:p>
            <w:pPr>
              <w:jc w:val="center"/>
              <w:rPr>
                <w:b/>
                <w:bCs/>
                <w:sz w:val="21"/>
                <w:szCs w:val="21"/>
              </w:rPr>
            </w:pPr>
          </w:p>
        </w:tc>
        <w:tc>
          <w:tcPr>
            <w:tcW w:w="831" w:type="dxa"/>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rPr>
            </w:pPr>
          </w:p>
        </w:tc>
        <w:tc>
          <w:tcPr>
            <w:tcW w:w="1971" w:type="dxa"/>
            <w:vAlign w:val="center"/>
          </w:tcPr>
          <w:p>
            <w:pPr>
              <w:jc w:val="center"/>
              <w:rPr>
                <w:b/>
                <w:bCs/>
                <w:sz w:val="21"/>
                <w:szCs w:val="21"/>
              </w:rPr>
            </w:pPr>
          </w:p>
        </w:tc>
        <w:tc>
          <w:tcPr>
            <w:tcW w:w="669" w:type="dxa"/>
            <w:vAlign w:val="center"/>
          </w:tcPr>
          <w:p>
            <w:pPr>
              <w:jc w:val="center"/>
              <w:rPr>
                <w:b/>
                <w:bCs/>
                <w:sz w:val="21"/>
                <w:szCs w:val="21"/>
              </w:rPr>
            </w:pPr>
          </w:p>
        </w:tc>
        <w:tc>
          <w:tcPr>
            <w:tcW w:w="3463" w:type="dxa"/>
            <w:vAlign w:val="center"/>
          </w:tcPr>
          <w:p>
            <w:pPr>
              <w:jc w:val="center"/>
              <w:rPr>
                <w:b/>
                <w:bCs/>
                <w:sz w:val="21"/>
                <w:szCs w:val="21"/>
              </w:rPr>
            </w:pPr>
          </w:p>
        </w:tc>
        <w:tc>
          <w:tcPr>
            <w:tcW w:w="981" w:type="dxa"/>
            <w:vAlign w:val="center"/>
          </w:tcPr>
          <w:p>
            <w:pPr>
              <w:jc w:val="center"/>
              <w:rPr>
                <w:b/>
                <w:bCs/>
                <w:sz w:val="21"/>
                <w:szCs w:val="21"/>
              </w:rPr>
            </w:pPr>
          </w:p>
        </w:tc>
        <w:tc>
          <w:tcPr>
            <w:tcW w:w="1071" w:type="dxa"/>
            <w:vAlign w:val="center"/>
          </w:tcPr>
          <w:p>
            <w:pPr>
              <w:jc w:val="center"/>
              <w:rPr>
                <w:b/>
                <w:bCs/>
                <w:sz w:val="21"/>
                <w:szCs w:val="21"/>
              </w:rPr>
            </w:pPr>
          </w:p>
        </w:tc>
        <w:tc>
          <w:tcPr>
            <w:tcW w:w="831" w:type="dxa"/>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rPr>
            </w:pPr>
          </w:p>
        </w:tc>
        <w:tc>
          <w:tcPr>
            <w:tcW w:w="1971" w:type="dxa"/>
            <w:vAlign w:val="center"/>
          </w:tcPr>
          <w:p>
            <w:pPr>
              <w:jc w:val="center"/>
              <w:rPr>
                <w:b/>
                <w:bCs/>
                <w:sz w:val="21"/>
                <w:szCs w:val="21"/>
              </w:rPr>
            </w:pPr>
          </w:p>
        </w:tc>
        <w:tc>
          <w:tcPr>
            <w:tcW w:w="669" w:type="dxa"/>
            <w:vAlign w:val="center"/>
          </w:tcPr>
          <w:p>
            <w:pPr>
              <w:jc w:val="center"/>
              <w:rPr>
                <w:b/>
                <w:bCs/>
                <w:sz w:val="21"/>
                <w:szCs w:val="21"/>
              </w:rPr>
            </w:pPr>
          </w:p>
        </w:tc>
        <w:tc>
          <w:tcPr>
            <w:tcW w:w="3463" w:type="dxa"/>
            <w:vAlign w:val="center"/>
          </w:tcPr>
          <w:p>
            <w:pPr>
              <w:jc w:val="center"/>
              <w:rPr>
                <w:b/>
                <w:bCs/>
                <w:sz w:val="21"/>
                <w:szCs w:val="21"/>
              </w:rPr>
            </w:pPr>
          </w:p>
        </w:tc>
        <w:tc>
          <w:tcPr>
            <w:tcW w:w="981" w:type="dxa"/>
            <w:vAlign w:val="center"/>
          </w:tcPr>
          <w:p>
            <w:pPr>
              <w:jc w:val="center"/>
              <w:rPr>
                <w:b/>
                <w:bCs/>
                <w:sz w:val="21"/>
                <w:szCs w:val="21"/>
              </w:rPr>
            </w:pPr>
          </w:p>
        </w:tc>
        <w:tc>
          <w:tcPr>
            <w:tcW w:w="1071" w:type="dxa"/>
            <w:vAlign w:val="center"/>
          </w:tcPr>
          <w:p>
            <w:pPr>
              <w:jc w:val="center"/>
              <w:rPr>
                <w:b/>
                <w:bCs/>
                <w:sz w:val="21"/>
                <w:szCs w:val="21"/>
              </w:rPr>
            </w:pPr>
          </w:p>
        </w:tc>
        <w:tc>
          <w:tcPr>
            <w:tcW w:w="831" w:type="dxa"/>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rPr>
            </w:pPr>
          </w:p>
        </w:tc>
        <w:tc>
          <w:tcPr>
            <w:tcW w:w="1971" w:type="dxa"/>
            <w:vAlign w:val="center"/>
          </w:tcPr>
          <w:p>
            <w:pPr>
              <w:jc w:val="center"/>
              <w:rPr>
                <w:b/>
                <w:bCs/>
                <w:sz w:val="21"/>
                <w:szCs w:val="21"/>
              </w:rPr>
            </w:pPr>
          </w:p>
        </w:tc>
        <w:tc>
          <w:tcPr>
            <w:tcW w:w="669" w:type="dxa"/>
            <w:vAlign w:val="center"/>
          </w:tcPr>
          <w:p>
            <w:pPr>
              <w:jc w:val="center"/>
              <w:rPr>
                <w:b/>
                <w:bCs/>
                <w:sz w:val="21"/>
                <w:szCs w:val="21"/>
              </w:rPr>
            </w:pPr>
          </w:p>
        </w:tc>
        <w:tc>
          <w:tcPr>
            <w:tcW w:w="3463" w:type="dxa"/>
            <w:vAlign w:val="center"/>
          </w:tcPr>
          <w:p>
            <w:pPr>
              <w:jc w:val="center"/>
              <w:rPr>
                <w:b/>
                <w:bCs/>
                <w:sz w:val="21"/>
                <w:szCs w:val="21"/>
              </w:rPr>
            </w:pPr>
          </w:p>
        </w:tc>
        <w:tc>
          <w:tcPr>
            <w:tcW w:w="981" w:type="dxa"/>
            <w:vAlign w:val="center"/>
          </w:tcPr>
          <w:p>
            <w:pPr>
              <w:jc w:val="center"/>
              <w:rPr>
                <w:b/>
                <w:bCs/>
                <w:sz w:val="21"/>
                <w:szCs w:val="21"/>
              </w:rPr>
            </w:pPr>
          </w:p>
        </w:tc>
        <w:tc>
          <w:tcPr>
            <w:tcW w:w="1071" w:type="dxa"/>
            <w:vAlign w:val="center"/>
          </w:tcPr>
          <w:p>
            <w:pPr>
              <w:jc w:val="center"/>
              <w:rPr>
                <w:b/>
                <w:bCs/>
                <w:sz w:val="21"/>
                <w:szCs w:val="21"/>
              </w:rPr>
            </w:pPr>
          </w:p>
        </w:tc>
        <w:tc>
          <w:tcPr>
            <w:tcW w:w="831" w:type="dxa"/>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rPr>
            </w:pPr>
          </w:p>
        </w:tc>
        <w:tc>
          <w:tcPr>
            <w:tcW w:w="1971" w:type="dxa"/>
            <w:vAlign w:val="center"/>
          </w:tcPr>
          <w:p>
            <w:pPr>
              <w:jc w:val="center"/>
              <w:rPr>
                <w:b/>
                <w:bCs/>
                <w:sz w:val="21"/>
                <w:szCs w:val="21"/>
              </w:rPr>
            </w:pPr>
          </w:p>
        </w:tc>
        <w:tc>
          <w:tcPr>
            <w:tcW w:w="669" w:type="dxa"/>
            <w:vAlign w:val="center"/>
          </w:tcPr>
          <w:p>
            <w:pPr>
              <w:jc w:val="center"/>
              <w:rPr>
                <w:b/>
                <w:bCs/>
                <w:sz w:val="21"/>
                <w:szCs w:val="21"/>
              </w:rPr>
            </w:pPr>
          </w:p>
        </w:tc>
        <w:tc>
          <w:tcPr>
            <w:tcW w:w="3463" w:type="dxa"/>
            <w:vAlign w:val="center"/>
          </w:tcPr>
          <w:p>
            <w:pPr>
              <w:jc w:val="center"/>
              <w:rPr>
                <w:b/>
                <w:bCs/>
                <w:sz w:val="21"/>
                <w:szCs w:val="21"/>
              </w:rPr>
            </w:pPr>
          </w:p>
        </w:tc>
        <w:tc>
          <w:tcPr>
            <w:tcW w:w="981" w:type="dxa"/>
            <w:vAlign w:val="center"/>
          </w:tcPr>
          <w:p>
            <w:pPr>
              <w:jc w:val="center"/>
              <w:rPr>
                <w:b/>
                <w:bCs/>
                <w:sz w:val="21"/>
                <w:szCs w:val="21"/>
              </w:rPr>
            </w:pPr>
          </w:p>
        </w:tc>
        <w:tc>
          <w:tcPr>
            <w:tcW w:w="1071" w:type="dxa"/>
            <w:vAlign w:val="center"/>
          </w:tcPr>
          <w:p>
            <w:pPr>
              <w:jc w:val="center"/>
              <w:rPr>
                <w:b/>
                <w:bCs/>
                <w:sz w:val="21"/>
                <w:szCs w:val="21"/>
              </w:rPr>
            </w:pPr>
          </w:p>
        </w:tc>
        <w:tc>
          <w:tcPr>
            <w:tcW w:w="831" w:type="dxa"/>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sz w:val="21"/>
                <w:szCs w:val="21"/>
              </w:rPr>
            </w:pPr>
          </w:p>
        </w:tc>
        <w:tc>
          <w:tcPr>
            <w:tcW w:w="1971" w:type="dxa"/>
            <w:vAlign w:val="center"/>
          </w:tcPr>
          <w:p>
            <w:pPr>
              <w:jc w:val="center"/>
              <w:rPr>
                <w:b/>
                <w:bCs/>
                <w:sz w:val="21"/>
                <w:szCs w:val="21"/>
              </w:rPr>
            </w:pPr>
          </w:p>
        </w:tc>
        <w:tc>
          <w:tcPr>
            <w:tcW w:w="669" w:type="dxa"/>
            <w:vAlign w:val="center"/>
          </w:tcPr>
          <w:p>
            <w:pPr>
              <w:jc w:val="center"/>
              <w:rPr>
                <w:b/>
                <w:bCs/>
                <w:sz w:val="21"/>
                <w:szCs w:val="21"/>
              </w:rPr>
            </w:pPr>
          </w:p>
        </w:tc>
        <w:tc>
          <w:tcPr>
            <w:tcW w:w="3463" w:type="dxa"/>
            <w:vAlign w:val="center"/>
          </w:tcPr>
          <w:p>
            <w:pPr>
              <w:jc w:val="center"/>
              <w:rPr>
                <w:b/>
                <w:bCs/>
                <w:sz w:val="21"/>
                <w:szCs w:val="21"/>
              </w:rPr>
            </w:pPr>
          </w:p>
        </w:tc>
        <w:tc>
          <w:tcPr>
            <w:tcW w:w="981" w:type="dxa"/>
            <w:vAlign w:val="center"/>
          </w:tcPr>
          <w:p>
            <w:pPr>
              <w:jc w:val="center"/>
              <w:rPr>
                <w:b/>
                <w:bCs/>
                <w:sz w:val="21"/>
                <w:szCs w:val="21"/>
              </w:rPr>
            </w:pPr>
          </w:p>
        </w:tc>
        <w:tc>
          <w:tcPr>
            <w:tcW w:w="1071" w:type="dxa"/>
            <w:vAlign w:val="center"/>
          </w:tcPr>
          <w:p>
            <w:pPr>
              <w:jc w:val="center"/>
              <w:rPr>
                <w:b/>
                <w:bCs/>
                <w:sz w:val="21"/>
                <w:szCs w:val="21"/>
              </w:rPr>
            </w:pPr>
          </w:p>
        </w:tc>
        <w:tc>
          <w:tcPr>
            <w:tcW w:w="831" w:type="dxa"/>
            <w:vAlign w:val="center"/>
          </w:tcPr>
          <w:p>
            <w:pPr>
              <w:jc w:val="center"/>
              <w:rPr>
                <w:b/>
                <w:bCs/>
                <w:sz w:val="21"/>
                <w:szCs w:val="21"/>
              </w:rPr>
            </w:pPr>
          </w:p>
        </w:tc>
      </w:tr>
    </w:tbl>
    <w:p>
      <w:pPr>
        <w:spacing w:line="360" w:lineRule="auto"/>
        <w:rPr>
          <w:rFonts w:ascii="宋体" w:hAnsi="宋体"/>
          <w:spacing w:val="-6"/>
          <w:sz w:val="21"/>
          <w:szCs w:val="21"/>
        </w:rPr>
      </w:pPr>
    </w:p>
    <w:p>
      <w:pPr>
        <w:spacing w:line="360" w:lineRule="auto"/>
        <w:ind w:firstLine="398" w:firstLineChars="200"/>
        <w:rPr>
          <w:rFonts w:ascii="宋体" w:hAnsi="宋体"/>
          <w:b/>
          <w:bCs/>
          <w:spacing w:val="-6"/>
          <w:sz w:val="21"/>
          <w:szCs w:val="21"/>
        </w:rPr>
      </w:pPr>
      <w:r>
        <w:rPr>
          <w:rFonts w:hint="eastAsia" w:ascii="宋体" w:hAnsi="宋体"/>
          <w:b/>
          <w:bCs/>
          <w:spacing w:val="-6"/>
          <w:sz w:val="21"/>
          <w:szCs w:val="21"/>
        </w:rPr>
        <w:t>备注：本表仅为方便磋商小组评审使用，不作为判别响应文件是否有效的依据。</w:t>
      </w:r>
    </w:p>
    <w:p>
      <w:pPr>
        <w:spacing w:line="360" w:lineRule="auto"/>
        <w:jc w:val="center"/>
        <w:outlineLvl w:val="1"/>
        <w:rPr>
          <w:rFonts w:ascii="宋体" w:hAnsi="宋体"/>
          <w:b/>
          <w:spacing w:val="-6"/>
          <w:sz w:val="52"/>
          <w:szCs w:val="52"/>
        </w:rPr>
      </w:pPr>
      <w:r>
        <w:rPr>
          <w:rFonts w:ascii="宋体" w:hAnsi="宋体"/>
          <w:bCs/>
          <w:spacing w:val="-6"/>
          <w:sz w:val="24"/>
        </w:rPr>
        <w:br w:type="page"/>
      </w:r>
      <w:bookmarkStart w:id="70" w:name="_Toc17986"/>
      <w:bookmarkStart w:id="71" w:name="_Toc12900"/>
      <w:r>
        <w:rPr>
          <w:rFonts w:hint="eastAsia" w:ascii="宋体" w:hAnsi="宋体"/>
          <w:b/>
          <w:spacing w:val="-6"/>
          <w:sz w:val="52"/>
          <w:szCs w:val="52"/>
        </w:rPr>
        <w:t>报价文件</w:t>
      </w:r>
      <w:bookmarkEnd w:id="70"/>
      <w:bookmarkEnd w:id="71"/>
    </w:p>
    <w:p>
      <w:pPr>
        <w:spacing w:line="360" w:lineRule="auto"/>
        <w:jc w:val="center"/>
        <w:outlineLvl w:val="2"/>
        <w:rPr>
          <w:rFonts w:ascii="宋体" w:hAnsi="宋体"/>
          <w:b/>
          <w:spacing w:val="-6"/>
          <w:sz w:val="24"/>
        </w:rPr>
      </w:pPr>
      <w:r>
        <w:rPr>
          <w:rFonts w:hint="eastAsia" w:ascii="宋体" w:hAnsi="宋体"/>
          <w:b/>
          <w:spacing w:val="-6"/>
          <w:sz w:val="24"/>
        </w:rPr>
        <w:t>初次报价一览表</w:t>
      </w:r>
    </w:p>
    <w:p>
      <w:pPr>
        <w:spacing w:line="360" w:lineRule="auto"/>
        <w:rPr>
          <w:rFonts w:ascii="宋体" w:hAnsi="宋体"/>
          <w:spacing w:val="-6"/>
          <w:sz w:val="24"/>
        </w:rPr>
      </w:pPr>
      <w:r>
        <w:rPr>
          <w:rFonts w:hint="eastAsia" w:ascii="宋体" w:hAnsi="宋体"/>
          <w:spacing w:val="-6"/>
          <w:sz w:val="24"/>
        </w:rPr>
        <w:t>项目编号：QSZB-Z(H)-C19291(CS)</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b/>
                <w:bCs/>
                <w:sz w:val="21"/>
                <w:szCs w:val="21"/>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t>金额大写：        ，小写：</w:t>
            </w:r>
          </w:p>
          <w:p>
            <w:pPr>
              <w:rPr>
                <w:rFonts w:ascii="宋体" w:hAnsi="宋体" w:cs="宋体"/>
                <w:sz w:val="21"/>
                <w:szCs w:val="21"/>
              </w:rPr>
            </w:pPr>
          </w:p>
          <w:p>
            <w:pPr>
              <w:rPr>
                <w:rFonts w:ascii="宋体" w:hAnsi="宋体" w:cs="宋体"/>
                <w:b/>
                <w:bCs/>
                <w:sz w:val="21"/>
                <w:szCs w:val="21"/>
              </w:rPr>
            </w:pPr>
            <w:r>
              <w:rPr>
                <w:rFonts w:hint="eastAsia" w:ascii="宋体" w:hAnsi="宋体" w:cs="宋体"/>
                <w:b/>
                <w:bCs/>
                <w:sz w:val="21"/>
                <w:szCs w:val="21"/>
              </w:rPr>
              <w:t>单位：人民币元</w:t>
            </w:r>
          </w:p>
          <w:p>
            <w:pPr>
              <w:pStyle w:val="78"/>
              <w:rPr>
                <w:color w:val="auto"/>
              </w:rPr>
            </w:pPr>
          </w:p>
          <w:p>
            <w:pPr>
              <w:pStyle w:val="13"/>
              <w:spacing w:beforeLines="0" w:afterLines="0" w:line="288" w:lineRule="auto"/>
              <w:jc w:val="left"/>
              <w:rPr>
                <w:rFonts w:hAnsi="宋体" w:cs="宋体"/>
                <w:sz w:val="21"/>
                <w:szCs w:val="21"/>
                <w:lang w:val="en-US"/>
              </w:rPr>
            </w:pPr>
            <w:r>
              <w:rPr>
                <w:rFonts w:hint="eastAsia" w:hAnsi="宋体"/>
                <w:b/>
                <w:bCs/>
                <w:spacing w:val="-6"/>
                <w:sz w:val="21"/>
                <w:szCs w:val="21"/>
                <w:lang w:val="en-US"/>
              </w:rPr>
              <w:t>最后磋商</w:t>
            </w:r>
            <w:r>
              <w:rPr>
                <w:rFonts w:hAnsi="宋体"/>
                <w:b/>
                <w:bCs/>
                <w:spacing w:val="-6"/>
                <w:sz w:val="21"/>
                <w:szCs w:val="21"/>
                <w:lang w:val="en-US"/>
              </w:rPr>
              <w:t>报价是履行合同的最终价格，应包括</w:t>
            </w:r>
            <w:r>
              <w:rPr>
                <w:rFonts w:hint="eastAsia" w:hAnsi="宋体"/>
                <w:b/>
                <w:bCs/>
                <w:spacing w:val="-6"/>
                <w:sz w:val="21"/>
                <w:szCs w:val="21"/>
                <w:lang w:val="en-US"/>
              </w:rPr>
              <w:t>完成所有产品供货及履行所有规定服务所产生的全部税费。</w:t>
            </w:r>
          </w:p>
        </w:tc>
      </w:tr>
    </w:tbl>
    <w:p>
      <w:pPr>
        <w:spacing w:line="360" w:lineRule="auto"/>
        <w:jc w:val="left"/>
        <w:rPr>
          <w:rFonts w:ascii="宋体" w:hAnsi="宋体"/>
          <w:b/>
          <w:spacing w:val="-6"/>
          <w:sz w:val="21"/>
          <w:szCs w:val="21"/>
        </w:rPr>
      </w:pPr>
    </w:p>
    <w:p>
      <w:pPr>
        <w:pStyle w:val="78"/>
        <w:spacing w:line="360" w:lineRule="auto"/>
        <w:rPr>
          <w:color w:val="auto"/>
        </w:rPr>
      </w:pPr>
    </w:p>
    <w:p>
      <w:pPr>
        <w:spacing w:line="360" w:lineRule="auto"/>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pStyle w:val="13"/>
        <w:spacing w:beforeLines="0" w:afterLines="0" w:line="360" w:lineRule="auto"/>
        <w:rPr>
          <w:rFonts w:hAnsi="宋体"/>
          <w:bCs/>
          <w:spacing w:val="-6"/>
        </w:rPr>
      </w:pPr>
      <w:r>
        <w:rPr>
          <w:rFonts w:hint="eastAsia" w:hAnsi="宋体"/>
          <w:bCs/>
          <w:spacing w:val="-6"/>
        </w:rPr>
        <w:t>日期：     年   月   日</w:t>
      </w:r>
    </w:p>
    <w:p>
      <w:pPr>
        <w:pStyle w:val="13"/>
        <w:spacing w:beforeLines="0" w:afterLines="0" w:line="360" w:lineRule="auto"/>
        <w:jc w:val="center"/>
        <w:outlineLvl w:val="2"/>
        <w:rPr>
          <w:rFonts w:hAnsi="宋体"/>
          <w:b/>
          <w:spacing w:val="-6"/>
        </w:rPr>
      </w:pPr>
      <w:r>
        <w:rPr>
          <w:rFonts w:hAnsi="宋体"/>
          <w:b/>
          <w:spacing w:val="-6"/>
        </w:rPr>
        <w:br w:type="page"/>
      </w:r>
      <w:r>
        <w:rPr>
          <w:rFonts w:hint="eastAsia" w:hAnsi="宋体"/>
          <w:b/>
          <w:spacing w:val="-6"/>
        </w:rPr>
        <w:t>初次</w:t>
      </w:r>
      <w:r>
        <w:rPr>
          <w:rFonts w:hAnsi="宋体"/>
          <w:b/>
          <w:spacing w:val="-6"/>
        </w:rPr>
        <w:t>报价明细表</w:t>
      </w:r>
    </w:p>
    <w:p>
      <w:pPr>
        <w:pStyle w:val="13"/>
        <w:spacing w:beforeLines="0" w:afterLines="0" w:line="360" w:lineRule="auto"/>
        <w:ind w:right="342"/>
        <w:jc w:val="right"/>
        <w:rPr>
          <w:rFonts w:hAnsi="宋体"/>
          <w:b/>
          <w:bCs/>
          <w:spacing w:val="-6"/>
          <w:sz w:val="21"/>
          <w:szCs w:val="21"/>
        </w:rPr>
      </w:pPr>
      <w:r>
        <w:rPr>
          <w:rFonts w:hAnsi="宋体"/>
          <w:b/>
          <w:bCs/>
          <w:spacing w:val="-6"/>
          <w:sz w:val="21"/>
          <w:szCs w:val="21"/>
        </w:rPr>
        <w:t>金额单位：</w:t>
      </w:r>
      <w:r>
        <w:rPr>
          <w:rFonts w:hint="eastAsia" w:hAnsi="宋体"/>
          <w:b/>
          <w:bCs/>
          <w:spacing w:val="-6"/>
          <w:sz w:val="21"/>
          <w:szCs w:val="21"/>
        </w:rPr>
        <w:t>人民币元</w:t>
      </w:r>
    </w:p>
    <w:tbl>
      <w:tblPr>
        <w:tblStyle w:val="23"/>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43"/>
        <w:gridCol w:w="1012"/>
        <w:gridCol w:w="1012"/>
        <w:gridCol w:w="1267"/>
        <w:gridCol w:w="757"/>
        <w:gridCol w:w="1012"/>
        <w:gridCol w:w="1012"/>
        <w:gridCol w:w="10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r>
              <w:rPr>
                <w:rFonts w:hint="eastAsia" w:ascii="宋体" w:hAnsi="宋体" w:cs="宋体"/>
                <w:b/>
                <w:bCs/>
                <w:sz w:val="21"/>
                <w:szCs w:val="21"/>
              </w:rPr>
              <w:t>货物名称</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厂家</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品牌</w:t>
            </w: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规格型号</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产地</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数量</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单价</w:t>
            </w: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40"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磋商响应总价：</w:t>
            </w:r>
          </w:p>
        </w:tc>
      </w:tr>
    </w:tbl>
    <w:p>
      <w:pPr>
        <w:spacing w:line="360" w:lineRule="auto"/>
        <w:rPr>
          <w:rFonts w:ascii="宋体" w:hAnsi="宋体"/>
          <w:spacing w:val="-6"/>
          <w:sz w:val="24"/>
        </w:rPr>
      </w:pPr>
    </w:p>
    <w:p>
      <w:pPr>
        <w:spacing w:line="360" w:lineRule="auto"/>
        <w:rPr>
          <w:rFonts w:ascii="宋体" w:hAnsi="宋体"/>
          <w:spacing w:val="-6"/>
          <w:sz w:val="24"/>
        </w:rPr>
      </w:pPr>
    </w:p>
    <w:p>
      <w:pPr>
        <w:pStyle w:val="78"/>
        <w:spacing w:line="360" w:lineRule="auto"/>
        <w:rPr>
          <w:color w:val="auto"/>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pStyle w:val="18"/>
        <w:spacing w:line="360" w:lineRule="auto"/>
        <w:ind w:left="456" w:hanging="456"/>
        <w:rPr>
          <w:rFonts w:ascii="宋体" w:hAnsi="宋体"/>
          <w:bCs/>
          <w:spacing w:val="-6"/>
          <w:sz w:val="24"/>
        </w:rPr>
      </w:pPr>
      <w:r>
        <w:rPr>
          <w:rFonts w:hint="eastAsia" w:ascii="宋体" w:hAnsi="宋体"/>
          <w:bCs/>
          <w:spacing w:val="-6"/>
          <w:sz w:val="24"/>
        </w:rPr>
        <w:t>日期：     年   月   日</w:t>
      </w:r>
    </w:p>
    <w:p>
      <w:pPr>
        <w:pStyle w:val="18"/>
        <w:spacing w:line="360" w:lineRule="auto"/>
        <w:ind w:left="0" w:firstLine="0" w:firstLineChars="0"/>
        <w:jc w:val="center"/>
        <w:outlineLvl w:val="2"/>
        <w:rPr>
          <w:rFonts w:ascii="宋体" w:hAnsi="宋体"/>
          <w:b/>
          <w:spacing w:val="-6"/>
          <w:sz w:val="24"/>
        </w:rPr>
      </w:pPr>
      <w:r>
        <w:rPr>
          <w:rFonts w:hint="eastAsia" w:ascii="宋体" w:hAnsi="宋体"/>
          <w:b/>
          <w:spacing w:val="-6"/>
          <w:sz w:val="24"/>
        </w:rPr>
        <w:br w:type="page"/>
      </w:r>
      <w:r>
        <w:rPr>
          <w:rFonts w:hint="eastAsia" w:ascii="宋体" w:hAnsi="宋体"/>
          <w:b/>
          <w:spacing w:val="-6"/>
          <w:sz w:val="24"/>
        </w:rPr>
        <w:t>供应商企业类型声明函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w:t>
      </w:r>
      <w:r>
        <w:rPr>
          <w:rFonts w:hint="eastAsia" w:ascii="宋体" w:hAnsi="宋体"/>
          <w:sz w:val="24"/>
        </w:rPr>
        <w:t>2011</w:t>
      </w:r>
      <w:r>
        <w:rPr>
          <w:rFonts w:ascii="宋体" w:hAnsi="宋体"/>
          <w:sz w:val="24"/>
        </w:rPr>
        <w:t>]</w:t>
      </w:r>
      <w:r>
        <w:rPr>
          <w:rFonts w:hint="eastAsia" w:ascii="宋体" w:hAnsi="宋体"/>
          <w:sz w:val="24"/>
        </w:rPr>
        <w:t>181号）的规定，本公司为______（请填写：大型、中型、小型、微型）企业。即，本公司同时满足以下条件：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sz w:val="24"/>
        </w:rPr>
      </w:pPr>
      <w:r>
        <w:rPr>
          <w:rFonts w:ascii="宋体" w:hAnsi="宋体"/>
          <w:sz w:val="24"/>
        </w:rPr>
        <w:t>2.</w:t>
      </w:r>
      <w:r>
        <w:rPr>
          <w:rFonts w:hint="eastAsia" w:ascii="宋体" w:hAnsi="宋体"/>
          <w:sz w:val="24"/>
        </w:rPr>
        <w:t>本公司参加</w:t>
      </w:r>
      <w:r>
        <w:rPr>
          <w:rFonts w:hint="eastAsia" w:ascii="宋体" w:hAnsi="宋体"/>
          <w:bCs/>
          <w:sz w:val="24"/>
        </w:rPr>
        <w:t>中国美术学院创新设计学院良渚校区智能展厅设备一批</w:t>
      </w:r>
      <w:r>
        <w:rPr>
          <w:rFonts w:hint="eastAsia" w:ascii="宋体" w:hAnsi="宋体"/>
          <w:sz w:val="24"/>
        </w:rPr>
        <w:t>采购活动（按响应形式选择填写）：</w:t>
      </w:r>
    </w:p>
    <w:p>
      <w:pPr>
        <w:spacing w:line="360" w:lineRule="auto"/>
        <w:ind w:firstLine="480" w:firstLineChars="200"/>
        <w:rPr>
          <w:rFonts w:ascii="宋体" w:hAnsi="宋体"/>
          <w:sz w:val="24"/>
        </w:rPr>
      </w:pPr>
      <w:r>
        <w:rPr>
          <w:rFonts w:hint="eastAsia" w:ascii="宋体" w:hAnsi="宋体"/>
          <w:sz w:val="24"/>
        </w:rPr>
        <w:t>（1）□本公司为直接供应商提供本企业制造的货物。</w:t>
      </w:r>
    </w:p>
    <w:p>
      <w:pPr>
        <w:spacing w:line="360" w:lineRule="auto"/>
        <w:ind w:firstLine="480" w:firstLineChars="200"/>
        <w:rPr>
          <w:rFonts w:ascii="宋体" w:hAnsi="宋体"/>
          <w:sz w:val="24"/>
        </w:rPr>
      </w:pPr>
      <w:r>
        <w:rPr>
          <w:rFonts w:hint="eastAsia" w:ascii="宋体" w:hAnsi="宋体"/>
          <w:sz w:val="24"/>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right="-1089" w:rightChars="-389"/>
        <w:rPr>
          <w:rFonts w:ascii="宋体" w:hAnsi="宋体"/>
          <w:spacing w:val="-6"/>
          <w:sz w:val="24"/>
        </w:rPr>
      </w:pPr>
      <w:r>
        <w:rPr>
          <w:rFonts w:hint="eastAsia" w:ascii="宋体" w:hAnsi="宋体"/>
          <w:spacing w:val="-6"/>
          <w:sz w:val="24"/>
        </w:rPr>
        <w:t>供应商名称（盖章）：</w:t>
      </w:r>
    </w:p>
    <w:p>
      <w:pPr>
        <w:spacing w:line="360" w:lineRule="auto"/>
        <w:ind w:right="-1089" w:rightChars="-389"/>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jc w:val="center"/>
        <w:outlineLvl w:val="2"/>
        <w:rPr>
          <w:rFonts w:ascii="宋体" w:hAnsi="宋体"/>
          <w:b/>
          <w:bCs/>
          <w:sz w:val="24"/>
        </w:rPr>
      </w:pPr>
      <w:r>
        <w:rPr>
          <w:rFonts w:ascii="宋体" w:hAnsi="宋体"/>
          <w:b/>
          <w:bCs/>
          <w:sz w:val="24"/>
        </w:rPr>
        <w:br w:type="page"/>
      </w:r>
      <w:r>
        <w:rPr>
          <w:rFonts w:hint="eastAsia" w:ascii="宋体" w:hAnsi="宋体"/>
          <w:b/>
          <w:bCs/>
          <w:sz w:val="24"/>
        </w:rPr>
        <w:t>小微企业资格证明材料</w:t>
      </w:r>
    </w:p>
    <w:p>
      <w:pPr>
        <w:spacing w:line="360" w:lineRule="auto"/>
        <w:rPr>
          <w:rFonts w:ascii="宋体" w:hAnsi="宋体"/>
          <w:b/>
          <w:bCs/>
          <w:sz w:val="21"/>
          <w:szCs w:val="21"/>
        </w:rPr>
      </w:pPr>
    </w:p>
    <w:p>
      <w:pPr>
        <w:spacing w:line="360" w:lineRule="auto"/>
        <w:rPr>
          <w:rFonts w:ascii="宋体" w:hAnsi="宋体"/>
          <w:b/>
          <w:bCs/>
          <w:sz w:val="21"/>
          <w:szCs w:val="21"/>
        </w:rPr>
      </w:pPr>
    </w:p>
    <w:p>
      <w:pPr>
        <w:pStyle w:val="81"/>
        <w:spacing w:line="360" w:lineRule="auto"/>
        <w:ind w:left="0"/>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jc w:val="left"/>
        <w:rPr>
          <w:rFonts w:ascii="宋体" w:hAnsi="宋体"/>
          <w:b/>
          <w:bCs/>
          <w:sz w:val="21"/>
          <w:szCs w:val="21"/>
        </w:rPr>
      </w:pPr>
      <w:r>
        <w:rPr>
          <w:rFonts w:hint="eastAsia" w:ascii="宋体" w:hAnsi="宋体"/>
          <w:b/>
          <w:bCs/>
          <w:sz w:val="21"/>
          <w:szCs w:val="21"/>
        </w:rPr>
        <w:t>1.磋商小组将依据“供应商企业类型声明函”及小微企业资格证明材料评定供应商的企业类型；</w:t>
      </w:r>
    </w:p>
    <w:p>
      <w:pPr>
        <w:spacing w:line="360" w:lineRule="auto"/>
        <w:jc w:val="left"/>
        <w:rPr>
          <w:rFonts w:ascii="宋体" w:hAnsi="宋体"/>
          <w:b/>
          <w:bCs/>
          <w:sz w:val="21"/>
          <w:szCs w:val="21"/>
        </w:rPr>
      </w:pPr>
      <w:r>
        <w:rPr>
          <w:rFonts w:hint="eastAsia" w:ascii="宋体" w:hAnsi="宋体"/>
          <w:b/>
          <w:bCs/>
          <w:sz w:val="21"/>
          <w:szCs w:val="21"/>
        </w:rPr>
        <w:t>2.小微企业资格证明材料（加盖公章）：供应商在“国家企业信用信息公示系统-小微企业名录”中的网页查询截图或当地中小企业行政主管部门的确认意见；</w:t>
      </w:r>
    </w:p>
    <w:p>
      <w:pPr>
        <w:spacing w:line="360" w:lineRule="auto"/>
        <w:jc w:val="left"/>
        <w:rPr>
          <w:rFonts w:ascii="宋体" w:hAnsi="宋体"/>
          <w:b/>
          <w:bCs/>
          <w:sz w:val="21"/>
          <w:szCs w:val="21"/>
        </w:rPr>
      </w:pPr>
      <w:r>
        <w:rPr>
          <w:rFonts w:hint="eastAsia" w:ascii="宋体" w:hAnsi="宋体"/>
          <w:b/>
          <w:bCs/>
          <w:sz w:val="21"/>
          <w:szCs w:val="21"/>
        </w:rPr>
        <w:t>3.</w:t>
      </w:r>
      <w:r>
        <w:rPr>
          <w:rFonts w:ascii="宋体" w:hAnsi="宋体"/>
          <w:b/>
          <w:bCs/>
          <w:sz w:val="21"/>
          <w:szCs w:val="21"/>
        </w:rPr>
        <w:t>如</w:t>
      </w:r>
      <w:r>
        <w:rPr>
          <w:rFonts w:hint="eastAsia" w:ascii="宋体" w:hAnsi="宋体"/>
          <w:b/>
          <w:bCs/>
          <w:sz w:val="21"/>
          <w:szCs w:val="21"/>
        </w:rPr>
        <w:t>供应商</w:t>
      </w:r>
      <w:r>
        <w:rPr>
          <w:rFonts w:ascii="宋体" w:hAnsi="宋体"/>
          <w:b/>
          <w:bCs/>
          <w:sz w:val="21"/>
          <w:szCs w:val="21"/>
        </w:rPr>
        <w:t>为代理商</w:t>
      </w:r>
      <w:r>
        <w:rPr>
          <w:rFonts w:hint="eastAsia" w:ascii="宋体" w:hAnsi="宋体"/>
          <w:b/>
          <w:bCs/>
          <w:sz w:val="21"/>
          <w:szCs w:val="21"/>
        </w:rPr>
        <w:t>，提供其它小微企业</w:t>
      </w:r>
      <w:r>
        <w:rPr>
          <w:rFonts w:ascii="宋体" w:hAnsi="宋体"/>
          <w:b/>
          <w:bCs/>
          <w:sz w:val="21"/>
          <w:szCs w:val="21"/>
        </w:rPr>
        <w:t>制造的货物的，</w:t>
      </w:r>
      <w:r>
        <w:rPr>
          <w:rFonts w:hint="eastAsia" w:ascii="宋体" w:hAnsi="宋体"/>
          <w:b/>
          <w:bCs/>
          <w:sz w:val="21"/>
          <w:szCs w:val="21"/>
        </w:rPr>
        <w:t>所</w:t>
      </w:r>
      <w:r>
        <w:rPr>
          <w:rFonts w:ascii="宋体" w:hAnsi="宋体"/>
          <w:b/>
          <w:bCs/>
          <w:sz w:val="21"/>
          <w:szCs w:val="21"/>
        </w:rPr>
        <w:t>代理品牌</w:t>
      </w:r>
      <w:r>
        <w:rPr>
          <w:rFonts w:hint="eastAsia" w:ascii="宋体" w:hAnsi="宋体"/>
          <w:b/>
          <w:bCs/>
          <w:sz w:val="21"/>
          <w:szCs w:val="21"/>
        </w:rPr>
        <w:t>制造</w:t>
      </w:r>
      <w:r>
        <w:rPr>
          <w:rFonts w:ascii="宋体" w:hAnsi="宋体"/>
          <w:b/>
          <w:bCs/>
          <w:sz w:val="21"/>
          <w:szCs w:val="21"/>
        </w:rPr>
        <w:t>商</w:t>
      </w:r>
      <w:r>
        <w:rPr>
          <w:rFonts w:hint="eastAsia" w:ascii="宋体" w:hAnsi="宋体"/>
          <w:b/>
          <w:bCs/>
          <w:sz w:val="21"/>
          <w:szCs w:val="21"/>
        </w:rPr>
        <w:t>的小微企业资格证明材料也需同时提供；</w:t>
      </w:r>
    </w:p>
    <w:p>
      <w:pPr>
        <w:spacing w:line="360" w:lineRule="auto"/>
        <w:jc w:val="left"/>
        <w:rPr>
          <w:rFonts w:ascii="宋体" w:hAnsi="宋体"/>
          <w:b/>
          <w:bCs/>
          <w:sz w:val="21"/>
          <w:szCs w:val="21"/>
        </w:rPr>
      </w:pPr>
      <w:r>
        <w:rPr>
          <w:rFonts w:hint="eastAsia" w:ascii="宋体" w:hAnsi="宋体"/>
          <w:b/>
          <w:bCs/>
          <w:sz w:val="21"/>
          <w:szCs w:val="21"/>
        </w:rPr>
        <w:t>4.小微企业资格证明材料中认定情形为“中小企业”等无法界定供应商或其代理品牌制造商具体企业类型的均为无效证明材料。</w:t>
      </w:r>
    </w:p>
    <w:p>
      <w:pPr>
        <w:spacing w:line="360" w:lineRule="auto"/>
        <w:jc w:val="center"/>
        <w:outlineLvl w:val="2"/>
        <w:rPr>
          <w:rFonts w:ascii="宋体" w:hAnsi="宋体"/>
          <w:b/>
          <w:bCs/>
          <w:sz w:val="24"/>
        </w:rPr>
      </w:pPr>
      <w:r>
        <w:rPr>
          <w:rFonts w:ascii="宋体" w:hAnsi="宋体"/>
          <w:b/>
          <w:bCs/>
          <w:sz w:val="24"/>
        </w:rPr>
        <w:br w:type="page"/>
      </w:r>
      <w:r>
        <w:rPr>
          <w:rFonts w:hint="eastAsia" w:ascii="宋体" w:hAnsi="宋体"/>
          <w:b/>
          <w:bCs/>
          <w:sz w:val="24"/>
        </w:rPr>
        <w:t>监狱企业资格证明材料</w:t>
      </w:r>
    </w:p>
    <w:p>
      <w:pPr>
        <w:spacing w:line="360" w:lineRule="auto"/>
        <w:jc w:val="center"/>
        <w:rPr>
          <w:rFonts w:ascii="宋体" w:hAnsi="宋体"/>
          <w:b/>
          <w:spacing w:val="-6"/>
          <w:sz w:val="52"/>
          <w:szCs w:val="52"/>
        </w:rPr>
      </w:pPr>
      <w:r>
        <w:rPr>
          <w:rFonts w:hint="eastAsia" w:ascii="宋体" w:hAnsi="宋体"/>
          <w:b/>
          <w:bCs/>
          <w:sz w:val="21"/>
          <w:szCs w:val="21"/>
        </w:rPr>
        <w:t>【省级以上监狱管理局、戒毒管理局（含新疆生产建设兵团）出具的属于监狱企业的证明文件】</w:t>
      </w:r>
    </w:p>
    <w:p>
      <w:pPr>
        <w:spacing w:line="360" w:lineRule="auto"/>
        <w:jc w:val="center"/>
        <w:outlineLvl w:val="2"/>
        <w:rPr>
          <w:rFonts w:ascii="宋体" w:hAnsi="宋体"/>
          <w:b/>
          <w:spacing w:val="6"/>
          <w:sz w:val="24"/>
        </w:rPr>
      </w:pPr>
      <w:r>
        <w:rPr>
          <w:rFonts w:hint="eastAsia" w:ascii="宋体" w:hAnsi="宋体"/>
          <w:b/>
          <w:spacing w:val="6"/>
          <w:sz w:val="24"/>
        </w:rPr>
        <w:br w:type="page"/>
      </w:r>
      <w:r>
        <w:rPr>
          <w:rFonts w:hint="eastAsia" w:ascii="宋体" w:hAnsi="宋体"/>
          <w:b/>
          <w:spacing w:val="6"/>
          <w:sz w:val="24"/>
        </w:rPr>
        <w:t>残疾人福利性单位声明函</w:t>
      </w: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[2017]141</w:t>
      </w:r>
      <w:r>
        <w:rPr>
          <w:rFonts w:hint="eastAsia" w:ascii="宋体" w:hAnsi="宋体"/>
          <w:spacing w:val="6"/>
          <w:sz w:val="24"/>
        </w:rPr>
        <w:t>号）的规定，本单位为符合条件的残疾人福利性单位，且本单位参加</w:t>
      </w:r>
      <w:r>
        <w:rPr>
          <w:rFonts w:hint="eastAsia" w:ascii="宋体" w:hAnsi="宋体"/>
          <w:bCs/>
          <w:sz w:val="24"/>
        </w:rPr>
        <w:t>中国美术学院创新设计学院良渚校区智能展厅设备一批</w:t>
      </w:r>
      <w:r>
        <w:rPr>
          <w:rFonts w:hint="eastAsia" w:ascii="宋体" w:hAnsi="宋体"/>
          <w:spacing w:val="6"/>
          <w:sz w:val="24"/>
        </w:rPr>
        <w:t>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rPr>
          <w:rFonts w:hAnsi="宋体"/>
          <w:spacing w:val="-6"/>
          <w:sz w:val="21"/>
          <w:szCs w:val="21"/>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jc w:val="left"/>
        <w:rPr>
          <w:rFonts w:ascii="宋体" w:hAnsi="宋体"/>
          <w:bCs/>
          <w:spacing w:val="-6"/>
          <w:sz w:val="24"/>
        </w:rPr>
      </w:pPr>
      <w:r>
        <w:rPr>
          <w:rFonts w:hint="eastAsia" w:ascii="宋体" w:hAnsi="宋体"/>
          <w:bCs/>
          <w:spacing w:val="-6"/>
          <w:sz w:val="24"/>
        </w:rPr>
        <w:t>日期：     年   月   日</w:t>
      </w:r>
    </w:p>
    <w:p>
      <w:pPr>
        <w:spacing w:line="360" w:lineRule="auto"/>
        <w:jc w:val="left"/>
        <w:rPr>
          <w:rFonts w:ascii="宋体" w:hAnsi="宋体"/>
          <w:b/>
          <w:spacing w:val="6"/>
          <w:sz w:val="21"/>
          <w:szCs w:val="21"/>
        </w:rPr>
      </w:pPr>
    </w:p>
    <w:p>
      <w:pPr>
        <w:spacing w:line="360" w:lineRule="auto"/>
        <w:ind w:firstLine="446" w:firstLineChars="200"/>
        <w:jc w:val="left"/>
        <w:rPr>
          <w:rFonts w:ascii="宋体" w:hAnsi="宋体"/>
          <w:b/>
          <w:bCs/>
          <w:sz w:val="21"/>
          <w:szCs w:val="21"/>
        </w:rPr>
      </w:pPr>
      <w:r>
        <w:rPr>
          <w:rFonts w:hint="eastAsia" w:ascii="宋体" w:hAnsi="宋体"/>
          <w:b/>
          <w:spacing w:val="6"/>
          <w:sz w:val="21"/>
          <w:szCs w:val="21"/>
        </w:rPr>
        <w:t>供应商不属于残疾人福利性单位的，无需提供此声明函，如提供所引起的后果由供应商承担。</w:t>
      </w:r>
    </w:p>
    <w:p>
      <w:pPr>
        <w:spacing w:line="360" w:lineRule="auto"/>
        <w:rPr>
          <w:rFonts w:hAnsi="宋体"/>
          <w:spacing w:val="-6"/>
          <w:sz w:val="21"/>
          <w:szCs w:val="21"/>
        </w:rPr>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ind w:firstLine="444" w:firstLineChars="200"/>
        <w:jc w:val="left"/>
        <w:rPr>
          <w:rFonts w:ascii="宋体" w:hAnsi="宋体"/>
          <w:spacing w:val="6"/>
          <w:sz w:val="21"/>
          <w:szCs w:val="21"/>
        </w:rPr>
      </w:pPr>
      <w:r>
        <w:rPr>
          <w:rFonts w:hint="eastAsia" w:ascii="宋体" w:hAnsi="宋体"/>
          <w:spacing w:val="6"/>
          <w:sz w:val="21"/>
          <w:szCs w:val="21"/>
        </w:rPr>
        <w:t>1.若供应商同时满足以下条件，则属于依法享受政府采购支持政策的残疾人福利性单位，可提供《残疾人福利性单位声明函》，并对声明的真实性负责：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bCs/>
          <w:spacing w:val="-6"/>
          <w:sz w:val="21"/>
          <w:szCs w:val="21"/>
        </w:rPr>
      </w:pPr>
      <w:r>
        <w:rPr>
          <w:rFonts w:hint="eastAsia" w:ascii="宋体" w:hAnsi="宋体"/>
          <w:bCs/>
          <w:sz w:val="21"/>
          <w:szCs w:val="21"/>
        </w:rPr>
        <w:t>2.</w:t>
      </w:r>
      <w:r>
        <w:rPr>
          <w:rFonts w:ascii="宋体" w:hAnsi="宋体"/>
          <w:bCs/>
          <w:sz w:val="21"/>
          <w:szCs w:val="21"/>
        </w:rPr>
        <w:t>成交供应商为残疾人福利性单位的，《残疾人福利性单位声明函》随</w:t>
      </w:r>
      <w:r>
        <w:rPr>
          <w:rFonts w:hint="eastAsia" w:ascii="宋体" w:hAnsi="宋体"/>
          <w:bCs/>
          <w:sz w:val="21"/>
          <w:szCs w:val="21"/>
        </w:rPr>
        <w:t>成交</w:t>
      </w:r>
      <w:r>
        <w:rPr>
          <w:rFonts w:ascii="宋体" w:hAnsi="宋体"/>
          <w:bCs/>
          <w:sz w:val="21"/>
          <w:szCs w:val="21"/>
        </w:rPr>
        <w:t>结果同时公告</w:t>
      </w:r>
      <w:r>
        <w:rPr>
          <w:rFonts w:hint="eastAsia" w:ascii="宋体" w:hAnsi="宋体"/>
          <w:bCs/>
          <w:sz w:val="21"/>
          <w:szCs w:val="21"/>
        </w:rPr>
        <w:t>，</w:t>
      </w:r>
      <w:r>
        <w:rPr>
          <w:rFonts w:ascii="宋体" w:hAnsi="宋体"/>
          <w:bCs/>
          <w:sz w:val="21"/>
          <w:szCs w:val="21"/>
        </w:rPr>
        <w:t>接受社会监督</w:t>
      </w:r>
      <w:r>
        <w:rPr>
          <w:rFonts w:hint="eastAsia" w:ascii="宋体" w:hAnsi="宋体"/>
          <w:bCs/>
          <w:sz w:val="21"/>
          <w:szCs w:val="21"/>
        </w:rPr>
        <w:t>。</w:t>
      </w:r>
    </w:p>
    <w:p>
      <w:pPr>
        <w:spacing w:line="360" w:lineRule="auto"/>
        <w:jc w:val="center"/>
        <w:outlineLvl w:val="1"/>
        <w:rPr>
          <w:rFonts w:ascii="宋体" w:hAnsi="宋体"/>
          <w:b/>
          <w:spacing w:val="-6"/>
          <w:sz w:val="52"/>
          <w:szCs w:val="52"/>
        </w:rPr>
      </w:pPr>
      <w:r>
        <w:rPr>
          <w:rFonts w:ascii="宋体" w:hAnsi="宋体"/>
          <w:b/>
          <w:spacing w:val="-6"/>
          <w:sz w:val="52"/>
          <w:szCs w:val="52"/>
        </w:rPr>
        <w:br w:type="page"/>
      </w:r>
      <w:bookmarkStart w:id="72" w:name="_Toc1024"/>
      <w:bookmarkStart w:id="73" w:name="_Toc18348"/>
      <w:r>
        <w:rPr>
          <w:rFonts w:hint="eastAsia" w:ascii="宋体" w:hAnsi="宋体"/>
          <w:b/>
          <w:spacing w:val="-6"/>
          <w:sz w:val="52"/>
          <w:szCs w:val="52"/>
        </w:rPr>
        <w:t>商务文件</w:t>
      </w:r>
      <w:bookmarkEnd w:id="72"/>
      <w:bookmarkEnd w:id="73"/>
    </w:p>
    <w:p>
      <w:pPr>
        <w:spacing w:line="360" w:lineRule="auto"/>
        <w:jc w:val="center"/>
        <w:outlineLvl w:val="2"/>
        <w:rPr>
          <w:rFonts w:ascii="宋体" w:hAnsi="宋体"/>
          <w:b/>
          <w:spacing w:val="-6"/>
          <w:sz w:val="24"/>
        </w:rPr>
      </w:pPr>
      <w:r>
        <w:rPr>
          <w:rFonts w:hint="eastAsia" w:ascii="宋体" w:hAnsi="宋体"/>
          <w:b/>
          <w:spacing w:val="-6"/>
          <w:sz w:val="24"/>
        </w:rPr>
        <w:t>响应函</w:t>
      </w:r>
    </w:p>
    <w:p>
      <w:pPr>
        <w:spacing w:line="360" w:lineRule="auto"/>
        <w:rPr>
          <w:rFonts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中国美术学院创新设计学院良渚校区智能展厅设备一批</w:t>
      </w:r>
      <w:r>
        <w:rPr>
          <w:rFonts w:hint="eastAsia" w:ascii="宋体" w:hAnsi="宋体"/>
          <w:spacing w:val="-6"/>
          <w:sz w:val="24"/>
        </w:rPr>
        <w:t>的采购邀请【项目编号</w:t>
      </w:r>
      <w:r>
        <w:rPr>
          <w:rFonts w:hint="eastAsia" w:ascii="宋体" w:hAnsi="宋体"/>
          <w:bCs/>
          <w:spacing w:val="-6"/>
          <w:sz w:val="24"/>
        </w:rPr>
        <w:t>：QSZB-Z(H)-C19291(CS)】</w:t>
      </w:r>
      <w:r>
        <w:rPr>
          <w:rFonts w:hint="eastAsia" w:ascii="宋体" w:hAnsi="宋体"/>
          <w:spacing w:val="-6"/>
          <w:sz w:val="24"/>
        </w:rPr>
        <w:t>，签字代表</w:t>
      </w:r>
      <w:r>
        <w:rPr>
          <w:rFonts w:hint="eastAsia" w:ascii="宋体" w:hAnsi="宋体"/>
          <w:bCs/>
          <w:spacing w:val="-6"/>
          <w:sz w:val="24"/>
        </w:rPr>
        <w:t>__________</w:t>
      </w:r>
      <w:r>
        <w:rPr>
          <w:rFonts w:hint="eastAsia" w:ascii="宋体" w:hAnsi="宋体"/>
          <w:spacing w:val="-6"/>
          <w:sz w:val="24"/>
        </w:rPr>
        <w:t>（全名）经正式授权并代表</w:t>
      </w:r>
      <w:r>
        <w:rPr>
          <w:rFonts w:ascii="宋体" w:hAnsi="宋体"/>
          <w:spacing w:val="-6"/>
          <w:sz w:val="24"/>
        </w:rPr>
        <w:t>______________________________</w:t>
      </w:r>
      <w:r>
        <w:rPr>
          <w:rFonts w:hint="eastAsia" w:ascii="宋体" w:hAnsi="宋体"/>
          <w:spacing w:val="-6"/>
          <w:sz w:val="24"/>
        </w:rPr>
        <w:t>（供应商名称）提交商务和技术文件正本一份、副本____份、电子文档一份。</w:t>
      </w:r>
    </w:p>
    <w:p>
      <w:pPr>
        <w:spacing w:line="360"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ascii="宋体" w:hAnsi="宋体"/>
          <w:spacing w:val="-6"/>
          <w:sz w:val="24"/>
        </w:rPr>
      </w:pPr>
      <w:r>
        <w:rPr>
          <w:rFonts w:hint="eastAsia" w:ascii="宋体" w:hAnsi="宋体"/>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spacing w:val="-6"/>
          <w:sz w:val="24"/>
        </w:rPr>
      </w:pPr>
      <w:r>
        <w:rPr>
          <w:rFonts w:hint="eastAsia" w:ascii="宋体" w:hAnsi="宋体"/>
          <w:spacing w:val="-6"/>
          <w:sz w:val="24"/>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spacing w:val="-6"/>
          <w:sz w:val="24"/>
        </w:rPr>
      </w:pPr>
      <w:r>
        <w:rPr>
          <w:rFonts w:hint="eastAsia" w:ascii="宋体" w:hAnsi="宋体"/>
          <w:spacing w:val="-6"/>
          <w:sz w:val="24"/>
        </w:rPr>
        <w:t>3.本磋商响应有效期自响应文件开启日起</w:t>
      </w:r>
      <w:r>
        <w:rPr>
          <w:rFonts w:hint="eastAsia" w:ascii="宋体" w:hAnsi="宋体"/>
          <w:bCs/>
          <w:spacing w:val="-6"/>
          <w:sz w:val="24"/>
          <w:u w:val="single"/>
        </w:rPr>
        <w:t>90</w:t>
      </w:r>
      <w:r>
        <w:rPr>
          <w:rFonts w:hint="eastAsia" w:ascii="宋体" w:hAnsi="宋体"/>
          <w:spacing w:val="-6"/>
          <w:sz w:val="24"/>
        </w:rPr>
        <w:t>个日历日。</w:t>
      </w:r>
    </w:p>
    <w:p>
      <w:pPr>
        <w:spacing w:line="360" w:lineRule="auto"/>
        <w:ind w:firstLine="456" w:firstLineChars="200"/>
        <w:rPr>
          <w:rFonts w:ascii="宋体" w:hAnsi="宋体"/>
          <w:spacing w:val="-6"/>
          <w:sz w:val="24"/>
        </w:rPr>
      </w:pPr>
      <w:r>
        <w:rPr>
          <w:rFonts w:hint="eastAsia" w:ascii="宋体" w:hAnsi="宋体"/>
          <w:spacing w:val="-6"/>
          <w:sz w:val="24"/>
        </w:rPr>
        <w:t>4.如成交，本响应文件至本项目合同履行完毕止均保持有效，我方将按“磋商文件”及政府采购法律、法规的规定履行合同责任和义务。关于代理服务费，我方承诺按照磋商文件的规定履行并承担相应的责任。</w:t>
      </w:r>
    </w:p>
    <w:p>
      <w:pPr>
        <w:spacing w:line="360" w:lineRule="auto"/>
        <w:ind w:firstLine="456" w:firstLineChars="200"/>
        <w:rPr>
          <w:rFonts w:ascii="宋体" w:hAnsi="宋体"/>
          <w:spacing w:val="-6"/>
          <w:sz w:val="24"/>
        </w:rPr>
      </w:pPr>
      <w:r>
        <w:rPr>
          <w:rFonts w:hint="eastAsia" w:ascii="宋体" w:hAnsi="宋体"/>
          <w:spacing w:val="-6"/>
          <w:sz w:val="24"/>
        </w:rPr>
        <w:t>5.我方同意按照贵方要求提供与磋商有关的一切数据或资料。</w:t>
      </w:r>
    </w:p>
    <w:p>
      <w:pPr>
        <w:spacing w:line="360" w:lineRule="auto"/>
        <w:ind w:firstLine="456" w:firstLineChars="200"/>
        <w:rPr>
          <w:rFonts w:ascii="宋体" w:hAnsi="宋体"/>
          <w:spacing w:val="-6"/>
          <w:sz w:val="24"/>
        </w:rPr>
      </w:pPr>
      <w:r>
        <w:rPr>
          <w:rFonts w:hint="eastAsia" w:ascii="宋体" w:hAnsi="宋体"/>
          <w:spacing w:val="-6"/>
          <w:sz w:val="24"/>
        </w:rPr>
        <w:t>6.与本磋商有关的一切正式往来信函请寄：</w:t>
      </w:r>
    </w:p>
    <w:p>
      <w:pPr>
        <w:spacing w:line="360" w:lineRule="auto"/>
        <w:ind w:firstLine="456" w:firstLineChars="200"/>
        <w:rPr>
          <w:rFonts w:ascii="宋体" w:hAnsi="宋体"/>
          <w:spacing w:val="-6"/>
          <w:sz w:val="24"/>
        </w:rPr>
      </w:pPr>
      <w:r>
        <w:rPr>
          <w:rFonts w:hint="eastAsia" w:ascii="宋体" w:hAnsi="宋体"/>
          <w:spacing w:val="-6"/>
          <w:sz w:val="24"/>
        </w:rPr>
        <w:t>地址：                                  邮编：</w:t>
      </w:r>
    </w:p>
    <w:p>
      <w:pPr>
        <w:spacing w:line="360" w:lineRule="auto"/>
        <w:ind w:firstLine="456" w:firstLineChars="200"/>
        <w:rPr>
          <w:rFonts w:ascii="宋体" w:hAnsi="宋体"/>
          <w:spacing w:val="-6"/>
          <w:sz w:val="24"/>
        </w:rPr>
      </w:pPr>
      <w:r>
        <w:rPr>
          <w:rFonts w:hint="eastAsia" w:ascii="宋体" w:hAnsi="宋体"/>
          <w:spacing w:val="-6"/>
          <w:sz w:val="24"/>
        </w:rPr>
        <w:t>电话：                                  传真：</w:t>
      </w:r>
    </w:p>
    <w:p>
      <w:pPr>
        <w:spacing w:line="360" w:lineRule="auto"/>
        <w:ind w:firstLine="456" w:firstLineChars="200"/>
        <w:rPr>
          <w:rFonts w:ascii="宋体" w:hAnsi="宋体"/>
          <w:spacing w:val="-6"/>
          <w:sz w:val="24"/>
        </w:rPr>
      </w:pPr>
      <w:r>
        <w:rPr>
          <w:rFonts w:hint="eastAsia" w:ascii="宋体" w:hAnsi="宋体"/>
          <w:spacing w:val="-6"/>
          <w:sz w:val="24"/>
        </w:rPr>
        <w:t>供应商代表姓名：                       职务：</w:t>
      </w:r>
    </w:p>
    <w:p>
      <w:pPr>
        <w:spacing w:line="360" w:lineRule="auto"/>
        <w:ind w:firstLine="456" w:firstLineChars="200"/>
        <w:rPr>
          <w:rFonts w:ascii="宋体" w:hAnsi="宋体"/>
          <w:spacing w:val="-6"/>
          <w:sz w:val="24"/>
        </w:rPr>
      </w:pPr>
      <w:r>
        <w:rPr>
          <w:rFonts w:hint="eastAsia" w:ascii="宋体" w:hAnsi="宋体"/>
          <w:spacing w:val="-6"/>
          <w:sz w:val="24"/>
        </w:rPr>
        <w:t>开户银行：</w:t>
      </w:r>
    </w:p>
    <w:p>
      <w:pPr>
        <w:spacing w:line="360" w:lineRule="auto"/>
        <w:ind w:firstLine="456" w:firstLineChars="200"/>
        <w:rPr>
          <w:rFonts w:ascii="宋体" w:hAnsi="宋体"/>
          <w:spacing w:val="-6"/>
          <w:sz w:val="24"/>
        </w:rPr>
      </w:pPr>
      <w:r>
        <w:rPr>
          <w:rFonts w:hint="eastAsia" w:ascii="宋体" w:hAnsi="宋体"/>
          <w:spacing w:val="-6"/>
          <w:sz w:val="24"/>
        </w:rPr>
        <w:t>银行帐号：</w:t>
      </w:r>
    </w:p>
    <w:p>
      <w:pPr>
        <w:pStyle w:val="78"/>
        <w:spacing w:line="360" w:lineRule="auto"/>
        <w:rPr>
          <w:rFonts w:ascii="宋体" w:hAnsi="宋体"/>
          <w:color w:val="auto"/>
          <w:spacing w:val="-6"/>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b/>
          <w:spacing w:val="-6"/>
          <w:sz w:val="24"/>
        </w:rPr>
        <w:t>法定代表人资格证明书</w:t>
      </w:r>
    </w:p>
    <w:p>
      <w:pPr>
        <w:spacing w:line="360" w:lineRule="auto"/>
        <w:rPr>
          <w:rFonts w:ascii="宋体" w:hAnsi="宋体"/>
          <w:bCs/>
          <w:spacing w:val="-6"/>
          <w:sz w:val="24"/>
        </w:rPr>
      </w:pPr>
      <w:r>
        <w:rPr>
          <w:rFonts w:hint="eastAsia" w:ascii="宋体" w:hAnsi="宋体"/>
          <w:bCs/>
          <w:spacing w:val="-6"/>
          <w:sz w:val="24"/>
        </w:rPr>
        <w:t>致：中国美术学院、浙江求是招标代理有限公司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hint="eastAsia" w:ascii="宋体" w:hAnsi="宋体"/>
          <w:spacing w:val="-6"/>
          <w:sz w:val="24"/>
        </w:rPr>
        <w:t>___</w:t>
      </w:r>
      <w:r>
        <w:rPr>
          <w:rFonts w:hint="eastAsia" w:ascii="宋体" w:hAnsi="宋体"/>
          <w:bCs/>
          <w:spacing w:val="-6"/>
          <w:sz w:val="24"/>
        </w:rPr>
        <w:t>________</w:t>
      </w:r>
      <w:r>
        <w:rPr>
          <w:rFonts w:hint="eastAsia" w:ascii="宋体" w:hAnsi="宋体"/>
          <w:spacing w:val="-6"/>
          <w:sz w:val="24"/>
        </w:rPr>
        <w:t>_</w:t>
      </w:r>
      <w:r>
        <w:rPr>
          <w:rFonts w:ascii="宋体" w:hAnsi="宋体"/>
          <w:bCs/>
          <w:spacing w:val="-6"/>
          <w:sz w:val="24"/>
        </w:rPr>
        <w:t>（姓名）系</w:t>
      </w:r>
      <w:r>
        <w:rPr>
          <w:rFonts w:hint="eastAsia" w:ascii="宋体" w:hAnsi="宋体"/>
          <w:bCs/>
          <w:spacing w:val="-6"/>
          <w:sz w:val="24"/>
        </w:rPr>
        <w:t>_________</w:t>
      </w:r>
      <w:r>
        <w:rPr>
          <w:rFonts w:ascii="宋体" w:hAnsi="宋体"/>
          <w:bCs/>
          <w:spacing w:val="-6"/>
          <w:sz w:val="24"/>
        </w:rPr>
        <w:t>______</w:t>
      </w:r>
      <w:r>
        <w:rPr>
          <w:rFonts w:hint="eastAsia" w:ascii="宋体" w:hAnsi="宋体"/>
          <w:bCs/>
          <w:spacing w:val="-6"/>
          <w:sz w:val="24"/>
        </w:rPr>
        <w:t>__________</w:t>
      </w:r>
      <w:r>
        <w:rPr>
          <w:rFonts w:ascii="宋体" w:hAnsi="宋体"/>
          <w:bCs/>
          <w:spacing w:val="-6"/>
          <w:sz w:val="24"/>
        </w:rPr>
        <w:t>___</w:t>
      </w:r>
      <w:r>
        <w:rPr>
          <w:rFonts w:hint="eastAsia" w:ascii="宋体" w:hAnsi="宋体"/>
          <w:bCs/>
          <w:spacing w:val="-6"/>
          <w:sz w:val="24"/>
        </w:rPr>
        <w:t>____（供应商名称）</w:t>
      </w:r>
      <w:r>
        <w:rPr>
          <w:rFonts w:ascii="宋体" w:hAnsi="宋体"/>
          <w:bCs/>
          <w:spacing w:val="-6"/>
          <w:sz w:val="24"/>
        </w:rPr>
        <w:t>的法定代表人，身份证</w:t>
      </w:r>
      <w:r>
        <w:rPr>
          <w:rFonts w:hint="eastAsia" w:ascii="宋体" w:hAnsi="宋体"/>
          <w:bCs/>
          <w:spacing w:val="-6"/>
          <w:sz w:val="24"/>
        </w:rPr>
        <w:t>号码：</w:t>
      </w:r>
      <w:r>
        <w:rPr>
          <w:rFonts w:ascii="宋体" w:hAnsi="宋体"/>
          <w:spacing w:val="-6"/>
          <w:sz w:val="24"/>
        </w:rPr>
        <w:t>_________________________________</w:t>
      </w:r>
      <w:r>
        <w:rPr>
          <w:rFonts w:ascii="宋体" w:hAnsi="宋体"/>
          <w:bCs/>
          <w:spacing w:val="-6"/>
          <w:sz w:val="24"/>
        </w:rPr>
        <w:t>。</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28" w:type="dxa"/>
          </w:tcPr>
          <w:p>
            <w:pPr>
              <w:rPr>
                <w:sz w:val="24"/>
              </w:rPr>
            </w:pPr>
            <w:r>
              <w:rPr>
                <w:rFonts w:hint="eastAsia"/>
                <w:sz w:val="24"/>
              </w:rPr>
              <w:t>法定代表人身份证：</w:t>
            </w:r>
          </w:p>
          <w:p>
            <w:pPr>
              <w:rPr>
                <w:sz w:val="24"/>
              </w:rPr>
            </w:pPr>
          </w:p>
          <w:p>
            <w:pPr>
              <w:rPr>
                <w:sz w:val="24"/>
              </w:rPr>
            </w:pPr>
          </w:p>
          <w:p>
            <w:pPr>
              <w:rPr>
                <w:sz w:val="24"/>
              </w:rPr>
            </w:pPr>
          </w:p>
          <w:p>
            <w:pPr>
              <w:pStyle w:val="78"/>
              <w:rPr>
                <w:color w:val="auto"/>
              </w:rPr>
            </w:pPr>
          </w:p>
          <w:p>
            <w:pPr>
              <w:rPr>
                <w:sz w:val="24"/>
              </w:rPr>
            </w:pPr>
            <w:r>
              <w:rPr>
                <w:rFonts w:hint="eastAsia"/>
                <w:sz w:val="24"/>
              </w:rPr>
              <w:t>复印件粘贴处</w:t>
            </w:r>
          </w:p>
        </w:tc>
      </w:tr>
    </w:tbl>
    <w:p>
      <w:pPr>
        <w:spacing w:line="360" w:lineRule="auto"/>
        <w:rPr>
          <w:rFonts w:ascii="宋体" w:hAnsi="宋体"/>
          <w:bCs/>
          <w:spacing w:val="-6"/>
          <w:sz w:val="24"/>
        </w:rPr>
      </w:pPr>
    </w:p>
    <w:p>
      <w:pPr>
        <w:spacing w:line="360" w:lineRule="auto"/>
        <w:rPr>
          <w:rFonts w:ascii="宋体" w:hAnsi="宋体"/>
          <w:b/>
          <w:bCs/>
          <w:spacing w:val="-6"/>
          <w:sz w:val="24"/>
        </w:rPr>
      </w:pPr>
    </w:p>
    <w:p>
      <w:pPr>
        <w:pStyle w:val="78"/>
        <w:spacing w:line="360" w:lineRule="auto"/>
        <w:rPr>
          <w:color w:val="auto"/>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jc w:val="center"/>
        <w:outlineLvl w:val="2"/>
        <w:rPr>
          <w:rFonts w:ascii="宋体" w:hAnsi="宋体"/>
          <w:b/>
          <w:bCs/>
          <w:spacing w:val="-6"/>
          <w:sz w:val="24"/>
        </w:rPr>
      </w:pPr>
      <w:r>
        <w:rPr>
          <w:rFonts w:ascii="宋体" w:hAnsi="宋体"/>
          <w:b/>
          <w:spacing w:val="-6"/>
          <w:sz w:val="24"/>
        </w:rPr>
        <w:br w:type="page"/>
      </w:r>
      <w:r>
        <w:rPr>
          <w:rFonts w:hint="eastAsia" w:ascii="宋体" w:hAnsi="宋体"/>
          <w:b/>
          <w:spacing w:val="-6"/>
          <w:sz w:val="24"/>
        </w:rPr>
        <w:t>法定代表人授权委托书</w:t>
      </w:r>
    </w:p>
    <w:p>
      <w:pPr>
        <w:spacing w:line="360" w:lineRule="auto"/>
        <w:rPr>
          <w:rFonts w:ascii="宋体" w:hAnsi="宋体"/>
          <w:b/>
          <w:bCs/>
          <w:spacing w:val="-6"/>
          <w:sz w:val="24"/>
        </w:rPr>
      </w:pPr>
      <w:r>
        <w:rPr>
          <w:rFonts w:hint="eastAsia" w:ascii="宋体" w:hAnsi="宋体"/>
          <w:bCs/>
          <w:spacing w:val="-6"/>
          <w:sz w:val="24"/>
        </w:rPr>
        <w:t>致：中国美术学院、浙江求是招标代理有限公司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我____________（姓名）系</w:t>
      </w:r>
      <w:r>
        <w:rPr>
          <w:rFonts w:ascii="宋体" w:hAnsi="宋体"/>
          <w:spacing w:val="-6"/>
          <w:sz w:val="24"/>
        </w:rPr>
        <w:t>__________________________</w:t>
      </w:r>
      <w:r>
        <w:rPr>
          <w:rFonts w:hint="eastAsia" w:ascii="宋体" w:hAnsi="宋体"/>
          <w:spacing w:val="-6"/>
          <w:sz w:val="24"/>
        </w:rPr>
        <w:t>（供应商名称）的法定代表人，现授权委托本单位在职职工：</w:t>
      </w:r>
      <w:r>
        <w:rPr>
          <w:rFonts w:ascii="宋体" w:hAnsi="宋体"/>
          <w:spacing w:val="-6"/>
          <w:sz w:val="24"/>
        </w:rPr>
        <w:t>__________</w:t>
      </w:r>
      <w:r>
        <w:rPr>
          <w:rFonts w:hint="eastAsia" w:ascii="宋体" w:hAnsi="宋体"/>
          <w:spacing w:val="-6"/>
          <w:sz w:val="24"/>
        </w:rPr>
        <w:t>（姓名），身份证号码：</w:t>
      </w:r>
      <w:r>
        <w:rPr>
          <w:rFonts w:ascii="宋体" w:hAnsi="宋体"/>
          <w:spacing w:val="-6"/>
          <w:sz w:val="24"/>
        </w:rPr>
        <w:t>____________________________</w:t>
      </w:r>
      <w:r>
        <w:rPr>
          <w:rFonts w:hint="eastAsia" w:ascii="宋体" w:hAnsi="宋体"/>
          <w:spacing w:val="-6"/>
          <w:sz w:val="24"/>
        </w:rPr>
        <w:t>以我方的名义参加</w:t>
      </w:r>
      <w:r>
        <w:rPr>
          <w:rFonts w:hint="eastAsia" w:ascii="宋体" w:hAnsi="宋体"/>
          <w:bCs/>
          <w:spacing w:val="-6"/>
          <w:sz w:val="24"/>
        </w:rPr>
        <w:t>中国美术学院创新设计学院良渚校区智能展厅设备一批项目</w:t>
      </w:r>
      <w:r>
        <w:rPr>
          <w:rFonts w:hint="eastAsia" w:ascii="宋体" w:hAnsi="宋体"/>
          <w:spacing w:val="-6"/>
          <w:sz w:val="24"/>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pacing w:line="360" w:lineRule="auto"/>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w:t>
      </w:r>
      <w:r>
        <w:rPr>
          <w:rFonts w:ascii="宋体" w:hAnsi="宋体"/>
          <w:spacing w:val="-6"/>
          <w:sz w:val="24"/>
        </w:rPr>
        <w:t>_____________________</w:t>
      </w:r>
    </w:p>
    <w:p>
      <w:pPr>
        <w:spacing w:line="360" w:lineRule="auto"/>
        <w:rPr>
          <w:rFonts w:ascii="宋体" w:hAnsi="宋体"/>
          <w:spacing w:val="-6"/>
          <w:sz w:val="24"/>
        </w:rPr>
      </w:pPr>
    </w:p>
    <w:p>
      <w:pPr>
        <w:pStyle w:val="78"/>
        <w:spacing w:line="360" w:lineRule="auto"/>
        <w:rPr>
          <w:rFonts w:ascii="宋体" w:hAnsi="宋体"/>
          <w:color w:val="auto"/>
          <w:spacing w:val="-6"/>
        </w:rPr>
      </w:pPr>
    </w:p>
    <w:p>
      <w:pPr>
        <w:pStyle w:val="81"/>
        <w:spacing w:line="360" w:lineRule="auto"/>
        <w:ind w:left="0"/>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bCs/>
          <w:spacing w:val="-6"/>
          <w:sz w:val="24"/>
        </w:rPr>
        <w:t>日期：     年   月   日</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28"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pacing w:val="-6"/>
                <w:sz w:val="24"/>
              </w:rPr>
            </w:pPr>
            <w:r>
              <w:rPr>
                <w:rFonts w:hint="eastAsia" w:ascii="宋体" w:hAnsi="宋体"/>
                <w:sz w:val="24"/>
              </w:rPr>
              <w:t>复印件粘贴处</w:t>
            </w:r>
          </w:p>
        </w:tc>
      </w:tr>
    </w:tbl>
    <w:p>
      <w:pPr>
        <w:spacing w:line="360" w:lineRule="auto"/>
        <w:rPr>
          <w:rFonts w:ascii="宋体" w:hAnsi="宋体"/>
          <w:b/>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1.供应商的</w:t>
      </w:r>
      <w:r>
        <w:rPr>
          <w:rFonts w:ascii="宋体" w:hAnsi="宋体"/>
          <w:b/>
          <w:bCs/>
          <w:spacing w:val="-6"/>
          <w:sz w:val="21"/>
          <w:szCs w:val="21"/>
        </w:rPr>
        <w:t>法定代表人参加磋商响应，须在响应文件中提供法定代表人资格证明</w:t>
      </w:r>
      <w:r>
        <w:rPr>
          <w:rFonts w:hint="eastAsia" w:ascii="宋体" w:hAnsi="宋体"/>
          <w:b/>
          <w:bCs/>
          <w:spacing w:val="-6"/>
          <w:sz w:val="21"/>
          <w:szCs w:val="21"/>
        </w:rPr>
        <w:t>书；</w:t>
      </w:r>
    </w:p>
    <w:p>
      <w:pPr>
        <w:spacing w:line="360" w:lineRule="auto"/>
        <w:rPr>
          <w:rFonts w:ascii="宋体" w:hAnsi="宋体"/>
          <w:b/>
          <w:bCs/>
          <w:spacing w:val="-6"/>
          <w:sz w:val="21"/>
          <w:szCs w:val="21"/>
        </w:rPr>
      </w:pPr>
      <w:r>
        <w:rPr>
          <w:rFonts w:hint="eastAsia" w:ascii="宋体" w:hAnsi="宋体"/>
          <w:b/>
          <w:bCs/>
          <w:spacing w:val="-6"/>
          <w:sz w:val="21"/>
          <w:szCs w:val="21"/>
        </w:rPr>
        <w:t>2.供应商的法定代表人委托授权代表</w:t>
      </w:r>
      <w:r>
        <w:rPr>
          <w:rFonts w:ascii="宋体" w:hAnsi="宋体"/>
          <w:b/>
          <w:bCs/>
          <w:spacing w:val="-6"/>
          <w:sz w:val="21"/>
          <w:szCs w:val="21"/>
        </w:rPr>
        <w:t>参加磋商响应，须在响应文件中提供附有法定代表人资格证明</w:t>
      </w:r>
      <w:r>
        <w:rPr>
          <w:rFonts w:hint="eastAsia" w:ascii="宋体" w:hAnsi="宋体"/>
          <w:b/>
          <w:bCs/>
          <w:spacing w:val="-6"/>
          <w:sz w:val="21"/>
          <w:szCs w:val="21"/>
        </w:rPr>
        <w:t>书</w:t>
      </w:r>
      <w:r>
        <w:rPr>
          <w:rFonts w:ascii="宋体" w:hAnsi="宋体"/>
          <w:b/>
          <w:bCs/>
          <w:spacing w:val="-6"/>
          <w:sz w:val="21"/>
          <w:szCs w:val="21"/>
        </w:rPr>
        <w:t>的法定代表人授权</w:t>
      </w:r>
      <w:r>
        <w:rPr>
          <w:rFonts w:hint="eastAsia" w:ascii="宋体" w:hAnsi="宋体"/>
          <w:b/>
          <w:bCs/>
          <w:spacing w:val="-6"/>
          <w:sz w:val="21"/>
          <w:szCs w:val="21"/>
        </w:rPr>
        <w:t>委托</w:t>
      </w:r>
      <w:r>
        <w:rPr>
          <w:rFonts w:ascii="宋体" w:hAnsi="宋体"/>
          <w:b/>
          <w:bCs/>
          <w:spacing w:val="-6"/>
          <w:sz w:val="21"/>
          <w:szCs w:val="21"/>
        </w:rPr>
        <w:t>书</w:t>
      </w:r>
      <w:r>
        <w:rPr>
          <w:rFonts w:hint="eastAsia" w:ascii="宋体" w:hAnsi="宋体"/>
          <w:b/>
          <w:bCs/>
          <w:spacing w:val="-6"/>
          <w:sz w:val="21"/>
          <w:szCs w:val="21"/>
        </w:rPr>
        <w:t>。</w:t>
      </w:r>
    </w:p>
    <w:p>
      <w:pPr>
        <w:spacing w:line="360" w:lineRule="auto"/>
        <w:jc w:val="center"/>
        <w:outlineLvl w:val="2"/>
        <w:rPr>
          <w:rFonts w:ascii="宋体" w:hAnsi="宋体"/>
          <w:b/>
          <w:spacing w:val="-6"/>
          <w:sz w:val="24"/>
        </w:rPr>
      </w:pPr>
      <w:r>
        <w:rPr>
          <w:rFonts w:ascii="宋体" w:hAnsi="宋体"/>
          <w:b/>
          <w:spacing w:val="-6"/>
          <w:sz w:val="24"/>
        </w:rPr>
        <w:br w:type="page"/>
      </w:r>
      <w:r>
        <w:rPr>
          <w:rFonts w:hint="eastAsia" w:ascii="宋体" w:hAnsi="宋体"/>
          <w:b/>
          <w:spacing w:val="-6"/>
          <w:sz w:val="24"/>
        </w:rPr>
        <w:t>2019年1月至今任意一月供应商</w:t>
      </w:r>
      <w:r>
        <w:rPr>
          <w:rFonts w:ascii="宋体" w:hAnsi="宋体"/>
          <w:b/>
          <w:spacing w:val="-6"/>
          <w:sz w:val="24"/>
        </w:rPr>
        <w:t>授权代表社保缴纳证明</w:t>
      </w:r>
    </w:p>
    <w:p>
      <w:pPr>
        <w:spacing w:line="360" w:lineRule="auto"/>
        <w:jc w:val="center"/>
        <w:outlineLvl w:val="2"/>
        <w:rPr>
          <w:rFonts w:ascii="宋体" w:hAnsi="宋体"/>
          <w:b/>
          <w:spacing w:val="-6"/>
          <w:sz w:val="24"/>
        </w:rPr>
      </w:pPr>
      <w:r>
        <w:rPr>
          <w:rFonts w:ascii="宋体" w:hAnsi="宋体"/>
          <w:b/>
          <w:spacing w:val="-6"/>
          <w:sz w:val="24"/>
        </w:rPr>
        <w:br w:type="page"/>
      </w:r>
      <w:r>
        <w:rPr>
          <w:rFonts w:hint="eastAsia" w:ascii="宋体" w:hAnsi="宋体"/>
          <w:b/>
          <w:spacing w:val="-6"/>
          <w:sz w:val="24"/>
        </w:rPr>
        <w:t>响应声明书</w:t>
      </w:r>
    </w:p>
    <w:p>
      <w:pPr>
        <w:spacing w:line="360" w:lineRule="auto"/>
        <w:rPr>
          <w:rFonts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rPr>
      </w:pPr>
      <w:r>
        <w:rPr>
          <w:rFonts w:ascii="宋体" w:hAnsi="宋体"/>
          <w:spacing w:val="-6"/>
          <w:sz w:val="24"/>
        </w:rPr>
        <w:t>______________________________________</w:t>
      </w:r>
      <w:r>
        <w:rPr>
          <w:rFonts w:hint="eastAsia" w:ascii="宋体" w:hAnsi="宋体"/>
          <w:spacing w:val="-6"/>
          <w:sz w:val="24"/>
        </w:rPr>
        <w:t>（供应商名称）系中华人民共和国合法企业，经营地址</w:t>
      </w:r>
      <w:r>
        <w:rPr>
          <w:rFonts w:ascii="宋体" w:hAnsi="宋体"/>
          <w:spacing w:val="-6"/>
          <w:sz w:val="24"/>
        </w:rPr>
        <w:t>__________________________________</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w:t>
      </w:r>
      <w:r>
        <w:rPr>
          <w:rFonts w:hint="eastAsia" w:ascii="宋体" w:hAnsi="宋体"/>
          <w:bCs/>
          <w:spacing w:val="-6"/>
          <w:sz w:val="24"/>
        </w:rPr>
        <w:t>中国美术学院创新设计学院良渚校区智能展厅设备一批项目</w:t>
      </w:r>
      <w:r>
        <w:rPr>
          <w:rFonts w:hint="eastAsia" w:ascii="宋体" w:hAnsi="宋体"/>
          <w:spacing w:val="-6"/>
          <w:sz w:val="24"/>
        </w:rPr>
        <w:t>的磋商响应，为便于贵方公正、择优地确定成交供应商及其响应产品和服务，我方就本次磋商有关事项郑重声明如下：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1.我方向贵方提交的所有响应文件、资料都是准确的和真实的；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2.我方不是采购人的附属机构；在获知本项目采购信息后，与采购人聘请的为此项目提供咨询服务的公司及其附属机构没有任何联系。</w:t>
      </w:r>
    </w:p>
    <w:p>
      <w:pPr>
        <w:pStyle w:val="11"/>
        <w:spacing w:line="360" w:lineRule="auto"/>
        <w:ind w:firstLine="456" w:firstLineChars="200"/>
        <w:rPr>
          <w:rFonts w:hAnsi="宋体"/>
          <w:spacing w:val="-6"/>
          <w:sz w:val="24"/>
          <w:szCs w:val="24"/>
        </w:rPr>
      </w:pPr>
      <w:r>
        <w:rPr>
          <w:rFonts w:hint="eastAsia" w:hAnsi="宋体"/>
          <w:spacing w:val="-6"/>
          <w:sz w:val="24"/>
          <w:szCs w:val="24"/>
        </w:rPr>
        <w:t>3.</w:t>
      </w:r>
      <w:r>
        <w:rPr>
          <w:rFonts w:hAnsi="宋体"/>
          <w:spacing w:val="-6"/>
          <w:sz w:val="24"/>
          <w:szCs w:val="24"/>
        </w:rPr>
        <w:t>我方</w:t>
      </w:r>
      <w:r>
        <w:rPr>
          <w:rFonts w:hint="eastAsia" w:hAnsi="宋体"/>
          <w:spacing w:val="-6"/>
          <w:sz w:val="24"/>
          <w:szCs w:val="24"/>
        </w:rPr>
        <w:t>在参加政府采购活动前3年内：</w:t>
      </w:r>
      <w:r>
        <w:rPr>
          <w:rFonts w:hint="eastAsia" w:hAnsi="宋体"/>
          <w:b/>
          <w:spacing w:val="-6"/>
          <w:sz w:val="24"/>
          <w:szCs w:val="24"/>
        </w:rPr>
        <w:t>（填写“有”或“没有”，如实填写，如不填写视同未按要求填写）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11"/>
        <w:spacing w:line="360" w:lineRule="auto"/>
        <w:ind w:firstLine="456" w:firstLineChars="200"/>
        <w:rPr>
          <w:rFonts w:hAnsi="宋体"/>
          <w:spacing w:val="-6"/>
          <w:sz w:val="24"/>
          <w:szCs w:val="24"/>
        </w:rPr>
      </w:pPr>
      <w:r>
        <w:rPr>
          <w:rFonts w:hint="eastAsia" w:hAnsi="宋体"/>
          <w:spacing w:val="-6"/>
          <w:sz w:val="24"/>
          <w:szCs w:val="24"/>
        </w:rPr>
        <w:t>4.</w:t>
      </w:r>
      <w:r>
        <w:rPr>
          <w:rFonts w:hAnsi="宋体"/>
          <w:spacing w:val="-6"/>
          <w:sz w:val="24"/>
          <w:szCs w:val="24"/>
        </w:rPr>
        <w:t>以上事项如有虚假或隐瞒，我方愿意承担一切后果和责任。</w:t>
      </w:r>
    </w:p>
    <w:p>
      <w:pPr>
        <w:pStyle w:val="77"/>
        <w:spacing w:line="360" w:lineRule="auto"/>
        <w:rPr>
          <w:rFonts w:ascii="宋体" w:hAnsi="宋体"/>
          <w:spacing w:val="-6"/>
          <w:szCs w:val="24"/>
        </w:rPr>
      </w:pPr>
    </w:p>
    <w:p>
      <w:pPr>
        <w:pStyle w:val="77"/>
        <w:spacing w:line="360" w:lineRule="auto"/>
        <w:rPr>
          <w:rFonts w:ascii="宋体" w:hAnsi="宋体"/>
          <w:spacing w:val="-6"/>
          <w:szCs w:val="24"/>
        </w:rPr>
      </w:pPr>
    </w:p>
    <w:p>
      <w:pPr>
        <w:pStyle w:val="77"/>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jc w:val="center"/>
        <w:outlineLvl w:val="2"/>
        <w:rPr>
          <w:rFonts w:ascii="宋体" w:hAnsi="宋体"/>
          <w:b/>
          <w:spacing w:val="-6"/>
          <w:sz w:val="24"/>
        </w:rPr>
      </w:pPr>
      <w:r>
        <w:rPr>
          <w:rFonts w:ascii="宋体" w:hAnsi="宋体"/>
          <w:b/>
          <w:spacing w:val="-6"/>
          <w:sz w:val="24"/>
        </w:rPr>
        <w:br w:type="page"/>
      </w:r>
      <w:r>
        <w:rPr>
          <w:rFonts w:hint="eastAsia" w:ascii="宋体" w:hAnsi="宋体"/>
          <w:b/>
          <w:spacing w:val="-6"/>
          <w:sz w:val="24"/>
        </w:rPr>
        <w:t>供应商一般情况</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1</w:t>
            </w:r>
          </w:p>
        </w:tc>
        <w:tc>
          <w:tcPr>
            <w:tcW w:w="8891" w:type="dxa"/>
            <w:gridSpan w:val="3"/>
            <w:vAlign w:val="center"/>
          </w:tcPr>
          <w:p>
            <w:pPr>
              <w:rPr>
                <w:rFonts w:ascii="宋体" w:hAnsi="宋体" w:cs="宋体"/>
                <w:sz w:val="21"/>
                <w:szCs w:val="21"/>
              </w:rPr>
            </w:pPr>
            <w:r>
              <w:rPr>
                <w:rFonts w:hint="eastAsia" w:ascii="宋体" w:hAnsi="宋体" w:cs="宋体"/>
                <w:sz w:val="21"/>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2</w:t>
            </w:r>
          </w:p>
        </w:tc>
        <w:tc>
          <w:tcPr>
            <w:tcW w:w="8891" w:type="dxa"/>
            <w:gridSpan w:val="3"/>
            <w:vAlign w:val="center"/>
          </w:tcPr>
          <w:p>
            <w:pPr>
              <w:rPr>
                <w:rFonts w:ascii="宋体" w:hAnsi="宋体" w:cs="宋体"/>
                <w:sz w:val="21"/>
                <w:szCs w:val="21"/>
              </w:rPr>
            </w:pPr>
            <w:r>
              <w:rPr>
                <w:rFonts w:hint="eastAsia" w:ascii="宋体" w:hAnsi="宋体" w:cs="宋体"/>
                <w:sz w:val="21"/>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3</w:t>
            </w:r>
          </w:p>
        </w:tc>
        <w:tc>
          <w:tcPr>
            <w:tcW w:w="8891" w:type="dxa"/>
            <w:gridSpan w:val="3"/>
            <w:vAlign w:val="center"/>
          </w:tcPr>
          <w:p>
            <w:pPr>
              <w:rPr>
                <w:rFonts w:ascii="宋体" w:hAnsi="宋体" w:cs="宋体"/>
                <w:sz w:val="21"/>
                <w:szCs w:val="21"/>
              </w:rPr>
            </w:pPr>
            <w:r>
              <w:rPr>
                <w:rFonts w:hint="eastAsia" w:ascii="宋体" w:hAnsi="宋体" w:cs="宋体"/>
                <w:sz w:val="21"/>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4</w:t>
            </w:r>
          </w:p>
        </w:tc>
        <w:tc>
          <w:tcPr>
            <w:tcW w:w="4316" w:type="dxa"/>
            <w:gridSpan w:val="2"/>
            <w:vAlign w:val="center"/>
          </w:tcPr>
          <w:p>
            <w:pPr>
              <w:rPr>
                <w:rFonts w:ascii="宋体" w:hAnsi="宋体" w:cs="宋体"/>
                <w:sz w:val="21"/>
                <w:szCs w:val="21"/>
              </w:rPr>
            </w:pPr>
            <w:r>
              <w:rPr>
                <w:rFonts w:hint="eastAsia" w:ascii="宋体" w:hAnsi="宋体" w:cs="宋体"/>
                <w:sz w:val="21"/>
                <w:szCs w:val="21"/>
              </w:rPr>
              <w:t>电话：</w:t>
            </w:r>
          </w:p>
        </w:tc>
        <w:tc>
          <w:tcPr>
            <w:tcW w:w="4575" w:type="dxa"/>
            <w:vAlign w:val="center"/>
          </w:tcPr>
          <w:p>
            <w:pPr>
              <w:rPr>
                <w:rFonts w:ascii="宋体" w:hAnsi="宋体" w:cs="宋体"/>
                <w:sz w:val="21"/>
                <w:szCs w:val="21"/>
              </w:rPr>
            </w:pPr>
            <w:r>
              <w:rPr>
                <w:rFonts w:hint="eastAsia" w:ascii="宋体" w:hAnsi="宋体" w:cs="宋体"/>
                <w:sz w:val="21"/>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5</w:t>
            </w:r>
          </w:p>
        </w:tc>
        <w:tc>
          <w:tcPr>
            <w:tcW w:w="4316" w:type="dxa"/>
            <w:gridSpan w:val="2"/>
            <w:vAlign w:val="center"/>
          </w:tcPr>
          <w:p>
            <w:pPr>
              <w:rPr>
                <w:rFonts w:ascii="宋体" w:hAnsi="宋体" w:cs="宋体"/>
                <w:sz w:val="21"/>
                <w:szCs w:val="21"/>
              </w:rPr>
            </w:pPr>
            <w:r>
              <w:rPr>
                <w:rFonts w:hint="eastAsia" w:ascii="宋体" w:hAnsi="宋体" w:cs="宋体"/>
                <w:sz w:val="21"/>
                <w:szCs w:val="21"/>
              </w:rPr>
              <w:t>传真：</w:t>
            </w:r>
          </w:p>
        </w:tc>
        <w:tc>
          <w:tcPr>
            <w:tcW w:w="4575" w:type="dxa"/>
            <w:vAlign w:val="center"/>
          </w:tcPr>
          <w:p>
            <w:pPr>
              <w:rPr>
                <w:rFonts w:ascii="宋体" w:hAnsi="宋体" w:cs="宋体"/>
                <w:sz w:val="21"/>
                <w:szCs w:val="21"/>
              </w:rPr>
            </w:pPr>
            <w:r>
              <w:rPr>
                <w:rFonts w:hint="eastAsia" w:ascii="宋体" w:hAnsi="宋体" w:cs="宋体"/>
                <w:sz w:val="21"/>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6</w:t>
            </w:r>
          </w:p>
        </w:tc>
        <w:tc>
          <w:tcPr>
            <w:tcW w:w="4316" w:type="dxa"/>
            <w:gridSpan w:val="2"/>
            <w:vAlign w:val="center"/>
          </w:tcPr>
          <w:p>
            <w:pPr>
              <w:rPr>
                <w:rFonts w:ascii="宋体" w:hAnsi="宋体" w:cs="宋体"/>
                <w:sz w:val="21"/>
                <w:szCs w:val="21"/>
              </w:rPr>
            </w:pPr>
            <w:r>
              <w:rPr>
                <w:rFonts w:hint="eastAsia" w:ascii="宋体" w:hAnsi="宋体" w:cs="宋体"/>
                <w:sz w:val="21"/>
                <w:szCs w:val="21"/>
              </w:rPr>
              <w:t>注册地：</w:t>
            </w:r>
          </w:p>
        </w:tc>
        <w:tc>
          <w:tcPr>
            <w:tcW w:w="4575" w:type="dxa"/>
            <w:vAlign w:val="center"/>
          </w:tcPr>
          <w:p>
            <w:pPr>
              <w:rPr>
                <w:rFonts w:ascii="宋体" w:hAnsi="宋体" w:cs="宋体"/>
                <w:sz w:val="21"/>
                <w:szCs w:val="21"/>
              </w:rPr>
            </w:pPr>
            <w:r>
              <w:rPr>
                <w:rFonts w:hint="eastAsia" w:ascii="宋体" w:hAnsi="宋体" w:cs="宋体"/>
                <w:sz w:val="21"/>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7</w:t>
            </w:r>
          </w:p>
        </w:tc>
        <w:tc>
          <w:tcPr>
            <w:tcW w:w="8891" w:type="dxa"/>
            <w:gridSpan w:val="3"/>
            <w:vAlign w:val="center"/>
          </w:tcPr>
          <w:p>
            <w:pPr>
              <w:rPr>
                <w:rFonts w:ascii="宋体" w:hAnsi="宋体" w:cs="宋体"/>
                <w:sz w:val="21"/>
                <w:szCs w:val="21"/>
              </w:rPr>
            </w:pPr>
            <w:r>
              <w:rPr>
                <w:rFonts w:hint="eastAsia" w:ascii="宋体" w:hAnsi="宋体" w:cs="宋体"/>
                <w:sz w:val="21"/>
                <w:szCs w:val="21"/>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8</w:t>
            </w:r>
          </w:p>
        </w:tc>
        <w:tc>
          <w:tcPr>
            <w:tcW w:w="8891" w:type="dxa"/>
            <w:gridSpan w:val="3"/>
            <w:vAlign w:val="center"/>
          </w:tcPr>
          <w:p>
            <w:pPr>
              <w:rPr>
                <w:rFonts w:ascii="宋体" w:hAnsi="宋体" w:cs="宋体"/>
                <w:sz w:val="21"/>
                <w:szCs w:val="21"/>
              </w:rPr>
            </w:pPr>
            <w:r>
              <w:rPr>
                <w:rFonts w:hint="eastAsia" w:ascii="宋体" w:hAnsi="宋体" w:cs="宋体"/>
                <w:sz w:val="21"/>
                <w:szCs w:val="21"/>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9</w:t>
            </w:r>
          </w:p>
        </w:tc>
        <w:tc>
          <w:tcPr>
            <w:tcW w:w="2527" w:type="dxa"/>
            <w:vAlign w:val="center"/>
          </w:tcPr>
          <w:p>
            <w:pPr>
              <w:rPr>
                <w:rFonts w:ascii="宋体" w:hAnsi="宋体" w:cs="宋体"/>
                <w:sz w:val="21"/>
                <w:szCs w:val="21"/>
              </w:rPr>
            </w:pPr>
            <w:r>
              <w:rPr>
                <w:rFonts w:hint="eastAsia" w:ascii="宋体" w:hAnsi="宋体" w:cs="宋体"/>
                <w:sz w:val="21"/>
                <w:szCs w:val="21"/>
              </w:rPr>
              <w:t>作为承包人经历年数</w:t>
            </w:r>
          </w:p>
        </w:tc>
        <w:tc>
          <w:tcPr>
            <w:tcW w:w="6364" w:type="dxa"/>
            <w:gridSpan w:val="2"/>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sz w:val="21"/>
                <w:szCs w:val="21"/>
              </w:rPr>
            </w:pPr>
            <w:r>
              <w:rPr>
                <w:rFonts w:hint="eastAsia" w:ascii="宋体" w:hAnsi="宋体" w:cs="宋体"/>
                <w:sz w:val="21"/>
                <w:szCs w:val="21"/>
              </w:rPr>
              <w:t>10</w:t>
            </w:r>
          </w:p>
        </w:tc>
        <w:tc>
          <w:tcPr>
            <w:tcW w:w="2527" w:type="dxa"/>
            <w:vAlign w:val="center"/>
          </w:tcPr>
          <w:p>
            <w:pPr>
              <w:rPr>
                <w:rFonts w:ascii="宋体" w:hAnsi="宋体" w:cs="宋体"/>
                <w:sz w:val="21"/>
                <w:szCs w:val="21"/>
              </w:rPr>
            </w:pPr>
            <w:r>
              <w:rPr>
                <w:rFonts w:hint="eastAsia" w:ascii="宋体" w:hAnsi="宋体" w:cs="宋体"/>
                <w:sz w:val="21"/>
                <w:szCs w:val="21"/>
              </w:rPr>
              <w:t>其他需要说明的情况</w:t>
            </w:r>
          </w:p>
        </w:tc>
        <w:tc>
          <w:tcPr>
            <w:tcW w:w="6364" w:type="dxa"/>
            <w:gridSpan w:val="2"/>
            <w:vAlign w:val="center"/>
          </w:tcPr>
          <w:p>
            <w:pPr>
              <w:rPr>
                <w:rFonts w:ascii="宋体" w:hAnsi="宋体" w:cs="宋体"/>
                <w:sz w:val="21"/>
                <w:szCs w:val="21"/>
              </w:rPr>
            </w:pPr>
          </w:p>
        </w:tc>
      </w:tr>
    </w:tbl>
    <w:p>
      <w:pPr>
        <w:spacing w:line="360" w:lineRule="auto"/>
        <w:rPr>
          <w:rFonts w:ascii="宋体" w:hAnsi="宋体"/>
          <w:spacing w:val="-6"/>
          <w:sz w:val="24"/>
        </w:rPr>
      </w:pPr>
    </w:p>
    <w:p>
      <w:pPr>
        <w:spacing w:line="360" w:lineRule="auto"/>
        <w:rPr>
          <w:rFonts w:ascii="宋体" w:hAnsi="宋体"/>
          <w:b/>
          <w:spacing w:val="-6"/>
          <w:sz w:val="21"/>
          <w:szCs w:val="21"/>
        </w:rPr>
      </w:pPr>
      <w:r>
        <w:rPr>
          <w:rFonts w:hint="eastAsia" w:ascii="宋体" w:hAnsi="宋体"/>
          <w:b/>
          <w:spacing w:val="-6"/>
          <w:sz w:val="21"/>
          <w:szCs w:val="21"/>
        </w:rPr>
        <w:t>说明：所有供应商都须填写此表。</w:t>
      </w:r>
    </w:p>
    <w:p>
      <w:pPr>
        <w:spacing w:line="360" w:lineRule="auto"/>
        <w:rPr>
          <w:rFonts w:ascii="宋体" w:hAnsi="宋体"/>
          <w:spacing w:val="-6"/>
          <w:sz w:val="24"/>
        </w:rPr>
      </w:pPr>
    </w:p>
    <w:p>
      <w:pPr>
        <w:spacing w:line="360" w:lineRule="auto"/>
        <w:rPr>
          <w:rFonts w:ascii="宋体" w:hAnsi="宋体"/>
          <w:spacing w:val="-6"/>
          <w:sz w:val="24"/>
        </w:rPr>
      </w:pPr>
    </w:p>
    <w:p>
      <w:pPr>
        <w:pStyle w:val="78"/>
        <w:rPr>
          <w:color w:val="auto"/>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pStyle w:val="18"/>
        <w:spacing w:line="360" w:lineRule="auto"/>
        <w:ind w:left="2" w:firstLine="0" w:firstLineChars="0"/>
        <w:rPr>
          <w:rFonts w:ascii="宋体" w:hAnsi="宋体"/>
          <w:spacing w:val="-6"/>
          <w:sz w:val="24"/>
        </w:rPr>
      </w:pPr>
      <w:r>
        <w:rPr>
          <w:rFonts w:hint="eastAsia" w:ascii="宋体" w:hAnsi="宋体"/>
          <w:spacing w:val="-6"/>
          <w:sz w:val="24"/>
        </w:rPr>
        <w:t>日期：     年   月   日</w:t>
      </w:r>
    </w:p>
    <w:p>
      <w:pPr>
        <w:pStyle w:val="11"/>
        <w:spacing w:line="288" w:lineRule="auto"/>
        <w:ind w:firstLine="458" w:firstLineChars="200"/>
        <w:jc w:val="center"/>
        <w:outlineLvl w:val="2"/>
        <w:rPr>
          <w:rFonts w:hAnsi="宋体"/>
          <w:b/>
          <w:bCs/>
          <w:spacing w:val="-6"/>
          <w:sz w:val="21"/>
          <w:szCs w:val="21"/>
        </w:rPr>
      </w:pPr>
      <w:r>
        <w:rPr>
          <w:rFonts w:hAnsi="宋体"/>
          <w:b/>
          <w:spacing w:val="-6"/>
          <w:sz w:val="24"/>
        </w:rPr>
        <w:br w:type="page"/>
      </w:r>
      <w:r>
        <w:rPr>
          <w:rFonts w:hint="eastAsia" w:hAnsi="宋体"/>
          <w:b/>
          <w:bCs/>
          <w:spacing w:val="-6"/>
          <w:sz w:val="24"/>
          <w:szCs w:val="24"/>
        </w:rPr>
        <w:t>资格审查要求的资格证明材料(均需加盖公章)</w:t>
      </w:r>
    </w:p>
    <w:p>
      <w:pPr>
        <w:pStyle w:val="18"/>
        <w:spacing w:line="360" w:lineRule="auto"/>
        <w:ind w:left="0" w:firstLine="0" w:firstLineChars="0"/>
        <w:jc w:val="center"/>
        <w:rPr>
          <w:rFonts w:ascii="宋体" w:hAnsi="宋体"/>
          <w:b/>
          <w:spacing w:val="-6"/>
          <w:sz w:val="24"/>
        </w:rPr>
      </w:pPr>
    </w:p>
    <w:p>
      <w:pPr>
        <w:pStyle w:val="18"/>
        <w:spacing w:line="360" w:lineRule="auto"/>
        <w:ind w:left="0" w:firstLine="0" w:firstLineChars="0"/>
        <w:jc w:val="center"/>
        <w:rPr>
          <w:rFonts w:hAnsi="宋体"/>
          <w:b/>
          <w:spacing w:val="-6"/>
          <w:sz w:val="24"/>
        </w:rPr>
      </w:pPr>
      <w:r>
        <w:rPr>
          <w:rFonts w:hint="eastAsia" w:hAnsi="宋体"/>
          <w:b/>
          <w:spacing w:val="-6"/>
          <w:sz w:val="24"/>
        </w:rPr>
        <w:t>有效的法人或者其他组织的营业执照等证明文件</w:t>
      </w:r>
      <w:r>
        <w:rPr>
          <w:rFonts w:hint="eastAsia" w:hAnsi="宋体"/>
          <w:spacing w:val="-6"/>
          <w:sz w:val="24"/>
        </w:rPr>
        <w:t>（复印件）</w:t>
      </w:r>
      <w:r>
        <w:rPr>
          <w:rFonts w:hint="eastAsia" w:hAnsi="宋体"/>
          <w:b/>
          <w:spacing w:val="-6"/>
          <w:sz w:val="24"/>
        </w:rPr>
        <w:t>，自然人的身份证明</w:t>
      </w:r>
    </w:p>
    <w:p>
      <w:pPr>
        <w:pStyle w:val="18"/>
        <w:spacing w:line="360" w:lineRule="auto"/>
        <w:ind w:left="2" w:firstLine="0" w:firstLineChars="0"/>
        <w:jc w:val="center"/>
        <w:rPr>
          <w:rFonts w:hAnsi="宋体"/>
          <w:b/>
          <w:spacing w:val="-6"/>
          <w:sz w:val="24"/>
        </w:rPr>
      </w:pPr>
    </w:p>
    <w:p>
      <w:pPr>
        <w:pStyle w:val="18"/>
        <w:spacing w:line="360" w:lineRule="auto"/>
        <w:ind w:left="0" w:firstLine="0" w:firstLineChars="0"/>
        <w:jc w:val="center"/>
        <w:rPr>
          <w:rFonts w:hAnsi="宋体"/>
          <w:b/>
          <w:spacing w:val="-6"/>
          <w:sz w:val="24"/>
        </w:rPr>
      </w:pPr>
    </w:p>
    <w:p>
      <w:pPr>
        <w:pStyle w:val="18"/>
        <w:spacing w:line="360" w:lineRule="auto"/>
        <w:ind w:left="2" w:firstLine="0" w:firstLineChars="0"/>
        <w:jc w:val="center"/>
        <w:rPr>
          <w:rFonts w:hAnsi="宋体"/>
          <w:b/>
          <w:spacing w:val="-6"/>
          <w:sz w:val="24"/>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如供应商是企业（包括合伙企业），提供在工商部门注册的有效“企业法人营业执照”或“营业执照”；</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如供应商是事业单位，提供有效的“事业单位法人证书”；</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如供应商是非企业专业服务机构的，提供执业许可证等证明文件；</w:t>
      </w:r>
    </w:p>
    <w:p>
      <w:pPr>
        <w:spacing w:line="360" w:lineRule="auto"/>
        <w:rPr>
          <w:rFonts w:ascii="宋体" w:hAnsi="宋体"/>
          <w:b/>
          <w:sz w:val="21"/>
          <w:szCs w:val="21"/>
        </w:rPr>
      </w:pPr>
      <w:r>
        <w:rPr>
          <w:rFonts w:hint="eastAsia" w:ascii="宋体" w:hAnsi="宋体"/>
          <w:b/>
          <w:sz w:val="21"/>
          <w:szCs w:val="21"/>
        </w:rPr>
        <w:t>4</w:t>
      </w:r>
      <w:r>
        <w:rPr>
          <w:rFonts w:ascii="宋体" w:hAnsi="宋体"/>
          <w:b/>
          <w:sz w:val="21"/>
          <w:szCs w:val="21"/>
        </w:rPr>
        <w:t>.</w:t>
      </w:r>
      <w:r>
        <w:rPr>
          <w:rFonts w:hint="eastAsia" w:ascii="宋体" w:hAnsi="宋体"/>
          <w:b/>
          <w:sz w:val="21"/>
          <w:szCs w:val="21"/>
        </w:rPr>
        <w:t>如供应商是个体工商户，提供有效的“个体工商户营业执照”；</w:t>
      </w:r>
    </w:p>
    <w:p>
      <w:pPr>
        <w:spacing w:line="360" w:lineRule="auto"/>
        <w:rPr>
          <w:rFonts w:ascii="宋体" w:hAnsi="宋体"/>
          <w:b/>
          <w:sz w:val="21"/>
          <w:szCs w:val="21"/>
        </w:rPr>
      </w:pPr>
      <w:r>
        <w:rPr>
          <w:rFonts w:hint="eastAsia" w:ascii="宋体" w:hAnsi="宋体"/>
          <w:b/>
          <w:sz w:val="21"/>
          <w:szCs w:val="21"/>
        </w:rPr>
        <w:t>5</w:t>
      </w:r>
      <w:r>
        <w:rPr>
          <w:rFonts w:ascii="宋体" w:hAnsi="宋体"/>
          <w:b/>
          <w:sz w:val="21"/>
          <w:szCs w:val="21"/>
        </w:rPr>
        <w:t>.</w:t>
      </w:r>
      <w:r>
        <w:rPr>
          <w:rFonts w:hint="eastAsia" w:ascii="宋体" w:hAnsi="宋体"/>
          <w:b/>
          <w:sz w:val="21"/>
          <w:szCs w:val="21"/>
        </w:rPr>
        <w:t>如供应商是自然人，提供有效的自然人身份证明。</w:t>
      </w:r>
    </w:p>
    <w:p>
      <w:pPr>
        <w:pStyle w:val="18"/>
        <w:spacing w:line="360" w:lineRule="auto"/>
        <w:ind w:left="0" w:firstLine="0" w:firstLineChars="0"/>
        <w:jc w:val="center"/>
        <w:rPr>
          <w:rFonts w:hAnsi="宋体"/>
          <w:bCs/>
          <w:spacing w:val="-6"/>
          <w:sz w:val="24"/>
        </w:rPr>
      </w:pPr>
      <w:r>
        <w:rPr>
          <w:rFonts w:hAnsi="宋体"/>
          <w:b/>
          <w:spacing w:val="-6"/>
          <w:sz w:val="24"/>
        </w:rPr>
        <w:br w:type="page"/>
      </w:r>
      <w:r>
        <w:rPr>
          <w:rFonts w:hint="eastAsia" w:hAnsi="宋体"/>
          <w:b/>
          <w:spacing w:val="-6"/>
          <w:sz w:val="24"/>
        </w:rPr>
        <w:t>2018年12月至今任意一月的财务状况报告（复印件）或响应文件开启前三个月内出具的银行资信证明（若资信证明中注明复印无效，需提交正本）</w:t>
      </w:r>
    </w:p>
    <w:p>
      <w:pPr>
        <w:pStyle w:val="18"/>
        <w:spacing w:line="360" w:lineRule="auto"/>
        <w:ind w:left="0" w:firstLine="0" w:firstLineChars="0"/>
        <w:jc w:val="center"/>
        <w:rPr>
          <w:rFonts w:hAnsi="宋体"/>
          <w:bCs/>
          <w:spacing w:val="-6"/>
          <w:sz w:val="24"/>
        </w:rPr>
      </w:pPr>
    </w:p>
    <w:p>
      <w:pPr>
        <w:pStyle w:val="18"/>
        <w:spacing w:line="360" w:lineRule="auto"/>
        <w:ind w:left="0" w:firstLine="0" w:firstLineChars="0"/>
        <w:jc w:val="center"/>
        <w:rPr>
          <w:rFonts w:hAnsi="宋体"/>
          <w:bCs/>
          <w:spacing w:val="-6"/>
          <w:sz w:val="24"/>
        </w:rPr>
      </w:pPr>
    </w:p>
    <w:p>
      <w:pPr>
        <w:pStyle w:val="18"/>
        <w:spacing w:line="360" w:lineRule="auto"/>
        <w:ind w:left="0" w:firstLine="0" w:firstLineChars="0"/>
        <w:jc w:val="center"/>
        <w:rPr>
          <w:rFonts w:hAnsi="宋体"/>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1.供应商是法人的，应提供财务状况报告，包括2018年12月至今任意一月的资产负债表、利润表或响应文件开启前三个月内其基本开户银行出具的资信证明</w:t>
      </w:r>
      <w:r>
        <w:rPr>
          <w:rFonts w:hint="eastAsia" w:ascii="宋体" w:hAnsi="宋体"/>
          <w:b/>
          <w:spacing w:val="-6"/>
          <w:sz w:val="21"/>
          <w:szCs w:val="21"/>
        </w:rPr>
        <w:t>（若资信证明中注明复印无效，需提交正本）</w:t>
      </w:r>
      <w:r>
        <w:rPr>
          <w:rFonts w:hint="eastAsia" w:ascii="宋体" w:hAnsi="宋体"/>
          <w:b/>
          <w:bCs/>
          <w:spacing w:val="-6"/>
          <w:sz w:val="21"/>
          <w:szCs w:val="21"/>
        </w:rPr>
        <w:t>，并加盖公章；</w:t>
      </w:r>
    </w:p>
    <w:p>
      <w:pPr>
        <w:spacing w:line="360" w:lineRule="auto"/>
        <w:rPr>
          <w:rFonts w:ascii="宋体" w:hAnsi="宋体"/>
          <w:b/>
          <w:bCs/>
          <w:spacing w:val="-6"/>
          <w:sz w:val="21"/>
          <w:szCs w:val="21"/>
        </w:rPr>
      </w:pPr>
      <w:r>
        <w:rPr>
          <w:rFonts w:hint="eastAsia" w:ascii="宋体" w:hAnsi="宋体"/>
          <w:b/>
          <w:bCs/>
          <w:spacing w:val="-6"/>
          <w:sz w:val="21"/>
          <w:szCs w:val="21"/>
        </w:rPr>
        <w:t>2.部分其他组织和自然人没有财务状况报告的，可以提供银行出具的资信证明</w:t>
      </w:r>
      <w:r>
        <w:rPr>
          <w:rFonts w:hint="eastAsia" w:ascii="宋体" w:hAnsi="宋体"/>
          <w:b/>
          <w:spacing w:val="-6"/>
          <w:sz w:val="21"/>
          <w:szCs w:val="21"/>
        </w:rPr>
        <w:t>(若资信证明中注明复印无效，需提交正本)</w:t>
      </w:r>
      <w:r>
        <w:rPr>
          <w:rFonts w:hint="eastAsia" w:ascii="宋体" w:hAnsi="宋体"/>
          <w:b/>
          <w:bCs/>
          <w:spacing w:val="-6"/>
          <w:sz w:val="21"/>
          <w:szCs w:val="21"/>
        </w:rPr>
        <w:t>,并加盖公章；</w:t>
      </w:r>
    </w:p>
    <w:p>
      <w:pPr>
        <w:spacing w:line="360" w:lineRule="auto"/>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银行资信证明应能说明供应商与银行之间业务往来正常，企业信誉良好等，</w:t>
      </w:r>
      <w:r>
        <w:rPr>
          <w:rFonts w:hint="eastAsia" w:ascii="宋体" w:hAnsi="宋体"/>
          <w:b/>
          <w:spacing w:val="-6"/>
          <w:sz w:val="21"/>
          <w:szCs w:val="21"/>
        </w:rPr>
        <w:t>银行出具的存款证明不能替代银行资信证明</w:t>
      </w:r>
      <w:r>
        <w:rPr>
          <w:rFonts w:hint="eastAsia" w:ascii="宋体" w:hAnsi="宋体"/>
          <w:b/>
          <w:bCs/>
          <w:spacing w:val="-6"/>
          <w:sz w:val="21"/>
          <w:szCs w:val="21"/>
        </w:rPr>
        <w:t>。</w:t>
      </w:r>
    </w:p>
    <w:p>
      <w:pPr>
        <w:pStyle w:val="11"/>
        <w:spacing w:line="360" w:lineRule="auto"/>
        <w:ind w:firstLine="0"/>
        <w:jc w:val="center"/>
        <w:rPr>
          <w:rFonts w:hAnsi="宋体"/>
          <w:b/>
          <w:spacing w:val="-6"/>
          <w:sz w:val="24"/>
          <w:szCs w:val="24"/>
        </w:rPr>
      </w:pPr>
      <w:r>
        <w:rPr>
          <w:rFonts w:hAnsi="宋体"/>
          <w:b/>
          <w:spacing w:val="-6"/>
          <w:sz w:val="24"/>
          <w:szCs w:val="24"/>
        </w:rPr>
        <w:br w:type="page"/>
      </w:r>
      <w:r>
        <w:rPr>
          <w:rFonts w:hint="eastAsia" w:hAnsi="宋体"/>
          <w:b/>
          <w:spacing w:val="-6"/>
          <w:sz w:val="24"/>
          <w:szCs w:val="24"/>
        </w:rPr>
        <w:t>2019年1月至今任意一月依法缴纳税收的证明材料</w:t>
      </w:r>
    </w:p>
    <w:p>
      <w:pPr>
        <w:pStyle w:val="11"/>
        <w:spacing w:line="360" w:lineRule="auto"/>
        <w:ind w:firstLine="0"/>
        <w:jc w:val="center"/>
        <w:rPr>
          <w:rFonts w:hAnsi="宋体"/>
          <w:b/>
          <w:bCs/>
          <w:spacing w:val="-6"/>
          <w:sz w:val="21"/>
          <w:szCs w:val="21"/>
        </w:rPr>
      </w:pPr>
      <w:r>
        <w:rPr>
          <w:rFonts w:hint="eastAsia" w:hAnsi="宋体"/>
          <w:b/>
          <w:bCs/>
          <w:spacing w:val="-6"/>
          <w:sz w:val="21"/>
          <w:szCs w:val="21"/>
        </w:rPr>
        <w:t>（依法免税的供应商应提供相应文件证明其依法免税）</w:t>
      </w:r>
    </w:p>
    <w:p>
      <w:pPr>
        <w:pStyle w:val="11"/>
        <w:spacing w:line="360" w:lineRule="auto"/>
        <w:ind w:firstLine="0"/>
        <w:jc w:val="center"/>
        <w:rPr>
          <w:rFonts w:hAnsi="宋体"/>
          <w:spacing w:val="-6"/>
          <w:sz w:val="24"/>
          <w:szCs w:val="24"/>
        </w:rPr>
      </w:pPr>
    </w:p>
    <w:p>
      <w:pPr>
        <w:pStyle w:val="11"/>
        <w:spacing w:line="360" w:lineRule="auto"/>
        <w:ind w:firstLine="0"/>
        <w:jc w:val="center"/>
        <w:rPr>
          <w:rFonts w:hAnsi="宋体"/>
          <w:spacing w:val="-6"/>
          <w:sz w:val="24"/>
          <w:szCs w:val="24"/>
        </w:rPr>
      </w:pPr>
    </w:p>
    <w:p>
      <w:pPr>
        <w:pStyle w:val="11"/>
        <w:spacing w:line="360" w:lineRule="auto"/>
        <w:ind w:firstLine="0"/>
        <w:jc w:val="center"/>
        <w:rPr>
          <w:rFonts w:hAnsi="宋体"/>
          <w:spacing w:val="-6"/>
          <w:sz w:val="24"/>
          <w:szCs w:val="24"/>
        </w:rPr>
      </w:pPr>
    </w:p>
    <w:p>
      <w:pPr>
        <w:pStyle w:val="18"/>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依法缴纳税收的证明材料指供应商依法缴纳税收的凭据（完税证明或</w:t>
      </w:r>
      <w:r>
        <w:rPr>
          <w:rFonts w:ascii="宋体" w:hAnsi="宋体"/>
          <w:b/>
          <w:sz w:val="21"/>
          <w:szCs w:val="21"/>
        </w:rPr>
        <w:t>纳税证明</w:t>
      </w:r>
      <w:r>
        <w:rPr>
          <w:rFonts w:hint="eastAsia" w:ascii="宋体" w:hAnsi="宋体"/>
          <w:b/>
          <w:sz w:val="21"/>
          <w:szCs w:val="21"/>
        </w:rPr>
        <w:t>或银行电子缴税付款凭证等）；</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依法免税的供应商应提供相应文件证明其依法免税；</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供应商因新注册成立等原因无法提供相关材料的，应在响应文件中提交如实的情况说明。</w:t>
      </w:r>
    </w:p>
    <w:p>
      <w:pPr>
        <w:pStyle w:val="11"/>
        <w:spacing w:line="360" w:lineRule="auto"/>
        <w:ind w:firstLine="0"/>
        <w:jc w:val="center"/>
        <w:rPr>
          <w:rFonts w:hAnsi="宋体"/>
          <w:b/>
          <w:spacing w:val="-6"/>
          <w:sz w:val="24"/>
          <w:szCs w:val="24"/>
        </w:rPr>
      </w:pPr>
      <w:r>
        <w:rPr>
          <w:rFonts w:hAnsi="宋体"/>
          <w:b/>
          <w:spacing w:val="-6"/>
          <w:sz w:val="24"/>
          <w:szCs w:val="24"/>
        </w:rPr>
        <w:br w:type="page"/>
      </w:r>
      <w:r>
        <w:rPr>
          <w:rFonts w:hint="eastAsia" w:hAnsi="宋体"/>
          <w:b/>
          <w:spacing w:val="-6"/>
          <w:sz w:val="24"/>
          <w:szCs w:val="24"/>
        </w:rPr>
        <w:t>2019年1月至今任意一月依法缴纳社会保障资金的证明材料</w:t>
      </w:r>
    </w:p>
    <w:p>
      <w:pPr>
        <w:pStyle w:val="11"/>
        <w:spacing w:line="360" w:lineRule="auto"/>
        <w:ind w:firstLine="0"/>
        <w:jc w:val="center"/>
        <w:rPr>
          <w:rFonts w:hAnsi="宋体"/>
          <w:b/>
          <w:bCs/>
          <w:spacing w:val="-6"/>
          <w:sz w:val="21"/>
          <w:szCs w:val="21"/>
        </w:rPr>
      </w:pPr>
      <w:r>
        <w:rPr>
          <w:rFonts w:hint="eastAsia" w:hAnsi="宋体"/>
          <w:b/>
          <w:bCs/>
          <w:spacing w:val="-6"/>
          <w:sz w:val="21"/>
          <w:szCs w:val="21"/>
        </w:rPr>
        <w:t>（依法不需要缴纳社会保障资金的供应商应提供相应文件证明其依法不需要缴纳社会保障资金）</w:t>
      </w:r>
    </w:p>
    <w:p>
      <w:pPr>
        <w:pStyle w:val="11"/>
        <w:spacing w:line="360" w:lineRule="auto"/>
        <w:ind w:firstLine="0"/>
        <w:jc w:val="center"/>
        <w:rPr>
          <w:rFonts w:hAnsi="宋体"/>
          <w:spacing w:val="-6"/>
          <w:sz w:val="24"/>
          <w:szCs w:val="24"/>
        </w:rPr>
      </w:pPr>
    </w:p>
    <w:p>
      <w:pPr>
        <w:pStyle w:val="11"/>
        <w:spacing w:line="360" w:lineRule="auto"/>
        <w:ind w:firstLine="0"/>
        <w:jc w:val="center"/>
        <w:rPr>
          <w:rFonts w:hAnsi="宋体"/>
          <w:spacing w:val="-6"/>
          <w:sz w:val="24"/>
          <w:szCs w:val="24"/>
        </w:rPr>
      </w:pPr>
    </w:p>
    <w:p>
      <w:pPr>
        <w:pStyle w:val="11"/>
        <w:spacing w:line="360" w:lineRule="auto"/>
        <w:ind w:firstLine="0"/>
        <w:jc w:val="center"/>
        <w:rPr>
          <w:rFonts w:hAnsi="宋体"/>
          <w:spacing w:val="-6"/>
          <w:sz w:val="24"/>
          <w:szCs w:val="24"/>
        </w:rPr>
      </w:pPr>
    </w:p>
    <w:p>
      <w:pPr>
        <w:pStyle w:val="18"/>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依法缴纳社会保障资金的证明材料指供应商依法缴纳社会保险的凭据（社保缴费专用收据或银行电子缴税付款凭证或社会保险缴纳清单等）；</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依法不需要缴纳社会保障资金的供应商应提供相应文件证明其依法不需要缴纳社会保障资金；</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供应商因新注册成立等原因无法提供相关材料的，应在响应文件中提交如实的情况说明。</w:t>
      </w:r>
    </w:p>
    <w:p>
      <w:pPr>
        <w:widowControl/>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具有履行合同所必需的设备和专业技术能力的承诺函（</w:t>
      </w:r>
      <w:r>
        <w:rPr>
          <w:rFonts w:ascii="宋体" w:hAnsi="宋体"/>
          <w:b/>
          <w:spacing w:val="-6"/>
          <w:sz w:val="24"/>
        </w:rPr>
        <w:t>格式自拟）</w:t>
      </w: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widowControl/>
        <w:spacing w:line="360" w:lineRule="auto"/>
        <w:rPr>
          <w:rFonts w:ascii="宋体" w:hAnsi="宋体"/>
          <w:spacing w:val="-6"/>
          <w:sz w:val="24"/>
        </w:rPr>
      </w:pPr>
      <w:r>
        <w:rPr>
          <w:rFonts w:hint="eastAsia" w:ascii="宋体" w:hAnsi="宋体"/>
          <w:spacing w:val="-6"/>
          <w:sz w:val="24"/>
        </w:rPr>
        <w:t>日期：     年   月   日</w:t>
      </w:r>
    </w:p>
    <w:p>
      <w:pPr>
        <w:widowControl/>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参加政府采购活动前3年内在经营活动中没有重大违法记录的书面声明</w:t>
      </w:r>
    </w:p>
    <w:p>
      <w:pPr>
        <w:pStyle w:val="18"/>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spacing w:line="360" w:lineRule="auto"/>
        <w:rPr>
          <w:rFonts w:ascii="宋体" w:hAnsi="宋体"/>
          <w:spacing w:val="-6"/>
          <w:sz w:val="24"/>
        </w:rPr>
      </w:pPr>
      <w:r>
        <w:rPr>
          <w:rFonts w:hint="eastAsia" w:ascii="宋体" w:hAnsi="宋体"/>
          <w:spacing w:val="-6"/>
          <w:sz w:val="24"/>
        </w:rPr>
        <w:t>致：中国美术学院、浙江求是招标代理有限公司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我公司郑重承诺在参加本项目政府采购活动前三年内，在经营活动中</w:t>
      </w:r>
      <w:r>
        <w:rPr>
          <w:rFonts w:hint="eastAsia" w:ascii="宋体" w:hAnsi="宋体"/>
          <w:b/>
          <w:spacing w:val="-6"/>
          <w:sz w:val="24"/>
        </w:rPr>
        <w:t>（填写“有”或“没有”，如实填写，如不填写视同未提供本声明函）</w:t>
      </w:r>
      <w:r>
        <w:rPr>
          <w:rFonts w:hint="eastAsia" w:ascii="宋体" w:hAnsi="宋体"/>
          <w:spacing w:val="-6"/>
          <w:sz w:val="24"/>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spacing w:val="-6"/>
          <w:sz w:val="24"/>
        </w:rPr>
      </w:pPr>
      <w:r>
        <w:rPr>
          <w:rFonts w:hAnsi="宋体"/>
          <w:spacing w:val="-6"/>
          <w:sz w:val="24"/>
        </w:rPr>
        <w:t>以上事项如有虚假或隐瞒，我方愿意承担一切后果和责任。</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pStyle w:val="78"/>
        <w:spacing w:line="360" w:lineRule="auto"/>
        <w:rPr>
          <w:rFonts w:ascii="宋体" w:hAnsi="宋体"/>
          <w:color w:val="auto"/>
          <w:spacing w:val="-6"/>
        </w:rPr>
      </w:pPr>
    </w:p>
    <w:p>
      <w:pPr>
        <w:pStyle w:val="81"/>
        <w:spacing w:line="360" w:lineRule="auto"/>
        <w:ind w:left="0"/>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widowControl/>
        <w:tabs>
          <w:tab w:val="left" w:pos="3225"/>
        </w:tabs>
        <w:spacing w:line="360" w:lineRule="auto"/>
        <w:rPr>
          <w:rFonts w:ascii="宋体" w:hAnsi="宋体"/>
          <w:b/>
          <w:spacing w:val="-6"/>
          <w:sz w:val="24"/>
        </w:rPr>
      </w:pPr>
      <w:r>
        <w:rPr>
          <w:rFonts w:hint="eastAsia" w:ascii="宋体" w:hAnsi="宋体"/>
          <w:spacing w:val="-6"/>
          <w:sz w:val="24"/>
        </w:rPr>
        <w:t>日期：     年   月   日</w:t>
      </w:r>
    </w:p>
    <w:p>
      <w:pPr>
        <w:widowControl/>
        <w:tabs>
          <w:tab w:val="left" w:pos="3225"/>
        </w:tabs>
        <w:spacing w:line="360" w:lineRule="auto"/>
        <w:jc w:val="center"/>
        <w:outlineLvl w:val="2"/>
        <w:rPr>
          <w:rFonts w:ascii="宋体" w:hAnsi="宋体"/>
          <w:sz w:val="24"/>
        </w:rPr>
      </w:pPr>
      <w:r>
        <w:rPr>
          <w:rFonts w:ascii="宋体" w:hAnsi="宋体"/>
          <w:b/>
          <w:spacing w:val="-6"/>
          <w:sz w:val="24"/>
        </w:rPr>
        <w:br w:type="page"/>
      </w:r>
      <w:r>
        <w:rPr>
          <w:rFonts w:hint="eastAsia" w:ascii="宋体" w:hAnsi="宋体"/>
          <w:b/>
          <w:spacing w:val="-6"/>
          <w:sz w:val="24"/>
        </w:rPr>
        <w:t>供应商同类项目实施情况一览表</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b/>
                <w:bCs/>
                <w:sz w:val="21"/>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合同金额</w:t>
            </w:r>
          </w:p>
          <w:p>
            <w:pPr>
              <w:jc w:val="center"/>
              <w:rPr>
                <w:b/>
                <w:bCs/>
                <w:sz w:val="21"/>
                <w:szCs w:val="21"/>
              </w:rPr>
            </w:pPr>
            <w:r>
              <w:rPr>
                <w:rFonts w:hint="eastAsia"/>
                <w:b/>
                <w:bCs/>
                <w:sz w:val="21"/>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rFonts w:hint="eastAsia"/>
                <w:b/>
                <w:bCs/>
                <w:sz w:val="21"/>
                <w:szCs w:val="21"/>
              </w:rPr>
              <w:t>采购单位联系人</w:t>
            </w:r>
          </w:p>
          <w:p>
            <w:pPr>
              <w:jc w:val="center"/>
              <w:rPr>
                <w:b/>
                <w:bCs/>
                <w:sz w:val="21"/>
                <w:szCs w:val="21"/>
              </w:rPr>
            </w:pPr>
            <w:r>
              <w:rPr>
                <w:rFonts w:hint="eastAsia"/>
                <w:b/>
                <w:bCs/>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p>
        </w:tc>
        <w:tc>
          <w:tcPr>
            <w:tcW w:w="1983" w:type="dxa"/>
            <w:tcBorders>
              <w:top w:val="single" w:color="auto" w:sz="4" w:space="0"/>
              <w:left w:val="single" w:color="auto" w:sz="4" w:space="0"/>
              <w:bottom w:val="single" w:color="auto" w:sz="4" w:space="0"/>
              <w:right w:val="single" w:color="auto" w:sz="4" w:space="0"/>
            </w:tcBorders>
          </w:tcPr>
          <w:p>
            <w:pPr>
              <w:jc w:val="center"/>
              <w:rPr>
                <w:b/>
                <w:bCs/>
                <w:sz w:val="21"/>
                <w:szCs w:val="21"/>
              </w:rPr>
            </w:pPr>
          </w:p>
        </w:tc>
      </w:tr>
    </w:tbl>
    <w:p>
      <w:pPr>
        <w:pStyle w:val="18"/>
        <w:spacing w:line="360" w:lineRule="auto"/>
        <w:ind w:left="480" w:hanging="480"/>
        <w:rPr>
          <w:rFonts w:ascii="宋体" w:hAnsi="宋体"/>
          <w:sz w:val="24"/>
        </w:rPr>
      </w:pPr>
    </w:p>
    <w:p>
      <w:pPr>
        <w:spacing w:line="360" w:lineRule="auto"/>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供应商须提供上述业绩合同复印件；</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所有合同复印件应清晰，应能体现合同签订时间、双方签字盖章等内容；</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供应商应在不涉及商业秘密的前提下尽可能提供详细的合同复印件内容。</w:t>
      </w:r>
    </w:p>
    <w:p>
      <w:pPr>
        <w:pStyle w:val="81"/>
        <w:spacing w:line="360" w:lineRule="auto"/>
        <w:ind w:left="0"/>
        <w:rPr>
          <w:rFonts w:ascii="宋体" w:hAnsi="宋体"/>
          <w:spacing w:val="-6"/>
          <w:sz w:val="24"/>
        </w:rPr>
      </w:pPr>
    </w:p>
    <w:p>
      <w:pPr>
        <w:spacing w:line="360" w:lineRule="auto"/>
        <w:rPr>
          <w:rFonts w:ascii="宋体" w:hAnsi="宋体"/>
          <w:spacing w:val="-6"/>
          <w:sz w:val="24"/>
        </w:rPr>
      </w:pPr>
    </w:p>
    <w:p>
      <w:pPr>
        <w:pStyle w:val="78"/>
        <w:spacing w:line="360" w:lineRule="auto"/>
        <w:rPr>
          <w:color w:val="auto"/>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jc w:val="center"/>
        <w:outlineLvl w:val="2"/>
        <w:rPr>
          <w:rFonts w:ascii="宋体" w:hAnsi="宋体"/>
          <w:b/>
          <w:sz w:val="24"/>
        </w:rPr>
      </w:pPr>
      <w:r>
        <w:rPr>
          <w:rFonts w:ascii="宋体" w:hAnsi="宋体"/>
          <w:b/>
          <w:sz w:val="24"/>
        </w:rPr>
        <w:br w:type="page"/>
      </w:r>
      <w:r>
        <w:rPr>
          <w:rFonts w:hint="eastAsia" w:ascii="宋体" w:hAnsi="宋体"/>
          <w:b/>
          <w:sz w:val="24"/>
        </w:rPr>
        <w:t>节能、环保产品证明材料</w:t>
      </w:r>
    </w:p>
    <w:p>
      <w:pPr>
        <w:spacing w:line="288" w:lineRule="auto"/>
        <w:rPr>
          <w:rFonts w:ascii="宋体" w:hAnsi="宋体"/>
          <w:b/>
          <w:sz w:val="21"/>
          <w:szCs w:val="21"/>
        </w:rPr>
      </w:pPr>
      <w:r>
        <w:rPr>
          <w:rFonts w:hint="eastAsia" w:ascii="宋体" w:hAnsi="宋体"/>
          <w:b/>
          <w:sz w:val="21"/>
          <w:szCs w:val="21"/>
        </w:rPr>
        <w:t>说明：响应产品属于品目清单范围且提供国家确定的认证机构出具的处于有效期之内的节能产品、环境标志产品认证证书（复印件加盖公章）。</w:t>
      </w:r>
    </w:p>
    <w:p>
      <w:pPr>
        <w:spacing w:line="360" w:lineRule="auto"/>
        <w:jc w:val="center"/>
        <w:outlineLvl w:val="2"/>
        <w:rPr>
          <w:rFonts w:ascii="宋体" w:hAnsi="宋体"/>
          <w:b/>
          <w:sz w:val="21"/>
          <w:szCs w:val="21"/>
        </w:rPr>
      </w:pPr>
      <w:r>
        <w:rPr>
          <w:rFonts w:hint="eastAsia" w:ascii="宋体" w:hAnsi="宋体"/>
          <w:b/>
          <w:sz w:val="21"/>
          <w:szCs w:val="21"/>
        </w:rPr>
        <w:br w:type="page"/>
      </w:r>
      <w:r>
        <w:rPr>
          <w:rFonts w:hint="eastAsia" w:ascii="宋体" w:hAnsi="宋体"/>
          <w:b/>
          <w:sz w:val="24"/>
        </w:rPr>
        <w:t>供应商需要说明的其他文件和材料</w:t>
      </w:r>
    </w:p>
    <w:p>
      <w:pPr>
        <w:spacing w:line="360" w:lineRule="auto"/>
        <w:rPr>
          <w:rFonts w:ascii="宋体" w:hAnsi="宋体"/>
          <w:b/>
          <w:bCs/>
          <w:sz w:val="21"/>
          <w:szCs w:val="21"/>
        </w:rPr>
      </w:pPr>
      <w:r>
        <w:rPr>
          <w:rFonts w:hint="eastAsia" w:ascii="宋体" w:hAnsi="宋体"/>
          <w:b/>
          <w:bCs/>
          <w:sz w:val="21"/>
          <w:szCs w:val="21"/>
        </w:rPr>
        <w:t>说明：包括但不仅限于供应商有效的质量管理体系认证证明材料、（信用等级证书、标本合格检测报告）复印件，供应商或软件开发商智慧互动教学平台类、中草药辨识类、药材查询及演示类软件著作权登记证书复印件。</w:t>
      </w:r>
    </w:p>
    <w:p>
      <w:pPr>
        <w:spacing w:line="360" w:lineRule="auto"/>
        <w:jc w:val="center"/>
        <w:outlineLvl w:val="1"/>
        <w:rPr>
          <w:rFonts w:ascii="宋体" w:hAnsi="宋体"/>
          <w:b/>
          <w:sz w:val="52"/>
          <w:szCs w:val="52"/>
        </w:rPr>
      </w:pPr>
      <w:r>
        <w:rPr>
          <w:rFonts w:ascii="宋体" w:hAnsi="宋体"/>
          <w:sz w:val="24"/>
        </w:rPr>
        <w:br w:type="page"/>
      </w:r>
      <w:bookmarkStart w:id="74" w:name="_Toc16218"/>
      <w:bookmarkStart w:id="75" w:name="_Toc7813"/>
      <w:r>
        <w:rPr>
          <w:rFonts w:hint="eastAsia" w:ascii="宋体" w:hAnsi="宋体"/>
          <w:b/>
          <w:sz w:val="52"/>
          <w:szCs w:val="52"/>
        </w:rPr>
        <w:t>技术文件</w:t>
      </w:r>
      <w:bookmarkEnd w:id="74"/>
      <w:bookmarkEnd w:id="75"/>
    </w:p>
    <w:p>
      <w:pPr>
        <w:spacing w:line="360" w:lineRule="auto"/>
        <w:jc w:val="center"/>
        <w:outlineLvl w:val="2"/>
        <w:rPr>
          <w:rFonts w:ascii="宋体" w:hAnsi="宋体"/>
          <w:b/>
          <w:bCs/>
          <w:iCs/>
          <w:spacing w:val="-6"/>
          <w:sz w:val="24"/>
        </w:rPr>
      </w:pPr>
      <w:r>
        <w:rPr>
          <w:rFonts w:hint="eastAsia" w:ascii="宋体" w:hAnsi="宋体"/>
          <w:b/>
          <w:bCs/>
          <w:iCs/>
          <w:spacing w:val="-6"/>
          <w:sz w:val="24"/>
        </w:rPr>
        <w:t>采购</w:t>
      </w:r>
      <w:r>
        <w:rPr>
          <w:rFonts w:ascii="宋体" w:hAnsi="宋体"/>
          <w:b/>
          <w:bCs/>
          <w:iCs/>
          <w:spacing w:val="-6"/>
          <w:sz w:val="24"/>
        </w:rPr>
        <w:t>需求</w:t>
      </w:r>
      <w:r>
        <w:rPr>
          <w:rFonts w:hint="eastAsia" w:ascii="宋体" w:hAnsi="宋体"/>
          <w:b/>
          <w:bCs/>
          <w:iCs/>
          <w:spacing w:val="-6"/>
          <w:sz w:val="24"/>
        </w:rPr>
        <w:t>偏离表</w:t>
      </w:r>
    </w:p>
    <w:p>
      <w:pPr>
        <w:spacing w:line="360" w:lineRule="auto"/>
        <w:rPr>
          <w:rFonts w:ascii="宋体" w:hAnsi="宋体"/>
          <w:bCs/>
          <w:spacing w:val="-6"/>
          <w:sz w:val="24"/>
        </w:rPr>
      </w:pPr>
      <w:r>
        <w:rPr>
          <w:rFonts w:hint="eastAsia" w:ascii="宋体" w:hAnsi="宋体"/>
          <w:bCs/>
          <w:spacing w:val="-6"/>
          <w:sz w:val="24"/>
        </w:rPr>
        <w:t>采 购 人：中国美术学院</w:t>
      </w:r>
    </w:p>
    <w:p>
      <w:pPr>
        <w:spacing w:line="360" w:lineRule="auto"/>
        <w:rPr>
          <w:rFonts w:ascii="宋体" w:hAnsi="宋体"/>
          <w:bCs/>
          <w:spacing w:val="-6"/>
          <w:sz w:val="24"/>
        </w:rPr>
      </w:pPr>
      <w:r>
        <w:rPr>
          <w:rFonts w:hint="eastAsia" w:ascii="宋体" w:hAnsi="宋体"/>
          <w:bCs/>
          <w:spacing w:val="-6"/>
          <w:sz w:val="24"/>
        </w:rPr>
        <w:t>项目名称：创新设计学院良渚校区智能展厅设备一批</w:t>
      </w:r>
    </w:p>
    <w:p>
      <w:pPr>
        <w:spacing w:line="360" w:lineRule="auto"/>
        <w:rPr>
          <w:rFonts w:ascii="宋体" w:hAnsi="宋体"/>
          <w:bCs/>
          <w:spacing w:val="-6"/>
          <w:sz w:val="24"/>
        </w:rPr>
      </w:pPr>
      <w:r>
        <w:rPr>
          <w:rFonts w:hint="eastAsia" w:ascii="宋体" w:hAnsi="宋体"/>
          <w:bCs/>
          <w:spacing w:val="-6"/>
          <w:sz w:val="24"/>
        </w:rPr>
        <w:t>项目编号：QSZB-Z(H)-C19291(CS)</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3256" w:type="dxa"/>
            <w:vAlign w:val="center"/>
          </w:tcPr>
          <w:p>
            <w:pPr>
              <w:jc w:val="center"/>
              <w:rPr>
                <w:rFonts w:ascii="宋体" w:hAnsi="宋体" w:cs="宋体"/>
                <w:b/>
                <w:bCs/>
                <w:sz w:val="21"/>
                <w:szCs w:val="21"/>
              </w:rPr>
            </w:pPr>
            <w:r>
              <w:rPr>
                <w:rFonts w:hint="eastAsia" w:ascii="宋体" w:hAnsi="宋体" w:cs="宋体"/>
                <w:b/>
                <w:bCs/>
                <w:sz w:val="21"/>
                <w:szCs w:val="21"/>
              </w:rPr>
              <w:t>磋商文件要求</w:t>
            </w:r>
          </w:p>
        </w:tc>
        <w:tc>
          <w:tcPr>
            <w:tcW w:w="2980" w:type="dxa"/>
            <w:vAlign w:val="center"/>
          </w:tcPr>
          <w:p>
            <w:pPr>
              <w:jc w:val="center"/>
              <w:rPr>
                <w:rFonts w:ascii="宋体" w:hAnsi="宋体" w:cs="宋体"/>
                <w:b/>
                <w:bCs/>
                <w:sz w:val="21"/>
                <w:szCs w:val="21"/>
              </w:rPr>
            </w:pPr>
            <w:r>
              <w:rPr>
                <w:rFonts w:hint="eastAsia" w:ascii="宋体" w:hAnsi="宋体" w:cs="宋体"/>
                <w:b/>
                <w:bCs/>
                <w:sz w:val="21"/>
                <w:szCs w:val="21"/>
              </w:rPr>
              <w:t>响应规格</w:t>
            </w:r>
          </w:p>
        </w:tc>
        <w:tc>
          <w:tcPr>
            <w:tcW w:w="2542" w:type="dxa"/>
            <w:vAlign w:val="center"/>
          </w:tcPr>
          <w:p>
            <w:pPr>
              <w:jc w:val="center"/>
              <w:rPr>
                <w:rFonts w:ascii="宋体" w:hAnsi="宋体" w:cs="宋体"/>
                <w:b/>
                <w:bCs/>
                <w:sz w:val="21"/>
                <w:szCs w:val="21"/>
              </w:rPr>
            </w:pPr>
            <w:r>
              <w:rPr>
                <w:rFonts w:hint="eastAsia" w:ascii="宋体" w:hAnsi="宋体" w:cs="宋体"/>
                <w:b/>
                <w:bCs/>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sz w:val="21"/>
                <w:szCs w:val="21"/>
              </w:rPr>
            </w:pPr>
            <w:r>
              <w:rPr>
                <w:rFonts w:hint="eastAsia" w:ascii="宋体" w:hAnsi="宋体" w:cs="宋体"/>
                <w:b/>
                <w:bCs/>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r>
              <w:rPr>
                <w:rFonts w:hint="eastAsia" w:ascii="宋体" w:hAnsi="宋体" w:cs="宋体"/>
                <w:sz w:val="21"/>
                <w:szCs w:val="21"/>
              </w:rPr>
              <w:t>1</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r>
              <w:rPr>
                <w:rFonts w:hint="eastAsia" w:ascii="宋体" w:hAnsi="宋体" w:cs="宋体"/>
                <w:sz w:val="21"/>
                <w:szCs w:val="21"/>
              </w:rPr>
              <w:t>2</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r>
              <w:rPr>
                <w:rFonts w:hint="eastAsia" w:ascii="宋体" w:hAnsi="宋体" w:cs="宋体"/>
                <w:sz w:val="21"/>
                <w:szCs w:val="21"/>
              </w:rPr>
              <w:t>……</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sz w:val="21"/>
                <w:szCs w:val="21"/>
              </w:rPr>
            </w:pPr>
            <w:r>
              <w:rPr>
                <w:rFonts w:hint="eastAsia" w:ascii="宋体" w:hAnsi="宋体" w:cs="宋体"/>
                <w:b/>
                <w:bCs/>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r>
              <w:rPr>
                <w:rFonts w:hint="eastAsia" w:ascii="宋体" w:hAnsi="宋体" w:cs="宋体"/>
                <w:sz w:val="21"/>
                <w:szCs w:val="21"/>
              </w:rPr>
              <w:t>1</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r>
              <w:rPr>
                <w:rFonts w:hint="eastAsia" w:ascii="宋体" w:hAnsi="宋体" w:cs="宋体"/>
                <w:sz w:val="21"/>
                <w:szCs w:val="21"/>
              </w:rPr>
              <w:t>2</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r>
              <w:rPr>
                <w:rFonts w:hint="eastAsia" w:ascii="宋体" w:hAnsi="宋体" w:cs="宋体"/>
                <w:sz w:val="21"/>
                <w:szCs w:val="21"/>
              </w:rPr>
              <w:t>……</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sz w:val="21"/>
                <w:szCs w:val="21"/>
              </w:rPr>
            </w:pPr>
            <w:r>
              <w:rPr>
                <w:rFonts w:hint="eastAsia" w:ascii="宋体" w:hAnsi="宋体" w:cs="宋体"/>
                <w:b/>
                <w:bCs/>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r>
              <w:rPr>
                <w:rFonts w:hint="eastAsia" w:ascii="宋体" w:hAnsi="宋体" w:cs="宋体"/>
                <w:sz w:val="21"/>
                <w:szCs w:val="21"/>
              </w:rPr>
              <w:t>1</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r>
              <w:rPr>
                <w:rFonts w:hint="eastAsia" w:ascii="宋体" w:hAnsi="宋体" w:cs="宋体"/>
                <w:sz w:val="21"/>
                <w:szCs w:val="21"/>
              </w:rPr>
              <w:t>2</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sz w:val="21"/>
                <w:szCs w:val="21"/>
              </w:rPr>
            </w:pPr>
            <w:r>
              <w:rPr>
                <w:rFonts w:hint="eastAsia" w:ascii="宋体" w:hAnsi="宋体" w:cs="宋体"/>
                <w:sz w:val="21"/>
                <w:szCs w:val="21"/>
              </w:rPr>
              <w:t>……</w:t>
            </w:r>
          </w:p>
        </w:tc>
        <w:tc>
          <w:tcPr>
            <w:tcW w:w="3256" w:type="dxa"/>
            <w:vAlign w:val="center"/>
          </w:tcPr>
          <w:p>
            <w:pPr>
              <w:jc w:val="center"/>
              <w:rPr>
                <w:rFonts w:ascii="宋体" w:hAnsi="宋体" w:cs="宋体"/>
                <w:sz w:val="21"/>
                <w:szCs w:val="21"/>
              </w:rPr>
            </w:pPr>
          </w:p>
        </w:tc>
        <w:tc>
          <w:tcPr>
            <w:tcW w:w="2980" w:type="dxa"/>
            <w:vAlign w:val="center"/>
          </w:tcPr>
          <w:p>
            <w:pPr>
              <w:jc w:val="center"/>
              <w:rPr>
                <w:rFonts w:ascii="宋体" w:hAnsi="宋体" w:cs="宋体"/>
                <w:sz w:val="21"/>
                <w:szCs w:val="21"/>
              </w:rPr>
            </w:pPr>
          </w:p>
        </w:tc>
        <w:tc>
          <w:tcPr>
            <w:tcW w:w="2542" w:type="dxa"/>
            <w:vAlign w:val="center"/>
          </w:tcPr>
          <w:p>
            <w:pPr>
              <w:jc w:val="center"/>
              <w:rPr>
                <w:rFonts w:ascii="宋体" w:hAnsi="宋体" w:cs="宋体"/>
                <w:sz w:val="21"/>
                <w:szCs w:val="21"/>
              </w:rPr>
            </w:pPr>
          </w:p>
        </w:tc>
      </w:tr>
    </w:tbl>
    <w:p>
      <w:pPr>
        <w:spacing w:line="360" w:lineRule="auto"/>
        <w:rPr>
          <w:rFonts w:ascii="宋体" w:hAnsi="宋体"/>
          <w:b/>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pPr>
        <w:spacing w:line="360"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偏离说明是指对磋商文件要求存在不同之处的解释说明。偏离系指：正偏离（高于采购需求）、负偏离（低于采购需求）、无偏离（满足采购需求）；</w:t>
      </w:r>
    </w:p>
    <w:p>
      <w:pPr>
        <w:spacing w:line="360"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pPr>
        <w:pStyle w:val="78"/>
        <w:spacing w:line="360" w:lineRule="auto"/>
        <w:rPr>
          <w:rFonts w:ascii="宋体" w:hAnsi="宋体"/>
          <w:color w:val="auto"/>
          <w:spacing w:val="-6"/>
        </w:rPr>
      </w:pPr>
    </w:p>
    <w:p>
      <w:pPr>
        <w:pStyle w:val="81"/>
        <w:spacing w:line="360" w:lineRule="auto"/>
        <w:ind w:left="0"/>
        <w:rPr>
          <w:rFonts w:ascii="宋体" w:hAnsi="宋体"/>
          <w:spacing w:val="-6"/>
          <w:sz w:val="24"/>
        </w:rPr>
      </w:pPr>
    </w:p>
    <w:p>
      <w:pPr>
        <w:pStyle w:val="78"/>
        <w:spacing w:line="360" w:lineRule="auto"/>
        <w:rPr>
          <w:color w:val="auto"/>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日期：     年   月   日</w:t>
      </w:r>
    </w:p>
    <w:p>
      <w:pPr>
        <w:pStyle w:val="78"/>
        <w:spacing w:line="360" w:lineRule="auto"/>
        <w:jc w:val="center"/>
        <w:outlineLvl w:val="2"/>
        <w:rPr>
          <w:rFonts w:ascii="宋体" w:hAnsi="宋体"/>
          <w:color w:val="auto"/>
          <w:spacing w:val="-6"/>
        </w:rPr>
      </w:pPr>
      <w:r>
        <w:rPr>
          <w:rFonts w:hint="eastAsia" w:ascii="宋体" w:hAnsi="宋体"/>
          <w:color w:val="auto"/>
          <w:spacing w:val="-6"/>
        </w:rPr>
        <w:br w:type="page"/>
      </w:r>
      <w:r>
        <w:rPr>
          <w:rFonts w:hint="eastAsia" w:ascii="宋体" w:hAnsi="宋体"/>
          <w:b/>
          <w:color w:val="auto"/>
          <w:spacing w:val="-6"/>
        </w:rPr>
        <w:t>货物配置清单</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r>
              <w:rPr>
                <w:rFonts w:hint="eastAsia" w:ascii="宋体" w:hAnsi="宋体" w:cs="宋体"/>
                <w:b/>
                <w:bCs/>
                <w:sz w:val="24"/>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r>
              <w:rPr>
                <w:rFonts w:hint="eastAsia" w:ascii="宋体" w:hAnsi="宋体" w:cs="宋体"/>
                <w:b/>
                <w:bCs/>
                <w:sz w:val="24"/>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r>
              <w:rPr>
                <w:rFonts w:hint="eastAsia" w:ascii="宋体" w:hAnsi="宋体" w:cs="宋体"/>
                <w:b/>
                <w:bCs/>
                <w:sz w:val="24"/>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r>
              <w:rPr>
                <w:rFonts w:hint="eastAsia" w:ascii="宋体" w:hAnsi="宋体" w:cs="宋体"/>
                <w:b/>
                <w:bCs/>
                <w:sz w:val="24"/>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r>
              <w:rPr>
                <w:rFonts w:hint="eastAsia" w:ascii="宋体" w:hAnsi="宋体" w:cs="宋体"/>
                <w:b/>
                <w:bCs/>
                <w:sz w:val="24"/>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r>
              <w:rPr>
                <w:rFonts w:hint="eastAsia" w:ascii="宋体" w:hAnsi="宋体" w:cs="宋体"/>
                <w:b/>
                <w:bCs/>
                <w:sz w:val="24"/>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r>
              <w:rPr>
                <w:rFonts w:hint="eastAsia" w:ascii="宋体" w:hAnsi="宋体" w:cs="宋体"/>
                <w:b/>
                <w:bCs/>
                <w:sz w:val="24"/>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bl>
    <w:p>
      <w:pPr>
        <w:spacing w:line="360" w:lineRule="auto"/>
        <w:rPr>
          <w:rFonts w:ascii="宋体" w:hAnsi="宋体"/>
          <w:b/>
          <w:spacing w:val="-6"/>
          <w:sz w:val="24"/>
        </w:rPr>
      </w:pPr>
    </w:p>
    <w:p>
      <w:pPr>
        <w:spacing w:line="360" w:lineRule="auto"/>
        <w:rPr>
          <w:rFonts w:ascii="宋体" w:hAnsi="宋体"/>
          <w:b/>
          <w:spacing w:val="-6"/>
          <w:sz w:val="24"/>
        </w:rPr>
      </w:pPr>
    </w:p>
    <w:p>
      <w:pPr>
        <w:pStyle w:val="78"/>
        <w:spacing w:line="360" w:lineRule="auto"/>
        <w:rPr>
          <w:rFonts w:ascii="宋体" w:hAnsi="宋体"/>
          <w:b/>
          <w:color w:val="auto"/>
          <w:spacing w:val="-6"/>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jc w:val="center"/>
        <w:outlineLvl w:val="2"/>
        <w:rPr>
          <w:rFonts w:ascii="宋体" w:hAnsi="宋体"/>
          <w:b/>
          <w:spacing w:val="-6"/>
          <w:sz w:val="24"/>
        </w:rPr>
      </w:pPr>
      <w:r>
        <w:rPr>
          <w:rFonts w:hint="eastAsia" w:ascii="宋体" w:hAnsi="宋体"/>
          <w:spacing w:val="-6"/>
          <w:sz w:val="24"/>
        </w:rPr>
        <w:br w:type="page"/>
      </w:r>
      <w:r>
        <w:rPr>
          <w:rFonts w:hint="eastAsia" w:ascii="宋体" w:hAnsi="宋体"/>
          <w:b/>
          <w:spacing w:val="-6"/>
          <w:sz w:val="24"/>
        </w:rPr>
        <w:t>技术支持资料</w:t>
      </w:r>
    </w:p>
    <w:p>
      <w:pPr>
        <w:spacing w:line="360" w:lineRule="auto"/>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供应商提供技术支持资料以证明其对技术指标的应答；</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技术支持资料应是制造商公开发布的印刷资料（官网材料、彩页、Datasheet）或由有关政府部门或检测机构合法出具的文件或报告；</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不符合上述要求的资料，可被视为是无效的技术支持资料；</w:t>
      </w:r>
    </w:p>
    <w:p>
      <w:pPr>
        <w:spacing w:line="360" w:lineRule="auto"/>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如上述资料之间存在不一致的，以有关政府部门或检测机构合法出具的文件或报告为准；</w:t>
      </w:r>
    </w:p>
    <w:p>
      <w:pPr>
        <w:spacing w:line="360" w:lineRule="auto"/>
        <w:rPr>
          <w:rFonts w:ascii="宋体" w:hAnsi="宋体"/>
          <w:b/>
          <w:spacing w:val="-6"/>
          <w:sz w:val="21"/>
          <w:szCs w:val="21"/>
        </w:rPr>
      </w:pPr>
      <w:r>
        <w:rPr>
          <w:rFonts w:hint="eastAsia" w:ascii="宋体" w:hAnsi="宋体"/>
          <w:b/>
          <w:spacing w:val="-6"/>
          <w:sz w:val="21"/>
          <w:szCs w:val="21"/>
        </w:rPr>
        <w:t>5</w:t>
      </w:r>
      <w:r>
        <w:rPr>
          <w:rFonts w:ascii="宋体" w:hAnsi="宋体"/>
          <w:b/>
          <w:spacing w:val="-6"/>
          <w:sz w:val="21"/>
          <w:szCs w:val="21"/>
        </w:rPr>
        <w:t>.</w:t>
      </w:r>
      <w:r>
        <w:rPr>
          <w:rFonts w:hint="eastAsia" w:ascii="宋体" w:hAnsi="宋体"/>
          <w:b/>
          <w:spacing w:val="-6"/>
          <w:sz w:val="21"/>
          <w:szCs w:val="21"/>
        </w:rPr>
        <w:t>若对技术指标的应答无技术支持资料证明或与技术支持材料不一致的，磋商小组可不予承认，并可认为该应答不符合磋商文件要求，</w:t>
      </w:r>
      <w:r>
        <w:rPr>
          <w:rFonts w:hint="eastAsia" w:ascii="宋体" w:hAnsi="宋体"/>
          <w:b/>
          <w:bCs/>
          <w:spacing w:val="-6"/>
          <w:sz w:val="21"/>
          <w:szCs w:val="21"/>
        </w:rPr>
        <w:t>将作出不利于供应商的技术评审，其后果将由供应商自行承担</w:t>
      </w:r>
      <w:r>
        <w:rPr>
          <w:rFonts w:hint="eastAsia" w:ascii="宋体" w:hAnsi="宋体"/>
          <w:b/>
          <w:spacing w:val="-6"/>
          <w:sz w:val="21"/>
          <w:szCs w:val="21"/>
        </w:rPr>
        <w:t>；</w:t>
      </w:r>
    </w:p>
    <w:p>
      <w:pPr>
        <w:spacing w:line="360" w:lineRule="auto"/>
        <w:rPr>
          <w:rFonts w:ascii="宋体" w:hAnsi="宋体"/>
          <w:b/>
          <w:spacing w:val="-6"/>
          <w:sz w:val="21"/>
          <w:szCs w:val="21"/>
        </w:rPr>
      </w:pPr>
      <w:r>
        <w:rPr>
          <w:rFonts w:hint="eastAsia" w:ascii="宋体" w:hAnsi="宋体"/>
          <w:b/>
          <w:spacing w:val="-6"/>
          <w:sz w:val="21"/>
          <w:szCs w:val="21"/>
        </w:rPr>
        <w:t>6</w:t>
      </w:r>
      <w:r>
        <w:rPr>
          <w:rFonts w:ascii="宋体" w:hAnsi="宋体"/>
          <w:b/>
          <w:spacing w:val="-6"/>
          <w:sz w:val="21"/>
          <w:szCs w:val="21"/>
        </w:rPr>
        <w:t>.</w:t>
      </w:r>
      <w:r>
        <w:rPr>
          <w:rFonts w:hint="eastAsia" w:ascii="宋体" w:hAnsi="宋体"/>
          <w:b/>
          <w:spacing w:val="-6"/>
          <w:sz w:val="21"/>
          <w:szCs w:val="21"/>
        </w:rPr>
        <w:t>供应商可提供同等于或优于磋商文件要求的货物和服务。</w:t>
      </w:r>
    </w:p>
    <w:p>
      <w:pPr>
        <w:spacing w:line="360" w:lineRule="auto"/>
        <w:outlineLvl w:val="2"/>
        <w:rPr>
          <w:rFonts w:ascii="宋体" w:hAnsi="宋体"/>
          <w:b/>
          <w:spacing w:val="-6"/>
          <w:sz w:val="24"/>
        </w:rPr>
      </w:pPr>
      <w:r>
        <w:rPr>
          <w:rFonts w:hint="eastAsia" w:ascii="宋体" w:hAnsi="宋体"/>
          <w:spacing w:val="-6"/>
          <w:sz w:val="24"/>
        </w:rPr>
        <w:br w:type="page"/>
      </w:r>
      <w:r>
        <w:rPr>
          <w:rFonts w:hint="eastAsia" w:ascii="宋体" w:hAnsi="宋体"/>
          <w:b/>
          <w:spacing w:val="-6"/>
          <w:sz w:val="24"/>
        </w:rPr>
        <w:t>合同履约</w:t>
      </w:r>
    </w:p>
    <w:p>
      <w:pPr>
        <w:spacing w:line="360" w:lineRule="auto"/>
        <w:rPr>
          <w:rFonts w:ascii="宋体" w:hAnsi="宋体"/>
          <w:b/>
          <w:spacing w:val="-6"/>
          <w:sz w:val="21"/>
          <w:szCs w:val="21"/>
        </w:rPr>
      </w:pPr>
      <w:r>
        <w:rPr>
          <w:rFonts w:hint="eastAsia" w:ascii="宋体" w:hAnsi="宋体"/>
          <w:b/>
          <w:spacing w:val="-6"/>
          <w:sz w:val="21"/>
          <w:szCs w:val="21"/>
        </w:rPr>
        <w:t>说明：根据</w:t>
      </w:r>
      <w:r>
        <w:rPr>
          <w:rFonts w:ascii="宋体" w:hAnsi="宋体"/>
          <w:b/>
          <w:spacing w:val="-6"/>
          <w:sz w:val="21"/>
          <w:szCs w:val="21"/>
        </w:rPr>
        <w:t>评分细则提供和编写格式自拟</w:t>
      </w:r>
    </w:p>
    <w:p>
      <w:pPr>
        <w:spacing w:line="360" w:lineRule="auto"/>
        <w:rPr>
          <w:rFonts w:ascii="宋体" w:hAnsi="宋体"/>
          <w:b/>
          <w:spacing w:val="-6"/>
          <w:sz w:val="24"/>
        </w:rPr>
      </w:pPr>
    </w:p>
    <w:p>
      <w:pPr>
        <w:spacing w:line="360" w:lineRule="auto"/>
        <w:outlineLvl w:val="2"/>
        <w:rPr>
          <w:rFonts w:ascii="宋体" w:hAnsi="宋体"/>
          <w:b/>
          <w:spacing w:val="-6"/>
          <w:sz w:val="24"/>
        </w:rPr>
      </w:pPr>
      <w:r>
        <w:rPr>
          <w:rFonts w:hint="eastAsia" w:ascii="宋体" w:hAnsi="宋体"/>
          <w:b/>
          <w:spacing w:val="-6"/>
          <w:sz w:val="24"/>
        </w:rPr>
        <w:t>技术支持资料</w:t>
      </w:r>
    </w:p>
    <w:p>
      <w:pPr>
        <w:spacing w:line="360" w:lineRule="auto"/>
        <w:rPr>
          <w:rFonts w:ascii="宋体" w:hAnsi="宋体"/>
          <w:b/>
          <w:spacing w:val="-6"/>
          <w:sz w:val="21"/>
          <w:szCs w:val="21"/>
        </w:rPr>
      </w:pPr>
      <w:r>
        <w:rPr>
          <w:rFonts w:hint="eastAsia" w:ascii="宋体" w:hAnsi="宋体"/>
          <w:b/>
          <w:spacing w:val="-6"/>
          <w:sz w:val="21"/>
          <w:szCs w:val="21"/>
        </w:rPr>
        <w:t>说明：根据</w:t>
      </w:r>
      <w:r>
        <w:rPr>
          <w:rFonts w:ascii="宋体" w:hAnsi="宋体"/>
          <w:b/>
          <w:spacing w:val="-6"/>
          <w:sz w:val="21"/>
          <w:szCs w:val="21"/>
        </w:rPr>
        <w:t>评分细则提供和编写格式自拟</w:t>
      </w:r>
    </w:p>
    <w:p>
      <w:pPr>
        <w:spacing w:line="360" w:lineRule="auto"/>
        <w:outlineLvl w:val="2"/>
        <w:rPr>
          <w:rFonts w:ascii="宋体" w:hAnsi="宋体"/>
          <w:b/>
          <w:spacing w:val="-6"/>
          <w:sz w:val="24"/>
        </w:rPr>
      </w:pPr>
    </w:p>
    <w:p>
      <w:pPr>
        <w:spacing w:line="360" w:lineRule="auto"/>
        <w:outlineLvl w:val="2"/>
        <w:rPr>
          <w:rFonts w:ascii="宋体" w:hAnsi="宋体"/>
          <w:b/>
          <w:spacing w:val="-6"/>
          <w:sz w:val="24"/>
        </w:rPr>
      </w:pPr>
      <w:r>
        <w:rPr>
          <w:rFonts w:hint="eastAsia" w:ascii="宋体" w:hAnsi="宋体"/>
          <w:b/>
          <w:spacing w:val="-6"/>
          <w:sz w:val="24"/>
        </w:rPr>
        <w:t>合同履约</w:t>
      </w:r>
    </w:p>
    <w:p>
      <w:pPr>
        <w:spacing w:line="360" w:lineRule="auto"/>
        <w:rPr>
          <w:rFonts w:ascii="宋体" w:hAnsi="宋体"/>
          <w:b/>
          <w:spacing w:val="-6"/>
          <w:sz w:val="21"/>
          <w:szCs w:val="21"/>
        </w:rPr>
      </w:pPr>
      <w:r>
        <w:rPr>
          <w:rFonts w:hint="eastAsia" w:ascii="宋体" w:hAnsi="宋体"/>
          <w:b/>
          <w:spacing w:val="-6"/>
          <w:sz w:val="21"/>
          <w:szCs w:val="21"/>
        </w:rPr>
        <w:t>说明：根据</w:t>
      </w:r>
      <w:r>
        <w:rPr>
          <w:rFonts w:ascii="宋体" w:hAnsi="宋体"/>
          <w:b/>
          <w:spacing w:val="-6"/>
          <w:sz w:val="21"/>
          <w:szCs w:val="21"/>
        </w:rPr>
        <w:t>评分细则提供和编写格式自拟</w:t>
      </w:r>
    </w:p>
    <w:p>
      <w:pPr>
        <w:spacing w:line="360" w:lineRule="auto"/>
        <w:outlineLvl w:val="2"/>
        <w:rPr>
          <w:rFonts w:ascii="宋体" w:hAnsi="宋体"/>
          <w:b/>
          <w:spacing w:val="-6"/>
          <w:sz w:val="24"/>
        </w:rPr>
      </w:pPr>
    </w:p>
    <w:p>
      <w:pPr>
        <w:spacing w:line="360" w:lineRule="auto"/>
        <w:outlineLvl w:val="2"/>
        <w:rPr>
          <w:rFonts w:ascii="宋体" w:hAnsi="宋体"/>
          <w:b/>
          <w:spacing w:val="-6"/>
          <w:sz w:val="24"/>
        </w:rPr>
      </w:pPr>
      <w:r>
        <w:rPr>
          <w:rFonts w:hint="eastAsia" w:ascii="宋体" w:hAnsi="宋体"/>
          <w:b/>
          <w:spacing w:val="-6"/>
          <w:sz w:val="24"/>
        </w:rPr>
        <w:t>售后服务</w:t>
      </w:r>
    </w:p>
    <w:p>
      <w:pPr>
        <w:spacing w:line="360" w:lineRule="auto"/>
        <w:rPr>
          <w:rFonts w:ascii="宋体" w:hAnsi="宋体"/>
          <w:b/>
          <w:spacing w:val="-6"/>
          <w:sz w:val="21"/>
          <w:szCs w:val="21"/>
        </w:rPr>
      </w:pPr>
      <w:r>
        <w:rPr>
          <w:rFonts w:hint="eastAsia" w:ascii="宋体" w:hAnsi="宋体"/>
          <w:b/>
          <w:spacing w:val="-6"/>
          <w:sz w:val="21"/>
          <w:szCs w:val="21"/>
        </w:rPr>
        <w:t>说明：根据</w:t>
      </w:r>
      <w:r>
        <w:rPr>
          <w:rFonts w:ascii="宋体" w:hAnsi="宋体"/>
          <w:b/>
          <w:spacing w:val="-6"/>
          <w:sz w:val="21"/>
          <w:szCs w:val="21"/>
        </w:rPr>
        <w:t>评分细则提供和编写格式自拟</w:t>
      </w:r>
    </w:p>
    <w:p>
      <w:pPr>
        <w:pStyle w:val="31"/>
      </w:pPr>
    </w:p>
    <w:p>
      <w:pPr>
        <w:spacing w:line="360" w:lineRule="auto"/>
        <w:outlineLvl w:val="2"/>
        <w:rPr>
          <w:rFonts w:ascii="宋体" w:hAnsi="宋体"/>
          <w:b/>
          <w:spacing w:val="-6"/>
          <w:sz w:val="24"/>
        </w:rPr>
      </w:pPr>
      <w:r>
        <w:rPr>
          <w:rFonts w:hint="eastAsia" w:ascii="宋体" w:hAnsi="宋体"/>
          <w:b/>
          <w:spacing w:val="-6"/>
          <w:sz w:val="24"/>
        </w:rPr>
        <w:t>技术服务培训</w:t>
      </w:r>
    </w:p>
    <w:p>
      <w:pPr>
        <w:spacing w:line="360" w:lineRule="auto"/>
        <w:rPr>
          <w:rFonts w:ascii="宋体" w:hAnsi="宋体"/>
          <w:b/>
          <w:spacing w:val="-6"/>
          <w:sz w:val="21"/>
          <w:szCs w:val="21"/>
        </w:rPr>
      </w:pPr>
      <w:r>
        <w:rPr>
          <w:rFonts w:hint="eastAsia" w:ascii="宋体" w:hAnsi="宋体"/>
          <w:b/>
          <w:spacing w:val="-6"/>
          <w:sz w:val="21"/>
          <w:szCs w:val="21"/>
        </w:rPr>
        <w:t>说明：根据</w:t>
      </w:r>
      <w:r>
        <w:rPr>
          <w:rFonts w:ascii="宋体" w:hAnsi="宋体"/>
          <w:b/>
          <w:spacing w:val="-6"/>
          <w:sz w:val="21"/>
          <w:szCs w:val="21"/>
        </w:rPr>
        <w:t>评分细则提供和编写格式自拟</w:t>
      </w:r>
    </w:p>
    <w:p>
      <w:pPr>
        <w:spacing w:line="360" w:lineRule="auto"/>
        <w:rPr>
          <w:rFonts w:ascii="宋体" w:hAnsi="宋体"/>
          <w:b/>
          <w:spacing w:val="-6"/>
          <w:sz w:val="24"/>
        </w:rPr>
      </w:pPr>
    </w:p>
    <w:sectPr>
      <w:pgSz w:w="11906" w:h="16838"/>
      <w:pgMar w:top="1440" w:right="1247" w:bottom="1440" w:left="1247" w:header="340" w:footer="85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208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lang w:val="en-US"/>
                            </w:rP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087"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Pl&#10;fknQAAAAAwEAAA8AAAAAAAAAAQAgAAAAIgAAAGRycy9kb3ducmV2LnhtbFBLAQIUABQAAAAIAIdO&#10;4kAsDGBy8gEAALcDAAAOAAAAAAAAAAEAIAAAAB8BAABkcnMvZTJvRG9jLnhtbFBLBQYAAAAABgAG&#10;AFkBAACD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lang w:val="en-US"/>
                      </w:rP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anchor distT="0" distB="0" distL="114300" distR="114300" simplePos="0" relativeHeight="251657216" behindDoc="0" locked="0" layoutInCell="1" allowOverlap="1">
          <wp:simplePos x="0" y="0"/>
          <wp:positionH relativeFrom="column">
            <wp:posOffset>52070</wp:posOffset>
          </wp:positionH>
          <wp:positionV relativeFrom="paragraph">
            <wp:posOffset>0</wp:posOffset>
          </wp:positionV>
          <wp:extent cx="5872480" cy="633730"/>
          <wp:effectExtent l="0" t="0" r="0" b="0"/>
          <wp:wrapSquare wrapText="bothSides"/>
          <wp:docPr id="3"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72480" cy="633730"/>
                  </a:xfrm>
                  <a:prstGeom prst="rect">
                    <a:avLst/>
                  </a:prstGeom>
                  <a:noFill/>
                  <a:ln>
                    <a:noFill/>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F63B8"/>
    <w:multiLevelType w:val="singleLevel"/>
    <w:tmpl w:val="820F63B8"/>
    <w:lvl w:ilvl="0" w:tentative="0">
      <w:start w:val="3"/>
      <w:numFmt w:val="chineseCounting"/>
      <w:suff w:val="nothing"/>
      <w:lvlText w:val="%1、"/>
      <w:lvlJc w:val="left"/>
      <w:rPr>
        <w:rFonts w:hint="eastAsia"/>
      </w:rPr>
    </w:lvl>
  </w:abstractNum>
  <w:abstractNum w:abstractNumId="1">
    <w:nsid w:val="92678D40"/>
    <w:multiLevelType w:val="singleLevel"/>
    <w:tmpl w:val="92678D40"/>
    <w:lvl w:ilvl="0" w:tentative="0">
      <w:start w:val="1"/>
      <w:numFmt w:val="decimal"/>
      <w:suff w:val="nothing"/>
      <w:lvlText w:val="%1）"/>
      <w:lvlJc w:val="left"/>
    </w:lvl>
  </w:abstractNum>
  <w:abstractNum w:abstractNumId="2">
    <w:nsid w:val="5E3955F0"/>
    <w:multiLevelType w:val="singleLevel"/>
    <w:tmpl w:val="5E3955F0"/>
    <w:lvl w:ilvl="0" w:tentative="0">
      <w:start w:val="1"/>
      <w:numFmt w:val="decimal"/>
      <w:suff w:val="nothing"/>
      <w:lvlText w:val="%1、"/>
      <w:lvlJc w:val="left"/>
    </w:lvl>
  </w:abstractNum>
  <w:abstractNum w:abstractNumId="3">
    <w:nsid w:val="727FD278"/>
    <w:multiLevelType w:val="singleLevel"/>
    <w:tmpl w:val="727FD27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256"/>
    <w:rsid w:val="0000392F"/>
    <w:rsid w:val="0000407F"/>
    <w:rsid w:val="00007117"/>
    <w:rsid w:val="000114CE"/>
    <w:rsid w:val="00012EBC"/>
    <w:rsid w:val="0001334A"/>
    <w:rsid w:val="000145B8"/>
    <w:rsid w:val="00014602"/>
    <w:rsid w:val="0001520A"/>
    <w:rsid w:val="000152C7"/>
    <w:rsid w:val="000153ED"/>
    <w:rsid w:val="00015891"/>
    <w:rsid w:val="000169AF"/>
    <w:rsid w:val="000169F9"/>
    <w:rsid w:val="00017BEE"/>
    <w:rsid w:val="00021187"/>
    <w:rsid w:val="00021D4E"/>
    <w:rsid w:val="00024130"/>
    <w:rsid w:val="00025067"/>
    <w:rsid w:val="00026EE5"/>
    <w:rsid w:val="0002789F"/>
    <w:rsid w:val="00027A3C"/>
    <w:rsid w:val="00030DB5"/>
    <w:rsid w:val="000310FE"/>
    <w:rsid w:val="00031E2B"/>
    <w:rsid w:val="00032047"/>
    <w:rsid w:val="00032280"/>
    <w:rsid w:val="000325E1"/>
    <w:rsid w:val="000362B2"/>
    <w:rsid w:val="00036996"/>
    <w:rsid w:val="0003700E"/>
    <w:rsid w:val="00037598"/>
    <w:rsid w:val="0003797E"/>
    <w:rsid w:val="00040041"/>
    <w:rsid w:val="00041D0F"/>
    <w:rsid w:val="0004239D"/>
    <w:rsid w:val="00043E78"/>
    <w:rsid w:val="000459B5"/>
    <w:rsid w:val="00045C96"/>
    <w:rsid w:val="00045EE2"/>
    <w:rsid w:val="00047DF2"/>
    <w:rsid w:val="0005166C"/>
    <w:rsid w:val="00051736"/>
    <w:rsid w:val="00051C93"/>
    <w:rsid w:val="00052BA4"/>
    <w:rsid w:val="00052C43"/>
    <w:rsid w:val="000530F5"/>
    <w:rsid w:val="00053AD2"/>
    <w:rsid w:val="0005444D"/>
    <w:rsid w:val="000555ED"/>
    <w:rsid w:val="000558AF"/>
    <w:rsid w:val="000567C3"/>
    <w:rsid w:val="000572E5"/>
    <w:rsid w:val="00057B3C"/>
    <w:rsid w:val="00057C6A"/>
    <w:rsid w:val="0006044C"/>
    <w:rsid w:val="00061307"/>
    <w:rsid w:val="00061500"/>
    <w:rsid w:val="00061C96"/>
    <w:rsid w:val="00062C77"/>
    <w:rsid w:val="00062D03"/>
    <w:rsid w:val="000645A8"/>
    <w:rsid w:val="00064F1A"/>
    <w:rsid w:val="00065362"/>
    <w:rsid w:val="00066072"/>
    <w:rsid w:val="0006785D"/>
    <w:rsid w:val="00067B67"/>
    <w:rsid w:val="00067EC7"/>
    <w:rsid w:val="00071C2A"/>
    <w:rsid w:val="00072425"/>
    <w:rsid w:val="00073FF7"/>
    <w:rsid w:val="00074D7B"/>
    <w:rsid w:val="00074DB5"/>
    <w:rsid w:val="00076570"/>
    <w:rsid w:val="00077067"/>
    <w:rsid w:val="00077A9F"/>
    <w:rsid w:val="000804A7"/>
    <w:rsid w:val="00080A03"/>
    <w:rsid w:val="00084D5F"/>
    <w:rsid w:val="000855B6"/>
    <w:rsid w:val="00085EC0"/>
    <w:rsid w:val="000904F8"/>
    <w:rsid w:val="00093340"/>
    <w:rsid w:val="00093A4B"/>
    <w:rsid w:val="000941F1"/>
    <w:rsid w:val="00094C73"/>
    <w:rsid w:val="000957CD"/>
    <w:rsid w:val="00095E66"/>
    <w:rsid w:val="00096127"/>
    <w:rsid w:val="000965C7"/>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41D6"/>
    <w:rsid w:val="000C460F"/>
    <w:rsid w:val="000C47A9"/>
    <w:rsid w:val="000C4883"/>
    <w:rsid w:val="000C5831"/>
    <w:rsid w:val="000C5C75"/>
    <w:rsid w:val="000C60CB"/>
    <w:rsid w:val="000C6157"/>
    <w:rsid w:val="000C6B0D"/>
    <w:rsid w:val="000C71BF"/>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2BEB"/>
    <w:rsid w:val="000E3A24"/>
    <w:rsid w:val="000E3E71"/>
    <w:rsid w:val="000E6588"/>
    <w:rsid w:val="000F09AF"/>
    <w:rsid w:val="000F0D64"/>
    <w:rsid w:val="000F21C3"/>
    <w:rsid w:val="000F2AAD"/>
    <w:rsid w:val="000F31CF"/>
    <w:rsid w:val="000F43E3"/>
    <w:rsid w:val="000F4472"/>
    <w:rsid w:val="000F45FF"/>
    <w:rsid w:val="000F47CE"/>
    <w:rsid w:val="000F51E5"/>
    <w:rsid w:val="000F55B7"/>
    <w:rsid w:val="000F5BBD"/>
    <w:rsid w:val="000F623A"/>
    <w:rsid w:val="000F665A"/>
    <w:rsid w:val="000F7089"/>
    <w:rsid w:val="000F7FED"/>
    <w:rsid w:val="0010098C"/>
    <w:rsid w:val="00100E4C"/>
    <w:rsid w:val="00101341"/>
    <w:rsid w:val="00102403"/>
    <w:rsid w:val="00102D01"/>
    <w:rsid w:val="00102F31"/>
    <w:rsid w:val="00104760"/>
    <w:rsid w:val="00105F12"/>
    <w:rsid w:val="00106134"/>
    <w:rsid w:val="00106EF6"/>
    <w:rsid w:val="00110547"/>
    <w:rsid w:val="00110AE7"/>
    <w:rsid w:val="00111522"/>
    <w:rsid w:val="00111B51"/>
    <w:rsid w:val="001144F7"/>
    <w:rsid w:val="00114BEF"/>
    <w:rsid w:val="00115055"/>
    <w:rsid w:val="001161C1"/>
    <w:rsid w:val="00116AC0"/>
    <w:rsid w:val="00117084"/>
    <w:rsid w:val="001178FF"/>
    <w:rsid w:val="0012048B"/>
    <w:rsid w:val="00121040"/>
    <w:rsid w:val="00121153"/>
    <w:rsid w:val="00124DE1"/>
    <w:rsid w:val="00125768"/>
    <w:rsid w:val="00126C29"/>
    <w:rsid w:val="00130CAF"/>
    <w:rsid w:val="00130ED6"/>
    <w:rsid w:val="00131252"/>
    <w:rsid w:val="0013247C"/>
    <w:rsid w:val="00132A2E"/>
    <w:rsid w:val="00132AF5"/>
    <w:rsid w:val="001330A8"/>
    <w:rsid w:val="001350A2"/>
    <w:rsid w:val="00136919"/>
    <w:rsid w:val="00136C4A"/>
    <w:rsid w:val="0013796A"/>
    <w:rsid w:val="001411DB"/>
    <w:rsid w:val="00142B06"/>
    <w:rsid w:val="0014310B"/>
    <w:rsid w:val="00143148"/>
    <w:rsid w:val="0014555E"/>
    <w:rsid w:val="00146B7D"/>
    <w:rsid w:val="001475CB"/>
    <w:rsid w:val="001502BC"/>
    <w:rsid w:val="001507BF"/>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175C"/>
    <w:rsid w:val="00163EB2"/>
    <w:rsid w:val="0016402C"/>
    <w:rsid w:val="00164383"/>
    <w:rsid w:val="0016466F"/>
    <w:rsid w:val="00164AA0"/>
    <w:rsid w:val="00164DDA"/>
    <w:rsid w:val="001656CC"/>
    <w:rsid w:val="0016712C"/>
    <w:rsid w:val="00167538"/>
    <w:rsid w:val="00167CCA"/>
    <w:rsid w:val="00170101"/>
    <w:rsid w:val="0017068A"/>
    <w:rsid w:val="001706CB"/>
    <w:rsid w:val="00170703"/>
    <w:rsid w:val="00170DDC"/>
    <w:rsid w:val="001712CC"/>
    <w:rsid w:val="00171AF6"/>
    <w:rsid w:val="001722F1"/>
    <w:rsid w:val="00172A27"/>
    <w:rsid w:val="001735C7"/>
    <w:rsid w:val="00173DF5"/>
    <w:rsid w:val="00174637"/>
    <w:rsid w:val="001763B3"/>
    <w:rsid w:val="00176D03"/>
    <w:rsid w:val="00177FB3"/>
    <w:rsid w:val="00181A44"/>
    <w:rsid w:val="00182501"/>
    <w:rsid w:val="00182D78"/>
    <w:rsid w:val="00183235"/>
    <w:rsid w:val="0018377D"/>
    <w:rsid w:val="00183AEF"/>
    <w:rsid w:val="00184D3D"/>
    <w:rsid w:val="00184E31"/>
    <w:rsid w:val="001908B2"/>
    <w:rsid w:val="00190C4E"/>
    <w:rsid w:val="00191584"/>
    <w:rsid w:val="00193798"/>
    <w:rsid w:val="00193CB3"/>
    <w:rsid w:val="00195094"/>
    <w:rsid w:val="00195167"/>
    <w:rsid w:val="00195A86"/>
    <w:rsid w:val="001965A7"/>
    <w:rsid w:val="001969F2"/>
    <w:rsid w:val="00196AA0"/>
    <w:rsid w:val="00197580"/>
    <w:rsid w:val="001A1D09"/>
    <w:rsid w:val="001A25C8"/>
    <w:rsid w:val="001A3D67"/>
    <w:rsid w:val="001A4D48"/>
    <w:rsid w:val="001A5A88"/>
    <w:rsid w:val="001A5DA8"/>
    <w:rsid w:val="001A6006"/>
    <w:rsid w:val="001A6AB8"/>
    <w:rsid w:val="001B045F"/>
    <w:rsid w:val="001B0E53"/>
    <w:rsid w:val="001B0ED0"/>
    <w:rsid w:val="001B20DE"/>
    <w:rsid w:val="001B34DF"/>
    <w:rsid w:val="001B3E88"/>
    <w:rsid w:val="001B5FB1"/>
    <w:rsid w:val="001B6F07"/>
    <w:rsid w:val="001B7804"/>
    <w:rsid w:val="001C11F4"/>
    <w:rsid w:val="001C18CF"/>
    <w:rsid w:val="001C4908"/>
    <w:rsid w:val="001C4959"/>
    <w:rsid w:val="001C5AEF"/>
    <w:rsid w:val="001C5B14"/>
    <w:rsid w:val="001C77DB"/>
    <w:rsid w:val="001C787A"/>
    <w:rsid w:val="001D0F0B"/>
    <w:rsid w:val="001D2BC7"/>
    <w:rsid w:val="001D37E3"/>
    <w:rsid w:val="001D4791"/>
    <w:rsid w:val="001D4A34"/>
    <w:rsid w:val="001D584D"/>
    <w:rsid w:val="001E00E2"/>
    <w:rsid w:val="001E1578"/>
    <w:rsid w:val="001E1686"/>
    <w:rsid w:val="001E1703"/>
    <w:rsid w:val="001E2199"/>
    <w:rsid w:val="001E2316"/>
    <w:rsid w:val="001E27B1"/>
    <w:rsid w:val="001E2B4D"/>
    <w:rsid w:val="001E309E"/>
    <w:rsid w:val="001E3A76"/>
    <w:rsid w:val="001E57A3"/>
    <w:rsid w:val="001E5A4D"/>
    <w:rsid w:val="001E6A29"/>
    <w:rsid w:val="001E7B9F"/>
    <w:rsid w:val="001E7C22"/>
    <w:rsid w:val="001F01E8"/>
    <w:rsid w:val="001F21F0"/>
    <w:rsid w:val="001F2717"/>
    <w:rsid w:val="001F3F3F"/>
    <w:rsid w:val="001F464D"/>
    <w:rsid w:val="001F5FE3"/>
    <w:rsid w:val="001F6DFD"/>
    <w:rsid w:val="001F7D64"/>
    <w:rsid w:val="00201740"/>
    <w:rsid w:val="00202AFC"/>
    <w:rsid w:val="002032D2"/>
    <w:rsid w:val="00203DAA"/>
    <w:rsid w:val="00204379"/>
    <w:rsid w:val="002048D6"/>
    <w:rsid w:val="00205352"/>
    <w:rsid w:val="002053B5"/>
    <w:rsid w:val="00206793"/>
    <w:rsid w:val="00206B67"/>
    <w:rsid w:val="00206C90"/>
    <w:rsid w:val="00206C9F"/>
    <w:rsid w:val="002102BE"/>
    <w:rsid w:val="00210B1B"/>
    <w:rsid w:val="00210BCF"/>
    <w:rsid w:val="00210DE3"/>
    <w:rsid w:val="00212052"/>
    <w:rsid w:val="002126B6"/>
    <w:rsid w:val="0021337B"/>
    <w:rsid w:val="002143CB"/>
    <w:rsid w:val="00214ED2"/>
    <w:rsid w:val="00214FEB"/>
    <w:rsid w:val="00215C0E"/>
    <w:rsid w:val="00215C6C"/>
    <w:rsid w:val="00216BB7"/>
    <w:rsid w:val="00217173"/>
    <w:rsid w:val="00217E78"/>
    <w:rsid w:val="00220CFB"/>
    <w:rsid w:val="00220D2D"/>
    <w:rsid w:val="0022121A"/>
    <w:rsid w:val="002214F2"/>
    <w:rsid w:val="002225F6"/>
    <w:rsid w:val="00223964"/>
    <w:rsid w:val="002242FA"/>
    <w:rsid w:val="00225014"/>
    <w:rsid w:val="00225666"/>
    <w:rsid w:val="0022640E"/>
    <w:rsid w:val="00226B5C"/>
    <w:rsid w:val="00227BFF"/>
    <w:rsid w:val="002302BE"/>
    <w:rsid w:val="00230467"/>
    <w:rsid w:val="00230491"/>
    <w:rsid w:val="00230BB3"/>
    <w:rsid w:val="00230C06"/>
    <w:rsid w:val="00231503"/>
    <w:rsid w:val="002315A6"/>
    <w:rsid w:val="0023377A"/>
    <w:rsid w:val="0023476A"/>
    <w:rsid w:val="002347A8"/>
    <w:rsid w:val="00235211"/>
    <w:rsid w:val="00237186"/>
    <w:rsid w:val="00237361"/>
    <w:rsid w:val="002378EC"/>
    <w:rsid w:val="00237EE5"/>
    <w:rsid w:val="00240A60"/>
    <w:rsid w:val="00240C9B"/>
    <w:rsid w:val="00242080"/>
    <w:rsid w:val="00242235"/>
    <w:rsid w:val="00242E6A"/>
    <w:rsid w:val="00243E14"/>
    <w:rsid w:val="00246231"/>
    <w:rsid w:val="0024679B"/>
    <w:rsid w:val="00247211"/>
    <w:rsid w:val="002505C4"/>
    <w:rsid w:val="00251533"/>
    <w:rsid w:val="0025247A"/>
    <w:rsid w:val="002524A9"/>
    <w:rsid w:val="00253721"/>
    <w:rsid w:val="002547BE"/>
    <w:rsid w:val="002548B0"/>
    <w:rsid w:val="00255253"/>
    <w:rsid w:val="00255E2A"/>
    <w:rsid w:val="002562F5"/>
    <w:rsid w:val="00256681"/>
    <w:rsid w:val="002578AA"/>
    <w:rsid w:val="0026011F"/>
    <w:rsid w:val="00261101"/>
    <w:rsid w:val="00261402"/>
    <w:rsid w:val="002618AC"/>
    <w:rsid w:val="00261F96"/>
    <w:rsid w:val="0026203B"/>
    <w:rsid w:val="00264608"/>
    <w:rsid w:val="00265DA1"/>
    <w:rsid w:val="00266AA8"/>
    <w:rsid w:val="00270464"/>
    <w:rsid w:val="002709F6"/>
    <w:rsid w:val="0027204E"/>
    <w:rsid w:val="00274A62"/>
    <w:rsid w:val="0027604A"/>
    <w:rsid w:val="0027669D"/>
    <w:rsid w:val="00277580"/>
    <w:rsid w:val="00280971"/>
    <w:rsid w:val="00280D4F"/>
    <w:rsid w:val="00282FB2"/>
    <w:rsid w:val="00283516"/>
    <w:rsid w:val="0028576A"/>
    <w:rsid w:val="002872E6"/>
    <w:rsid w:val="0028759E"/>
    <w:rsid w:val="00291E79"/>
    <w:rsid w:val="00292964"/>
    <w:rsid w:val="00294556"/>
    <w:rsid w:val="0029652F"/>
    <w:rsid w:val="002968CF"/>
    <w:rsid w:val="00296EF4"/>
    <w:rsid w:val="002972C0"/>
    <w:rsid w:val="00297306"/>
    <w:rsid w:val="0029740C"/>
    <w:rsid w:val="002A0C1E"/>
    <w:rsid w:val="002A127B"/>
    <w:rsid w:val="002A14AF"/>
    <w:rsid w:val="002A3506"/>
    <w:rsid w:val="002A3CBC"/>
    <w:rsid w:val="002A3E8A"/>
    <w:rsid w:val="002A41C1"/>
    <w:rsid w:val="002A49A6"/>
    <w:rsid w:val="002A5CCC"/>
    <w:rsid w:val="002A6C7B"/>
    <w:rsid w:val="002B11C3"/>
    <w:rsid w:val="002B1A46"/>
    <w:rsid w:val="002B2768"/>
    <w:rsid w:val="002B2B72"/>
    <w:rsid w:val="002B3E2B"/>
    <w:rsid w:val="002B4E83"/>
    <w:rsid w:val="002B5B07"/>
    <w:rsid w:val="002B5DAB"/>
    <w:rsid w:val="002B6BA6"/>
    <w:rsid w:val="002B6F01"/>
    <w:rsid w:val="002C076E"/>
    <w:rsid w:val="002C1912"/>
    <w:rsid w:val="002C1B38"/>
    <w:rsid w:val="002C2627"/>
    <w:rsid w:val="002C33CA"/>
    <w:rsid w:val="002C3D2A"/>
    <w:rsid w:val="002C3EAE"/>
    <w:rsid w:val="002C40FF"/>
    <w:rsid w:val="002C44E9"/>
    <w:rsid w:val="002C477A"/>
    <w:rsid w:val="002C5CB1"/>
    <w:rsid w:val="002C5E13"/>
    <w:rsid w:val="002C5EBF"/>
    <w:rsid w:val="002C75A5"/>
    <w:rsid w:val="002D10B5"/>
    <w:rsid w:val="002D1786"/>
    <w:rsid w:val="002D3048"/>
    <w:rsid w:val="002D382A"/>
    <w:rsid w:val="002D3F02"/>
    <w:rsid w:val="002D47F3"/>
    <w:rsid w:val="002D5589"/>
    <w:rsid w:val="002D5FFD"/>
    <w:rsid w:val="002D69B5"/>
    <w:rsid w:val="002D7BD0"/>
    <w:rsid w:val="002E07ED"/>
    <w:rsid w:val="002E3585"/>
    <w:rsid w:val="002E3EBA"/>
    <w:rsid w:val="002E40AE"/>
    <w:rsid w:val="002E4C92"/>
    <w:rsid w:val="002E4FDC"/>
    <w:rsid w:val="002E549E"/>
    <w:rsid w:val="002E5791"/>
    <w:rsid w:val="002E6079"/>
    <w:rsid w:val="002E64B2"/>
    <w:rsid w:val="002E68EC"/>
    <w:rsid w:val="002F0664"/>
    <w:rsid w:val="002F0F07"/>
    <w:rsid w:val="002F14AF"/>
    <w:rsid w:val="002F6346"/>
    <w:rsid w:val="002F6F89"/>
    <w:rsid w:val="00300CA3"/>
    <w:rsid w:val="00300ED1"/>
    <w:rsid w:val="003016B5"/>
    <w:rsid w:val="00302049"/>
    <w:rsid w:val="00302500"/>
    <w:rsid w:val="00304728"/>
    <w:rsid w:val="003047BC"/>
    <w:rsid w:val="00304A05"/>
    <w:rsid w:val="00304EE6"/>
    <w:rsid w:val="003052FD"/>
    <w:rsid w:val="00305807"/>
    <w:rsid w:val="00306DD9"/>
    <w:rsid w:val="0031267B"/>
    <w:rsid w:val="00313747"/>
    <w:rsid w:val="003140F3"/>
    <w:rsid w:val="003153E3"/>
    <w:rsid w:val="00316590"/>
    <w:rsid w:val="00316B96"/>
    <w:rsid w:val="003210E3"/>
    <w:rsid w:val="00322663"/>
    <w:rsid w:val="003226A7"/>
    <w:rsid w:val="003232CD"/>
    <w:rsid w:val="00324345"/>
    <w:rsid w:val="00325EA2"/>
    <w:rsid w:val="003264E3"/>
    <w:rsid w:val="00326C09"/>
    <w:rsid w:val="00326DBE"/>
    <w:rsid w:val="00327DE6"/>
    <w:rsid w:val="00331BE2"/>
    <w:rsid w:val="00331BE9"/>
    <w:rsid w:val="0033232E"/>
    <w:rsid w:val="0033444D"/>
    <w:rsid w:val="00334C04"/>
    <w:rsid w:val="00335F05"/>
    <w:rsid w:val="003369C9"/>
    <w:rsid w:val="00336C64"/>
    <w:rsid w:val="00337D80"/>
    <w:rsid w:val="003402C3"/>
    <w:rsid w:val="00340383"/>
    <w:rsid w:val="00341716"/>
    <w:rsid w:val="003418FF"/>
    <w:rsid w:val="00342D1B"/>
    <w:rsid w:val="00343CEA"/>
    <w:rsid w:val="003442B1"/>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319C"/>
    <w:rsid w:val="003641CF"/>
    <w:rsid w:val="00364B7C"/>
    <w:rsid w:val="00365895"/>
    <w:rsid w:val="003668F9"/>
    <w:rsid w:val="00367213"/>
    <w:rsid w:val="003673D3"/>
    <w:rsid w:val="00367496"/>
    <w:rsid w:val="00367E4B"/>
    <w:rsid w:val="003700F0"/>
    <w:rsid w:val="00370631"/>
    <w:rsid w:val="00370A2E"/>
    <w:rsid w:val="00371B9E"/>
    <w:rsid w:val="00371F71"/>
    <w:rsid w:val="0037202A"/>
    <w:rsid w:val="00372CD5"/>
    <w:rsid w:val="00374413"/>
    <w:rsid w:val="003773A7"/>
    <w:rsid w:val="003839BD"/>
    <w:rsid w:val="00385944"/>
    <w:rsid w:val="00385FBB"/>
    <w:rsid w:val="00386087"/>
    <w:rsid w:val="00386526"/>
    <w:rsid w:val="00387150"/>
    <w:rsid w:val="00387DEF"/>
    <w:rsid w:val="003909B2"/>
    <w:rsid w:val="003933A4"/>
    <w:rsid w:val="003945AE"/>
    <w:rsid w:val="00394C42"/>
    <w:rsid w:val="003953E4"/>
    <w:rsid w:val="00395436"/>
    <w:rsid w:val="0039578F"/>
    <w:rsid w:val="00395BA7"/>
    <w:rsid w:val="003A06EB"/>
    <w:rsid w:val="003A09FA"/>
    <w:rsid w:val="003A2CBB"/>
    <w:rsid w:val="003A3E9B"/>
    <w:rsid w:val="003A4114"/>
    <w:rsid w:val="003A41F8"/>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7865"/>
    <w:rsid w:val="003B7F8F"/>
    <w:rsid w:val="003C01CA"/>
    <w:rsid w:val="003C25B4"/>
    <w:rsid w:val="003C4DEA"/>
    <w:rsid w:val="003C5342"/>
    <w:rsid w:val="003C6699"/>
    <w:rsid w:val="003C7359"/>
    <w:rsid w:val="003C746E"/>
    <w:rsid w:val="003C77EB"/>
    <w:rsid w:val="003D002F"/>
    <w:rsid w:val="003D1501"/>
    <w:rsid w:val="003D1E07"/>
    <w:rsid w:val="003D2811"/>
    <w:rsid w:val="003D34E8"/>
    <w:rsid w:val="003D5252"/>
    <w:rsid w:val="003D6E3B"/>
    <w:rsid w:val="003D71F0"/>
    <w:rsid w:val="003E01CF"/>
    <w:rsid w:val="003E10E5"/>
    <w:rsid w:val="003E420E"/>
    <w:rsid w:val="003E432C"/>
    <w:rsid w:val="003E4971"/>
    <w:rsid w:val="003E4AC9"/>
    <w:rsid w:val="003E4D6D"/>
    <w:rsid w:val="003E5479"/>
    <w:rsid w:val="003E68D9"/>
    <w:rsid w:val="003E72D6"/>
    <w:rsid w:val="003E7956"/>
    <w:rsid w:val="003E7EBC"/>
    <w:rsid w:val="003E7EE7"/>
    <w:rsid w:val="003F0B69"/>
    <w:rsid w:val="003F10BB"/>
    <w:rsid w:val="003F124B"/>
    <w:rsid w:val="003F1386"/>
    <w:rsid w:val="003F15BA"/>
    <w:rsid w:val="003F218F"/>
    <w:rsid w:val="003F2AEB"/>
    <w:rsid w:val="003F2E62"/>
    <w:rsid w:val="003F3600"/>
    <w:rsid w:val="003F3ECE"/>
    <w:rsid w:val="003F3F07"/>
    <w:rsid w:val="003F5EB4"/>
    <w:rsid w:val="003F6704"/>
    <w:rsid w:val="003F7571"/>
    <w:rsid w:val="003F7DC8"/>
    <w:rsid w:val="00400CA6"/>
    <w:rsid w:val="00403823"/>
    <w:rsid w:val="004047A6"/>
    <w:rsid w:val="0040605A"/>
    <w:rsid w:val="004063DC"/>
    <w:rsid w:val="00406F68"/>
    <w:rsid w:val="00407370"/>
    <w:rsid w:val="00407A78"/>
    <w:rsid w:val="00411200"/>
    <w:rsid w:val="0041289D"/>
    <w:rsid w:val="00413E66"/>
    <w:rsid w:val="0041409C"/>
    <w:rsid w:val="0041426E"/>
    <w:rsid w:val="0041545F"/>
    <w:rsid w:val="00416015"/>
    <w:rsid w:val="0041634C"/>
    <w:rsid w:val="00416B34"/>
    <w:rsid w:val="00420A84"/>
    <w:rsid w:val="00421296"/>
    <w:rsid w:val="00424859"/>
    <w:rsid w:val="0042563A"/>
    <w:rsid w:val="00427131"/>
    <w:rsid w:val="00427E22"/>
    <w:rsid w:val="0043054E"/>
    <w:rsid w:val="0043176C"/>
    <w:rsid w:val="00432148"/>
    <w:rsid w:val="00433638"/>
    <w:rsid w:val="00434010"/>
    <w:rsid w:val="00434BAF"/>
    <w:rsid w:val="00434BBE"/>
    <w:rsid w:val="00434CF8"/>
    <w:rsid w:val="004355DD"/>
    <w:rsid w:val="00441565"/>
    <w:rsid w:val="00442074"/>
    <w:rsid w:val="00445C4A"/>
    <w:rsid w:val="00445D9A"/>
    <w:rsid w:val="004469A9"/>
    <w:rsid w:val="00446CC3"/>
    <w:rsid w:val="0044790B"/>
    <w:rsid w:val="00450275"/>
    <w:rsid w:val="004502D8"/>
    <w:rsid w:val="0045057C"/>
    <w:rsid w:val="004517BB"/>
    <w:rsid w:val="004525D7"/>
    <w:rsid w:val="00452944"/>
    <w:rsid w:val="00452D8A"/>
    <w:rsid w:val="0045392A"/>
    <w:rsid w:val="00455AF6"/>
    <w:rsid w:val="00456080"/>
    <w:rsid w:val="00457648"/>
    <w:rsid w:val="0045778D"/>
    <w:rsid w:val="00460046"/>
    <w:rsid w:val="004608B3"/>
    <w:rsid w:val="00460ED4"/>
    <w:rsid w:val="00462652"/>
    <w:rsid w:val="00462DDC"/>
    <w:rsid w:val="004639E1"/>
    <w:rsid w:val="00463D29"/>
    <w:rsid w:val="004659A2"/>
    <w:rsid w:val="00465A31"/>
    <w:rsid w:val="00465A6B"/>
    <w:rsid w:val="00466390"/>
    <w:rsid w:val="004667D5"/>
    <w:rsid w:val="00466F63"/>
    <w:rsid w:val="00466FB4"/>
    <w:rsid w:val="0047158C"/>
    <w:rsid w:val="004725ED"/>
    <w:rsid w:val="0047302A"/>
    <w:rsid w:val="0047439E"/>
    <w:rsid w:val="00475629"/>
    <w:rsid w:val="0047604F"/>
    <w:rsid w:val="004775BF"/>
    <w:rsid w:val="0048048B"/>
    <w:rsid w:val="00480998"/>
    <w:rsid w:val="00480A62"/>
    <w:rsid w:val="00480CB2"/>
    <w:rsid w:val="004819B5"/>
    <w:rsid w:val="00481A52"/>
    <w:rsid w:val="00481A6F"/>
    <w:rsid w:val="00481CAD"/>
    <w:rsid w:val="00481F08"/>
    <w:rsid w:val="00482B89"/>
    <w:rsid w:val="00483955"/>
    <w:rsid w:val="00483F4B"/>
    <w:rsid w:val="00484415"/>
    <w:rsid w:val="00490624"/>
    <w:rsid w:val="00491925"/>
    <w:rsid w:val="004921C2"/>
    <w:rsid w:val="004921EC"/>
    <w:rsid w:val="004925C8"/>
    <w:rsid w:val="00492B0C"/>
    <w:rsid w:val="00494993"/>
    <w:rsid w:val="00494B53"/>
    <w:rsid w:val="0049566B"/>
    <w:rsid w:val="0049588B"/>
    <w:rsid w:val="00495BB8"/>
    <w:rsid w:val="00496AF0"/>
    <w:rsid w:val="00497D90"/>
    <w:rsid w:val="004A0013"/>
    <w:rsid w:val="004A24A6"/>
    <w:rsid w:val="004A2DE8"/>
    <w:rsid w:val="004A3D82"/>
    <w:rsid w:val="004B12AD"/>
    <w:rsid w:val="004B1BE5"/>
    <w:rsid w:val="004B2453"/>
    <w:rsid w:val="004B759C"/>
    <w:rsid w:val="004C07AF"/>
    <w:rsid w:val="004C0B2C"/>
    <w:rsid w:val="004C0FB9"/>
    <w:rsid w:val="004C18F8"/>
    <w:rsid w:val="004C3E5D"/>
    <w:rsid w:val="004C4640"/>
    <w:rsid w:val="004C4D43"/>
    <w:rsid w:val="004C5352"/>
    <w:rsid w:val="004C5C99"/>
    <w:rsid w:val="004C6118"/>
    <w:rsid w:val="004C6264"/>
    <w:rsid w:val="004C696F"/>
    <w:rsid w:val="004C6BBE"/>
    <w:rsid w:val="004C7410"/>
    <w:rsid w:val="004D0196"/>
    <w:rsid w:val="004D0271"/>
    <w:rsid w:val="004D0FDB"/>
    <w:rsid w:val="004D2173"/>
    <w:rsid w:val="004D244D"/>
    <w:rsid w:val="004D338F"/>
    <w:rsid w:val="004D4751"/>
    <w:rsid w:val="004D65EE"/>
    <w:rsid w:val="004D691A"/>
    <w:rsid w:val="004D6C06"/>
    <w:rsid w:val="004D7A3E"/>
    <w:rsid w:val="004E13AE"/>
    <w:rsid w:val="004E1A2F"/>
    <w:rsid w:val="004E1AC2"/>
    <w:rsid w:val="004E1C0D"/>
    <w:rsid w:val="004E4DF5"/>
    <w:rsid w:val="004E55ED"/>
    <w:rsid w:val="004E5A54"/>
    <w:rsid w:val="004E641D"/>
    <w:rsid w:val="004E666E"/>
    <w:rsid w:val="004E732D"/>
    <w:rsid w:val="004F04A4"/>
    <w:rsid w:val="004F0E43"/>
    <w:rsid w:val="004F1269"/>
    <w:rsid w:val="004F1C64"/>
    <w:rsid w:val="004F25EC"/>
    <w:rsid w:val="004F3334"/>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5A25"/>
    <w:rsid w:val="005069F0"/>
    <w:rsid w:val="00510880"/>
    <w:rsid w:val="00510BB7"/>
    <w:rsid w:val="00511929"/>
    <w:rsid w:val="00513B1C"/>
    <w:rsid w:val="005147FF"/>
    <w:rsid w:val="0051588D"/>
    <w:rsid w:val="00516932"/>
    <w:rsid w:val="00517286"/>
    <w:rsid w:val="005205F6"/>
    <w:rsid w:val="00521116"/>
    <w:rsid w:val="005224A1"/>
    <w:rsid w:val="00522CE3"/>
    <w:rsid w:val="005230C3"/>
    <w:rsid w:val="0052329B"/>
    <w:rsid w:val="00523E7A"/>
    <w:rsid w:val="00524853"/>
    <w:rsid w:val="0052523C"/>
    <w:rsid w:val="00526134"/>
    <w:rsid w:val="00526451"/>
    <w:rsid w:val="00527779"/>
    <w:rsid w:val="00532103"/>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4BE"/>
    <w:rsid w:val="00565879"/>
    <w:rsid w:val="00566529"/>
    <w:rsid w:val="00567533"/>
    <w:rsid w:val="00567BB1"/>
    <w:rsid w:val="00571DBA"/>
    <w:rsid w:val="005726F3"/>
    <w:rsid w:val="00574605"/>
    <w:rsid w:val="00574671"/>
    <w:rsid w:val="00574DC1"/>
    <w:rsid w:val="00575672"/>
    <w:rsid w:val="00575895"/>
    <w:rsid w:val="0057684F"/>
    <w:rsid w:val="005768D1"/>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86E"/>
    <w:rsid w:val="005A3ADA"/>
    <w:rsid w:val="005A4528"/>
    <w:rsid w:val="005A4E57"/>
    <w:rsid w:val="005A6080"/>
    <w:rsid w:val="005A63E9"/>
    <w:rsid w:val="005A6690"/>
    <w:rsid w:val="005A68EE"/>
    <w:rsid w:val="005B0817"/>
    <w:rsid w:val="005B0D5E"/>
    <w:rsid w:val="005B0DA3"/>
    <w:rsid w:val="005B10DB"/>
    <w:rsid w:val="005B1867"/>
    <w:rsid w:val="005B1CE1"/>
    <w:rsid w:val="005B362C"/>
    <w:rsid w:val="005B47A5"/>
    <w:rsid w:val="005B47D1"/>
    <w:rsid w:val="005B5690"/>
    <w:rsid w:val="005B5B8E"/>
    <w:rsid w:val="005B6045"/>
    <w:rsid w:val="005B77AB"/>
    <w:rsid w:val="005B7B7A"/>
    <w:rsid w:val="005B7F8C"/>
    <w:rsid w:val="005C0C37"/>
    <w:rsid w:val="005C34CD"/>
    <w:rsid w:val="005C4263"/>
    <w:rsid w:val="005C464D"/>
    <w:rsid w:val="005C4A34"/>
    <w:rsid w:val="005C4CDD"/>
    <w:rsid w:val="005C512B"/>
    <w:rsid w:val="005C613B"/>
    <w:rsid w:val="005C619B"/>
    <w:rsid w:val="005C6E9F"/>
    <w:rsid w:val="005C6EB2"/>
    <w:rsid w:val="005C6F03"/>
    <w:rsid w:val="005C78BD"/>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20BF"/>
    <w:rsid w:val="005F3CFC"/>
    <w:rsid w:val="005F5B90"/>
    <w:rsid w:val="005F77A5"/>
    <w:rsid w:val="00601714"/>
    <w:rsid w:val="006020B8"/>
    <w:rsid w:val="006023A2"/>
    <w:rsid w:val="006030CD"/>
    <w:rsid w:val="00603284"/>
    <w:rsid w:val="006045E3"/>
    <w:rsid w:val="0060542B"/>
    <w:rsid w:val="00605AC8"/>
    <w:rsid w:val="0060710A"/>
    <w:rsid w:val="006075EB"/>
    <w:rsid w:val="00607642"/>
    <w:rsid w:val="00610B2E"/>
    <w:rsid w:val="00611844"/>
    <w:rsid w:val="00611BD5"/>
    <w:rsid w:val="00611D13"/>
    <w:rsid w:val="006124EC"/>
    <w:rsid w:val="00613780"/>
    <w:rsid w:val="006137A4"/>
    <w:rsid w:val="0061497F"/>
    <w:rsid w:val="00616A3B"/>
    <w:rsid w:val="00616B49"/>
    <w:rsid w:val="00617997"/>
    <w:rsid w:val="006179A2"/>
    <w:rsid w:val="00617E4F"/>
    <w:rsid w:val="00620516"/>
    <w:rsid w:val="0062136D"/>
    <w:rsid w:val="00622715"/>
    <w:rsid w:val="00622BCB"/>
    <w:rsid w:val="006234A2"/>
    <w:rsid w:val="00624B01"/>
    <w:rsid w:val="006253D5"/>
    <w:rsid w:val="00625C24"/>
    <w:rsid w:val="00625F2E"/>
    <w:rsid w:val="00627306"/>
    <w:rsid w:val="00627BCD"/>
    <w:rsid w:val="00627D66"/>
    <w:rsid w:val="00631DCB"/>
    <w:rsid w:val="00631E35"/>
    <w:rsid w:val="00632425"/>
    <w:rsid w:val="00632602"/>
    <w:rsid w:val="00632B80"/>
    <w:rsid w:val="00633353"/>
    <w:rsid w:val="00634EB6"/>
    <w:rsid w:val="00636593"/>
    <w:rsid w:val="00636D5D"/>
    <w:rsid w:val="00640D7E"/>
    <w:rsid w:val="0064152B"/>
    <w:rsid w:val="00641AC2"/>
    <w:rsid w:val="00641B22"/>
    <w:rsid w:val="00643429"/>
    <w:rsid w:val="00643E26"/>
    <w:rsid w:val="006442C3"/>
    <w:rsid w:val="00646B6F"/>
    <w:rsid w:val="0064712A"/>
    <w:rsid w:val="006471BB"/>
    <w:rsid w:val="00650244"/>
    <w:rsid w:val="00650350"/>
    <w:rsid w:val="00650418"/>
    <w:rsid w:val="00650D4C"/>
    <w:rsid w:val="00651518"/>
    <w:rsid w:val="00651589"/>
    <w:rsid w:val="00651BA8"/>
    <w:rsid w:val="0065275D"/>
    <w:rsid w:val="0065339E"/>
    <w:rsid w:val="00653E9A"/>
    <w:rsid w:val="00656B4B"/>
    <w:rsid w:val="00661B07"/>
    <w:rsid w:val="006625A5"/>
    <w:rsid w:val="00663D06"/>
    <w:rsid w:val="00663DF6"/>
    <w:rsid w:val="0066445B"/>
    <w:rsid w:val="006646D8"/>
    <w:rsid w:val="0066485B"/>
    <w:rsid w:val="00665C3D"/>
    <w:rsid w:val="00666304"/>
    <w:rsid w:val="00666BEA"/>
    <w:rsid w:val="0067071A"/>
    <w:rsid w:val="00670B47"/>
    <w:rsid w:val="00670FD9"/>
    <w:rsid w:val="006716EA"/>
    <w:rsid w:val="00671EC4"/>
    <w:rsid w:val="00673C8C"/>
    <w:rsid w:val="006742A5"/>
    <w:rsid w:val="0067535B"/>
    <w:rsid w:val="00676D52"/>
    <w:rsid w:val="006773E9"/>
    <w:rsid w:val="00680E5F"/>
    <w:rsid w:val="006810AD"/>
    <w:rsid w:val="006811F9"/>
    <w:rsid w:val="00682876"/>
    <w:rsid w:val="006839CB"/>
    <w:rsid w:val="00684614"/>
    <w:rsid w:val="00684F77"/>
    <w:rsid w:val="00686915"/>
    <w:rsid w:val="006873A5"/>
    <w:rsid w:val="00687CA9"/>
    <w:rsid w:val="00687FB9"/>
    <w:rsid w:val="006902DA"/>
    <w:rsid w:val="006904D5"/>
    <w:rsid w:val="00690FD0"/>
    <w:rsid w:val="0069199E"/>
    <w:rsid w:val="00692402"/>
    <w:rsid w:val="00692738"/>
    <w:rsid w:val="00692BF2"/>
    <w:rsid w:val="0069381D"/>
    <w:rsid w:val="00693A7B"/>
    <w:rsid w:val="00693F70"/>
    <w:rsid w:val="0069435B"/>
    <w:rsid w:val="006943DE"/>
    <w:rsid w:val="0069506C"/>
    <w:rsid w:val="006956BD"/>
    <w:rsid w:val="00695EC0"/>
    <w:rsid w:val="00697F33"/>
    <w:rsid w:val="006A02F8"/>
    <w:rsid w:val="006A0333"/>
    <w:rsid w:val="006A0435"/>
    <w:rsid w:val="006A144C"/>
    <w:rsid w:val="006A19C9"/>
    <w:rsid w:val="006A200A"/>
    <w:rsid w:val="006A2258"/>
    <w:rsid w:val="006A27E3"/>
    <w:rsid w:val="006A2CFB"/>
    <w:rsid w:val="006A3181"/>
    <w:rsid w:val="006A325B"/>
    <w:rsid w:val="006A4AD6"/>
    <w:rsid w:val="006A53B8"/>
    <w:rsid w:val="006A6157"/>
    <w:rsid w:val="006B048D"/>
    <w:rsid w:val="006B1614"/>
    <w:rsid w:val="006B17ED"/>
    <w:rsid w:val="006B2B16"/>
    <w:rsid w:val="006B2CC2"/>
    <w:rsid w:val="006B35A1"/>
    <w:rsid w:val="006B42CD"/>
    <w:rsid w:val="006B4EF4"/>
    <w:rsid w:val="006B53D3"/>
    <w:rsid w:val="006B5C50"/>
    <w:rsid w:val="006B5DCA"/>
    <w:rsid w:val="006B67DB"/>
    <w:rsid w:val="006B68D7"/>
    <w:rsid w:val="006B7912"/>
    <w:rsid w:val="006C062B"/>
    <w:rsid w:val="006C20D9"/>
    <w:rsid w:val="006C6A41"/>
    <w:rsid w:val="006C7041"/>
    <w:rsid w:val="006C77EC"/>
    <w:rsid w:val="006D0283"/>
    <w:rsid w:val="006D1D73"/>
    <w:rsid w:val="006D33C0"/>
    <w:rsid w:val="006D365E"/>
    <w:rsid w:val="006D37CC"/>
    <w:rsid w:val="006D385A"/>
    <w:rsid w:val="006D4F4A"/>
    <w:rsid w:val="006D50A7"/>
    <w:rsid w:val="006D5AC9"/>
    <w:rsid w:val="006D5EB4"/>
    <w:rsid w:val="006D6F17"/>
    <w:rsid w:val="006D7269"/>
    <w:rsid w:val="006E01E1"/>
    <w:rsid w:val="006E0B5D"/>
    <w:rsid w:val="006E1442"/>
    <w:rsid w:val="006E1CF1"/>
    <w:rsid w:val="006E25DC"/>
    <w:rsid w:val="006E29B9"/>
    <w:rsid w:val="006E2B55"/>
    <w:rsid w:val="006E30CC"/>
    <w:rsid w:val="006E4299"/>
    <w:rsid w:val="006E43F4"/>
    <w:rsid w:val="006E4425"/>
    <w:rsid w:val="006E51E2"/>
    <w:rsid w:val="006E5A01"/>
    <w:rsid w:val="006E5BB6"/>
    <w:rsid w:val="006E5C89"/>
    <w:rsid w:val="006E61D7"/>
    <w:rsid w:val="006F0AC0"/>
    <w:rsid w:val="006F0ADD"/>
    <w:rsid w:val="006F0C77"/>
    <w:rsid w:val="006F0F42"/>
    <w:rsid w:val="006F13F7"/>
    <w:rsid w:val="006F17C3"/>
    <w:rsid w:val="006F1CCA"/>
    <w:rsid w:val="006F6A32"/>
    <w:rsid w:val="006F6FAD"/>
    <w:rsid w:val="006F7985"/>
    <w:rsid w:val="007003FF"/>
    <w:rsid w:val="00700546"/>
    <w:rsid w:val="007079FC"/>
    <w:rsid w:val="00710906"/>
    <w:rsid w:val="00710D9B"/>
    <w:rsid w:val="007124A3"/>
    <w:rsid w:val="00712D65"/>
    <w:rsid w:val="007130A9"/>
    <w:rsid w:val="00713CD3"/>
    <w:rsid w:val="00714B8A"/>
    <w:rsid w:val="0071580F"/>
    <w:rsid w:val="00715A52"/>
    <w:rsid w:val="00716D52"/>
    <w:rsid w:val="00717BBD"/>
    <w:rsid w:val="007214F3"/>
    <w:rsid w:val="00721974"/>
    <w:rsid w:val="00722333"/>
    <w:rsid w:val="00722BBE"/>
    <w:rsid w:val="00722C09"/>
    <w:rsid w:val="00722F80"/>
    <w:rsid w:val="00723E55"/>
    <w:rsid w:val="0072444D"/>
    <w:rsid w:val="0072490B"/>
    <w:rsid w:val="0072545F"/>
    <w:rsid w:val="00725469"/>
    <w:rsid w:val="00725715"/>
    <w:rsid w:val="00727295"/>
    <w:rsid w:val="007301B8"/>
    <w:rsid w:val="00730985"/>
    <w:rsid w:val="007323DC"/>
    <w:rsid w:val="007338C8"/>
    <w:rsid w:val="007345F6"/>
    <w:rsid w:val="007348F8"/>
    <w:rsid w:val="007349FB"/>
    <w:rsid w:val="0073516A"/>
    <w:rsid w:val="0073637A"/>
    <w:rsid w:val="00736481"/>
    <w:rsid w:val="007374E8"/>
    <w:rsid w:val="00740D39"/>
    <w:rsid w:val="007413B9"/>
    <w:rsid w:val="007425E6"/>
    <w:rsid w:val="007427F5"/>
    <w:rsid w:val="00743B76"/>
    <w:rsid w:val="0074591B"/>
    <w:rsid w:val="007459CF"/>
    <w:rsid w:val="0075024D"/>
    <w:rsid w:val="00753C8E"/>
    <w:rsid w:val="00753DD1"/>
    <w:rsid w:val="00753DDE"/>
    <w:rsid w:val="007541AB"/>
    <w:rsid w:val="00755CAC"/>
    <w:rsid w:val="007563F9"/>
    <w:rsid w:val="00756C15"/>
    <w:rsid w:val="007572E2"/>
    <w:rsid w:val="007576BA"/>
    <w:rsid w:val="00760970"/>
    <w:rsid w:val="00760A12"/>
    <w:rsid w:val="00760F3C"/>
    <w:rsid w:val="007614DF"/>
    <w:rsid w:val="00761C30"/>
    <w:rsid w:val="00762CF7"/>
    <w:rsid w:val="00763508"/>
    <w:rsid w:val="00763901"/>
    <w:rsid w:val="00763D85"/>
    <w:rsid w:val="00765A17"/>
    <w:rsid w:val="00765CC7"/>
    <w:rsid w:val="007660CD"/>
    <w:rsid w:val="00766419"/>
    <w:rsid w:val="00766C3B"/>
    <w:rsid w:val="00771263"/>
    <w:rsid w:val="00771A36"/>
    <w:rsid w:val="0077295E"/>
    <w:rsid w:val="007731BB"/>
    <w:rsid w:val="00773277"/>
    <w:rsid w:val="00773D1D"/>
    <w:rsid w:val="00774976"/>
    <w:rsid w:val="00774A21"/>
    <w:rsid w:val="00774EEC"/>
    <w:rsid w:val="00775038"/>
    <w:rsid w:val="00775DCF"/>
    <w:rsid w:val="0077618C"/>
    <w:rsid w:val="00776857"/>
    <w:rsid w:val="00777870"/>
    <w:rsid w:val="00777D33"/>
    <w:rsid w:val="007807B1"/>
    <w:rsid w:val="00780B43"/>
    <w:rsid w:val="0078100F"/>
    <w:rsid w:val="00781A1E"/>
    <w:rsid w:val="00782159"/>
    <w:rsid w:val="007823F5"/>
    <w:rsid w:val="00784690"/>
    <w:rsid w:val="007856AE"/>
    <w:rsid w:val="00785EFF"/>
    <w:rsid w:val="00791653"/>
    <w:rsid w:val="00792A9D"/>
    <w:rsid w:val="00793896"/>
    <w:rsid w:val="007941DB"/>
    <w:rsid w:val="007941DF"/>
    <w:rsid w:val="00794444"/>
    <w:rsid w:val="0079468C"/>
    <w:rsid w:val="00795DC1"/>
    <w:rsid w:val="007963D1"/>
    <w:rsid w:val="0079687A"/>
    <w:rsid w:val="00797AC4"/>
    <w:rsid w:val="007A14F4"/>
    <w:rsid w:val="007A163A"/>
    <w:rsid w:val="007A32CF"/>
    <w:rsid w:val="007A3A4D"/>
    <w:rsid w:val="007A46E3"/>
    <w:rsid w:val="007A517D"/>
    <w:rsid w:val="007A5684"/>
    <w:rsid w:val="007A56D2"/>
    <w:rsid w:val="007A56F1"/>
    <w:rsid w:val="007A6062"/>
    <w:rsid w:val="007A7073"/>
    <w:rsid w:val="007B0148"/>
    <w:rsid w:val="007B0A4C"/>
    <w:rsid w:val="007B1E88"/>
    <w:rsid w:val="007B2E70"/>
    <w:rsid w:val="007B3ED8"/>
    <w:rsid w:val="007B4C10"/>
    <w:rsid w:val="007B4F3B"/>
    <w:rsid w:val="007B50E5"/>
    <w:rsid w:val="007B79D8"/>
    <w:rsid w:val="007B7DD3"/>
    <w:rsid w:val="007C08D2"/>
    <w:rsid w:val="007C0F6D"/>
    <w:rsid w:val="007C1BCE"/>
    <w:rsid w:val="007C238C"/>
    <w:rsid w:val="007C2B57"/>
    <w:rsid w:val="007C3079"/>
    <w:rsid w:val="007C5596"/>
    <w:rsid w:val="007C63BC"/>
    <w:rsid w:val="007C75A1"/>
    <w:rsid w:val="007C7ADF"/>
    <w:rsid w:val="007C7D9A"/>
    <w:rsid w:val="007D0EBE"/>
    <w:rsid w:val="007D1C44"/>
    <w:rsid w:val="007D1D15"/>
    <w:rsid w:val="007D3B2C"/>
    <w:rsid w:val="007D42E8"/>
    <w:rsid w:val="007D4969"/>
    <w:rsid w:val="007D5D5E"/>
    <w:rsid w:val="007D7679"/>
    <w:rsid w:val="007D7947"/>
    <w:rsid w:val="007E058F"/>
    <w:rsid w:val="007E3405"/>
    <w:rsid w:val="007E34A8"/>
    <w:rsid w:val="007E41F2"/>
    <w:rsid w:val="007E48B5"/>
    <w:rsid w:val="007E6121"/>
    <w:rsid w:val="007E642C"/>
    <w:rsid w:val="007E6686"/>
    <w:rsid w:val="007E6831"/>
    <w:rsid w:val="007E709F"/>
    <w:rsid w:val="007E765F"/>
    <w:rsid w:val="007F087E"/>
    <w:rsid w:val="007F0B33"/>
    <w:rsid w:val="007F0B48"/>
    <w:rsid w:val="007F0BAD"/>
    <w:rsid w:val="007F1F2A"/>
    <w:rsid w:val="007F3330"/>
    <w:rsid w:val="007F43C2"/>
    <w:rsid w:val="007F4CA3"/>
    <w:rsid w:val="007F647D"/>
    <w:rsid w:val="007F6D41"/>
    <w:rsid w:val="007F750D"/>
    <w:rsid w:val="007F794F"/>
    <w:rsid w:val="008029B2"/>
    <w:rsid w:val="00802E9D"/>
    <w:rsid w:val="00804C83"/>
    <w:rsid w:val="00804FDD"/>
    <w:rsid w:val="008059CB"/>
    <w:rsid w:val="008065B4"/>
    <w:rsid w:val="008109BE"/>
    <w:rsid w:val="00810F7D"/>
    <w:rsid w:val="00812EB7"/>
    <w:rsid w:val="0081360D"/>
    <w:rsid w:val="00813EB4"/>
    <w:rsid w:val="008144F4"/>
    <w:rsid w:val="00814968"/>
    <w:rsid w:val="00814A49"/>
    <w:rsid w:val="0081569C"/>
    <w:rsid w:val="00816D8D"/>
    <w:rsid w:val="00817AC1"/>
    <w:rsid w:val="0082109C"/>
    <w:rsid w:val="00821290"/>
    <w:rsid w:val="0082202C"/>
    <w:rsid w:val="00822912"/>
    <w:rsid w:val="00822C2E"/>
    <w:rsid w:val="00824BD3"/>
    <w:rsid w:val="00826A78"/>
    <w:rsid w:val="00826B17"/>
    <w:rsid w:val="0082730A"/>
    <w:rsid w:val="00827C4F"/>
    <w:rsid w:val="00830052"/>
    <w:rsid w:val="008314D2"/>
    <w:rsid w:val="008315BD"/>
    <w:rsid w:val="008319C0"/>
    <w:rsid w:val="00831E4F"/>
    <w:rsid w:val="00831F0B"/>
    <w:rsid w:val="00833081"/>
    <w:rsid w:val="008332B1"/>
    <w:rsid w:val="008372A1"/>
    <w:rsid w:val="00837A14"/>
    <w:rsid w:val="00841BCB"/>
    <w:rsid w:val="00842722"/>
    <w:rsid w:val="00844F2F"/>
    <w:rsid w:val="00846521"/>
    <w:rsid w:val="00846808"/>
    <w:rsid w:val="00846CE8"/>
    <w:rsid w:val="00847048"/>
    <w:rsid w:val="008471C4"/>
    <w:rsid w:val="00847385"/>
    <w:rsid w:val="00847843"/>
    <w:rsid w:val="00847880"/>
    <w:rsid w:val="00847A88"/>
    <w:rsid w:val="00847D22"/>
    <w:rsid w:val="0085178B"/>
    <w:rsid w:val="00851C77"/>
    <w:rsid w:val="00851D97"/>
    <w:rsid w:val="008522D3"/>
    <w:rsid w:val="008524D2"/>
    <w:rsid w:val="00852630"/>
    <w:rsid w:val="00853AB6"/>
    <w:rsid w:val="008553B2"/>
    <w:rsid w:val="008557ED"/>
    <w:rsid w:val="00855903"/>
    <w:rsid w:val="00861B88"/>
    <w:rsid w:val="00861F7D"/>
    <w:rsid w:val="008671E2"/>
    <w:rsid w:val="00867941"/>
    <w:rsid w:val="00867F31"/>
    <w:rsid w:val="00870E1A"/>
    <w:rsid w:val="008724E9"/>
    <w:rsid w:val="00872766"/>
    <w:rsid w:val="00872FFD"/>
    <w:rsid w:val="00873274"/>
    <w:rsid w:val="008744BC"/>
    <w:rsid w:val="00875709"/>
    <w:rsid w:val="00876C30"/>
    <w:rsid w:val="00881DA3"/>
    <w:rsid w:val="00882313"/>
    <w:rsid w:val="00883827"/>
    <w:rsid w:val="00884CF0"/>
    <w:rsid w:val="0088589D"/>
    <w:rsid w:val="00886116"/>
    <w:rsid w:val="00887CEB"/>
    <w:rsid w:val="00887FDD"/>
    <w:rsid w:val="00890308"/>
    <w:rsid w:val="00890757"/>
    <w:rsid w:val="008909A8"/>
    <w:rsid w:val="00890D42"/>
    <w:rsid w:val="00891CBF"/>
    <w:rsid w:val="00892CAB"/>
    <w:rsid w:val="00893991"/>
    <w:rsid w:val="00895394"/>
    <w:rsid w:val="008958BB"/>
    <w:rsid w:val="008A01CB"/>
    <w:rsid w:val="008A105A"/>
    <w:rsid w:val="008A1C04"/>
    <w:rsid w:val="008A2779"/>
    <w:rsid w:val="008A3630"/>
    <w:rsid w:val="008A41BA"/>
    <w:rsid w:val="008A4836"/>
    <w:rsid w:val="008A6F60"/>
    <w:rsid w:val="008A6F63"/>
    <w:rsid w:val="008A7DF6"/>
    <w:rsid w:val="008B0295"/>
    <w:rsid w:val="008B17B6"/>
    <w:rsid w:val="008B1963"/>
    <w:rsid w:val="008B2D18"/>
    <w:rsid w:val="008B37A5"/>
    <w:rsid w:val="008B4519"/>
    <w:rsid w:val="008B525E"/>
    <w:rsid w:val="008B5A6D"/>
    <w:rsid w:val="008B5D73"/>
    <w:rsid w:val="008B6169"/>
    <w:rsid w:val="008B6802"/>
    <w:rsid w:val="008B74D7"/>
    <w:rsid w:val="008C0FE3"/>
    <w:rsid w:val="008C1158"/>
    <w:rsid w:val="008C1AF6"/>
    <w:rsid w:val="008C2E48"/>
    <w:rsid w:val="008C57AC"/>
    <w:rsid w:val="008C6582"/>
    <w:rsid w:val="008C6E5C"/>
    <w:rsid w:val="008D1021"/>
    <w:rsid w:val="008D1E33"/>
    <w:rsid w:val="008D2A54"/>
    <w:rsid w:val="008D2BAF"/>
    <w:rsid w:val="008D3665"/>
    <w:rsid w:val="008D4A72"/>
    <w:rsid w:val="008D4F4C"/>
    <w:rsid w:val="008D50A2"/>
    <w:rsid w:val="008D7912"/>
    <w:rsid w:val="008E0D71"/>
    <w:rsid w:val="008E0F85"/>
    <w:rsid w:val="008E1925"/>
    <w:rsid w:val="008E1A89"/>
    <w:rsid w:val="008E1E97"/>
    <w:rsid w:val="008E2FA8"/>
    <w:rsid w:val="008E3ABF"/>
    <w:rsid w:val="008E52F6"/>
    <w:rsid w:val="008E76FC"/>
    <w:rsid w:val="008F1564"/>
    <w:rsid w:val="008F2A5A"/>
    <w:rsid w:val="008F2EC8"/>
    <w:rsid w:val="008F398B"/>
    <w:rsid w:val="008F3EF5"/>
    <w:rsid w:val="008F4083"/>
    <w:rsid w:val="008F4A59"/>
    <w:rsid w:val="008F50E2"/>
    <w:rsid w:val="008F5B12"/>
    <w:rsid w:val="008F61A4"/>
    <w:rsid w:val="008F6AAD"/>
    <w:rsid w:val="008F7726"/>
    <w:rsid w:val="00900AE3"/>
    <w:rsid w:val="00901116"/>
    <w:rsid w:val="009027E6"/>
    <w:rsid w:val="00902874"/>
    <w:rsid w:val="0090501C"/>
    <w:rsid w:val="00905495"/>
    <w:rsid w:val="00905CA4"/>
    <w:rsid w:val="009065E7"/>
    <w:rsid w:val="00906B13"/>
    <w:rsid w:val="00906CE8"/>
    <w:rsid w:val="0090767E"/>
    <w:rsid w:val="009079F8"/>
    <w:rsid w:val="00907A27"/>
    <w:rsid w:val="00910863"/>
    <w:rsid w:val="00910AB5"/>
    <w:rsid w:val="00911E91"/>
    <w:rsid w:val="00914860"/>
    <w:rsid w:val="00914C1B"/>
    <w:rsid w:val="00914FDC"/>
    <w:rsid w:val="009212C5"/>
    <w:rsid w:val="009220F6"/>
    <w:rsid w:val="00923861"/>
    <w:rsid w:val="00924234"/>
    <w:rsid w:val="00924652"/>
    <w:rsid w:val="00924753"/>
    <w:rsid w:val="0092550E"/>
    <w:rsid w:val="0092554D"/>
    <w:rsid w:val="009255C6"/>
    <w:rsid w:val="0092599B"/>
    <w:rsid w:val="0092603D"/>
    <w:rsid w:val="00927C8D"/>
    <w:rsid w:val="0093076F"/>
    <w:rsid w:val="00931F2C"/>
    <w:rsid w:val="00932748"/>
    <w:rsid w:val="00932AFC"/>
    <w:rsid w:val="0093370A"/>
    <w:rsid w:val="0093428F"/>
    <w:rsid w:val="0093498D"/>
    <w:rsid w:val="00934DA0"/>
    <w:rsid w:val="00935D33"/>
    <w:rsid w:val="009374DE"/>
    <w:rsid w:val="00937A59"/>
    <w:rsid w:val="00940CFF"/>
    <w:rsid w:val="00942CC3"/>
    <w:rsid w:val="00943EBB"/>
    <w:rsid w:val="00944E99"/>
    <w:rsid w:val="00945A84"/>
    <w:rsid w:val="00946AF5"/>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1136"/>
    <w:rsid w:val="00962D5A"/>
    <w:rsid w:val="009630F7"/>
    <w:rsid w:val="00963598"/>
    <w:rsid w:val="009659CD"/>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2C7"/>
    <w:rsid w:val="009814C8"/>
    <w:rsid w:val="00981F85"/>
    <w:rsid w:val="009825C0"/>
    <w:rsid w:val="0098412D"/>
    <w:rsid w:val="00985433"/>
    <w:rsid w:val="0099081C"/>
    <w:rsid w:val="00992301"/>
    <w:rsid w:val="009928DD"/>
    <w:rsid w:val="00993077"/>
    <w:rsid w:val="00993876"/>
    <w:rsid w:val="00994286"/>
    <w:rsid w:val="009943C0"/>
    <w:rsid w:val="00994CDE"/>
    <w:rsid w:val="00995542"/>
    <w:rsid w:val="0099579D"/>
    <w:rsid w:val="00996D2C"/>
    <w:rsid w:val="009A01D0"/>
    <w:rsid w:val="009A0417"/>
    <w:rsid w:val="009A0894"/>
    <w:rsid w:val="009A1382"/>
    <w:rsid w:val="009A244E"/>
    <w:rsid w:val="009A3AFF"/>
    <w:rsid w:val="009A6554"/>
    <w:rsid w:val="009A70C2"/>
    <w:rsid w:val="009A71F0"/>
    <w:rsid w:val="009A776C"/>
    <w:rsid w:val="009A7D0E"/>
    <w:rsid w:val="009B00E0"/>
    <w:rsid w:val="009B07B3"/>
    <w:rsid w:val="009B0E95"/>
    <w:rsid w:val="009B256C"/>
    <w:rsid w:val="009B36B4"/>
    <w:rsid w:val="009B4484"/>
    <w:rsid w:val="009B5226"/>
    <w:rsid w:val="009B7ADD"/>
    <w:rsid w:val="009B7D9D"/>
    <w:rsid w:val="009C047F"/>
    <w:rsid w:val="009C2700"/>
    <w:rsid w:val="009C292F"/>
    <w:rsid w:val="009C4840"/>
    <w:rsid w:val="009C4C42"/>
    <w:rsid w:val="009C7DC3"/>
    <w:rsid w:val="009D09F7"/>
    <w:rsid w:val="009D0E0E"/>
    <w:rsid w:val="009D1EAA"/>
    <w:rsid w:val="009D2856"/>
    <w:rsid w:val="009D320A"/>
    <w:rsid w:val="009D38D4"/>
    <w:rsid w:val="009D3992"/>
    <w:rsid w:val="009D471F"/>
    <w:rsid w:val="009D53E9"/>
    <w:rsid w:val="009D5641"/>
    <w:rsid w:val="009D685E"/>
    <w:rsid w:val="009E1C66"/>
    <w:rsid w:val="009E1C6C"/>
    <w:rsid w:val="009E1D25"/>
    <w:rsid w:val="009E3036"/>
    <w:rsid w:val="009E4E14"/>
    <w:rsid w:val="009E59D2"/>
    <w:rsid w:val="009E61D2"/>
    <w:rsid w:val="009F071D"/>
    <w:rsid w:val="009F0AC9"/>
    <w:rsid w:val="009F1718"/>
    <w:rsid w:val="009F5571"/>
    <w:rsid w:val="009F57F1"/>
    <w:rsid w:val="009F62BD"/>
    <w:rsid w:val="009F7D5C"/>
    <w:rsid w:val="00A00DB1"/>
    <w:rsid w:val="00A02135"/>
    <w:rsid w:val="00A02621"/>
    <w:rsid w:val="00A04118"/>
    <w:rsid w:val="00A0427E"/>
    <w:rsid w:val="00A05A52"/>
    <w:rsid w:val="00A06F8A"/>
    <w:rsid w:val="00A07B93"/>
    <w:rsid w:val="00A10456"/>
    <w:rsid w:val="00A1392D"/>
    <w:rsid w:val="00A141D4"/>
    <w:rsid w:val="00A14728"/>
    <w:rsid w:val="00A1491D"/>
    <w:rsid w:val="00A14A74"/>
    <w:rsid w:val="00A14BB6"/>
    <w:rsid w:val="00A14BCD"/>
    <w:rsid w:val="00A157FB"/>
    <w:rsid w:val="00A15DFA"/>
    <w:rsid w:val="00A16AAB"/>
    <w:rsid w:val="00A16AF9"/>
    <w:rsid w:val="00A2035F"/>
    <w:rsid w:val="00A21540"/>
    <w:rsid w:val="00A23505"/>
    <w:rsid w:val="00A236DE"/>
    <w:rsid w:val="00A2439F"/>
    <w:rsid w:val="00A25439"/>
    <w:rsid w:val="00A25CB7"/>
    <w:rsid w:val="00A2655C"/>
    <w:rsid w:val="00A26651"/>
    <w:rsid w:val="00A26AB9"/>
    <w:rsid w:val="00A27933"/>
    <w:rsid w:val="00A27C22"/>
    <w:rsid w:val="00A30DD5"/>
    <w:rsid w:val="00A312EA"/>
    <w:rsid w:val="00A32176"/>
    <w:rsid w:val="00A323B3"/>
    <w:rsid w:val="00A33692"/>
    <w:rsid w:val="00A35A18"/>
    <w:rsid w:val="00A36666"/>
    <w:rsid w:val="00A36A14"/>
    <w:rsid w:val="00A3777B"/>
    <w:rsid w:val="00A42FC9"/>
    <w:rsid w:val="00A445B7"/>
    <w:rsid w:val="00A46D13"/>
    <w:rsid w:val="00A51DE9"/>
    <w:rsid w:val="00A52110"/>
    <w:rsid w:val="00A527CF"/>
    <w:rsid w:val="00A52DB1"/>
    <w:rsid w:val="00A5363A"/>
    <w:rsid w:val="00A53ADC"/>
    <w:rsid w:val="00A53C6D"/>
    <w:rsid w:val="00A54380"/>
    <w:rsid w:val="00A54A40"/>
    <w:rsid w:val="00A5584C"/>
    <w:rsid w:val="00A55D19"/>
    <w:rsid w:val="00A616EF"/>
    <w:rsid w:val="00A62347"/>
    <w:rsid w:val="00A62B8C"/>
    <w:rsid w:val="00A6503E"/>
    <w:rsid w:val="00A65969"/>
    <w:rsid w:val="00A65B2D"/>
    <w:rsid w:val="00A665E8"/>
    <w:rsid w:val="00A667E4"/>
    <w:rsid w:val="00A6703B"/>
    <w:rsid w:val="00A67A47"/>
    <w:rsid w:val="00A7035E"/>
    <w:rsid w:val="00A70748"/>
    <w:rsid w:val="00A70BD3"/>
    <w:rsid w:val="00A70C0D"/>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5BAC"/>
    <w:rsid w:val="00A86883"/>
    <w:rsid w:val="00A86E23"/>
    <w:rsid w:val="00A876D6"/>
    <w:rsid w:val="00A901B8"/>
    <w:rsid w:val="00A91BD6"/>
    <w:rsid w:val="00A91D8F"/>
    <w:rsid w:val="00A92965"/>
    <w:rsid w:val="00A92AB9"/>
    <w:rsid w:val="00A9301D"/>
    <w:rsid w:val="00A9426A"/>
    <w:rsid w:val="00A9427B"/>
    <w:rsid w:val="00A95D38"/>
    <w:rsid w:val="00A9668B"/>
    <w:rsid w:val="00A96BFB"/>
    <w:rsid w:val="00A97C80"/>
    <w:rsid w:val="00A97F2D"/>
    <w:rsid w:val="00AA0B04"/>
    <w:rsid w:val="00AA1381"/>
    <w:rsid w:val="00AA1595"/>
    <w:rsid w:val="00AA26CF"/>
    <w:rsid w:val="00AA4173"/>
    <w:rsid w:val="00AA4402"/>
    <w:rsid w:val="00AA45BF"/>
    <w:rsid w:val="00AA4B1A"/>
    <w:rsid w:val="00AA5D9B"/>
    <w:rsid w:val="00AA5EF0"/>
    <w:rsid w:val="00AB037A"/>
    <w:rsid w:val="00AB15F7"/>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13C"/>
    <w:rsid w:val="00AC44C3"/>
    <w:rsid w:val="00AC511F"/>
    <w:rsid w:val="00AC547C"/>
    <w:rsid w:val="00AC5679"/>
    <w:rsid w:val="00AC7D8F"/>
    <w:rsid w:val="00AC7E2E"/>
    <w:rsid w:val="00AD04AA"/>
    <w:rsid w:val="00AD1265"/>
    <w:rsid w:val="00AD1D47"/>
    <w:rsid w:val="00AD25B9"/>
    <w:rsid w:val="00AD263D"/>
    <w:rsid w:val="00AD2BBC"/>
    <w:rsid w:val="00AD3E63"/>
    <w:rsid w:val="00AD7BDC"/>
    <w:rsid w:val="00AE1BD6"/>
    <w:rsid w:val="00AE1D46"/>
    <w:rsid w:val="00AE294D"/>
    <w:rsid w:val="00AE6003"/>
    <w:rsid w:val="00AE624F"/>
    <w:rsid w:val="00AE6B99"/>
    <w:rsid w:val="00AE6BEC"/>
    <w:rsid w:val="00AE7040"/>
    <w:rsid w:val="00AE7847"/>
    <w:rsid w:val="00AE7B88"/>
    <w:rsid w:val="00AF0AA5"/>
    <w:rsid w:val="00AF0D90"/>
    <w:rsid w:val="00AF0EBE"/>
    <w:rsid w:val="00AF0EFB"/>
    <w:rsid w:val="00AF13E6"/>
    <w:rsid w:val="00AF2458"/>
    <w:rsid w:val="00AF2C5F"/>
    <w:rsid w:val="00AF2ED8"/>
    <w:rsid w:val="00AF43F3"/>
    <w:rsid w:val="00AF5A98"/>
    <w:rsid w:val="00AF605B"/>
    <w:rsid w:val="00AF75BE"/>
    <w:rsid w:val="00AF79C9"/>
    <w:rsid w:val="00AF7E41"/>
    <w:rsid w:val="00AF7F79"/>
    <w:rsid w:val="00B0168B"/>
    <w:rsid w:val="00B02A47"/>
    <w:rsid w:val="00B038D8"/>
    <w:rsid w:val="00B052E0"/>
    <w:rsid w:val="00B07CB8"/>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80E"/>
    <w:rsid w:val="00B1781D"/>
    <w:rsid w:val="00B2243A"/>
    <w:rsid w:val="00B228FE"/>
    <w:rsid w:val="00B230E1"/>
    <w:rsid w:val="00B2339A"/>
    <w:rsid w:val="00B2360B"/>
    <w:rsid w:val="00B23940"/>
    <w:rsid w:val="00B23A24"/>
    <w:rsid w:val="00B240C6"/>
    <w:rsid w:val="00B2410F"/>
    <w:rsid w:val="00B25609"/>
    <w:rsid w:val="00B25A51"/>
    <w:rsid w:val="00B26E42"/>
    <w:rsid w:val="00B274DC"/>
    <w:rsid w:val="00B27829"/>
    <w:rsid w:val="00B31B13"/>
    <w:rsid w:val="00B33DDE"/>
    <w:rsid w:val="00B33FB0"/>
    <w:rsid w:val="00B34C23"/>
    <w:rsid w:val="00B34E48"/>
    <w:rsid w:val="00B3675D"/>
    <w:rsid w:val="00B369FD"/>
    <w:rsid w:val="00B36D23"/>
    <w:rsid w:val="00B37991"/>
    <w:rsid w:val="00B40580"/>
    <w:rsid w:val="00B40F7E"/>
    <w:rsid w:val="00B4180E"/>
    <w:rsid w:val="00B4278B"/>
    <w:rsid w:val="00B4291A"/>
    <w:rsid w:val="00B44562"/>
    <w:rsid w:val="00B45269"/>
    <w:rsid w:val="00B45327"/>
    <w:rsid w:val="00B45A2B"/>
    <w:rsid w:val="00B46269"/>
    <w:rsid w:val="00B50639"/>
    <w:rsid w:val="00B51B73"/>
    <w:rsid w:val="00B5299E"/>
    <w:rsid w:val="00B53074"/>
    <w:rsid w:val="00B571AD"/>
    <w:rsid w:val="00B60EF2"/>
    <w:rsid w:val="00B6105C"/>
    <w:rsid w:val="00B61FFB"/>
    <w:rsid w:val="00B67D0C"/>
    <w:rsid w:val="00B7059C"/>
    <w:rsid w:val="00B70BAD"/>
    <w:rsid w:val="00B72011"/>
    <w:rsid w:val="00B72294"/>
    <w:rsid w:val="00B72356"/>
    <w:rsid w:val="00B7236D"/>
    <w:rsid w:val="00B7299A"/>
    <w:rsid w:val="00B73808"/>
    <w:rsid w:val="00B74D31"/>
    <w:rsid w:val="00B751A1"/>
    <w:rsid w:val="00B778BE"/>
    <w:rsid w:val="00B81584"/>
    <w:rsid w:val="00B815D5"/>
    <w:rsid w:val="00B84CE8"/>
    <w:rsid w:val="00B86F89"/>
    <w:rsid w:val="00B87F33"/>
    <w:rsid w:val="00B90070"/>
    <w:rsid w:val="00B91320"/>
    <w:rsid w:val="00B9274D"/>
    <w:rsid w:val="00B92F62"/>
    <w:rsid w:val="00B95152"/>
    <w:rsid w:val="00B952FB"/>
    <w:rsid w:val="00B964CF"/>
    <w:rsid w:val="00B971FD"/>
    <w:rsid w:val="00BA1DE6"/>
    <w:rsid w:val="00BA1EBC"/>
    <w:rsid w:val="00BA328A"/>
    <w:rsid w:val="00BA3328"/>
    <w:rsid w:val="00BA374C"/>
    <w:rsid w:val="00BA47A1"/>
    <w:rsid w:val="00BA5659"/>
    <w:rsid w:val="00BA5BAD"/>
    <w:rsid w:val="00BA6299"/>
    <w:rsid w:val="00BA649A"/>
    <w:rsid w:val="00BA6D34"/>
    <w:rsid w:val="00BB0418"/>
    <w:rsid w:val="00BB04B1"/>
    <w:rsid w:val="00BB08D9"/>
    <w:rsid w:val="00BB1A99"/>
    <w:rsid w:val="00BB3E9A"/>
    <w:rsid w:val="00BB4D76"/>
    <w:rsid w:val="00BB674F"/>
    <w:rsid w:val="00BB6764"/>
    <w:rsid w:val="00BB69AD"/>
    <w:rsid w:val="00BB6E1C"/>
    <w:rsid w:val="00BB739E"/>
    <w:rsid w:val="00BC019B"/>
    <w:rsid w:val="00BC100F"/>
    <w:rsid w:val="00BC1C2E"/>
    <w:rsid w:val="00BC2D79"/>
    <w:rsid w:val="00BC326B"/>
    <w:rsid w:val="00BC3629"/>
    <w:rsid w:val="00BC5ABD"/>
    <w:rsid w:val="00BC6BDA"/>
    <w:rsid w:val="00BC6DAD"/>
    <w:rsid w:val="00BD16E8"/>
    <w:rsid w:val="00BD2C6A"/>
    <w:rsid w:val="00BD6E0C"/>
    <w:rsid w:val="00BD7AC5"/>
    <w:rsid w:val="00BD7F4D"/>
    <w:rsid w:val="00BE19B8"/>
    <w:rsid w:val="00BE2B7F"/>
    <w:rsid w:val="00BE2C75"/>
    <w:rsid w:val="00BE369D"/>
    <w:rsid w:val="00BE3B36"/>
    <w:rsid w:val="00BE4A4E"/>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606C"/>
    <w:rsid w:val="00C066B2"/>
    <w:rsid w:val="00C10AE5"/>
    <w:rsid w:val="00C10B76"/>
    <w:rsid w:val="00C11BE8"/>
    <w:rsid w:val="00C141B4"/>
    <w:rsid w:val="00C141C9"/>
    <w:rsid w:val="00C15BA8"/>
    <w:rsid w:val="00C17123"/>
    <w:rsid w:val="00C1777B"/>
    <w:rsid w:val="00C17781"/>
    <w:rsid w:val="00C21349"/>
    <w:rsid w:val="00C21E75"/>
    <w:rsid w:val="00C22D7A"/>
    <w:rsid w:val="00C24009"/>
    <w:rsid w:val="00C25FD4"/>
    <w:rsid w:val="00C264EC"/>
    <w:rsid w:val="00C26B45"/>
    <w:rsid w:val="00C26C41"/>
    <w:rsid w:val="00C26CA2"/>
    <w:rsid w:val="00C30062"/>
    <w:rsid w:val="00C3162E"/>
    <w:rsid w:val="00C3247C"/>
    <w:rsid w:val="00C32603"/>
    <w:rsid w:val="00C330BA"/>
    <w:rsid w:val="00C3343D"/>
    <w:rsid w:val="00C34CDE"/>
    <w:rsid w:val="00C35711"/>
    <w:rsid w:val="00C36C10"/>
    <w:rsid w:val="00C41977"/>
    <w:rsid w:val="00C41D81"/>
    <w:rsid w:val="00C445A9"/>
    <w:rsid w:val="00C4672B"/>
    <w:rsid w:val="00C468E9"/>
    <w:rsid w:val="00C4747B"/>
    <w:rsid w:val="00C50917"/>
    <w:rsid w:val="00C50971"/>
    <w:rsid w:val="00C52BC8"/>
    <w:rsid w:val="00C52E2C"/>
    <w:rsid w:val="00C536B8"/>
    <w:rsid w:val="00C54612"/>
    <w:rsid w:val="00C55F54"/>
    <w:rsid w:val="00C565EB"/>
    <w:rsid w:val="00C6150A"/>
    <w:rsid w:val="00C620D3"/>
    <w:rsid w:val="00C63087"/>
    <w:rsid w:val="00C6410B"/>
    <w:rsid w:val="00C64265"/>
    <w:rsid w:val="00C6448D"/>
    <w:rsid w:val="00C65D17"/>
    <w:rsid w:val="00C66CBE"/>
    <w:rsid w:val="00C67342"/>
    <w:rsid w:val="00C67743"/>
    <w:rsid w:val="00C6774A"/>
    <w:rsid w:val="00C71BDE"/>
    <w:rsid w:val="00C7227F"/>
    <w:rsid w:val="00C7284E"/>
    <w:rsid w:val="00C729EF"/>
    <w:rsid w:val="00C7417D"/>
    <w:rsid w:val="00C75F3F"/>
    <w:rsid w:val="00C76859"/>
    <w:rsid w:val="00C76C16"/>
    <w:rsid w:val="00C80F89"/>
    <w:rsid w:val="00C813DE"/>
    <w:rsid w:val="00C832A2"/>
    <w:rsid w:val="00C83623"/>
    <w:rsid w:val="00C842A2"/>
    <w:rsid w:val="00C84A34"/>
    <w:rsid w:val="00C84BA9"/>
    <w:rsid w:val="00C86BA3"/>
    <w:rsid w:val="00C90674"/>
    <w:rsid w:val="00C90898"/>
    <w:rsid w:val="00C93A92"/>
    <w:rsid w:val="00C93C59"/>
    <w:rsid w:val="00C93DBE"/>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6A5F"/>
    <w:rsid w:val="00CB7D30"/>
    <w:rsid w:val="00CC0597"/>
    <w:rsid w:val="00CC05D4"/>
    <w:rsid w:val="00CC1078"/>
    <w:rsid w:val="00CC300F"/>
    <w:rsid w:val="00CC494D"/>
    <w:rsid w:val="00CC5012"/>
    <w:rsid w:val="00CC54C1"/>
    <w:rsid w:val="00CC5653"/>
    <w:rsid w:val="00CC5A0C"/>
    <w:rsid w:val="00CC5E7D"/>
    <w:rsid w:val="00CC6800"/>
    <w:rsid w:val="00CC777A"/>
    <w:rsid w:val="00CC77F1"/>
    <w:rsid w:val="00CC7D2A"/>
    <w:rsid w:val="00CD0C1A"/>
    <w:rsid w:val="00CD1356"/>
    <w:rsid w:val="00CD1698"/>
    <w:rsid w:val="00CD25EE"/>
    <w:rsid w:val="00CD2DE7"/>
    <w:rsid w:val="00CD51E0"/>
    <w:rsid w:val="00CD51E7"/>
    <w:rsid w:val="00CD5E5B"/>
    <w:rsid w:val="00CD681F"/>
    <w:rsid w:val="00CD71C8"/>
    <w:rsid w:val="00CE1191"/>
    <w:rsid w:val="00CE177A"/>
    <w:rsid w:val="00CE2279"/>
    <w:rsid w:val="00CE2C00"/>
    <w:rsid w:val="00CE2D60"/>
    <w:rsid w:val="00CE3C9A"/>
    <w:rsid w:val="00CE4CD5"/>
    <w:rsid w:val="00CE6AC0"/>
    <w:rsid w:val="00CF0656"/>
    <w:rsid w:val="00CF1CEF"/>
    <w:rsid w:val="00CF2569"/>
    <w:rsid w:val="00CF350E"/>
    <w:rsid w:val="00CF3F70"/>
    <w:rsid w:val="00CF60EB"/>
    <w:rsid w:val="00CF69AC"/>
    <w:rsid w:val="00CF723C"/>
    <w:rsid w:val="00CF7693"/>
    <w:rsid w:val="00CF7BA0"/>
    <w:rsid w:val="00D00B3F"/>
    <w:rsid w:val="00D017BE"/>
    <w:rsid w:val="00D01B03"/>
    <w:rsid w:val="00D02867"/>
    <w:rsid w:val="00D032A4"/>
    <w:rsid w:val="00D035A9"/>
    <w:rsid w:val="00D047F3"/>
    <w:rsid w:val="00D04B61"/>
    <w:rsid w:val="00D063A9"/>
    <w:rsid w:val="00D0644F"/>
    <w:rsid w:val="00D06495"/>
    <w:rsid w:val="00D10AC3"/>
    <w:rsid w:val="00D1144F"/>
    <w:rsid w:val="00D11C81"/>
    <w:rsid w:val="00D11ED2"/>
    <w:rsid w:val="00D1208F"/>
    <w:rsid w:val="00D12655"/>
    <w:rsid w:val="00D12687"/>
    <w:rsid w:val="00D133EA"/>
    <w:rsid w:val="00D13706"/>
    <w:rsid w:val="00D1546F"/>
    <w:rsid w:val="00D20B0D"/>
    <w:rsid w:val="00D20F14"/>
    <w:rsid w:val="00D21DE5"/>
    <w:rsid w:val="00D24153"/>
    <w:rsid w:val="00D24548"/>
    <w:rsid w:val="00D25556"/>
    <w:rsid w:val="00D26E98"/>
    <w:rsid w:val="00D27718"/>
    <w:rsid w:val="00D301DB"/>
    <w:rsid w:val="00D30C4A"/>
    <w:rsid w:val="00D31A29"/>
    <w:rsid w:val="00D31AC2"/>
    <w:rsid w:val="00D329D1"/>
    <w:rsid w:val="00D33C1E"/>
    <w:rsid w:val="00D34881"/>
    <w:rsid w:val="00D35DA5"/>
    <w:rsid w:val="00D36981"/>
    <w:rsid w:val="00D41B5E"/>
    <w:rsid w:val="00D41E2F"/>
    <w:rsid w:val="00D41E3F"/>
    <w:rsid w:val="00D4301D"/>
    <w:rsid w:val="00D4450E"/>
    <w:rsid w:val="00D44E62"/>
    <w:rsid w:val="00D457F1"/>
    <w:rsid w:val="00D45CE3"/>
    <w:rsid w:val="00D46496"/>
    <w:rsid w:val="00D47AFF"/>
    <w:rsid w:val="00D47FA2"/>
    <w:rsid w:val="00D504AF"/>
    <w:rsid w:val="00D53FF7"/>
    <w:rsid w:val="00D54A7A"/>
    <w:rsid w:val="00D553ED"/>
    <w:rsid w:val="00D56886"/>
    <w:rsid w:val="00D57009"/>
    <w:rsid w:val="00D60528"/>
    <w:rsid w:val="00D60849"/>
    <w:rsid w:val="00D610CB"/>
    <w:rsid w:val="00D61297"/>
    <w:rsid w:val="00D6182B"/>
    <w:rsid w:val="00D62B0C"/>
    <w:rsid w:val="00D63197"/>
    <w:rsid w:val="00D65FAC"/>
    <w:rsid w:val="00D67DB2"/>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F66"/>
    <w:rsid w:val="00D84D51"/>
    <w:rsid w:val="00D84F5C"/>
    <w:rsid w:val="00D8698C"/>
    <w:rsid w:val="00D86CE5"/>
    <w:rsid w:val="00D8746E"/>
    <w:rsid w:val="00D87AF6"/>
    <w:rsid w:val="00D90740"/>
    <w:rsid w:val="00D907DA"/>
    <w:rsid w:val="00D91DC3"/>
    <w:rsid w:val="00D948A0"/>
    <w:rsid w:val="00D951D2"/>
    <w:rsid w:val="00D9781D"/>
    <w:rsid w:val="00D97BFF"/>
    <w:rsid w:val="00DA00ED"/>
    <w:rsid w:val="00DA0497"/>
    <w:rsid w:val="00DA0A2F"/>
    <w:rsid w:val="00DA11D1"/>
    <w:rsid w:val="00DA23DC"/>
    <w:rsid w:val="00DA33BB"/>
    <w:rsid w:val="00DA3650"/>
    <w:rsid w:val="00DA51AD"/>
    <w:rsid w:val="00DA621E"/>
    <w:rsid w:val="00DA7373"/>
    <w:rsid w:val="00DB1AAC"/>
    <w:rsid w:val="00DB2162"/>
    <w:rsid w:val="00DB483F"/>
    <w:rsid w:val="00DB5075"/>
    <w:rsid w:val="00DB6A00"/>
    <w:rsid w:val="00DB733D"/>
    <w:rsid w:val="00DC0027"/>
    <w:rsid w:val="00DC046E"/>
    <w:rsid w:val="00DC0616"/>
    <w:rsid w:val="00DC0B7E"/>
    <w:rsid w:val="00DC1A0D"/>
    <w:rsid w:val="00DC2136"/>
    <w:rsid w:val="00DC255F"/>
    <w:rsid w:val="00DC4563"/>
    <w:rsid w:val="00DD0768"/>
    <w:rsid w:val="00DD0A54"/>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0280"/>
    <w:rsid w:val="00DE1D2C"/>
    <w:rsid w:val="00DE2B6B"/>
    <w:rsid w:val="00DE2DFD"/>
    <w:rsid w:val="00DE4BCD"/>
    <w:rsid w:val="00DE5040"/>
    <w:rsid w:val="00DE6595"/>
    <w:rsid w:val="00DF03BB"/>
    <w:rsid w:val="00DF03D5"/>
    <w:rsid w:val="00DF0CFA"/>
    <w:rsid w:val="00DF0FD7"/>
    <w:rsid w:val="00DF0FEA"/>
    <w:rsid w:val="00DF12E3"/>
    <w:rsid w:val="00DF1964"/>
    <w:rsid w:val="00DF1E3E"/>
    <w:rsid w:val="00DF1FBB"/>
    <w:rsid w:val="00DF430D"/>
    <w:rsid w:val="00DF5B87"/>
    <w:rsid w:val="00DF5D8E"/>
    <w:rsid w:val="00DF799F"/>
    <w:rsid w:val="00DF7A05"/>
    <w:rsid w:val="00E006B6"/>
    <w:rsid w:val="00E0080F"/>
    <w:rsid w:val="00E01469"/>
    <w:rsid w:val="00E02269"/>
    <w:rsid w:val="00E02FAF"/>
    <w:rsid w:val="00E03F23"/>
    <w:rsid w:val="00E04D76"/>
    <w:rsid w:val="00E06A26"/>
    <w:rsid w:val="00E07AAE"/>
    <w:rsid w:val="00E07E09"/>
    <w:rsid w:val="00E12049"/>
    <w:rsid w:val="00E1233C"/>
    <w:rsid w:val="00E12E54"/>
    <w:rsid w:val="00E13009"/>
    <w:rsid w:val="00E13393"/>
    <w:rsid w:val="00E13B6F"/>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319D"/>
    <w:rsid w:val="00E33548"/>
    <w:rsid w:val="00E33AC2"/>
    <w:rsid w:val="00E33F8E"/>
    <w:rsid w:val="00E34D4A"/>
    <w:rsid w:val="00E34E6C"/>
    <w:rsid w:val="00E3580C"/>
    <w:rsid w:val="00E3615D"/>
    <w:rsid w:val="00E36583"/>
    <w:rsid w:val="00E37F77"/>
    <w:rsid w:val="00E404DA"/>
    <w:rsid w:val="00E40516"/>
    <w:rsid w:val="00E405F5"/>
    <w:rsid w:val="00E4083F"/>
    <w:rsid w:val="00E40CC0"/>
    <w:rsid w:val="00E41521"/>
    <w:rsid w:val="00E4240A"/>
    <w:rsid w:val="00E42B00"/>
    <w:rsid w:val="00E44698"/>
    <w:rsid w:val="00E44F0D"/>
    <w:rsid w:val="00E456A8"/>
    <w:rsid w:val="00E465F9"/>
    <w:rsid w:val="00E47B79"/>
    <w:rsid w:val="00E52AC3"/>
    <w:rsid w:val="00E5309B"/>
    <w:rsid w:val="00E53849"/>
    <w:rsid w:val="00E538D9"/>
    <w:rsid w:val="00E53D0E"/>
    <w:rsid w:val="00E54270"/>
    <w:rsid w:val="00E550A3"/>
    <w:rsid w:val="00E554A9"/>
    <w:rsid w:val="00E56850"/>
    <w:rsid w:val="00E60AB6"/>
    <w:rsid w:val="00E60CAE"/>
    <w:rsid w:val="00E617C1"/>
    <w:rsid w:val="00E61935"/>
    <w:rsid w:val="00E6358A"/>
    <w:rsid w:val="00E63CB4"/>
    <w:rsid w:val="00E6495B"/>
    <w:rsid w:val="00E666FB"/>
    <w:rsid w:val="00E6695E"/>
    <w:rsid w:val="00E66A42"/>
    <w:rsid w:val="00E66C0C"/>
    <w:rsid w:val="00E71B13"/>
    <w:rsid w:val="00E71DC2"/>
    <w:rsid w:val="00E72564"/>
    <w:rsid w:val="00E72646"/>
    <w:rsid w:val="00E73425"/>
    <w:rsid w:val="00E7376C"/>
    <w:rsid w:val="00E77E0E"/>
    <w:rsid w:val="00E814EB"/>
    <w:rsid w:val="00E821D7"/>
    <w:rsid w:val="00E82802"/>
    <w:rsid w:val="00E82AC3"/>
    <w:rsid w:val="00E851CF"/>
    <w:rsid w:val="00E86723"/>
    <w:rsid w:val="00E874B2"/>
    <w:rsid w:val="00E87A9C"/>
    <w:rsid w:val="00E87B7D"/>
    <w:rsid w:val="00E920C5"/>
    <w:rsid w:val="00E93C2B"/>
    <w:rsid w:val="00E97011"/>
    <w:rsid w:val="00E97303"/>
    <w:rsid w:val="00E97C10"/>
    <w:rsid w:val="00E97D98"/>
    <w:rsid w:val="00EA0048"/>
    <w:rsid w:val="00EA0096"/>
    <w:rsid w:val="00EA0319"/>
    <w:rsid w:val="00EA0692"/>
    <w:rsid w:val="00EA1466"/>
    <w:rsid w:val="00EA20BE"/>
    <w:rsid w:val="00EA34B8"/>
    <w:rsid w:val="00EA3E7A"/>
    <w:rsid w:val="00EA3FD8"/>
    <w:rsid w:val="00EA432B"/>
    <w:rsid w:val="00EA4330"/>
    <w:rsid w:val="00EA5EB5"/>
    <w:rsid w:val="00EA5EFF"/>
    <w:rsid w:val="00EA63F4"/>
    <w:rsid w:val="00EA66D8"/>
    <w:rsid w:val="00EA74CD"/>
    <w:rsid w:val="00EB196C"/>
    <w:rsid w:val="00EB2541"/>
    <w:rsid w:val="00EB2A4D"/>
    <w:rsid w:val="00EB574C"/>
    <w:rsid w:val="00EB5D91"/>
    <w:rsid w:val="00EB5EF0"/>
    <w:rsid w:val="00EB7BE3"/>
    <w:rsid w:val="00EC2129"/>
    <w:rsid w:val="00EC24FD"/>
    <w:rsid w:val="00EC2961"/>
    <w:rsid w:val="00EC2B12"/>
    <w:rsid w:val="00EC57DE"/>
    <w:rsid w:val="00EC66F2"/>
    <w:rsid w:val="00ED086F"/>
    <w:rsid w:val="00ED0DBE"/>
    <w:rsid w:val="00ED12BE"/>
    <w:rsid w:val="00ED1B26"/>
    <w:rsid w:val="00ED1D54"/>
    <w:rsid w:val="00ED2E1B"/>
    <w:rsid w:val="00ED3597"/>
    <w:rsid w:val="00ED3F6D"/>
    <w:rsid w:val="00ED5598"/>
    <w:rsid w:val="00ED5AF8"/>
    <w:rsid w:val="00ED5EA1"/>
    <w:rsid w:val="00ED6B1B"/>
    <w:rsid w:val="00ED6D73"/>
    <w:rsid w:val="00EE02CF"/>
    <w:rsid w:val="00EE0AAC"/>
    <w:rsid w:val="00EE11DA"/>
    <w:rsid w:val="00EE2345"/>
    <w:rsid w:val="00EE27BD"/>
    <w:rsid w:val="00EE2B66"/>
    <w:rsid w:val="00EE2C08"/>
    <w:rsid w:val="00EE470A"/>
    <w:rsid w:val="00EE47E7"/>
    <w:rsid w:val="00EE564A"/>
    <w:rsid w:val="00EE58BF"/>
    <w:rsid w:val="00EE6DBC"/>
    <w:rsid w:val="00EF132F"/>
    <w:rsid w:val="00EF1652"/>
    <w:rsid w:val="00EF204D"/>
    <w:rsid w:val="00EF22A6"/>
    <w:rsid w:val="00EF2C0A"/>
    <w:rsid w:val="00EF49F5"/>
    <w:rsid w:val="00EF5884"/>
    <w:rsid w:val="00EF5A30"/>
    <w:rsid w:val="00EF636C"/>
    <w:rsid w:val="00F00E12"/>
    <w:rsid w:val="00F012B1"/>
    <w:rsid w:val="00F01C52"/>
    <w:rsid w:val="00F01E55"/>
    <w:rsid w:val="00F0291D"/>
    <w:rsid w:val="00F029D8"/>
    <w:rsid w:val="00F0706C"/>
    <w:rsid w:val="00F07277"/>
    <w:rsid w:val="00F110BC"/>
    <w:rsid w:val="00F1181C"/>
    <w:rsid w:val="00F14514"/>
    <w:rsid w:val="00F154E5"/>
    <w:rsid w:val="00F15C6C"/>
    <w:rsid w:val="00F16673"/>
    <w:rsid w:val="00F16E54"/>
    <w:rsid w:val="00F1780A"/>
    <w:rsid w:val="00F17D5E"/>
    <w:rsid w:val="00F17FDA"/>
    <w:rsid w:val="00F209CD"/>
    <w:rsid w:val="00F21131"/>
    <w:rsid w:val="00F2136C"/>
    <w:rsid w:val="00F22455"/>
    <w:rsid w:val="00F23E53"/>
    <w:rsid w:val="00F23E72"/>
    <w:rsid w:val="00F24237"/>
    <w:rsid w:val="00F24AED"/>
    <w:rsid w:val="00F2523B"/>
    <w:rsid w:val="00F264CE"/>
    <w:rsid w:val="00F26AC7"/>
    <w:rsid w:val="00F27082"/>
    <w:rsid w:val="00F271C9"/>
    <w:rsid w:val="00F27246"/>
    <w:rsid w:val="00F274BF"/>
    <w:rsid w:val="00F27A32"/>
    <w:rsid w:val="00F27D23"/>
    <w:rsid w:val="00F314A9"/>
    <w:rsid w:val="00F31782"/>
    <w:rsid w:val="00F327CC"/>
    <w:rsid w:val="00F33539"/>
    <w:rsid w:val="00F345F1"/>
    <w:rsid w:val="00F3462E"/>
    <w:rsid w:val="00F34A8B"/>
    <w:rsid w:val="00F35F9A"/>
    <w:rsid w:val="00F36453"/>
    <w:rsid w:val="00F3693E"/>
    <w:rsid w:val="00F403CA"/>
    <w:rsid w:val="00F40CF0"/>
    <w:rsid w:val="00F41FA4"/>
    <w:rsid w:val="00F42046"/>
    <w:rsid w:val="00F456DC"/>
    <w:rsid w:val="00F503BA"/>
    <w:rsid w:val="00F50D0C"/>
    <w:rsid w:val="00F50E37"/>
    <w:rsid w:val="00F5182F"/>
    <w:rsid w:val="00F531FC"/>
    <w:rsid w:val="00F54A4A"/>
    <w:rsid w:val="00F56A25"/>
    <w:rsid w:val="00F56EAB"/>
    <w:rsid w:val="00F5753F"/>
    <w:rsid w:val="00F57559"/>
    <w:rsid w:val="00F57D43"/>
    <w:rsid w:val="00F57FC1"/>
    <w:rsid w:val="00F60D93"/>
    <w:rsid w:val="00F61A40"/>
    <w:rsid w:val="00F63D45"/>
    <w:rsid w:val="00F64156"/>
    <w:rsid w:val="00F6417F"/>
    <w:rsid w:val="00F6431A"/>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4107"/>
    <w:rsid w:val="00F8683C"/>
    <w:rsid w:val="00F87A0D"/>
    <w:rsid w:val="00F923E9"/>
    <w:rsid w:val="00F9259A"/>
    <w:rsid w:val="00F92688"/>
    <w:rsid w:val="00F92DC1"/>
    <w:rsid w:val="00F93287"/>
    <w:rsid w:val="00F943FD"/>
    <w:rsid w:val="00F9586A"/>
    <w:rsid w:val="00F95C6D"/>
    <w:rsid w:val="00F9738A"/>
    <w:rsid w:val="00FA1842"/>
    <w:rsid w:val="00FA1B34"/>
    <w:rsid w:val="00FA2C8A"/>
    <w:rsid w:val="00FA43C2"/>
    <w:rsid w:val="00FA4F5E"/>
    <w:rsid w:val="00FA57ED"/>
    <w:rsid w:val="00FA5FCE"/>
    <w:rsid w:val="00FA6A77"/>
    <w:rsid w:val="00FA6FB0"/>
    <w:rsid w:val="00FA7309"/>
    <w:rsid w:val="00FB03BD"/>
    <w:rsid w:val="00FB3B06"/>
    <w:rsid w:val="00FB3FE6"/>
    <w:rsid w:val="00FB41D0"/>
    <w:rsid w:val="00FB4C94"/>
    <w:rsid w:val="00FB5CF8"/>
    <w:rsid w:val="00FC0949"/>
    <w:rsid w:val="00FC3488"/>
    <w:rsid w:val="00FC4494"/>
    <w:rsid w:val="00FC5CC7"/>
    <w:rsid w:val="00FD0974"/>
    <w:rsid w:val="00FD0A83"/>
    <w:rsid w:val="00FD12E6"/>
    <w:rsid w:val="00FD188A"/>
    <w:rsid w:val="00FD1905"/>
    <w:rsid w:val="00FD1942"/>
    <w:rsid w:val="00FD1C7E"/>
    <w:rsid w:val="00FD3F9D"/>
    <w:rsid w:val="00FD4E6D"/>
    <w:rsid w:val="00FD58B0"/>
    <w:rsid w:val="00FD71D1"/>
    <w:rsid w:val="00FE03A0"/>
    <w:rsid w:val="00FE0426"/>
    <w:rsid w:val="00FE12B4"/>
    <w:rsid w:val="00FE1AD5"/>
    <w:rsid w:val="00FE1E56"/>
    <w:rsid w:val="00FE211E"/>
    <w:rsid w:val="00FE2603"/>
    <w:rsid w:val="00FE3B6E"/>
    <w:rsid w:val="00FE5345"/>
    <w:rsid w:val="00FE5DEF"/>
    <w:rsid w:val="00FE6685"/>
    <w:rsid w:val="00FE6E07"/>
    <w:rsid w:val="00FE7213"/>
    <w:rsid w:val="00FF0154"/>
    <w:rsid w:val="00FF0603"/>
    <w:rsid w:val="00FF113B"/>
    <w:rsid w:val="00FF20A4"/>
    <w:rsid w:val="00FF2228"/>
    <w:rsid w:val="00FF23A5"/>
    <w:rsid w:val="00FF3136"/>
    <w:rsid w:val="00FF425C"/>
    <w:rsid w:val="00FF68DD"/>
    <w:rsid w:val="00FF7314"/>
    <w:rsid w:val="00FF7858"/>
    <w:rsid w:val="013A1130"/>
    <w:rsid w:val="01AA02C7"/>
    <w:rsid w:val="01DF0576"/>
    <w:rsid w:val="02236824"/>
    <w:rsid w:val="022F52EC"/>
    <w:rsid w:val="033F3EDF"/>
    <w:rsid w:val="03445BDC"/>
    <w:rsid w:val="034C6C82"/>
    <w:rsid w:val="03536B34"/>
    <w:rsid w:val="037C0CCD"/>
    <w:rsid w:val="0397517B"/>
    <w:rsid w:val="03B721D5"/>
    <w:rsid w:val="03F25CE6"/>
    <w:rsid w:val="0431382D"/>
    <w:rsid w:val="04500C13"/>
    <w:rsid w:val="045B0DE3"/>
    <w:rsid w:val="045E3A37"/>
    <w:rsid w:val="05166466"/>
    <w:rsid w:val="053A6065"/>
    <w:rsid w:val="059B3AAE"/>
    <w:rsid w:val="05CC10A3"/>
    <w:rsid w:val="06833BD2"/>
    <w:rsid w:val="06B77EEA"/>
    <w:rsid w:val="06CB3EAC"/>
    <w:rsid w:val="06D431F3"/>
    <w:rsid w:val="06DD6A56"/>
    <w:rsid w:val="07025B85"/>
    <w:rsid w:val="07327A92"/>
    <w:rsid w:val="074C774E"/>
    <w:rsid w:val="080B7C0E"/>
    <w:rsid w:val="08497D0E"/>
    <w:rsid w:val="084E3529"/>
    <w:rsid w:val="08732BE6"/>
    <w:rsid w:val="089B45A8"/>
    <w:rsid w:val="08BC7C73"/>
    <w:rsid w:val="092A690A"/>
    <w:rsid w:val="0930634E"/>
    <w:rsid w:val="094A66A5"/>
    <w:rsid w:val="096B180A"/>
    <w:rsid w:val="09A45719"/>
    <w:rsid w:val="09C67384"/>
    <w:rsid w:val="09F304B2"/>
    <w:rsid w:val="09FF14CE"/>
    <w:rsid w:val="0A603052"/>
    <w:rsid w:val="0AEC7889"/>
    <w:rsid w:val="0AFA251C"/>
    <w:rsid w:val="0B4654C4"/>
    <w:rsid w:val="0B505B9B"/>
    <w:rsid w:val="0B7C4CD0"/>
    <w:rsid w:val="0B833253"/>
    <w:rsid w:val="0BCF050F"/>
    <w:rsid w:val="0BF45DA2"/>
    <w:rsid w:val="0C2333E1"/>
    <w:rsid w:val="0C5A0036"/>
    <w:rsid w:val="0C6562F9"/>
    <w:rsid w:val="0C99645A"/>
    <w:rsid w:val="0CC66731"/>
    <w:rsid w:val="0CFA02B6"/>
    <w:rsid w:val="0D066575"/>
    <w:rsid w:val="0D0A5D09"/>
    <w:rsid w:val="0D5129E1"/>
    <w:rsid w:val="0D741A9A"/>
    <w:rsid w:val="0D751120"/>
    <w:rsid w:val="0D782163"/>
    <w:rsid w:val="0DA728E1"/>
    <w:rsid w:val="0DEF1ED0"/>
    <w:rsid w:val="0E3436CA"/>
    <w:rsid w:val="0E482405"/>
    <w:rsid w:val="0ED84F6A"/>
    <w:rsid w:val="0EF81604"/>
    <w:rsid w:val="0F34788B"/>
    <w:rsid w:val="0F6E32AA"/>
    <w:rsid w:val="0F6F14B9"/>
    <w:rsid w:val="0FB26A4C"/>
    <w:rsid w:val="10583345"/>
    <w:rsid w:val="109F5611"/>
    <w:rsid w:val="10D66C26"/>
    <w:rsid w:val="10EF1665"/>
    <w:rsid w:val="11103BE6"/>
    <w:rsid w:val="115260D0"/>
    <w:rsid w:val="116D3CA7"/>
    <w:rsid w:val="130A06A1"/>
    <w:rsid w:val="1321183C"/>
    <w:rsid w:val="133E369B"/>
    <w:rsid w:val="147F640B"/>
    <w:rsid w:val="14F14A2B"/>
    <w:rsid w:val="15285129"/>
    <w:rsid w:val="152B3DC1"/>
    <w:rsid w:val="152F5D65"/>
    <w:rsid w:val="15C713B3"/>
    <w:rsid w:val="15EB1F70"/>
    <w:rsid w:val="16501FA9"/>
    <w:rsid w:val="16D05439"/>
    <w:rsid w:val="16D704B9"/>
    <w:rsid w:val="16DF3580"/>
    <w:rsid w:val="16F11EDF"/>
    <w:rsid w:val="171E1BEF"/>
    <w:rsid w:val="1741195D"/>
    <w:rsid w:val="17AC1894"/>
    <w:rsid w:val="17B23EB6"/>
    <w:rsid w:val="17D9549A"/>
    <w:rsid w:val="18E11F52"/>
    <w:rsid w:val="18EE1C03"/>
    <w:rsid w:val="19587BFE"/>
    <w:rsid w:val="195B65E5"/>
    <w:rsid w:val="196C3865"/>
    <w:rsid w:val="198B1EE0"/>
    <w:rsid w:val="19FE696D"/>
    <w:rsid w:val="1A65008E"/>
    <w:rsid w:val="1A9C1842"/>
    <w:rsid w:val="1AA34806"/>
    <w:rsid w:val="1AE02971"/>
    <w:rsid w:val="1B3D3845"/>
    <w:rsid w:val="1C171F7D"/>
    <w:rsid w:val="1C2703A5"/>
    <w:rsid w:val="1C4B6785"/>
    <w:rsid w:val="1D310AA1"/>
    <w:rsid w:val="1DAB010F"/>
    <w:rsid w:val="1DDB6981"/>
    <w:rsid w:val="1E36548D"/>
    <w:rsid w:val="1E741AE3"/>
    <w:rsid w:val="1E7A25D0"/>
    <w:rsid w:val="1E9111FE"/>
    <w:rsid w:val="1EC835CB"/>
    <w:rsid w:val="1F6E7BED"/>
    <w:rsid w:val="200D5B85"/>
    <w:rsid w:val="20870629"/>
    <w:rsid w:val="208E319E"/>
    <w:rsid w:val="20F952A8"/>
    <w:rsid w:val="211403A0"/>
    <w:rsid w:val="21796124"/>
    <w:rsid w:val="21A156BF"/>
    <w:rsid w:val="21FB29C4"/>
    <w:rsid w:val="222914DE"/>
    <w:rsid w:val="224938CF"/>
    <w:rsid w:val="227D361E"/>
    <w:rsid w:val="229C30C2"/>
    <w:rsid w:val="22E91128"/>
    <w:rsid w:val="22EE450C"/>
    <w:rsid w:val="231D77B9"/>
    <w:rsid w:val="2353380A"/>
    <w:rsid w:val="23E4105C"/>
    <w:rsid w:val="24287BD3"/>
    <w:rsid w:val="2439606F"/>
    <w:rsid w:val="24446C1D"/>
    <w:rsid w:val="24983B90"/>
    <w:rsid w:val="249909FC"/>
    <w:rsid w:val="24B62C8D"/>
    <w:rsid w:val="24E21EE4"/>
    <w:rsid w:val="24FA4B3D"/>
    <w:rsid w:val="25083AE1"/>
    <w:rsid w:val="251E1759"/>
    <w:rsid w:val="254E3DAC"/>
    <w:rsid w:val="255F6C5D"/>
    <w:rsid w:val="259A63C2"/>
    <w:rsid w:val="26045F41"/>
    <w:rsid w:val="263B20B6"/>
    <w:rsid w:val="26502EF8"/>
    <w:rsid w:val="265B0866"/>
    <w:rsid w:val="26655095"/>
    <w:rsid w:val="270943E0"/>
    <w:rsid w:val="27507CEE"/>
    <w:rsid w:val="278C0B82"/>
    <w:rsid w:val="27A55152"/>
    <w:rsid w:val="27B045C5"/>
    <w:rsid w:val="27F814A0"/>
    <w:rsid w:val="281313DD"/>
    <w:rsid w:val="281A7A93"/>
    <w:rsid w:val="28371B0B"/>
    <w:rsid w:val="28463993"/>
    <w:rsid w:val="284B708E"/>
    <w:rsid w:val="285C7D3D"/>
    <w:rsid w:val="28A70A06"/>
    <w:rsid w:val="28BC51B7"/>
    <w:rsid w:val="29042498"/>
    <w:rsid w:val="294A5A4D"/>
    <w:rsid w:val="294F12A3"/>
    <w:rsid w:val="2993661D"/>
    <w:rsid w:val="29BA6DBC"/>
    <w:rsid w:val="29BC3AD9"/>
    <w:rsid w:val="29C66F1C"/>
    <w:rsid w:val="2A59481B"/>
    <w:rsid w:val="2A695D46"/>
    <w:rsid w:val="2A930A12"/>
    <w:rsid w:val="2AA16EC5"/>
    <w:rsid w:val="2ACC1BA4"/>
    <w:rsid w:val="2AE95EBF"/>
    <w:rsid w:val="2AF979C2"/>
    <w:rsid w:val="2AFD3C60"/>
    <w:rsid w:val="2B0C371E"/>
    <w:rsid w:val="2B743395"/>
    <w:rsid w:val="2B896B47"/>
    <w:rsid w:val="2BD860B6"/>
    <w:rsid w:val="2C0F4C44"/>
    <w:rsid w:val="2C131637"/>
    <w:rsid w:val="2CA169F7"/>
    <w:rsid w:val="2CC732A4"/>
    <w:rsid w:val="2CEC6272"/>
    <w:rsid w:val="2D3938B4"/>
    <w:rsid w:val="2D8E78CE"/>
    <w:rsid w:val="2DCD3E28"/>
    <w:rsid w:val="2DE02722"/>
    <w:rsid w:val="2E0D3388"/>
    <w:rsid w:val="2E2B3226"/>
    <w:rsid w:val="2E7F4673"/>
    <w:rsid w:val="2E8A23D0"/>
    <w:rsid w:val="2E8B0993"/>
    <w:rsid w:val="2EE12E83"/>
    <w:rsid w:val="2F093DAC"/>
    <w:rsid w:val="2F7C3BF2"/>
    <w:rsid w:val="2F920DEB"/>
    <w:rsid w:val="2FAD6C34"/>
    <w:rsid w:val="2FBA4C0E"/>
    <w:rsid w:val="2FCA6682"/>
    <w:rsid w:val="2FE117D2"/>
    <w:rsid w:val="3025192A"/>
    <w:rsid w:val="30713F77"/>
    <w:rsid w:val="31037D84"/>
    <w:rsid w:val="31626EEC"/>
    <w:rsid w:val="316B6DE3"/>
    <w:rsid w:val="31D502D7"/>
    <w:rsid w:val="32E12F9D"/>
    <w:rsid w:val="32FD3BE5"/>
    <w:rsid w:val="336C0849"/>
    <w:rsid w:val="33CD4CC7"/>
    <w:rsid w:val="33D47F48"/>
    <w:rsid w:val="340772C2"/>
    <w:rsid w:val="343D54B3"/>
    <w:rsid w:val="348C7CEB"/>
    <w:rsid w:val="34D74C20"/>
    <w:rsid w:val="34DA604A"/>
    <w:rsid w:val="35B16C86"/>
    <w:rsid w:val="35B61CE6"/>
    <w:rsid w:val="365D60B7"/>
    <w:rsid w:val="36BA3301"/>
    <w:rsid w:val="37365EB5"/>
    <w:rsid w:val="37A10767"/>
    <w:rsid w:val="382F5281"/>
    <w:rsid w:val="38304FEC"/>
    <w:rsid w:val="385100C7"/>
    <w:rsid w:val="38AF0697"/>
    <w:rsid w:val="39557F5D"/>
    <w:rsid w:val="39CF739F"/>
    <w:rsid w:val="39E30CCA"/>
    <w:rsid w:val="39EA6ECB"/>
    <w:rsid w:val="39F4284C"/>
    <w:rsid w:val="39F61D9B"/>
    <w:rsid w:val="39FA4C97"/>
    <w:rsid w:val="3A4411E1"/>
    <w:rsid w:val="3A4E0637"/>
    <w:rsid w:val="3A536794"/>
    <w:rsid w:val="3AB02844"/>
    <w:rsid w:val="3AC35398"/>
    <w:rsid w:val="3B054818"/>
    <w:rsid w:val="3B096910"/>
    <w:rsid w:val="3B1052B9"/>
    <w:rsid w:val="3BBB58F1"/>
    <w:rsid w:val="3BD8257A"/>
    <w:rsid w:val="3C022718"/>
    <w:rsid w:val="3C485AA7"/>
    <w:rsid w:val="3C824CFC"/>
    <w:rsid w:val="3D3C17CE"/>
    <w:rsid w:val="3D3C78B9"/>
    <w:rsid w:val="3D975FDF"/>
    <w:rsid w:val="3DC12EEA"/>
    <w:rsid w:val="3DCD7D26"/>
    <w:rsid w:val="3DE301A5"/>
    <w:rsid w:val="3E0579CA"/>
    <w:rsid w:val="3E975725"/>
    <w:rsid w:val="3F5571A2"/>
    <w:rsid w:val="3F6116DD"/>
    <w:rsid w:val="3F7320A4"/>
    <w:rsid w:val="3F9F114C"/>
    <w:rsid w:val="3FBE237E"/>
    <w:rsid w:val="3FC819B1"/>
    <w:rsid w:val="3FD008F7"/>
    <w:rsid w:val="3FEE332F"/>
    <w:rsid w:val="3FEF12A7"/>
    <w:rsid w:val="3FFC7C16"/>
    <w:rsid w:val="40042F35"/>
    <w:rsid w:val="400F065B"/>
    <w:rsid w:val="40F5359B"/>
    <w:rsid w:val="41116105"/>
    <w:rsid w:val="41122B16"/>
    <w:rsid w:val="411E1D77"/>
    <w:rsid w:val="417D7A48"/>
    <w:rsid w:val="41823B99"/>
    <w:rsid w:val="42355F51"/>
    <w:rsid w:val="424358B9"/>
    <w:rsid w:val="42A0345F"/>
    <w:rsid w:val="42A56EBA"/>
    <w:rsid w:val="42CE0D35"/>
    <w:rsid w:val="432B09D4"/>
    <w:rsid w:val="434542A3"/>
    <w:rsid w:val="43661115"/>
    <w:rsid w:val="44486ECA"/>
    <w:rsid w:val="4487670B"/>
    <w:rsid w:val="44BE65E0"/>
    <w:rsid w:val="45045AC7"/>
    <w:rsid w:val="45470CB6"/>
    <w:rsid w:val="458E64E3"/>
    <w:rsid w:val="45B401D3"/>
    <w:rsid w:val="45C24007"/>
    <w:rsid w:val="46777C1E"/>
    <w:rsid w:val="468A357E"/>
    <w:rsid w:val="471D5D1F"/>
    <w:rsid w:val="4728280D"/>
    <w:rsid w:val="472A4DB0"/>
    <w:rsid w:val="4738342D"/>
    <w:rsid w:val="473A0A34"/>
    <w:rsid w:val="475D536A"/>
    <w:rsid w:val="4772627A"/>
    <w:rsid w:val="47911341"/>
    <w:rsid w:val="47A40BFA"/>
    <w:rsid w:val="47A8182A"/>
    <w:rsid w:val="47B97E5E"/>
    <w:rsid w:val="481A5F60"/>
    <w:rsid w:val="485B3158"/>
    <w:rsid w:val="48632AFE"/>
    <w:rsid w:val="48E03F7A"/>
    <w:rsid w:val="48EC37E2"/>
    <w:rsid w:val="495056CC"/>
    <w:rsid w:val="496E6A54"/>
    <w:rsid w:val="4987571E"/>
    <w:rsid w:val="49936DA3"/>
    <w:rsid w:val="49AD4317"/>
    <w:rsid w:val="49F61D67"/>
    <w:rsid w:val="4A513E43"/>
    <w:rsid w:val="4A674F19"/>
    <w:rsid w:val="4A877FBD"/>
    <w:rsid w:val="4A8C4473"/>
    <w:rsid w:val="4A9F7B84"/>
    <w:rsid w:val="4AA14FC3"/>
    <w:rsid w:val="4AB33D29"/>
    <w:rsid w:val="4B1F647F"/>
    <w:rsid w:val="4B366161"/>
    <w:rsid w:val="4BB57F8B"/>
    <w:rsid w:val="4BDA1239"/>
    <w:rsid w:val="4C1175AD"/>
    <w:rsid w:val="4C22037E"/>
    <w:rsid w:val="4C233239"/>
    <w:rsid w:val="4C3B6727"/>
    <w:rsid w:val="4C505EDB"/>
    <w:rsid w:val="4C7C16FA"/>
    <w:rsid w:val="4CAB6713"/>
    <w:rsid w:val="4D202F62"/>
    <w:rsid w:val="4D6F43C3"/>
    <w:rsid w:val="4DA8501F"/>
    <w:rsid w:val="4DB15CB1"/>
    <w:rsid w:val="4DBD1A4F"/>
    <w:rsid w:val="4DC033CD"/>
    <w:rsid w:val="4DCB2E58"/>
    <w:rsid w:val="4E142EBD"/>
    <w:rsid w:val="4E3B4E99"/>
    <w:rsid w:val="4EB462BE"/>
    <w:rsid w:val="4EBA436F"/>
    <w:rsid w:val="4EC45334"/>
    <w:rsid w:val="4ED766D1"/>
    <w:rsid w:val="4F4E17CD"/>
    <w:rsid w:val="4FA47FEB"/>
    <w:rsid w:val="503912EB"/>
    <w:rsid w:val="503C4167"/>
    <w:rsid w:val="50D0260E"/>
    <w:rsid w:val="50F22391"/>
    <w:rsid w:val="5105698F"/>
    <w:rsid w:val="5123705B"/>
    <w:rsid w:val="515901F8"/>
    <w:rsid w:val="519C7360"/>
    <w:rsid w:val="51A27FC1"/>
    <w:rsid w:val="51D62EB8"/>
    <w:rsid w:val="521E00FD"/>
    <w:rsid w:val="523D1809"/>
    <w:rsid w:val="52441A91"/>
    <w:rsid w:val="52F94DB4"/>
    <w:rsid w:val="536C3801"/>
    <w:rsid w:val="53A1611C"/>
    <w:rsid w:val="53D712F9"/>
    <w:rsid w:val="53E71C55"/>
    <w:rsid w:val="54345D59"/>
    <w:rsid w:val="543B5550"/>
    <w:rsid w:val="543B7DDF"/>
    <w:rsid w:val="54622723"/>
    <w:rsid w:val="54F24A86"/>
    <w:rsid w:val="550644C6"/>
    <w:rsid w:val="557F4A80"/>
    <w:rsid w:val="55B2291D"/>
    <w:rsid w:val="55F06DA2"/>
    <w:rsid w:val="56B57908"/>
    <w:rsid w:val="56BD7CD5"/>
    <w:rsid w:val="56CB53DD"/>
    <w:rsid w:val="56E35D3D"/>
    <w:rsid w:val="56FE2233"/>
    <w:rsid w:val="572922DA"/>
    <w:rsid w:val="574F3795"/>
    <w:rsid w:val="57703C09"/>
    <w:rsid w:val="57B358CC"/>
    <w:rsid w:val="57C51437"/>
    <w:rsid w:val="57EF3D64"/>
    <w:rsid w:val="588D3ED1"/>
    <w:rsid w:val="58AE590F"/>
    <w:rsid w:val="58E11355"/>
    <w:rsid w:val="590355EA"/>
    <w:rsid w:val="59166E7E"/>
    <w:rsid w:val="59300AFE"/>
    <w:rsid w:val="59C7778F"/>
    <w:rsid w:val="59CD19C9"/>
    <w:rsid w:val="59D11213"/>
    <w:rsid w:val="5A39472C"/>
    <w:rsid w:val="5AEF254A"/>
    <w:rsid w:val="5AF713F2"/>
    <w:rsid w:val="5B4D1177"/>
    <w:rsid w:val="5B543DCA"/>
    <w:rsid w:val="5B842A2E"/>
    <w:rsid w:val="5BE905BF"/>
    <w:rsid w:val="5C077BF3"/>
    <w:rsid w:val="5C3211F1"/>
    <w:rsid w:val="5CF97198"/>
    <w:rsid w:val="5D2F6B3A"/>
    <w:rsid w:val="5D990819"/>
    <w:rsid w:val="5DAD294E"/>
    <w:rsid w:val="5DB55CC8"/>
    <w:rsid w:val="5E165927"/>
    <w:rsid w:val="5E732FE7"/>
    <w:rsid w:val="5E7E61F3"/>
    <w:rsid w:val="5EA165A4"/>
    <w:rsid w:val="5EB52965"/>
    <w:rsid w:val="5F0D3D8E"/>
    <w:rsid w:val="5F212C14"/>
    <w:rsid w:val="5F726888"/>
    <w:rsid w:val="5FEA08FE"/>
    <w:rsid w:val="601F3CF4"/>
    <w:rsid w:val="603338AB"/>
    <w:rsid w:val="60370D9C"/>
    <w:rsid w:val="603F6DA1"/>
    <w:rsid w:val="60834791"/>
    <w:rsid w:val="60A707D8"/>
    <w:rsid w:val="60B729F3"/>
    <w:rsid w:val="61106291"/>
    <w:rsid w:val="620B22C0"/>
    <w:rsid w:val="623E7551"/>
    <w:rsid w:val="626D7D8D"/>
    <w:rsid w:val="6278767F"/>
    <w:rsid w:val="628157AC"/>
    <w:rsid w:val="628A0D56"/>
    <w:rsid w:val="62BB7170"/>
    <w:rsid w:val="632D793D"/>
    <w:rsid w:val="63B800BE"/>
    <w:rsid w:val="63F158F2"/>
    <w:rsid w:val="63F50756"/>
    <w:rsid w:val="640864E2"/>
    <w:rsid w:val="64AE1A66"/>
    <w:rsid w:val="64BB4EC5"/>
    <w:rsid w:val="64C14066"/>
    <w:rsid w:val="64C3075A"/>
    <w:rsid w:val="64C34E98"/>
    <w:rsid w:val="650E3F83"/>
    <w:rsid w:val="653C2666"/>
    <w:rsid w:val="66073B76"/>
    <w:rsid w:val="663B6125"/>
    <w:rsid w:val="66A078A1"/>
    <w:rsid w:val="66AD6293"/>
    <w:rsid w:val="66AF6B11"/>
    <w:rsid w:val="66DD625E"/>
    <w:rsid w:val="670B0904"/>
    <w:rsid w:val="67161D07"/>
    <w:rsid w:val="675F332A"/>
    <w:rsid w:val="679720DB"/>
    <w:rsid w:val="679B3DAE"/>
    <w:rsid w:val="682723E8"/>
    <w:rsid w:val="68DB615D"/>
    <w:rsid w:val="696A68D7"/>
    <w:rsid w:val="69A306CC"/>
    <w:rsid w:val="69DF3D81"/>
    <w:rsid w:val="6A101101"/>
    <w:rsid w:val="6A6E291A"/>
    <w:rsid w:val="6A945A9B"/>
    <w:rsid w:val="6B0A2F6C"/>
    <w:rsid w:val="6B156FBA"/>
    <w:rsid w:val="6B464802"/>
    <w:rsid w:val="6B792C3A"/>
    <w:rsid w:val="6BAB19C6"/>
    <w:rsid w:val="6BEB296C"/>
    <w:rsid w:val="6BFD00F3"/>
    <w:rsid w:val="6C043AC4"/>
    <w:rsid w:val="6C490484"/>
    <w:rsid w:val="6CF55FCB"/>
    <w:rsid w:val="6D160FB5"/>
    <w:rsid w:val="6D2F76A6"/>
    <w:rsid w:val="6D5236E6"/>
    <w:rsid w:val="6D9739BE"/>
    <w:rsid w:val="6DD00654"/>
    <w:rsid w:val="6E033242"/>
    <w:rsid w:val="6E152C3E"/>
    <w:rsid w:val="6E397CB2"/>
    <w:rsid w:val="6E425DEE"/>
    <w:rsid w:val="6E477E44"/>
    <w:rsid w:val="6ECA2C90"/>
    <w:rsid w:val="6F9A2B93"/>
    <w:rsid w:val="702B4173"/>
    <w:rsid w:val="70412B82"/>
    <w:rsid w:val="70A17D84"/>
    <w:rsid w:val="70AC3247"/>
    <w:rsid w:val="70B25325"/>
    <w:rsid w:val="710F49A7"/>
    <w:rsid w:val="71272202"/>
    <w:rsid w:val="71286EED"/>
    <w:rsid w:val="71597FFB"/>
    <w:rsid w:val="71D91954"/>
    <w:rsid w:val="71FA03D2"/>
    <w:rsid w:val="71FD4EAB"/>
    <w:rsid w:val="7214068D"/>
    <w:rsid w:val="72664FD3"/>
    <w:rsid w:val="727033D1"/>
    <w:rsid w:val="727F3750"/>
    <w:rsid w:val="72A9539D"/>
    <w:rsid w:val="72C82DDB"/>
    <w:rsid w:val="72E5315E"/>
    <w:rsid w:val="746026A2"/>
    <w:rsid w:val="746369B9"/>
    <w:rsid w:val="74AE2892"/>
    <w:rsid w:val="74C9422A"/>
    <w:rsid w:val="756C3299"/>
    <w:rsid w:val="76250B47"/>
    <w:rsid w:val="76316F69"/>
    <w:rsid w:val="76513577"/>
    <w:rsid w:val="76B41282"/>
    <w:rsid w:val="76F43B9E"/>
    <w:rsid w:val="76FE0CDA"/>
    <w:rsid w:val="774A354B"/>
    <w:rsid w:val="77520979"/>
    <w:rsid w:val="777271B3"/>
    <w:rsid w:val="780A4644"/>
    <w:rsid w:val="7872717E"/>
    <w:rsid w:val="78987255"/>
    <w:rsid w:val="789944EB"/>
    <w:rsid w:val="7910745F"/>
    <w:rsid w:val="791F21A9"/>
    <w:rsid w:val="79712CC1"/>
    <w:rsid w:val="7A064CFA"/>
    <w:rsid w:val="7A5C3660"/>
    <w:rsid w:val="7A5F3251"/>
    <w:rsid w:val="7A6811A8"/>
    <w:rsid w:val="7A970BD1"/>
    <w:rsid w:val="7AEF58EF"/>
    <w:rsid w:val="7AF84CE0"/>
    <w:rsid w:val="7AFD495C"/>
    <w:rsid w:val="7B895A7A"/>
    <w:rsid w:val="7B8B4159"/>
    <w:rsid w:val="7BA01856"/>
    <w:rsid w:val="7BB27003"/>
    <w:rsid w:val="7C717679"/>
    <w:rsid w:val="7C851FC2"/>
    <w:rsid w:val="7C946FA2"/>
    <w:rsid w:val="7CAB1C8C"/>
    <w:rsid w:val="7CC27D36"/>
    <w:rsid w:val="7CE23FF0"/>
    <w:rsid w:val="7CFB4D8A"/>
    <w:rsid w:val="7D2A15C4"/>
    <w:rsid w:val="7DD341AE"/>
    <w:rsid w:val="7DE50D8D"/>
    <w:rsid w:val="7E25518C"/>
    <w:rsid w:val="7E3D0E63"/>
    <w:rsid w:val="7E5243F9"/>
    <w:rsid w:val="7EFB5FEB"/>
    <w:rsid w:val="7F781E37"/>
    <w:rsid w:val="7FDB5027"/>
    <w:rsid w:val="7FE27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2"/>
    <w:qFormat/>
    <w:uiPriority w:val="9"/>
    <w:pPr>
      <w:keepNext/>
      <w:keepLines/>
      <w:spacing w:before="340" w:after="330" w:line="578" w:lineRule="auto"/>
      <w:outlineLvl w:val="0"/>
    </w:pPr>
    <w:rPr>
      <w:b/>
      <w:bCs/>
      <w:kern w:val="44"/>
      <w:sz w:val="44"/>
      <w:szCs w:val="44"/>
      <w:lang w:val="zh-CN"/>
    </w:rPr>
  </w:style>
  <w:style w:type="paragraph" w:styleId="4">
    <w:name w:val="heading 2"/>
    <w:basedOn w:val="1"/>
    <w:next w:val="1"/>
    <w:link w:val="47"/>
    <w:qFormat/>
    <w:uiPriority w:val="9"/>
    <w:pPr>
      <w:keepNext/>
      <w:keepLines/>
      <w:spacing w:before="260" w:after="260" w:line="416" w:lineRule="auto"/>
      <w:outlineLvl w:val="1"/>
    </w:pPr>
    <w:rPr>
      <w:rFonts w:ascii="Cambria" w:hAnsi="Cambria"/>
      <w:b/>
      <w:bCs/>
      <w:sz w:val="32"/>
      <w:szCs w:val="32"/>
      <w:lang w:val="zh-CN"/>
    </w:rPr>
  </w:style>
  <w:style w:type="paragraph" w:styleId="5">
    <w:name w:val="heading 5"/>
    <w:basedOn w:val="1"/>
    <w:next w:val="1"/>
    <w:qFormat/>
    <w:uiPriority w:val="9"/>
    <w:pPr>
      <w:keepNext/>
      <w:keepLines/>
      <w:spacing w:before="280" w:after="290" w:line="376" w:lineRule="auto"/>
      <w:ind w:left="1008" w:hanging="1008"/>
      <w:outlineLvl w:val="4"/>
    </w:pPr>
    <w:rPr>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Times New Roman"/>
      <w:sz w:val="24"/>
      <w:szCs w:val="22"/>
      <w:lang w:val="zh-CN" w:eastAsia="zh-CN" w:bidi="ar-SA"/>
    </w:rPr>
  </w:style>
  <w:style w:type="paragraph" w:styleId="6">
    <w:name w:val="List Number"/>
    <w:basedOn w:val="1"/>
    <w:qFormat/>
    <w:uiPriority w:val="0"/>
    <w:pPr>
      <w:widowControl/>
      <w:tabs>
        <w:tab w:val="left" w:pos="454"/>
      </w:tabs>
      <w:spacing w:afterLines="50"/>
      <w:ind w:left="454" w:hanging="284"/>
      <w:jc w:val="left"/>
    </w:pPr>
    <w:rPr>
      <w:kern w:val="0"/>
      <w:sz w:val="24"/>
      <w:szCs w:val="20"/>
    </w:rPr>
  </w:style>
  <w:style w:type="paragraph" w:styleId="7">
    <w:name w:val="Normal Indent"/>
    <w:basedOn w:val="1"/>
    <w:link w:val="41"/>
    <w:qFormat/>
    <w:uiPriority w:val="0"/>
    <w:pPr>
      <w:ind w:firstLine="420"/>
    </w:pPr>
    <w:rPr>
      <w:sz w:val="21"/>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40"/>
    <w:unhideWhenUsed/>
    <w:qFormat/>
    <w:uiPriority w:val="99"/>
    <w:pPr>
      <w:jc w:val="left"/>
    </w:pPr>
    <w:rPr>
      <w:lang w:val="zh-CN"/>
    </w:rPr>
  </w:style>
  <w:style w:type="paragraph" w:styleId="10">
    <w:name w:val="Body Text"/>
    <w:basedOn w:val="1"/>
    <w:unhideWhenUsed/>
    <w:qFormat/>
    <w:uiPriority w:val="99"/>
    <w:pPr>
      <w:spacing w:after="120"/>
    </w:pPr>
  </w:style>
  <w:style w:type="paragraph" w:styleId="11">
    <w:name w:val="Body Text Indent"/>
    <w:basedOn w:val="1"/>
    <w:link w:val="65"/>
    <w:qFormat/>
    <w:uiPriority w:val="0"/>
    <w:pPr>
      <w:spacing w:line="200" w:lineRule="atLeast"/>
      <w:ind w:firstLine="301"/>
    </w:pPr>
    <w:rPr>
      <w:rFonts w:ascii="宋体" w:hAnsi="Courier New"/>
      <w:spacing w:val="-4"/>
      <w:sz w:val="18"/>
      <w:szCs w:val="20"/>
      <w:lang w:val="zh-CN"/>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68"/>
    <w:qFormat/>
    <w:uiPriority w:val="99"/>
    <w:pPr>
      <w:spacing w:beforeLines="50" w:afterLines="50" w:line="400" w:lineRule="atLeast"/>
    </w:pPr>
    <w:rPr>
      <w:rFonts w:ascii="宋体" w:hAnsi="Courier New"/>
      <w:sz w:val="24"/>
      <w:lang w:val="zh-CN"/>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67"/>
    <w:qFormat/>
    <w:uiPriority w:val="99"/>
    <w:pPr>
      <w:tabs>
        <w:tab w:val="center" w:pos="4153"/>
        <w:tab w:val="right" w:pos="8306"/>
      </w:tabs>
      <w:snapToGrid w:val="0"/>
      <w:jc w:val="left"/>
    </w:pPr>
    <w:rPr>
      <w:sz w:val="18"/>
      <w:szCs w:val="18"/>
      <w:lang w:val="zh-CN"/>
    </w:rPr>
  </w:style>
  <w:style w:type="paragraph" w:styleId="17">
    <w:name w:val="header"/>
    <w:basedOn w:val="1"/>
    <w:link w:val="51"/>
    <w:qFormat/>
    <w:uiPriority w:val="99"/>
    <w:pPr>
      <w:tabs>
        <w:tab w:val="center" w:pos="4153"/>
        <w:tab w:val="right" w:pos="8306"/>
      </w:tabs>
      <w:snapToGrid w:val="0"/>
      <w:jc w:val="center"/>
    </w:pPr>
    <w:rPr>
      <w:sz w:val="18"/>
      <w:szCs w:val="18"/>
      <w:lang w:val="zh-CN"/>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9"/>
    <w:next w:val="9"/>
    <w:link w:val="35"/>
    <w:unhideWhenUsed/>
    <w:qFormat/>
    <w:uiPriority w:val="99"/>
    <w:rPr>
      <w:b/>
      <w:bCs/>
    </w:rPr>
  </w:style>
  <w:style w:type="paragraph" w:styleId="22">
    <w:name w:val="Body Text First Indent"/>
    <w:basedOn w:val="10"/>
    <w:unhideWhenUsed/>
    <w:qFormat/>
    <w:uiPriority w:val="99"/>
    <w:pPr>
      <w:ind w:firstLine="420" w:firstLineChars="100"/>
    </w:pPr>
    <w:rPr>
      <w:sz w:val="21"/>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Emphasis"/>
    <w:qFormat/>
    <w:uiPriority w:val="20"/>
    <w:rPr>
      <w:i/>
    </w:rPr>
  </w:style>
  <w:style w:type="character" w:styleId="29">
    <w:name w:val="Hyperlink"/>
    <w:qFormat/>
    <w:uiPriority w:val="0"/>
    <w:rPr>
      <w:color w:val="5579A7"/>
      <w:u w:val="none"/>
    </w:rPr>
  </w:style>
  <w:style w:type="character" w:styleId="30">
    <w:name w:val="annotation reference"/>
    <w:unhideWhenUsed/>
    <w:qFormat/>
    <w:uiPriority w:val="99"/>
    <w:rPr>
      <w:sz w:val="21"/>
      <w:szCs w:val="21"/>
    </w:rPr>
  </w:style>
  <w:style w:type="paragraph" w:customStyle="1" w:styleId="31">
    <w:name w:val="表格文字"/>
    <w:basedOn w:val="1"/>
    <w:next w:val="10"/>
    <w:qFormat/>
    <w:uiPriority w:val="0"/>
    <w:pPr>
      <w:spacing w:line="420" w:lineRule="atLeast"/>
      <w:jc w:val="left"/>
      <w:textAlignment w:val="baseline"/>
    </w:pPr>
    <w:rPr>
      <w:kern w:val="0"/>
    </w:rPr>
  </w:style>
  <w:style w:type="character" w:customStyle="1" w:styleId="32">
    <w:name w:val="jbox-icon-loading"/>
    <w:basedOn w:val="25"/>
    <w:qFormat/>
    <w:uiPriority w:val="0"/>
  </w:style>
  <w:style w:type="character" w:customStyle="1" w:styleId="33">
    <w:name w:val="Plain Text Char Char"/>
    <w:link w:val="34"/>
    <w:qFormat/>
    <w:uiPriority w:val="0"/>
    <w:rPr>
      <w:rFonts w:ascii="宋体" w:hAnsi="Courier New" w:cs="宋体"/>
    </w:rPr>
  </w:style>
  <w:style w:type="paragraph" w:customStyle="1" w:styleId="34">
    <w:name w:val="纯文本1"/>
    <w:basedOn w:val="1"/>
    <w:link w:val="33"/>
    <w:qFormat/>
    <w:uiPriority w:val="0"/>
    <w:rPr>
      <w:rFonts w:ascii="宋体" w:hAnsi="Courier New"/>
      <w:kern w:val="0"/>
      <w:sz w:val="20"/>
      <w:szCs w:val="20"/>
      <w:lang w:val="zh-CN"/>
    </w:rPr>
  </w:style>
  <w:style w:type="character" w:customStyle="1" w:styleId="35">
    <w:name w:val="批注主题 字符"/>
    <w:link w:val="21"/>
    <w:semiHidden/>
    <w:qFormat/>
    <w:uiPriority w:val="99"/>
    <w:rPr>
      <w:b/>
      <w:bCs/>
      <w:kern w:val="2"/>
      <w:sz w:val="28"/>
      <w:szCs w:val="24"/>
    </w:rPr>
  </w:style>
  <w:style w:type="character" w:customStyle="1" w:styleId="36">
    <w:name w:val="maywed421"/>
    <w:qFormat/>
    <w:uiPriority w:val="0"/>
    <w:rPr>
      <w:color w:val="366FB6"/>
      <w:u w:val="none"/>
    </w:rPr>
  </w:style>
  <w:style w:type="character" w:customStyle="1" w:styleId="37">
    <w:name w:val="正文文本缩进 Char"/>
    <w:qFormat/>
    <w:uiPriority w:val="0"/>
    <w:rPr>
      <w:rFonts w:ascii="宋体" w:hAnsi="Courier New"/>
      <w:spacing w:val="-4"/>
      <w:kern w:val="2"/>
      <w:sz w:val="18"/>
    </w:rPr>
  </w:style>
  <w:style w:type="character" w:customStyle="1" w:styleId="38">
    <w:name w:val="纯文本 字符"/>
    <w:qFormat/>
    <w:uiPriority w:val="99"/>
    <w:rPr>
      <w:rFonts w:ascii="宋体" w:hAnsi="Courier New"/>
      <w:kern w:val="2"/>
      <w:sz w:val="24"/>
      <w:szCs w:val="24"/>
    </w:rPr>
  </w:style>
  <w:style w:type="character" w:customStyle="1" w:styleId="39">
    <w:name w:val="已访问的超链接1"/>
    <w:unhideWhenUsed/>
    <w:qFormat/>
    <w:uiPriority w:val="99"/>
    <w:rPr>
      <w:color w:val="5579A7"/>
      <w:u w:val="none"/>
    </w:rPr>
  </w:style>
  <w:style w:type="character" w:customStyle="1" w:styleId="40">
    <w:name w:val="批注文字 字符"/>
    <w:link w:val="9"/>
    <w:semiHidden/>
    <w:qFormat/>
    <w:uiPriority w:val="99"/>
    <w:rPr>
      <w:kern w:val="2"/>
      <w:sz w:val="28"/>
      <w:szCs w:val="24"/>
    </w:rPr>
  </w:style>
  <w:style w:type="character" w:customStyle="1" w:styleId="41">
    <w:name w:val="正文缩进 字符"/>
    <w:link w:val="7"/>
    <w:qFormat/>
    <w:uiPriority w:val="0"/>
    <w:rPr>
      <w:rFonts w:eastAsia="宋体"/>
      <w:kern w:val="2"/>
      <w:sz w:val="21"/>
      <w:lang w:val="en-US" w:eastAsia="zh-CN" w:bidi="ar-SA"/>
    </w:rPr>
  </w:style>
  <w:style w:type="character" w:customStyle="1" w:styleId="42">
    <w:name w:val="页脚 字符"/>
    <w:qFormat/>
    <w:uiPriority w:val="99"/>
  </w:style>
  <w:style w:type="character" w:customStyle="1" w:styleId="43">
    <w:name w:val="black601"/>
    <w:qFormat/>
    <w:uiPriority w:val="0"/>
    <w:rPr>
      <w:color w:val="666666"/>
    </w:rPr>
  </w:style>
  <w:style w:type="character" w:customStyle="1" w:styleId="44">
    <w:name w:val="页眉 字符"/>
    <w:qFormat/>
    <w:uiPriority w:val="99"/>
  </w:style>
  <w:style w:type="character" w:customStyle="1" w:styleId="45">
    <w:name w:val="批注文字 Char"/>
    <w:qFormat/>
    <w:uiPriority w:val="99"/>
    <w:rPr>
      <w:kern w:val="2"/>
      <w:sz w:val="28"/>
      <w:szCs w:val="24"/>
    </w:rPr>
  </w:style>
  <w:style w:type="character" w:customStyle="1" w:styleId="46">
    <w:name w:val="jbox-icon-none"/>
    <w:qFormat/>
    <w:uiPriority w:val="0"/>
    <w:rPr>
      <w:vanish/>
    </w:rPr>
  </w:style>
  <w:style w:type="character" w:customStyle="1" w:styleId="47">
    <w:name w:val="标题 2 字符"/>
    <w:link w:val="4"/>
    <w:semiHidden/>
    <w:qFormat/>
    <w:uiPriority w:val="9"/>
    <w:rPr>
      <w:rFonts w:ascii="Cambria" w:hAnsi="Cambria" w:eastAsia="宋体" w:cs="Times New Roman"/>
      <w:b/>
      <w:bCs/>
      <w:kern w:val="2"/>
      <w:sz w:val="32"/>
      <w:szCs w:val="32"/>
    </w:rPr>
  </w:style>
  <w:style w:type="character" w:customStyle="1" w:styleId="48">
    <w:name w:val="jbox-icon-success"/>
    <w:basedOn w:val="25"/>
    <w:qFormat/>
    <w:uiPriority w:val="0"/>
  </w:style>
  <w:style w:type="character" w:customStyle="1" w:styleId="49">
    <w:name w:val="正方框图 Char Char Char"/>
    <w:link w:val="50"/>
    <w:qFormat/>
    <w:uiPriority w:val="0"/>
    <w:rPr>
      <w:kern w:val="2"/>
      <w:sz w:val="21"/>
      <w:szCs w:val="21"/>
    </w:rPr>
  </w:style>
  <w:style w:type="paragraph" w:customStyle="1" w:styleId="50">
    <w:name w:val="正方框图 Char Char"/>
    <w:basedOn w:val="1"/>
    <w:link w:val="49"/>
    <w:qFormat/>
    <w:uiPriority w:val="0"/>
    <w:pPr>
      <w:snapToGrid w:val="0"/>
      <w:jc w:val="center"/>
    </w:pPr>
    <w:rPr>
      <w:sz w:val="21"/>
      <w:szCs w:val="21"/>
      <w:lang w:val="zh-CN"/>
    </w:rPr>
  </w:style>
  <w:style w:type="character" w:customStyle="1" w:styleId="51">
    <w:name w:val="页眉 字符1"/>
    <w:link w:val="17"/>
    <w:qFormat/>
    <w:uiPriority w:val="99"/>
    <w:rPr>
      <w:kern w:val="2"/>
      <w:sz w:val="18"/>
      <w:szCs w:val="18"/>
    </w:rPr>
  </w:style>
  <w:style w:type="character" w:customStyle="1" w:styleId="52">
    <w:name w:val="标题 1 字符"/>
    <w:link w:val="3"/>
    <w:qFormat/>
    <w:uiPriority w:val="9"/>
    <w:rPr>
      <w:b/>
      <w:bCs/>
      <w:kern w:val="44"/>
      <w:sz w:val="44"/>
      <w:szCs w:val="44"/>
    </w:rPr>
  </w:style>
  <w:style w:type="character" w:customStyle="1" w:styleId="53">
    <w:name w:val="纯文本 Char2"/>
    <w:qFormat/>
    <w:uiPriority w:val="99"/>
    <w:rPr>
      <w:rFonts w:ascii="宋体" w:hAnsi="Courier New"/>
      <w:kern w:val="2"/>
      <w:sz w:val="24"/>
      <w:szCs w:val="24"/>
    </w:rPr>
  </w:style>
  <w:style w:type="character" w:customStyle="1" w:styleId="54">
    <w:name w:val="纯文本 Char1"/>
    <w:qFormat/>
    <w:uiPriority w:val="0"/>
    <w:rPr>
      <w:rFonts w:ascii="宋体" w:hAnsi="Courier New"/>
      <w:kern w:val="2"/>
      <w:sz w:val="21"/>
    </w:rPr>
  </w:style>
  <w:style w:type="character" w:customStyle="1" w:styleId="55">
    <w:name w:val="z-窗体顶端 Char"/>
    <w:link w:val="56"/>
    <w:semiHidden/>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kern w:val="0"/>
      <w:sz w:val="16"/>
      <w:szCs w:val="16"/>
      <w:lang w:val="zh-CN"/>
    </w:rPr>
  </w:style>
  <w:style w:type="character" w:customStyle="1" w:styleId="57">
    <w:name w:val="font01"/>
    <w:basedOn w:val="25"/>
    <w:qFormat/>
    <w:uiPriority w:val="0"/>
    <w:rPr>
      <w:rFonts w:hint="eastAsia" w:ascii="宋体" w:hAnsi="宋体" w:eastAsia="宋体" w:cs="宋体"/>
      <w:color w:val="000000"/>
      <w:sz w:val="21"/>
      <w:szCs w:val="21"/>
      <w:u w:val="none"/>
    </w:rPr>
  </w:style>
  <w:style w:type="character" w:customStyle="1" w:styleId="58">
    <w:name w:val="jbox-icon-error"/>
    <w:basedOn w:val="25"/>
    <w:qFormat/>
    <w:uiPriority w:val="0"/>
  </w:style>
  <w:style w:type="character" w:customStyle="1" w:styleId="59">
    <w:name w:val="jbox-icon-question"/>
    <w:basedOn w:val="25"/>
    <w:qFormat/>
    <w:uiPriority w:val="0"/>
  </w:style>
  <w:style w:type="character" w:customStyle="1" w:styleId="60">
    <w:name w:val="jbox-icon"/>
    <w:basedOn w:val="25"/>
    <w:qFormat/>
    <w:uiPriority w:val="0"/>
  </w:style>
  <w:style w:type="character" w:customStyle="1" w:styleId="61">
    <w:name w:val="jbox-icon-warning"/>
    <w:basedOn w:val="25"/>
    <w:qFormat/>
    <w:uiPriority w:val="0"/>
  </w:style>
  <w:style w:type="character" w:customStyle="1" w:styleId="62">
    <w:name w:val="z-窗体底端 Char"/>
    <w:link w:val="63"/>
    <w:semiHidden/>
    <w:qFormat/>
    <w:uiPriority w:val="99"/>
    <w:rPr>
      <w:rFonts w:ascii="Arial" w:hAnsi="Arial"/>
      <w:vanish/>
      <w:sz w:val="16"/>
      <w:szCs w:val="16"/>
    </w:rPr>
  </w:style>
  <w:style w:type="paragraph" w:customStyle="1" w:styleId="63">
    <w:name w:val="z-窗体底端1"/>
    <w:basedOn w:val="1"/>
    <w:next w:val="1"/>
    <w:link w:val="62"/>
    <w:unhideWhenUsed/>
    <w:qFormat/>
    <w:uiPriority w:val="99"/>
    <w:pPr>
      <w:widowControl/>
      <w:pBdr>
        <w:top w:val="single" w:color="auto" w:sz="6" w:space="1"/>
      </w:pBdr>
      <w:jc w:val="center"/>
    </w:pPr>
    <w:rPr>
      <w:rFonts w:ascii="Arial" w:hAnsi="Arial"/>
      <w:vanish/>
      <w:kern w:val="0"/>
      <w:sz w:val="16"/>
      <w:szCs w:val="16"/>
      <w:lang w:val="zh-CN"/>
    </w:rPr>
  </w:style>
  <w:style w:type="character" w:customStyle="1" w:styleId="64">
    <w:name w:val="jbox-icon-info"/>
    <w:basedOn w:val="25"/>
    <w:qFormat/>
    <w:uiPriority w:val="0"/>
  </w:style>
  <w:style w:type="character" w:customStyle="1" w:styleId="65">
    <w:name w:val="正文文本缩进 字符1"/>
    <w:link w:val="11"/>
    <w:qFormat/>
    <w:uiPriority w:val="0"/>
    <w:rPr>
      <w:rFonts w:ascii="宋体" w:hAnsi="Courier New"/>
      <w:spacing w:val="-4"/>
      <w:kern w:val="2"/>
      <w:sz w:val="18"/>
    </w:rPr>
  </w:style>
  <w:style w:type="character" w:customStyle="1" w:styleId="66">
    <w:name w:val="正文文本缩进 字符"/>
    <w:qFormat/>
    <w:uiPriority w:val="0"/>
    <w:rPr>
      <w:rFonts w:ascii="宋体" w:hAnsi="Courier New"/>
      <w:spacing w:val="-4"/>
      <w:kern w:val="2"/>
      <w:sz w:val="18"/>
    </w:rPr>
  </w:style>
  <w:style w:type="character" w:customStyle="1" w:styleId="67">
    <w:name w:val="页脚 字符1"/>
    <w:link w:val="16"/>
    <w:qFormat/>
    <w:uiPriority w:val="99"/>
    <w:rPr>
      <w:kern w:val="2"/>
      <w:sz w:val="18"/>
      <w:szCs w:val="18"/>
    </w:rPr>
  </w:style>
  <w:style w:type="character" w:customStyle="1" w:styleId="68">
    <w:name w:val="纯文本 字符1"/>
    <w:link w:val="13"/>
    <w:qFormat/>
    <w:uiPriority w:val="99"/>
    <w:rPr>
      <w:rFonts w:ascii="宋体" w:hAnsi="Courier New"/>
      <w:kern w:val="2"/>
      <w:sz w:val="24"/>
      <w:szCs w:val="24"/>
    </w:rPr>
  </w:style>
  <w:style w:type="character" w:customStyle="1" w:styleId="69">
    <w:name w:val="标题 1 Char Char"/>
    <w:qFormat/>
    <w:uiPriority w:val="0"/>
    <w:rPr>
      <w:rFonts w:eastAsia="宋体"/>
      <w:b/>
      <w:spacing w:val="-2"/>
      <w:sz w:val="24"/>
      <w:lang w:val="en-US" w:eastAsia="zh-CN" w:bidi="ar-SA"/>
    </w:rPr>
  </w:style>
  <w:style w:type="paragraph" w:styleId="7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2">
    <w:name w:val="列出段落1"/>
    <w:basedOn w:val="1"/>
    <w:qFormat/>
    <w:uiPriority w:val="99"/>
    <w:pPr>
      <w:ind w:firstLine="420" w:firstLineChars="200"/>
    </w:pPr>
    <w:rPr>
      <w:rFonts w:ascii="Calibri" w:hAnsi="Calibri"/>
    </w:rPr>
  </w:style>
  <w:style w:type="paragraph" w:customStyle="1" w:styleId="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customStyle="1" w:styleId="7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6">
    <w:name w:val="List Paragraph"/>
    <w:basedOn w:val="1"/>
    <w:qFormat/>
    <w:uiPriority w:val="34"/>
    <w:pPr>
      <w:ind w:firstLine="420" w:firstLineChars="200"/>
    </w:pPr>
    <w:rPr>
      <w:rFonts w:ascii="Calibri" w:hAnsi="Calibri"/>
      <w:sz w:val="21"/>
      <w:szCs w:val="22"/>
    </w:rPr>
  </w:style>
  <w:style w:type="paragraph" w:customStyle="1" w:styleId="77">
    <w:name w:val="默认段落字体 Para Char Char Char Char Char Char Char Char Char1 Char Char Char Char"/>
    <w:basedOn w:val="1"/>
    <w:uiPriority w:val="0"/>
    <w:rPr>
      <w:rFonts w:ascii="Tahoma" w:hAnsi="Tahoma"/>
      <w:sz w:val="24"/>
      <w:szCs w:val="20"/>
    </w:rPr>
  </w:style>
  <w:style w:type="paragraph" w:customStyle="1" w:styleId="78">
    <w:name w:val="Default"/>
    <w:next w:val="7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9">
    <w:name w:val="正文段"/>
    <w:basedOn w:val="1"/>
    <w:qFormat/>
    <w:uiPriority w:val="0"/>
    <w:pPr>
      <w:widowControl/>
      <w:snapToGrid w:val="0"/>
      <w:spacing w:afterLines="50"/>
      <w:ind w:firstLine="200" w:firstLineChars="200"/>
    </w:pPr>
    <w:rPr>
      <w:kern w:val="0"/>
      <w:sz w:val="24"/>
      <w:szCs w:val="20"/>
    </w:rPr>
  </w:style>
  <w:style w:type="paragraph" w:customStyle="1" w:styleId="8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1">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列出段落2"/>
    <w:basedOn w:val="1"/>
    <w:qFormat/>
    <w:uiPriority w:val="0"/>
    <w:pPr>
      <w:ind w:firstLine="420" w:firstLineChars="200"/>
    </w:pPr>
    <w:rPr>
      <w:rFonts w:ascii="Calibri" w:hAnsi="Calibri"/>
      <w:sz w:val="21"/>
    </w:rPr>
  </w:style>
  <w:style w:type="paragraph" w:customStyle="1" w:styleId="8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8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8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7">
    <w:name w:val="List Paragraph1"/>
    <w:basedOn w:val="1"/>
    <w:qFormat/>
    <w:uiPriority w:val="99"/>
    <w:pPr>
      <w:ind w:firstLine="420" w:firstLineChars="200"/>
    </w:pPr>
    <w:rPr>
      <w:sz w:val="21"/>
    </w:rPr>
  </w:style>
  <w:style w:type="paragraph" w:customStyle="1" w:styleId="8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89">
    <w:name w:val="符号列表"/>
    <w:basedOn w:val="1"/>
    <w:next w:val="76"/>
    <w:qFormat/>
    <w:uiPriority w:val="34"/>
    <w:pPr>
      <w:ind w:firstLine="420"/>
    </w:pPr>
    <w:rPr>
      <w:rFonts w:ascii="Calibri" w:hAnsi="Calibri"/>
      <w:szCs w:val="22"/>
    </w:rPr>
  </w:style>
  <w:style w:type="character" w:customStyle="1" w:styleId="90">
    <w:name w:val="font41"/>
    <w:basedOn w:val="25"/>
    <w:qFormat/>
    <w:uiPriority w:val="0"/>
    <w:rPr>
      <w:rFonts w:hint="eastAsia" w:ascii="宋体" w:hAnsi="宋体" w:eastAsia="宋体" w:cs="宋体"/>
      <w:color w:val="000000"/>
      <w:sz w:val="22"/>
      <w:szCs w:val="22"/>
      <w:u w:val="none"/>
    </w:rPr>
  </w:style>
  <w:style w:type="character" w:customStyle="1" w:styleId="91">
    <w:name w:val="font11"/>
    <w:basedOn w:val="25"/>
    <w:qFormat/>
    <w:uiPriority w:val="0"/>
    <w:rPr>
      <w:rFonts w:hint="eastAsia" w:ascii="宋体" w:hAnsi="宋体" w:eastAsia="宋体" w:cs="宋体"/>
      <w:color w:val="000000"/>
      <w:sz w:val="22"/>
      <w:szCs w:val="22"/>
      <w:u w:val="none"/>
    </w:rPr>
  </w:style>
  <w:style w:type="character" w:customStyle="1" w:styleId="92">
    <w:name w:val="font31"/>
    <w:basedOn w:val="25"/>
    <w:qFormat/>
    <w:uiPriority w:val="0"/>
    <w:rPr>
      <w:rFonts w:hint="default" w:ascii="Calibri" w:hAnsi="Calibri" w:cs="Calibri"/>
      <w:color w:val="000000"/>
      <w:sz w:val="22"/>
      <w:szCs w:val="22"/>
      <w:u w:val="none"/>
    </w:rPr>
  </w:style>
  <w:style w:type="character" w:customStyle="1" w:styleId="93">
    <w:name w:val="font51"/>
    <w:basedOn w:val="25"/>
    <w:qFormat/>
    <w:uiPriority w:val="0"/>
    <w:rPr>
      <w:rFonts w:hint="default" w:ascii="Calibri" w:hAnsi="Calibri" w:cs="Calibri"/>
      <w:color w:val="000000"/>
      <w:sz w:val="21"/>
      <w:szCs w:val="21"/>
      <w:u w:val="none"/>
    </w:rPr>
  </w:style>
  <w:style w:type="character" w:customStyle="1" w:styleId="94">
    <w:name w:val="font6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5473</Words>
  <Characters>31198</Characters>
  <Lines>259</Lines>
  <Paragraphs>73</Paragraphs>
  <TotalTime>1</TotalTime>
  <ScaleCrop>false</ScaleCrop>
  <LinksUpToDate>false</LinksUpToDate>
  <CharactersWithSpaces>36598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2019-11-27T07:17:00Z</dcterms:created>
  <dc:creator>jj</dc:creator>
  <cp:lastModifiedBy>halo1382942689</cp:lastModifiedBy>
  <cp:lastPrinted>2016-03-21T00:55:00Z</cp:lastPrinted>
  <dcterms:modified xsi:type="dcterms:W3CDTF">2019-12-03T08:23:03Z</dcterms:modified>
  <dc:title>求是招标代理有限公司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RubyTemplateID">
    <vt:lpwstr>6</vt:lpwstr>
  </property>
</Properties>
</file>