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中国美术学院</w:t>
      </w: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教务处象山2号楼信息化提升项目</w:t>
      </w:r>
    </w:p>
    <w:p>
      <w:pPr>
        <w:spacing w:line="360" w:lineRule="auto"/>
        <w:jc w:val="center"/>
        <w:rPr>
          <w:rFonts w:ascii="楷体" w:hAnsi="楷体" w:eastAsia="楷体"/>
          <w:b/>
          <w:color w:val="auto"/>
          <w:sz w:val="72"/>
          <w:szCs w:val="72"/>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招 标 文 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项目名称：教务处象山2号楼信息化提升项目</w:t>
      </w:r>
    </w:p>
    <w:p>
      <w:pPr>
        <w:spacing w:line="360" w:lineRule="auto"/>
        <w:ind w:firstLine="1446" w:firstLineChars="500"/>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QSZB-Z(H)-C19233(GK)</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人：中国美术学院</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p>
    <w:p>
      <w:pPr>
        <w:spacing w:line="360" w:lineRule="auto"/>
        <w:ind w:firstLine="1446" w:firstLineChars="500"/>
        <w:rPr>
          <w:rFonts w:ascii="楷体" w:hAnsi="楷体" w:eastAsia="楷体"/>
          <w:b/>
          <w:color w:val="auto"/>
          <w:spacing w:val="-6"/>
          <w:sz w:val="30"/>
          <w:szCs w:val="30"/>
          <w:highlight w:val="none"/>
        </w:rPr>
        <w:sectPr>
          <w:footerReference r:id="rId5" w:type="first"/>
          <w:headerReference r:id="rId3" w:type="default"/>
          <w:footerReference r:id="rId4" w:type="even"/>
          <w:pgSz w:w="11906" w:h="16838"/>
          <w:pgMar w:top="1247" w:right="1247" w:bottom="1247" w:left="1247" w:header="142" w:footer="780" w:gutter="0"/>
          <w:cols w:space="720" w:num="1"/>
          <w:docGrid w:linePitch="381" w:charSpace="0"/>
        </w:sectPr>
      </w:pPr>
    </w:p>
    <w:p>
      <w:pPr>
        <w:pStyle w:val="12"/>
        <w:spacing w:before="0" w:beforeLines="0" w:after="0" w:afterLines="0" w:line="288" w:lineRule="auto"/>
        <w:rPr>
          <w:rFonts w:ascii="楷体" w:hAnsi="楷体" w:eastAsia="楷体"/>
          <w:b/>
          <w:color w:val="auto"/>
          <w:sz w:val="21"/>
          <w:szCs w:val="21"/>
          <w:highlight w:val="none"/>
        </w:rPr>
      </w:pPr>
    </w:p>
    <w:p>
      <w:pPr>
        <w:pStyle w:val="12"/>
        <w:spacing w:before="0" w:beforeLines="0" w:after="0" w:afterLines="0" w:line="288"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12"/>
        <w:spacing w:before="0" w:beforeLines="0" w:after="0" w:afterLines="0" w:line="288" w:lineRule="auto"/>
        <w:jc w:val="center"/>
        <w:rPr>
          <w:rFonts w:ascii="楷体" w:hAnsi="楷体" w:eastAsia="楷体"/>
          <w:b/>
          <w:color w:val="auto"/>
          <w:sz w:val="30"/>
          <w:szCs w:val="30"/>
          <w:highlight w:val="none"/>
        </w:rPr>
      </w:pP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投标邀请</w:t>
      </w: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投标人须知</w:t>
      </w: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评标办法及评分标准</w:t>
      </w: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拟签订的合同文本</w:t>
      </w:r>
    </w:p>
    <w:p>
      <w:pPr>
        <w:numPr>
          <w:ilvl w:val="0"/>
          <w:numId w:val="1"/>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投标文件格式</w:t>
      </w:r>
    </w:p>
    <w:p>
      <w:pPr>
        <w:pStyle w:val="12"/>
        <w:spacing w:before="0" w:beforeLines="0" w:after="0" w:afterLines="0" w:line="288" w:lineRule="auto"/>
        <w:jc w:val="center"/>
        <w:outlineLvl w:val="0"/>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投标邀请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经浙江省财政厅[2019]37754号确认书批准，浙江求是招标代理有限公司受中国美术学院委托，现</w:t>
      </w:r>
      <w:r>
        <w:rPr>
          <w:rFonts w:ascii="宋体" w:hAnsi="宋体"/>
          <w:color w:val="auto"/>
          <w:sz w:val="21"/>
          <w:szCs w:val="21"/>
          <w:highlight w:val="none"/>
        </w:rPr>
        <w:t>就</w:t>
      </w:r>
      <w:r>
        <w:rPr>
          <w:rFonts w:hint="eastAsia" w:ascii="宋体" w:hAnsi="宋体"/>
          <w:color w:val="auto"/>
          <w:sz w:val="21"/>
          <w:szCs w:val="21"/>
          <w:highlight w:val="none"/>
        </w:rPr>
        <w:t>教务处象山2号楼信息化提升项目</w:t>
      </w:r>
      <w:r>
        <w:rPr>
          <w:rFonts w:ascii="宋体" w:hAnsi="宋体"/>
          <w:color w:val="auto"/>
          <w:sz w:val="21"/>
          <w:szCs w:val="21"/>
          <w:highlight w:val="none"/>
        </w:rPr>
        <w:t>进行</w:t>
      </w:r>
      <w:r>
        <w:rPr>
          <w:rFonts w:hint="eastAsia" w:ascii="宋体" w:hAnsi="宋体"/>
          <w:color w:val="auto"/>
          <w:sz w:val="21"/>
          <w:szCs w:val="21"/>
          <w:highlight w:val="none"/>
        </w:rPr>
        <w:t>公开招标</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投标</w:t>
      </w:r>
      <w:r>
        <w:rPr>
          <w:rFonts w:ascii="宋体" w:hAnsi="宋体"/>
          <w:color w:val="auto"/>
          <w:sz w:val="21"/>
          <w:szCs w:val="21"/>
          <w:highlight w:val="none"/>
        </w:rPr>
        <w:t>。</w:t>
      </w:r>
    </w:p>
    <w:p>
      <w:pPr>
        <w:spacing w:line="288" w:lineRule="auto"/>
        <w:rPr>
          <w:rFonts w:ascii="宋体" w:hAnsi="宋体"/>
          <w:b/>
          <w:color w:val="auto"/>
          <w:sz w:val="24"/>
          <w:highlight w:val="none"/>
        </w:rPr>
      </w:pPr>
      <w:r>
        <w:rPr>
          <w:rFonts w:hint="eastAsia" w:ascii="宋体" w:hAnsi="宋体"/>
          <w:b/>
          <w:color w:val="auto"/>
          <w:sz w:val="24"/>
          <w:highlight w:val="none"/>
        </w:rPr>
        <w:t>一、招标项目名称：</w:t>
      </w:r>
      <w:r>
        <w:rPr>
          <w:rFonts w:hint="eastAsia" w:ascii="宋体" w:hAnsi="宋体"/>
          <w:color w:val="auto"/>
          <w:sz w:val="21"/>
          <w:szCs w:val="21"/>
          <w:highlight w:val="none"/>
        </w:rPr>
        <w:t>教务处象山2号楼信息化提升项目</w:t>
      </w:r>
    </w:p>
    <w:p>
      <w:pPr>
        <w:spacing w:line="288" w:lineRule="auto"/>
        <w:rPr>
          <w:rFonts w:hint="eastAsia" w:ascii="宋体" w:hAnsi="宋体" w:eastAsia="宋体"/>
          <w:b/>
          <w:color w:val="auto"/>
          <w:sz w:val="24"/>
          <w:highlight w:val="none"/>
          <w:lang w:eastAsia="zh-CN"/>
        </w:rPr>
      </w:pPr>
      <w:r>
        <w:rPr>
          <w:rFonts w:hint="eastAsia" w:ascii="宋体" w:hAnsi="宋体"/>
          <w:b/>
          <w:color w:val="auto"/>
          <w:sz w:val="24"/>
          <w:highlight w:val="none"/>
        </w:rPr>
        <w:t>二、</w:t>
      </w:r>
      <w:r>
        <w:rPr>
          <w:rFonts w:ascii="宋体" w:hAnsi="宋体"/>
          <w:b/>
          <w:color w:val="auto"/>
          <w:sz w:val="24"/>
          <w:highlight w:val="none"/>
        </w:rPr>
        <w:t>招标</w:t>
      </w:r>
      <w:r>
        <w:rPr>
          <w:rFonts w:hint="eastAsia" w:ascii="宋体" w:hAnsi="宋体"/>
          <w:b/>
          <w:color w:val="auto"/>
          <w:sz w:val="24"/>
          <w:highlight w:val="none"/>
        </w:rPr>
        <w:t>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lang w:eastAsia="zh-CN"/>
        </w:rPr>
        <w:t>QSZB-Z(H)-C19233(GK)</w:t>
      </w:r>
    </w:p>
    <w:p>
      <w:pPr>
        <w:spacing w:line="288" w:lineRule="auto"/>
        <w:rPr>
          <w:rFonts w:ascii="宋体" w:hAnsi="宋体"/>
          <w:b/>
          <w:color w:val="auto"/>
          <w:sz w:val="24"/>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分散采购委托代理</w:t>
      </w:r>
    </w:p>
    <w:p>
      <w:pPr>
        <w:spacing w:line="288" w:lineRule="auto"/>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招标</w:t>
      </w:r>
      <w:r>
        <w:rPr>
          <w:rFonts w:hint="eastAsia" w:ascii="宋体" w:hAnsi="宋体"/>
          <w:b/>
          <w:color w:val="auto"/>
          <w:sz w:val="24"/>
          <w:highlight w:val="none"/>
        </w:rPr>
        <w:t>项目概况：</w:t>
      </w:r>
    </w:p>
    <w:tbl>
      <w:tblPr>
        <w:tblStyle w:val="22"/>
        <w:tblW w:w="94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21"/>
        <w:gridCol w:w="922"/>
        <w:gridCol w:w="1553"/>
        <w:gridCol w:w="191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268"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名称</w:t>
            </w:r>
          </w:p>
        </w:tc>
        <w:tc>
          <w:tcPr>
            <w:tcW w:w="921"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922"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553"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简要规格描述</w:t>
            </w:r>
            <w:r>
              <w:rPr>
                <w:rFonts w:ascii="宋体" w:hAnsi="宋体"/>
                <w:b/>
                <w:color w:val="auto"/>
                <w:sz w:val="21"/>
                <w:szCs w:val="21"/>
                <w:highlight w:val="none"/>
              </w:rPr>
              <w:t>基本概况介绍</w:t>
            </w:r>
          </w:p>
        </w:tc>
        <w:tc>
          <w:tcPr>
            <w:tcW w:w="1910"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预算金额</w:t>
            </w:r>
          </w:p>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(万元人民币)</w:t>
            </w:r>
          </w:p>
        </w:tc>
        <w:tc>
          <w:tcPr>
            <w:tcW w:w="1911"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最高限价</w:t>
            </w:r>
          </w:p>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268"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教务处象山2号楼信息化提升项目</w:t>
            </w:r>
          </w:p>
        </w:tc>
        <w:tc>
          <w:tcPr>
            <w:tcW w:w="921" w:type="dxa"/>
            <w:vAlign w:val="center"/>
          </w:tcPr>
          <w:p>
            <w:pPr>
              <w:spacing w:line="288" w:lineRule="auto"/>
              <w:jc w:val="center"/>
              <w:rPr>
                <w:rFonts w:ascii="宋体" w:hAnsi="宋体"/>
                <w:color w:val="auto"/>
                <w:sz w:val="21"/>
                <w:szCs w:val="21"/>
                <w:highlight w:val="none"/>
              </w:rPr>
            </w:pPr>
            <w:r>
              <w:rPr>
                <w:rFonts w:ascii="宋体" w:hAnsi="宋体"/>
                <w:color w:val="auto"/>
                <w:sz w:val="21"/>
                <w:szCs w:val="21"/>
                <w:highlight w:val="none"/>
              </w:rPr>
              <w:t>1</w:t>
            </w:r>
          </w:p>
        </w:tc>
        <w:tc>
          <w:tcPr>
            <w:tcW w:w="922"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批</w:t>
            </w:r>
          </w:p>
        </w:tc>
        <w:tc>
          <w:tcPr>
            <w:tcW w:w="1553"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详见采购需求</w:t>
            </w:r>
          </w:p>
        </w:tc>
        <w:tc>
          <w:tcPr>
            <w:tcW w:w="1910" w:type="dxa"/>
            <w:vAlign w:val="center"/>
          </w:tcPr>
          <w:p>
            <w:pPr>
              <w:spacing w:line="288"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110</w:t>
            </w:r>
          </w:p>
        </w:tc>
        <w:tc>
          <w:tcPr>
            <w:tcW w:w="1911"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97</w:t>
            </w:r>
          </w:p>
        </w:tc>
      </w:tr>
    </w:tbl>
    <w:p>
      <w:pPr>
        <w:spacing w:line="288" w:lineRule="auto"/>
        <w:rPr>
          <w:rFonts w:ascii="宋体" w:hAnsi="宋体"/>
          <w:b/>
          <w:color w:val="auto"/>
          <w:sz w:val="24"/>
          <w:highlight w:val="none"/>
          <w:lang w:val="zh-CN"/>
        </w:rPr>
      </w:pPr>
      <w:r>
        <w:rPr>
          <w:rFonts w:hint="eastAsia" w:ascii="宋体" w:hAnsi="宋体"/>
          <w:b/>
          <w:color w:val="auto"/>
          <w:sz w:val="24"/>
          <w:highlight w:val="none"/>
        </w:rPr>
        <w:t>五、采购需求：</w:t>
      </w:r>
      <w:r>
        <w:rPr>
          <w:rFonts w:hint="eastAsia" w:ascii="宋体" w:hAnsi="宋体"/>
          <w:color w:val="auto"/>
          <w:sz w:val="21"/>
          <w:szCs w:val="21"/>
          <w:highlight w:val="none"/>
        </w:rPr>
        <w:t>详见附件（仅供阅览使用）</w:t>
      </w:r>
    </w:p>
    <w:p>
      <w:pPr>
        <w:spacing w:line="288" w:lineRule="auto"/>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投标</w:t>
      </w:r>
      <w:r>
        <w:rPr>
          <w:rFonts w:hint="eastAsia" w:ascii="宋体" w:hAnsi="宋体"/>
          <w:b/>
          <w:color w:val="auto"/>
          <w:sz w:val="24"/>
          <w:highlight w:val="none"/>
        </w:rPr>
        <w:t>供应商</w:t>
      </w:r>
      <w:r>
        <w:rPr>
          <w:rFonts w:ascii="宋体" w:hAnsi="宋体"/>
          <w:b/>
          <w:color w:val="auto"/>
          <w:sz w:val="24"/>
          <w:highlight w:val="none"/>
        </w:rPr>
        <w:t>资格要求</w:t>
      </w:r>
      <w:r>
        <w:rPr>
          <w:rFonts w:hint="eastAsia" w:ascii="宋体" w:hAnsi="宋体"/>
          <w:b/>
          <w:color w:val="auto"/>
          <w:sz w:val="24"/>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1.符合《中华人民共和国政府采购法》第二十二条规定的投标人资格条件：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投标人特定资格条件：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本项目不接受联合体投标。</w:t>
      </w:r>
    </w:p>
    <w:p>
      <w:pPr>
        <w:spacing w:line="288" w:lineRule="auto"/>
        <w:rPr>
          <w:rFonts w:ascii="宋体" w:hAnsi="宋体"/>
          <w:b/>
          <w:color w:val="auto"/>
          <w:sz w:val="24"/>
          <w:highlight w:val="none"/>
        </w:rPr>
      </w:pPr>
      <w:r>
        <w:rPr>
          <w:rFonts w:hint="eastAsia" w:ascii="宋体" w:hAnsi="宋体"/>
          <w:b/>
          <w:color w:val="auto"/>
          <w:sz w:val="24"/>
          <w:highlight w:val="none"/>
        </w:rPr>
        <w:t>七、招标文件的</w:t>
      </w:r>
      <w:r>
        <w:rPr>
          <w:rFonts w:hint="eastAsia" w:ascii="宋体" w:hAnsi="宋体"/>
          <w:b/>
          <w:sz w:val="24"/>
        </w:rPr>
        <w:t>获取</w:t>
      </w:r>
      <w:r>
        <w:rPr>
          <w:rFonts w:hint="eastAsia" w:ascii="宋体" w:hAnsi="宋体"/>
          <w:b/>
          <w:color w:val="auto"/>
          <w:sz w:val="24"/>
          <w:highlight w:val="none"/>
        </w:rPr>
        <w:t>时间、地址、方式及售价: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sz w:val="21"/>
          <w:szCs w:val="21"/>
        </w:rPr>
        <w:t>获取</w:t>
      </w:r>
      <w:r>
        <w:rPr>
          <w:rFonts w:hint="eastAsia" w:ascii="宋体" w:hAnsi="宋体"/>
          <w:color w:val="auto"/>
          <w:sz w:val="21"/>
          <w:szCs w:val="21"/>
          <w:highlight w:val="none"/>
        </w:rPr>
        <w:t>时间：2019年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日至2019年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r>
        <w:rPr>
          <w:rFonts w:ascii="宋体" w:hAnsi="宋体"/>
          <w:color w:val="auto"/>
          <w:sz w:val="21"/>
          <w:szCs w:val="21"/>
          <w:highlight w:val="none"/>
        </w:rPr>
        <w:t>(双休日</w:t>
      </w:r>
      <w:r>
        <w:rPr>
          <w:rFonts w:hint="eastAsia" w:ascii="宋体" w:hAnsi="宋体"/>
          <w:color w:val="auto"/>
          <w:sz w:val="21"/>
          <w:szCs w:val="21"/>
          <w:highlight w:val="none"/>
        </w:rPr>
        <w:t>及法定节假日</w:t>
      </w:r>
      <w:r>
        <w:rPr>
          <w:rFonts w:ascii="宋体" w:hAnsi="宋体"/>
          <w:color w:val="auto"/>
          <w:sz w:val="21"/>
          <w:szCs w:val="21"/>
          <w:highlight w:val="none"/>
        </w:rPr>
        <w:t>除外)</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上午：</w:t>
      </w:r>
      <w:r>
        <w:rPr>
          <w:rFonts w:ascii="宋体" w:hAnsi="宋体"/>
          <w:color w:val="auto"/>
          <w:sz w:val="21"/>
          <w:szCs w:val="21"/>
          <w:highlight w:val="none"/>
        </w:rPr>
        <w:t>8:30-11:30</w:t>
      </w:r>
      <w:r>
        <w:rPr>
          <w:rFonts w:hint="eastAsia" w:ascii="宋体" w:hAnsi="宋体"/>
          <w:color w:val="auto"/>
          <w:sz w:val="21"/>
          <w:szCs w:val="21"/>
          <w:highlight w:val="none"/>
        </w:rPr>
        <w:t xml:space="preserve"> 、下午：</w:t>
      </w:r>
      <w:r>
        <w:rPr>
          <w:rFonts w:ascii="宋体" w:hAnsi="宋体"/>
          <w:color w:val="auto"/>
          <w:sz w:val="21"/>
          <w:szCs w:val="21"/>
          <w:highlight w:val="none"/>
        </w:rPr>
        <w:t>13:00-17:00</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2．地址：浙江求是招标代理有限公司（杭州市西湖区玉古路173号中田大厦16楼H室）。</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3.方式：微信</w:t>
      </w:r>
      <w:r>
        <w:rPr>
          <w:rFonts w:hint="eastAsia" w:ascii="宋体" w:hAnsi="宋体"/>
          <w:sz w:val="21"/>
          <w:szCs w:val="21"/>
        </w:rPr>
        <w:t>获取</w:t>
      </w:r>
      <w:r>
        <w:rPr>
          <w:rFonts w:hint="eastAsia" w:ascii="宋体" w:hAnsi="宋体"/>
          <w:color w:val="auto"/>
          <w:sz w:val="21"/>
          <w:szCs w:val="21"/>
          <w:highlight w:val="none"/>
        </w:rPr>
        <w:t>（扫描附件二维码或关注“浙江求是招标代理有限公司”企业公众号）或现场报名。</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4．售价</w:t>
      </w:r>
      <w:r>
        <w:rPr>
          <w:rFonts w:ascii="宋体" w:hAnsi="宋体"/>
          <w:color w:val="auto"/>
          <w:sz w:val="21"/>
          <w:szCs w:val="21"/>
          <w:highlight w:val="none"/>
        </w:rPr>
        <w:t>：每本</w:t>
      </w:r>
      <w:r>
        <w:rPr>
          <w:rFonts w:hint="eastAsia" w:ascii="宋体" w:hAnsi="宋体"/>
          <w:color w:val="auto"/>
          <w:sz w:val="21"/>
          <w:szCs w:val="21"/>
          <w:highlight w:val="none"/>
        </w:rPr>
        <w:t>500元整（</w:t>
      </w:r>
      <w:r>
        <w:rPr>
          <w:rFonts w:ascii="宋体" w:hAnsi="宋体"/>
          <w:color w:val="auto"/>
          <w:sz w:val="21"/>
          <w:szCs w:val="21"/>
          <w:highlight w:val="none"/>
        </w:rPr>
        <w:t>售后不退</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收款单位（户名）：浙江求是招标代理有限公司</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开户银行：工行浙大支行</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银行账号：</w:t>
      </w:r>
      <w:r>
        <w:rPr>
          <w:rFonts w:ascii="宋体" w:hAnsi="宋体"/>
          <w:color w:val="auto"/>
          <w:sz w:val="21"/>
          <w:szCs w:val="21"/>
          <w:highlight w:val="none"/>
        </w:rPr>
        <w:t>1202024609900033043</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财务联系方式：0571-87666113</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spacing w:line="288" w:lineRule="auto"/>
        <w:ind w:firstLine="422" w:firstLineChars="200"/>
        <w:rPr>
          <w:rFonts w:hint="eastAsia" w:ascii="宋体" w:hAnsi="宋体"/>
          <w:b/>
          <w:sz w:val="21"/>
          <w:szCs w:val="21"/>
        </w:rPr>
      </w:pPr>
      <w:r>
        <w:rPr>
          <w:rFonts w:hint="eastAsia" w:ascii="宋体" w:hAnsi="宋体"/>
          <w:b/>
          <w:sz w:val="21"/>
          <w:szCs w:val="21"/>
        </w:rPr>
        <w:t>（1）获取招标文件截止时间之后有潜在投标人提出要求获取招标文件的允许其获取，如对招标文件有质疑的应在规定的质疑期限内提出；</w:t>
      </w:r>
    </w:p>
    <w:p>
      <w:pPr>
        <w:spacing w:line="288" w:lineRule="auto"/>
        <w:ind w:firstLine="422" w:firstLineChars="200"/>
        <w:rPr>
          <w:rFonts w:ascii="宋体" w:hAnsi="宋体"/>
          <w:b/>
          <w:color w:val="auto"/>
          <w:sz w:val="21"/>
          <w:szCs w:val="21"/>
          <w:highlight w:val="none"/>
        </w:rPr>
      </w:pPr>
      <w:r>
        <w:rPr>
          <w:rFonts w:hint="eastAsia" w:ascii="宋体" w:hAnsi="宋体"/>
          <w:b/>
          <w:sz w:val="21"/>
          <w:szCs w:val="21"/>
        </w:rPr>
        <w:t>（2）本公告规定的招标文件获取方式为依法获取招标文件的方式，未按照本公告规定的方式获取招标文件的，不得对招标文件提起质疑投诉。</w:t>
      </w:r>
      <w:r>
        <w:rPr>
          <w:rFonts w:hint="eastAsia" w:ascii="宋体" w:hAnsi="宋体"/>
          <w:b/>
          <w:color w:val="auto"/>
          <w:sz w:val="21"/>
          <w:szCs w:val="21"/>
          <w:highlight w:val="none"/>
        </w:rPr>
        <w:t>。</w:t>
      </w:r>
    </w:p>
    <w:p>
      <w:pPr>
        <w:spacing w:line="288" w:lineRule="auto"/>
        <w:rPr>
          <w:rFonts w:ascii="宋体" w:hAnsi="宋体"/>
          <w:color w:val="auto"/>
          <w:sz w:val="21"/>
          <w:szCs w:val="21"/>
          <w:highlight w:val="none"/>
        </w:rPr>
      </w:pPr>
      <w:r>
        <w:rPr>
          <w:rFonts w:hint="eastAsia" w:ascii="宋体" w:hAnsi="宋体"/>
          <w:b/>
          <w:color w:val="auto"/>
          <w:sz w:val="24"/>
          <w:highlight w:val="none"/>
        </w:rPr>
        <w:t>八、</w:t>
      </w:r>
      <w:r>
        <w:rPr>
          <w:rFonts w:hint="eastAsia" w:ascii="宋体" w:hAnsi="宋体"/>
          <w:b/>
          <w:sz w:val="24"/>
        </w:rPr>
        <w:t>投标人获取招标文件时应提交的资料：</w:t>
      </w:r>
      <w:r>
        <w:rPr>
          <w:rFonts w:hint="eastAsia" w:ascii="宋体" w:hAnsi="宋体"/>
          <w:sz w:val="21"/>
          <w:szCs w:val="21"/>
        </w:rPr>
        <w:t>文件获取申请函（格式详见附件）。</w:t>
      </w:r>
    </w:p>
    <w:p>
      <w:pPr>
        <w:spacing w:line="288"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sz w:val="21"/>
          <w:szCs w:val="21"/>
        </w:rPr>
        <w:t>投标人未按照本公告规定的方式获取招标文件的，投标文件予以拒收</w:t>
      </w:r>
      <w:r>
        <w:rPr>
          <w:rFonts w:hint="eastAsia" w:ascii="宋体" w:hAnsi="宋体"/>
          <w:color w:val="auto"/>
          <w:sz w:val="21"/>
          <w:szCs w:val="21"/>
          <w:highlight w:val="none"/>
        </w:rPr>
        <w:t>。</w:t>
      </w:r>
    </w:p>
    <w:p>
      <w:pPr>
        <w:spacing w:line="288" w:lineRule="auto"/>
        <w:rPr>
          <w:rFonts w:ascii="宋体" w:hAnsi="宋体"/>
          <w:color w:val="auto"/>
          <w:sz w:val="21"/>
          <w:szCs w:val="21"/>
          <w:highlight w:val="none"/>
        </w:rPr>
      </w:pPr>
      <w:r>
        <w:rPr>
          <w:rFonts w:hint="eastAsia" w:ascii="宋体" w:hAnsi="宋体"/>
          <w:b/>
          <w:color w:val="auto"/>
          <w:sz w:val="24"/>
          <w:highlight w:val="none"/>
        </w:rPr>
        <w:t>九、</w:t>
      </w:r>
      <w:r>
        <w:rPr>
          <w:rFonts w:ascii="宋体" w:hAnsi="宋体"/>
          <w:b/>
          <w:color w:val="auto"/>
          <w:sz w:val="24"/>
          <w:highlight w:val="none"/>
        </w:rPr>
        <w:t>投标截止时间：</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日上午9:30:00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投标人逾期送达或者未按照招标文件要求密封的投标文件予以拒收。</w:t>
      </w:r>
    </w:p>
    <w:p>
      <w:pPr>
        <w:spacing w:line="288" w:lineRule="auto"/>
        <w:rPr>
          <w:rFonts w:ascii="宋体" w:hAnsi="宋体"/>
          <w:color w:val="auto"/>
          <w:sz w:val="21"/>
          <w:szCs w:val="21"/>
          <w:highlight w:val="none"/>
        </w:rPr>
      </w:pPr>
      <w:r>
        <w:rPr>
          <w:rFonts w:hint="eastAsia" w:ascii="宋体" w:hAnsi="宋体"/>
          <w:b/>
          <w:color w:val="auto"/>
          <w:sz w:val="24"/>
          <w:highlight w:val="none"/>
        </w:rPr>
        <w:t>十、</w:t>
      </w:r>
      <w:r>
        <w:rPr>
          <w:rFonts w:ascii="宋体" w:hAnsi="宋体"/>
          <w:b/>
          <w:color w:val="auto"/>
          <w:sz w:val="24"/>
          <w:highlight w:val="none"/>
        </w:rPr>
        <w:t>投标地址：</w:t>
      </w:r>
      <w:r>
        <w:rPr>
          <w:rFonts w:hint="eastAsia" w:ascii="宋体" w:hAnsi="宋体"/>
          <w:color w:val="auto"/>
          <w:sz w:val="21"/>
          <w:szCs w:val="21"/>
          <w:highlight w:val="none"/>
        </w:rPr>
        <w:t>杭州市西湖区玉古路173号中田大厦16楼求是招标会议室。</w:t>
      </w:r>
    </w:p>
    <w:p>
      <w:pPr>
        <w:spacing w:line="288" w:lineRule="auto"/>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开标时间：</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日上午9:30:00</w:t>
      </w:r>
    </w:p>
    <w:p>
      <w:pPr>
        <w:spacing w:line="288" w:lineRule="auto"/>
        <w:rPr>
          <w:rFonts w:ascii="宋体" w:hAnsi="宋体"/>
          <w:b/>
          <w:color w:val="auto"/>
          <w:sz w:val="24"/>
          <w:highlight w:val="none"/>
        </w:rPr>
      </w:pPr>
      <w:r>
        <w:rPr>
          <w:rFonts w:hint="eastAsia" w:ascii="宋体" w:hAnsi="宋体"/>
          <w:b/>
          <w:color w:val="auto"/>
          <w:sz w:val="24"/>
          <w:highlight w:val="none"/>
        </w:rPr>
        <w:t>十二、开标地址：</w:t>
      </w:r>
      <w:r>
        <w:rPr>
          <w:rFonts w:hint="eastAsia" w:ascii="宋体" w:hAnsi="宋体"/>
          <w:color w:val="auto"/>
          <w:sz w:val="21"/>
          <w:szCs w:val="21"/>
          <w:highlight w:val="none"/>
        </w:rPr>
        <w:t>杭州市西湖区玉古路173号中田大厦16楼求是招标会议室。</w:t>
      </w:r>
    </w:p>
    <w:p>
      <w:pPr>
        <w:spacing w:line="288" w:lineRule="auto"/>
        <w:rPr>
          <w:rFonts w:ascii="宋体" w:hAnsi="宋体"/>
          <w:b/>
          <w:color w:val="auto"/>
          <w:sz w:val="24"/>
          <w:highlight w:val="none"/>
        </w:rPr>
      </w:pPr>
      <w:r>
        <w:rPr>
          <w:rFonts w:hint="eastAsia" w:ascii="宋体" w:hAnsi="宋体"/>
          <w:b/>
          <w:color w:val="auto"/>
          <w:sz w:val="24"/>
          <w:highlight w:val="none"/>
        </w:rPr>
        <w:t>十三、公告期限：</w:t>
      </w:r>
      <w:r>
        <w:rPr>
          <w:rFonts w:hint="eastAsia" w:ascii="宋体" w:hAnsi="宋体"/>
          <w:color w:val="auto"/>
          <w:sz w:val="21"/>
          <w:szCs w:val="21"/>
          <w:highlight w:val="none"/>
        </w:rPr>
        <w:t>5个工作日</w:t>
      </w:r>
    </w:p>
    <w:p>
      <w:pPr>
        <w:spacing w:line="288" w:lineRule="auto"/>
        <w:rPr>
          <w:rFonts w:ascii="宋体" w:hAnsi="宋体"/>
          <w:b/>
          <w:color w:val="auto"/>
          <w:sz w:val="24"/>
          <w:highlight w:val="none"/>
        </w:rPr>
      </w:pPr>
      <w:r>
        <w:rPr>
          <w:rFonts w:hint="eastAsia" w:ascii="宋体" w:hAnsi="宋体"/>
          <w:b/>
          <w:color w:val="auto"/>
          <w:sz w:val="24"/>
          <w:highlight w:val="none"/>
        </w:rPr>
        <w:t>十四、其他事项：</w:t>
      </w:r>
    </w:p>
    <w:p>
      <w:pPr>
        <w:spacing w:line="288" w:lineRule="auto"/>
        <w:ind w:firstLine="422" w:firstLineChars="200"/>
        <w:rPr>
          <w:rFonts w:ascii="宋体" w:hAnsi="宋体"/>
          <w:b/>
          <w:bCs/>
          <w:color w:val="auto"/>
          <w:sz w:val="21"/>
          <w:szCs w:val="21"/>
          <w:highlight w:val="none"/>
        </w:rPr>
      </w:pPr>
      <w:bookmarkStart w:id="0" w:name="_Toc4595"/>
      <w:r>
        <w:rPr>
          <w:rFonts w:hint="eastAsia" w:ascii="宋体" w:hAnsi="宋体"/>
          <w:b/>
          <w:bCs/>
          <w:color w:val="auto"/>
          <w:sz w:val="21"/>
          <w:szCs w:val="21"/>
          <w:highlight w:val="none"/>
        </w:rPr>
        <w:t>1.质疑和投诉：</w:t>
      </w:r>
      <w:bookmarkEnd w:id="0"/>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供应商依法获取招标文件后认为招标文件使自己的权益受到损害的，可以自收到招标文件之日（</w:t>
      </w:r>
      <w:r>
        <w:rPr>
          <w:rFonts w:hint="eastAsia" w:ascii="宋体" w:hAnsi="宋体"/>
          <w:sz w:val="21"/>
          <w:szCs w:val="21"/>
        </w:rPr>
        <w:t>获取截止日之后收到招标文件的，以获取截止日为准</w:t>
      </w:r>
      <w:r>
        <w:rPr>
          <w:rFonts w:hint="eastAsia" w:ascii="宋体" w:hAnsi="宋体"/>
          <w:color w:val="auto"/>
          <w:sz w:val="21"/>
          <w:szCs w:val="21"/>
          <w:highlight w:val="none"/>
        </w:rPr>
        <w:t>）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color w:val="auto"/>
          <w:sz w:val="21"/>
          <w:szCs w:val="21"/>
          <w:highlight w:val="none"/>
        </w:rPr>
      </w:pPr>
      <w:bookmarkStart w:id="1" w:name="B36_其他事项"/>
      <w:r>
        <w:rPr>
          <w:rFonts w:hint="eastAsia" w:ascii="宋体" w:hAnsi="宋体"/>
          <w:b/>
          <w:color w:val="auto"/>
          <w:sz w:val="21"/>
          <w:szCs w:val="21"/>
          <w:highlight w:val="none"/>
        </w:rPr>
        <w:t>2.采购项目需要落实的政府采购政策：</w:t>
      </w:r>
    </w:p>
    <w:p>
      <w:pPr>
        <w:spacing w:line="288" w:lineRule="auto"/>
        <w:ind w:firstLine="420" w:firstLineChars="200"/>
        <w:rPr>
          <w:rFonts w:ascii="宋体" w:hAnsi="宋体"/>
          <w:color w:val="auto"/>
          <w:sz w:val="21"/>
          <w:szCs w:val="21"/>
          <w:highlight w:val="none"/>
        </w:rPr>
      </w:pPr>
      <w:bookmarkStart w:id="2" w:name="_Toc30654"/>
      <w:r>
        <w:rPr>
          <w:rFonts w:hint="eastAsia" w:ascii="宋体" w:hAnsi="宋体"/>
          <w:color w:val="auto"/>
          <w:sz w:val="21"/>
          <w:szCs w:val="21"/>
          <w:highlight w:val="none"/>
        </w:rPr>
        <w:t>1）政府采购促进中小企业发展</w:t>
      </w:r>
      <w:bookmarkEnd w:id="2"/>
    </w:p>
    <w:p>
      <w:pPr>
        <w:spacing w:line="288" w:lineRule="auto"/>
        <w:ind w:firstLine="420" w:firstLineChars="200"/>
        <w:rPr>
          <w:rFonts w:ascii="宋体" w:hAnsi="宋体"/>
          <w:color w:val="auto"/>
          <w:sz w:val="21"/>
          <w:szCs w:val="21"/>
          <w:highlight w:val="none"/>
        </w:rPr>
      </w:pPr>
      <w:bookmarkStart w:id="3" w:name="_Toc21083"/>
      <w:r>
        <w:rPr>
          <w:rFonts w:hint="eastAsia" w:ascii="宋体" w:hAnsi="宋体"/>
          <w:color w:val="auto"/>
          <w:sz w:val="21"/>
          <w:szCs w:val="21"/>
          <w:highlight w:val="none"/>
        </w:rPr>
        <w:t>2）政府采购支持监狱企业发展</w:t>
      </w:r>
      <w:bookmarkEnd w:id="3"/>
    </w:p>
    <w:p>
      <w:pPr>
        <w:spacing w:line="288" w:lineRule="auto"/>
        <w:ind w:firstLine="420" w:firstLineChars="200"/>
        <w:rPr>
          <w:rFonts w:ascii="宋体" w:hAnsi="宋体"/>
          <w:color w:val="auto"/>
          <w:sz w:val="21"/>
          <w:szCs w:val="21"/>
          <w:highlight w:val="none"/>
        </w:rPr>
      </w:pPr>
      <w:bookmarkStart w:id="4" w:name="_Toc9829"/>
      <w:r>
        <w:rPr>
          <w:rFonts w:hint="eastAsia" w:ascii="宋体" w:hAnsi="宋体"/>
          <w:color w:val="auto"/>
          <w:sz w:val="21"/>
          <w:szCs w:val="21"/>
          <w:highlight w:val="none"/>
        </w:rPr>
        <w:t>3）政府采购促进残疾人就业</w:t>
      </w:r>
      <w:bookmarkEnd w:id="4"/>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4）政府优先采购节能、环保产品</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5）不</w:t>
      </w:r>
      <w:r>
        <w:rPr>
          <w:rFonts w:hint="eastAsia" w:ascii="宋体" w:hAnsi="宋体" w:cs="宋体"/>
          <w:color w:val="auto"/>
          <w:sz w:val="21"/>
          <w:szCs w:val="21"/>
          <w:highlight w:val="none"/>
        </w:rPr>
        <w:t>允许采购进口产品</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其他事项</w:t>
      </w:r>
      <w:r>
        <w:rPr>
          <w:rFonts w:hint="eastAsia" w:ascii="宋体" w:hAnsi="宋体"/>
          <w:color w:val="auto"/>
          <w:sz w:val="21"/>
          <w:szCs w:val="21"/>
          <w:highlight w:val="none"/>
        </w:rPr>
        <w:t>：</w:t>
      </w:r>
    </w:p>
    <w:p>
      <w:pPr>
        <w:spacing w:line="288"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信用记录</w:t>
      </w:r>
      <w:r>
        <w:rPr>
          <w:rFonts w:hint="eastAsia" w:ascii="宋体" w:hAnsi="宋体"/>
          <w:color w:val="auto"/>
          <w:sz w:val="21"/>
          <w:szCs w:val="21"/>
          <w:highlight w:val="none"/>
        </w:rPr>
        <w:t>：根据财库[2016]125号《关于在政府采购活动中查询及使用信用记录有关问题的通知》要求，采购代理机构会对投标人信用记录进行查询并甄别。</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（1）信用信息查询的截止时点：投标截止时间；</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 查询渠道：“信用中国”（www.creditchina.gov.cn）、“中国政府采购网”（www.ccgp.gov.cn ）；</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（4）信用信息的使用规则：投标人存在不良信用记录的，其投标将被作为无效投标处理。</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不良信用记录指：被列入失信被执行人、重大税收违法案件当事人名单、政府采购严重违法失信行为记录名单。</w:t>
      </w:r>
      <w:bookmarkEnd w:id="1"/>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4.本项目无投标保证金。</w:t>
      </w:r>
    </w:p>
    <w:p>
      <w:pPr>
        <w:spacing w:line="288" w:lineRule="auto"/>
        <w:rPr>
          <w:rFonts w:ascii="宋体" w:hAnsi="宋体"/>
          <w:b/>
          <w:color w:val="auto"/>
          <w:sz w:val="24"/>
          <w:highlight w:val="none"/>
        </w:rPr>
      </w:pPr>
      <w:r>
        <w:rPr>
          <w:rFonts w:hint="eastAsia" w:ascii="宋体" w:hAnsi="宋体"/>
          <w:b/>
          <w:color w:val="auto"/>
          <w:sz w:val="24"/>
          <w:highlight w:val="none"/>
        </w:rPr>
        <w:t>十五、联系方式:</w:t>
      </w:r>
    </w:p>
    <w:p>
      <w:pPr>
        <w:spacing w:line="288" w:lineRule="auto"/>
        <w:ind w:firstLine="420" w:firstLineChars="200"/>
        <w:rPr>
          <w:rFonts w:ascii="宋体" w:hAnsi="宋体"/>
          <w:color w:val="auto"/>
          <w:sz w:val="21"/>
          <w:szCs w:val="21"/>
          <w:highlight w:val="none"/>
        </w:rPr>
      </w:pPr>
      <w:bookmarkStart w:id="5" w:name="_Toc32532"/>
      <w:r>
        <w:rPr>
          <w:rFonts w:hint="eastAsia" w:ascii="宋体" w:hAnsi="宋体"/>
          <w:color w:val="auto"/>
          <w:sz w:val="21"/>
          <w:szCs w:val="21"/>
          <w:highlight w:val="none"/>
        </w:rPr>
        <w:t>1.采购人名称：</w:t>
      </w:r>
      <w:bookmarkEnd w:id="5"/>
      <w:r>
        <w:rPr>
          <w:rFonts w:hint="eastAsia" w:ascii="宋体" w:hAnsi="宋体"/>
          <w:color w:val="auto"/>
          <w:sz w:val="21"/>
          <w:szCs w:val="21"/>
          <w:highlight w:val="none"/>
        </w:rPr>
        <w:t>中国美术学院</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地址：杭州市南山路218号</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联系人：陈老师</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联系方式：0571-87164696</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采购项目联系人：陈老师</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联系方式：0571-87164696</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2.采购代理机构名称：浙江求是招标代理有限公司</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地址：杭州市西湖区玉古路173号中田大厦16楼</w:t>
      </w:r>
    </w:p>
    <w:p>
      <w:pPr>
        <w:spacing w:line="288" w:lineRule="auto"/>
        <w:ind w:firstLine="630" w:firstLineChars="3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业务联系人：</w:t>
      </w:r>
      <w:r>
        <w:rPr>
          <w:rFonts w:hint="eastAsia" w:ascii="宋体" w:hAnsi="宋体"/>
          <w:color w:val="auto"/>
          <w:sz w:val="21"/>
          <w:szCs w:val="21"/>
          <w:highlight w:val="none"/>
          <w:lang w:eastAsia="zh-CN"/>
        </w:rPr>
        <w:t>陈培特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联系方法：0571-87666115</w:t>
      </w:r>
    </w:p>
    <w:p>
      <w:pPr>
        <w:spacing w:line="288" w:lineRule="auto"/>
        <w:ind w:firstLine="630" w:firstLineChars="300"/>
        <w:rPr>
          <w:rFonts w:ascii="宋体" w:hAnsi="宋体"/>
          <w:color w:val="auto"/>
          <w:sz w:val="21"/>
          <w:szCs w:val="21"/>
          <w:highlight w:val="none"/>
        </w:rPr>
      </w:pPr>
      <w:r>
        <w:rPr>
          <w:rFonts w:hint="eastAsia" w:ascii="宋体" w:hAnsi="宋体"/>
          <w:sz w:val="21"/>
          <w:szCs w:val="21"/>
        </w:rPr>
        <w:t>获取文件</w:t>
      </w:r>
      <w:r>
        <w:rPr>
          <w:rFonts w:hint="eastAsia" w:ascii="宋体" w:hAnsi="宋体"/>
          <w:color w:val="auto"/>
          <w:sz w:val="21"/>
          <w:szCs w:val="21"/>
          <w:highlight w:val="none"/>
        </w:rPr>
        <w:t>联系人：於路莹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联系方法：0571-87666112</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传真：0571-87666116</w:t>
      </w:r>
    </w:p>
    <w:p>
      <w:pPr>
        <w:spacing w:line="288" w:lineRule="auto"/>
        <w:ind w:firstLine="630" w:firstLineChars="300"/>
        <w:rPr>
          <w:rFonts w:ascii="宋体" w:hAnsi="宋体"/>
          <w:color w:val="auto"/>
          <w:sz w:val="21"/>
          <w:szCs w:val="21"/>
          <w:highlight w:val="none"/>
        </w:rPr>
      </w:pPr>
      <w:r>
        <w:rPr>
          <w:rFonts w:hint="eastAsia" w:ascii="宋体" w:hAnsi="宋体"/>
          <w:sz w:val="21"/>
          <w:szCs w:val="21"/>
        </w:rPr>
        <w:t>获取文件</w:t>
      </w:r>
      <w:r>
        <w:rPr>
          <w:rFonts w:hint="eastAsia" w:ascii="宋体" w:hAnsi="宋体"/>
          <w:color w:val="auto"/>
          <w:sz w:val="21"/>
          <w:szCs w:val="21"/>
          <w:highlight w:val="none"/>
        </w:rPr>
        <w:t>二维码：详见附件</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采购代理机构质疑联系人：王庆庆</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联系方法：0571-87666119</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质疑邮箱：</w:t>
      </w:r>
      <w:r>
        <w:rPr>
          <w:rFonts w:ascii="宋体" w:hAnsi="宋体"/>
          <w:color w:val="auto"/>
          <w:sz w:val="21"/>
          <w:szCs w:val="21"/>
          <w:highlight w:val="none"/>
        </w:rPr>
        <w:t>jdkh@qszb.net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3.同级政府采购监督管理部门：浙江省财政厅政府采购监管处</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right="60" w:firstLine="396" w:firstLineChars="200"/>
        <w:jc w:val="left"/>
        <w:rPr>
          <w:rFonts w:ascii="宋体" w:hAnsi="宋体" w:cs="宋体"/>
          <w:color w:val="auto"/>
          <w:spacing w:val="-6"/>
          <w:kern w:val="0"/>
          <w:sz w:val="21"/>
          <w:szCs w:val="21"/>
          <w:highlight w:val="none"/>
        </w:rPr>
      </w:pPr>
    </w:p>
    <w:p>
      <w:pPr>
        <w:spacing w:line="288" w:lineRule="auto"/>
        <w:ind w:left="238"/>
        <w:jc w:val="center"/>
        <w:outlineLvl w:val="0"/>
        <w:rPr>
          <w:rFonts w:ascii="宋体" w:hAnsi="宋体"/>
          <w:b/>
          <w:bCs/>
          <w:color w:val="auto"/>
          <w:sz w:val="32"/>
          <w:szCs w:val="32"/>
          <w:highlight w:val="none"/>
        </w:rPr>
      </w:pPr>
      <w:r>
        <w:rPr>
          <w:rFonts w:hint="eastAsia" w:ascii="宋体" w:hAnsi="宋体"/>
          <w:color w:val="auto"/>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hint="eastAsia" w:ascii="宋体" w:hAnsi="宋体"/>
          <w:b/>
          <w:color w:val="auto"/>
          <w:sz w:val="24"/>
          <w:highlight w:val="none"/>
        </w:rPr>
        <w:t>为落实政府采购政策需满足的要求：</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00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3006"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政策名称</w:t>
            </w:r>
          </w:p>
        </w:tc>
        <w:tc>
          <w:tcPr>
            <w:tcW w:w="5812" w:type="dxa"/>
            <w:vAlign w:val="center"/>
          </w:tcPr>
          <w:p>
            <w:pPr>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政府采购支持监狱企业发展</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政府采购促进残疾人就业</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政府强制采购节能产品</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政府优先采购节能、环保产品</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006"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政府采购进口产品</w:t>
            </w:r>
          </w:p>
        </w:tc>
        <w:tc>
          <w:tcPr>
            <w:tcW w:w="5812"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不允许采购进口产品</w:t>
            </w:r>
          </w:p>
        </w:tc>
      </w:tr>
    </w:tbl>
    <w:p>
      <w:pPr>
        <w:spacing w:line="288" w:lineRule="auto"/>
        <w:rPr>
          <w:rFonts w:ascii="宋体" w:hAnsi="宋体"/>
          <w:color w:val="auto"/>
          <w:sz w:val="21"/>
          <w:szCs w:val="21"/>
          <w:highlight w:val="none"/>
        </w:rPr>
      </w:pP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采购资金的支付方式、时间、条件：</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hint="eastAsia" w:ascii="宋体" w:hAnsi="宋体"/>
                <w:b/>
                <w:color w:val="auto"/>
                <w:spacing w:val="-6"/>
                <w:sz w:val="21"/>
                <w:szCs w:val="21"/>
                <w:highlight w:val="none"/>
                <w:lang w:eastAsia="zh-CN"/>
              </w:rPr>
              <w:t>履约</w:t>
            </w:r>
            <w:r>
              <w:rPr>
                <w:rFonts w:hint="eastAsia" w:ascii="宋体" w:hAnsi="宋体"/>
                <w:b/>
                <w:color w:val="auto"/>
                <w:spacing w:val="-6"/>
                <w:sz w:val="21"/>
                <w:szCs w:val="21"/>
                <w:highlight w:val="none"/>
              </w:rPr>
              <w:t>保证金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1.合同签订后一周内，中标人向采购人提交合同金额5%的</w:t>
            </w:r>
            <w:r>
              <w:rPr>
                <w:rFonts w:hint="eastAsia" w:ascii="宋体" w:hAnsi="宋体"/>
                <w:color w:val="auto"/>
                <w:spacing w:val="-6"/>
                <w:sz w:val="21"/>
                <w:szCs w:val="21"/>
                <w:highlight w:val="none"/>
                <w:lang w:eastAsia="zh-CN"/>
              </w:rPr>
              <w:t>履约</w:t>
            </w:r>
            <w:r>
              <w:rPr>
                <w:rFonts w:hint="eastAsia" w:ascii="宋体" w:hAnsi="宋体"/>
                <w:color w:val="auto"/>
                <w:spacing w:val="-6"/>
                <w:sz w:val="21"/>
                <w:szCs w:val="21"/>
                <w:highlight w:val="none"/>
              </w:rPr>
              <w:t>保证金，</w:t>
            </w:r>
            <w:r>
              <w:rPr>
                <w:rFonts w:hint="eastAsia" w:ascii="宋体" w:hAnsi="宋体"/>
                <w:color w:val="auto"/>
                <w:spacing w:val="-6"/>
                <w:sz w:val="21"/>
                <w:szCs w:val="21"/>
                <w:highlight w:val="none"/>
                <w:lang w:eastAsia="zh-CN"/>
              </w:rPr>
              <w:t>履约</w:t>
            </w:r>
            <w:r>
              <w:rPr>
                <w:rFonts w:hint="eastAsia" w:ascii="宋体" w:hAnsi="宋体"/>
                <w:color w:val="auto"/>
                <w:spacing w:val="-6"/>
                <w:sz w:val="21"/>
                <w:szCs w:val="21"/>
                <w:highlight w:val="none"/>
              </w:rPr>
              <w:t>保证金在质保期内无质量问题和维护问题，质保期满后，于一周内退还（不计息）；</w:t>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合同签订后30个工作日内，采购人向中标人支付合同金额的30%；货物送达指定地点，经采购人验收合格后30个工作日内且中标人已提交质量保证金的，采购人向中标人支付合同金额的70%。</w:t>
            </w:r>
          </w:p>
        </w:tc>
      </w:tr>
    </w:tbl>
    <w:p>
      <w:pPr>
        <w:spacing w:line="288" w:lineRule="auto"/>
        <w:ind w:left="272" w:hanging="272" w:hangingChars="113"/>
        <w:rPr>
          <w:rFonts w:ascii="宋体" w:hAnsi="宋体"/>
          <w:b/>
          <w:color w:val="auto"/>
          <w:sz w:val="24"/>
          <w:highlight w:val="none"/>
        </w:rPr>
      </w:pP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pacing w:val="-6"/>
          <w:sz w:val="24"/>
          <w:highlight w:val="none"/>
        </w:rPr>
        <w:t>（技术要求里另有注明的以技术要求为准）</w:t>
      </w:r>
      <w:r>
        <w:rPr>
          <w:rFonts w:ascii="宋体" w:hAnsi="宋体"/>
          <w:b/>
          <w:color w:val="auto"/>
          <w:sz w:val="24"/>
          <w:highlight w:val="none"/>
        </w:rPr>
        <w:t>：</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质保期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交付验收后2年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z w:val="21"/>
                <w:szCs w:val="21"/>
                <w:highlight w:val="none"/>
              </w:rPr>
              <w:t>服务标准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效率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合同货物出现故障后，中标人接到采购人通知应在不超过2小时内做出响应，不超过2个工作日内解决故障。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交付时间和地点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交付时间：合同签订后30日内交付并</w:t>
            </w:r>
            <w:r>
              <w:rPr>
                <w:rFonts w:ascii="宋体" w:hAnsi="宋体"/>
                <w:color w:val="auto"/>
                <w:spacing w:val="-6"/>
                <w:sz w:val="21"/>
                <w:szCs w:val="21"/>
                <w:highlight w:val="none"/>
              </w:rPr>
              <w:t>安装完毕。</w:t>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验收</w:t>
            </w:r>
            <w:r>
              <w:rPr>
                <w:rFonts w:ascii="宋体" w:hAnsi="宋体"/>
                <w:color w:val="auto"/>
                <w:spacing w:val="-6"/>
                <w:sz w:val="21"/>
                <w:szCs w:val="21"/>
                <w:highlight w:val="none"/>
              </w:rPr>
              <w:t>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投标人应于投标文件中提供合同货物的验收标准和检测办法，并在验收中提供采购人认可的相应检测手段，验收标准应符合中国有关的国家、地方、行业的标准，如若中标，经采购人确认后作为验收的依据。</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如中标人委托国内代理（或其他机构）负责安装或配合安装，应在签约时指明，但中标人仍要对合同货物及其安装质量负全部责任。</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ascii="宋体" w:hAnsi="宋体"/>
                <w:color w:val="auto"/>
                <w:sz w:val="21"/>
                <w:szCs w:val="21"/>
                <w:highlight w:val="none"/>
              </w:rPr>
              <w:t>其他技术、服务要求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培训：</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 xml:space="preserve">.1 </w:t>
            </w:r>
            <w:r>
              <w:rPr>
                <w:rFonts w:hint="eastAsia" w:ascii="宋体" w:hAnsi="宋体"/>
                <w:color w:val="auto"/>
                <w:sz w:val="21"/>
                <w:szCs w:val="21"/>
                <w:highlight w:val="none"/>
              </w:rPr>
              <w:t>中标人应对采购人的操作人员、维修人员免费进行培训。</w:t>
            </w:r>
          </w:p>
          <w:p>
            <w:pPr>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 xml:space="preserve"> </w:t>
            </w:r>
            <w:r>
              <w:rPr>
                <w:rFonts w:hint="eastAsia" w:ascii="宋体" w:hAnsi="宋体"/>
                <w:color w:val="auto"/>
                <w:sz w:val="21"/>
                <w:szCs w:val="21"/>
                <w:highlight w:val="none"/>
              </w:rPr>
              <w:t>中标人应提供相应的培训计划。</w:t>
            </w:r>
          </w:p>
          <w:p>
            <w:pPr>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 xml:space="preserve"> </w:t>
            </w:r>
            <w:r>
              <w:rPr>
                <w:rFonts w:hint="eastAsia" w:ascii="宋体" w:hAnsi="宋体"/>
                <w:color w:val="auto"/>
                <w:sz w:val="21"/>
                <w:szCs w:val="21"/>
                <w:highlight w:val="none"/>
              </w:rPr>
              <w:t>标人应对上述内容的实现方式、地点、人数、时间在投标文件中详细说明。</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技术支持：</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中标人应及时免费提供合同货物软件的升级，免费提供合同货物新功能和应用的资料。</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安装调试（若需要安装调试）：</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.1 </w:t>
            </w:r>
            <w:r>
              <w:rPr>
                <w:rFonts w:hint="eastAsia" w:ascii="宋体" w:hAnsi="宋体"/>
                <w:color w:val="auto"/>
                <w:sz w:val="21"/>
                <w:szCs w:val="21"/>
                <w:highlight w:val="none"/>
              </w:rPr>
              <w:t>安装地点：采购人指定地点。</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.2 </w:t>
            </w:r>
            <w:r>
              <w:rPr>
                <w:rFonts w:hint="eastAsia" w:ascii="宋体" w:hAnsi="宋体"/>
                <w:color w:val="auto"/>
                <w:sz w:val="21"/>
                <w:szCs w:val="21"/>
                <w:highlight w:val="none"/>
              </w:rPr>
              <w:t>安装完成时间：接到采购人通知后在7日内完成安装和调试，如在规定的时间内由于中标人的原因不能完成安装和调试，中标人应承担由此给采购人造成的损失。</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.3 </w:t>
            </w:r>
            <w:r>
              <w:rPr>
                <w:rFonts w:hint="eastAsia" w:ascii="宋体" w:hAnsi="宋体"/>
                <w:color w:val="auto"/>
                <w:sz w:val="21"/>
                <w:szCs w:val="21"/>
                <w:highlight w:val="none"/>
              </w:rPr>
              <w:t>安装标准：符合我国国家有关技术规范要求和技术标准，所有的软件和硬件必须保证同时安装到位。</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.4 </w:t>
            </w:r>
            <w:r>
              <w:rPr>
                <w:rFonts w:hint="eastAsia" w:ascii="宋体" w:hAnsi="宋体"/>
                <w:color w:val="auto"/>
                <w:sz w:val="21"/>
                <w:szCs w:val="21"/>
                <w:highlight w:val="none"/>
              </w:rPr>
              <w:t>中标人免费提供合同货物的安装服务。</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.5 </w:t>
            </w:r>
            <w:r>
              <w:rPr>
                <w:rFonts w:hint="eastAsia" w:ascii="宋体" w:hAnsi="宋体"/>
                <w:color w:val="auto"/>
                <w:sz w:val="21"/>
                <w:szCs w:val="21"/>
                <w:highlight w:val="none"/>
              </w:rPr>
              <w:t>中标人在投标文件中应提供安装调试计划、对安装场地和环境的要求。</w:t>
            </w:r>
          </w:p>
        </w:tc>
      </w:tr>
    </w:tbl>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、技术要求</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4</w:t>
      </w:r>
      <w:r>
        <w:rPr>
          <w:rFonts w:ascii="宋体" w:hAnsi="宋体"/>
          <w:b/>
          <w:bCs/>
          <w:color w:val="auto"/>
          <w:sz w:val="21"/>
          <w:szCs w:val="21"/>
          <w:highlight w:val="none"/>
        </w:rPr>
        <w:t>.1</w:t>
      </w:r>
      <w:r>
        <w:rPr>
          <w:rFonts w:hint="eastAsia" w:ascii="宋体" w:hAnsi="宋体"/>
          <w:b/>
          <w:bCs/>
          <w:color w:val="auto"/>
          <w:sz w:val="21"/>
          <w:szCs w:val="21"/>
          <w:highlight w:val="none"/>
        </w:rPr>
        <w:t>需求概述</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我校本次教室改造，针对我校实际情况，结合我校教学特色，主要考虑四个方面的建设内容：</w:t>
      </w:r>
    </w:p>
    <w:p>
      <w:pPr>
        <w:spacing w:line="360" w:lineRule="auto"/>
        <w:rPr>
          <w:rFonts w:ascii="宋体" w:hAnsi="宋体"/>
          <w:color w:val="auto"/>
          <w:sz w:val="21"/>
          <w:szCs w:val="21"/>
          <w:highlight w:val="none"/>
        </w:rPr>
      </w:pPr>
      <w:r>
        <w:rPr>
          <w:rFonts w:ascii="宋体" w:hAnsi="宋体"/>
          <w:color w:val="auto"/>
          <w:sz w:val="21"/>
          <w:szCs w:val="21"/>
          <w:highlight w:val="none"/>
        </w:rPr>
        <w:t>4.1.1</w:t>
      </w:r>
      <w:r>
        <w:rPr>
          <w:rFonts w:hint="eastAsia" w:ascii="宋体" w:hAnsi="宋体"/>
          <w:color w:val="auto"/>
          <w:sz w:val="21"/>
          <w:szCs w:val="21"/>
          <w:highlight w:val="none"/>
        </w:rPr>
        <w:t>、融合</w:t>
      </w:r>
      <w:r>
        <w:rPr>
          <w:rFonts w:ascii="宋体" w:hAnsi="宋体"/>
          <w:color w:val="auto"/>
          <w:sz w:val="21"/>
          <w:szCs w:val="21"/>
          <w:highlight w:val="none"/>
        </w:rPr>
        <w:t>电子班牌</w:t>
      </w:r>
      <w:r>
        <w:rPr>
          <w:rFonts w:hint="eastAsia" w:ascii="宋体" w:hAnsi="宋体"/>
          <w:color w:val="auto"/>
          <w:sz w:val="21"/>
          <w:szCs w:val="21"/>
          <w:highlight w:val="none"/>
        </w:rPr>
        <w:t>与智慧</w:t>
      </w:r>
      <w:r>
        <w:rPr>
          <w:rFonts w:ascii="宋体" w:hAnsi="宋体"/>
          <w:color w:val="auto"/>
          <w:sz w:val="21"/>
          <w:szCs w:val="21"/>
          <w:highlight w:val="none"/>
        </w:rPr>
        <w:t>门禁系统</w:t>
      </w:r>
      <w:r>
        <w:rPr>
          <w:rFonts w:hint="eastAsia" w:ascii="宋体" w:hAnsi="宋体"/>
          <w:color w:val="auto"/>
          <w:sz w:val="21"/>
          <w:szCs w:val="21"/>
          <w:highlight w:val="none"/>
        </w:rPr>
        <w:t>：</w:t>
      </w:r>
    </w:p>
    <w:p>
      <w:pPr>
        <w:spacing w:line="360" w:lineRule="auto"/>
        <w:rPr>
          <w:rFonts w:ascii="宋体" w:hAnsi="宋体"/>
          <w:color w:val="auto"/>
          <w:sz w:val="21"/>
          <w:szCs w:val="21"/>
          <w:highlight w:val="none"/>
        </w:rPr>
      </w:pPr>
      <w:r>
        <w:rPr>
          <w:rFonts w:ascii="宋体" w:hAnsi="宋体"/>
          <w:color w:val="auto"/>
          <w:sz w:val="21"/>
          <w:szCs w:val="21"/>
          <w:highlight w:val="none"/>
        </w:rPr>
        <w:t>4.1.1.1</w:t>
      </w:r>
      <w:r>
        <w:rPr>
          <w:rFonts w:hint="eastAsia" w:ascii="宋体" w:hAnsi="宋体"/>
          <w:color w:val="auto"/>
          <w:sz w:val="21"/>
          <w:szCs w:val="21"/>
          <w:highlight w:val="none"/>
        </w:rPr>
        <w:t>融合电子班牌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当前，在教室建设中，人脸签到、课程显示、交互互动、刷卡签到等已成为智慧教室的必建内容、而具备这些功能的平台便是电子班牌。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电子班牌除了其实用性的功能之外，更是班级文化的数字化窗口，融合教学等各类业务，在树立学生集体荣誉感、学习成就感等方面有突出作用，并可以很好地成为学校、班级的亮点工程。</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为此，本次建设我们考虑建设了融合电子班牌的方案，在传统电子班牌显示课程信息、刷卡签到、走班、考场信息分发等基础功能之上，融合了班级自媒体等各类功能，同时各类业务可以由学校自行动态添加。</w:t>
      </w:r>
    </w:p>
    <w:p>
      <w:pPr>
        <w:spacing w:line="360" w:lineRule="auto"/>
        <w:rPr>
          <w:rFonts w:ascii="宋体" w:hAnsi="宋体"/>
          <w:color w:val="auto"/>
          <w:sz w:val="21"/>
          <w:szCs w:val="21"/>
          <w:highlight w:val="none"/>
        </w:rPr>
      </w:pPr>
      <w:r>
        <w:rPr>
          <w:rFonts w:ascii="宋体" w:hAnsi="宋体"/>
          <w:color w:val="auto"/>
          <w:sz w:val="21"/>
          <w:szCs w:val="21"/>
          <w:highlight w:val="none"/>
        </w:rPr>
        <w:t>4.1.</w:t>
      </w:r>
      <w:r>
        <w:rPr>
          <w:rFonts w:hint="eastAsia" w:ascii="宋体" w:hAnsi="宋体"/>
          <w:color w:val="auto"/>
          <w:sz w:val="21"/>
          <w:szCs w:val="21"/>
          <w:highlight w:val="none"/>
        </w:rPr>
        <w:t>1</w:t>
      </w:r>
      <w:r>
        <w:rPr>
          <w:rFonts w:ascii="宋体" w:hAnsi="宋体"/>
          <w:color w:val="auto"/>
          <w:sz w:val="21"/>
          <w:szCs w:val="21"/>
          <w:highlight w:val="none"/>
        </w:rPr>
        <w:t xml:space="preserve">.2 </w:t>
      </w:r>
      <w:r>
        <w:rPr>
          <w:rFonts w:hint="eastAsia" w:ascii="宋体" w:hAnsi="宋体"/>
          <w:color w:val="auto"/>
          <w:sz w:val="21"/>
          <w:szCs w:val="21"/>
          <w:highlight w:val="none"/>
        </w:rPr>
        <w:t>身份认证与门禁</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建设与电子班牌相融合的门禁系统，具备权限管理、远程控制等等功能。</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.1.2</w:t>
      </w:r>
      <w:r>
        <w:rPr>
          <w:rFonts w:hint="eastAsia" w:ascii="宋体" w:hAnsi="宋体"/>
          <w:color w:val="auto"/>
          <w:sz w:val="21"/>
          <w:szCs w:val="21"/>
          <w:highlight w:val="none"/>
        </w:rPr>
        <w:t>智慧课堂交互系统</w:t>
      </w:r>
    </w:p>
    <w:p>
      <w:pPr>
        <w:spacing w:line="360" w:lineRule="auto"/>
        <w:ind w:firstLine="400"/>
        <w:rPr>
          <w:rFonts w:ascii="宋体" w:hAnsi="宋体"/>
          <w:color w:val="auto"/>
          <w:sz w:val="21"/>
          <w:szCs w:val="21"/>
          <w:highlight w:val="none"/>
        </w:rPr>
      </w:pPr>
      <w:r>
        <w:rPr>
          <w:rFonts w:hint="eastAsia" w:ascii="宋体" w:hAnsi="宋体"/>
          <w:color w:val="auto"/>
          <w:sz w:val="21"/>
          <w:szCs w:val="21"/>
          <w:highlight w:val="none"/>
        </w:rPr>
        <w:t>为了适应创新性人才的培养，教学模式从传统的方式正积极地向未来教学的模式发展。未来教学模式的要求是以老师与学生、学生与学生之间互动、交互互动为核心，旨在构建充分发挥课堂主体的主动性、能动性、促进主体和谐，自由发展的教与学的环境与活动。</w:t>
      </w:r>
    </w:p>
    <w:p>
      <w:pPr>
        <w:spacing w:line="360" w:lineRule="auto"/>
        <w:ind w:firstLine="400"/>
        <w:rPr>
          <w:rFonts w:ascii="宋体" w:hAnsi="宋体"/>
          <w:color w:val="auto"/>
          <w:sz w:val="21"/>
          <w:szCs w:val="21"/>
          <w:highlight w:val="none"/>
        </w:rPr>
      </w:pPr>
      <w:r>
        <w:rPr>
          <w:rFonts w:hint="eastAsia" w:ascii="宋体" w:hAnsi="宋体"/>
          <w:color w:val="auto"/>
          <w:sz w:val="21"/>
          <w:szCs w:val="21"/>
          <w:highlight w:val="none"/>
        </w:rPr>
        <w:t>同时，在课堂中，有不少老师提出希望能够非常便捷地将教师自有终端的内容呈现给学生，或让学生能把自有终端的内容呈现在课堂上，并时时掌握学生学习的情况。为此，根据实际的教学需求，在本次建设中考虑建设“灵动”交互教学空间。</w:t>
      </w:r>
    </w:p>
    <w:p>
      <w:pPr>
        <w:spacing w:line="360" w:lineRule="auto"/>
        <w:rPr>
          <w:rFonts w:ascii="宋体" w:hAnsi="宋体"/>
          <w:color w:val="auto"/>
          <w:sz w:val="21"/>
          <w:szCs w:val="21"/>
          <w:highlight w:val="none"/>
        </w:rPr>
      </w:pPr>
      <w:r>
        <w:rPr>
          <w:rFonts w:ascii="宋体" w:hAnsi="宋体"/>
          <w:color w:val="auto"/>
          <w:sz w:val="21"/>
          <w:szCs w:val="21"/>
          <w:highlight w:val="none"/>
        </w:rPr>
        <w:t>4.1.2.1教学交互无线同屏矩阵</w:t>
      </w:r>
    </w:p>
    <w:p>
      <w:pPr>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在教室无线范围内，任意学生在登入“灵动交互教学空间教学系统”后，即可实现学生与学生的笔记本间、老师与学生的笔记本间、老师与无线同屏互动视窗系统（含投影）间、学生与无线同屏互动视窗系统（含投影），实现自由分组，交叉无线同屏，即在教室无线范围内，实现各终端间的无线同屏矩阵；</w:t>
      </w:r>
    </w:p>
    <w:p>
      <w:pPr>
        <w:spacing w:line="360" w:lineRule="auto"/>
        <w:rPr>
          <w:rFonts w:ascii="宋体" w:hAnsi="宋体"/>
          <w:color w:val="auto"/>
          <w:sz w:val="21"/>
          <w:szCs w:val="21"/>
          <w:highlight w:val="none"/>
        </w:rPr>
      </w:pPr>
      <w:r>
        <w:rPr>
          <w:rFonts w:ascii="宋体" w:hAnsi="宋体"/>
          <w:color w:val="auto"/>
          <w:sz w:val="21"/>
          <w:szCs w:val="21"/>
          <w:highlight w:val="none"/>
        </w:rPr>
        <w:t>4.1.2.2</w:t>
      </w:r>
      <w:r>
        <w:rPr>
          <w:rFonts w:hint="eastAsia" w:ascii="宋体" w:hAnsi="宋体"/>
          <w:color w:val="auto"/>
          <w:sz w:val="21"/>
          <w:szCs w:val="21"/>
          <w:highlight w:val="none"/>
        </w:rPr>
        <w:t>教学即时反馈系统</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师生通过教学即时反馈系统可实现，教师教案反馈、随堂测试、随堂作业呈现等等随堂功能。</w:t>
      </w:r>
    </w:p>
    <w:p>
      <w:pPr>
        <w:spacing w:line="360" w:lineRule="auto"/>
        <w:rPr>
          <w:rFonts w:ascii="宋体" w:hAnsi="宋体"/>
          <w:color w:val="auto"/>
          <w:sz w:val="21"/>
          <w:szCs w:val="21"/>
          <w:highlight w:val="none"/>
        </w:rPr>
      </w:pPr>
      <w:r>
        <w:rPr>
          <w:rFonts w:ascii="宋体" w:hAnsi="宋体"/>
          <w:color w:val="auto"/>
          <w:sz w:val="21"/>
          <w:szCs w:val="21"/>
          <w:highlight w:val="none"/>
        </w:rPr>
        <w:t>4.1.3</w:t>
      </w:r>
      <w:r>
        <w:rPr>
          <w:rFonts w:hint="eastAsia" w:ascii="宋体" w:hAnsi="宋体"/>
          <w:color w:val="auto"/>
          <w:sz w:val="21"/>
          <w:szCs w:val="21"/>
          <w:highlight w:val="none"/>
        </w:rPr>
        <w:t>、教学楼多媒体互动展示系统。</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教学楼互动展示发布系统，由互动智能视窗与互动智能智慧教室管理平台（DMP），两个部分组成。互动智能视窗具体多媒体分发管理、多软件安装运行管理、设备管理，并具备多媒体互动时间轴、互动瀑布流等作品展现功能。</w:t>
      </w:r>
    </w:p>
    <w:p>
      <w:pPr>
        <w:spacing w:line="360" w:lineRule="auto"/>
        <w:rPr>
          <w:rFonts w:ascii="宋体" w:hAnsi="宋体"/>
          <w:color w:val="auto"/>
          <w:sz w:val="21"/>
          <w:szCs w:val="21"/>
          <w:highlight w:val="none"/>
        </w:rPr>
      </w:pPr>
      <w:r>
        <w:rPr>
          <w:rFonts w:ascii="宋体" w:hAnsi="宋体"/>
          <w:color w:val="auto"/>
          <w:sz w:val="21"/>
          <w:szCs w:val="21"/>
          <w:highlight w:val="none"/>
        </w:rPr>
        <w:t>4.1.4</w:t>
      </w:r>
      <w:r>
        <w:rPr>
          <w:rFonts w:hint="eastAsia" w:ascii="宋体" w:hAnsi="宋体"/>
          <w:color w:val="auto"/>
          <w:sz w:val="21"/>
          <w:szCs w:val="21"/>
          <w:highlight w:val="none"/>
        </w:rPr>
        <w:t>、智能排课考勤签到与人脸识别系统一套；</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在与我校原有教学管理系统、微信公众号等对接，完成身份认证、数据互联互通的基础上开发一套排课系统，详见技术要求。</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建设教学脸库：融合电子班牌前，学生可以通过刷身份证或学生证，通过系统认证后将一枚脸证自动生成入脸库中，从而形成校园脸库。</w:t>
      </w:r>
      <w:r>
        <w:rPr>
          <w:rFonts w:ascii="宋体" w:hAnsi="宋体"/>
          <w:color w:val="auto"/>
          <w:sz w:val="21"/>
          <w:szCs w:val="21"/>
          <w:highlight w:val="none"/>
        </w:rPr>
        <w:t>学生可以在教室门口通过人脸识别进行签到认证</w:t>
      </w:r>
      <w:r>
        <w:rPr>
          <w:rFonts w:hint="eastAsia"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以上4个系统统一平台管理，中标单位承担一切所需强弱电实施与软件接口对接费用。</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中标单位需提供两名软件开发人员驻场开发，系统验收通过后3个月驻场服务。</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.2</w:t>
      </w:r>
      <w:r>
        <w:rPr>
          <w:rFonts w:hint="eastAsia" w:ascii="宋体" w:hAnsi="宋体"/>
          <w:color w:val="auto"/>
          <w:sz w:val="21"/>
          <w:szCs w:val="21"/>
          <w:highlight w:val="none"/>
        </w:rPr>
        <w:t>、改造教室与设备清单</w:t>
      </w:r>
    </w:p>
    <w:tbl>
      <w:tblPr>
        <w:tblStyle w:val="22"/>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395"/>
        <w:gridCol w:w="3252"/>
        <w:gridCol w:w="132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29"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239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系统类目</w:t>
            </w:r>
          </w:p>
        </w:tc>
        <w:tc>
          <w:tcPr>
            <w:tcW w:w="3252"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产品名称</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restart"/>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395" w:type="dxa"/>
            <w:vMerge w:val="restar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融合电子班牌与智慧门禁系统</w:t>
            </w: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16寸一体化门禁电子班牌</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指纹门禁</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单联装门禁控制器</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8</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双联装门禁控制器</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22</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三联装门禁控制器</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电磁锁（单门）</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56</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电磁锁（双门）</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电子钟</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restart"/>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395" w:type="dxa"/>
            <w:vMerge w:val="restar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智慧课堂交互系统</w:t>
            </w: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智慧互动教学系统</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智慧无线同屏盒</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3</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395"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教学楼互动展示发布系统</w:t>
            </w: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互动智能视窗展示设备</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2395"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智能排课考勤签到系统</w:t>
            </w: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智能排课考勤签到系统</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329" w:type="dxa"/>
            <w:vMerge w:val="restart"/>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2395" w:type="dxa"/>
            <w:vMerge w:val="restar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智慧教室管理平台</w:t>
            </w:r>
          </w:p>
          <w:p>
            <w:pPr>
              <w:widowControl/>
              <w:jc w:val="left"/>
              <w:rPr>
                <w:rFonts w:hint="eastAsia" w:ascii="宋体" w:hAnsi="宋体" w:eastAsia="宋体" w:cs="宋体"/>
                <w:color w:val="auto"/>
                <w:kern w:val="0"/>
                <w:sz w:val="21"/>
                <w:szCs w:val="21"/>
                <w:highlight w:val="none"/>
                <w:lang w:eastAsia="zh-CN"/>
              </w:rPr>
            </w:pPr>
            <w:bookmarkStart w:id="20" w:name="_GoBack"/>
            <w:r>
              <w:rPr>
                <w:rFonts w:hint="eastAsia" w:ascii="宋体" w:hAnsi="宋体" w:cs="宋体"/>
                <w:b/>
                <w:bCs/>
                <w:color w:val="auto"/>
                <w:kern w:val="0"/>
                <w:sz w:val="21"/>
                <w:szCs w:val="21"/>
                <w:highlight w:val="none"/>
                <w:lang w:eastAsia="zh-CN"/>
              </w:rPr>
              <w:t>（核心产品）</w:t>
            </w:r>
            <w:bookmarkEnd w:id="20"/>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融合电子班牌管理组件</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vMerge w:val="restart"/>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互动智能视窗管理组件</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vMerge w:val="continue"/>
            <w:vAlign w:val="center"/>
          </w:tcPr>
          <w:p>
            <w:pPr>
              <w:widowControl/>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智慧门禁管理组件</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vMerge w:val="continue"/>
            <w:vAlign w:val="center"/>
          </w:tcPr>
          <w:p>
            <w:pPr>
              <w:widowControl/>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9" w:type="dxa"/>
            <w:vMerge w:val="continue"/>
            <w:vAlign w:val="center"/>
          </w:tcPr>
          <w:p>
            <w:pPr>
              <w:widowControl/>
              <w:jc w:val="left"/>
              <w:rPr>
                <w:rFonts w:ascii="宋体" w:hAnsi="宋体" w:cs="宋体"/>
                <w:color w:val="auto"/>
                <w:kern w:val="0"/>
                <w:sz w:val="21"/>
                <w:szCs w:val="21"/>
                <w:highlight w:val="none"/>
              </w:rPr>
            </w:pPr>
          </w:p>
        </w:tc>
        <w:tc>
          <w:tcPr>
            <w:tcW w:w="2395" w:type="dxa"/>
            <w:vMerge w:val="continue"/>
            <w:vAlign w:val="center"/>
          </w:tcPr>
          <w:p>
            <w:pPr>
              <w:widowControl/>
              <w:jc w:val="left"/>
              <w:rPr>
                <w:rFonts w:ascii="宋体" w:hAnsi="宋体" w:cs="宋体"/>
                <w:color w:val="auto"/>
                <w:kern w:val="0"/>
                <w:sz w:val="21"/>
                <w:szCs w:val="21"/>
                <w:highlight w:val="none"/>
              </w:rPr>
            </w:pPr>
          </w:p>
        </w:tc>
        <w:tc>
          <w:tcPr>
            <w:tcW w:w="3252" w:type="dxa"/>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人脸识别组件</w:t>
            </w:r>
          </w:p>
        </w:tc>
        <w:tc>
          <w:tcPr>
            <w:tcW w:w="1327" w:type="dxa"/>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325" w:type="dxa"/>
            <w:vMerge w:val="continue"/>
            <w:vAlign w:val="center"/>
          </w:tcPr>
          <w:p>
            <w:pPr>
              <w:widowControl/>
              <w:jc w:val="left"/>
              <w:rPr>
                <w:rFonts w:ascii="宋体" w:hAnsi="宋体" w:cs="宋体"/>
                <w:color w:val="auto"/>
                <w:kern w:val="0"/>
                <w:sz w:val="21"/>
                <w:szCs w:val="21"/>
                <w:highlight w:val="none"/>
              </w:rPr>
            </w:pP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.3</w:t>
      </w:r>
      <w:r>
        <w:rPr>
          <w:rFonts w:hint="eastAsia" w:ascii="宋体" w:hAnsi="宋体"/>
          <w:color w:val="auto"/>
          <w:sz w:val="21"/>
          <w:szCs w:val="21"/>
          <w:highlight w:val="none"/>
        </w:rPr>
        <w:t>技术要求</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（一）融合电子班牌&amp;智慧门禁系统</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融合电子班牌</w:t>
      </w:r>
    </w:p>
    <w:tbl>
      <w:tblPr>
        <w:tblStyle w:val="22"/>
        <w:tblW w:w="9628" w:type="dxa"/>
        <w:tblInd w:w="0" w:type="dxa"/>
        <w:tblLayout w:type="fixed"/>
        <w:tblCellMar>
          <w:top w:w="0" w:type="dxa"/>
          <w:left w:w="108" w:type="dxa"/>
          <w:bottom w:w="0" w:type="dxa"/>
          <w:right w:w="108" w:type="dxa"/>
        </w:tblCellMar>
      </w:tblPr>
      <w:tblGrid>
        <w:gridCol w:w="1771"/>
        <w:gridCol w:w="2316"/>
        <w:gridCol w:w="5541"/>
      </w:tblGrid>
      <w:tr>
        <w:tblPrEx>
          <w:tblLayout w:type="fixed"/>
          <w:tblCellMar>
            <w:top w:w="0" w:type="dxa"/>
            <w:left w:w="108" w:type="dxa"/>
            <w:bottom w:w="0" w:type="dxa"/>
            <w:right w:w="108" w:type="dxa"/>
          </w:tblCellMar>
        </w:tblPrEx>
        <w:trPr>
          <w:trHeight w:val="280"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指标项目</w:t>
            </w:r>
          </w:p>
        </w:tc>
        <w:tc>
          <w:tcPr>
            <w:tcW w:w="7857"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技术规格及系统配置要求</w:t>
            </w:r>
          </w:p>
        </w:tc>
      </w:tr>
      <w:tr>
        <w:tblPrEx>
          <w:tblLayout w:type="fixed"/>
          <w:tblCellMar>
            <w:top w:w="0" w:type="dxa"/>
            <w:left w:w="108" w:type="dxa"/>
            <w:bottom w:w="0" w:type="dxa"/>
            <w:right w:w="108" w:type="dxa"/>
          </w:tblCellMar>
        </w:tblPrEx>
        <w:trPr>
          <w:trHeight w:val="280"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w:t>
            </w:r>
          </w:p>
        </w:tc>
        <w:tc>
          <w:tcPr>
            <w:tcW w:w="785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与智慧教室管理平台与门禁管理组件管理下实现各类功能，受两者统一管理</w:t>
            </w:r>
          </w:p>
        </w:tc>
      </w:tr>
      <w:tr>
        <w:tblPrEx>
          <w:tblLayout w:type="fixed"/>
          <w:tblCellMar>
            <w:top w:w="0" w:type="dxa"/>
            <w:left w:w="108" w:type="dxa"/>
            <w:bottom w:w="0" w:type="dxa"/>
            <w:right w:w="108" w:type="dxa"/>
          </w:tblCellMar>
        </w:tblPrEx>
        <w:trPr>
          <w:trHeight w:val="280" w:hRule="atLeast"/>
        </w:trPr>
        <w:tc>
          <w:tcPr>
            <w:tcW w:w="1771"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互动智能门禁接口及性能要求</w:t>
            </w: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百兆电口</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USB接口</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≥2</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wifi接口</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支持802.11a/b/g/n</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内置存储空间</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r>
              <w:rPr>
                <w:rFonts w:cs="宋体" w:asciiTheme="majorEastAsia" w:hAnsiTheme="majorEastAsia" w:eastAsiaTheme="majorEastAsia"/>
                <w:color w:val="auto"/>
                <w:kern w:val="0"/>
                <w:sz w:val="21"/>
                <w:szCs w:val="21"/>
                <w:highlight w:val="none"/>
              </w:rPr>
              <w:t>4</w:t>
            </w:r>
            <w:r>
              <w:rPr>
                <w:rFonts w:hint="eastAsia" w:cs="宋体" w:asciiTheme="majorEastAsia" w:hAnsiTheme="majorEastAsia" w:eastAsiaTheme="majorEastAsia"/>
                <w:color w:val="auto"/>
                <w:kern w:val="0"/>
                <w:sz w:val="21"/>
                <w:szCs w:val="21"/>
                <w:highlight w:val="none"/>
              </w:rPr>
              <w:t>G</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音频</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支持3.5mm音频输出口</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音响</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内置双声道音响</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ascii="宋体" w:hAnsi="宋体" w:cs="宋体"/>
                <w:color w:val="auto"/>
                <w:kern w:val="0"/>
                <w:sz w:val="18"/>
                <w:szCs w:val="18"/>
                <w:highlight w:val="none"/>
              </w:rPr>
              <w:t>★</w:t>
            </w:r>
            <w:r>
              <w:rPr>
                <w:rFonts w:hint="eastAsia" w:cs="宋体" w:asciiTheme="majorEastAsia" w:hAnsiTheme="majorEastAsia" w:eastAsiaTheme="majorEastAsia"/>
                <w:color w:val="auto"/>
                <w:kern w:val="0"/>
                <w:sz w:val="21"/>
                <w:szCs w:val="21"/>
                <w:highlight w:val="none"/>
              </w:rPr>
              <w:t>蓝牙</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支持蓝牙4</w:t>
            </w:r>
            <w:r>
              <w:rPr>
                <w:rFonts w:cs="宋体" w:asciiTheme="majorEastAsia" w:hAnsiTheme="majorEastAsia" w:eastAsiaTheme="majorEastAsia"/>
                <w:color w:val="auto"/>
                <w:kern w:val="0"/>
                <w:sz w:val="21"/>
                <w:szCs w:val="21"/>
                <w:highlight w:val="none"/>
              </w:rPr>
              <w:t>.2</w:t>
            </w:r>
          </w:p>
        </w:tc>
      </w:tr>
      <w:tr>
        <w:tblPrEx>
          <w:tblLayout w:type="fixed"/>
          <w:tblCellMar>
            <w:top w:w="0" w:type="dxa"/>
            <w:left w:w="108" w:type="dxa"/>
            <w:bottom w:w="0" w:type="dxa"/>
            <w:right w:w="108" w:type="dxa"/>
          </w:tblCellMar>
        </w:tblPrEx>
        <w:trPr>
          <w:trHeight w:val="54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系统架构与操作系统</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采用ARM 4核架构，主频1.5GHz以上，须支持安卓系统（非X86+windows架构）</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内置内存</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w:t>
            </w:r>
            <w:r>
              <w:rPr>
                <w:rFonts w:cs="宋体" w:asciiTheme="majorEastAsia" w:hAnsiTheme="majorEastAsia" w:eastAsiaTheme="majorEastAsia"/>
                <w:color w:val="auto"/>
                <w:kern w:val="0"/>
                <w:sz w:val="21"/>
                <w:szCs w:val="21"/>
                <w:highlight w:val="none"/>
              </w:rPr>
              <w:t>1</w:t>
            </w:r>
            <w:r>
              <w:rPr>
                <w:rFonts w:hint="eastAsia" w:cs="宋体" w:asciiTheme="majorEastAsia" w:hAnsiTheme="majorEastAsia" w:eastAsiaTheme="majorEastAsia"/>
                <w:color w:val="auto"/>
                <w:kern w:val="0"/>
                <w:sz w:val="21"/>
                <w:szCs w:val="21"/>
                <w:highlight w:val="none"/>
              </w:rPr>
              <w:t>G</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设备尺寸</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cs="宋体" w:asciiTheme="majorEastAsia" w:hAnsiTheme="majorEastAsia" w:eastAsiaTheme="majorEastAsia"/>
                <w:color w:val="auto"/>
                <w:kern w:val="0"/>
                <w:sz w:val="21"/>
                <w:szCs w:val="21"/>
                <w:highlight w:val="none"/>
              </w:rPr>
              <w:t>16</w:t>
            </w:r>
            <w:r>
              <w:rPr>
                <w:rFonts w:hint="eastAsia" w:cs="宋体" w:asciiTheme="majorEastAsia" w:hAnsiTheme="majorEastAsia" w:eastAsiaTheme="majorEastAsia"/>
                <w:color w:val="auto"/>
                <w:kern w:val="0"/>
                <w:sz w:val="21"/>
                <w:szCs w:val="21"/>
                <w:highlight w:val="none"/>
              </w:rPr>
              <w:t>寸</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触摸方式</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投射式十点电容触摸</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摄像头</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≥200万像素前置摄像头</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▲POE供电</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支持网口POE供电</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▲指示灯带与教室使用状态显示</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班牌左右两侧自带三色LED灯带（非外接），教室被使用时，设备LED显示红色；教室空闲时，设备LED显示绿色。</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02" w:hRule="atLeast"/>
        </w:trPr>
        <w:tc>
          <w:tcPr>
            <w:tcW w:w="1771" w:type="dxa"/>
            <w:vMerge w:val="continue"/>
            <w:tcBorders>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支持多联锁</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一个互动智能门禁可至多分别控制4个门锁。可单独开启一个门锁。也可以同时开启所有关联的门锁。</w:t>
            </w:r>
          </w:p>
        </w:tc>
      </w:tr>
      <w:tr>
        <w:tblPrEx>
          <w:tblLayout w:type="fixed"/>
          <w:tblCellMar>
            <w:top w:w="0" w:type="dxa"/>
            <w:left w:w="108" w:type="dxa"/>
            <w:bottom w:w="0" w:type="dxa"/>
            <w:right w:w="108" w:type="dxa"/>
          </w:tblCellMar>
        </w:tblPrEx>
        <w:trPr>
          <w:trHeight w:val="540" w:hRule="atLeast"/>
        </w:trPr>
        <w:tc>
          <w:tcPr>
            <w:tcW w:w="17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互动智能门禁识别能力要求</w:t>
            </w: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人脸识别前端功能</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本地预处理人脸图片，只需向服务器发送处理后的特征数据，减轻服务器计算负担，网络传输带宽占用仅</w:t>
            </w:r>
            <w:r>
              <w:rPr>
                <w:rFonts w:cs="宋体" w:asciiTheme="majorEastAsia" w:hAnsiTheme="majorEastAsia" w:eastAsiaTheme="majorEastAsia"/>
                <w:color w:val="auto"/>
                <w:kern w:val="0"/>
                <w:sz w:val="21"/>
                <w:szCs w:val="21"/>
                <w:highlight w:val="none"/>
              </w:rPr>
              <w:t>1~2KB；</w:t>
            </w:r>
          </w:p>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支持偏航，俯仰，旋转等三维角度检测；</w:t>
            </w:r>
          </w:p>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支持单目摄像头下的活体检测。</w:t>
            </w:r>
          </w:p>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准确率：</w:t>
            </w:r>
            <w:r>
              <w:rPr>
                <w:rFonts w:cs="宋体" w:asciiTheme="majorEastAsia" w:hAnsiTheme="majorEastAsia" w:eastAsiaTheme="majorEastAsia"/>
                <w:color w:val="auto"/>
                <w:kern w:val="0"/>
                <w:sz w:val="21"/>
                <w:szCs w:val="21"/>
                <w:highlight w:val="none"/>
              </w:rPr>
              <w:t>99%</w:t>
            </w:r>
          </w:p>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识别时间：单人面部识别时间</w:t>
            </w:r>
            <w:r>
              <w:rPr>
                <w:rFonts w:cs="宋体" w:asciiTheme="majorEastAsia" w:hAnsiTheme="majorEastAsia" w:eastAsiaTheme="majorEastAsia"/>
                <w:color w:val="auto"/>
                <w:kern w:val="0"/>
                <w:sz w:val="21"/>
                <w:szCs w:val="21"/>
                <w:highlight w:val="none"/>
              </w:rPr>
              <w:t>1</w:t>
            </w:r>
            <w:r>
              <w:rPr>
                <w:rFonts w:hint="eastAsia" w:cs="宋体" w:asciiTheme="majorEastAsia" w:hAnsiTheme="majorEastAsia" w:eastAsiaTheme="majorEastAsia"/>
                <w:color w:val="auto"/>
                <w:kern w:val="0"/>
                <w:sz w:val="21"/>
                <w:szCs w:val="21"/>
                <w:highlight w:val="none"/>
              </w:rPr>
              <w:t>-</w:t>
            </w:r>
            <w:r>
              <w:rPr>
                <w:rFonts w:cs="宋体" w:asciiTheme="majorEastAsia" w:hAnsiTheme="majorEastAsia" w:eastAsiaTheme="majorEastAsia"/>
                <w:color w:val="auto"/>
                <w:kern w:val="0"/>
                <w:sz w:val="21"/>
                <w:szCs w:val="21"/>
                <w:highlight w:val="none"/>
              </w:rPr>
              <w:t>2S</w:t>
            </w:r>
            <w:r>
              <w:rPr>
                <w:rFonts w:hint="eastAsia" w:cs="宋体" w:asciiTheme="majorEastAsia" w:hAnsiTheme="majorEastAsia" w:eastAsiaTheme="majorEastAsia"/>
                <w:color w:val="auto"/>
                <w:kern w:val="0"/>
                <w:sz w:val="21"/>
                <w:szCs w:val="21"/>
                <w:highlight w:val="none"/>
              </w:rPr>
              <w:t>；</w:t>
            </w:r>
          </w:p>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支持强光抑制：在强背光下完成人脸识别</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二维码识别</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支持二维码扫描身份识别</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内置读卡器</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支持非接触</w:t>
            </w:r>
            <w:r>
              <w:rPr>
                <w:rFonts w:cs="宋体" w:asciiTheme="majorEastAsia" w:hAnsiTheme="majorEastAsia" w:eastAsiaTheme="majorEastAsia"/>
                <w:color w:val="auto"/>
                <w:kern w:val="0"/>
                <w:sz w:val="21"/>
                <w:szCs w:val="21"/>
                <w:highlight w:val="none"/>
              </w:rPr>
              <w:t>IC卡</w:t>
            </w:r>
          </w:p>
        </w:tc>
      </w:tr>
      <w:tr>
        <w:tblPrEx>
          <w:tblLayout w:type="fixed"/>
          <w:tblCellMar>
            <w:top w:w="0" w:type="dxa"/>
            <w:left w:w="108" w:type="dxa"/>
            <w:bottom w:w="0" w:type="dxa"/>
            <w:right w:w="108" w:type="dxa"/>
          </w:tblCellMar>
        </w:tblPrEx>
        <w:trPr>
          <w:trHeight w:val="540" w:hRule="atLeast"/>
        </w:trPr>
        <w:tc>
          <w:tcPr>
            <w:tcW w:w="1771"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班牌多媒体信息发布功能</w:t>
            </w: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本地存储</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节目存储于当前设备，可指定播放本设备所存储的多媒体节目，充分利用系统资源。</w:t>
            </w:r>
          </w:p>
        </w:tc>
      </w:tr>
      <w:tr>
        <w:tblPrEx>
          <w:tblLayout w:type="fixed"/>
          <w:tblCellMar>
            <w:top w:w="0" w:type="dxa"/>
            <w:left w:w="108" w:type="dxa"/>
            <w:bottom w:w="0" w:type="dxa"/>
            <w:right w:w="108" w:type="dxa"/>
          </w:tblCellMar>
        </w:tblPrEx>
        <w:trPr>
          <w:trHeight w:val="54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资源轮询监控</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系统自动会删除过期节目，以免点播列表过于冗长以及设备硬盘被无效节目占用过多。</w:t>
            </w:r>
          </w:p>
        </w:tc>
      </w:tr>
      <w:tr>
        <w:tblPrEx>
          <w:tblLayout w:type="fixed"/>
          <w:tblCellMar>
            <w:top w:w="0" w:type="dxa"/>
            <w:left w:w="108" w:type="dxa"/>
            <w:bottom w:w="0" w:type="dxa"/>
            <w:right w:w="108" w:type="dxa"/>
          </w:tblCellMar>
        </w:tblPrEx>
        <w:trPr>
          <w:trHeight w:val="135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支持多媒体格式</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视频支持格式：MPEG-1,MPEG-2 MP@HL,MPEG-4 ASP@L5,WMV9 MP@ML、avi、mp4、wmv，RMVB，音频支持格式：MP3,AAC-LC,WMA，图片支持格式：jpg、png、bmp，gif,支持高清视频流直播</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web</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内置web浏览器</w:t>
            </w:r>
          </w:p>
        </w:tc>
      </w:tr>
      <w:tr>
        <w:tblPrEx>
          <w:tblLayout w:type="fixed"/>
          <w:tblCellMar>
            <w:top w:w="0" w:type="dxa"/>
            <w:left w:w="108" w:type="dxa"/>
            <w:bottom w:w="0" w:type="dxa"/>
            <w:right w:w="108" w:type="dxa"/>
          </w:tblCellMar>
        </w:tblPrEx>
        <w:trPr>
          <w:trHeight w:val="10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分区显示</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在同一互动智能视窗内，可将播放视窗划分为不同区域，每个区域可独立播放文字、视频、图片以及网页推送；用户可自由选择不同的分区模版</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升级</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支持在线升级和本地USB升级</w:t>
            </w:r>
          </w:p>
        </w:tc>
      </w:tr>
      <w:tr>
        <w:tblPrEx>
          <w:tblLayout w:type="fixed"/>
          <w:tblCellMar>
            <w:top w:w="0" w:type="dxa"/>
            <w:left w:w="108" w:type="dxa"/>
            <w:bottom w:w="0" w:type="dxa"/>
            <w:right w:w="108" w:type="dxa"/>
          </w:tblCellMar>
        </w:tblPrEx>
        <w:trPr>
          <w:trHeight w:val="81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bookmarkStart w:id="6" w:name="_Hlk19713695"/>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电视与高清直播</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可内置涵盖主流电视频道的数字电视直播系统，可接受流媒体直播信号，实现音视频直播；</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6"/>
      <w:tr>
        <w:tblPrEx>
          <w:tblLayout w:type="fixed"/>
          <w:tblCellMar>
            <w:top w:w="0" w:type="dxa"/>
            <w:left w:w="108" w:type="dxa"/>
            <w:bottom w:w="0" w:type="dxa"/>
            <w:right w:w="108" w:type="dxa"/>
          </w:tblCellMar>
        </w:tblPrEx>
        <w:trPr>
          <w:trHeight w:val="54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紧急插播</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能够插播节目及紧急信息到指定互动智能视窗上</w:t>
            </w:r>
          </w:p>
        </w:tc>
      </w:tr>
      <w:tr>
        <w:tblPrEx>
          <w:tblLayout w:type="fixed"/>
          <w:tblCellMar>
            <w:top w:w="0" w:type="dxa"/>
            <w:left w:w="108" w:type="dxa"/>
            <w:bottom w:w="0" w:type="dxa"/>
            <w:right w:w="108" w:type="dxa"/>
          </w:tblCellMar>
        </w:tblPrEx>
        <w:trPr>
          <w:trHeight w:val="1120" w:hRule="atLeast"/>
        </w:trPr>
        <w:tc>
          <w:tcPr>
            <w:tcW w:w="1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bookmarkStart w:id="7" w:name="_Hlk19713709"/>
            <w:r>
              <w:rPr>
                <w:rFonts w:hint="eastAsia" w:cs="宋体" w:asciiTheme="majorEastAsia" w:hAnsiTheme="majorEastAsia" w:eastAsiaTheme="majorEastAsia"/>
                <w:color w:val="auto"/>
                <w:kern w:val="0"/>
                <w:sz w:val="21"/>
                <w:szCs w:val="21"/>
                <w:highlight w:val="none"/>
              </w:rPr>
              <w:t>班级自媒体展示组件</w:t>
            </w:r>
          </w:p>
        </w:tc>
        <w:tc>
          <w:tcPr>
            <w:tcW w:w="231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展示效果</w:t>
            </w:r>
          </w:p>
        </w:tc>
        <w:tc>
          <w:tcPr>
            <w:tcW w:w="5541"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以互动时间轴形式，展现所有班级发展过程；分布在时间轴上的每个时间点除了显示具体时间还带有事件名称；学生点击该时间点，展示事件内容；</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7"/>
      <w:tr>
        <w:tblPrEx>
          <w:tblLayout w:type="fixed"/>
          <w:tblCellMar>
            <w:top w:w="0" w:type="dxa"/>
            <w:left w:w="108" w:type="dxa"/>
            <w:bottom w:w="0" w:type="dxa"/>
            <w:right w:w="108" w:type="dxa"/>
          </w:tblCellMar>
        </w:tblPrEx>
        <w:trPr>
          <w:trHeight w:val="903"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事件内容展示方式</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当有用户点击时间轴按钮时，将弹出介绍该时间的悬浮对话框，对话框内包含该时间的视频，图片信息。图片可滑动查看，视频可点击播放，对话框内包含对于该时间节点的文字介绍。</w:t>
            </w:r>
            <w:r>
              <w:rPr>
                <w:rFonts w:hint="eastAsia" w:cs="宋体" w:asciiTheme="majorEastAsia" w:hAnsiTheme="majorEastAsia" w:eastAsiaTheme="majorEastAsia"/>
                <w:color w:val="auto"/>
                <w:kern w:val="0"/>
                <w:sz w:val="21"/>
                <w:szCs w:val="21"/>
                <w:highlight w:val="none"/>
              </w:rPr>
              <w:br w:type="textWrapping"/>
            </w:r>
            <w:r>
              <w:rPr>
                <w:rFonts w:hint="eastAsia" w:cs="宋体" w:asciiTheme="majorEastAsia" w:hAnsiTheme="majorEastAsia" w:eastAsiaTheme="majorEastAsia"/>
                <w:color w:val="auto"/>
                <w:kern w:val="0"/>
                <w:sz w:val="21"/>
                <w:szCs w:val="21"/>
                <w:highlight w:val="none"/>
              </w:rPr>
              <w:t>用户可以滑动时间轴来寻找自己想看的具体时间节点。</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6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时间轴滑动效果</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时间轴滑动时有一定的动画效果。且具有速度感，可体现出用户的滑动操作幅度。</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40" w:hRule="atLeast"/>
        </w:trPr>
        <w:tc>
          <w:tcPr>
            <w:tcW w:w="1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bookmarkStart w:id="8" w:name="_Hlk19713877"/>
            <w:r>
              <w:rPr>
                <w:rFonts w:hint="eastAsia" w:cs="宋体" w:asciiTheme="majorEastAsia" w:hAnsiTheme="majorEastAsia" w:eastAsiaTheme="majorEastAsia"/>
                <w:color w:val="auto"/>
                <w:kern w:val="0"/>
                <w:sz w:val="21"/>
                <w:szCs w:val="21"/>
                <w:highlight w:val="none"/>
              </w:rPr>
              <w:t>班牌多业务管理功能与协议</w:t>
            </w:r>
          </w:p>
        </w:tc>
        <w:tc>
          <w:tcPr>
            <w:tcW w:w="231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班牌专用操作界面显示</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基础展示界面：只能显示班牌专用操作界面，用户无法进入操作系统界面；</w:t>
            </w:r>
          </w:p>
        </w:tc>
      </w:tr>
      <w:tr>
        <w:tblPrEx>
          <w:tblLayout w:type="fixed"/>
          <w:tblCellMar>
            <w:top w:w="0" w:type="dxa"/>
            <w:left w:w="108" w:type="dxa"/>
            <w:bottom w:w="0" w:type="dxa"/>
            <w:right w:w="108" w:type="dxa"/>
          </w:tblCellMar>
        </w:tblPrEx>
        <w:trPr>
          <w:trHeight w:val="1043"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班牌专用主界面由基础课程信息展示（整屏显示）、多业务呈现栏、多业务开始键，浮动返回键、滚动通知栏、背景、管理员隐藏设置区几个部分组成；背景、滚动通知栏的内容由智慧教室管理平台远程更新；</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8"/>
      <w:tr>
        <w:tblPrEx>
          <w:tblLayout w:type="fixed"/>
          <w:tblCellMar>
            <w:top w:w="0" w:type="dxa"/>
            <w:left w:w="108" w:type="dxa"/>
            <w:bottom w:w="0" w:type="dxa"/>
            <w:right w:w="108" w:type="dxa"/>
          </w:tblCellMar>
        </w:tblPrEx>
        <w:trPr>
          <w:trHeight w:val="162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管理员隐藏设置功能</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班牌互动操作界面内具有不可见的互动区域，点击后自动弹出设置界面，输入用户名密码后，进入设置界面后可自动显示硬件（ip、Mac、cpu、内存、硬盘利用情况与业务进程信息），并可对设备进行设置（网络连接等）</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班牌基础课程信息展示</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班级（教室名称）</w:t>
            </w:r>
            <w:r>
              <w:rPr>
                <w:rFonts w:cs="宋体" w:asciiTheme="majorEastAsia" w:hAnsiTheme="majorEastAsia" w:eastAsiaTheme="majorEastAsia"/>
                <w:color w:val="auto"/>
                <w:kern w:val="0"/>
                <w:sz w:val="21"/>
                <w:szCs w:val="21"/>
                <w:highlight w:val="none"/>
              </w:rPr>
              <w:t xml:space="preserve"> 通知公告 当前课程名称，当前课程简介，当前课程授课教师，当前课程授课教师头像 </w:t>
            </w:r>
          </w:p>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一周课程</w:t>
            </w:r>
            <w:r>
              <w:rPr>
                <w:rFonts w:cs="宋体" w:asciiTheme="majorEastAsia" w:hAnsiTheme="majorEastAsia" w:eastAsiaTheme="majorEastAsia"/>
                <w:color w:val="auto"/>
                <w:kern w:val="0"/>
                <w:sz w:val="21"/>
                <w:szCs w:val="21"/>
                <w:highlight w:val="none"/>
              </w:rPr>
              <w:t xml:space="preserve"> 周一至周日 从第一节到第N节课课程名称</w:t>
            </w:r>
          </w:p>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数据来源于“智能排课考勤签到系统”</w:t>
            </w:r>
          </w:p>
        </w:tc>
      </w:tr>
      <w:tr>
        <w:tblPrEx>
          <w:tblLayout w:type="fixed"/>
          <w:tblCellMar>
            <w:top w:w="0" w:type="dxa"/>
            <w:left w:w="108" w:type="dxa"/>
            <w:bottom w:w="0" w:type="dxa"/>
            <w:right w:w="108" w:type="dxa"/>
          </w:tblCellMar>
        </w:tblPrEx>
        <w:trPr>
          <w:trHeight w:val="2684"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bookmarkStart w:id="9" w:name="_Hlk19713937"/>
          </w:p>
        </w:tc>
        <w:tc>
          <w:tcPr>
            <w:tcW w:w="231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多互动业务呈现与管理</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电子班牌上的所有互动程序（业务），只能由智慧教室管理平台下发，本地无法安装。通过视窗管理管理，实现某一（多）个程序（或web系统）的静默（无需本地操作）下载，安装、开启、停用、删除（本地无法删除）；多个程序（或web系统）会自动在多业务呈现栏依次排列，相关图标与文字说明可由智慧教室管理平台定义修改；支持无限制添加；在无访客触摸互动时，所有业务收拢于多业务开始键，当点击多业务开始键时，所有互动业务横向滚动平铺至多业务呈现栏；</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81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浮动返回键</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可随意拖动位置，访客可通过该返回键，返回到上层界面或直接返回主界面；</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9"/>
      <w:tr>
        <w:tblPrEx>
          <w:tblLayout w:type="fixed"/>
          <w:tblCellMar>
            <w:top w:w="0" w:type="dxa"/>
            <w:left w:w="108" w:type="dxa"/>
            <w:bottom w:w="0" w:type="dxa"/>
            <w:right w:w="108" w:type="dxa"/>
          </w:tblCellMar>
        </w:tblPrEx>
        <w:trPr>
          <w:trHeight w:val="10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000000" w:fill="FFFFFF"/>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自动返回机制</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当访客不触摸互动智能视窗后若干秒后（可定义），互动智能视窗自动返回到互动智能视窗专用操作界面显示桌面。</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81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高安全业务系统界面呈现</w:t>
            </w:r>
          </w:p>
        </w:tc>
        <w:tc>
          <w:tcPr>
            <w:tcW w:w="5541"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用户在访问B/S架构的业务系统时，所显示的界面无地址栏无边框，用户不得自行输入地址。</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280" w:hRule="atLeast"/>
        </w:trPr>
        <w:tc>
          <w:tcPr>
            <w:tcW w:w="177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nil"/>
              <w:left w:val="nil"/>
              <w:bottom w:val="nil"/>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升级</w:t>
            </w:r>
          </w:p>
        </w:tc>
        <w:tc>
          <w:tcPr>
            <w:tcW w:w="5541" w:type="dxa"/>
            <w:tcBorders>
              <w:top w:val="nil"/>
              <w:left w:val="nil"/>
              <w:bottom w:val="nil"/>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支持在线升级和本地USB升级</w:t>
            </w:r>
          </w:p>
        </w:tc>
      </w:tr>
      <w:tr>
        <w:tblPrEx>
          <w:tblLayout w:type="fixed"/>
          <w:tblCellMar>
            <w:top w:w="0" w:type="dxa"/>
            <w:left w:w="108" w:type="dxa"/>
            <w:bottom w:w="0" w:type="dxa"/>
            <w:right w:w="108" w:type="dxa"/>
          </w:tblCellMar>
        </w:tblPrEx>
        <w:trPr>
          <w:trHeight w:val="280" w:hRule="atLeast"/>
        </w:trPr>
        <w:tc>
          <w:tcPr>
            <w:tcW w:w="1771" w:type="dxa"/>
            <w:vMerge w:val="restart"/>
            <w:tcBorders>
              <w:top w:val="single" w:color="auto" w:sz="4" w:space="0"/>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与智慧教室管理平台的设备通信与管理</w:t>
            </w:r>
          </w:p>
        </w:tc>
        <w:tc>
          <w:tcPr>
            <w:tcW w:w="2316" w:type="dxa"/>
            <w:vMerge w:val="restart"/>
            <w:tcBorders>
              <w:top w:val="single" w:color="auto" w:sz="4" w:space="0"/>
              <w:left w:val="nil"/>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班牌实时控制和监控模块</w:t>
            </w: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可远程实时的控制班牌的重启，可设置各类班牌的定时开关机时间；</w:t>
            </w:r>
          </w:p>
        </w:tc>
      </w:tr>
      <w:tr>
        <w:tblPrEx>
          <w:tblLayout w:type="fixed"/>
          <w:tblCellMar>
            <w:top w:w="0" w:type="dxa"/>
            <w:left w:w="108" w:type="dxa"/>
            <w:bottom w:w="0" w:type="dxa"/>
            <w:right w:w="108" w:type="dxa"/>
          </w:tblCellMar>
        </w:tblPrEx>
        <w:trPr>
          <w:trHeight w:val="30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vMerge w:val="continue"/>
            <w:tcBorders>
              <w:left w:val="nil"/>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可远程实时监控屏幕播放内容；</w:t>
            </w:r>
          </w:p>
        </w:tc>
      </w:tr>
      <w:tr>
        <w:tblPrEx>
          <w:tblLayout w:type="fixed"/>
          <w:tblCellMar>
            <w:top w:w="0" w:type="dxa"/>
            <w:left w:w="108" w:type="dxa"/>
            <w:bottom w:w="0" w:type="dxa"/>
            <w:right w:w="108" w:type="dxa"/>
          </w:tblCellMar>
        </w:tblPrEx>
        <w:trPr>
          <w:trHeight w:val="1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vMerge w:val="continue"/>
            <w:tcBorders>
              <w:left w:val="nil"/>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可实时查询和监控班牌的各类配置参数和运行状态参数；</w:t>
            </w:r>
          </w:p>
        </w:tc>
      </w:tr>
      <w:tr>
        <w:tblPrEx>
          <w:tblLayout w:type="fixed"/>
          <w:tblCellMar>
            <w:top w:w="0" w:type="dxa"/>
            <w:left w:w="108" w:type="dxa"/>
            <w:bottom w:w="0" w:type="dxa"/>
            <w:right w:w="108" w:type="dxa"/>
          </w:tblCellMar>
        </w:tblPrEx>
        <w:trPr>
          <w:trHeight w:val="62"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vMerge w:val="continue"/>
            <w:tcBorders>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可远程发起文件传输命令；</w:t>
            </w:r>
          </w:p>
        </w:tc>
      </w:tr>
      <w:tr>
        <w:tblPrEx>
          <w:tblLayout w:type="fixed"/>
          <w:tblCellMar>
            <w:top w:w="0" w:type="dxa"/>
            <w:left w:w="108" w:type="dxa"/>
            <w:bottom w:w="0" w:type="dxa"/>
            <w:right w:w="108" w:type="dxa"/>
          </w:tblCellMar>
        </w:tblPrEx>
        <w:trPr>
          <w:trHeight w:val="24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设备信息上报</w:t>
            </w: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可随智慧教室管理平台要求，主动上报设备信息（IP、MAC、CPU硬盘利用率、进程等），下载进度，设备运行异常、非正常关机等告警信息；</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网络通信</w:t>
            </w: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支持DHCP与静态IP，支持MAC与IP的绑定；</w:t>
            </w:r>
          </w:p>
        </w:tc>
      </w:tr>
      <w:tr>
        <w:tblPrEx>
          <w:tblLayout w:type="fixed"/>
          <w:tblCellMar>
            <w:top w:w="0" w:type="dxa"/>
            <w:left w:w="108" w:type="dxa"/>
            <w:bottom w:w="0" w:type="dxa"/>
            <w:right w:w="108" w:type="dxa"/>
          </w:tblCellMar>
        </w:tblPrEx>
        <w:trPr>
          <w:trHeight w:val="280" w:hRule="atLeast"/>
        </w:trPr>
        <w:tc>
          <w:tcPr>
            <w:tcW w:w="1771" w:type="dxa"/>
            <w:vMerge w:val="continue"/>
            <w:tcBorders>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31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下载与断点续传</w:t>
            </w: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支持下载,非直播任务的断点下载、断点续传功能。</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指纹门禁</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在门禁管理组件管理下实现各类功能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指纹识别方式</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光电识别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指纹存储数量</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密码开锁</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支持密码开锁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锁门方式</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支持电磁锁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工作电压</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12V</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单联装门禁控制器</w:t>
      </w:r>
    </w:p>
    <w:tbl>
      <w:tblPr>
        <w:tblStyle w:val="22"/>
        <w:tblW w:w="9628" w:type="dxa"/>
        <w:tblInd w:w="0" w:type="dxa"/>
        <w:tblLayout w:type="fixed"/>
        <w:tblCellMar>
          <w:top w:w="0" w:type="dxa"/>
          <w:left w:w="108" w:type="dxa"/>
          <w:bottom w:w="0" w:type="dxa"/>
          <w:right w:w="108" w:type="dxa"/>
        </w:tblCellMar>
      </w:tblPr>
      <w:tblGrid>
        <w:gridCol w:w="1806"/>
        <w:gridCol w:w="7822"/>
      </w:tblGrid>
      <w:tr>
        <w:tblPrEx>
          <w:tblLayout w:type="fixed"/>
          <w:tblCellMar>
            <w:top w:w="0" w:type="dxa"/>
            <w:left w:w="108" w:type="dxa"/>
            <w:bottom w:w="0" w:type="dxa"/>
            <w:right w:w="108" w:type="dxa"/>
          </w:tblCellMar>
        </w:tblPrEx>
        <w:trPr>
          <w:trHeight w:val="278" w:hRule="atLeast"/>
        </w:trPr>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支持延迟设置</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门锁可设置3或者6秒的延迟。</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在门禁管理组件管理下实现各类功能</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支持门锁数量</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单个门锁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ascii="宋体" w:hAnsi="宋体" w:cs="宋体"/>
                <w:color w:val="auto"/>
                <w:kern w:val="0"/>
                <w:sz w:val="18"/>
                <w:szCs w:val="18"/>
                <w:highlight w:val="none"/>
              </w:rPr>
              <w:t>▲</w:t>
            </w:r>
            <w:r>
              <w:rPr>
                <w:rFonts w:hint="eastAsia" w:cs="宋体" w:asciiTheme="majorEastAsia" w:hAnsiTheme="majorEastAsia" w:eastAsiaTheme="majorEastAsia"/>
                <w:color w:val="auto"/>
                <w:kern w:val="0"/>
                <w:sz w:val="21"/>
                <w:szCs w:val="21"/>
                <w:highlight w:val="none"/>
              </w:rPr>
              <w:t>融合电子班牌控制</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访客通过融合电子班牌的身份认证后，由电子班牌发起命令通过网络开闭门禁控制</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支持网络开启</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具有RJ45电口，可支持通过TCP/Ip发送开门命令。</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支持一键开关</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可安装室内开关，一键开启门锁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支持多种锁型</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可支持电插锁或者电磁锁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支持断电常开</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当锁断电时，即处于开门状态。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支持门开合状态反馈，可查询到门开合状态。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支持自动闭门</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具有液压支架可自动闭门。</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遥控器开关控制</w:t>
            </w:r>
          </w:p>
        </w:tc>
        <w:tc>
          <w:tcPr>
            <w:tcW w:w="7822"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双联装门禁控制器</w:t>
      </w:r>
    </w:p>
    <w:tbl>
      <w:tblPr>
        <w:tblStyle w:val="22"/>
        <w:tblW w:w="9628" w:type="dxa"/>
        <w:tblInd w:w="0" w:type="dxa"/>
        <w:tblLayout w:type="fixed"/>
        <w:tblCellMar>
          <w:top w:w="0" w:type="dxa"/>
          <w:left w:w="108" w:type="dxa"/>
          <w:bottom w:w="0" w:type="dxa"/>
          <w:right w:w="108" w:type="dxa"/>
        </w:tblCellMar>
      </w:tblPr>
      <w:tblGrid>
        <w:gridCol w:w="1806"/>
        <w:gridCol w:w="7822"/>
      </w:tblGrid>
      <w:tr>
        <w:tblPrEx>
          <w:tblLayout w:type="fixed"/>
          <w:tblCellMar>
            <w:top w:w="0" w:type="dxa"/>
            <w:left w:w="108" w:type="dxa"/>
            <w:bottom w:w="0" w:type="dxa"/>
            <w:right w:w="108" w:type="dxa"/>
          </w:tblCellMar>
        </w:tblPrEx>
        <w:trPr>
          <w:trHeight w:val="278" w:hRule="atLeast"/>
        </w:trPr>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支持延迟设置</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门锁可设置3或者6秒的延迟。</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在门禁管理组件管理下实现各类功能</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支持门锁数量</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双门锁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▲融合电子班牌控制</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访客通过融合电子班牌的身份认证后，由电子班牌发起命令通过网络开闭门禁控制</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支持网络开启</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具有RJ45电口，可支持通过TCP/Ip发送开门命令。</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支持一键开关</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可安装室内开关，一键开启门锁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支持多种锁型</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可支持电插锁或者电磁锁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支持断电常开</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当锁断电时，即处于开门状态。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支持门开合状态反馈，可查询到门开合状态。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支持自动闭门</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具有液压支架可自动闭门。</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遥控器开关控制</w:t>
            </w:r>
          </w:p>
        </w:tc>
        <w:tc>
          <w:tcPr>
            <w:tcW w:w="7822"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三联装门禁控制器</w:t>
      </w:r>
    </w:p>
    <w:tbl>
      <w:tblPr>
        <w:tblStyle w:val="22"/>
        <w:tblW w:w="9628" w:type="dxa"/>
        <w:tblInd w:w="0" w:type="dxa"/>
        <w:tblLayout w:type="fixed"/>
        <w:tblCellMar>
          <w:top w:w="0" w:type="dxa"/>
          <w:left w:w="108" w:type="dxa"/>
          <w:bottom w:w="0" w:type="dxa"/>
          <w:right w:w="108" w:type="dxa"/>
        </w:tblCellMar>
      </w:tblPr>
      <w:tblGrid>
        <w:gridCol w:w="1806"/>
        <w:gridCol w:w="7822"/>
      </w:tblGrid>
      <w:tr>
        <w:tblPrEx>
          <w:tblLayout w:type="fixed"/>
          <w:tblCellMar>
            <w:top w:w="0" w:type="dxa"/>
            <w:left w:w="108" w:type="dxa"/>
            <w:bottom w:w="0" w:type="dxa"/>
            <w:right w:w="108" w:type="dxa"/>
          </w:tblCellMar>
        </w:tblPrEx>
        <w:trPr>
          <w:trHeight w:val="278" w:hRule="atLeast"/>
        </w:trPr>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支持延迟设置</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门锁可设置3或者6秒的延迟。</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在门禁管理组件管理下实现各类功能</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支持门锁数量</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三个门锁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▲融合电子班牌控制</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访客通过融合电子班牌的身份认证后，由电子班牌发起命令通过网络开闭门禁控制</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支持网络开启</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具有RJ45电口，可支持通过TCP/Ip发送开门命令。</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支持一键开关</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可安装室内开关，一键开启门锁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支持多种锁型</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可支持电插锁或者电磁锁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支持断电常开</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当锁断电时，即处于开门状态。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支持门开合状态反馈，可查询到门开合状态。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支持自动闭门</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具有液压支架可自动闭门。</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遥控器开关控制</w:t>
            </w:r>
          </w:p>
        </w:tc>
        <w:tc>
          <w:tcPr>
            <w:tcW w:w="7822"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电磁锁（单门）</w:t>
      </w:r>
    </w:p>
    <w:tbl>
      <w:tblPr>
        <w:tblStyle w:val="22"/>
        <w:tblW w:w="9628" w:type="dxa"/>
        <w:tblInd w:w="0" w:type="dxa"/>
        <w:tblLayout w:type="fixed"/>
        <w:tblCellMar>
          <w:top w:w="0" w:type="dxa"/>
          <w:left w:w="108" w:type="dxa"/>
          <w:bottom w:w="0" w:type="dxa"/>
          <w:right w:w="108" w:type="dxa"/>
        </w:tblCellMar>
      </w:tblPr>
      <w:tblGrid>
        <w:gridCol w:w="1806"/>
        <w:gridCol w:w="7822"/>
      </w:tblGrid>
      <w:tr>
        <w:tblPrEx>
          <w:tblLayout w:type="fixed"/>
          <w:tblCellMar>
            <w:top w:w="0" w:type="dxa"/>
            <w:left w:w="108" w:type="dxa"/>
            <w:bottom w:w="0" w:type="dxa"/>
            <w:right w:w="108" w:type="dxa"/>
          </w:tblCellMar>
        </w:tblPrEx>
        <w:trPr>
          <w:trHeight w:val="278" w:hRule="atLeast"/>
        </w:trPr>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在门禁控制器管理下实现各类功能</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支持2</w:t>
            </w:r>
            <w:r>
              <w:rPr>
                <w:rFonts w:cs="宋体" w:asciiTheme="majorEastAsia" w:hAnsiTheme="majorEastAsia" w:eastAsiaTheme="majorEastAsia"/>
                <w:color w:val="auto"/>
                <w:kern w:val="0"/>
                <w:sz w:val="21"/>
                <w:szCs w:val="21"/>
                <w:highlight w:val="none"/>
              </w:rPr>
              <w:t>00</w:t>
            </w:r>
            <w:r>
              <w:rPr>
                <w:rFonts w:hint="eastAsia" w:cs="宋体" w:asciiTheme="majorEastAsia" w:hAnsiTheme="majorEastAsia" w:eastAsiaTheme="majorEastAsia"/>
                <w:color w:val="auto"/>
                <w:kern w:val="0"/>
                <w:sz w:val="21"/>
                <w:szCs w:val="21"/>
                <w:highlight w:val="none"/>
              </w:rPr>
              <w:t>公斤以上吸力</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支持2</w:t>
            </w:r>
            <w:r>
              <w:rPr>
                <w:rFonts w:cs="宋体" w:asciiTheme="majorEastAsia" w:hAnsiTheme="majorEastAsia" w:eastAsiaTheme="majorEastAsia"/>
                <w:color w:val="auto"/>
                <w:kern w:val="0"/>
                <w:sz w:val="21"/>
                <w:szCs w:val="21"/>
                <w:highlight w:val="none"/>
              </w:rPr>
              <w:t>80</w:t>
            </w:r>
            <w:r>
              <w:rPr>
                <w:rFonts w:hint="eastAsia" w:cs="宋体" w:asciiTheme="majorEastAsia" w:hAnsiTheme="majorEastAsia" w:eastAsiaTheme="majorEastAsia"/>
                <w:color w:val="auto"/>
                <w:kern w:val="0"/>
                <w:sz w:val="21"/>
                <w:szCs w:val="21"/>
                <w:highlight w:val="none"/>
              </w:rPr>
              <w:t>公斤吸力</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断电开门</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具有门状态反馈电路</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自动磁力消除</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自动消磁无残留</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突波吸收</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具有突波吸收装置</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电磁锁（双门）</w:t>
      </w:r>
    </w:p>
    <w:tbl>
      <w:tblPr>
        <w:tblStyle w:val="22"/>
        <w:tblW w:w="9628" w:type="dxa"/>
        <w:tblInd w:w="0" w:type="dxa"/>
        <w:tblLayout w:type="fixed"/>
        <w:tblCellMar>
          <w:top w:w="0" w:type="dxa"/>
          <w:left w:w="108" w:type="dxa"/>
          <w:bottom w:w="0" w:type="dxa"/>
          <w:right w:w="108" w:type="dxa"/>
        </w:tblCellMar>
      </w:tblPr>
      <w:tblGrid>
        <w:gridCol w:w="1806"/>
        <w:gridCol w:w="7822"/>
      </w:tblGrid>
      <w:tr>
        <w:tblPrEx>
          <w:tblLayout w:type="fixed"/>
          <w:tblCellMar>
            <w:top w:w="0" w:type="dxa"/>
            <w:left w:w="108" w:type="dxa"/>
            <w:bottom w:w="0" w:type="dxa"/>
            <w:right w:w="108" w:type="dxa"/>
          </w:tblCellMar>
        </w:tblPrEx>
        <w:trPr>
          <w:trHeight w:val="278" w:hRule="atLeast"/>
        </w:trPr>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在门禁控制器管理下实现各类功能</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r>
              <w:rPr>
                <w:rFonts w:cs="宋体" w:asciiTheme="majorEastAsia" w:hAnsiTheme="majorEastAsia" w:eastAsiaTheme="majorEastAsia"/>
                <w:color w:val="auto"/>
                <w:kern w:val="0"/>
                <w:sz w:val="21"/>
                <w:szCs w:val="21"/>
                <w:highlight w:val="none"/>
              </w:rPr>
              <w:t>400</w:t>
            </w:r>
            <w:r>
              <w:rPr>
                <w:rFonts w:hint="eastAsia" w:cs="宋体" w:asciiTheme="majorEastAsia" w:hAnsiTheme="majorEastAsia" w:eastAsiaTheme="majorEastAsia"/>
                <w:color w:val="auto"/>
                <w:kern w:val="0"/>
                <w:sz w:val="21"/>
                <w:szCs w:val="21"/>
                <w:highlight w:val="none"/>
              </w:rPr>
              <w:t>公斤以上吸力</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r>
              <w:rPr>
                <w:rFonts w:cs="宋体" w:asciiTheme="majorEastAsia" w:hAnsiTheme="majorEastAsia" w:eastAsiaTheme="majorEastAsia"/>
                <w:color w:val="auto"/>
                <w:kern w:val="0"/>
                <w:sz w:val="21"/>
                <w:szCs w:val="21"/>
                <w:highlight w:val="none"/>
              </w:rPr>
              <w:t>560</w:t>
            </w:r>
            <w:r>
              <w:rPr>
                <w:rFonts w:hint="eastAsia" w:cs="宋体" w:asciiTheme="majorEastAsia" w:hAnsiTheme="majorEastAsia" w:eastAsiaTheme="majorEastAsia"/>
                <w:color w:val="auto"/>
                <w:kern w:val="0"/>
                <w:sz w:val="21"/>
                <w:szCs w:val="21"/>
                <w:highlight w:val="none"/>
              </w:rPr>
              <w:t>公斤吸力</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断电开门</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r>
        <w:tblPrEx>
          <w:tblLayout w:type="fixed"/>
          <w:tblCellMar>
            <w:top w:w="0" w:type="dxa"/>
            <w:left w:w="108" w:type="dxa"/>
            <w:bottom w:w="0" w:type="dxa"/>
            <w:right w:w="108" w:type="dxa"/>
          </w:tblCellMar>
        </w:tblPrEx>
        <w:trPr>
          <w:trHeight w:val="450"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具有门状态反馈电路</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自动磁力消除</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自动消磁无残留</w:t>
            </w:r>
          </w:p>
        </w:tc>
      </w:tr>
      <w:tr>
        <w:tblPrEx>
          <w:tblLayout w:type="fixed"/>
          <w:tblCellMar>
            <w:top w:w="0" w:type="dxa"/>
            <w:left w:w="108" w:type="dxa"/>
            <w:bottom w:w="0" w:type="dxa"/>
            <w:right w:w="108" w:type="dxa"/>
          </w:tblCellMar>
        </w:tblPrEx>
        <w:trPr>
          <w:trHeight w:val="278" w:hRule="atLeast"/>
        </w:trPr>
        <w:tc>
          <w:tcPr>
            <w:tcW w:w="180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突波吸收</w:t>
            </w:r>
          </w:p>
        </w:tc>
        <w:tc>
          <w:tcPr>
            <w:tcW w:w="7822"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具有突波吸收装置</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电子钟</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LED要求</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室内p</w:t>
            </w:r>
            <w:r>
              <w:rPr>
                <w:rFonts w:cs="宋体" w:asciiTheme="majorEastAsia" w:hAnsiTheme="majorEastAsia" w:eastAsiaTheme="majorEastAsia"/>
                <w:color w:val="auto"/>
                <w:kern w:val="0"/>
                <w:sz w:val="21"/>
                <w:szCs w:val="21"/>
                <w:highlight w:val="none"/>
              </w:rPr>
              <w:t>5</w:t>
            </w:r>
            <w:r>
              <w:rPr>
                <w:rFonts w:hint="eastAsia" w:cs="宋体" w:asciiTheme="majorEastAsia" w:hAnsiTheme="majorEastAsia" w:eastAsiaTheme="majorEastAsia"/>
                <w:color w:val="auto"/>
                <w:kern w:val="0"/>
                <w:sz w:val="21"/>
                <w:szCs w:val="21"/>
                <w:highlight w:val="none"/>
              </w:rPr>
              <w:t>，单红色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时间显示</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年月日时间显示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97"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网络控制</w:t>
            </w:r>
          </w:p>
        </w:tc>
        <w:tc>
          <w:tcPr>
            <w:tcW w:w="783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w:t>
            </w:r>
          </w:p>
        </w:tc>
      </w:tr>
    </w:tbl>
    <w:p>
      <w:pPr>
        <w:rPr>
          <w:rFonts w:asciiTheme="majorEastAsia" w:hAnsiTheme="majorEastAsia" w:eastAsiaTheme="majorEastAsia"/>
          <w:b/>
          <w:bCs/>
          <w:color w:val="auto"/>
          <w:sz w:val="21"/>
          <w:szCs w:val="21"/>
          <w:highlight w:val="none"/>
        </w:rPr>
      </w:pPr>
    </w:p>
    <w:p>
      <w:pPr>
        <w:rPr>
          <w:rFonts w:asciiTheme="majorEastAsia" w:hAnsiTheme="majorEastAsia" w:eastAsiaTheme="majorEastAsia"/>
          <w:color w:val="auto"/>
          <w:sz w:val="21"/>
          <w:szCs w:val="21"/>
          <w:highlight w:val="none"/>
        </w:rPr>
      </w:pPr>
      <w:r>
        <w:rPr>
          <w:rFonts w:hint="eastAsia" w:ascii="宋体" w:hAnsi="宋体"/>
          <w:color w:val="auto"/>
          <w:sz w:val="21"/>
          <w:szCs w:val="21"/>
          <w:highlight w:val="none"/>
        </w:rPr>
        <w:t>（二）</w:t>
      </w:r>
      <w:r>
        <w:rPr>
          <w:rFonts w:hint="eastAsia" w:asciiTheme="majorEastAsia" w:hAnsiTheme="majorEastAsia" w:eastAsiaTheme="majorEastAsia"/>
          <w:color w:val="auto"/>
          <w:sz w:val="21"/>
          <w:szCs w:val="21"/>
          <w:highlight w:val="none"/>
        </w:rPr>
        <w:t>智慧课堂交互系统</w:t>
      </w:r>
    </w:p>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智慧互动教学系统</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85"/>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304" w:type="dxa"/>
            <w:gridSpan w:val="2"/>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指标项目</w:t>
            </w:r>
          </w:p>
        </w:tc>
        <w:tc>
          <w:tcPr>
            <w:tcW w:w="6324"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技术规格及系统配置要求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304"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w:t>
            </w:r>
          </w:p>
        </w:tc>
        <w:tc>
          <w:tcPr>
            <w:tcW w:w="6324" w:type="dxa"/>
            <w:shd w:val="clear" w:color="000000" w:fill="FFFFFF"/>
            <w:vAlign w:val="center"/>
          </w:tcPr>
          <w:p>
            <w:pPr>
              <w:widowControl/>
              <w:jc w:val="left"/>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作为无线同屏盒的配置管理系统，管理员数据库与智慧教室管理平台同一数据库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304" w:type="dxa"/>
            <w:gridSpan w:val="2"/>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自主知识产权</w:t>
            </w:r>
          </w:p>
        </w:tc>
        <w:tc>
          <w:tcPr>
            <w:tcW w:w="6324"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该管理平台应具备软件著作权证书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619"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系统架构</w:t>
            </w:r>
          </w:p>
        </w:tc>
        <w:tc>
          <w:tcPr>
            <w:tcW w:w="8009"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▲纯软件系统，采用B/S架构。所有课堂功能，都在师生登录该系统后，通过浏览器界面上完成操作控制（所有登录、课程交互控制、师生无线同屏控制、对比、课堂交互等一切操作）；</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基本功能</w:t>
            </w: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自动发现</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自动发现所有在本教室无线范围内的学生、老师、以及各分组情况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教学基础信息</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支持教学基础信息（教室、课程、教师、学生等）的对接与注册录入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教学资料与过程的上传与下载</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可就教学资料，智慧无线同屏盒的批注过程提供下载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9"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交互教室无线同屏矩阵组件</w:t>
            </w: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无线同屏广播</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支持1对40台以上的无线同屏广播，所有接受同屏的终端要求画面同步，无延时感。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无线同屏单播</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教师可控制任一一个学生的笔记本让其画面无线同屏到教师端智慧无线同屏盒（终端）或者所有互动教室内笔记本及智慧无线同屏盒（终端）上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矩阵分配</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教师可实现对多个不同无线投屏源与显示端的矩阵匹配控制、自由切换；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矩阵多组同屏</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无线覆盖下，实现多个讨论小组的独立研讨。每个讨论小组内，可实现任意学生对小组内其他所有学生笔记本、智慧无线同屏盒（终端）无线同屏广播、以及选取4人以内在智慧无线同屏盒（终端上）进行4个画面以内的同屏对比；从而实现多路投屏多路接受的无线同屏分配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自由分组、组内同屏</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学生可在系统中自由分组，分组后实现组内终端间的无线同屏；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619"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bookmarkStart w:id="10" w:name="_Hlk19714249"/>
            <w:r>
              <w:rPr>
                <w:rFonts w:hint="eastAsia" w:cs="宋体" w:asciiTheme="majorEastAsia" w:hAnsiTheme="majorEastAsia" w:eastAsiaTheme="majorEastAsia"/>
                <w:color w:val="auto"/>
                <w:kern w:val="0"/>
                <w:sz w:val="21"/>
                <w:szCs w:val="21"/>
                <w:highlight w:val="none"/>
              </w:rPr>
              <w:t>无线同屏插件</w:t>
            </w: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浏览器控制</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支持安卓与windows系统（笔记本无需连接外置设备），且插件无操作界面，所有投屏分配选择、断开、切换等操作都在本教学系统中（浏览器登录）上，安全可控。</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bookmarkStart w:id="11" w:name="_Hlk19714294"/>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▲反向控制</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在无线同屏状态下，用户可通过多种手势控制操作智慧无线同屏盒，来替代鼠标的左、右键与滚轮功能，从而在无线状态下实现对投屏笔记中的文件流畅地反向控制操作；</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截屏上传</w:t>
            </w:r>
          </w:p>
        </w:tc>
        <w:tc>
          <w:tcPr>
            <w:tcW w:w="6324" w:type="dxa"/>
            <w:shd w:val="clear" w:color="000000" w:fill="FFFFFF"/>
            <w:vAlign w:val="center"/>
          </w:tcPr>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支持本地截屏上传至智慧互动教学系统（</w:t>
            </w:r>
            <w:r>
              <w:rPr>
                <w:rFonts w:hint="eastAsia" w:cs="宋体" w:asciiTheme="majorEastAsia" w:hAnsiTheme="majorEastAsia" w:eastAsiaTheme="majorEastAsia"/>
                <w:color w:val="auto"/>
                <w:kern w:val="0"/>
                <w:sz w:val="21"/>
                <w:szCs w:val="21"/>
                <w:highlight w:val="none"/>
                <w:lang w:eastAsia="zh-CN"/>
              </w:rPr>
              <w:t>以上功能需提供现场演示</w:t>
            </w:r>
            <w:r>
              <w:rPr>
                <w:rFonts w:hint="eastAsia" w:cs="宋体" w:asciiTheme="majorEastAsia" w:hAnsiTheme="majorEastAsia" w:eastAsiaTheme="majorEastAsia"/>
                <w:color w:val="auto"/>
                <w:kern w:val="0"/>
                <w:sz w:val="21"/>
                <w:szCs w:val="21"/>
                <w:highlight w:val="none"/>
              </w:rPr>
              <w:t>），并由后台系统自动生成带课程名字的word文档。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bookmarkStart w:id="12" w:name="_Hlk19714307"/>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★带宽优化</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投屏源与同屏接收端在无线同屏状态下所占无线带宽都不超200KB/S</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无线矩阵数量与性能要求</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在一个千兆企业级AP无线覆盖下，在满足1080P分辨率无线投屏状态下，支持最少6个以上无线投屏源与40个投屏接受终端；支持视频流畅播放显示，多终端异步时间在100毫秒以内，视觉无感知；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同屏效果</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流畅播放视频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同屏分辨率</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与同屏源同样分辨率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投屏自适应</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在投票源与同屏接收端分辨率不一致时，自动匹配，充满同屏接受端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同屏效果</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实现在无线状态下高清流畅同屏视觉效果，视频播放流畅；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随堂测试与互动测评组件（投标单位提供软件功能界面）</w:t>
            </w: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多用户对比</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支持多学生对比、并可就某个上传图片放大缩小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主观题答题</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根据不同的主观题，可进行文字录入、电子文件上传、文件扫描上传等功能；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客观题答题</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有选择题、判断题多种方式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评测结果与教学反馈</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可时时获知、显示随堂评测结果、正确率与每个学生的答题情况；分组讨论时、不同组的成果比评也可时时显示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投屏打分</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对不同的学生、组进行投屏时，其余学生可比较投票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619"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★移动终端交互功能</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文件扫描</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支持手机端对纸质文件的扫描上传（无需安装任何客户端，手机端直接打开共享空间管理系统即可）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619"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685"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文件同步</w:t>
            </w:r>
          </w:p>
        </w:tc>
        <w:tc>
          <w:tcPr>
            <w:tcW w:w="632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支持手机端将文件直接上传到智慧无线同屏盒</w:t>
            </w:r>
          </w:p>
        </w:tc>
      </w:tr>
    </w:tbl>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智慧无线同屏盒</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718"/>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指标项目</w:t>
            </w:r>
          </w:p>
        </w:tc>
        <w:tc>
          <w:tcPr>
            <w:tcW w:w="7982" w:type="dxa"/>
            <w:gridSpan w:val="2"/>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技术规格及系统配置要求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7982" w:type="dxa"/>
            <w:gridSpan w:val="2"/>
            <w:shd w:val="clear" w:color="000000" w:fill="FFFFFF"/>
            <w:vAlign w:val="center"/>
          </w:tcPr>
          <w:p>
            <w:pPr>
              <w:pStyle w:val="9"/>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在智慧互动教学系统管理下实现各类功能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自主知识产权</w:t>
            </w:r>
          </w:p>
        </w:tc>
        <w:tc>
          <w:tcPr>
            <w:tcW w:w="7982" w:type="dxa"/>
            <w:gridSpan w:val="2"/>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具有该同屏盒软件著作权证书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端口等技术要求</w:t>
            </w: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有线网络</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百兆电口≥1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 xml:space="preserve">无线网络wifi </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支持802.11a/b/g/n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OTG接口</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HDMI输出</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USB接口</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内置存储空间</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▲显示扩展插槽</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内置内存</w:t>
            </w:r>
          </w:p>
        </w:tc>
        <w:tc>
          <w:tcPr>
            <w:tcW w:w="6264"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设备管理与通信机制</w:t>
            </w:r>
          </w:p>
        </w:tc>
        <w:tc>
          <w:tcPr>
            <w:tcW w:w="7982" w:type="dxa"/>
            <w:gridSpan w:val="2"/>
            <w:shd w:val="clear" w:color="000000" w:fill="FFFFFF"/>
            <w:vAlign w:val="center"/>
          </w:tcPr>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同“班牌通信与设备管理机制”，受智慧教室管理平台统一管理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投影设备控制功能</w:t>
            </w:r>
          </w:p>
        </w:tc>
        <w:tc>
          <w:tcPr>
            <w:tcW w:w="7982"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当用户在智慧互动教学系统中点击投屏键时，自动点启投影设备，实现无线投屏；当结束使用时，自动关闭投影设备；无需要另外通过遥控器或其他手段开启投影设备。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46"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bookmarkStart w:id="13" w:name="_Hlk19714429"/>
            <w:r>
              <w:rPr>
                <w:rFonts w:hint="eastAsia" w:cs="宋体" w:asciiTheme="majorEastAsia" w:hAnsiTheme="majorEastAsia" w:eastAsiaTheme="majorEastAsia"/>
                <w:color w:val="auto"/>
                <w:kern w:val="0"/>
                <w:sz w:val="21"/>
                <w:szCs w:val="21"/>
                <w:highlight w:val="none"/>
              </w:rPr>
              <w:t>无线同屏交互系统</w:t>
            </w:r>
          </w:p>
        </w:tc>
        <w:tc>
          <w:tcPr>
            <w:tcW w:w="1718"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无线通信同屏</w:t>
            </w:r>
          </w:p>
        </w:tc>
        <w:tc>
          <w:tcPr>
            <w:tcW w:w="6264"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在智慧互动教学系统分配下，实现与教室内任一安装无线同屏插件的用户笔记本无线高保真同屏传输，并实现与任一同屏信号自由切换；笔记本无需外置任何设备，只需安装无线同屏客户端即可；</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投屏自适应</w:t>
            </w:r>
          </w:p>
        </w:tc>
        <w:tc>
          <w:tcPr>
            <w:tcW w:w="626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在投票源与同屏接收端分辨率不一致时，自动匹配，充满同屏接受端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bookmarkStart w:id="14" w:name="_Hlk19714456"/>
          </w:p>
        </w:tc>
        <w:tc>
          <w:tcPr>
            <w:tcW w:w="1718"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★视窗秘钥生成</w:t>
            </w:r>
          </w:p>
        </w:tc>
        <w:tc>
          <w:tcPr>
            <w:tcW w:w="626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针对不同的配置智慧无线同屏盒（盒），系统自动分配登录码并显示在视窗上，师生通过登录码输入，即可归入该教室内实现无线投屏。</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同屏效果</w:t>
            </w:r>
          </w:p>
        </w:tc>
        <w:tc>
          <w:tcPr>
            <w:tcW w:w="626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实现在无线状态下高清流畅同屏视觉效果，视频播放流程；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多画面对比</w:t>
            </w:r>
          </w:p>
        </w:tc>
        <w:tc>
          <w:tcPr>
            <w:tcW w:w="626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在系统界面中，可选择不同的与会者终端，最多支持4个无线输入源的同屏对比，即4投1对比，且支持4个同时播放视频，显示4个视频流程；支持4个无线输入源的同屏对比，即4投1对比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1718"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带宽优化</w:t>
            </w:r>
          </w:p>
        </w:tc>
        <w:tc>
          <w:tcPr>
            <w:tcW w:w="6264"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投屏源与同屏接收端在无线同屏状态下所占无线带宽都不超过</w:t>
            </w:r>
            <w:r>
              <w:rPr>
                <w:rFonts w:cs="宋体" w:asciiTheme="majorEastAsia" w:hAnsiTheme="majorEastAsia" w:eastAsiaTheme="majorEastAsia"/>
                <w:color w:val="auto"/>
                <w:kern w:val="0"/>
                <w:sz w:val="21"/>
                <w:szCs w:val="21"/>
                <w:highlight w:val="none"/>
              </w:rPr>
              <w:t>2</w:t>
            </w:r>
            <w:r>
              <w:rPr>
                <w:rFonts w:hint="eastAsia" w:cs="宋体" w:asciiTheme="majorEastAsia" w:hAnsiTheme="majorEastAsia" w:eastAsiaTheme="majorEastAsia"/>
                <w:color w:val="auto"/>
                <w:kern w:val="0"/>
                <w:sz w:val="21"/>
                <w:szCs w:val="21"/>
                <w:highlight w:val="none"/>
              </w:rPr>
              <w:t>00K</w:t>
            </w:r>
            <w:r>
              <w:rPr>
                <w:rFonts w:cs="宋体" w:asciiTheme="majorEastAsia" w:hAnsiTheme="majorEastAsia" w:eastAsiaTheme="majorEastAsia"/>
                <w:color w:val="auto"/>
                <w:kern w:val="0"/>
                <w:sz w:val="21"/>
                <w:szCs w:val="21"/>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46" w:type="dxa"/>
            <w:vMerge w:val="continue"/>
            <w:vAlign w:val="center"/>
          </w:tcPr>
          <w:p>
            <w:pPr>
              <w:widowControl/>
              <w:jc w:val="left"/>
              <w:rPr>
                <w:rFonts w:cs="宋体" w:asciiTheme="majorEastAsia" w:hAnsiTheme="majorEastAsia" w:eastAsiaTheme="majorEastAsia"/>
                <w:color w:val="auto"/>
                <w:kern w:val="0"/>
                <w:sz w:val="21"/>
                <w:szCs w:val="21"/>
                <w:highlight w:val="none"/>
              </w:rPr>
            </w:pPr>
            <w:bookmarkStart w:id="15" w:name="_Hlk19714465"/>
          </w:p>
        </w:tc>
        <w:tc>
          <w:tcPr>
            <w:tcW w:w="7982"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在智慧互动教学系统分配下，实现与空间内任一安装无线同屏客户端的用户笔记本无线高保真同屏传输，并实现与任一同屏信号自由切换；笔记本无需外置任何设备，只需安装无线同屏客户端即可；</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移动终端交互功能</w:t>
            </w:r>
          </w:p>
        </w:tc>
        <w:tc>
          <w:tcPr>
            <w:tcW w:w="7982"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支持手机端文件内容与智慧无线同屏盒直接同步，手机端无需安装任何APK(APP）</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46"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设备热点功能</w:t>
            </w:r>
          </w:p>
        </w:tc>
        <w:tc>
          <w:tcPr>
            <w:tcW w:w="7982" w:type="dxa"/>
            <w:gridSpan w:val="2"/>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设备开机即启动自带wifi热点功能</w:t>
            </w:r>
          </w:p>
        </w:tc>
      </w:tr>
    </w:tbl>
    <w:p>
      <w:pPr>
        <w:rPr>
          <w:rFonts w:asciiTheme="majorEastAsia" w:hAnsiTheme="majorEastAsia" w:eastAsiaTheme="majorEastAsia"/>
          <w:b/>
          <w:bCs/>
          <w:color w:val="auto"/>
          <w:sz w:val="21"/>
          <w:szCs w:val="21"/>
          <w:highlight w:val="none"/>
        </w:rPr>
      </w:pPr>
    </w:p>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（三）教学楼互动展示发布系统</w:t>
      </w:r>
    </w:p>
    <w:p>
      <w:pPr>
        <w:pStyle w:val="30"/>
        <w:ind w:firstLine="0" w:firstLineChars="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互动智能视窗展示设备</w:t>
      </w:r>
    </w:p>
    <w:tbl>
      <w:tblPr>
        <w:tblStyle w:val="22"/>
        <w:tblW w:w="9628" w:type="dxa"/>
        <w:tblInd w:w="0" w:type="dxa"/>
        <w:tblLayout w:type="fixed"/>
        <w:tblCellMar>
          <w:top w:w="0" w:type="dxa"/>
          <w:left w:w="108" w:type="dxa"/>
          <w:bottom w:w="0" w:type="dxa"/>
          <w:right w:w="108" w:type="dxa"/>
        </w:tblCellMar>
      </w:tblPr>
      <w:tblGrid>
        <w:gridCol w:w="1476"/>
        <w:gridCol w:w="2526"/>
        <w:gridCol w:w="5626"/>
      </w:tblGrid>
      <w:tr>
        <w:tblPrEx>
          <w:tblLayout w:type="fixed"/>
          <w:tblCellMar>
            <w:top w:w="0" w:type="dxa"/>
            <w:left w:w="108" w:type="dxa"/>
            <w:bottom w:w="0" w:type="dxa"/>
            <w:right w:w="108" w:type="dxa"/>
          </w:tblCellMar>
        </w:tblPrEx>
        <w:trPr>
          <w:trHeight w:val="280"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指标项目</w:t>
            </w:r>
          </w:p>
        </w:tc>
        <w:tc>
          <w:tcPr>
            <w:tcW w:w="8152"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技术规格及系统配置要求</w:t>
            </w:r>
          </w:p>
        </w:tc>
      </w:tr>
      <w:tr>
        <w:tblPrEx>
          <w:tblLayout w:type="fixed"/>
          <w:tblCellMar>
            <w:top w:w="0" w:type="dxa"/>
            <w:left w:w="108" w:type="dxa"/>
            <w:bottom w:w="0" w:type="dxa"/>
            <w:right w:w="108" w:type="dxa"/>
          </w:tblCellMar>
        </w:tblPrEx>
        <w:trPr>
          <w:trHeight w:val="270" w:hRule="atLeast"/>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兼容性要求</w:t>
            </w:r>
          </w:p>
        </w:tc>
        <w:tc>
          <w:tcPr>
            <w:tcW w:w="8152" w:type="dxa"/>
            <w:gridSpan w:val="2"/>
            <w:tcBorders>
              <w:top w:val="single" w:color="auto" w:sz="4" w:space="0"/>
              <w:left w:val="nil"/>
              <w:bottom w:val="single" w:color="auto" w:sz="4" w:space="0"/>
              <w:right w:val="single" w:color="auto" w:sz="4" w:space="0"/>
            </w:tcBorders>
            <w:shd w:val="clear" w:color="000000" w:fill="FFFFFF"/>
            <w:vAlign w:val="center"/>
          </w:tcPr>
          <w:p>
            <w:pPr>
              <w:pStyle w:val="9"/>
              <w:rPr>
                <w:rFonts w:cs="宋体" w:asciiTheme="majorEastAsia" w:hAnsiTheme="majorEastAsia" w:eastAsiaTheme="majorEastAsia"/>
                <w:color w:val="auto"/>
                <w:kern w:val="0"/>
                <w:sz w:val="21"/>
                <w:szCs w:val="21"/>
                <w:highlight w:val="none"/>
              </w:rPr>
            </w:pPr>
            <w:r>
              <w:rPr>
                <w:rFonts w:hint="eastAsia" w:ascii="宋体" w:hAnsi="宋体" w:cs="宋体"/>
                <w:color w:val="auto"/>
                <w:kern w:val="0"/>
                <w:sz w:val="21"/>
                <w:szCs w:val="21"/>
                <w:highlight w:val="none"/>
              </w:rPr>
              <w:t>在智慧教室管理平台互动智能视窗管理组件管理下实现各类功能</w:t>
            </w:r>
          </w:p>
        </w:tc>
      </w:tr>
      <w:tr>
        <w:tblPrEx>
          <w:tblLayout w:type="fixed"/>
          <w:tblCellMar>
            <w:top w:w="0" w:type="dxa"/>
            <w:left w:w="108" w:type="dxa"/>
            <w:bottom w:w="0" w:type="dxa"/>
            <w:right w:w="108" w:type="dxa"/>
          </w:tblCellMar>
        </w:tblPrEx>
        <w:trPr>
          <w:trHeight w:val="280" w:hRule="atLeast"/>
        </w:trPr>
        <w:tc>
          <w:tcPr>
            <w:tcW w:w="1476"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自主知识产权</w:t>
            </w:r>
          </w:p>
        </w:tc>
        <w:tc>
          <w:tcPr>
            <w:tcW w:w="8152"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具备该设备相应的软件著作权证书</w:t>
            </w:r>
          </w:p>
        </w:tc>
      </w:tr>
      <w:tr>
        <w:tblPrEx>
          <w:tblLayout w:type="fixed"/>
          <w:tblCellMar>
            <w:top w:w="0" w:type="dxa"/>
            <w:left w:w="108" w:type="dxa"/>
            <w:bottom w:w="0" w:type="dxa"/>
            <w:right w:w="108" w:type="dxa"/>
          </w:tblCellMar>
        </w:tblPrEx>
        <w:trPr>
          <w:trHeight w:val="280" w:hRule="atLeast"/>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端口等技术要求</w:t>
            </w: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有线网络</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百兆电口≥1</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 xml:space="preserve">无线网络wifi </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支持802.11a/b/g/n</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OTG接口</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HDMI输出</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USB接口</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≥3</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内置存储空间</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≥8G</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显示扩展插槽</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内置内存</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≥2G</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互动显示尺寸</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55寸</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1080P高清显示</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音响</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内置双声道立体声音响</w:t>
            </w:r>
          </w:p>
        </w:tc>
      </w:tr>
      <w:tr>
        <w:tblPrEx>
          <w:tblLayout w:type="fixed"/>
          <w:tblCellMar>
            <w:top w:w="0" w:type="dxa"/>
            <w:left w:w="108" w:type="dxa"/>
            <w:bottom w:w="0" w:type="dxa"/>
            <w:right w:w="108" w:type="dxa"/>
          </w:tblCellMar>
        </w:tblPrEx>
        <w:trPr>
          <w:trHeight w:val="540" w:hRule="atLeast"/>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互动智能视窗系统架构与安全性</w:t>
            </w: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系统架构与操作系统</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采用4核以上工控机嵌入式架构，安卓系统（非X86+windows架构）</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ECC</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支持硬件NAND ECC</w:t>
            </w:r>
          </w:p>
        </w:tc>
      </w:tr>
      <w:tr>
        <w:tblPrEx>
          <w:tblLayout w:type="fixed"/>
          <w:tblCellMar>
            <w:top w:w="0" w:type="dxa"/>
            <w:left w:w="108" w:type="dxa"/>
            <w:bottom w:w="0" w:type="dxa"/>
            <w:right w:w="108" w:type="dxa"/>
          </w:tblCellMar>
        </w:tblPrEx>
        <w:trPr>
          <w:trHeight w:val="54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定制通信协议</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基于TCP/IP的通信机制，并通过专有协议保持通信和传输命令。</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 xml:space="preserve">MD5校验 </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上传和下发文件都经过MD5校验</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软件看门狗</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侦测互动智能视窗异常，自动异常报警处理。</w:t>
            </w:r>
          </w:p>
        </w:tc>
      </w:tr>
      <w:tr>
        <w:tblPrEx>
          <w:tblLayout w:type="fixed"/>
          <w:tblCellMar>
            <w:top w:w="0" w:type="dxa"/>
            <w:left w:w="108" w:type="dxa"/>
            <w:bottom w:w="0" w:type="dxa"/>
            <w:right w:w="108" w:type="dxa"/>
          </w:tblCellMar>
        </w:tblPrEx>
        <w:trPr>
          <w:trHeight w:val="54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通信心跳</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支持通信心跳机制、实时向服务器汇报互动智能视窗状态、日志等运行信息</w:t>
            </w:r>
          </w:p>
        </w:tc>
      </w:tr>
      <w:tr>
        <w:tblPrEx>
          <w:tblLayout w:type="fixed"/>
          <w:tblCellMar>
            <w:top w:w="0" w:type="dxa"/>
            <w:left w:w="108" w:type="dxa"/>
            <w:bottom w:w="0" w:type="dxa"/>
            <w:right w:w="108" w:type="dxa"/>
          </w:tblCellMar>
        </w:tblPrEx>
        <w:trPr>
          <w:trHeight w:val="50" w:hRule="atLeast"/>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多媒体信息展示功能</w:t>
            </w:r>
          </w:p>
        </w:tc>
        <w:tc>
          <w:tcPr>
            <w:tcW w:w="8152" w:type="dxa"/>
            <w:gridSpan w:val="2"/>
            <w:tcBorders>
              <w:top w:val="nil"/>
              <w:left w:val="nil"/>
              <w:bottom w:val="single" w:color="auto" w:sz="4" w:space="0"/>
              <w:right w:val="single" w:color="auto" w:sz="4" w:space="0"/>
            </w:tcBorders>
            <w:shd w:val="clear" w:color="000000" w:fill="FFFFFF"/>
            <w:vAlign w:val="center"/>
          </w:tcPr>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同“班牌多媒体信息发布功能”</w:t>
            </w:r>
          </w:p>
        </w:tc>
      </w:tr>
      <w:tr>
        <w:tblPrEx>
          <w:tblLayout w:type="fixed"/>
          <w:tblCellMar>
            <w:top w:w="0" w:type="dxa"/>
            <w:left w:w="108" w:type="dxa"/>
            <w:bottom w:w="0" w:type="dxa"/>
            <w:right w:w="108" w:type="dxa"/>
          </w:tblCellMar>
        </w:tblPrEx>
        <w:trPr>
          <w:trHeight w:val="1080" w:hRule="atLeast"/>
        </w:trPr>
        <w:tc>
          <w:tcPr>
            <w:tcW w:w="1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bookmarkStart w:id="16" w:name="_Hlk19714603"/>
            <w:r>
              <w:rPr>
                <w:rFonts w:hint="eastAsia" w:cs="宋体" w:asciiTheme="majorEastAsia" w:hAnsiTheme="majorEastAsia" w:eastAsiaTheme="majorEastAsia"/>
                <w:color w:val="auto"/>
                <w:kern w:val="0"/>
                <w:sz w:val="21"/>
                <w:szCs w:val="21"/>
                <w:highlight w:val="none"/>
              </w:rPr>
              <w:t>▲访客点播</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二维码印戳</w:t>
            </w:r>
          </w:p>
        </w:tc>
        <w:tc>
          <w:tcPr>
            <w:tcW w:w="5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互动智能智慧教室管理平台将访客专用访问链接生成二维码投放到屏幕最上层或形成打印稿，用户通过智能手机或Pad扫描二维码登陆平台，对指定大屏的本地多媒体内容进行点播。</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1080" w:hRule="atLeast"/>
        </w:trPr>
        <w:tc>
          <w:tcPr>
            <w:tcW w:w="1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登陆权限</w:t>
            </w:r>
          </w:p>
        </w:tc>
        <w:tc>
          <w:tcPr>
            <w:tcW w:w="5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互动智能智慧教室管理平台每次只供一名访客登陆使用点播，若在使用时有其他访客扫描二维码登陆会出现“请稍后”等相关提示。防止多人操作，内容播放混乱。</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40" w:hRule="atLeast"/>
        </w:trPr>
        <w:tc>
          <w:tcPr>
            <w:tcW w:w="1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无节目时自动播放</w:t>
            </w:r>
          </w:p>
        </w:tc>
        <w:tc>
          <w:tcPr>
            <w:tcW w:w="5626"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当前设备无人操作且节目播放完之后，自动播放用户后台设置的宣传页。</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4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访客访问权限</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访客只能通过点播页面，选择已发布的相应多媒体资源播放</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6"/>
      <w:tr>
        <w:tblPrEx>
          <w:tblLayout w:type="fixed"/>
          <w:tblCellMar>
            <w:top w:w="0" w:type="dxa"/>
            <w:left w:w="108" w:type="dxa"/>
            <w:bottom w:w="0" w:type="dxa"/>
            <w:right w:w="108" w:type="dxa"/>
          </w:tblCellMar>
        </w:tblPrEx>
        <w:trPr>
          <w:trHeight w:val="525" w:hRule="atLeast"/>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互动智能视窗业务管理功能与协议</w:t>
            </w:r>
          </w:p>
        </w:tc>
        <w:tc>
          <w:tcPr>
            <w:tcW w:w="252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▲互动智能视窗专用操作界面显示</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基础展示界面：只能显示互动智能视窗专用操作界面，用户无法进入操作系统界面；</w:t>
            </w:r>
          </w:p>
        </w:tc>
      </w:tr>
      <w:tr>
        <w:tblPrEx>
          <w:tblLayout w:type="fixed"/>
          <w:tblCellMar>
            <w:top w:w="0" w:type="dxa"/>
            <w:left w:w="108" w:type="dxa"/>
            <w:bottom w:w="0" w:type="dxa"/>
            <w:right w:w="108" w:type="dxa"/>
          </w:tblCellMar>
        </w:tblPrEx>
        <w:trPr>
          <w:trHeight w:val="135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bookmarkStart w:id="17" w:name="_Hlk19714627"/>
          </w:p>
        </w:tc>
        <w:tc>
          <w:tcPr>
            <w:tcW w:w="252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视窗互动专用主界面由多媒体发布区，多业务呈现栏、多业务开始键，浮动返回键、滚动通知栏、背景、管理员隐藏设置区几个部分组成；背景、滚动通知栏的内容由智慧教室管理平台远程更新；</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135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管理员隐藏设置功能</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互动智能视窗操作平台内具有不可见的互动区域，点击后自动弹出设置界面，输入用户名密码后，进入设置界面后可自动显示硬件（ip、Mac、cpu、内存、硬盘利用情况与业务进程信息），并可对设备进行设置（网络连接等）</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bookmarkEnd w:id="17"/>
      <w:tr>
        <w:tblPrEx>
          <w:tblLayout w:type="fixed"/>
          <w:tblCellMar>
            <w:top w:w="0" w:type="dxa"/>
            <w:left w:w="108" w:type="dxa"/>
            <w:bottom w:w="0" w:type="dxa"/>
            <w:right w:w="108" w:type="dxa"/>
          </w:tblCellMar>
        </w:tblPrEx>
        <w:trPr>
          <w:trHeight w:val="536"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多媒体发布区</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同多媒体信息展示功能</w:t>
            </w:r>
          </w:p>
        </w:tc>
      </w:tr>
      <w:tr>
        <w:tblPrEx>
          <w:tblLayout w:type="fixed"/>
          <w:tblCellMar>
            <w:top w:w="0" w:type="dxa"/>
            <w:left w:w="108" w:type="dxa"/>
            <w:bottom w:w="0" w:type="dxa"/>
            <w:right w:w="108" w:type="dxa"/>
          </w:tblCellMar>
        </w:tblPrEx>
        <w:trPr>
          <w:trHeight w:val="81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多媒体互动系统</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内置多媒体互动系统，访客可通过触摸互动，选择图片册、音视频册、选择自己想要浏览的图片（可放大缩小）与视频（可拖动时间条）</w:t>
            </w:r>
          </w:p>
        </w:tc>
      </w:tr>
      <w:tr>
        <w:tblPrEx>
          <w:tblLayout w:type="fixed"/>
          <w:tblCellMar>
            <w:top w:w="0" w:type="dxa"/>
            <w:left w:w="108" w:type="dxa"/>
            <w:bottom w:w="0" w:type="dxa"/>
            <w:right w:w="108" w:type="dxa"/>
          </w:tblCellMar>
        </w:tblPrEx>
        <w:trPr>
          <w:trHeight w:val="557"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▲多互动业务呈现与管理</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视窗上的所有互动程序（业务），只能由智慧教室管理平台下发，本地无法安装。通过视窗管理管理，实现某一（多）个程序（或web系统）的静默（无需本地操作）下载，安装、开启、停用、删除（本地无法删除）；多个程序（或web系统）会自动在多业务呈现栏依次排列，相关图标与文字说明可由智慧教室管理平台定义修改；支持无限制添加；在无访客触摸互动时，所有业务收拢于多业务开始键，当点击多业务开始键时，所有互动业务横向滚动平铺至多业务呈现栏；</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54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浮动返回键</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可随意拖动位置，访客可通过该返回键，返回到上层界面或直接返回主界面；</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81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自动返回机制</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当访客不触摸互动智能视窗后若干秒后（可定义），互动智能视窗自动返回到互动智能视窗专用操作界面显示桌面。</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81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高安全业务系统界面呈现</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用户在访问B/S架构的业务系统时，所显示的界面无地址栏无边框，用户不得自行输入地址。</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升级</w:t>
            </w:r>
          </w:p>
        </w:tc>
        <w:tc>
          <w:tcPr>
            <w:tcW w:w="5626" w:type="dxa"/>
            <w:tcBorders>
              <w:top w:val="nil"/>
              <w:left w:val="nil"/>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支持在线升级和本地USB升级</w:t>
            </w:r>
          </w:p>
        </w:tc>
      </w:tr>
      <w:tr>
        <w:tblPrEx>
          <w:tblLayout w:type="fixed"/>
          <w:tblCellMar>
            <w:top w:w="0" w:type="dxa"/>
            <w:left w:w="108" w:type="dxa"/>
            <w:bottom w:w="0" w:type="dxa"/>
            <w:right w:w="108" w:type="dxa"/>
          </w:tblCellMar>
        </w:tblPrEx>
        <w:trPr>
          <w:trHeight w:val="551" w:hRule="atLeast"/>
        </w:trPr>
        <w:tc>
          <w:tcPr>
            <w:tcW w:w="1476"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互动智能视窗通信机制</w:t>
            </w:r>
          </w:p>
        </w:tc>
        <w:tc>
          <w:tcPr>
            <w:tcW w:w="8152" w:type="dxa"/>
            <w:gridSpan w:val="2"/>
            <w:tcBorders>
              <w:top w:val="nil"/>
              <w:left w:val="single" w:color="auto" w:sz="4" w:space="0"/>
              <w:bottom w:val="single" w:color="auto" w:sz="4" w:space="0"/>
              <w:right w:val="single" w:color="auto" w:sz="4" w:space="0"/>
            </w:tcBorders>
            <w:shd w:val="clear" w:color="000000" w:fill="FFFFFF"/>
            <w:vAlign w:val="center"/>
          </w:tcPr>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同“班牌通信与设备管理机制”</w:t>
            </w:r>
          </w:p>
        </w:tc>
      </w:tr>
      <w:tr>
        <w:tblPrEx>
          <w:tblLayout w:type="fixed"/>
          <w:tblCellMar>
            <w:top w:w="0" w:type="dxa"/>
            <w:left w:w="108" w:type="dxa"/>
            <w:bottom w:w="0" w:type="dxa"/>
            <w:right w:w="108" w:type="dxa"/>
          </w:tblCellMar>
        </w:tblPrEx>
        <w:trPr>
          <w:trHeight w:val="1960" w:hRule="atLeast"/>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▲互动时间轴模块</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c>
          <w:tcPr>
            <w:tcW w:w="252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触摸互动效果</w:t>
            </w:r>
          </w:p>
        </w:tc>
        <w:tc>
          <w:tcPr>
            <w:tcW w:w="5626"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点击互动智能视窗中心的学校Logo，随即在显示界面下侧横向出现贯穿整个界面的时间轴系统，整个轴上分布着各个时间点；点击一个时间点，即在时间轴上方弹出对话界面，以互动视频、图片、文字等多媒体形式介绍这个时间点所发生的事情，图片可以放大缩小、拖动，视频可以开始、快进、快退、停止等操作。访客还可以拖动整根时间轴，以找到自己想要的时间节点。</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支持的多媒体内容</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图片、视频、文字</w:t>
            </w:r>
          </w:p>
        </w:tc>
      </w:tr>
      <w:tr>
        <w:tblPrEx>
          <w:tblLayout w:type="fixed"/>
          <w:tblCellMar>
            <w:top w:w="0" w:type="dxa"/>
            <w:left w:w="108" w:type="dxa"/>
            <w:bottom w:w="0" w:type="dxa"/>
            <w:right w:w="108" w:type="dxa"/>
          </w:tblCellMar>
        </w:tblPrEx>
        <w:trPr>
          <w:trHeight w:val="56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时间节点与展示内容配置</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由智慧教室管理平台统一配置并填充相应的多媒体素材，自动生成对话界面</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主题背景更换</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可自由更换背景主题界面</w:t>
            </w:r>
          </w:p>
        </w:tc>
      </w:tr>
      <w:tr>
        <w:tblPrEx>
          <w:tblLayout w:type="fixed"/>
          <w:tblCellMar>
            <w:top w:w="0" w:type="dxa"/>
            <w:left w:w="108" w:type="dxa"/>
            <w:bottom w:w="0" w:type="dxa"/>
            <w:right w:w="108" w:type="dxa"/>
          </w:tblCellMar>
        </w:tblPrEx>
        <w:trPr>
          <w:trHeight w:val="28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无限延伸</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时间节点无限延伸。</w:t>
            </w:r>
          </w:p>
        </w:tc>
      </w:tr>
      <w:tr>
        <w:tblPrEx>
          <w:tblLayout w:type="fixed"/>
          <w:tblCellMar>
            <w:top w:w="0" w:type="dxa"/>
            <w:left w:w="108" w:type="dxa"/>
            <w:bottom w:w="0" w:type="dxa"/>
            <w:right w:w="108" w:type="dxa"/>
          </w:tblCellMar>
        </w:tblPrEx>
        <w:trPr>
          <w:trHeight w:val="560" w:hRule="atLeast"/>
        </w:trPr>
        <w:tc>
          <w:tcPr>
            <w:tcW w:w="14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▲多媒体瀑布互动系统</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展示形式</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多枚照片形成多列照片流从下至下跌坠滚动，形成多媒体瀑布流</w:t>
            </w:r>
          </w:p>
        </w:tc>
      </w:tr>
      <w:tr>
        <w:tblPrEx>
          <w:tblLayout w:type="fixed"/>
          <w:tblCellMar>
            <w:top w:w="0" w:type="dxa"/>
            <w:left w:w="108" w:type="dxa"/>
            <w:bottom w:w="0" w:type="dxa"/>
            <w:right w:w="108" w:type="dxa"/>
          </w:tblCellMar>
        </w:tblPrEx>
        <w:trPr>
          <w:trHeight w:val="112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照片缩放</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访客可点击某张照片后，在点击区域放大该照片，并自动在照片一侧弹出照片说明以及电子二维码印戳；访客可用自有终端扫描电子二维码印戳，并在自有终端上显示相关链接</w:t>
            </w:r>
          </w:p>
        </w:tc>
      </w:tr>
      <w:tr>
        <w:tblPrEx>
          <w:tblLayout w:type="fixed"/>
          <w:tblCellMar>
            <w:top w:w="0" w:type="dxa"/>
            <w:left w:w="108" w:type="dxa"/>
            <w:bottom w:w="0" w:type="dxa"/>
            <w:right w:w="108" w:type="dxa"/>
          </w:tblCellMar>
        </w:tblPrEx>
        <w:trPr>
          <w:trHeight w:val="56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触摸互动</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访客也可触摸某列照片瀑布，上下滚动，同时不影响周边照片瀑布流。</w:t>
            </w:r>
          </w:p>
        </w:tc>
      </w:tr>
      <w:tr>
        <w:tblPrEx>
          <w:tblLayout w:type="fixed"/>
          <w:tblCellMar>
            <w:top w:w="0" w:type="dxa"/>
            <w:left w:w="108" w:type="dxa"/>
            <w:bottom w:w="0" w:type="dxa"/>
            <w:right w:w="108" w:type="dxa"/>
          </w:tblCellMar>
        </w:tblPrEx>
        <w:trPr>
          <w:trHeight w:val="560"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文件管理</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所有照片填充、照片资料、二维码印戳都由智慧教室管理平台互动大屏管理组件统一填充管理</w:t>
            </w:r>
          </w:p>
        </w:tc>
      </w:tr>
      <w:tr>
        <w:tblPrEx>
          <w:tblLayout w:type="fixed"/>
          <w:tblCellMar>
            <w:top w:w="0" w:type="dxa"/>
            <w:left w:w="108" w:type="dxa"/>
            <w:bottom w:w="0" w:type="dxa"/>
            <w:right w:w="108" w:type="dxa"/>
          </w:tblCellMar>
        </w:tblPrEx>
        <w:trPr>
          <w:trHeight w:val="355" w:hRule="atLeast"/>
        </w:trPr>
        <w:tc>
          <w:tcPr>
            <w:tcW w:w="14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p>
        </w:tc>
        <w:tc>
          <w:tcPr>
            <w:tcW w:w="25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显示模式</w:t>
            </w:r>
          </w:p>
        </w:tc>
        <w:tc>
          <w:tcPr>
            <w:tcW w:w="5626" w:type="dxa"/>
            <w:tcBorders>
              <w:top w:val="nil"/>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显示时展示4列瀑布照片流，支互动操作；</w:t>
            </w:r>
          </w:p>
        </w:tc>
      </w:tr>
      <w:tr>
        <w:tblPrEx>
          <w:tblLayout w:type="fixed"/>
          <w:tblCellMar>
            <w:top w:w="0" w:type="dxa"/>
            <w:left w:w="108" w:type="dxa"/>
            <w:bottom w:w="0" w:type="dxa"/>
            <w:right w:w="108" w:type="dxa"/>
          </w:tblCellMar>
        </w:tblPrEx>
        <w:trPr>
          <w:trHeight w:val="355" w:hRule="atLeast"/>
        </w:trPr>
        <w:tc>
          <w:tcPr>
            <w:tcW w:w="1476" w:type="dxa"/>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多屏联动</w:t>
            </w:r>
          </w:p>
        </w:tc>
        <w:tc>
          <w:tcPr>
            <w:tcW w:w="8152"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自带多屏联动组件；多台数字视窗可组成屏联动域，在联动域内，每台视窗的图片展示呈</w:t>
            </w:r>
            <w:r>
              <w:rPr>
                <w:rFonts w:cs="宋体" w:asciiTheme="majorEastAsia" w:hAnsiTheme="majorEastAsia" w:eastAsiaTheme="majorEastAsia"/>
                <w:color w:val="auto"/>
                <w:kern w:val="0"/>
                <w:sz w:val="21"/>
                <w:szCs w:val="21"/>
                <w:highlight w:val="none"/>
              </w:rPr>
              <w:t>3D翻转效果，并与周边视窗进行时间校正联系，从而实现多张图片在多个视窗中按时序连续滚动翻转的炫酷视觉效果；</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bl>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（四）智能排课考勤签到（定制开发）</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625"/>
        <w:gridCol w:w="2288"/>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智能排课</w:t>
            </w:r>
          </w:p>
        </w:tc>
        <w:tc>
          <w:tcPr>
            <w:tcW w:w="1625"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ascii="宋体" w:hAnsi="宋体" w:cs="宋体"/>
                <w:color w:val="auto"/>
                <w:kern w:val="0"/>
                <w:sz w:val="18"/>
                <w:szCs w:val="18"/>
                <w:highlight w:val="none"/>
              </w:rPr>
              <w:t>▲</w:t>
            </w:r>
            <w:r>
              <w:rPr>
                <w:rFonts w:hint="eastAsia" w:cs="宋体" w:asciiTheme="majorEastAsia" w:hAnsiTheme="majorEastAsia" w:eastAsiaTheme="majorEastAsia"/>
                <w:color w:val="auto"/>
                <w:kern w:val="0"/>
                <w:szCs w:val="21"/>
                <w:highlight w:val="none"/>
              </w:rPr>
              <w:t>学校数据对接</w:t>
            </w:r>
          </w:p>
        </w:tc>
        <w:tc>
          <w:tcPr>
            <w:tcW w:w="2288"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排课数据对接</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对接美院排课数据，包括教室，课程开始结束时间，任课教师信息，课程信息。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3909" w:type="dxa"/>
          </w:tcPr>
          <w:p>
            <w:pPr>
              <w:pStyle w:val="9"/>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 w:val="21"/>
                <w:szCs w:val="21"/>
                <w:highlight w:val="none"/>
              </w:rPr>
              <w:t>美院目前真实的课程信息在班牌上的展示。</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学生数据对接</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对接美院学生管理数据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教师数据对接</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对接美院教师管理数据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二次排课</w:t>
            </w: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二次排课</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对原有排课数据进行二次排课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tcPr>
          <w:p>
            <w:pPr>
              <w:pStyle w:val="65"/>
              <w:ind w:firstLine="0" w:firstLineChars="0"/>
              <w:rPr>
                <w:rFonts w:cs="宋体" w:asciiTheme="majorEastAsia" w:hAnsiTheme="majorEastAsia" w:eastAsiaTheme="majorEastAsia"/>
                <w:color w:val="auto"/>
                <w:kern w:val="0"/>
                <w:szCs w:val="21"/>
                <w:highlight w:val="none"/>
              </w:rPr>
            </w:pP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考场对接</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可与美院考试数据进行对接，获取到的考试信息可通过二次排课系统统一显示在排课后台与班牌上。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1625"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预约动态排课</w:t>
            </w: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预约动态排课</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临时变动课程的重新排课，临时增加的课程或需要占用教室的会议、活动等排课预约，支持日历视图模式选择时间、教室和录入人员，支持避免教室使用冲突。预约结果可与原有的排课结果统一可在排课后台与班牌界面显示。</w:t>
            </w:r>
            <w:r>
              <w:rPr>
                <w:rFonts w:hint="eastAsia" w:cs="宋体" w:asciiTheme="majorEastAsia" w:hAnsiTheme="majorEastAsia" w:eastAsiaTheme="majorEastAsia"/>
                <w:b/>
                <w:bCs/>
                <w:color w:val="auto"/>
                <w:kern w:val="0"/>
                <w:szCs w:val="21"/>
                <w:highlight w:val="none"/>
              </w:rPr>
              <w:t>（</w:t>
            </w:r>
            <w:r>
              <w:rPr>
                <w:rFonts w:hint="eastAsia" w:cs="宋体" w:asciiTheme="majorEastAsia" w:hAnsiTheme="majorEastAsia" w:eastAsiaTheme="majorEastAsia"/>
                <w:b/>
                <w:bCs/>
                <w:color w:val="auto"/>
                <w:kern w:val="0"/>
                <w:szCs w:val="21"/>
                <w:highlight w:val="none"/>
                <w:lang w:eastAsia="zh-CN"/>
              </w:rPr>
              <w:t>以上功能需提供现场演示</w:t>
            </w:r>
            <w:r>
              <w:rPr>
                <w:rFonts w:hint="eastAsia" w:cs="宋体" w:asciiTheme="majorEastAsia" w:hAnsiTheme="majorEastAsia" w:eastAsiaTheme="majorEastAsia"/>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门禁操作管理</w:t>
            </w: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远程一键开门</w:t>
            </w:r>
          </w:p>
        </w:tc>
        <w:tc>
          <w:tcPr>
            <w:tcW w:w="3909" w:type="dxa"/>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具有门禁管理权限的管理员可以在后台操作任一台在线的门禁，进行远程一键开启。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本地密码开门</w:t>
            </w:r>
          </w:p>
        </w:tc>
        <w:tc>
          <w:tcPr>
            <w:tcW w:w="3909" w:type="dxa"/>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当门禁断网离线时，可通过登录门禁的设置界面，在本地直接打开门禁。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restart"/>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权限管理</w:t>
            </w:r>
          </w:p>
        </w:tc>
        <w:tc>
          <w:tcPr>
            <w:tcW w:w="2288" w:type="dxa"/>
            <w:vMerge w:val="restart"/>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门禁权限管理</w:t>
            </w:r>
          </w:p>
        </w:tc>
        <w:tc>
          <w:tcPr>
            <w:tcW w:w="3909" w:type="dxa"/>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管理员具有超级权限，任何时间都可以开门；学生老师按课程时间、课程教室自动分配门禁权限。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3909" w:type="dxa"/>
          </w:tcPr>
          <w:p>
            <w:pPr>
              <w:pStyle w:val="9"/>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★当用户处于当前课程时间内可进行刷脸开门功能</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考勤</w:t>
            </w:r>
          </w:p>
          <w:p>
            <w:pPr>
              <w:pStyle w:val="65"/>
              <w:rPr>
                <w:rFonts w:cs="宋体" w:asciiTheme="majorEastAsia" w:hAnsiTheme="majorEastAsia" w:eastAsiaTheme="majorEastAsia"/>
                <w:color w:val="auto"/>
                <w:kern w:val="0"/>
                <w:szCs w:val="21"/>
                <w:highlight w:val="none"/>
              </w:rPr>
            </w:pPr>
          </w:p>
        </w:tc>
        <w:tc>
          <w:tcPr>
            <w:tcW w:w="1625"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二维码识别</w:t>
            </w:r>
          </w:p>
          <w:p>
            <w:pPr>
              <w:pStyle w:val="65"/>
              <w:ind w:firstLine="0" w:firstLineChars="0"/>
              <w:rPr>
                <w:rFonts w:cs="宋体" w:asciiTheme="majorEastAsia" w:hAnsiTheme="majorEastAsia" w:eastAsiaTheme="majorEastAsia"/>
                <w:color w:val="auto"/>
                <w:kern w:val="0"/>
                <w:szCs w:val="21"/>
                <w:highlight w:val="none"/>
              </w:rPr>
            </w:pPr>
          </w:p>
        </w:tc>
        <w:tc>
          <w:tcPr>
            <w:tcW w:w="2288" w:type="dxa"/>
            <w:vMerge w:val="restart"/>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▲二维码生成与签到识别</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在美院公众号上可生成唯一标识某学生或者老师的二维码</w:t>
            </w:r>
            <w:r>
              <w:rPr>
                <w:rFonts w:hint="eastAsia" w:cs="宋体" w:asciiTheme="majorEastAsia" w:hAnsiTheme="majorEastAsia" w:eastAsiaTheme="majorEastAsia"/>
                <w:b/>
                <w:bCs/>
                <w:color w:val="auto"/>
                <w:kern w:val="0"/>
                <w:szCs w:val="21"/>
                <w:highlight w:val="none"/>
              </w:rPr>
              <w:t>（</w:t>
            </w:r>
            <w:r>
              <w:rPr>
                <w:rFonts w:hint="eastAsia" w:cs="宋体" w:asciiTheme="majorEastAsia" w:hAnsiTheme="majorEastAsia" w:eastAsiaTheme="majorEastAsia"/>
                <w:b/>
                <w:bCs/>
                <w:color w:val="auto"/>
                <w:kern w:val="0"/>
                <w:szCs w:val="21"/>
                <w:highlight w:val="none"/>
                <w:lang w:eastAsia="zh-CN"/>
              </w:rPr>
              <w:t>以上功能需提供现场演示</w:t>
            </w:r>
            <w:r>
              <w:rPr>
                <w:rFonts w:hint="eastAsia" w:cs="宋体" w:asciiTheme="majorEastAsia" w:hAnsiTheme="majorEastAsia" w:eastAsiaTheme="majorEastAsia"/>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rPr>
                <w:rFonts w:cs="宋体" w:asciiTheme="majorEastAsia" w:hAnsiTheme="majorEastAsia" w:eastAsiaTheme="majorEastAsia"/>
                <w:color w:val="auto"/>
                <w:kern w:val="0"/>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学生或者老师手机出示二维码，可通过班牌的摄像头进行识别，获取该学生信息或者教师信息。</w:t>
            </w:r>
            <w:r>
              <w:rPr>
                <w:rFonts w:hint="eastAsia" w:cs="宋体" w:asciiTheme="majorEastAsia" w:hAnsiTheme="majorEastAsia" w:eastAsiaTheme="majorEastAsia"/>
                <w:b/>
                <w:bCs/>
                <w:color w:val="auto"/>
                <w:kern w:val="0"/>
                <w:szCs w:val="21"/>
                <w:highlight w:val="none"/>
              </w:rPr>
              <w:t>（</w:t>
            </w:r>
            <w:r>
              <w:rPr>
                <w:rFonts w:hint="eastAsia" w:cs="宋体" w:asciiTheme="majorEastAsia" w:hAnsiTheme="majorEastAsia" w:eastAsiaTheme="majorEastAsia"/>
                <w:b/>
                <w:bCs/>
                <w:color w:val="auto"/>
                <w:kern w:val="0"/>
                <w:szCs w:val="21"/>
                <w:highlight w:val="none"/>
                <w:lang w:eastAsia="zh-CN"/>
              </w:rPr>
              <w:t>以上功能需提供现场演示</w:t>
            </w:r>
            <w:r>
              <w:rPr>
                <w:rFonts w:hint="eastAsia" w:cs="宋体" w:asciiTheme="majorEastAsia" w:hAnsiTheme="majorEastAsia" w:eastAsiaTheme="majorEastAsia"/>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rPr>
                <w:rFonts w:cs="宋体" w:asciiTheme="majorEastAsia" w:hAnsiTheme="majorEastAsia" w:eastAsiaTheme="majorEastAsia"/>
                <w:color w:val="auto"/>
                <w:kern w:val="0"/>
                <w:szCs w:val="21"/>
                <w:highlight w:val="none"/>
              </w:rPr>
            </w:pPr>
          </w:p>
        </w:tc>
        <w:tc>
          <w:tcPr>
            <w:tcW w:w="1625" w:type="dxa"/>
            <w:vMerge w:val="continue"/>
          </w:tcPr>
          <w:p>
            <w:pPr>
              <w:pStyle w:val="65"/>
              <w:ind w:firstLine="0" w:firstLineChars="0"/>
              <w:rPr>
                <w:rFonts w:cs="宋体" w:asciiTheme="majorEastAsia" w:hAnsiTheme="majorEastAsia" w:eastAsiaTheme="majorEastAsia"/>
                <w:color w:val="auto"/>
                <w:kern w:val="0"/>
                <w:szCs w:val="21"/>
                <w:highlight w:val="none"/>
              </w:rPr>
            </w:pP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二维码二次验证</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二维码识别后，后台可获取到该学生或者老师的照片，然后需要用户进行二次人脸比对，以确认该二维码为本人使用。</w:t>
            </w:r>
            <w:r>
              <w:rPr>
                <w:rFonts w:hint="eastAsia" w:cs="宋体" w:asciiTheme="majorEastAsia" w:hAnsiTheme="majorEastAsia" w:eastAsiaTheme="majorEastAsia"/>
                <w:b/>
                <w:bCs/>
                <w:color w:val="auto"/>
                <w:kern w:val="0"/>
                <w:szCs w:val="21"/>
                <w:highlight w:val="none"/>
              </w:rPr>
              <w:t>（</w:t>
            </w:r>
            <w:r>
              <w:rPr>
                <w:rFonts w:hint="eastAsia" w:cs="宋体" w:asciiTheme="majorEastAsia" w:hAnsiTheme="majorEastAsia" w:eastAsiaTheme="majorEastAsia"/>
                <w:b/>
                <w:bCs/>
                <w:color w:val="auto"/>
                <w:kern w:val="0"/>
                <w:szCs w:val="21"/>
                <w:highlight w:val="none"/>
                <w:lang w:eastAsia="zh-CN"/>
              </w:rPr>
              <w:t>以上功能需提供现场演示</w:t>
            </w:r>
            <w:r>
              <w:rPr>
                <w:rFonts w:hint="eastAsia" w:cs="宋体" w:asciiTheme="majorEastAsia" w:hAnsiTheme="majorEastAsia" w:eastAsiaTheme="majorEastAsia"/>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422"/>
              <w:rPr>
                <w:rFonts w:asciiTheme="majorEastAsia" w:hAnsiTheme="majorEastAsia" w:eastAsiaTheme="majorEastAsia"/>
                <w:b/>
                <w:bCs/>
                <w:color w:val="auto"/>
                <w:szCs w:val="21"/>
                <w:highlight w:val="none"/>
              </w:rPr>
            </w:pPr>
          </w:p>
        </w:tc>
        <w:tc>
          <w:tcPr>
            <w:tcW w:w="1625"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支持提前考勤</w:t>
            </w:r>
          </w:p>
        </w:tc>
        <w:tc>
          <w:tcPr>
            <w:tcW w:w="2288"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支持提前考勤</w:t>
            </w:r>
          </w:p>
        </w:tc>
        <w:tc>
          <w:tcPr>
            <w:tcW w:w="3909"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课程开始前2</w:t>
            </w:r>
            <w:r>
              <w:rPr>
                <w:rFonts w:cs="宋体" w:asciiTheme="majorEastAsia" w:hAnsiTheme="majorEastAsia" w:eastAsiaTheme="majorEastAsia"/>
                <w:color w:val="auto"/>
                <w:kern w:val="0"/>
                <w:szCs w:val="21"/>
                <w:highlight w:val="none"/>
              </w:rPr>
              <w:t>0</w:t>
            </w:r>
            <w:r>
              <w:rPr>
                <w:rFonts w:hint="eastAsia" w:cs="宋体" w:asciiTheme="majorEastAsia" w:hAnsiTheme="majorEastAsia" w:eastAsiaTheme="majorEastAsia"/>
                <w:color w:val="auto"/>
                <w:kern w:val="0"/>
                <w:szCs w:val="21"/>
                <w:highlight w:val="none"/>
              </w:rPr>
              <w:t>分钟（可设置）即可进行考勤认证。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restart"/>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多维度考勤统计</w:t>
            </w:r>
          </w:p>
        </w:tc>
        <w:tc>
          <w:tcPr>
            <w:tcW w:w="2288"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按教师统计</w:t>
            </w:r>
          </w:p>
        </w:tc>
        <w:tc>
          <w:tcPr>
            <w:tcW w:w="3909"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可按授课教师查询考勤统计情况。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continue"/>
          </w:tcPr>
          <w:p>
            <w:pPr>
              <w:pStyle w:val="65"/>
              <w:ind w:firstLine="0" w:firstLineChars="0"/>
              <w:rPr>
                <w:rFonts w:asciiTheme="majorEastAsia" w:hAnsiTheme="majorEastAsia" w:eastAsiaTheme="majorEastAsia"/>
                <w:b/>
                <w:bCs/>
                <w:color w:val="auto"/>
                <w:szCs w:val="21"/>
                <w:highlight w:val="none"/>
              </w:rPr>
            </w:pPr>
          </w:p>
        </w:tc>
        <w:tc>
          <w:tcPr>
            <w:tcW w:w="2288"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按课程统计</w:t>
            </w:r>
          </w:p>
        </w:tc>
        <w:tc>
          <w:tcPr>
            <w:tcW w:w="3909"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可按课程查询考勤统计情况。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continue"/>
          </w:tcPr>
          <w:p>
            <w:pPr>
              <w:pStyle w:val="65"/>
              <w:ind w:firstLine="0" w:firstLineChars="0"/>
              <w:rPr>
                <w:rFonts w:asciiTheme="majorEastAsia" w:hAnsiTheme="majorEastAsia" w:eastAsiaTheme="majorEastAsia"/>
                <w:b/>
                <w:bCs/>
                <w:color w:val="auto"/>
                <w:szCs w:val="21"/>
                <w:highlight w:val="none"/>
              </w:rPr>
            </w:pPr>
          </w:p>
        </w:tc>
        <w:tc>
          <w:tcPr>
            <w:tcW w:w="2288"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按学生统计</w:t>
            </w:r>
          </w:p>
        </w:tc>
        <w:tc>
          <w:tcPr>
            <w:tcW w:w="3909"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可按学生查询考勤情况。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Pr>
          <w:p>
            <w:pPr>
              <w:pStyle w:val="65"/>
              <w:ind w:firstLine="0" w:firstLineChars="0"/>
              <w:rPr>
                <w:rFonts w:asciiTheme="majorEastAsia" w:hAnsiTheme="majorEastAsia" w:eastAsiaTheme="majorEastAsia"/>
                <w:b/>
                <w:bCs/>
                <w:color w:val="auto"/>
                <w:szCs w:val="21"/>
                <w:highlight w:val="none"/>
              </w:rPr>
            </w:pPr>
          </w:p>
        </w:tc>
        <w:tc>
          <w:tcPr>
            <w:tcW w:w="1625" w:type="dxa"/>
            <w:vMerge w:val="continue"/>
          </w:tcPr>
          <w:p>
            <w:pPr>
              <w:pStyle w:val="65"/>
              <w:ind w:firstLine="0" w:firstLineChars="0"/>
              <w:rPr>
                <w:rFonts w:asciiTheme="majorEastAsia" w:hAnsiTheme="majorEastAsia" w:eastAsiaTheme="majorEastAsia"/>
                <w:b/>
                <w:bCs/>
                <w:color w:val="auto"/>
                <w:szCs w:val="21"/>
                <w:highlight w:val="none"/>
              </w:rPr>
            </w:pPr>
          </w:p>
        </w:tc>
        <w:tc>
          <w:tcPr>
            <w:tcW w:w="2288"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按组合条件统计</w:t>
            </w:r>
          </w:p>
        </w:tc>
        <w:tc>
          <w:tcPr>
            <w:tcW w:w="3909" w:type="dxa"/>
          </w:tcPr>
          <w:p>
            <w:pPr>
              <w:pStyle w:val="65"/>
              <w:ind w:firstLine="0" w:firstLineChars="0"/>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kern w:val="0"/>
                <w:szCs w:val="21"/>
                <w:highlight w:val="none"/>
              </w:rPr>
              <w:t>可多项条件组合查询统计情况。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tcPr>
          <w:p>
            <w:pPr>
              <w:pStyle w:val="65"/>
              <w:ind w:firstLine="0" w:firstLineChars="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对接费用</w:t>
            </w:r>
          </w:p>
        </w:tc>
        <w:tc>
          <w:tcPr>
            <w:tcW w:w="7822" w:type="dxa"/>
            <w:gridSpan w:val="3"/>
          </w:tcPr>
          <w:p>
            <w:pPr>
              <w:pStyle w:val="65"/>
              <w:ind w:firstLine="0" w:firstLineChars="0"/>
              <w:rPr>
                <w:rFonts w:cs="宋体" w:asciiTheme="majorEastAsia" w:hAnsiTheme="majorEastAsia" w:eastAsiaTheme="majorEastAsia"/>
                <w:b/>
                <w:color w:val="auto"/>
                <w:kern w:val="0"/>
                <w:szCs w:val="21"/>
                <w:highlight w:val="none"/>
              </w:rPr>
            </w:pPr>
            <w:r>
              <w:rPr>
                <w:rFonts w:hint="eastAsia" w:cs="宋体" w:asciiTheme="majorEastAsia" w:hAnsiTheme="majorEastAsia" w:eastAsiaTheme="majorEastAsia"/>
                <w:b/>
                <w:color w:val="auto"/>
                <w:kern w:val="0"/>
                <w:szCs w:val="21"/>
                <w:highlight w:val="none"/>
              </w:rPr>
              <w:t>本次投标的报价需包含为实现招标文件要求功能所需的学校所有已有软件系统的对接费用</w:t>
            </w:r>
          </w:p>
        </w:tc>
      </w:tr>
    </w:tbl>
    <w:p>
      <w:pP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（五）智慧教室管理平台</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01"/>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系统名称</w:t>
            </w:r>
          </w:p>
        </w:tc>
        <w:tc>
          <w:tcPr>
            <w:tcW w:w="240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指标项</w:t>
            </w:r>
          </w:p>
        </w:tc>
        <w:tc>
          <w:tcPr>
            <w:tcW w:w="6093" w:type="dxa"/>
            <w:shd w:val="clear" w:color="000000" w:fill="FFFFFF"/>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技术规格及系统配置要求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智慧教室管理平台总平台</w:t>
            </w:r>
          </w:p>
        </w:tc>
        <w:tc>
          <w:tcPr>
            <w:tcW w:w="2401" w:type="dxa"/>
            <w:vMerge w:val="restart"/>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系统架构</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智慧教室管理平台总平台为B/S架构。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服务器为Windows server 2008R2 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浏览器端支持Chrome，360浏览器，IE Edge等浏览器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支持无刷新推送</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当有后台数据产生需反馈到web页面时，无需用户手动刷新，可以自动推送数据变更web页面显示内容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支持用户权限管理</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根据角色设置可使用各子系统的权限，用户与角色绑定以获取对应的权限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用户可以分组，不同角色的用户可以划归在一个组内。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功能模块</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内置互动展示管理、智慧大脑管理、空间座位门禁管理、设备管理功能模块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noWrap/>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用户信息加密</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支持用户登录密码密文保存，加密传输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28" w:type="dxa"/>
            <w:gridSpan w:val="3"/>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设备管理通信与权限分组管理模块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终端设备管理</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管理范围</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所有视窗单元，如互动智能视窗、数字视窗、视窗盒、无线同屏视窗、同屏视窗盒、门禁视窗、电子班牌等；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注册机制</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终端设备注册后才能接入系统,获取系统控制命令，防止随意增加终端设备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分组管理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终端设备分组管理，终端设备组与用户组对应。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状态即时查看</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可实时查看/截图任一终端设备正在播放的节目内容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任务管理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可从互动智能智慧教室管理平台查看终端正在执行的任务，发现异常及时处理,远程终止或者启动某个任务.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终端设备记录查询</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支持后台查询终端设备播放历史记录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支持后台查询终端设备故障告警历史信息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支持后台查询终端设备日志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系统资源控制</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实时显示终端设备在线离线状态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实时控制终端设备下载状态与进度、硬盘容量、CPU利用率、内存利用率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实时显示IP与MAC地址、网络连接状态（有线、无线、3G等）、自定义特性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显示设备故障报警、设备下载错误报警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远程更改终端设备远程配置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在线升级</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支持终端设备系统/软件在线升级(Windows客户端不支持系统升级)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远程开关机</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可远程对终端设备开关机，可定时设置开关机时间(Windows客户端不支持远程开机)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位置管理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结合GIS系统，实时显示终端设备地理位置信息(Windows客户端不支持)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安全机制</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定制通信协议</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基于TCP/IP的通信机制，并通过专有协议保持通信和传输命令。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MD5校验</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上传和下发文件都经过MD5校验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通信心跳</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与终端设备采用通信心跳机制、实时收集终端设备状态、日志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终端进程异常报警</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 xml:space="preserve">侦测接入终端进程情况，自动异常报警显示，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权限管理</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支持分权限管理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权限-角色划分，可为角色设定播放优先级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用户分组管理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用户根据行政区划，分属地区或部门等划分组。可以自主添加，删除，交叉分组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支持用户与设备使用权限的绑定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支持审批管理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根据用户分组和权限，进行节目和素材审批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能够预览需要审批的节目和素材（视频文件可在线查看）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支持审批信息查看，用户可以查看自己审批的信息，也可以查看被审批信息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28" w:type="dxa"/>
            <w:gridSpan w:val="3"/>
            <w:shd w:val="clear" w:color="auto" w:fill="auto"/>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融合电子班牌&amp;互动智能视窗管理组件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535" w:type="dxa"/>
            <w:gridSpan w:val="2"/>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自主知识产权</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该功能组件具备软件著作权证书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34"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数字多媒体内容展示组件</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二维码印戳</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在指定目标文件的固定位置，可敲上任意地址的二维码印戳，方便用户扫描下载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上传素材</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用户可以自行上传素材，包括视频，图片，文字，HTML地址，业务软件等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素材查看</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用户查看本用户组的所有素材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直接拷贝</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支持后台直接拷贝功能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删除素材</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用户可以删除本人上传的素材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压缩与编码</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后台支持对数字资源、如视频与图片等重新编码压缩，视频编码为MP4，图片重新编码统一为JPG格式，提高推送与播放效率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素材下载</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支持将素材下载至本地特定位置/文件夹,支持素材下载任务的断点下载、断点续传功能。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按日期安排节目播放</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可任意日期时间段定时播放，按天循环播放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可按天设置循环播放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可任意调整播放窗口内容，包括播放时长，播放顺序。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支持日程表查询</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可查询单个视窗的播放日程表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支持节目预览</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完成节目安排设置后可以立即预览节目。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支持插播</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可随时删除当前节目，插播在线视频，文字，图片（需有对应权限）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视频直播</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可播放高清编码器的采集转码音视频信号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分屏播放</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提供不同的分区模版给用户，自由填充播放素材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视窗自适应</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可自适用终端设备横屏或竖屏的布局模式，对视频、文字、图片等自动翻转输出。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上传素材</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单位用户通过互动智能视窗系统上传素材至大屏，并保存于本地设备。访客无法通过综合互动大屏系统上传素材。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素材保护</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访客无法直接拷贝下载大屏设备里的本地素材。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支持远程音量控制</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远程更改音量（信息发布时）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信号调度与分配矩阵编辑</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实现多路输入直播信号与多个数字视窗展示平台的调度分配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支持扩展统计</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查询播放次数，故障率等统计信息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▲云业务管理系统组件</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进程管理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可实时查看视窗进程，并在后台进行排序管理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软件运行控制</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后台可对任意一台互动智能视窗强制运行或关闭已安装在这个互动智能视窗中的某个软件或WEB页面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软件下发安装管理</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后台可对指定视窗下发一个或多个软件，可通过后台控制对视窗远程装卸一个或多个软件系统；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通知公告下发</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可在互动智能视窗桌面指定区域显示通知公告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业务系统下发</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可将基于B/S架构的WEB业务系统链接配同快捷图标以自定义模式下发到指定视窗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自定义桌面</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自定义Logo区域、业务系统图标、文字等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状态显示</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可查看指定视窗的软件安装和运行情况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非本地化操作</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以上功能不得在互动智能视窗本地操作，只能由后台控制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数字视窗互动点播功能管理</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终端与节目绑定</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点播系统节目与终端设备绑定，自动生成电子二维码于画面最上层。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单终端设备单人操作</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一台设备同一时间只能由一个人进行二维码扫描点播操作。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点播节目自由分屏编辑</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点播节目可以由用户根据系统内素材，自由创建分屏模板，自由填充内容。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访客扫码点播</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访客通过自有移动终端扫描数字视窗播放画面上的电子二维码，移动终端即可进入显示该视窗节目列表界面，访客可在节目列表界面点播所想要的节目内容。如果当前设备已经在播放或者已经有人在操作了，则需等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无节目时自动播放</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当前设备无人操作且节目播放完之后，自动播放用户后台设置的宣传页。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班级自媒体管理组件</w:t>
            </w: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支持多媒体</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图片、视频、文字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权限分配</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管理员可将不同视窗上的班级自媒体组件的内容编辑权限分配给不同的教师；教师只能针对被分配到的视窗自媒体进行编辑；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按时间对事件分类</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互动时间轴是以时间为节点来承载在本班所有历史事件的交互系统，管理员可通过后台把班级发生事件归结到某时间节点下。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▲内容编辑手机端要求（提供软件界面）</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除PC端外，教师可通过自有手机浏览器登入自媒体编辑系统，完成所在班级的内容编辑与填充。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互动时间轴管理组件</w:t>
            </w: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支持多媒体</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图片、视频、文字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按时间对事件分类</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互动时间轴是以时间为节点来承载在本单位所有历史事件的交互系统，管理员可通过后台把发生事件归结到某时间节点下。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内容编辑手机端要求</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除PC端外，管理员可通过自有手机浏览器登入自媒体编辑系统，完成内容编辑与填充。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多媒体瀑布流互动系统管理组件</w:t>
            </w: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支持多媒体</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图片、视频、文字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内容编辑手机端要求</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除PC端外，管理员可通过自有手机浏览器登入自媒体编辑系统，完成内容编辑与填充。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电子二维码印戳</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自动对目标多媒体内容下发二维码印戳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多屏联动互动展示组件</w:t>
            </w: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联动域的生成</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由智慧教室管理平台将指定的互动智能视窗编入多屏联动域，即刻生成多屏联动域，联动域中视窗停止触摸交互。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联动域的解除</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由智慧教室管理平台解除多屏联动域后，每天互动智能视窗将恢复独立触摸交互的功能。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多屏联动展示效果</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按统一的时间系统，将多张图片从联动域中的首台视窗到最后台视窗按“多米诺”骨牌效果依次3D翻转，视觉效果流畅，周而复始</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多屏联动多媒体内容下发</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由智慧教室管理平台，按系列将内容统一下发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多屏联动时间校正与匹配</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由智慧教室管理平台来统一校正联动域中的多个视窗的时间系统，实现多图片依次翻转时视觉上流畅效果。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体感模式与自动模式切换</w:t>
            </w:r>
          </w:p>
        </w:tc>
        <w:tc>
          <w:tcPr>
            <w:tcW w:w="6093" w:type="dxa"/>
            <w:shd w:val="clear" w:color="000000" w:fill="FFFFFF"/>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支持当学生经过时触动图片按学生走向翻转以及每隔10秒自动开始翻转两种模式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28" w:type="dxa"/>
            <w:gridSpan w:val="3"/>
            <w:shd w:val="clear" w:color="auto" w:fill="auto"/>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智慧门禁管理组件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教室与门禁管理</w:t>
            </w: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支持互动智能门禁分组管理</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互动智能门禁分组管理，互动智能门禁组与用户组对应。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支持教室分组管理</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教室可分组管理，教室分组与用户组对应。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支持互动智能门禁与教室绑定</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互动智能门禁可与具体教室绑定，绑定后预约该教室的用户即有权限可开启该门禁。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支持一个教室可绑定多个门禁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教室使用显示</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通过与教室绑定的智能互动门禁的LED灯带显示所在教室的使用情况。红色为已正使用，蓝色为更换教室，绿色为当前时间段空闲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支持互动智能门禁状态远程即时查看</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管理员可远程实时查看任一互动智能门禁实时状态，开门或者关门状态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支持互动智能门禁状态记录查询</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支持互动智能门禁状态开启历史记录查询，可查询任一门禁的开启记录，包括开启方式（人脸/刷卡/二维码),开启者用户名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支持互动智能门禁实时远程控制</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门禁管理员可实时远程控制任一门禁的开闭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门禁管理员可远程设置任一门禁的常开或者常闭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支持互动智能门禁本地实时开启</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门禁管理员可通过互动智能门禁本地开启门禁（须有登录互动智能门禁前端管理界面权限）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可接入普通门禁锁</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可将普通门禁锁接入系统，远程开启或者关闭。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在线升级</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互动智能门禁支持在线升级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门禁支持断电常开</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门禁断电后即自动置于开启状态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支持互动智能门禁签到</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预约后的用户可在教室对应的互动智能门禁上通过人脸识别，刷卡或者刷二维码的形式进行签到。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教室预约管理</w:t>
            </w:r>
          </w:p>
        </w:tc>
        <w:tc>
          <w:tcPr>
            <w:tcW w:w="2401" w:type="dxa"/>
            <w:vMerge w:val="restart"/>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支持自定义预约时间参数</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可设置教室可用时间段，例如早上8点-24点可用，其余时间不可用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可设置教室预约时间单位，例如以60分钟为一段，或者15分钟为一段。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支持多终端操作预约</w:t>
            </w:r>
          </w:p>
        </w:tc>
        <w:tc>
          <w:tcPr>
            <w:tcW w:w="6093" w:type="dxa"/>
            <w:vMerge w:val="restart"/>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支持在互动智能门禁上直接进行预约操作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支持在手机端（web）预约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支持在PC端预约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支持日程表查询</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可查询所有教室的预约安排日期。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支持预约历史查询</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可查询本人所预约的教室及开始时间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支持管理员手动调整预约</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管理员可删除普通用户的预约记录，释放教室。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000000" w:fill="FFFFFF"/>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支持扩展统计</w:t>
            </w:r>
          </w:p>
        </w:tc>
        <w:tc>
          <w:tcPr>
            <w:tcW w:w="6093" w:type="dxa"/>
            <w:shd w:val="clear" w:color="auto" w:fill="auto"/>
            <w:vAlign w:val="center"/>
          </w:tcPr>
          <w:p>
            <w:pPr>
              <w:widowControl/>
              <w:jc w:val="left"/>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可定制教室使用统计，门禁历史记录等扩展功能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28" w:type="dxa"/>
            <w:gridSpan w:val="3"/>
            <w:shd w:val="clear" w:color="auto" w:fill="auto"/>
            <w:noWrap/>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人脸识别组件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人脸识别</w:t>
            </w:r>
            <w:r>
              <w:rPr>
                <w:rFonts w:hint="eastAsia" w:cs="宋体" w:asciiTheme="majorEastAsia" w:hAnsiTheme="majorEastAsia" w:eastAsiaTheme="majorEastAsia"/>
                <w:b/>
                <w:bCs/>
                <w:color w:val="auto"/>
                <w:kern w:val="0"/>
                <w:sz w:val="21"/>
                <w:szCs w:val="21"/>
                <w:highlight w:val="none"/>
              </w:rPr>
              <w:t>（</w:t>
            </w:r>
            <w:r>
              <w:rPr>
                <w:rFonts w:hint="eastAsia" w:cs="宋体" w:asciiTheme="majorEastAsia" w:hAnsiTheme="majorEastAsia" w:eastAsiaTheme="majorEastAsia"/>
                <w:b/>
                <w:bCs/>
                <w:color w:val="auto"/>
                <w:kern w:val="0"/>
                <w:sz w:val="21"/>
                <w:szCs w:val="21"/>
                <w:highlight w:val="none"/>
                <w:lang w:eastAsia="zh-CN"/>
              </w:rPr>
              <w:t>以上功能需提供现场演示</w:t>
            </w:r>
            <w:r>
              <w:rPr>
                <w:rFonts w:hint="eastAsia" w:cs="宋体" w:asciiTheme="majorEastAsia" w:hAnsiTheme="majorEastAsia" w:eastAsiaTheme="majorEastAsia"/>
                <w:b/>
                <w:bCs/>
                <w:color w:val="auto"/>
                <w:kern w:val="0"/>
                <w:sz w:val="21"/>
                <w:szCs w:val="21"/>
                <w:highlight w:val="none"/>
              </w:rPr>
              <w:t>）</w:t>
            </w:r>
          </w:p>
        </w:tc>
        <w:tc>
          <w:tcPr>
            <w:tcW w:w="2401" w:type="dxa"/>
            <w:vMerge w:val="restart"/>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微信人脸录入</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支持用户从美院公众号自拍人脸照片上传。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支持用户自行选择照片从美院公众号进行上传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考勤人脸审核</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支持自动和人工两种模式：前端自动审核人脸图像质量，人脸图像需符合证件照要求；人工后台审核；审核未通过自动通知提交人。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restart"/>
            <w:shd w:val="clear" w:color="auto" w:fill="auto"/>
            <w:vAlign w:val="center"/>
          </w:tcPr>
          <w:p>
            <w:pPr>
              <w:widowControl/>
              <w:jc w:val="center"/>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人脸建库</w:t>
            </w: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人脸库需独立于本系统以外的数据服务器保存。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人脸库提供推送接口，当有用户上传的照片审核完成后，即通知人脸库系统获取照片并生成特征码。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生成的人脸特征库与学生学号或者老师的工号一一对应。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2401" w:type="dxa"/>
            <w:vMerge w:val="continue"/>
            <w:vAlign w:val="center"/>
          </w:tcPr>
          <w:p>
            <w:pPr>
              <w:widowControl/>
              <w:jc w:val="left"/>
              <w:rPr>
                <w:rFonts w:cs="宋体" w:asciiTheme="majorEastAsia" w:hAnsiTheme="majorEastAsia" w:eastAsiaTheme="majorEastAsia"/>
                <w:color w:val="auto"/>
                <w:kern w:val="0"/>
                <w:sz w:val="21"/>
                <w:szCs w:val="21"/>
                <w:highlight w:val="none"/>
              </w:rPr>
            </w:pPr>
          </w:p>
        </w:tc>
        <w:tc>
          <w:tcPr>
            <w:tcW w:w="6093" w:type="dxa"/>
            <w:shd w:val="clear" w:color="auto" w:fill="auto"/>
            <w:vAlign w:val="center"/>
          </w:tcPr>
          <w:p>
            <w:pPr>
              <w:widowControl/>
              <w:rPr>
                <w:rFonts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与美院教师数据对接，可全部获取教师工号与照片后直接生成脸库。</w:t>
            </w:r>
          </w:p>
        </w:tc>
      </w:tr>
    </w:tbl>
    <w:p>
      <w:pPr>
        <w:pStyle w:val="30"/>
        <w:rPr>
          <w:color w:val="auto"/>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1.本项目要求现场演示，演示内容详见技术要求“</w:t>
      </w:r>
      <w:r>
        <w:rPr>
          <w:rFonts w:hint="eastAsia" w:ascii="宋体" w:hAnsi="宋体" w:cs="宋体"/>
          <w:b/>
          <w:bCs/>
          <w:color w:val="auto"/>
          <w:sz w:val="21"/>
          <w:szCs w:val="21"/>
          <w:highlight w:val="none"/>
          <w:lang w:eastAsia="zh-CN"/>
        </w:rPr>
        <w:t>以上功能需提供现场演示</w:t>
      </w:r>
      <w:r>
        <w:rPr>
          <w:rFonts w:hint="eastAsia" w:ascii="宋体" w:hAnsi="宋体" w:cs="宋体"/>
          <w:b/>
          <w:bCs/>
          <w:color w:val="auto"/>
          <w:sz w:val="21"/>
          <w:szCs w:val="21"/>
          <w:highlight w:val="none"/>
        </w:rPr>
        <w:t>”；</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2.演示时间：不超过30分钟；</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3.投标人需自备设备、网络搭建演示所需环境。</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4.投标人技术响应文件真实可信，采购人保留在签订合同前要求中标方提供样机（系统）测试试用的权力，若试用结果与投标文件不符，采购人有权拒绝签订合同，所产生的一切后果由中标方负责。</w:t>
      </w:r>
    </w:p>
    <w:p>
      <w:pPr>
        <w:spacing w:line="288" w:lineRule="auto"/>
        <w:rPr>
          <w:rFonts w:ascii="宋体" w:hAnsi="宋体"/>
          <w:b/>
          <w:color w:val="auto"/>
          <w:sz w:val="21"/>
          <w:szCs w:val="21"/>
          <w:highlight w:val="none"/>
        </w:rPr>
      </w:pP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注：</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1.除招标文件中所明确的技术规格和品牌外，欢迎其他能满足本项目技术需求且性能相当于或高于所明确品牌的产品参加投标报价。同时在采购需求偏离表中作出详细对比说明。</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2.如技术要求中未特别注明需执行的国家相关标准、行业标准、地方标准或者其他标准、规范，则统一执行最新标准、规范。</w:t>
      </w:r>
    </w:p>
    <w:p>
      <w:pPr>
        <w:spacing w:line="288" w:lineRule="auto"/>
        <w:jc w:val="center"/>
        <w:outlineLvl w:val="0"/>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b/>
          <w:color w:val="auto"/>
          <w:sz w:val="32"/>
          <w:szCs w:val="32"/>
          <w:highlight w:val="none"/>
        </w:rPr>
        <w:t>第三章  投标人须知</w:t>
      </w:r>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投标人</w:t>
      </w:r>
      <w:r>
        <w:rPr>
          <w:rFonts w:ascii="宋体" w:hAnsi="宋体"/>
          <w:b/>
          <w:color w:val="auto"/>
          <w:sz w:val="24"/>
          <w:highlight w:val="none"/>
        </w:rPr>
        <w:t>须知</w:t>
      </w:r>
      <w:r>
        <w:rPr>
          <w:rFonts w:hint="eastAsia" w:ascii="宋体" w:hAnsi="宋体"/>
          <w:b/>
          <w:color w:val="auto"/>
          <w:sz w:val="24"/>
          <w:highlight w:val="none"/>
        </w:rPr>
        <w:t>前附表</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采购人：中国美术学院</w:t>
            </w:r>
          </w:p>
          <w:p>
            <w:pPr>
              <w:rPr>
                <w:rFonts w:ascii="宋体" w:hAnsi="宋体"/>
                <w:color w:val="auto"/>
                <w:sz w:val="21"/>
                <w:szCs w:val="21"/>
                <w:highlight w:val="none"/>
              </w:rPr>
            </w:pPr>
            <w:r>
              <w:rPr>
                <w:rFonts w:hint="eastAsia" w:ascii="宋体" w:hAnsi="宋体"/>
                <w:color w:val="auto"/>
                <w:sz w:val="21"/>
                <w:szCs w:val="21"/>
                <w:highlight w:val="none"/>
              </w:rPr>
              <w:t>项目名称：教务处象山2号楼信息化提升项目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投标报价：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1.投标报价是指一次性报出不得更改的价格；</w:t>
            </w:r>
          </w:p>
          <w:p>
            <w:pPr>
              <w:rPr>
                <w:rFonts w:ascii="宋体" w:hAnsi="宋体"/>
                <w:color w:val="auto"/>
                <w:spacing w:val="-6"/>
                <w:sz w:val="21"/>
                <w:szCs w:val="21"/>
                <w:highlight w:val="none"/>
              </w:rPr>
            </w:pPr>
            <w:r>
              <w:rPr>
                <w:rFonts w:hint="eastAsia" w:ascii="宋体" w:hAnsi="宋体"/>
                <w:color w:val="auto"/>
                <w:spacing w:val="-6"/>
                <w:sz w:val="21"/>
                <w:szCs w:val="21"/>
                <w:highlight w:val="none"/>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投标费用：</w:t>
            </w:r>
          </w:p>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1.不论投标结果如何，投标人均应自行承担所有与投标有关的全部费用；</w:t>
            </w:r>
          </w:p>
          <w:p>
            <w:pPr>
              <w:autoSpaceDE w:val="0"/>
              <w:autoSpaceDN w:val="0"/>
              <w:textAlignment w:val="bottom"/>
              <w:rPr>
                <w:rFonts w:ascii="宋体" w:hAnsi="宋体"/>
                <w:color w:val="auto"/>
                <w:spacing w:val="-6"/>
                <w:sz w:val="21"/>
                <w:szCs w:val="21"/>
                <w:highlight w:val="none"/>
              </w:rPr>
            </w:pPr>
            <w:r>
              <w:rPr>
                <w:rFonts w:hint="eastAsia" w:ascii="宋体" w:hAnsi="宋体"/>
                <w:color w:val="auto"/>
                <w:sz w:val="21"/>
                <w:szCs w:val="21"/>
                <w:highlight w:val="none"/>
              </w:rPr>
              <w:t>2.中标人在中标通知书发出后七个工作日内，向采购代理机构交纳代理服务费。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投标文件份数：</w:t>
            </w:r>
          </w:p>
          <w:p>
            <w:pPr>
              <w:rPr>
                <w:rFonts w:ascii="宋体" w:hAnsi="宋体"/>
                <w:color w:val="auto"/>
                <w:spacing w:val="-6"/>
                <w:sz w:val="21"/>
                <w:szCs w:val="21"/>
                <w:highlight w:val="none"/>
              </w:rPr>
            </w:pPr>
            <w:r>
              <w:rPr>
                <w:rFonts w:hint="eastAsia" w:ascii="宋体" w:hAnsi="宋体"/>
                <w:color w:val="auto"/>
                <w:sz w:val="21"/>
                <w:szCs w:val="21"/>
                <w:highlight w:val="none"/>
              </w:rPr>
              <w:t>1.</w:t>
            </w:r>
            <w:r>
              <w:rPr>
                <w:rFonts w:ascii="宋体" w:hAnsi="宋体"/>
                <w:b/>
                <w:color w:val="auto"/>
                <w:spacing w:val="-6"/>
                <w:sz w:val="21"/>
                <w:szCs w:val="21"/>
                <w:highlight w:val="none"/>
              </w:rPr>
              <w:t>正本一份，副本五份，电子文档一份</w:t>
            </w:r>
            <w:r>
              <w:rPr>
                <w:rFonts w:ascii="宋体" w:hAnsi="宋体"/>
                <w:color w:val="auto"/>
                <w:spacing w:val="-6"/>
                <w:sz w:val="21"/>
                <w:szCs w:val="21"/>
                <w:highlight w:val="none"/>
              </w:rPr>
              <w:t>（U盘或光盘形式，彩色扫描件）</w:t>
            </w:r>
            <w:r>
              <w:rPr>
                <w:rFonts w:hint="eastAsia" w:ascii="宋体" w:hAnsi="宋体"/>
                <w:color w:val="auto"/>
                <w:spacing w:val="-6"/>
                <w:sz w:val="21"/>
                <w:szCs w:val="21"/>
                <w:highlight w:val="none"/>
              </w:rPr>
              <w:t>；</w:t>
            </w:r>
          </w:p>
          <w:p>
            <w:pPr>
              <w:rPr>
                <w:rFonts w:ascii="宋体" w:hAnsi="宋体"/>
                <w:color w:val="auto"/>
                <w:sz w:val="21"/>
                <w:szCs w:val="21"/>
                <w:highlight w:val="none"/>
              </w:rPr>
            </w:pPr>
            <w:r>
              <w:rPr>
                <w:rFonts w:hint="eastAsia" w:ascii="宋体" w:hAnsi="宋体"/>
                <w:color w:val="auto"/>
                <w:spacing w:val="-6"/>
                <w:sz w:val="21"/>
                <w:szCs w:val="21"/>
                <w:highlight w:val="none"/>
              </w:rPr>
              <w:t>2.</w:t>
            </w:r>
            <w:r>
              <w:rPr>
                <w:rFonts w:hint="eastAsia" w:ascii="宋体" w:hAnsi="宋体"/>
                <w:b/>
                <w:color w:val="auto"/>
                <w:spacing w:val="-6"/>
                <w:sz w:val="21"/>
                <w:szCs w:val="21"/>
                <w:highlight w:val="none"/>
              </w:rPr>
              <w:t>报价文件单独密封</w:t>
            </w:r>
            <w:r>
              <w:rPr>
                <w:rFonts w:hint="eastAsia" w:ascii="宋体" w:hAnsi="宋体"/>
                <w:color w:val="auto"/>
                <w:spacing w:val="-6"/>
                <w:sz w:val="21"/>
                <w:szCs w:val="21"/>
                <w:highlight w:val="none"/>
              </w:rPr>
              <w:t>，</w:t>
            </w:r>
            <w:r>
              <w:rPr>
                <w:rFonts w:ascii="宋体" w:hAnsi="宋体"/>
                <w:color w:val="auto"/>
                <w:spacing w:val="-6"/>
                <w:sz w:val="21"/>
                <w:szCs w:val="21"/>
                <w:highlight w:val="none"/>
              </w:rPr>
              <w:t>如</w:t>
            </w:r>
            <w:r>
              <w:rPr>
                <w:rFonts w:hint="eastAsia" w:ascii="宋体" w:hAnsi="宋体"/>
                <w:color w:val="auto"/>
                <w:spacing w:val="-6"/>
                <w:sz w:val="21"/>
                <w:szCs w:val="21"/>
                <w:highlight w:val="none"/>
              </w:rPr>
              <w:t>未按要求密封导致</w:t>
            </w:r>
            <w:r>
              <w:rPr>
                <w:rFonts w:ascii="宋体" w:hAnsi="宋体"/>
                <w:color w:val="auto"/>
                <w:spacing w:val="-6"/>
                <w:sz w:val="21"/>
                <w:szCs w:val="21"/>
                <w:highlight w:val="none"/>
              </w:rPr>
              <w:t>开标时发生报价泄露</w:t>
            </w:r>
            <w:r>
              <w:rPr>
                <w:rFonts w:hint="eastAsia" w:ascii="宋体" w:hAnsi="宋体"/>
                <w:color w:val="auto"/>
                <w:spacing w:val="-6"/>
                <w:sz w:val="21"/>
                <w:szCs w:val="21"/>
                <w:highlight w:val="none"/>
              </w:rPr>
              <w:t>，</w:t>
            </w:r>
            <w:r>
              <w:rPr>
                <w:rFonts w:ascii="宋体" w:hAnsi="宋体"/>
                <w:color w:val="auto"/>
                <w:spacing w:val="-6"/>
                <w:sz w:val="21"/>
                <w:szCs w:val="21"/>
                <w:highlight w:val="none"/>
              </w:rPr>
              <w:t>自行承担相关责任</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投标文件装订要求：</w:t>
            </w:r>
          </w:p>
          <w:p>
            <w:pPr>
              <w:autoSpaceDE w:val="0"/>
              <w:autoSpaceDN w:val="0"/>
              <w:textAlignment w:val="bottom"/>
              <w:rPr>
                <w:rFonts w:ascii="宋体" w:hAnsi="宋体"/>
                <w:color w:val="auto"/>
                <w:sz w:val="21"/>
                <w:szCs w:val="21"/>
                <w:highlight w:val="none"/>
              </w:rPr>
            </w:pPr>
            <w:r>
              <w:rPr>
                <w:rFonts w:hint="eastAsia" w:hAnsi="宋体"/>
                <w:color w:val="auto"/>
                <w:spacing w:val="-6"/>
                <w:sz w:val="21"/>
                <w:szCs w:val="21"/>
                <w:highlight w:val="none"/>
              </w:rPr>
              <w:t>报价文件单独装订成册、资格文件及商务和技术文件合并装订成册</w:t>
            </w:r>
            <w:r>
              <w:rPr>
                <w:rFonts w:hint="eastAsia" w:ascii="宋体" w:hAnsi="宋体"/>
                <w:color w:val="auto"/>
                <w:sz w:val="21"/>
                <w:szCs w:val="21"/>
                <w:highlight w:val="none"/>
              </w:rPr>
              <w:t>。</w:t>
            </w:r>
          </w:p>
          <w:p>
            <w:pPr>
              <w:spacing w:line="288" w:lineRule="auto"/>
              <w:jc w:val="left"/>
              <w:rPr>
                <w:rFonts w:ascii="宋体" w:hAnsi="宋体"/>
                <w:snapToGrid w:val="0"/>
                <w:color w:val="auto"/>
                <w:kern w:val="0"/>
                <w:sz w:val="21"/>
                <w:szCs w:val="21"/>
                <w:highlight w:val="none"/>
              </w:rPr>
            </w:pPr>
            <w:r>
              <w:rPr>
                <w:rFonts w:hint="eastAsia" w:ascii="宋体" w:hAnsi="宋体"/>
                <w:b/>
                <w:color w:val="auto"/>
                <w:spacing w:val="-6"/>
                <w:sz w:val="21"/>
                <w:szCs w:val="21"/>
                <w:highlight w:val="none"/>
              </w:rPr>
              <w:t>▲</w:t>
            </w:r>
            <w:r>
              <w:rPr>
                <w:rFonts w:hint="eastAsia" w:ascii="宋体" w:hAnsi="宋体"/>
                <w:b/>
                <w:snapToGrid w:val="0"/>
                <w:color w:val="auto"/>
                <w:kern w:val="0"/>
                <w:sz w:val="21"/>
                <w:szCs w:val="21"/>
                <w:highlight w:val="none"/>
              </w:rPr>
              <w:t>活页装订（卡条、抽杆夹、订书机、散装）的投标文件无效</w:t>
            </w:r>
            <w:r>
              <w:rPr>
                <w:rFonts w:hint="eastAsia" w:ascii="宋体" w:hAnsi="宋体"/>
                <w:snapToGrid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资格审查要求的资格证明材料(均需加盖公章)：</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（1）有效的法人或者其他组织的营业执照等证明文件（复印件），自然人的身份证明；</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（2）2018年12月（含）以后任意一月的财务状况报告（复印件，包括资产负债表、利润表，两表缺一不可）或开标前三个月内出具的银行资信证明（若资信证明中注明复印无效，需提交正本）；</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（3）</w:t>
            </w:r>
            <w:r>
              <w:rPr>
                <w:rFonts w:hint="eastAsia" w:ascii="宋体" w:hAnsi="宋体"/>
                <w:b/>
                <w:color w:val="auto"/>
                <w:spacing w:val="-6"/>
                <w:sz w:val="21"/>
                <w:szCs w:val="21"/>
                <w:highlight w:val="none"/>
              </w:rPr>
              <w:t>2019年1月（含）以后</w:t>
            </w:r>
            <w:r>
              <w:rPr>
                <w:rFonts w:hint="eastAsia" w:hAnsi="宋体"/>
                <w:b/>
                <w:color w:val="auto"/>
                <w:spacing w:val="-6"/>
                <w:sz w:val="21"/>
                <w:szCs w:val="21"/>
                <w:highlight w:val="none"/>
              </w:rPr>
              <w:t>任意一月</w:t>
            </w:r>
            <w:r>
              <w:rPr>
                <w:rFonts w:hint="eastAsia" w:ascii="宋体" w:hAnsi="宋体"/>
                <w:b/>
                <w:color w:val="auto"/>
                <w:sz w:val="21"/>
                <w:szCs w:val="21"/>
                <w:highlight w:val="none"/>
              </w:rPr>
              <w:t>依法缴纳税收的证明材料（依法免税的投标人，应提供相应文件证明其依法免税）；</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（4）</w:t>
            </w:r>
            <w:r>
              <w:rPr>
                <w:rFonts w:hint="eastAsia" w:ascii="宋体" w:hAnsi="宋体"/>
                <w:b/>
                <w:color w:val="auto"/>
                <w:spacing w:val="-6"/>
                <w:sz w:val="21"/>
                <w:szCs w:val="21"/>
                <w:highlight w:val="none"/>
              </w:rPr>
              <w:t>2019年1月（含）以后</w:t>
            </w:r>
            <w:r>
              <w:rPr>
                <w:rFonts w:hint="eastAsia" w:hAnsi="宋体"/>
                <w:b/>
                <w:color w:val="auto"/>
                <w:spacing w:val="-6"/>
                <w:sz w:val="21"/>
                <w:szCs w:val="21"/>
                <w:highlight w:val="none"/>
              </w:rPr>
              <w:t>任意一月</w:t>
            </w:r>
            <w:r>
              <w:rPr>
                <w:rFonts w:hint="eastAsia" w:ascii="宋体" w:hAnsi="宋体"/>
                <w:b/>
                <w:color w:val="auto"/>
                <w:sz w:val="21"/>
                <w:szCs w:val="21"/>
                <w:highlight w:val="none"/>
              </w:rPr>
              <w:t>依法缴纳社会保障资金的证明材料（依法不需要缴纳社会保障资金的投标人，应提供相应文件证明其依法不需要缴纳社会保障资金）；</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（5）具有履行合同所必需的设备和专业技术能力的承诺函；</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投标</w:t>
            </w:r>
            <w:r>
              <w:rPr>
                <w:rFonts w:ascii="宋体" w:hAnsi="宋体"/>
                <w:color w:val="auto"/>
                <w:sz w:val="21"/>
                <w:szCs w:val="21"/>
                <w:highlight w:val="none"/>
              </w:rPr>
              <w:t>有效期</w:t>
            </w:r>
            <w:r>
              <w:rPr>
                <w:rFonts w:hint="eastAsia" w:ascii="宋体" w:hAnsi="宋体"/>
                <w:color w:val="auto"/>
                <w:sz w:val="21"/>
                <w:szCs w:val="21"/>
                <w:highlight w:val="none"/>
              </w:rPr>
              <w:t>：从提交投标文件的截止之日起算90天。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评标结果公示：评标结果公示于浙江政府采购网（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z w:val="21"/>
                <w:szCs w:val="21"/>
                <w:highlight w:val="none"/>
              </w:rPr>
              <w:t>http://www.zjzfcg.gov.cn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签订合同：中标通知书发出之日起30日内。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支付代理服务费：中标通知书发出之日起7个工作日内；</w:t>
            </w:r>
          </w:p>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中标人逾期支付代理服务费，须承担代理服务费每日百分之三的违约金，逾期十日未支付的，采购代理机构有权向杭州仲裁委员会对中标人提起仲裁，</w:t>
            </w:r>
            <w:r>
              <w:rPr>
                <w:rFonts w:hint="eastAsia"/>
                <w:color w:val="auto"/>
                <w:sz w:val="21"/>
                <w:szCs w:val="21"/>
                <w:highlight w:val="none"/>
              </w:rPr>
              <w:t>仲裁费用（包括仲裁受理费和仲裁处理费）均</w:t>
            </w:r>
            <w:r>
              <w:rPr>
                <w:rFonts w:hint="eastAsia" w:ascii="宋体" w:hAnsi="宋体"/>
                <w:color w:val="auto"/>
                <w:sz w:val="21"/>
                <w:szCs w:val="21"/>
                <w:highlight w:val="none"/>
              </w:rPr>
              <w:t>由中标人承担。</w:t>
            </w:r>
          </w:p>
        </w:tc>
      </w:tr>
    </w:tbl>
    <w:p>
      <w:pPr>
        <w:pStyle w:val="12"/>
        <w:spacing w:before="0" w:beforeLines="0" w:after="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本招标文件适用于中国美术学院教务处象山2号楼信息化提升项目的招标、评标、定标、验收、合同履约、付款等（法律、法规另有规定的，从其规定）。</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w:t>
      </w:r>
      <w:r>
        <w:rPr>
          <w:rFonts w:ascii="宋体" w:hAnsi="宋体"/>
          <w:color w:val="auto"/>
          <w:spacing w:val="-6"/>
          <w:sz w:val="21"/>
          <w:szCs w:val="21"/>
          <w:highlight w:val="none"/>
        </w:rPr>
        <w:t>人</w:t>
      </w:r>
      <w:r>
        <w:rPr>
          <w:rFonts w:hint="eastAsia" w:ascii="宋体" w:hAnsi="宋体"/>
          <w:color w:val="auto"/>
          <w:spacing w:val="-6"/>
          <w:sz w:val="21"/>
          <w:szCs w:val="21"/>
          <w:highlight w:val="none"/>
        </w:rPr>
        <w:t>”系指中国美术学院；</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2.“采购代理机构”系指组织本次招标的浙江求是招标代理有限公司；</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“投标人”系指是指响应招标、参加投标竞争的法人、其他组织或者自然人；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“书面形式”包括信函、传真、电子邮件等；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w:t>
      </w:r>
      <w:r>
        <w:rPr>
          <w:rFonts w:hint="eastAsia" w:ascii="宋体" w:hAnsi="宋体"/>
          <w:color w:val="auto"/>
          <w:spacing w:val="-6"/>
          <w:sz w:val="21"/>
          <w:szCs w:val="21"/>
          <w:highlight w:val="none"/>
        </w:rPr>
        <w:t>“▲”系指实质性要求条款，投标人应当做出实质性响应。</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招标方式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本次招标采用公开招标方式进行。</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（四） 投标委托</w:t>
      </w:r>
    </w:p>
    <w:p>
      <w:pPr>
        <w:spacing w:line="288" w:lineRule="auto"/>
        <w:ind w:firstLine="396" w:firstLineChars="200"/>
        <w:rPr>
          <w:color w:val="auto"/>
          <w:spacing w:val="-6"/>
          <w:sz w:val="21"/>
          <w:szCs w:val="21"/>
          <w:highlight w:val="none"/>
        </w:rPr>
      </w:pPr>
      <w:r>
        <w:rPr>
          <w:rFonts w:ascii="宋体" w:hAnsi="宋体"/>
          <w:color w:val="auto"/>
          <w:spacing w:val="-6"/>
          <w:sz w:val="21"/>
          <w:szCs w:val="21"/>
          <w:highlight w:val="none"/>
        </w:rPr>
        <w:t>投标人代表须携带有效身份证件</w:t>
      </w:r>
      <w:r>
        <w:rPr>
          <w:rFonts w:hint="eastAsia" w:ascii="宋体" w:hAnsi="宋体"/>
          <w:color w:val="auto"/>
          <w:spacing w:val="-6"/>
          <w:sz w:val="21"/>
          <w:szCs w:val="21"/>
          <w:highlight w:val="none"/>
        </w:rPr>
        <w:t>。</w:t>
      </w:r>
      <w:r>
        <w:rPr>
          <w:rFonts w:ascii="宋体" w:hAnsi="宋体"/>
          <w:color w:val="auto"/>
          <w:spacing w:val="-6"/>
          <w:sz w:val="21"/>
          <w:szCs w:val="21"/>
          <w:highlight w:val="none"/>
        </w:rPr>
        <w:t>如投标人代表不是法定代表人，须有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，详见投标文件格式）</w:t>
      </w:r>
      <w:r>
        <w:rPr>
          <w:rFonts w:ascii="宋体" w:hAnsi="宋体"/>
          <w:color w:val="auto"/>
          <w:spacing w:val="-6"/>
          <w:sz w:val="21"/>
          <w:szCs w:val="21"/>
          <w:highlight w:val="none"/>
        </w:rPr>
        <w:t>，</w:t>
      </w:r>
      <w:r>
        <w:rPr>
          <w:rFonts w:hint="eastAsia"/>
          <w:color w:val="auto"/>
          <w:spacing w:val="-6"/>
          <w:sz w:val="21"/>
          <w:szCs w:val="21"/>
          <w:highlight w:val="none"/>
        </w:rPr>
        <w:t>投标人未参加开标的，视同认可开标结果。</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（五） 投标费用</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不论投标结果如何，投标人均应自行承担所有与投标有关的全部费用；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2.中标人在中标通知书发出之日起7个工作日内，向采购代理机构交纳代理服务费，收费标准：</w:t>
      </w:r>
    </w:p>
    <w:tbl>
      <w:tblPr>
        <w:tblStyle w:val="22"/>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中标</w:t>
            </w:r>
            <w:r>
              <w:rPr>
                <w:rFonts w:ascii="宋体" w:hAnsi="宋体"/>
                <w:color w:val="auto"/>
                <w:spacing w:val="-6"/>
                <w:sz w:val="21"/>
                <w:szCs w:val="21"/>
                <w:highlight w:val="none"/>
              </w:rPr>
              <w:t>金额（万元）</w:t>
            </w:r>
          </w:p>
        </w:tc>
        <w:tc>
          <w:tcPr>
            <w:tcW w:w="3827" w:type="dxa"/>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100以内</w:t>
            </w:r>
          </w:p>
        </w:tc>
        <w:tc>
          <w:tcPr>
            <w:tcW w:w="3827" w:type="dxa"/>
          </w:tcPr>
          <w:p>
            <w:pPr>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100-500</w:t>
            </w:r>
          </w:p>
        </w:tc>
        <w:tc>
          <w:tcPr>
            <w:tcW w:w="3827" w:type="dxa"/>
          </w:tcPr>
          <w:p>
            <w:pPr>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0.88</w:t>
            </w:r>
          </w:p>
        </w:tc>
      </w:tr>
    </w:tbl>
    <w:p>
      <w:pPr>
        <w:spacing w:line="288" w:lineRule="auto"/>
        <w:ind w:firstLine="425" w:firstLineChars="215"/>
        <w:jc w:val="left"/>
        <w:rPr>
          <w:rFonts w:ascii="宋体" w:hAnsi="宋体"/>
          <w:color w:val="auto"/>
          <w:spacing w:val="-6"/>
          <w:sz w:val="21"/>
          <w:szCs w:val="21"/>
          <w:highlight w:val="none"/>
        </w:rPr>
      </w:pPr>
      <w:r>
        <w:rPr>
          <w:rFonts w:hint="eastAsia" w:ascii="宋体" w:hAnsi="宋体"/>
          <w:color w:val="auto"/>
          <w:spacing w:val="-6"/>
          <w:sz w:val="21"/>
          <w:szCs w:val="21"/>
          <w:highlight w:val="none"/>
        </w:rPr>
        <w:t>采购代理服务收费不足叁仟元按叁仟元收取。</w:t>
      </w:r>
    </w:p>
    <w:p>
      <w:pPr>
        <w:widowControl/>
        <w:ind w:firstLine="396" w:firstLineChars="200"/>
        <w:jc w:val="left"/>
        <w:rPr>
          <w:rFonts w:ascii="宋体" w:hAnsi="宋体" w:cs="宋体"/>
          <w:color w:val="auto"/>
          <w:kern w:val="0"/>
          <w:sz w:val="24"/>
          <w:highlight w:val="none"/>
        </w:rPr>
      </w:pPr>
      <w:r>
        <w:rPr>
          <w:rFonts w:hint="eastAsia" w:ascii="宋体" w:hAnsi="宋体"/>
          <w:color w:val="auto"/>
          <w:spacing w:val="-6"/>
          <w:sz w:val="21"/>
          <w:szCs w:val="21"/>
          <w:highlight w:val="none"/>
        </w:rPr>
        <w:t>3.</w:t>
      </w:r>
      <w:r>
        <w:rPr>
          <w:rFonts w:hint="eastAsia" w:ascii="宋体" w:hAnsi="宋体"/>
          <w:color w:val="auto"/>
          <w:sz w:val="21"/>
          <w:szCs w:val="21"/>
          <w:highlight w:val="none"/>
        </w:rPr>
        <w:t xml:space="preserve"> 中标人逾期支付代理服务费，须承担代理服务费每日百分之三的违约金，逾期十日未支付的，采购代理机构有权向杭州仲裁委员会对中标人提起仲裁，</w:t>
      </w:r>
      <w:r>
        <w:rPr>
          <w:rFonts w:hint="eastAsia"/>
          <w:color w:val="auto"/>
          <w:sz w:val="21"/>
          <w:szCs w:val="21"/>
          <w:highlight w:val="none"/>
        </w:rPr>
        <w:t>仲裁费用（包括仲裁受理费和仲裁处理费）均</w:t>
      </w:r>
      <w:r>
        <w:rPr>
          <w:rFonts w:hint="eastAsia" w:ascii="宋体" w:hAnsi="宋体"/>
          <w:color w:val="auto"/>
          <w:sz w:val="21"/>
          <w:szCs w:val="21"/>
          <w:highlight w:val="none"/>
        </w:rPr>
        <w:t>由中标人承担。</w:t>
      </w:r>
      <w:r>
        <w:rPr>
          <w:rFonts w:hint="eastAsia" w:ascii="宋体" w:hAnsi="宋体" w:cs="宋体"/>
          <w:color w:val="auto"/>
          <w:kern w:val="0"/>
          <w:sz w:val="24"/>
          <w:highlight w:val="none"/>
        </w:rPr>
        <w:t xml:space="preserve"> </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联合体投标</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本项目不接受联合体投标。</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288" w:lineRule="auto"/>
        <w:rPr>
          <w:rFonts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.投标人应仔细阅读招标文件的所有内容，按照招标文件的要求提交投标文件，并对所提供的全部资料的真实性承担法律责任。</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4.投标人授权代表必须为投标人本单位在职职工，并提供2019年1月（含）以后任意一月社保缴纳证明。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w:t>
      </w:r>
      <w:r>
        <w:rPr>
          <w:rFonts w:hint="eastAsia" w:hAnsi="宋体"/>
          <w:color w:val="auto"/>
          <w:spacing w:val="-6"/>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非单一产品采购项目，多家投标人提供的核心产品品牌相同的，按前款规定处理</w:t>
      </w:r>
      <w:r>
        <w:rPr>
          <w:rFonts w:hAnsi="宋体"/>
          <w:color w:val="auto"/>
          <w:spacing w:val="-6"/>
          <w:sz w:val="21"/>
          <w:szCs w:val="21"/>
          <w:highlight w:val="none"/>
        </w:rPr>
        <w:t>。</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w:t>
      </w:r>
      <w:r>
        <w:rPr>
          <w:rFonts w:hAnsi="宋体"/>
          <w:color w:val="auto"/>
          <w:spacing w:val="-6"/>
          <w:sz w:val="21"/>
          <w:szCs w:val="21"/>
          <w:highlight w:val="none"/>
        </w:rPr>
        <w:t>.</w:t>
      </w:r>
      <w:r>
        <w:rPr>
          <w:rFonts w:hint="eastAsia" w:hAnsi="宋体"/>
          <w:color w:val="auto"/>
          <w:spacing w:val="-6"/>
          <w:sz w:val="21"/>
          <w:szCs w:val="21"/>
          <w:highlight w:val="none"/>
        </w:rPr>
        <w:t>按照《浙江省政府采购供应商注册及诚信管理暂行办法》（浙财采监字［2009］28号）的相关规定，</w:t>
      </w:r>
      <w:r>
        <w:rPr>
          <w:rFonts w:hAnsi="宋体"/>
          <w:color w:val="auto"/>
          <w:spacing w:val="-6"/>
          <w:sz w:val="21"/>
          <w:szCs w:val="21"/>
          <w:highlight w:val="none"/>
        </w:rPr>
        <w:t>未注册入库供应商参加政府采购活动时，应按</w:t>
      </w:r>
      <w:r>
        <w:rPr>
          <w:rFonts w:hint="eastAsia" w:hAnsi="宋体"/>
          <w:color w:val="auto"/>
          <w:spacing w:val="-6"/>
          <w:sz w:val="21"/>
          <w:szCs w:val="21"/>
          <w:highlight w:val="none"/>
        </w:rPr>
        <w:t>招标</w:t>
      </w:r>
      <w:r>
        <w:rPr>
          <w:rFonts w:hAnsi="宋体"/>
          <w:color w:val="auto"/>
          <w:spacing w:val="-6"/>
          <w:sz w:val="21"/>
          <w:szCs w:val="21"/>
          <w:highlight w:val="none"/>
        </w:rPr>
        <w:t>文件要求提交相应的资格证明材料，按规定接受</w:t>
      </w:r>
      <w:r>
        <w:rPr>
          <w:rFonts w:hint="eastAsia" w:hAnsi="宋体"/>
          <w:color w:val="auto"/>
          <w:spacing w:val="-6"/>
          <w:sz w:val="21"/>
          <w:szCs w:val="21"/>
          <w:highlight w:val="none"/>
        </w:rPr>
        <w:t>采购代理机构</w:t>
      </w:r>
      <w:r>
        <w:rPr>
          <w:rFonts w:hAnsi="宋体"/>
          <w:color w:val="auto"/>
          <w:spacing w:val="-6"/>
          <w:sz w:val="21"/>
          <w:szCs w:val="21"/>
          <w:highlight w:val="none"/>
        </w:rPr>
        <w:t>或其委托的评审专家的资格审查和其他评审。一旦被确定为中标候选供应商的，应在中标通知书发出前的3个工作日内按本办法的规定进行注册申请，否则，</w:t>
      </w:r>
      <w:r>
        <w:rPr>
          <w:rFonts w:hint="eastAsia" w:hAnsi="宋体"/>
          <w:color w:val="auto"/>
          <w:spacing w:val="-6"/>
          <w:sz w:val="21"/>
          <w:szCs w:val="21"/>
          <w:highlight w:val="none"/>
        </w:rPr>
        <w:t>采购代理机构</w:t>
      </w:r>
      <w:r>
        <w:rPr>
          <w:rFonts w:hAnsi="宋体"/>
          <w:color w:val="auto"/>
          <w:spacing w:val="-6"/>
          <w:sz w:val="21"/>
          <w:szCs w:val="21"/>
          <w:highlight w:val="none"/>
        </w:rPr>
        <w:t>可以拒绝向其发出中标通知书，并直接推荐排名次之的供应商为中标候选供应商，依次类推。</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w:t>
      </w:r>
      <w:r>
        <w:rPr>
          <w:rFonts w:hAnsi="宋体"/>
          <w:color w:val="auto"/>
          <w:spacing w:val="-6"/>
          <w:sz w:val="21"/>
          <w:szCs w:val="21"/>
          <w:highlight w:val="none"/>
        </w:rPr>
        <w:t>投标人</w:t>
      </w:r>
      <w:r>
        <w:rPr>
          <w:rFonts w:hint="eastAsia" w:hAnsi="宋体"/>
          <w:color w:val="auto"/>
          <w:spacing w:val="-6"/>
          <w:sz w:val="21"/>
          <w:szCs w:val="21"/>
          <w:highlight w:val="none"/>
        </w:rPr>
        <w:t>认为招标文件、招标过程和中标结果使自己的权益受到损害的，可以在知道或者应知其权益受到损害之日起七个工作日内，以书面形式向采购人或</w:t>
      </w:r>
      <w:r>
        <w:rPr>
          <w:rFonts w:hAnsi="宋体"/>
          <w:color w:val="auto"/>
          <w:spacing w:val="-6"/>
          <w:sz w:val="21"/>
          <w:szCs w:val="21"/>
          <w:highlight w:val="none"/>
        </w:rPr>
        <w:t>采购代理机构</w:t>
      </w:r>
      <w:r>
        <w:rPr>
          <w:rFonts w:hint="eastAsia" w:hAnsi="宋体"/>
          <w:color w:val="auto"/>
          <w:spacing w:val="-6"/>
          <w:sz w:val="21"/>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int="eastAsia" w:hAnsi="宋体"/>
          <w:b/>
          <w:color w:val="auto"/>
          <w:spacing w:val="-6"/>
          <w:sz w:val="21"/>
          <w:szCs w:val="21"/>
          <w:highlight w:val="none"/>
        </w:rPr>
        <w:t>投标人提出质疑应当提交质疑函和必要的证明材料，质疑函范本请到“浙江政府采购网下载专区”下载，质疑函应当包括下列内容：</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（二）质疑项目的名称、编号；</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投标人为自然人的，应当由本人签字；投标人为法人或者其他组织的，应当由法定代表人、主要负责人，或者其授权代表签字或者盖章，并加盖公章。</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3.提出质疑的供应商应当是参与本项目招标活动的投标人。</w:t>
      </w:r>
      <w:r>
        <w:rPr>
          <w:rFonts w:hint="eastAsia" w:hAnsi="宋体"/>
          <w:b/>
          <w:color w:val="auto"/>
          <w:spacing w:val="-6"/>
          <w:sz w:val="21"/>
          <w:szCs w:val="21"/>
          <w:highlight w:val="none"/>
        </w:rPr>
        <w:t>投标人在法定质疑期内应一次性提出针对同一采购程序环节的质疑。</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4.根据《政府采购质疑和投诉办法》第三十七条的规定，投诉人在全国范围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（一）捏造事实</w:t>
      </w:r>
      <w:r>
        <w:rPr>
          <w:rFonts w:hAnsi="宋体"/>
          <w:color w:val="auto"/>
          <w:spacing w:val="-6"/>
          <w:sz w:val="21"/>
          <w:szCs w:val="21"/>
          <w:highlight w:val="none"/>
        </w:rPr>
        <w:t>;</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（二）提供虚假材料</w:t>
      </w:r>
      <w:r>
        <w:rPr>
          <w:rFonts w:hAnsi="宋体"/>
          <w:color w:val="auto"/>
          <w:spacing w:val="-6"/>
          <w:sz w:val="21"/>
          <w:szCs w:val="21"/>
          <w:highlight w:val="none"/>
        </w:rPr>
        <w:t>;</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10"/>
        <w:spacing w:line="288" w:lineRule="auto"/>
        <w:ind w:firstLine="406" w:firstLineChars="200"/>
        <w:rPr>
          <w:rFonts w:cs="宋体"/>
          <w:b/>
          <w:color w:val="auto"/>
          <w:sz w:val="21"/>
          <w:szCs w:val="21"/>
          <w:highlight w:val="none"/>
        </w:rPr>
      </w:pPr>
    </w:p>
    <w:p>
      <w:pPr>
        <w:pStyle w:val="10"/>
        <w:spacing w:line="288" w:lineRule="auto"/>
        <w:ind w:firstLine="404" w:firstLineChars="200"/>
        <w:jc w:val="left"/>
        <w:rPr>
          <w:rFonts w:hAnsi="宋体" w:cs="宋体"/>
          <w:color w:val="auto"/>
          <w:kern w:val="0"/>
          <w:sz w:val="21"/>
          <w:szCs w:val="21"/>
          <w:highlight w:val="none"/>
        </w:rPr>
      </w:pPr>
    </w:p>
    <w:p>
      <w:pPr>
        <w:pStyle w:val="10"/>
        <w:spacing w:line="288" w:lineRule="auto"/>
        <w:ind w:firstLine="0"/>
        <w:jc w:val="center"/>
        <w:outlineLvl w:val="1"/>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、招标文件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招标文件的构成。本招标文件由以下部份组成：</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1.投标邀请</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3.投标人须知</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4.评标办法及评分标准</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5.拟签订的合同文本</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6.投标文件格式</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7.本项目招标文件的澄清、答复、修改、补充的内容</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（二） 投标人的风险</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招标文件的澄清与修改</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.采购人或者采购代理机构可以对已发出的招标文件进行必要的澄清或者修改</w:t>
      </w:r>
      <w:r>
        <w:rPr>
          <w:rFonts w:hint="eastAsia" w:hAnsi="宋体"/>
          <w:color w:val="auto"/>
          <w:spacing w:val="-6"/>
          <w:sz w:val="21"/>
          <w:szCs w:val="21"/>
          <w:highlight w:val="none"/>
        </w:rPr>
        <w:t>，</w:t>
      </w:r>
      <w:r>
        <w:rPr>
          <w:rFonts w:hAnsi="宋体"/>
          <w:color w:val="auto"/>
          <w:spacing w:val="-6"/>
          <w:sz w:val="21"/>
          <w:szCs w:val="21"/>
          <w:highlight w:val="none"/>
        </w:rPr>
        <w:t>澄清或者修改</w:t>
      </w:r>
      <w:r>
        <w:rPr>
          <w:rFonts w:hint="eastAsia" w:hAnsi="宋体"/>
          <w:color w:val="auto"/>
          <w:spacing w:val="-6"/>
          <w:sz w:val="21"/>
          <w:szCs w:val="21"/>
          <w:highlight w:val="none"/>
        </w:rPr>
        <w:t>会</w:t>
      </w:r>
      <w:r>
        <w:rPr>
          <w:rFonts w:hAnsi="宋体"/>
          <w:color w:val="auto"/>
          <w:spacing w:val="-6"/>
          <w:sz w:val="21"/>
          <w:szCs w:val="21"/>
          <w:highlight w:val="none"/>
        </w:rPr>
        <w:t>在原公告发布媒体上发布澄清公告</w:t>
      </w:r>
      <w:r>
        <w:rPr>
          <w:rFonts w:hint="eastAsia" w:hAnsi="宋体"/>
          <w:color w:val="auto"/>
          <w:spacing w:val="-6"/>
          <w:sz w:val="21"/>
          <w:szCs w:val="21"/>
          <w:highlight w:val="none"/>
        </w:rPr>
        <w:t>，</w:t>
      </w:r>
      <w:r>
        <w:rPr>
          <w:rFonts w:hAnsi="宋体"/>
          <w:color w:val="auto"/>
          <w:spacing w:val="-6"/>
          <w:sz w:val="21"/>
          <w:szCs w:val="21"/>
          <w:highlight w:val="none"/>
        </w:rPr>
        <w:t>澄清或者修改的内容为招标文件的组成部分。</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2.招标文件的修改将以书面形式通知所有购买招标文件的投标人，并对其具有约束力。投标人在收到上述通知后，应立即向采购</w:t>
      </w:r>
      <w:r>
        <w:rPr>
          <w:rFonts w:hAnsi="宋体"/>
          <w:color w:val="auto"/>
          <w:spacing w:val="-6"/>
          <w:sz w:val="21"/>
          <w:szCs w:val="21"/>
          <w:highlight w:val="none"/>
        </w:rPr>
        <w:t>代理机构</w:t>
      </w:r>
      <w:r>
        <w:rPr>
          <w:rFonts w:hint="eastAsia" w:hAnsi="宋体"/>
          <w:color w:val="auto"/>
          <w:spacing w:val="-6"/>
          <w:sz w:val="21"/>
          <w:szCs w:val="21"/>
          <w:highlight w:val="none"/>
        </w:rPr>
        <w:t>回函确认。若无书面回函确认，视同投标人已收到招标文件修改的通知，并受其约束。</w:t>
      </w:r>
    </w:p>
    <w:p>
      <w:pPr>
        <w:pStyle w:val="10"/>
        <w:spacing w:line="288" w:lineRule="auto"/>
        <w:ind w:firstLine="0"/>
        <w:jc w:val="center"/>
        <w:outlineLvl w:val="1"/>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投标文件的编制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投标文件的组成</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投标文件由</w:t>
      </w:r>
      <w:r>
        <w:rPr>
          <w:rFonts w:hint="eastAsia" w:hAnsi="宋体"/>
          <w:b/>
          <w:color w:val="auto"/>
          <w:spacing w:val="-6"/>
          <w:sz w:val="21"/>
          <w:szCs w:val="21"/>
          <w:highlight w:val="none"/>
        </w:rPr>
        <w:t>报价文件、资格文件及商务和技术文件</w:t>
      </w:r>
      <w:r>
        <w:rPr>
          <w:rFonts w:hint="eastAsia" w:hAnsi="宋体"/>
          <w:color w:val="auto"/>
          <w:spacing w:val="-6"/>
          <w:sz w:val="21"/>
          <w:szCs w:val="21"/>
          <w:highlight w:val="none"/>
        </w:rPr>
        <w:t>两部分组成（格式详见招标文件第六章）。</w:t>
      </w:r>
    </w:p>
    <w:p>
      <w:pPr>
        <w:spacing w:line="288" w:lineRule="auto"/>
        <w:ind w:firstLine="398" w:firstLineChars="200"/>
        <w:jc w:val="left"/>
        <w:rPr>
          <w:rFonts w:ascii="宋体" w:hAnsi="宋体"/>
          <w:b/>
          <w:color w:val="auto"/>
          <w:spacing w:val="-6"/>
          <w:sz w:val="21"/>
          <w:szCs w:val="21"/>
          <w:highlight w:val="none"/>
        </w:rPr>
      </w:pPr>
      <w:r>
        <w:rPr>
          <w:rFonts w:ascii="宋体" w:hAnsi="宋体"/>
          <w:b/>
          <w:color w:val="auto"/>
          <w:spacing w:val="-6"/>
          <w:sz w:val="21"/>
          <w:szCs w:val="21"/>
          <w:highlight w:val="none"/>
        </w:rPr>
        <w:t>1.</w:t>
      </w:r>
      <w:r>
        <w:rPr>
          <w:rFonts w:hint="eastAsia" w:ascii="宋体" w:hAnsi="宋体"/>
          <w:b/>
          <w:color w:val="auto"/>
          <w:spacing w:val="-6"/>
          <w:sz w:val="21"/>
          <w:szCs w:val="21"/>
          <w:highlight w:val="none"/>
        </w:rPr>
        <w:t>报价文件：（单独密封，</w:t>
      </w:r>
      <w:r>
        <w:rPr>
          <w:rFonts w:ascii="宋体" w:hAnsi="宋体"/>
          <w:b/>
          <w:color w:val="auto"/>
          <w:spacing w:val="-6"/>
          <w:sz w:val="21"/>
          <w:szCs w:val="21"/>
          <w:highlight w:val="none"/>
        </w:rPr>
        <w:t>如开标时发生报价泄露</w:t>
      </w:r>
      <w:r>
        <w:rPr>
          <w:rFonts w:hint="eastAsia" w:ascii="宋体" w:hAnsi="宋体"/>
          <w:b/>
          <w:color w:val="auto"/>
          <w:spacing w:val="-6"/>
          <w:sz w:val="21"/>
          <w:szCs w:val="21"/>
          <w:highlight w:val="none"/>
        </w:rPr>
        <w:t>，</w:t>
      </w:r>
      <w:r>
        <w:rPr>
          <w:rFonts w:ascii="宋体" w:hAnsi="宋体"/>
          <w:b/>
          <w:color w:val="auto"/>
          <w:spacing w:val="-6"/>
          <w:sz w:val="21"/>
          <w:szCs w:val="21"/>
          <w:highlight w:val="none"/>
        </w:rPr>
        <w:t>自行承担相关责任</w:t>
      </w:r>
      <w:r>
        <w:rPr>
          <w:rFonts w:hint="eastAsia" w:ascii="宋体" w:hAnsi="宋体"/>
          <w:b/>
          <w:color w:val="auto"/>
          <w:spacing w:val="-6"/>
          <w:sz w:val="21"/>
          <w:szCs w:val="21"/>
          <w:highlight w:val="none"/>
        </w:rPr>
        <w:t>）</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（1）开标一览表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（2）投标报价明细表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（3）投标人企业类型声明函</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w:t>
      </w:r>
      <w:bookmarkStart w:id="18" w:name="OLE_LINK14"/>
      <w:bookmarkStart w:id="19" w:name="OLE_LINK13"/>
      <w:r>
        <w:rPr>
          <w:rFonts w:hint="eastAsia" w:hAnsi="宋体"/>
          <w:color w:val="auto"/>
          <w:spacing w:val="-6"/>
          <w:sz w:val="21"/>
          <w:szCs w:val="21"/>
          <w:highlight w:val="none"/>
        </w:rPr>
        <w:t>残疾人福利性单位声明函</w:t>
      </w:r>
      <w:bookmarkEnd w:id="18"/>
      <w:bookmarkEnd w:id="19"/>
      <w:r>
        <w:rPr>
          <w:rFonts w:hint="eastAsia" w:hAnsi="宋体"/>
          <w:color w:val="auto"/>
          <w:spacing w:val="-6"/>
          <w:sz w:val="21"/>
          <w:szCs w:val="21"/>
          <w:highlight w:val="none"/>
        </w:rPr>
        <w:t>（若属于残疾人福利性单位）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hint="eastAsia" w:hAnsi="宋体"/>
          <w:b/>
          <w:color w:val="auto"/>
          <w:spacing w:val="-6"/>
          <w:sz w:val="21"/>
          <w:szCs w:val="21"/>
          <w:highlight w:val="none"/>
        </w:rPr>
        <w:t>资格文件及</w:t>
      </w:r>
      <w:r>
        <w:rPr>
          <w:rFonts w:hint="eastAsia" w:ascii="宋体" w:hAnsi="宋体"/>
          <w:b/>
          <w:color w:val="auto"/>
          <w:spacing w:val="-6"/>
          <w:sz w:val="21"/>
          <w:szCs w:val="21"/>
          <w:highlight w:val="none"/>
        </w:rPr>
        <w:t>商务和技术文件：</w:t>
      </w:r>
    </w:p>
    <w:p>
      <w:pPr>
        <w:spacing w:line="288" w:lineRule="auto"/>
        <w:ind w:firstLine="396" w:firstLineChars="200"/>
        <w:jc w:val="left"/>
        <w:rPr>
          <w:rFonts w:ascii="宋体" w:hAnsi="宋体"/>
          <w:b/>
          <w:color w:val="auto"/>
          <w:spacing w:val="-6"/>
          <w:sz w:val="21"/>
          <w:szCs w:val="21"/>
          <w:highlight w:val="none"/>
        </w:rPr>
      </w:pPr>
      <w:r>
        <w:rPr>
          <w:rFonts w:ascii="宋体" w:hAnsi="宋体"/>
          <w:color w:val="auto"/>
          <w:spacing w:val="-6"/>
          <w:sz w:val="21"/>
          <w:szCs w:val="21"/>
          <w:highlight w:val="none"/>
        </w:rPr>
        <w:t>▲</w:t>
      </w:r>
      <w:r>
        <w:rPr>
          <w:rFonts w:hint="eastAsia" w:ascii="宋体" w:hAnsi="宋体"/>
          <w:b/>
          <w:color w:val="auto"/>
          <w:spacing w:val="-6"/>
          <w:sz w:val="21"/>
          <w:szCs w:val="21"/>
          <w:highlight w:val="none"/>
        </w:rPr>
        <w:t xml:space="preserve">2.1 </w:t>
      </w:r>
      <w:r>
        <w:rPr>
          <w:rFonts w:hint="eastAsia" w:hAnsi="宋体"/>
          <w:b/>
          <w:color w:val="auto"/>
          <w:spacing w:val="-6"/>
          <w:sz w:val="21"/>
          <w:szCs w:val="21"/>
          <w:highlight w:val="none"/>
        </w:rPr>
        <w:t>资格文件：</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资格审查要求的资格证明材料(均需加盖公章，具体要求及说明见第六章 投标文件格式)：</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（1）有效的法人或者其他组织的营业执照等证明文件（复印件），自然人的身份证明；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int="eastAsia" w:hAnsi="宋体"/>
          <w:color w:val="auto"/>
          <w:sz w:val="21"/>
          <w:szCs w:val="21"/>
          <w:highlight w:val="none"/>
        </w:rPr>
        <w:t>2018年12月（含）以后任意一月的财务状况报告（复印件，包括资产负债表、利润表，两表缺一不可）或开标前三个月内出具的银行资信证明（若资信证明中注明复印无效，需提交正本）；</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（3）2019年1月（含）以后任意一月依法缴纳税收的证明材料（依法免税的投标人，应提供相应文件证明其依法免税）；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（4）2019年1月（含）以后任意一月依法缴纳社会保障资金的证明材料（依法不需要缴纳社会保障资金的投标人，应提供相应文件证明其依法不需要缴纳社会保障资金）；</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（5）具有履行合同所必需的设备和专业技术能力的承诺函；</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（6）参加政府采购活动前3年内在经营活动中没有重大违法记录的书面声明。</w:t>
      </w:r>
    </w:p>
    <w:p>
      <w:pPr>
        <w:spacing w:line="288" w:lineRule="auto"/>
        <w:ind w:firstLine="398" w:firstLineChars="200"/>
        <w:jc w:val="left"/>
        <w:rPr>
          <w:rFonts w:ascii="宋体" w:hAnsi="宋体"/>
          <w:color w:val="auto"/>
          <w:spacing w:val="-6"/>
          <w:sz w:val="21"/>
          <w:szCs w:val="21"/>
          <w:highlight w:val="none"/>
        </w:rPr>
      </w:pPr>
      <w:r>
        <w:rPr>
          <w:rFonts w:hint="eastAsia" w:ascii="宋体" w:hAnsi="宋体"/>
          <w:b/>
          <w:color w:val="auto"/>
          <w:spacing w:val="-6"/>
          <w:sz w:val="21"/>
          <w:szCs w:val="21"/>
          <w:highlight w:val="none"/>
        </w:rPr>
        <w:t>2.2 商务和技术文件：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（1）投标函</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（3）2019年1月（含）以后任意一月</w:t>
      </w:r>
      <w:r>
        <w:rPr>
          <w:rFonts w:hAnsi="宋体"/>
          <w:color w:val="auto"/>
          <w:spacing w:val="-6"/>
          <w:sz w:val="21"/>
          <w:szCs w:val="21"/>
          <w:highlight w:val="none"/>
        </w:rPr>
        <w:t>投标授权代表社保缴纳证明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（4）投标声明书</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（5）投标人情况介绍</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（6）投标人同类项目实施情况一览表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（7）节能、环保产品证明材料</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（8）投标人需要说明的其他文件和材料</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w:t>
      </w:r>
      <w:r>
        <w:rPr>
          <w:rFonts w:ascii="宋体" w:hAnsi="宋体"/>
          <w:color w:val="auto"/>
          <w:spacing w:val="-6"/>
          <w:sz w:val="21"/>
          <w:szCs w:val="21"/>
          <w:highlight w:val="none"/>
        </w:rPr>
        <w:t>需求</w:t>
      </w:r>
      <w:r>
        <w:rPr>
          <w:rFonts w:hint="eastAsia" w:ascii="宋体" w:hAnsi="宋体"/>
          <w:color w:val="auto"/>
          <w:spacing w:val="-6"/>
          <w:sz w:val="21"/>
          <w:szCs w:val="21"/>
          <w:highlight w:val="none"/>
        </w:rPr>
        <w:t>偏离表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（2）标的物</w:t>
      </w:r>
      <w:r>
        <w:rPr>
          <w:rFonts w:ascii="宋体" w:hAnsi="宋体"/>
          <w:color w:val="auto"/>
          <w:spacing w:val="-6"/>
          <w:sz w:val="21"/>
          <w:szCs w:val="21"/>
          <w:highlight w:val="none"/>
        </w:rPr>
        <w:t>配置清单（不含报价）</w:t>
      </w:r>
      <w:r>
        <w:rPr>
          <w:rFonts w:hint="eastAsia" w:ascii="宋体" w:hAnsi="宋体"/>
          <w:color w:val="auto"/>
          <w:spacing w:val="-6"/>
          <w:sz w:val="21"/>
          <w:szCs w:val="21"/>
          <w:highlight w:val="none"/>
        </w:rPr>
        <w:t>、</w:t>
      </w:r>
      <w:r>
        <w:rPr>
          <w:rFonts w:ascii="宋体" w:hAnsi="宋体"/>
          <w:color w:val="auto"/>
          <w:spacing w:val="-6"/>
          <w:sz w:val="21"/>
          <w:szCs w:val="21"/>
          <w:highlight w:val="none"/>
        </w:rPr>
        <w:t>原厂出厂配置表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投标</w:t>
      </w:r>
      <w:r>
        <w:rPr>
          <w:rFonts w:hint="eastAsia" w:ascii="宋体" w:hAnsi="宋体"/>
          <w:color w:val="auto"/>
          <w:spacing w:val="-6"/>
          <w:sz w:val="21"/>
          <w:szCs w:val="21"/>
          <w:highlight w:val="none"/>
        </w:rPr>
        <w:t>产品技术支持材料</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（4）技术方案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）项目实施</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）售后服务</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7</w:t>
      </w:r>
      <w:r>
        <w:rPr>
          <w:rFonts w:hint="eastAsia" w:ascii="宋体" w:hAnsi="宋体"/>
          <w:color w:val="auto"/>
          <w:spacing w:val="-6"/>
          <w:sz w:val="21"/>
          <w:szCs w:val="21"/>
          <w:highlight w:val="none"/>
        </w:rPr>
        <w:t>）技术服务培训</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）服务团队</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投标文件的签署和份数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1.投标人应按本招标文件规定的格式和顺序编制、装订投标文件，投标文件内容不完整、编排混乱导致投标文件被误读、漏读或者查找不到相关内容的，是投标人的责任。</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b/>
          <w:color w:val="auto"/>
          <w:spacing w:val="-6"/>
          <w:sz w:val="21"/>
          <w:szCs w:val="21"/>
          <w:highlight w:val="none"/>
        </w:rPr>
        <w:t>投标人应按报价文件单独装订成册、资格文件及商务和技术文件合并装订成册，其中正本一份、副本五份，投标文件的封面应注明“正本</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、“副本”字样，</w:t>
      </w:r>
      <w:r>
        <w:rPr>
          <w:rFonts w:hint="eastAsia" w:ascii="宋体" w:hAnsi="宋体"/>
          <w:b/>
          <w:bCs/>
          <w:color w:val="auto"/>
          <w:spacing w:val="-6"/>
          <w:sz w:val="21"/>
          <w:szCs w:val="21"/>
          <w:highlight w:val="none"/>
        </w:rPr>
        <w:t>同时提供响应文件电子文档一份（U盘或光盘形式，电子文档需为签字且加盖公章后的投标文件完成版</w:t>
      </w:r>
      <w:r>
        <w:rPr>
          <w:rFonts w:hint="eastAsia" w:ascii="宋体" w:hAnsi="宋体"/>
          <w:b/>
          <w:color w:val="auto"/>
          <w:sz w:val="21"/>
          <w:szCs w:val="21"/>
          <w:highlight w:val="none"/>
        </w:rPr>
        <w:t>彩色扫描件</w:t>
      </w:r>
      <w:r>
        <w:rPr>
          <w:rFonts w:hint="eastAsia" w:ascii="宋体" w:hAnsi="宋体"/>
          <w:b/>
          <w:bCs/>
          <w:color w:val="auto"/>
          <w:spacing w:val="-6"/>
          <w:sz w:val="21"/>
          <w:szCs w:val="21"/>
          <w:highlight w:val="none"/>
        </w:rPr>
        <w:t>）</w:t>
      </w:r>
      <w:r>
        <w:rPr>
          <w:rFonts w:hint="eastAsia" w:ascii="宋体" w:hAnsi="宋体"/>
          <w:b/>
          <w:color w:val="auto"/>
          <w:spacing w:val="-6"/>
          <w:sz w:val="21"/>
          <w:szCs w:val="21"/>
          <w:highlight w:val="none"/>
        </w:rPr>
        <w:t>。</w:t>
      </w:r>
    </w:p>
    <w:p>
      <w:pPr>
        <w:spacing w:line="288" w:lineRule="auto"/>
        <w:ind w:firstLine="396" w:firstLineChars="200"/>
        <w:jc w:val="left"/>
        <w:rPr>
          <w:rFonts w:ascii="宋体" w:hAnsi="宋体"/>
          <w:b/>
          <w:snapToGrid w:val="0"/>
          <w:color w:val="auto"/>
          <w:kern w:val="0"/>
          <w:sz w:val="21"/>
          <w:szCs w:val="21"/>
          <w:highlight w:val="none"/>
        </w:rPr>
      </w:pPr>
      <w:r>
        <w:rPr>
          <w:rFonts w:hint="eastAsia" w:ascii="宋体" w:hAnsi="宋体"/>
          <w:color w:val="auto"/>
          <w:spacing w:val="-6"/>
          <w:sz w:val="21"/>
          <w:szCs w:val="21"/>
          <w:highlight w:val="none"/>
        </w:rPr>
        <w:t>▲</w:t>
      </w:r>
      <w:r>
        <w:rPr>
          <w:rFonts w:hint="eastAsia" w:ascii="宋体" w:hAnsi="宋体"/>
          <w:b/>
          <w:color w:val="auto"/>
          <w:spacing w:val="-6"/>
          <w:sz w:val="21"/>
          <w:szCs w:val="21"/>
          <w:highlight w:val="none"/>
        </w:rPr>
        <w:t>活页装订（卡条、抽杆夹、订书机、散装）的投标文件无效。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4.投标文件须由投标人在规定位置盖章并由投标人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签署，投标人应写全称。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5.投标文件不得涂改，若有修改错漏处，须由投标人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签字并加盖公章。投标文件因字迹潦草或表达不清所引起的后果由投标人负责。</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投标文件的包装、递交、修改和撤回</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hint="eastAsia" w:ascii="宋体" w:hAnsi="宋体"/>
          <w:b/>
          <w:color w:val="auto"/>
          <w:spacing w:val="-6"/>
          <w:sz w:val="21"/>
          <w:szCs w:val="21"/>
          <w:highlight w:val="none"/>
        </w:rPr>
        <w:t>投标人应按报价文件、</w:t>
      </w:r>
      <w:r>
        <w:rPr>
          <w:rFonts w:ascii="宋体" w:hAnsi="宋体"/>
          <w:b/>
          <w:color w:val="auto"/>
          <w:spacing w:val="-6"/>
          <w:sz w:val="21"/>
          <w:szCs w:val="21"/>
          <w:highlight w:val="none"/>
        </w:rPr>
        <w:t>资格文件及</w:t>
      </w:r>
      <w:r>
        <w:rPr>
          <w:rFonts w:hint="eastAsia" w:ascii="宋体" w:hAnsi="宋体"/>
          <w:b/>
          <w:color w:val="auto"/>
          <w:spacing w:val="-6"/>
          <w:sz w:val="21"/>
          <w:szCs w:val="21"/>
          <w:highlight w:val="none"/>
        </w:rPr>
        <w:t>商务和技术文件分别密封包装，相同部分的正副本可密封在同一个密封袋内。</w:t>
      </w:r>
      <w:r>
        <w:rPr>
          <w:rFonts w:hint="eastAsia" w:ascii="宋体" w:hAnsi="宋体"/>
          <w:color w:val="auto"/>
          <w:spacing w:val="-6"/>
          <w:sz w:val="21"/>
          <w:szCs w:val="21"/>
          <w:highlight w:val="none"/>
        </w:rPr>
        <w:t>投标人应在投标文件包装封面上注明投标人名称、投标人地址、投标文件名称（报价文件、资格</w:t>
      </w:r>
      <w:r>
        <w:rPr>
          <w:rFonts w:ascii="宋体" w:hAnsi="宋体"/>
          <w:color w:val="auto"/>
          <w:spacing w:val="-6"/>
          <w:sz w:val="21"/>
          <w:szCs w:val="21"/>
          <w:highlight w:val="none"/>
        </w:rPr>
        <w:t>文件及</w:t>
      </w:r>
      <w:r>
        <w:rPr>
          <w:rFonts w:hint="eastAsia" w:ascii="宋体" w:hAnsi="宋体"/>
          <w:color w:val="auto"/>
          <w:spacing w:val="-6"/>
          <w:sz w:val="21"/>
          <w:szCs w:val="21"/>
          <w:highlight w:val="none"/>
        </w:rPr>
        <w:t>商务和技术文件）、投标项目名称、项目编号、</w:t>
      </w:r>
      <w:r>
        <w:rPr>
          <w:rFonts w:ascii="宋体" w:hAnsi="宋体"/>
          <w:color w:val="auto"/>
          <w:spacing w:val="-6"/>
          <w:sz w:val="21"/>
          <w:szCs w:val="21"/>
          <w:highlight w:val="none"/>
        </w:rPr>
        <w:t>标项</w:t>
      </w:r>
      <w:r>
        <w:rPr>
          <w:rFonts w:hint="eastAsia" w:ascii="宋体" w:hAnsi="宋体"/>
          <w:color w:val="auto"/>
          <w:spacing w:val="-6"/>
          <w:sz w:val="21"/>
          <w:szCs w:val="21"/>
          <w:highlight w:val="none"/>
        </w:rPr>
        <w:t>及“开标时启封”字样，并加盖投标人公章。</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标记的投标文件被误投或提前拆封的风险由投标人承担。</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color w:val="auto"/>
          <w:spacing w:val="-6"/>
          <w:sz w:val="21"/>
          <w:szCs w:val="21"/>
          <w:highlight w:val="none"/>
        </w:rPr>
        <w:t>。</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（四） 投标文件的语言及计量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投标文件以及投标人与采购人或</w:t>
      </w:r>
      <w:r>
        <w:rPr>
          <w:rFonts w:ascii="宋体" w:hAnsi="宋体"/>
          <w:color w:val="auto"/>
          <w:spacing w:val="-6"/>
          <w:sz w:val="21"/>
          <w:szCs w:val="21"/>
          <w:highlight w:val="none"/>
        </w:rPr>
        <w:t>采购代理机构</w:t>
      </w:r>
      <w:r>
        <w:rPr>
          <w:rFonts w:hint="eastAsia" w:ascii="宋体" w:hAnsi="宋体"/>
          <w:color w:val="auto"/>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（五） 投标报价</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int="eastAsia" w:hAnsi="宋体"/>
          <w:b/>
          <w:color w:val="auto"/>
          <w:spacing w:val="-6"/>
          <w:sz w:val="21"/>
          <w:szCs w:val="21"/>
          <w:highlight w:val="none"/>
        </w:rPr>
        <w:t>本次投标采用人民币报价。</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b/>
          <w:bCs/>
          <w:color w:val="auto"/>
          <w:spacing w:val="-6"/>
          <w:sz w:val="21"/>
          <w:szCs w:val="21"/>
          <w:highlight w:val="none"/>
        </w:rPr>
        <w:t>投标报价是指一次性报出不得更改的价格</w:t>
      </w:r>
      <w:r>
        <w:rPr>
          <w:rFonts w:hint="eastAsia" w:hAnsi="宋体"/>
          <w:b/>
          <w:bCs/>
          <w:color w:val="auto"/>
          <w:spacing w:val="-6"/>
          <w:sz w:val="21"/>
          <w:szCs w:val="21"/>
          <w:highlight w:val="none"/>
        </w:rPr>
        <w:t>，</w:t>
      </w:r>
      <w:r>
        <w:rPr>
          <w:rFonts w:hAnsi="宋体"/>
          <w:b/>
          <w:bCs/>
          <w:color w:val="auto"/>
          <w:spacing w:val="-6"/>
          <w:sz w:val="21"/>
          <w:szCs w:val="21"/>
          <w:highlight w:val="none"/>
        </w:rPr>
        <w:t>投标报价应按招标文件中相关附表格式填写</w:t>
      </w:r>
      <w:r>
        <w:rPr>
          <w:rFonts w:hint="eastAsia" w:hAnsi="宋体"/>
          <w:color w:val="auto"/>
          <w:spacing w:val="-6"/>
          <w:sz w:val="21"/>
          <w:szCs w:val="21"/>
          <w:highlight w:val="none"/>
        </w:rPr>
        <w:t>。</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投标报价是履行合同的最终价格，应包括</w:t>
      </w:r>
      <w:r>
        <w:rPr>
          <w:rFonts w:hint="eastAsia" w:hAnsi="宋体"/>
          <w:color w:val="auto"/>
          <w:spacing w:val="-6"/>
          <w:sz w:val="21"/>
          <w:szCs w:val="21"/>
          <w:highlight w:val="none"/>
        </w:rPr>
        <w:t>完成所有产品供货及履行所有规定服务所产生的全部费用</w:t>
      </w:r>
      <w:r>
        <w:rPr>
          <w:rFonts w:hAnsi="宋体"/>
          <w:color w:val="auto"/>
          <w:spacing w:val="-6"/>
          <w:sz w:val="21"/>
          <w:szCs w:val="21"/>
          <w:highlight w:val="none"/>
        </w:rPr>
        <w:t>。</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w:t>
      </w:r>
      <w:r>
        <w:rPr>
          <w:rFonts w:hint="eastAsia" w:hAnsi="宋体"/>
          <w:color w:val="auto"/>
          <w:spacing w:val="-6"/>
          <w:sz w:val="21"/>
          <w:szCs w:val="21"/>
          <w:highlight w:val="none"/>
        </w:rPr>
        <w:t>投标文件只允许有一个报价，有选择的报价将不予接受。</w:t>
      </w:r>
    </w:p>
    <w:p>
      <w:pPr>
        <w:pStyle w:val="6"/>
        <w:widowControl w:val="0"/>
        <w:tabs>
          <w:tab w:val="left" w:pos="720"/>
        </w:tabs>
        <w:spacing w:after="0" w:afterLines="0" w:line="288" w:lineRule="auto"/>
        <w:ind w:left="327" w:hanging="327"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投标有效期</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从提交投标文件的截止之日起算90天。</w:t>
      </w:r>
    </w:p>
    <w:p>
      <w:pPr>
        <w:pStyle w:val="12"/>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在原投标有效期满之前，如果出现特殊情况，采购人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以书面形式通知投标人延长投标有效期。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投标无效的情形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在资格审查时，如发现下列情形之一的，投标文件将被视为无效：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招标</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（2）投标人不具备招标文件中规定的资格要求的；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时，如发现下列情形之一的，投标文件将被视为无效：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资格</w:t>
      </w:r>
      <w:r>
        <w:rPr>
          <w:rFonts w:ascii="宋体" w:hAnsi="宋体"/>
          <w:color w:val="auto"/>
          <w:spacing w:val="-6"/>
          <w:sz w:val="21"/>
          <w:szCs w:val="21"/>
          <w:highlight w:val="none"/>
        </w:rPr>
        <w:t>文件及</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（2）未提供或未按要求提供投标函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、法定代表人授权委托书、投标</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参加投</w:t>
      </w:r>
      <w:r>
        <w:rPr>
          <w:rFonts w:hint="eastAsia" w:ascii="宋体" w:hAnsi="宋体"/>
          <w:bCs/>
          <w:color w:val="auto"/>
          <w:spacing w:val="-6"/>
          <w:sz w:val="21"/>
          <w:szCs w:val="21"/>
          <w:highlight w:val="none"/>
        </w:rPr>
        <w:t>标但未</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投标授权代表社保缴纳证明的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ascii="宋体" w:hAnsi="宋体"/>
          <w:color w:val="auto"/>
          <w:spacing w:val="-6"/>
          <w:sz w:val="21"/>
          <w:szCs w:val="21"/>
          <w:highlight w:val="none"/>
        </w:rPr>
        <w:t>招标文件中标“▲”的项目发生实质性偏离的；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未提供或未如实提供投标货物的技术参数，或者投标文件标明的响应或偏离与事实不符或虚假投标的；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w:t>
      </w:r>
      <w:r>
        <w:rPr>
          <w:rFonts w:ascii="宋体" w:hAnsi="宋体"/>
          <w:color w:val="auto"/>
          <w:spacing w:val="-6"/>
          <w:sz w:val="21"/>
          <w:szCs w:val="21"/>
          <w:highlight w:val="none"/>
        </w:rPr>
        <w:t>投标技术方案不明确，存在一个或一个以上备选（替代）投标方案的；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（8）投标文件含有采购人不能接受的附加条件的；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（9）法律、法规和招标文件规定的其他无效情形。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.在报价评审时，如发现下列情形之一的，投标文件将被视为无效：</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（1）报价</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）未按照招标文件标明的币种报价的</w:t>
      </w:r>
      <w:r>
        <w:rPr>
          <w:rFonts w:hint="eastAsia" w:ascii="宋体" w:hAnsi="宋体"/>
          <w:color w:val="auto"/>
          <w:spacing w:val="-6"/>
          <w:sz w:val="21"/>
          <w:szCs w:val="21"/>
          <w:highlight w:val="none"/>
        </w:rPr>
        <w:t>；</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报价</w:t>
      </w:r>
      <w:r>
        <w:rPr>
          <w:rFonts w:hint="eastAsia" w:ascii="宋体" w:hAnsi="宋体"/>
          <w:color w:val="auto"/>
          <w:spacing w:val="-6"/>
          <w:sz w:val="21"/>
          <w:szCs w:val="21"/>
          <w:highlight w:val="none"/>
        </w:rPr>
        <w:t>明细有</w:t>
      </w:r>
      <w:r>
        <w:rPr>
          <w:rFonts w:ascii="宋体" w:hAnsi="宋体"/>
          <w:color w:val="auto"/>
          <w:spacing w:val="-6"/>
          <w:sz w:val="21"/>
          <w:szCs w:val="21"/>
          <w:highlight w:val="none"/>
        </w:rPr>
        <w:t>缺漏项</w:t>
      </w:r>
      <w:r>
        <w:rPr>
          <w:rFonts w:hint="eastAsia" w:ascii="宋体" w:hAnsi="宋体"/>
          <w:color w:val="auto"/>
          <w:spacing w:val="-6"/>
          <w:sz w:val="21"/>
          <w:szCs w:val="21"/>
          <w:highlight w:val="none"/>
        </w:rPr>
        <w:t>，或者</w:t>
      </w:r>
      <w:r>
        <w:rPr>
          <w:rFonts w:ascii="宋体" w:hAnsi="宋体"/>
          <w:color w:val="auto"/>
          <w:spacing w:val="-6"/>
          <w:sz w:val="21"/>
          <w:szCs w:val="21"/>
          <w:highlight w:val="none"/>
        </w:rPr>
        <w:t>与招标文件要求不一致的；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（4）报价超过招标文件中规定的预算金额或者最高限价的；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（5）报价具有选择性，或者开标价格与投标文件承诺的优惠（折扣）价格不一致的；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（1）不同投标人的投标文件由同一单位或者个人编制；</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（2）不同投标人委托同一单位或者个人办理投标事宜；</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（3）不同投标人的投标文件载明的项目管理成员或者联系人员为同一人；</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（4）不同投标人的投标文件异常一致或者投标报价呈规律性差异；</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（5）不同投标人的投标文件相互混装；</w:t>
      </w:r>
    </w:p>
    <w:p>
      <w:pPr>
        <w:pStyle w:val="10"/>
        <w:spacing w:line="288" w:lineRule="auto"/>
        <w:ind w:firstLine="0"/>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、开  标</w:t>
      </w:r>
    </w:p>
    <w:p>
      <w:pPr>
        <w:pStyle w:val="10"/>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（一） 开标准备</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制订开标、评审工作的组织方案，落实工作场地、设施，检查录音录像采集设备运行情况。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准备政府采购项目的相关文件资料，如项目政府采购预算确认书（计划）、专家抽取有关凭证、项目书面说明、采购文件、补充文件及质疑答复情况、现场工作所需的相关登记表单、评审工作底稿等。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10"/>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（二） 开标程序</w:t>
      </w:r>
    </w:p>
    <w:p>
      <w:pPr>
        <w:pStyle w:val="10"/>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招标</w:t>
      </w:r>
      <w:r>
        <w:rPr>
          <w:rFonts w:hAnsi="宋体"/>
          <w:color w:val="auto"/>
          <w:spacing w:val="-6"/>
          <w:sz w:val="21"/>
          <w:szCs w:val="21"/>
          <w:highlight w:val="none"/>
        </w:rPr>
        <w:t>文件规定的时间、地点和程序组织开标，开标原则上应采取先拆封</w:t>
      </w:r>
      <w:r>
        <w:rPr>
          <w:rFonts w:hint="eastAsia" w:hAnsi="宋体"/>
          <w:color w:val="auto"/>
          <w:spacing w:val="-6"/>
          <w:sz w:val="21"/>
          <w:szCs w:val="21"/>
          <w:highlight w:val="none"/>
        </w:rPr>
        <w:t>资格</w:t>
      </w:r>
      <w:r>
        <w:rPr>
          <w:rFonts w:hAnsi="宋体"/>
          <w:color w:val="auto"/>
          <w:spacing w:val="-6"/>
          <w:sz w:val="21"/>
          <w:szCs w:val="21"/>
          <w:highlight w:val="none"/>
        </w:rPr>
        <w:t>文件及商务和技术文件、后拆封报价文件的顺序进行。具体按以下程序进行：</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开启开标场地的录音录像采集设备，并确保其正常运行。</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核验出席开标活动现场的各投标人代表及相关单位人员身份，并组织其分别登记、签到，无关人员可拒绝其进入现场。</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对现场接受</w:t>
      </w:r>
      <w:r>
        <w:rPr>
          <w:rFonts w:hint="eastAsia" w:hAnsi="宋体"/>
          <w:color w:val="auto"/>
          <w:spacing w:val="-6"/>
          <w:sz w:val="21"/>
          <w:szCs w:val="21"/>
          <w:highlight w:val="none"/>
        </w:rPr>
        <w:t>投标文件的，</w:t>
      </w:r>
      <w:r>
        <w:rPr>
          <w:rFonts w:hAnsi="宋体"/>
          <w:color w:val="auto"/>
          <w:spacing w:val="-6"/>
          <w:sz w:val="21"/>
          <w:szCs w:val="21"/>
          <w:highlight w:val="none"/>
        </w:rPr>
        <w:t>由现场工作人员接收</w:t>
      </w:r>
      <w:r>
        <w:rPr>
          <w:rFonts w:hint="eastAsia" w:hAnsi="宋体"/>
          <w:color w:val="auto"/>
          <w:spacing w:val="-6"/>
          <w:sz w:val="21"/>
          <w:szCs w:val="21"/>
          <w:highlight w:val="none"/>
        </w:rPr>
        <w:t>投标</w:t>
      </w:r>
      <w:r>
        <w:rPr>
          <w:rFonts w:hAnsi="宋体"/>
          <w:color w:val="auto"/>
          <w:spacing w:val="-6"/>
          <w:sz w:val="21"/>
          <w:szCs w:val="21"/>
          <w:highlight w:val="none"/>
        </w:rPr>
        <w:t>文件并</w:t>
      </w:r>
      <w:r>
        <w:rPr>
          <w:rFonts w:hint="eastAsia" w:hAnsi="宋体"/>
          <w:color w:val="auto"/>
          <w:spacing w:val="-6"/>
          <w:sz w:val="21"/>
          <w:szCs w:val="21"/>
          <w:highlight w:val="none"/>
        </w:rPr>
        <w:t>如实记载投标文件的送达时间和密封情况，签收保存，并向投标人出具签收回执。</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主持人宣布开标，介绍开标现场的人员情况，宣读递交</w:t>
      </w:r>
      <w:r>
        <w:rPr>
          <w:rFonts w:hint="eastAsia" w:hAnsi="宋体"/>
          <w:color w:val="auto"/>
          <w:spacing w:val="-6"/>
          <w:sz w:val="21"/>
          <w:szCs w:val="21"/>
          <w:highlight w:val="none"/>
        </w:rPr>
        <w:t>投标文件的投标人名单</w:t>
      </w:r>
      <w:r>
        <w:rPr>
          <w:rFonts w:hAnsi="宋体"/>
          <w:color w:val="auto"/>
          <w:spacing w:val="-6"/>
          <w:sz w:val="21"/>
          <w:szCs w:val="21"/>
          <w:highlight w:val="none"/>
        </w:rPr>
        <w:t>、开标纪律、应当回避的情形等注意事项，组织投标人签署不存在影响公平竞争的《政府采购活动现场确认声明书》。</w:t>
      </w:r>
    </w:p>
    <w:p>
      <w:pPr>
        <w:pStyle w:val="10"/>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提请投标人代表查验投标文件密封情况。</w:t>
      </w:r>
    </w:p>
    <w:p>
      <w:pPr>
        <w:pStyle w:val="10"/>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6.</w:t>
      </w:r>
      <w:r>
        <w:rPr>
          <w:rFonts w:hAnsi="宋体"/>
          <w:color w:val="auto"/>
          <w:spacing w:val="-6"/>
          <w:sz w:val="21"/>
          <w:szCs w:val="21"/>
          <w:highlight w:val="none"/>
        </w:rPr>
        <w:t>按投标人提交投标文件的先后顺序当众拆封、清点</w:t>
      </w:r>
      <w:r>
        <w:rPr>
          <w:rFonts w:hint="eastAsia" w:hAnsi="宋体"/>
          <w:color w:val="auto"/>
          <w:spacing w:val="-6"/>
          <w:sz w:val="21"/>
          <w:szCs w:val="21"/>
          <w:highlight w:val="none"/>
        </w:rPr>
        <w:t>投标</w:t>
      </w:r>
      <w:r>
        <w:rPr>
          <w:rFonts w:hAnsi="宋体"/>
          <w:color w:val="auto"/>
          <w:spacing w:val="-6"/>
          <w:sz w:val="21"/>
          <w:szCs w:val="21"/>
          <w:highlight w:val="none"/>
        </w:rPr>
        <w:t>文件（包括正本、副本）数量</w:t>
      </w:r>
      <w:r>
        <w:rPr>
          <w:rFonts w:hint="eastAsia" w:hAnsi="宋体"/>
          <w:color w:val="auto"/>
          <w:spacing w:val="-6"/>
          <w:sz w:val="21"/>
          <w:szCs w:val="21"/>
          <w:highlight w:val="none"/>
        </w:rPr>
        <w:t>，</w:t>
      </w:r>
      <w:r>
        <w:rPr>
          <w:rFonts w:hAnsi="宋体"/>
          <w:color w:val="auto"/>
          <w:spacing w:val="-6"/>
          <w:sz w:val="21"/>
          <w:szCs w:val="21"/>
          <w:highlight w:val="none"/>
        </w:rPr>
        <w:t>将其中密封的报价文件现场集中封存保管等候拆封</w:t>
      </w:r>
      <w:r>
        <w:rPr>
          <w:rFonts w:hAnsi="宋体"/>
          <w:color w:val="auto"/>
          <w:sz w:val="21"/>
          <w:szCs w:val="21"/>
          <w:highlight w:val="none"/>
        </w:rPr>
        <w:t>。</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w:t>
      </w:r>
      <w:r>
        <w:rPr>
          <w:rFonts w:hAnsi="宋体"/>
          <w:color w:val="auto"/>
          <w:spacing w:val="-6"/>
          <w:sz w:val="21"/>
          <w:szCs w:val="21"/>
          <w:highlight w:val="none"/>
        </w:rPr>
        <w:t>将</w:t>
      </w:r>
      <w:r>
        <w:rPr>
          <w:rFonts w:hint="eastAsia" w:hAnsi="宋体"/>
          <w:color w:val="auto"/>
          <w:spacing w:val="-6"/>
          <w:sz w:val="21"/>
          <w:szCs w:val="21"/>
          <w:highlight w:val="none"/>
        </w:rPr>
        <w:t>通过资格审查</w:t>
      </w:r>
      <w:r>
        <w:rPr>
          <w:rFonts w:hAnsi="宋体"/>
          <w:color w:val="auto"/>
          <w:spacing w:val="-6"/>
          <w:sz w:val="21"/>
          <w:szCs w:val="21"/>
          <w:highlight w:val="none"/>
        </w:rPr>
        <w:t>的</w:t>
      </w:r>
      <w:r>
        <w:rPr>
          <w:rFonts w:hint="eastAsia" w:hAnsi="宋体"/>
          <w:color w:val="auto"/>
          <w:spacing w:val="-6"/>
          <w:sz w:val="21"/>
          <w:szCs w:val="21"/>
          <w:highlight w:val="none"/>
        </w:rPr>
        <w:t>投标人的资格</w:t>
      </w:r>
      <w:r>
        <w:rPr>
          <w:rFonts w:hAnsi="宋体"/>
          <w:color w:val="auto"/>
          <w:spacing w:val="-6"/>
          <w:sz w:val="21"/>
          <w:szCs w:val="21"/>
          <w:highlight w:val="none"/>
        </w:rPr>
        <w:t>文件及商务和技术文件由现场工作人员护送至指定的评审地点，同时告知投标人代表拆封报价文件的预计时间。</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9.</w:t>
      </w:r>
      <w:r>
        <w:rPr>
          <w:rFonts w:hAnsi="宋体"/>
          <w:color w:val="auto"/>
          <w:spacing w:val="-6"/>
          <w:sz w:val="21"/>
          <w:szCs w:val="21"/>
          <w:highlight w:val="none"/>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10.</w:t>
      </w:r>
      <w:r>
        <w:rPr>
          <w:rFonts w:hAnsi="宋体"/>
          <w:color w:val="auto"/>
          <w:spacing w:val="-6"/>
          <w:sz w:val="21"/>
          <w:szCs w:val="21"/>
          <w:highlight w:val="none"/>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0"/>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11.</w:t>
      </w:r>
      <w:r>
        <w:rPr>
          <w:rFonts w:hAnsi="宋体"/>
          <w:color w:val="auto"/>
          <w:spacing w:val="-6"/>
          <w:sz w:val="21"/>
          <w:szCs w:val="21"/>
          <w:highlight w:val="none"/>
        </w:rPr>
        <w:t>评审结束后，主持人公布中标候选供应商名单，及采购人最终确定</w:t>
      </w:r>
      <w:r>
        <w:rPr>
          <w:rFonts w:hint="eastAsia" w:hAnsi="宋体"/>
          <w:color w:val="auto"/>
          <w:spacing w:val="-6"/>
          <w:sz w:val="21"/>
          <w:szCs w:val="21"/>
          <w:highlight w:val="none"/>
        </w:rPr>
        <w:t>中标人</w:t>
      </w:r>
      <w:r>
        <w:rPr>
          <w:rFonts w:hAnsi="宋体"/>
          <w:color w:val="auto"/>
          <w:spacing w:val="-6"/>
          <w:sz w:val="21"/>
          <w:szCs w:val="21"/>
          <w:highlight w:val="none"/>
        </w:rPr>
        <w:t>名单的时间和公告方式等。</w:t>
      </w:r>
    </w:p>
    <w:p>
      <w:pPr>
        <w:pStyle w:val="10"/>
        <w:spacing w:line="288" w:lineRule="auto"/>
        <w:ind w:firstLine="0"/>
        <w:rPr>
          <w:rFonts w:hAnsi="宋体"/>
          <w:color w:val="auto"/>
          <w:sz w:val="21"/>
          <w:szCs w:val="21"/>
          <w:highlight w:val="none"/>
        </w:rPr>
      </w:pPr>
      <w:r>
        <w:rPr>
          <w:rFonts w:hAnsi="宋体"/>
          <w:b/>
          <w:color w:val="auto"/>
          <w:spacing w:val="-6"/>
          <w:sz w:val="21"/>
          <w:szCs w:val="21"/>
          <w:highlight w:val="none"/>
        </w:rPr>
        <w:br w:type="page"/>
      </w:r>
    </w:p>
    <w:p>
      <w:pPr>
        <w:pStyle w:val="10"/>
        <w:spacing w:line="288" w:lineRule="auto"/>
        <w:ind w:firstLine="0"/>
        <w:jc w:val="center"/>
        <w:outlineLvl w:val="1"/>
        <w:rPr>
          <w:rFonts w:hAnsi="宋体"/>
          <w:b/>
          <w:color w:val="auto"/>
          <w:spacing w:val="-6"/>
          <w:sz w:val="32"/>
          <w:szCs w:val="32"/>
          <w:highlight w:val="none"/>
        </w:rPr>
      </w:pPr>
      <w:r>
        <w:rPr>
          <w:rFonts w:hint="eastAsia" w:hAnsi="宋体"/>
          <w:b/>
          <w:color w:val="auto"/>
          <w:spacing w:val="-6"/>
          <w:sz w:val="32"/>
          <w:szCs w:val="32"/>
          <w:highlight w:val="none"/>
        </w:rPr>
        <w:t>五、评  标</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 组建评标委员会</w:t>
      </w:r>
    </w:p>
    <w:p>
      <w:pPr>
        <w:pStyle w:val="12"/>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本项目评标委员会</w:t>
      </w:r>
      <w:r>
        <w:rPr>
          <w:rFonts w:hint="eastAsia" w:hAnsi="宋体"/>
          <w:color w:val="auto"/>
          <w:spacing w:val="-6"/>
          <w:sz w:val="21"/>
          <w:szCs w:val="21"/>
          <w:highlight w:val="none"/>
        </w:rPr>
        <w:t>依据相关法律法规组建，成员人数为5人以上单数</w:t>
      </w:r>
      <w:r>
        <w:rPr>
          <w:rFonts w:hAnsi="宋体"/>
          <w:color w:val="auto"/>
          <w:spacing w:val="-6"/>
          <w:sz w:val="21"/>
          <w:szCs w:val="21"/>
          <w:highlight w:val="none"/>
        </w:rPr>
        <w:t>。</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xml:space="preserve">） </w:t>
      </w:r>
      <w:r>
        <w:rPr>
          <w:rFonts w:hAnsi="宋体"/>
          <w:b/>
          <w:color w:val="auto"/>
          <w:spacing w:val="-6"/>
          <w:sz w:val="24"/>
          <w:szCs w:val="24"/>
          <w:highlight w:val="none"/>
        </w:rPr>
        <w:t>评标的方式</w:t>
      </w:r>
    </w:p>
    <w:p>
      <w:pPr>
        <w:pStyle w:val="12"/>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本项目采用不公开方式评标，评标的依据为招标文件和投标文件。</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w:t>
      </w:r>
      <w:r>
        <w:rPr>
          <w:rFonts w:hAnsi="宋体"/>
          <w:b/>
          <w:color w:val="auto"/>
          <w:spacing w:val="-6"/>
          <w:sz w:val="24"/>
          <w:szCs w:val="24"/>
          <w:highlight w:val="none"/>
        </w:rPr>
        <w:t>评标程序</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招标</w:t>
      </w:r>
      <w:r>
        <w:rPr>
          <w:rFonts w:hAnsi="宋体"/>
          <w:color w:val="auto"/>
          <w:spacing w:val="-6"/>
          <w:sz w:val="21"/>
          <w:szCs w:val="21"/>
          <w:highlight w:val="none"/>
        </w:rPr>
        <w:t>文件规定的时间、地点及程序组织评审。评审活动一般应按以下程序组织开展：</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评标委员会</w:t>
      </w:r>
      <w:r>
        <w:rPr>
          <w:rFonts w:hAnsi="宋体"/>
          <w:color w:val="auto"/>
          <w:spacing w:val="-6"/>
          <w:sz w:val="21"/>
          <w:szCs w:val="21"/>
          <w:highlight w:val="none"/>
        </w:rPr>
        <w:t>各成员身份，并要求其分别登记、签到，按规定统一收缴、保存其通讯工具，无关人员一律拒绝其进入评审现场。</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评标委员会</w:t>
      </w:r>
      <w:r>
        <w:rPr>
          <w:rFonts w:hAnsi="宋体"/>
          <w:color w:val="auto"/>
          <w:spacing w:val="-6"/>
          <w:sz w:val="21"/>
          <w:szCs w:val="21"/>
          <w:highlight w:val="none"/>
        </w:rPr>
        <w:t>应当回避情形；组织推选</w:t>
      </w:r>
      <w:r>
        <w:rPr>
          <w:rFonts w:hint="eastAsia" w:hAnsi="宋体"/>
          <w:color w:val="auto"/>
          <w:spacing w:val="-6"/>
          <w:sz w:val="21"/>
          <w:szCs w:val="21"/>
          <w:highlight w:val="none"/>
        </w:rPr>
        <w:t>评标委员会</w:t>
      </w:r>
      <w:r>
        <w:rPr>
          <w:rFonts w:hAnsi="宋体"/>
          <w:color w:val="auto"/>
          <w:spacing w:val="-6"/>
          <w:sz w:val="21"/>
          <w:szCs w:val="21"/>
          <w:highlight w:val="none"/>
        </w:rPr>
        <w:t>组长。</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通报报名参加本项目采购的</w:t>
      </w:r>
      <w:r>
        <w:rPr>
          <w:rFonts w:hint="eastAsia" w:hAnsi="宋体"/>
          <w:color w:val="auto"/>
          <w:spacing w:val="-6"/>
          <w:sz w:val="21"/>
          <w:szCs w:val="21"/>
          <w:highlight w:val="none"/>
        </w:rPr>
        <w:t>投标人</w:t>
      </w:r>
      <w:r>
        <w:rPr>
          <w:rFonts w:hAnsi="宋体"/>
          <w:color w:val="auto"/>
          <w:spacing w:val="-6"/>
          <w:sz w:val="21"/>
          <w:szCs w:val="21"/>
          <w:highlight w:val="none"/>
        </w:rPr>
        <w:t>名单及资格预审情况（如有），宣读最终提交</w:t>
      </w:r>
      <w:r>
        <w:rPr>
          <w:rFonts w:hint="eastAsia" w:hAnsi="宋体"/>
          <w:color w:val="auto"/>
          <w:spacing w:val="-6"/>
          <w:sz w:val="21"/>
          <w:szCs w:val="21"/>
          <w:highlight w:val="none"/>
        </w:rPr>
        <w:t>投标文件且通过</w:t>
      </w:r>
      <w:r>
        <w:rPr>
          <w:rFonts w:hAnsi="宋体"/>
          <w:color w:val="auto"/>
          <w:spacing w:val="-6"/>
          <w:sz w:val="21"/>
          <w:szCs w:val="21"/>
          <w:highlight w:val="none"/>
        </w:rPr>
        <w:t>资格审查的</w:t>
      </w:r>
      <w:r>
        <w:rPr>
          <w:rFonts w:hint="eastAsia" w:hAnsi="宋体"/>
          <w:color w:val="auto"/>
          <w:spacing w:val="-6"/>
          <w:sz w:val="21"/>
          <w:szCs w:val="21"/>
          <w:highlight w:val="none"/>
        </w:rPr>
        <w:t>投标人</w:t>
      </w:r>
      <w:r>
        <w:rPr>
          <w:rFonts w:hAnsi="宋体"/>
          <w:color w:val="auto"/>
          <w:spacing w:val="-6"/>
          <w:sz w:val="21"/>
          <w:szCs w:val="21"/>
          <w:highlight w:val="none"/>
        </w:rPr>
        <w:t>名单，组织</w:t>
      </w:r>
      <w:r>
        <w:rPr>
          <w:rFonts w:hint="eastAsia" w:hAnsi="宋体"/>
          <w:color w:val="auto"/>
          <w:spacing w:val="-6"/>
          <w:sz w:val="21"/>
          <w:szCs w:val="21"/>
          <w:highlight w:val="none"/>
        </w:rPr>
        <w:t>评标委员会</w:t>
      </w:r>
      <w:r>
        <w:rPr>
          <w:rFonts w:hAnsi="宋体"/>
          <w:color w:val="auto"/>
          <w:spacing w:val="-6"/>
          <w:sz w:val="21"/>
          <w:szCs w:val="21"/>
          <w:highlight w:val="none"/>
        </w:rPr>
        <w:t>各位成员签订《政府采购评审人员廉洁自律承诺书》。</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招标</w:t>
      </w:r>
      <w:r>
        <w:rPr>
          <w:rFonts w:hAnsi="宋体"/>
          <w:color w:val="auto"/>
          <w:spacing w:val="-6"/>
          <w:sz w:val="21"/>
          <w:szCs w:val="21"/>
          <w:highlight w:val="none"/>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评标委员会</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评标委员会</w:t>
      </w:r>
      <w:r>
        <w:rPr>
          <w:rFonts w:hAnsi="宋体"/>
          <w:color w:val="auto"/>
          <w:spacing w:val="-6"/>
          <w:sz w:val="21"/>
          <w:szCs w:val="21"/>
          <w:highlight w:val="none"/>
        </w:rPr>
        <w:t>提出的有关</w:t>
      </w:r>
      <w:r>
        <w:rPr>
          <w:rFonts w:hint="eastAsia" w:hAnsi="宋体"/>
          <w:color w:val="auto"/>
          <w:spacing w:val="-6"/>
          <w:sz w:val="21"/>
          <w:szCs w:val="21"/>
          <w:highlight w:val="none"/>
        </w:rPr>
        <w:t>招标</w:t>
      </w:r>
      <w:r>
        <w:rPr>
          <w:rFonts w:hAnsi="宋体"/>
          <w:color w:val="auto"/>
          <w:spacing w:val="-6"/>
          <w:sz w:val="21"/>
          <w:szCs w:val="21"/>
          <w:highlight w:val="none"/>
        </w:rPr>
        <w:t>文件、</w:t>
      </w:r>
      <w:r>
        <w:rPr>
          <w:rFonts w:hint="eastAsia" w:hAnsi="宋体"/>
          <w:color w:val="auto"/>
          <w:spacing w:val="-6"/>
          <w:sz w:val="21"/>
          <w:szCs w:val="21"/>
          <w:highlight w:val="none"/>
        </w:rPr>
        <w:t>投标</w:t>
      </w:r>
      <w:r>
        <w:rPr>
          <w:rFonts w:hAnsi="宋体"/>
          <w:color w:val="auto"/>
          <w:spacing w:val="-6"/>
          <w:sz w:val="21"/>
          <w:szCs w:val="21"/>
          <w:highlight w:val="none"/>
        </w:rPr>
        <w:t>文件的问题进行必要的说明、解释或讨论。</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6.评标委员会</w:t>
      </w:r>
      <w:r>
        <w:rPr>
          <w:rFonts w:hAnsi="宋体"/>
          <w:color w:val="auto"/>
          <w:spacing w:val="-6"/>
          <w:sz w:val="21"/>
          <w:szCs w:val="21"/>
          <w:highlight w:val="none"/>
        </w:rPr>
        <w:t>组长组织</w:t>
      </w:r>
      <w:r>
        <w:rPr>
          <w:rFonts w:hint="eastAsia" w:hAnsi="宋体"/>
          <w:color w:val="auto"/>
          <w:spacing w:val="-6"/>
          <w:sz w:val="21"/>
          <w:szCs w:val="21"/>
          <w:highlight w:val="none"/>
        </w:rPr>
        <w:t>评标委员会</w:t>
      </w:r>
      <w:r>
        <w:rPr>
          <w:rFonts w:hAnsi="宋体"/>
          <w:color w:val="auto"/>
          <w:spacing w:val="-6"/>
          <w:sz w:val="21"/>
          <w:szCs w:val="21"/>
          <w:highlight w:val="none"/>
        </w:rPr>
        <w:t>独立评审。评标委员会对拟认定为投标文件无效</w:t>
      </w:r>
      <w:r>
        <w:rPr>
          <w:rFonts w:hint="eastAsia" w:hAnsi="宋体"/>
          <w:color w:val="auto"/>
          <w:spacing w:val="-6"/>
          <w:sz w:val="21"/>
          <w:szCs w:val="21"/>
          <w:highlight w:val="none"/>
        </w:rPr>
        <w:t>的</w:t>
      </w:r>
      <w:r>
        <w:rPr>
          <w:rFonts w:hAnsi="宋体"/>
          <w:color w:val="auto"/>
          <w:spacing w:val="-6"/>
          <w:sz w:val="21"/>
          <w:szCs w:val="21"/>
          <w:highlight w:val="none"/>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w:t>
      </w:r>
      <w:r>
        <w:rPr>
          <w:rFonts w:hAnsi="宋体"/>
          <w:color w:val="auto"/>
          <w:spacing w:val="-6"/>
          <w:sz w:val="21"/>
          <w:szCs w:val="21"/>
          <w:highlight w:val="none"/>
        </w:rPr>
        <w:t>做好评审现场相关记录，协助评标委员会组长做好评审报告起草、有关内容电脑文字录入等工作，并要求评标委员会各成员签字确认。</w:t>
      </w:r>
    </w:p>
    <w:p>
      <w:pPr>
        <w:pStyle w:val="12"/>
        <w:spacing w:before="0" w:beforeLines="0" w:after="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w:t>
      </w:r>
      <w:r>
        <w:rPr>
          <w:rFonts w:hAnsi="宋体"/>
          <w:color w:val="auto"/>
          <w:spacing w:val="-6"/>
          <w:sz w:val="21"/>
          <w:szCs w:val="21"/>
          <w:highlight w:val="none"/>
        </w:rPr>
        <w:t>评审结束后，</w:t>
      </w:r>
      <w:r>
        <w:rPr>
          <w:rFonts w:hint="eastAsia" w:hAnsi="宋体"/>
          <w:color w:val="auto"/>
          <w:spacing w:val="-6"/>
          <w:sz w:val="21"/>
          <w:szCs w:val="21"/>
          <w:highlight w:val="none"/>
        </w:rPr>
        <w:t>采购代理机构</w:t>
      </w:r>
      <w:r>
        <w:rPr>
          <w:rFonts w:hAnsi="宋体"/>
          <w:color w:val="auto"/>
          <w:spacing w:val="-6"/>
          <w:sz w:val="21"/>
          <w:szCs w:val="21"/>
          <w:highlight w:val="none"/>
        </w:rPr>
        <w:t>交还评审人员及其他现场相关人员的通讯工具。</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（五）</w:t>
      </w:r>
      <w:r>
        <w:rPr>
          <w:rFonts w:hint="eastAsia" w:hAnsi="宋体"/>
          <w:b/>
          <w:color w:val="auto"/>
          <w:spacing w:val="-6"/>
          <w:sz w:val="24"/>
          <w:szCs w:val="24"/>
          <w:highlight w:val="none"/>
        </w:rPr>
        <w:t xml:space="preserve"> </w:t>
      </w:r>
      <w:r>
        <w:rPr>
          <w:rFonts w:hAnsi="宋体"/>
          <w:b/>
          <w:color w:val="auto"/>
          <w:spacing w:val="-6"/>
          <w:sz w:val="24"/>
          <w:szCs w:val="24"/>
          <w:highlight w:val="none"/>
        </w:rPr>
        <w:t>错误修正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投标文件报价出现前后不一致的，除招标文件另有规定外，按照下列规定修正：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（一）投标文件中开标一览表内容与投标文件中相应内容不一致的，以开标一览表为准；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（二）大写金额和小写金额不一致的，以大写金额为准；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（三）单价金额小数点或者百分比有明显错位的，以开标一览表的总价为准，并修改单价；</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（四）总价金额与按单价汇总金额不一致的，以单价金额计算结果为准。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同时出现两种以上不一致的，按照前款规定的顺序修正。修正后的报价按照</w:t>
      </w:r>
      <w:r>
        <w:rPr>
          <w:rFonts w:ascii="宋体" w:hAnsi="宋体"/>
          <w:color w:val="auto"/>
          <w:spacing w:val="-6"/>
          <w:sz w:val="21"/>
          <w:szCs w:val="21"/>
          <w:highlight w:val="none"/>
        </w:rPr>
        <w:t>（四）澄清问题的形式</w:t>
      </w:r>
      <w:r>
        <w:rPr>
          <w:rFonts w:hint="eastAsia" w:ascii="宋体" w:hAnsi="宋体"/>
          <w:color w:val="auto"/>
          <w:spacing w:val="-6"/>
          <w:sz w:val="21"/>
          <w:szCs w:val="21"/>
          <w:highlight w:val="none"/>
        </w:rPr>
        <w:t>第二款的规定经投标人确认后产生约束力，投标人不确认的，其投标无效。</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六</w:t>
      </w:r>
      <w:r>
        <w:rPr>
          <w:rFonts w:hAnsi="宋体"/>
          <w:b/>
          <w:color w:val="auto"/>
          <w:spacing w:val="-6"/>
          <w:sz w:val="24"/>
          <w:szCs w:val="24"/>
          <w:highlight w:val="none"/>
        </w:rPr>
        <w:t>）</w:t>
      </w:r>
      <w:r>
        <w:rPr>
          <w:rFonts w:hint="eastAsia" w:hAnsi="宋体"/>
          <w:b/>
          <w:color w:val="auto"/>
          <w:spacing w:val="-6"/>
          <w:sz w:val="24"/>
          <w:szCs w:val="24"/>
          <w:highlight w:val="none"/>
        </w:rPr>
        <w:t xml:space="preserve"> </w:t>
      </w:r>
      <w:r>
        <w:rPr>
          <w:rFonts w:hAnsi="宋体"/>
          <w:b/>
          <w:color w:val="auto"/>
          <w:spacing w:val="-6"/>
          <w:sz w:val="24"/>
          <w:szCs w:val="24"/>
          <w:highlight w:val="none"/>
        </w:rPr>
        <w:t>评标原则和评标办法</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3.</w:t>
      </w:r>
      <w:r>
        <w:rPr>
          <w:rFonts w:hint="eastAsia" w:ascii="宋体" w:hAnsi="宋体"/>
          <w:color w:val="auto"/>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4.评标办法。本项目评标办法是综合评分法，具体评标内容及评分标准等详见《第四章：评标办法及评分标准》。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定 标</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1.采购代理机构自评审结束之日起2个工作日内将评审报告送交采购人。采购人收到评审报告之日起</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个工作日内在评审报告推荐的中标候选人中按顺序确定中标供应商。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2.采购代理机构自中标供应商确定之日起</w:t>
      </w:r>
      <w:r>
        <w:rPr>
          <w:rFonts w:ascii="宋体" w:hAnsi="宋体"/>
          <w:color w:val="auto"/>
          <w:spacing w:val="-6"/>
          <w:sz w:val="21"/>
          <w:szCs w:val="21"/>
          <w:highlight w:val="none"/>
        </w:rPr>
        <w:t>2</w:t>
      </w:r>
      <w:r>
        <w:rPr>
          <w:rFonts w:hint="eastAsia" w:ascii="宋体" w:hAnsi="宋体"/>
          <w:color w:val="auto"/>
          <w:spacing w:val="-6"/>
          <w:sz w:val="21"/>
          <w:szCs w:val="21"/>
          <w:highlight w:val="none"/>
        </w:rPr>
        <w:t>个工作日内，发出中标通知书，并在浙江政府采购网（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pacing w:val="-6"/>
          <w:sz w:val="21"/>
          <w:szCs w:val="21"/>
          <w:highlight w:val="none"/>
        </w:rPr>
        <w:t>http://www.zjzfcg.gov.cn</w:t>
      </w:r>
      <w:r>
        <w:rPr>
          <w:rFonts w:hint="eastAsia" w:ascii="宋体" w:hAnsi="宋体"/>
          <w:color w:val="auto"/>
          <w:spacing w:val="-6"/>
          <w:sz w:val="21"/>
          <w:szCs w:val="21"/>
          <w:highlight w:val="none"/>
        </w:rPr>
        <w:fldChar w:fldCharType="end"/>
      </w:r>
      <w:r>
        <w:rPr>
          <w:rFonts w:hint="eastAsia" w:ascii="宋体" w:hAnsi="宋体"/>
          <w:color w:val="auto"/>
          <w:spacing w:val="-6"/>
          <w:sz w:val="21"/>
          <w:szCs w:val="21"/>
          <w:highlight w:val="none"/>
        </w:rPr>
        <w:t>）等相关网站或媒体上公告中标结果，招标文件随中标结果同时公告。</w:t>
      </w:r>
    </w:p>
    <w:p>
      <w:pPr>
        <w:spacing w:line="288" w:lineRule="auto"/>
        <w:rPr>
          <w:rFonts w:ascii="宋体" w:hAnsi="宋体"/>
          <w:color w:val="auto"/>
          <w:spacing w:val="-6"/>
          <w:sz w:val="24"/>
          <w:highlight w:val="none"/>
        </w:rPr>
      </w:pPr>
      <w:r>
        <w:rPr>
          <w:rFonts w:hint="eastAsia" w:ascii="宋体" w:hAnsi="宋体"/>
          <w:b/>
          <w:bCs/>
          <w:color w:val="auto"/>
          <w:spacing w:val="-6"/>
          <w:sz w:val="24"/>
          <w:highlight w:val="none"/>
        </w:rPr>
        <w:t>（八） 合同授予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outlineLvl w:val="0"/>
        <w:rPr>
          <w:rFonts w:ascii="宋体" w:hAnsi="宋体"/>
          <w:b/>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第四章  评标办法及评分标准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投标人评标</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color w:val="auto"/>
          <w:spacing w:val="-6"/>
          <w:sz w:val="21"/>
          <w:szCs w:val="21"/>
          <w:highlight w:val="none"/>
        </w:rPr>
      </w:pPr>
      <w:r>
        <w:rPr>
          <w:rFonts w:hint="eastAsia" w:ascii="宋体" w:hAnsi="宋体"/>
          <w:bCs/>
          <w:color w:val="auto"/>
          <w:spacing w:val="-6"/>
          <w:sz w:val="21"/>
          <w:szCs w:val="21"/>
          <w:highlight w:val="none"/>
        </w:rPr>
        <w:t>商务和技术分按照评标委员会成员的独立评分结果的算术平均分计算，计算公式为：商务分</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技术分=（评标委员会所有成员评分合计数）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评标委员会组成人员数）</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二、评标内容及标准</w:t>
      </w:r>
    </w:p>
    <w:tbl>
      <w:tblPr>
        <w:tblStyle w:val="22"/>
        <w:tblW w:w="9559" w:type="dxa"/>
        <w:tblInd w:w="41" w:type="dxa"/>
        <w:tblLayout w:type="fixed"/>
        <w:tblCellMar>
          <w:top w:w="0" w:type="dxa"/>
          <w:left w:w="108" w:type="dxa"/>
          <w:bottom w:w="0" w:type="dxa"/>
          <w:right w:w="108" w:type="dxa"/>
        </w:tblCellMar>
      </w:tblPr>
      <w:tblGrid>
        <w:gridCol w:w="1650"/>
        <w:gridCol w:w="682"/>
        <w:gridCol w:w="7227"/>
      </w:tblGrid>
      <w:tr>
        <w:tblPrEx>
          <w:tblLayout w:type="fixed"/>
          <w:tblCellMar>
            <w:top w:w="0" w:type="dxa"/>
            <w:left w:w="108" w:type="dxa"/>
            <w:bottom w:w="0" w:type="dxa"/>
            <w:right w:w="108" w:type="dxa"/>
          </w:tblCellMar>
        </w:tblPrEx>
        <w:trPr>
          <w:trHeight w:val="278" w:hRule="atLeast"/>
        </w:trPr>
        <w:tc>
          <w:tcPr>
            <w:tcW w:w="165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8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c>
          <w:tcPr>
            <w:tcW w:w="7227"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评分细则</w:t>
            </w:r>
          </w:p>
        </w:tc>
      </w:tr>
      <w:tr>
        <w:tblPrEx>
          <w:tblLayout w:type="fixed"/>
          <w:tblCellMar>
            <w:top w:w="0" w:type="dxa"/>
            <w:left w:w="108" w:type="dxa"/>
            <w:bottom w:w="0" w:type="dxa"/>
            <w:right w:w="108" w:type="dxa"/>
          </w:tblCellMar>
        </w:tblPrEx>
        <w:trPr>
          <w:trHeight w:val="278" w:hRule="atLeast"/>
        </w:trPr>
        <w:tc>
          <w:tcPr>
            <w:tcW w:w="9559" w:type="dxa"/>
            <w:gridSpan w:val="3"/>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价格分</w:t>
            </w:r>
          </w:p>
        </w:tc>
      </w:tr>
      <w:tr>
        <w:tblPrEx>
          <w:tblLayout w:type="fixed"/>
          <w:tblCellMar>
            <w:top w:w="0" w:type="dxa"/>
            <w:left w:w="108" w:type="dxa"/>
            <w:bottom w:w="0" w:type="dxa"/>
            <w:right w:w="108" w:type="dxa"/>
          </w:tblCellMar>
        </w:tblPrEx>
        <w:trPr>
          <w:trHeight w:val="823"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投标报价</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w:t>
            </w:r>
          </w:p>
        </w:tc>
        <w:tc>
          <w:tcPr>
            <w:tcW w:w="7227" w:type="dxa"/>
            <w:tcBorders>
              <w:top w:val="nil"/>
              <w:left w:val="nil"/>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价格分采用低价优先法计算，即满足招标文件要求且投标价格最低的投标报价为评标基准价，其他投标人的价格分按照下列公式计算：</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价格分=（评标基准价/投标报价）×30%×100</w:t>
            </w:r>
          </w:p>
        </w:tc>
      </w:tr>
      <w:tr>
        <w:tblPrEx>
          <w:tblLayout w:type="fixed"/>
          <w:tblCellMar>
            <w:top w:w="0" w:type="dxa"/>
            <w:left w:w="108" w:type="dxa"/>
            <w:bottom w:w="0" w:type="dxa"/>
            <w:right w:w="108" w:type="dxa"/>
          </w:tblCellMar>
        </w:tblPrEx>
        <w:trPr>
          <w:trHeight w:val="278" w:hRule="atLeast"/>
        </w:trPr>
        <w:tc>
          <w:tcPr>
            <w:tcW w:w="9559" w:type="dxa"/>
            <w:gridSpan w:val="3"/>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商务分</w:t>
            </w:r>
          </w:p>
        </w:tc>
      </w:tr>
      <w:tr>
        <w:tblPrEx>
          <w:tblLayout w:type="fixed"/>
          <w:tblCellMar>
            <w:top w:w="0" w:type="dxa"/>
            <w:left w:w="108" w:type="dxa"/>
            <w:bottom w:w="0" w:type="dxa"/>
            <w:right w:w="108" w:type="dxa"/>
          </w:tblCellMar>
        </w:tblPrEx>
        <w:trPr>
          <w:trHeight w:val="525"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业绩</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投标人自2016年1月1日以来（以合同签订时间为准）同类项目业绩（以提供的合同复印件为准）：每提供1份合同业绩得1分，最高得2分。</w:t>
            </w:r>
          </w:p>
        </w:tc>
      </w:tr>
      <w:tr>
        <w:tblPrEx>
          <w:tblLayout w:type="fixed"/>
          <w:tblCellMar>
            <w:top w:w="0" w:type="dxa"/>
            <w:left w:w="108" w:type="dxa"/>
            <w:bottom w:w="0" w:type="dxa"/>
            <w:right w:w="108" w:type="dxa"/>
          </w:tblCellMar>
        </w:tblPrEx>
        <w:trPr>
          <w:trHeight w:val="278"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sz w:val="21"/>
                <w:szCs w:val="21"/>
                <w:highlight w:val="none"/>
              </w:rPr>
              <w:t>政策功能</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sz w:val="21"/>
                <w:szCs w:val="21"/>
                <w:highlight w:val="none"/>
              </w:rPr>
              <w:t>1</w:t>
            </w:r>
          </w:p>
        </w:tc>
        <w:tc>
          <w:tcPr>
            <w:tcW w:w="7227" w:type="dxa"/>
            <w:tcBorders>
              <w:top w:val="nil"/>
              <w:left w:val="nil"/>
              <w:bottom w:val="single" w:color="auto" w:sz="4" w:space="0"/>
              <w:right w:val="single" w:color="auto" w:sz="8" w:space="0"/>
            </w:tcBorders>
            <w:shd w:val="clear" w:color="auto" w:fill="auto"/>
            <w:vAlign w:val="center"/>
          </w:tcPr>
          <w:p>
            <w:pPr>
              <w:rPr>
                <w:rFonts w:ascii="宋体" w:hAnsi="宋体"/>
                <w:color w:val="auto"/>
                <w:sz w:val="21"/>
                <w:highlight w:val="none"/>
              </w:rPr>
            </w:pPr>
            <w:r>
              <w:rPr>
                <w:rFonts w:hint="eastAsia" w:ascii="宋体" w:hAnsi="宋体"/>
                <w:color w:val="auto"/>
                <w:sz w:val="21"/>
                <w:highlight w:val="none"/>
              </w:rPr>
              <w:t>所投产品属于品目清单范围，且提供国家确定的认证机构出具的处于有效期之内的节能产品认证证书（复印件加盖公章），得0.5分；</w:t>
            </w:r>
          </w:p>
          <w:p>
            <w:pPr>
              <w:rPr>
                <w:rFonts w:ascii="宋体" w:hAnsi="宋体"/>
                <w:color w:val="auto"/>
                <w:sz w:val="21"/>
                <w:highlight w:val="none"/>
              </w:rPr>
            </w:pPr>
            <w:r>
              <w:rPr>
                <w:rFonts w:hint="eastAsia" w:ascii="宋体" w:hAnsi="宋体"/>
                <w:color w:val="auto"/>
                <w:sz w:val="21"/>
                <w:highlight w:val="none"/>
              </w:rPr>
              <w:t>所投产品属于品目清单范围，且提供国家确定的认证机构出具的处于有效期之内的环境标志产品认证证书（复印件加盖公章），得0.5分；</w:t>
            </w:r>
          </w:p>
          <w:p>
            <w:pPr>
              <w:widowControl/>
              <w:rPr>
                <w:rFonts w:ascii="宋体" w:hAnsi="宋体" w:cs="宋体"/>
                <w:color w:val="auto"/>
                <w:kern w:val="0"/>
                <w:sz w:val="21"/>
                <w:szCs w:val="21"/>
                <w:highlight w:val="none"/>
              </w:rPr>
            </w:pPr>
            <w:r>
              <w:rPr>
                <w:rFonts w:hint="eastAsia" w:ascii="宋体" w:hAnsi="宋体"/>
                <w:color w:val="auto"/>
                <w:sz w:val="21"/>
                <w:highlight w:val="none"/>
              </w:rPr>
              <w:t>否则得0分。</w:t>
            </w:r>
          </w:p>
        </w:tc>
      </w:tr>
      <w:tr>
        <w:tblPrEx>
          <w:tblLayout w:type="fixed"/>
          <w:tblCellMar>
            <w:top w:w="0" w:type="dxa"/>
            <w:left w:w="108" w:type="dxa"/>
            <w:bottom w:w="0" w:type="dxa"/>
            <w:right w:w="108" w:type="dxa"/>
          </w:tblCellMar>
        </w:tblPrEx>
        <w:trPr>
          <w:trHeight w:val="278" w:hRule="atLeast"/>
        </w:trPr>
        <w:tc>
          <w:tcPr>
            <w:tcW w:w="9559" w:type="dxa"/>
            <w:gridSpan w:val="3"/>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技术分</w:t>
            </w:r>
          </w:p>
        </w:tc>
      </w:tr>
      <w:tr>
        <w:tblPrEx>
          <w:tblLayout w:type="fixed"/>
          <w:tblCellMar>
            <w:top w:w="0" w:type="dxa"/>
            <w:left w:w="108" w:type="dxa"/>
            <w:bottom w:w="0" w:type="dxa"/>
            <w:right w:w="108" w:type="dxa"/>
          </w:tblCellMar>
        </w:tblPrEx>
        <w:trPr>
          <w:trHeight w:val="788"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产品响应程度</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w:t>
            </w:r>
            <w:r>
              <w:rPr>
                <w:rFonts w:ascii="宋体" w:hAnsi="宋体" w:cs="宋体"/>
                <w:b/>
                <w:bCs/>
                <w:color w:val="auto"/>
                <w:kern w:val="0"/>
                <w:sz w:val="21"/>
                <w:szCs w:val="21"/>
                <w:highlight w:val="none"/>
              </w:rPr>
              <w:t>6</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sz w:val="21"/>
                <w:szCs w:val="21"/>
                <w:highlight w:val="none"/>
              </w:rPr>
              <w:t>不符合（负偏离）技术要求中标注“▲”条款（不可偏离）的响应无效，满足或明显优于磋商文件明确的技术条款要求的得16分，标“</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”的</w:t>
            </w:r>
            <w:r>
              <w:rPr>
                <w:rFonts w:hint="eastAsia" w:ascii="宋体" w:hAnsi="宋体" w:cs="宋体"/>
                <w:color w:val="auto"/>
                <w:spacing w:val="-6"/>
                <w:sz w:val="21"/>
                <w:szCs w:val="21"/>
                <w:highlight w:val="none"/>
              </w:rPr>
              <w:t>技术条款低于技术要求（负偏离）的每项扣3分（16分起扣）、6项以上的响应无效，非标</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”的</w:t>
            </w:r>
            <w:r>
              <w:rPr>
                <w:rFonts w:hint="eastAsia" w:ascii="宋体" w:hAnsi="宋体" w:cs="宋体"/>
                <w:color w:val="auto"/>
                <w:spacing w:val="-6"/>
                <w:sz w:val="21"/>
                <w:szCs w:val="21"/>
                <w:highlight w:val="none"/>
              </w:rPr>
              <w:t>技术条款低于技术要求（负偏离）的每项扣2分（16分起扣）、9项以上的响应无效</w:t>
            </w:r>
            <w:r>
              <w:rPr>
                <w:rFonts w:hint="eastAsia" w:ascii="宋体" w:hAnsi="宋体" w:cs="宋体"/>
                <w:color w:val="auto"/>
                <w:sz w:val="21"/>
                <w:szCs w:val="21"/>
                <w:highlight w:val="none"/>
              </w:rPr>
              <w:t>（采购需求偏离表技术要求中响应规格与技术支持资料不一致的经</w:t>
            </w:r>
            <w:r>
              <w:rPr>
                <w:rFonts w:hint="eastAsia" w:ascii="宋体" w:hAnsi="宋体"/>
                <w:color w:val="auto"/>
                <w:spacing w:val="-6"/>
                <w:sz w:val="21"/>
                <w:szCs w:val="21"/>
                <w:highlight w:val="none"/>
              </w:rPr>
              <w:t>评标委员会</w:t>
            </w:r>
            <w:r>
              <w:rPr>
                <w:rFonts w:hint="eastAsia" w:ascii="宋体" w:hAnsi="宋体" w:cs="宋体"/>
                <w:color w:val="auto"/>
                <w:sz w:val="21"/>
                <w:szCs w:val="21"/>
                <w:highlight w:val="none"/>
              </w:rPr>
              <w:t>讨论后可被认定为负偏离），两项</w:t>
            </w:r>
            <w:r>
              <w:rPr>
                <w:rFonts w:hint="eastAsia" w:ascii="宋体" w:hAnsi="宋体" w:cs="宋体"/>
                <w:color w:val="auto"/>
                <w:spacing w:val="-6"/>
                <w:sz w:val="21"/>
                <w:szCs w:val="21"/>
                <w:highlight w:val="none"/>
              </w:rPr>
              <w:t>合计扣完为止。</w:t>
            </w:r>
          </w:p>
        </w:tc>
      </w:tr>
      <w:tr>
        <w:tblPrEx>
          <w:tblLayout w:type="fixed"/>
          <w:tblCellMar>
            <w:top w:w="0" w:type="dxa"/>
            <w:left w:w="108" w:type="dxa"/>
            <w:bottom w:w="0" w:type="dxa"/>
            <w:right w:w="108" w:type="dxa"/>
          </w:tblCellMar>
        </w:tblPrEx>
        <w:trPr>
          <w:trHeight w:val="525" w:hRule="atLeast"/>
        </w:trPr>
        <w:tc>
          <w:tcPr>
            <w:tcW w:w="165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技术方案</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对采购人原有业务信息系统的熟悉程度，尤其是平台业务系统架构、部署方式以及数据接口。</w:t>
            </w:r>
          </w:p>
        </w:tc>
      </w:tr>
      <w:tr>
        <w:tblPrEx>
          <w:tblLayout w:type="fixed"/>
          <w:tblCellMar>
            <w:top w:w="0" w:type="dxa"/>
            <w:left w:w="108" w:type="dxa"/>
            <w:bottom w:w="0" w:type="dxa"/>
            <w:right w:w="108" w:type="dxa"/>
          </w:tblCellMar>
        </w:tblPrEx>
        <w:trPr>
          <w:trHeight w:val="525" w:hRule="atLeast"/>
        </w:trPr>
        <w:tc>
          <w:tcPr>
            <w:tcW w:w="165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系统架构的先进性、安全性、可靠性、高效性、易用性、灵活性、可扩展性、可操作性和可落地性</w:t>
            </w:r>
          </w:p>
        </w:tc>
      </w:tr>
      <w:tr>
        <w:tblPrEx>
          <w:tblLayout w:type="fixed"/>
          <w:tblCellMar>
            <w:top w:w="0" w:type="dxa"/>
            <w:left w:w="108" w:type="dxa"/>
            <w:bottom w:w="0" w:type="dxa"/>
            <w:right w:w="108" w:type="dxa"/>
          </w:tblCellMar>
        </w:tblPrEx>
        <w:trPr>
          <w:trHeight w:val="525" w:hRule="atLeast"/>
        </w:trPr>
        <w:tc>
          <w:tcPr>
            <w:tcW w:w="165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对采购人改造环境的熟悉程度，了解目前教室强弱电部署，并提供改造后的强弱电部署图；</w:t>
            </w:r>
          </w:p>
        </w:tc>
      </w:tr>
      <w:tr>
        <w:tblPrEx>
          <w:tblLayout w:type="fixed"/>
          <w:tblCellMar>
            <w:top w:w="0" w:type="dxa"/>
            <w:left w:w="108" w:type="dxa"/>
            <w:bottom w:w="0" w:type="dxa"/>
            <w:right w:w="108" w:type="dxa"/>
          </w:tblCellMar>
        </w:tblPrEx>
        <w:trPr>
          <w:trHeight w:val="525" w:hRule="atLeast"/>
        </w:trPr>
        <w:tc>
          <w:tcPr>
            <w:tcW w:w="165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项目实施</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项目实施进度计划、项目过程各阶段划分、组织机构、分工安排和质量控制措施</w:t>
            </w:r>
          </w:p>
        </w:tc>
      </w:tr>
      <w:tr>
        <w:tblPrEx>
          <w:tblLayout w:type="fixed"/>
          <w:tblCellMar>
            <w:top w:w="0" w:type="dxa"/>
            <w:left w:w="108" w:type="dxa"/>
            <w:bottom w:w="0" w:type="dxa"/>
            <w:right w:w="108" w:type="dxa"/>
          </w:tblCellMar>
        </w:tblPrEx>
        <w:trPr>
          <w:trHeight w:val="525" w:hRule="atLeast"/>
        </w:trPr>
        <w:tc>
          <w:tcPr>
            <w:tcW w:w="165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项目实施全过程各阶段主要实施活动的描述、实施过程的质量监控指标和及时整改方法</w:t>
            </w:r>
          </w:p>
        </w:tc>
      </w:tr>
      <w:tr>
        <w:tblPrEx>
          <w:tblLayout w:type="fixed"/>
          <w:tblCellMar>
            <w:top w:w="0" w:type="dxa"/>
            <w:left w:w="108" w:type="dxa"/>
            <w:bottom w:w="0" w:type="dxa"/>
            <w:right w:w="108" w:type="dxa"/>
          </w:tblCellMar>
        </w:tblPrEx>
        <w:trPr>
          <w:trHeight w:val="278"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售后服务</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售后服务方案、售后服务承诺的可行性以及服务承诺落实的保障措施</w:t>
            </w:r>
          </w:p>
        </w:tc>
      </w:tr>
      <w:tr>
        <w:tblPrEx>
          <w:tblLayout w:type="fixed"/>
          <w:tblCellMar>
            <w:top w:w="0" w:type="dxa"/>
            <w:left w:w="108" w:type="dxa"/>
            <w:bottom w:w="0" w:type="dxa"/>
            <w:right w:w="108" w:type="dxa"/>
          </w:tblCellMar>
        </w:tblPrEx>
        <w:trPr>
          <w:trHeight w:val="525"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技术服务培训</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服务力量和服务保障，培训计划内容，培训范围，实施及针对性。</w:t>
            </w:r>
          </w:p>
        </w:tc>
      </w:tr>
      <w:tr>
        <w:tblPrEx>
          <w:tblLayout w:type="fixed"/>
          <w:tblCellMar>
            <w:top w:w="0" w:type="dxa"/>
            <w:left w:w="108" w:type="dxa"/>
            <w:bottom w:w="0" w:type="dxa"/>
            <w:right w:w="108" w:type="dxa"/>
          </w:tblCellMar>
        </w:tblPrEx>
        <w:trPr>
          <w:trHeight w:val="540" w:hRule="atLeast"/>
        </w:trPr>
        <w:tc>
          <w:tcPr>
            <w:tcW w:w="165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服务团队</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w:t>
            </w:r>
          </w:p>
        </w:tc>
        <w:tc>
          <w:tcPr>
            <w:tcW w:w="7227" w:type="dxa"/>
            <w:tcBorders>
              <w:top w:val="nil"/>
              <w:left w:val="nil"/>
              <w:bottom w:val="single" w:color="auto" w:sz="4" w:space="0"/>
              <w:right w:val="single" w:color="auto" w:sz="8" w:space="0"/>
            </w:tcBorders>
            <w:shd w:val="clear" w:color="auto" w:fill="auto"/>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团队人员配备情况，团队人员的数量是否充分、配备是否合理、有无类似经验、资质情况等。</w:t>
            </w:r>
          </w:p>
        </w:tc>
      </w:tr>
      <w:tr>
        <w:tblPrEx>
          <w:tblLayout w:type="fixed"/>
          <w:tblCellMar>
            <w:top w:w="0" w:type="dxa"/>
            <w:left w:w="108" w:type="dxa"/>
            <w:bottom w:w="0" w:type="dxa"/>
            <w:right w:w="108" w:type="dxa"/>
          </w:tblCellMar>
        </w:tblPrEx>
        <w:trPr>
          <w:trHeight w:val="278" w:hRule="atLeast"/>
        </w:trPr>
        <w:tc>
          <w:tcPr>
            <w:tcW w:w="1650" w:type="dxa"/>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现场演示</w:t>
            </w:r>
          </w:p>
        </w:tc>
        <w:tc>
          <w:tcPr>
            <w:tcW w:w="682" w:type="dxa"/>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30</w:t>
            </w:r>
          </w:p>
        </w:tc>
        <w:tc>
          <w:tcPr>
            <w:tcW w:w="7227"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sz w:val="21"/>
                <w:szCs w:val="21"/>
                <w:highlight w:val="none"/>
              </w:rPr>
              <w:t>技术要求中演示内容的完整程度、详尽程度、细节处理程度等，原型演示的每项最高得2分，PPT或视频等演示的每项最高得1分，未提供现场演示的响应无效。</w:t>
            </w:r>
          </w:p>
        </w:tc>
      </w:tr>
    </w:tbl>
    <w:p>
      <w:pPr>
        <w:spacing w:line="360" w:lineRule="auto"/>
        <w:jc w:val="left"/>
        <w:rPr>
          <w:rFonts w:ascii="宋体" w:hAnsi="宋体"/>
          <w:b/>
          <w:color w:val="auto"/>
          <w:sz w:val="21"/>
          <w:szCs w:val="21"/>
          <w:highlight w:val="none"/>
        </w:rPr>
      </w:pPr>
    </w:p>
    <w:p>
      <w:pPr>
        <w:spacing w:line="360" w:lineRule="auto"/>
        <w:jc w:val="left"/>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根据《政府采购促进中小企业发展暂行办法》（财库[2011]181号）的规定，投标人如为小型或微型企业并提交相关证明材料，其所投产品中的</w:t>
      </w:r>
      <w:r>
        <w:rPr>
          <w:rFonts w:ascii="宋体" w:hAnsi="宋体"/>
          <w:b/>
          <w:bCs/>
          <w:color w:val="auto"/>
          <w:spacing w:val="-6"/>
          <w:sz w:val="21"/>
          <w:szCs w:val="21"/>
          <w:highlight w:val="none"/>
        </w:rPr>
        <w:t>小型或微型企业</w:t>
      </w:r>
      <w:r>
        <w:rPr>
          <w:rFonts w:hint="eastAsia" w:ascii="宋体" w:hAnsi="宋体"/>
          <w:b/>
          <w:bCs/>
          <w:color w:val="auto"/>
          <w:spacing w:val="-6"/>
          <w:sz w:val="21"/>
          <w:szCs w:val="21"/>
          <w:highlight w:val="none"/>
        </w:rPr>
        <w:t>制造部分</w:t>
      </w:r>
      <w:r>
        <w:rPr>
          <w:rFonts w:ascii="宋体" w:hAnsi="宋体"/>
          <w:b/>
          <w:bCs/>
          <w:color w:val="auto"/>
          <w:spacing w:val="-6"/>
          <w:sz w:val="21"/>
          <w:szCs w:val="21"/>
          <w:highlight w:val="none"/>
        </w:rPr>
        <w:t>的投标</w:t>
      </w:r>
      <w:r>
        <w:rPr>
          <w:rFonts w:hint="eastAsia" w:ascii="宋体" w:hAnsi="宋体"/>
          <w:b/>
          <w:bCs/>
          <w:color w:val="auto"/>
          <w:spacing w:val="-6"/>
          <w:sz w:val="21"/>
          <w:szCs w:val="21"/>
          <w:highlight w:val="none"/>
        </w:rPr>
        <w:t>报价扣除6%后参与评审；</w:t>
      </w:r>
    </w:p>
    <w:p>
      <w:pPr>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w:t>
      </w:r>
      <w:r>
        <w:rPr>
          <w:rFonts w:ascii="宋体" w:hAnsi="宋体"/>
          <w:b/>
          <w:bCs/>
          <w:color w:val="auto"/>
          <w:spacing w:val="-6"/>
          <w:sz w:val="21"/>
          <w:szCs w:val="21"/>
          <w:highlight w:val="none"/>
        </w:rPr>
        <w:t>关于政府采购支持监狱企业发展有关问题的通知</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财库[2014]68号</w:t>
      </w:r>
      <w:r>
        <w:rPr>
          <w:rFonts w:hint="eastAsia" w:ascii="宋体" w:hAnsi="宋体"/>
          <w:b/>
          <w:bCs/>
          <w:color w:val="auto"/>
          <w:spacing w:val="-6"/>
          <w:sz w:val="21"/>
          <w:szCs w:val="21"/>
          <w:highlight w:val="none"/>
        </w:rPr>
        <w:t>）的规定，投标人如为监狱企业并提交相关证明材料的，视同小型、微型企业；</w:t>
      </w:r>
    </w:p>
    <w:p>
      <w:pPr>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根据《关于促进残疾人就业政府采购政策的通知》（财库[2017]141号）的规定，投标人如为残疾人福利性单位并提交《残疾人福利性单位声明函》的，视同小型、微型企业；</w:t>
      </w:r>
    </w:p>
    <w:p>
      <w:pPr>
        <w:spacing w:line="288" w:lineRule="auto"/>
        <w:rPr>
          <w:rFonts w:ascii="宋体" w:hAnsi="宋体"/>
          <w:bCs/>
          <w:color w:val="auto"/>
          <w:spacing w:val="-6"/>
          <w:sz w:val="21"/>
          <w:szCs w:val="21"/>
          <w:highlight w:val="none"/>
        </w:rPr>
      </w:pPr>
      <w:r>
        <w:rPr>
          <w:rFonts w:hint="eastAsia" w:ascii="宋体" w:hAnsi="宋体"/>
          <w:b/>
          <w:bCs/>
          <w:color w:val="auto"/>
          <w:spacing w:val="-6"/>
          <w:sz w:val="21"/>
          <w:szCs w:val="21"/>
          <w:highlight w:val="none"/>
        </w:rPr>
        <w:t>4</w:t>
      </w:r>
      <w:r>
        <w:rPr>
          <w:rFonts w:ascii="宋体" w:hAnsi="宋体"/>
          <w:b/>
          <w:bCs/>
          <w:color w:val="auto"/>
          <w:spacing w:val="-6"/>
          <w:sz w:val="21"/>
          <w:szCs w:val="21"/>
          <w:highlight w:val="none"/>
        </w:rPr>
        <w:t>.残疾人福利性单位属于小型、微型企业的，不重复享受政策。</w:t>
      </w:r>
    </w:p>
    <w:p>
      <w:pPr>
        <w:spacing w:line="288" w:lineRule="auto"/>
        <w:jc w:val="center"/>
        <w:outlineLvl w:val="0"/>
        <w:rPr>
          <w:rFonts w:ascii="宋体" w:hAnsi="宋体"/>
          <w:b/>
          <w:color w:val="auto"/>
          <w:sz w:val="21"/>
          <w:szCs w:val="21"/>
          <w:highlight w:val="none"/>
        </w:rPr>
      </w:pPr>
      <w:r>
        <w:rPr>
          <w:rFonts w:ascii="宋体" w:hAnsi="宋体"/>
          <w:b/>
          <w:bCs/>
          <w:color w:val="auto"/>
          <w:spacing w:val="-6"/>
          <w:sz w:val="32"/>
          <w:szCs w:val="32"/>
          <w:highlight w:val="none"/>
        </w:rPr>
        <w:br w:type="page"/>
      </w:r>
      <w:r>
        <w:rPr>
          <w:rFonts w:hint="eastAsia" w:ascii="宋体" w:hAnsi="宋体"/>
          <w:b/>
          <w:bCs/>
          <w:color w:val="auto"/>
          <w:spacing w:val="-6"/>
          <w:sz w:val="32"/>
          <w:szCs w:val="32"/>
          <w:highlight w:val="none"/>
        </w:rPr>
        <w:t>第五章  拟签订的合同文本</w:t>
      </w:r>
    </w:p>
    <w:p>
      <w:pPr>
        <w:pStyle w:val="12"/>
        <w:snapToGrid w:val="0"/>
        <w:spacing w:before="120" w:beforeLines="0" w:after="120" w:afterLines="0" w:line="288" w:lineRule="auto"/>
        <w:jc w:val="center"/>
        <w:rPr>
          <w:rFonts w:hAnsi="宋体"/>
          <w:b/>
          <w:color w:val="auto"/>
          <w:spacing w:val="-6"/>
          <w:highlight w:val="none"/>
        </w:rPr>
      </w:pPr>
      <w:r>
        <w:rPr>
          <w:rFonts w:hint="eastAsia" w:hAnsi="宋体"/>
          <w:b/>
          <w:color w:val="auto"/>
          <w:spacing w:val="-6"/>
          <w:highlight w:val="none"/>
        </w:rPr>
        <w:t>中国美术学院教务处象山2号楼信息化提升项目</w:t>
      </w:r>
      <w:r>
        <w:rPr>
          <w:rFonts w:hAnsi="宋体"/>
          <w:b/>
          <w:color w:val="auto"/>
          <w:spacing w:val="-6"/>
          <w:highlight w:val="none"/>
        </w:rPr>
        <w:t>合同</w:t>
      </w:r>
    </w:p>
    <w:p>
      <w:pPr>
        <w:spacing w:line="288" w:lineRule="auto"/>
        <w:ind w:firstLine="396" w:firstLineChars="200"/>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（本合同为合同样稿，最终稿由三方协商后确定；签订合同时删除此行）</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项目编号：QSZB-Z(H)-C19233(GK)</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确认书编号：[2019]37754号</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甲方（需方）：中国美术学院</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乙方（供方）：</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采购代理机构：浙江求是招标代理有限公司</w:t>
      </w:r>
    </w:p>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签约时间、地点：2019年   月   日，杭州</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甲、乙双方根据浙江求是招标代理有限公司关于中国美术学院教务处象山2号楼信息化提升项目公开招标的结果，签署本合同。</w:t>
      </w:r>
    </w:p>
    <w:p>
      <w:pPr>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第一条：采购商品清单及合同价格</w:t>
      </w:r>
    </w:p>
    <w:p>
      <w:pPr>
        <w:spacing w:line="288" w:lineRule="auto"/>
        <w:ind w:firstLine="396" w:firstLineChars="200"/>
        <w:jc w:val="center"/>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 xml:space="preserve">                                                                     单位/元</w:t>
      </w:r>
    </w:p>
    <w:tbl>
      <w:tblPr>
        <w:tblStyle w:val="22"/>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2"/>
        <w:gridCol w:w="2928"/>
        <w:gridCol w:w="72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72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序号</w:t>
            </w:r>
          </w:p>
        </w:tc>
        <w:tc>
          <w:tcPr>
            <w:tcW w:w="1392"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货物名称</w:t>
            </w:r>
          </w:p>
        </w:tc>
        <w:tc>
          <w:tcPr>
            <w:tcW w:w="2928"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厂牌、型号</w:t>
            </w:r>
          </w:p>
        </w:tc>
        <w:tc>
          <w:tcPr>
            <w:tcW w:w="72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数量</w:t>
            </w:r>
          </w:p>
        </w:tc>
        <w:tc>
          <w:tcPr>
            <w:tcW w:w="72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单位</w:t>
            </w:r>
          </w:p>
        </w:tc>
        <w:tc>
          <w:tcPr>
            <w:tcW w:w="126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单价</w:t>
            </w:r>
          </w:p>
        </w:tc>
        <w:tc>
          <w:tcPr>
            <w:tcW w:w="162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720" w:type="dxa"/>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w:t>
            </w:r>
          </w:p>
        </w:tc>
        <w:tc>
          <w:tcPr>
            <w:tcW w:w="1392" w:type="dxa"/>
            <w:vAlign w:val="center"/>
          </w:tcPr>
          <w:p>
            <w:pPr>
              <w:spacing w:line="288" w:lineRule="auto"/>
              <w:ind w:firstLine="396" w:firstLineChars="200"/>
              <w:jc w:val="center"/>
              <w:rPr>
                <w:rFonts w:ascii="宋体" w:hAnsi="宋体" w:cs="宋体"/>
                <w:color w:val="auto"/>
                <w:spacing w:val="-6"/>
                <w:sz w:val="21"/>
                <w:szCs w:val="21"/>
                <w:highlight w:val="none"/>
              </w:rPr>
            </w:pPr>
          </w:p>
        </w:tc>
        <w:tc>
          <w:tcPr>
            <w:tcW w:w="2928" w:type="dxa"/>
            <w:vAlign w:val="center"/>
          </w:tcPr>
          <w:p>
            <w:pPr>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（详细技术指标见招投标文件）</w:t>
            </w:r>
          </w:p>
        </w:tc>
        <w:tc>
          <w:tcPr>
            <w:tcW w:w="720" w:type="dxa"/>
            <w:vAlign w:val="center"/>
          </w:tcPr>
          <w:p>
            <w:pPr>
              <w:spacing w:line="288" w:lineRule="auto"/>
              <w:ind w:firstLine="396" w:firstLineChars="200"/>
              <w:jc w:val="center"/>
              <w:rPr>
                <w:rFonts w:ascii="宋体" w:hAnsi="宋体" w:cs="宋体"/>
                <w:color w:val="auto"/>
                <w:spacing w:val="-6"/>
                <w:sz w:val="21"/>
                <w:szCs w:val="21"/>
                <w:highlight w:val="none"/>
              </w:rPr>
            </w:pPr>
          </w:p>
        </w:tc>
        <w:tc>
          <w:tcPr>
            <w:tcW w:w="720" w:type="dxa"/>
            <w:vAlign w:val="center"/>
          </w:tcPr>
          <w:p>
            <w:pPr>
              <w:spacing w:line="288" w:lineRule="auto"/>
              <w:ind w:firstLine="396" w:firstLineChars="200"/>
              <w:jc w:val="center"/>
              <w:rPr>
                <w:rFonts w:ascii="宋体" w:hAnsi="宋体" w:cs="宋体"/>
                <w:color w:val="auto"/>
                <w:spacing w:val="-6"/>
                <w:sz w:val="21"/>
                <w:szCs w:val="21"/>
                <w:highlight w:val="none"/>
              </w:rPr>
            </w:pPr>
          </w:p>
        </w:tc>
        <w:tc>
          <w:tcPr>
            <w:tcW w:w="1260" w:type="dxa"/>
            <w:vAlign w:val="center"/>
          </w:tcPr>
          <w:p>
            <w:pPr>
              <w:spacing w:line="288" w:lineRule="auto"/>
              <w:ind w:firstLine="396" w:firstLineChars="200"/>
              <w:jc w:val="center"/>
              <w:rPr>
                <w:rFonts w:ascii="宋体" w:hAnsi="宋体" w:cs="宋体"/>
                <w:color w:val="auto"/>
                <w:spacing w:val="-6"/>
                <w:sz w:val="21"/>
                <w:szCs w:val="21"/>
                <w:highlight w:val="none"/>
              </w:rPr>
            </w:pPr>
          </w:p>
        </w:tc>
        <w:tc>
          <w:tcPr>
            <w:tcW w:w="1620" w:type="dxa"/>
            <w:vAlign w:val="center"/>
          </w:tcPr>
          <w:p>
            <w:pPr>
              <w:spacing w:line="288" w:lineRule="auto"/>
              <w:ind w:firstLine="396" w:firstLineChars="200"/>
              <w:rPr>
                <w:rFonts w:ascii="宋体" w:hAnsi="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2112" w:type="dxa"/>
            <w:gridSpan w:val="2"/>
            <w:vAlign w:val="center"/>
          </w:tcPr>
          <w:p>
            <w:pPr>
              <w:spacing w:line="288" w:lineRule="auto"/>
              <w:jc w:val="cente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合同总价（人民币）</w:t>
            </w:r>
          </w:p>
        </w:tc>
        <w:tc>
          <w:tcPr>
            <w:tcW w:w="7248" w:type="dxa"/>
            <w:gridSpan w:val="5"/>
            <w:tcBorders>
              <w:right w:val="single" w:color="auto" w:sz="4" w:space="0"/>
            </w:tcBorders>
            <w:vAlign w:val="center"/>
          </w:tcPr>
          <w:p>
            <w:pPr>
              <w:spacing w:line="288" w:lineRule="auto"/>
              <w:ind w:firstLine="396" w:firstLineChars="200"/>
              <w:jc w:val="center"/>
              <w:rPr>
                <w:rFonts w:ascii="宋体" w:hAnsi="宋体" w:cs="宋体"/>
                <w:color w:val="auto"/>
                <w:spacing w:val="-6"/>
                <w:sz w:val="21"/>
                <w:szCs w:val="21"/>
                <w:highlight w:val="none"/>
              </w:rPr>
            </w:pPr>
          </w:p>
        </w:tc>
      </w:tr>
    </w:tbl>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注：以上合同总价包括将货物运抵甲方指定地点的运费及安装调试、培训等一切费用。</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第二条：质量保证及售后服务</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2.乙方提供的货物在质保期内因货物本身的质量问题发生故障，乙方应负责免费更换。对达不到技术要求者，甲方有权选择以下办法处理：</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（1）更换：由乙方承担所发生的全部费用。</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（2）贬值处理：由甲乙双方合议定价。</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（3）退货处理：乙方应退还甲方支付的合同款，同时应承担该货物的直接费用（运输、保险、检验、货款利息及银行手续费等）。</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3.如在使用过程中发生质量问题，乙方在接到甲方通知后在</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小时内到达甲方现场。</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4.在质保期内，乙方应对货物出现的质量及安全问题负责处理解决并承担一切费用。</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5.上述的货物免费保修期为</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年，因人为因素出现的故障不在免费保修范围内。超过保修期的机器设备，终生维修，维修时只收部件成本费。</w:t>
      </w:r>
    </w:p>
    <w:p>
      <w:pPr>
        <w:pStyle w:val="12"/>
        <w:snapToGrid w:val="0"/>
        <w:spacing w:before="0" w:beforeLines="0" w:after="0" w:afterLines="0" w:line="288" w:lineRule="auto"/>
        <w:ind w:firstLine="398" w:firstLineChars="200"/>
        <w:rPr>
          <w:rFonts w:hAnsi="宋体" w:cs="宋体"/>
          <w:b/>
          <w:color w:val="auto"/>
          <w:spacing w:val="-6"/>
          <w:sz w:val="21"/>
          <w:szCs w:val="21"/>
          <w:highlight w:val="none"/>
        </w:rPr>
      </w:pPr>
      <w:r>
        <w:rPr>
          <w:rFonts w:hint="eastAsia" w:hAnsi="宋体" w:cs="宋体"/>
          <w:b/>
          <w:color w:val="auto"/>
          <w:spacing w:val="-6"/>
          <w:sz w:val="21"/>
          <w:szCs w:val="21"/>
          <w:highlight w:val="none"/>
        </w:rPr>
        <w:t>第三条：技术资料</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1.乙方应按招标文件规定的时间向甲方提供使用货物的有关技术资料。</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0" w:beforeLines="0" w:after="0" w:afterLines="0" w:line="288" w:lineRule="auto"/>
        <w:ind w:firstLine="398" w:firstLineChars="200"/>
        <w:rPr>
          <w:rFonts w:hAnsi="宋体" w:cs="宋体"/>
          <w:b/>
          <w:color w:val="auto"/>
          <w:spacing w:val="-6"/>
          <w:sz w:val="21"/>
          <w:szCs w:val="21"/>
          <w:highlight w:val="none"/>
        </w:rPr>
      </w:pPr>
      <w:r>
        <w:rPr>
          <w:rFonts w:hint="eastAsia" w:hAnsi="宋体" w:cs="宋体"/>
          <w:b/>
          <w:color w:val="auto"/>
          <w:spacing w:val="-6"/>
          <w:sz w:val="21"/>
          <w:szCs w:val="21"/>
          <w:highlight w:val="none"/>
        </w:rPr>
        <w:t>第四条：知识产权</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乙方应保证所提供的货物或其任何一部分均不会侵犯任何第三方的知识产权</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第五条：交货时间、地点</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乙方应于合同签订后</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日内将所供商品按时、安全运至甲方指定地点，并于一周内安装调试完毕。</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第六条：售后服务</w:t>
      </w:r>
    </w:p>
    <w:p>
      <w:pPr>
        <w:pStyle w:val="10"/>
        <w:snapToGrid w:val="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设备自验收合格后起保修</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年。维修响应时间：</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小时以内，电话技术支持；若需上门维修，则</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小时内到达现场并进行维修；保修期后，乙方继续为甲方服务，仅收取零配件成本费。保修内出现无法排除的故障，乙方需无条件为甲方更换同型号产品。</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第七条：调试与验收</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1.甲方对乙方提交的货物依据招标文件上的技术规格要求和国家有关质量标准进行现场初步验收，外观、说明书符合招标文件技术要求的，给予签收，初步验收不合格的不予签收。</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2.乙方交货前应对产品作出全面检查和对验收文件进行整理，并列出清单，作为甲方收货验收和使用的技术条件依据，检验的结果应随货物交甲方。</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3.甲方对乙方提供的货物在使用前进行调试时，乙方需负责安装并培训甲方的使用操作人员，并协助甲方一起调试，直到符合技术要求，甲方才做最终验收。</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4.对技术复杂的货物，甲方应请国家认可的专业检测机构参与初步验收及最终验收，并由其出具质量检测报告。</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5.验收时乙方必须在现场，验收完毕后作出验收结果报告；验收费用由乙方负责。</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第八条：货款的支付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pacing w:val="-6"/>
          <w:sz w:val="21"/>
          <w:szCs w:val="21"/>
          <w:highlight w:val="none"/>
        </w:rPr>
        <w:t>合同签订时，乙方向甲方缴纳合同金额5%的</w:t>
      </w:r>
      <w:r>
        <w:rPr>
          <w:rFonts w:hint="eastAsia" w:ascii="宋体" w:hAnsi="宋体" w:cs="宋体"/>
          <w:color w:val="auto"/>
          <w:spacing w:val="-6"/>
          <w:sz w:val="21"/>
          <w:szCs w:val="21"/>
          <w:highlight w:val="none"/>
          <w:lang w:eastAsia="zh-CN"/>
        </w:rPr>
        <w:t>履约</w:t>
      </w:r>
      <w:r>
        <w:rPr>
          <w:rFonts w:hint="eastAsia" w:ascii="宋体" w:hAnsi="宋体" w:cs="宋体"/>
          <w:color w:val="auto"/>
          <w:spacing w:val="-6"/>
          <w:sz w:val="21"/>
          <w:szCs w:val="21"/>
          <w:highlight w:val="none"/>
        </w:rPr>
        <w:t>保证金，在没有发生质量索赔的情况下，</w:t>
      </w:r>
      <w:r>
        <w:rPr>
          <w:rFonts w:hint="eastAsia" w:ascii="宋体" w:hAnsi="宋体" w:cs="宋体"/>
          <w:color w:val="auto"/>
          <w:spacing w:val="-6"/>
          <w:sz w:val="21"/>
          <w:szCs w:val="21"/>
          <w:highlight w:val="none"/>
          <w:lang w:eastAsia="zh-CN"/>
        </w:rPr>
        <w:t>履约</w:t>
      </w:r>
      <w:r>
        <w:rPr>
          <w:rFonts w:hint="eastAsia" w:ascii="宋体" w:hAnsi="宋体" w:cs="宋体"/>
          <w:color w:val="auto"/>
          <w:spacing w:val="-6"/>
          <w:sz w:val="21"/>
          <w:szCs w:val="21"/>
          <w:highlight w:val="none"/>
        </w:rPr>
        <w:t>保证金在质保期满后无息退还。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合同签订后30个工作日内，甲方向乙方支付合同金额的30%；货物送达指定地点，经甲方验收合格后30个工作日内且乙方已提交质量保证金的，甲方向乙方支付合同金额的70%</w:t>
      </w:r>
      <w:r>
        <w:rPr>
          <w:rFonts w:hint="eastAsia" w:ascii="宋体" w:hAnsi="宋体"/>
          <w:color w:val="auto"/>
          <w:sz w:val="21"/>
          <w:szCs w:val="21"/>
          <w:highlight w:val="none"/>
        </w:rPr>
        <w:t>。</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第九条：违约责任</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1.乙方逾期履行合同的，自逾期之日起，向甲方每日偿付合同总价千分之五的滞纳金。</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2.甲方逾期支付货款的，自逾期之日起，向乙方每日偿付未付价款千分之五的滞纳金。</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napToGrid w:val="0"/>
        <w:spacing w:before="0" w:beforeLines="0" w:after="0" w:afterLines="0" w:line="288" w:lineRule="auto"/>
        <w:ind w:firstLine="398" w:firstLineChars="200"/>
        <w:rPr>
          <w:rFonts w:hAnsi="宋体" w:cs="宋体"/>
          <w:b/>
          <w:color w:val="auto"/>
          <w:spacing w:val="-6"/>
          <w:sz w:val="21"/>
          <w:szCs w:val="21"/>
          <w:highlight w:val="none"/>
        </w:rPr>
      </w:pPr>
      <w:r>
        <w:rPr>
          <w:rFonts w:hint="eastAsia" w:hAnsi="宋体" w:cs="宋体"/>
          <w:b/>
          <w:color w:val="auto"/>
          <w:spacing w:val="-6"/>
          <w:sz w:val="21"/>
          <w:szCs w:val="21"/>
          <w:highlight w:val="none"/>
        </w:rPr>
        <w:t>第十条：不可抗力事件处理</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1.在合同有效期内，任何一方因不可抗力事件导致不能履行合同，则合同履行期可延长，其延长期与不可抗力影响期相同。</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2.不可抗力事件发生后，应立即通知对方，并寄送有关权威机构出具的证明。</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3.不可抗力事件延续120天以上，双方应通过友好协商，确定是否继续履行合同。</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第十一条：争议解决</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本合同未尽事宜由三方协商解决，如协商不成，三方同意将本合同引起的争议提交杭州仲裁委员会仲裁解决，仲裁为终局。</w:t>
      </w:r>
    </w:p>
    <w:p>
      <w:pPr>
        <w:snapToGrid w:val="0"/>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第十二条：合同生效</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1.合同经双方法定代表人或授权代表签字并加盖单位公章后生效。</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3.本合同未尽事宜，遵照《合同法》有关条文执行。</w:t>
      </w:r>
    </w:p>
    <w:p>
      <w:pPr>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4.本合同一式五份，乙方、采购代理机构各执壹份，甲方执叁份，经三方签字、盖公章后生效。</w:t>
      </w:r>
    </w:p>
    <w:p>
      <w:pPr>
        <w:snapToGrid w:val="0"/>
        <w:spacing w:line="288" w:lineRule="auto"/>
        <w:ind w:firstLine="396" w:firstLineChars="200"/>
        <w:rPr>
          <w:rFonts w:ascii="宋体" w:hAnsi="宋体"/>
          <w:color w:val="auto"/>
          <w:spacing w:val="-6"/>
          <w:sz w:val="21"/>
          <w:highlight w:val="none"/>
        </w:rPr>
      </w:pPr>
      <w:r>
        <w:rPr>
          <w:rFonts w:hint="eastAsia" w:ascii="宋体" w:hAnsi="宋体" w:cs="宋体"/>
          <w:color w:val="auto"/>
          <w:spacing w:val="-6"/>
          <w:sz w:val="21"/>
          <w:szCs w:val="21"/>
          <w:highlight w:val="none"/>
        </w:rPr>
        <w:t>5.</w:t>
      </w:r>
      <w:r>
        <w:rPr>
          <w:rFonts w:hint="eastAsia" w:ascii="宋体" w:hAnsi="宋体"/>
          <w:color w:val="auto"/>
          <w:spacing w:val="-6"/>
          <w:sz w:val="21"/>
          <w:highlight w:val="none"/>
        </w:rPr>
        <w:t>相关招标文件、投标文件、询标承诺、产品配置清单等与本合同具有同等法律效力。</w:t>
      </w:r>
    </w:p>
    <w:p>
      <w:pPr>
        <w:snapToGrid w:val="0"/>
        <w:spacing w:line="288" w:lineRule="auto"/>
        <w:ind w:firstLine="396" w:firstLineChars="200"/>
        <w:rPr>
          <w:rFonts w:ascii="宋体" w:hAnsi="宋体"/>
          <w:color w:val="auto"/>
          <w:spacing w:val="-6"/>
          <w:sz w:val="21"/>
          <w:highlight w:val="none"/>
        </w:rPr>
      </w:pPr>
    </w:p>
    <w:tbl>
      <w:tblPr>
        <w:tblStyle w:val="22"/>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甲方（需方）：</w:t>
            </w:r>
          </w:p>
          <w:p>
            <w:pPr>
              <w:rPr>
                <w:rFonts w:ascii="宋体" w:hAnsi="宋体" w:cs="宋体"/>
                <w:color w:val="auto"/>
                <w:sz w:val="21"/>
                <w:szCs w:val="21"/>
                <w:highlight w:val="none"/>
              </w:rPr>
            </w:pPr>
            <w:r>
              <w:rPr>
                <w:rFonts w:hint="eastAsia" w:ascii="宋体" w:hAnsi="宋体" w:cs="宋体"/>
                <w:color w:val="auto"/>
                <w:sz w:val="21"/>
                <w:szCs w:val="21"/>
                <w:highlight w:val="none"/>
              </w:rPr>
              <w:t>（公章）</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乙方（供方）：</w:t>
            </w:r>
          </w:p>
          <w:p>
            <w:pPr>
              <w:rPr>
                <w:rFonts w:ascii="宋体" w:hAnsi="宋体" w:cs="宋体"/>
                <w:color w:val="auto"/>
                <w:sz w:val="21"/>
                <w:szCs w:val="21"/>
                <w:highlight w:val="none"/>
              </w:rPr>
            </w:pPr>
            <w:r>
              <w:rPr>
                <w:rFonts w:hint="eastAsia" w:ascii="宋体" w:hAnsi="宋体" w:cs="宋体"/>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甲方代表：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乙方代表：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签字日期：    年   月   日</w:t>
            </w:r>
          </w:p>
        </w:tc>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14" w:type="dxa"/>
          <w:trHeight w:val="283" w:hRule="atLeast"/>
          <w:jc w:val="center"/>
        </w:trPr>
        <w:tc>
          <w:tcPr>
            <w:tcW w:w="4814" w:type="dxa"/>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14" w:type="dxa"/>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14" w:type="dxa"/>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法定代表人或主要负责人：</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14" w:type="dxa"/>
          <w:trHeight w:val="283" w:hRule="atLeast"/>
          <w:jc w:val="center"/>
        </w:trPr>
        <w:tc>
          <w:tcPr>
            <w:tcW w:w="481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鉴证日期：</w:t>
            </w:r>
          </w:p>
        </w:tc>
      </w:tr>
    </w:tbl>
    <w:p>
      <w:pPr>
        <w:pStyle w:val="12"/>
        <w:snapToGrid w:val="0"/>
        <w:spacing w:before="120" w:beforeLines="0" w:after="120" w:afterLines="0" w:line="288" w:lineRule="auto"/>
        <w:rPr>
          <w:rFonts w:hAnsi="宋体"/>
          <w:b/>
          <w:color w:val="auto"/>
          <w:spacing w:val="-6"/>
          <w:highlight w:val="none"/>
        </w:rPr>
      </w:pPr>
    </w:p>
    <w:p>
      <w:pPr>
        <w:pStyle w:val="12"/>
        <w:tabs>
          <w:tab w:val="left" w:pos="2472"/>
        </w:tabs>
        <w:spacing w:before="0" w:beforeLines="0" w:after="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投标文件格式</w:t>
      </w:r>
    </w:p>
    <w:p>
      <w:pPr>
        <w:spacing w:line="360" w:lineRule="auto"/>
        <w:rPr>
          <w:rFonts w:ascii="宋体" w:hAnsi="宋体"/>
          <w:b/>
          <w:bCs/>
          <w:color w:val="auto"/>
          <w:spacing w:val="-6"/>
          <w:sz w:val="24"/>
          <w:highlight w:val="none"/>
        </w:rPr>
      </w:pPr>
    </w:p>
    <w:p>
      <w:pPr>
        <w:pStyle w:val="12"/>
        <w:spacing w:before="0" w:beforeLines="0" w:after="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投标文件的编制应按照本项目：“第三章  投标人须知”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投标文件的编制</w:t>
      </w:r>
      <w:r>
        <w:rPr>
          <w:rFonts w:hint="eastAsia" w:hAnsi="宋体"/>
          <w:b/>
          <w:color w:val="auto"/>
          <w:spacing w:val="-6"/>
          <w:sz w:val="21"/>
          <w:szCs w:val="21"/>
          <w:highlight w:val="none"/>
        </w:rPr>
        <w:t>的要求编制。</w:t>
      </w: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采购人：中国美术学院</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 教务处象山2号楼信息化提升项目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标</w:t>
      </w:r>
      <w:r>
        <w:rPr>
          <w:rFonts w:ascii="宋体" w:hAnsi="宋体"/>
          <w:bCs/>
          <w:color w:val="auto"/>
          <w:spacing w:val="-6"/>
          <w:sz w:val="24"/>
          <w:highlight w:val="none"/>
        </w:rPr>
        <w:t>项</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投标文件名称：报价文件</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报价文件</w:t>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报价文件</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采购人：中国美术学院</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 教务处象山2号楼信息化提升项目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标</w:t>
      </w:r>
      <w:r>
        <w:rPr>
          <w:rFonts w:ascii="宋体" w:hAnsi="宋体"/>
          <w:bCs/>
          <w:color w:val="auto"/>
          <w:spacing w:val="-6"/>
          <w:sz w:val="24"/>
          <w:highlight w:val="none"/>
        </w:rPr>
        <w:t>项</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outlineLvl w:val="1"/>
        <w:rPr>
          <w:rFonts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报价文件</w:t>
      </w:r>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开标一览表</w:t>
      </w:r>
    </w:p>
    <w:p>
      <w:pPr>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采购人：</w:t>
      </w:r>
      <w:r>
        <w:rPr>
          <w:rFonts w:hint="eastAsia" w:ascii="宋体" w:hAnsi="宋体"/>
          <w:bCs/>
          <w:color w:val="auto"/>
          <w:spacing w:val="-6"/>
          <w:sz w:val="24"/>
          <w:highlight w:val="none"/>
        </w:rPr>
        <w:t>中国美术学院</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项目名称：教务处象山2号楼信息化提升项目</w:t>
      </w:r>
    </w:p>
    <w:p>
      <w:pPr>
        <w:spacing w:line="360" w:lineRule="auto"/>
        <w:rPr>
          <w:rFonts w:hint="eastAsia" w:ascii="宋体" w:hAnsi="宋体" w:eastAsia="宋体"/>
          <w:bCs/>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标</w:t>
      </w:r>
      <w:r>
        <w:rPr>
          <w:rFonts w:ascii="宋体" w:hAnsi="宋体"/>
          <w:bCs/>
          <w:color w:val="auto"/>
          <w:spacing w:val="-6"/>
          <w:sz w:val="24"/>
          <w:highlight w:val="none"/>
        </w:rPr>
        <w:t>项</w:t>
      </w:r>
      <w:r>
        <w:rPr>
          <w:rFonts w:hint="eastAsia" w:ascii="宋体" w:hAnsi="宋体"/>
          <w:bCs/>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pacing w:val="-6"/>
                <w:sz w:val="24"/>
                <w:highlight w:val="none"/>
                <w:u w:val="single"/>
              </w:rPr>
            </w:pPr>
            <w:r>
              <w:rPr>
                <w:rFonts w:hint="eastAsia" w:ascii="宋体" w:hAnsi="宋体"/>
                <w:b/>
                <w:color w:val="auto"/>
                <w:spacing w:val="-6"/>
                <w:sz w:val="24"/>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金额大写：_________</w:t>
            </w:r>
            <w:r>
              <w:rPr>
                <w:rFonts w:ascii="宋体" w:hAnsi="宋体"/>
                <w:color w:val="auto"/>
                <w:spacing w:val="-6"/>
                <w:sz w:val="24"/>
                <w:highlight w:val="none"/>
              </w:rPr>
              <w:t>________</w:t>
            </w:r>
            <w:r>
              <w:rPr>
                <w:rFonts w:hint="eastAsia" w:ascii="宋体" w:hAnsi="宋体"/>
                <w:color w:val="auto"/>
                <w:spacing w:val="-6"/>
                <w:sz w:val="24"/>
                <w:highlight w:val="none"/>
              </w:rPr>
              <w:t>_______________小写：__________</w:t>
            </w:r>
            <w:r>
              <w:rPr>
                <w:rFonts w:ascii="宋体" w:hAnsi="宋体"/>
                <w:color w:val="auto"/>
                <w:spacing w:val="-6"/>
                <w:sz w:val="24"/>
                <w:highlight w:val="none"/>
              </w:rPr>
              <w:t>__________</w:t>
            </w:r>
            <w:r>
              <w:rPr>
                <w:rFonts w:hint="eastAsia" w:ascii="宋体" w:hAnsi="宋体"/>
                <w:color w:val="auto"/>
                <w:spacing w:val="-6"/>
                <w:sz w:val="24"/>
                <w:highlight w:val="none"/>
              </w:rPr>
              <w:t>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单位：人民币元</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投标总价包括完成所有产品供货及履行所有规定服务所产生的全部费用。</w:t>
            </w: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12"/>
        <w:spacing w:before="0" w:beforeLines="0" w:after="0" w:afterLines="0" w:line="360" w:lineRule="auto"/>
        <w:jc w:val="center"/>
        <w:outlineLvl w:val="2"/>
        <w:rPr>
          <w:rFonts w:hAnsi="宋体"/>
          <w:b/>
          <w:color w:val="auto"/>
          <w:spacing w:val="-6"/>
          <w:highlight w:val="none"/>
        </w:rPr>
      </w:pPr>
      <w:r>
        <w:rPr>
          <w:rFonts w:hAnsi="宋体"/>
          <w:b/>
          <w:color w:val="auto"/>
          <w:spacing w:val="-6"/>
          <w:highlight w:val="none"/>
        </w:rPr>
        <w:br w:type="page"/>
      </w:r>
      <w:r>
        <w:rPr>
          <w:rFonts w:hAnsi="宋体"/>
          <w:b/>
          <w:color w:val="auto"/>
          <w:spacing w:val="-6"/>
          <w:highlight w:val="none"/>
        </w:rPr>
        <w:t>投标报价明细表</w:t>
      </w:r>
    </w:p>
    <w:p>
      <w:pPr>
        <w:pStyle w:val="12"/>
        <w:spacing w:before="0" w:beforeLines="0" w:after="0" w:afterLines="0" w:line="360" w:lineRule="auto"/>
        <w:jc w:val="center"/>
        <w:rPr>
          <w:rFonts w:hAnsi="宋体"/>
          <w:b/>
          <w:color w:val="auto"/>
          <w:spacing w:val="-6"/>
          <w:highlight w:val="none"/>
        </w:rPr>
      </w:pPr>
    </w:p>
    <w:p>
      <w:pPr>
        <w:pStyle w:val="12"/>
        <w:spacing w:before="0" w:beforeLines="0" w:after="0" w:afterLines="0" w:line="360" w:lineRule="auto"/>
        <w:ind w:right="342"/>
        <w:jc w:val="right"/>
        <w:rPr>
          <w:rFonts w:hAnsi="宋体"/>
          <w:b/>
          <w:color w:val="auto"/>
          <w:spacing w:val="-6"/>
          <w:highlight w:val="none"/>
        </w:rPr>
      </w:pPr>
      <w:r>
        <w:rPr>
          <w:rFonts w:hAnsi="宋体"/>
          <w:color w:val="auto"/>
          <w:spacing w:val="-6"/>
          <w:highlight w:val="none"/>
        </w:rPr>
        <w:t>金额单位：</w:t>
      </w:r>
      <w:r>
        <w:rPr>
          <w:rFonts w:hint="eastAsia" w:hAnsi="宋体"/>
          <w:color w:val="auto"/>
          <w:spacing w:val="-6"/>
          <w:highlight w:val="none"/>
        </w:rPr>
        <w:t>人民币元</w:t>
      </w:r>
    </w:p>
    <w:tbl>
      <w:tblPr>
        <w:tblStyle w:val="22"/>
        <w:tblW w:w="94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993"/>
        <w:gridCol w:w="992"/>
        <w:gridCol w:w="992"/>
        <w:gridCol w:w="1134"/>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ascii="宋体" w:hAnsi="宋体"/>
                <w:color w:val="auto"/>
                <w:spacing w:val="-6"/>
                <w:sz w:val="24"/>
                <w:highlight w:val="none"/>
              </w:rPr>
              <w:t>型号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3"/>
              <w:widowControl w:val="0"/>
              <w:spacing w:before="0" w:beforeAutospacing="0" w:after="0" w:afterAutospacing="0"/>
              <w:rPr>
                <w:rFonts w:hint="default" w:ascii="宋体" w:eastAsia="宋体"/>
                <w:color w:val="auto"/>
                <w:kern w:val="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3"/>
              <w:widowControl w:val="0"/>
              <w:spacing w:before="0" w:beforeAutospacing="0" w:after="0" w:afterAutospacing="0"/>
              <w:rPr>
                <w:rFonts w:hint="default" w:ascii="宋体" w:eastAsia="宋体"/>
                <w:color w:val="auto"/>
                <w:kern w:val="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color w:val="auto"/>
                <w:spacing w:val="-6"/>
                <w:sz w:val="24"/>
                <w:highlight w:val="none"/>
              </w:rPr>
            </w:pPr>
          </w:p>
        </w:tc>
      </w:tr>
    </w:tbl>
    <w:p>
      <w:pPr>
        <w:tabs>
          <w:tab w:val="left" w:pos="1418"/>
        </w:tabs>
        <w:spacing w:line="360" w:lineRule="auto"/>
        <w:rPr>
          <w:rFonts w:ascii="宋体" w:hAnsi="宋体"/>
          <w:color w:val="auto"/>
          <w:spacing w:val="-6"/>
          <w:sz w:val="24"/>
          <w:highlight w:val="none"/>
          <w:u w:val="single"/>
        </w:rPr>
      </w:pPr>
    </w:p>
    <w:p>
      <w:pPr>
        <w:tabs>
          <w:tab w:val="left" w:pos="1418"/>
        </w:tabs>
        <w:spacing w:line="360" w:lineRule="auto"/>
        <w:rPr>
          <w:rFonts w:ascii="宋体" w:hAnsi="宋体"/>
          <w:color w:val="auto"/>
          <w:spacing w:val="-6"/>
          <w:sz w:val="24"/>
          <w:highlight w:val="none"/>
          <w:u w:val="singl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outlineLvl w:val="2"/>
        <w:rPr>
          <w:rFonts w:ascii="宋体" w:hAnsi="宋体"/>
          <w:color w:val="auto"/>
          <w:spacing w:val="-6"/>
          <w:sz w:val="24"/>
          <w:highlight w:val="none"/>
        </w:rPr>
      </w:pPr>
      <w:r>
        <w:rPr>
          <w:rFonts w:ascii="宋体" w:hAnsi="宋体"/>
          <w:b/>
          <w:color w:val="auto"/>
          <w:spacing w:val="-6"/>
          <w:sz w:val="24"/>
          <w:highlight w:val="none"/>
        </w:rPr>
        <w:br w:type="page"/>
      </w:r>
      <w:r>
        <w:rPr>
          <w:rFonts w:hint="eastAsia" w:ascii="宋体" w:hAnsi="宋体"/>
          <w:b/>
          <w:bCs/>
          <w:color w:val="auto"/>
          <w:sz w:val="24"/>
          <w:highlight w:val="none"/>
        </w:rPr>
        <w:t>投标人企业类型声明函</w:t>
      </w:r>
    </w:p>
    <w:p>
      <w:pPr>
        <w:pStyle w:val="17"/>
        <w:spacing w:line="360" w:lineRule="auto"/>
        <w:ind w:left="169" w:hanging="169" w:hangingChars="74"/>
        <w:jc w:val="center"/>
        <w:rPr>
          <w:rFonts w:ascii="宋体" w:hAnsi="宋体"/>
          <w:b/>
          <w:color w:val="auto"/>
          <w:spacing w:val="-6"/>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本公司参加中国美术学院教务处象山2号楼信息化提升项目采购活动（按投标形式选择填写）：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（1）□本公司为直接投标人提供本企业制造的货物,由本企业承担工程、提供服务。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b/>
          <w:bCs/>
          <w:color w:val="auto"/>
          <w:sz w:val="21"/>
          <w:szCs w:val="21"/>
          <w:highlight w:val="none"/>
        </w:rPr>
      </w:pPr>
    </w:p>
    <w:p>
      <w:pPr>
        <w:spacing w:line="360" w:lineRule="auto"/>
        <w:jc w:val="center"/>
        <w:outlineLvl w:val="2"/>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4"/>
          <w:highlight w:val="none"/>
        </w:rPr>
        <w:t>小微企业资格证明材料</w:t>
      </w:r>
      <w:r>
        <w:rPr>
          <w:rFonts w:hint="eastAsia" w:ascii="宋体" w:hAnsi="宋体"/>
          <w:color w:val="auto"/>
          <w:sz w:val="24"/>
          <w:highlight w:val="none"/>
        </w:rPr>
        <w:t>（加盖公章）</w:t>
      </w:r>
    </w:p>
    <w:p>
      <w:pPr>
        <w:spacing w:line="360" w:lineRule="auto"/>
        <w:jc w:val="center"/>
        <w:rPr>
          <w:rFonts w:ascii="宋体" w:hAnsi="宋体"/>
          <w:color w:val="auto"/>
          <w:sz w:val="24"/>
          <w:highlight w:val="none"/>
        </w:rPr>
      </w:pPr>
      <w:r>
        <w:rPr>
          <w:rFonts w:hint="eastAsia" w:ascii="宋体" w:hAnsi="宋体"/>
          <w:color w:val="auto"/>
          <w:sz w:val="24"/>
          <w:highlight w:val="none"/>
        </w:rPr>
        <w:t>投标人在“国家企业信用信息公示系统-小微企业名录”中的网页查询截图或当地中小企业行政主管部门的确认意见</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1.评标委员会将依据“投标人企业类型声明函”及小微企业资格证明材料评定投标人的企业类型；</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2</w:t>
      </w:r>
      <w:r>
        <w:rPr>
          <w:rFonts w:ascii="宋体" w:hAnsi="宋体"/>
          <w:b/>
          <w:bCs/>
          <w:color w:val="auto"/>
          <w:sz w:val="21"/>
          <w:szCs w:val="21"/>
          <w:highlight w:val="none"/>
        </w:rPr>
        <w:t>.如投标人为代理商</w:t>
      </w:r>
      <w:r>
        <w:rPr>
          <w:rFonts w:hint="eastAsia" w:ascii="宋体" w:hAnsi="宋体"/>
          <w:b/>
          <w:bCs/>
          <w:color w:val="auto"/>
          <w:sz w:val="21"/>
          <w:szCs w:val="21"/>
          <w:highlight w:val="none"/>
        </w:rPr>
        <w:t>，提供其它小微企业</w:t>
      </w:r>
      <w:r>
        <w:rPr>
          <w:rFonts w:ascii="宋体" w:hAnsi="宋体"/>
          <w:b/>
          <w:bCs/>
          <w:color w:val="auto"/>
          <w:sz w:val="21"/>
          <w:szCs w:val="21"/>
          <w:highlight w:val="none"/>
        </w:rPr>
        <w:t>制造的货物的，</w:t>
      </w:r>
      <w:r>
        <w:rPr>
          <w:rFonts w:hint="eastAsia" w:ascii="宋体" w:hAnsi="宋体"/>
          <w:b/>
          <w:bCs/>
          <w:color w:val="auto"/>
          <w:sz w:val="21"/>
          <w:szCs w:val="21"/>
          <w:highlight w:val="none"/>
        </w:rPr>
        <w:t>所</w:t>
      </w:r>
      <w:r>
        <w:rPr>
          <w:rFonts w:ascii="宋体" w:hAnsi="宋体"/>
          <w:b/>
          <w:bCs/>
          <w:color w:val="auto"/>
          <w:sz w:val="21"/>
          <w:szCs w:val="21"/>
          <w:highlight w:val="none"/>
        </w:rPr>
        <w:t>代理品牌</w:t>
      </w:r>
      <w:r>
        <w:rPr>
          <w:rFonts w:hint="eastAsia" w:ascii="宋体" w:hAnsi="宋体"/>
          <w:b/>
          <w:bCs/>
          <w:color w:val="auto"/>
          <w:sz w:val="21"/>
          <w:szCs w:val="21"/>
          <w:highlight w:val="none"/>
        </w:rPr>
        <w:t>制造</w:t>
      </w:r>
      <w:r>
        <w:rPr>
          <w:rFonts w:ascii="宋体" w:hAnsi="宋体"/>
          <w:b/>
          <w:bCs/>
          <w:color w:val="auto"/>
          <w:sz w:val="21"/>
          <w:szCs w:val="21"/>
          <w:highlight w:val="none"/>
        </w:rPr>
        <w:t>商</w:t>
      </w:r>
      <w:r>
        <w:rPr>
          <w:rFonts w:hint="eastAsia" w:ascii="宋体" w:hAnsi="宋体"/>
          <w:b/>
          <w:bCs/>
          <w:color w:val="auto"/>
          <w:sz w:val="21"/>
          <w:szCs w:val="21"/>
          <w:highlight w:val="none"/>
        </w:rPr>
        <w:t>的小微企业资格证明材料也需提供；</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3.小微企业资格证明材料中认定情形为“中小企业”等无法界定投标人或其代理品牌制造商具体企业类型的均为无效证明材料。</w:t>
      </w:r>
    </w:p>
    <w:p>
      <w:pPr>
        <w:spacing w:line="360" w:lineRule="auto"/>
        <w:jc w:val="left"/>
        <w:rPr>
          <w:rFonts w:ascii="宋体" w:hAnsi="宋体"/>
          <w:b/>
          <w:bCs/>
          <w:color w:val="auto"/>
          <w:sz w:val="21"/>
          <w:szCs w:val="21"/>
          <w:highlight w:val="none"/>
        </w:rPr>
      </w:pPr>
    </w:p>
    <w:p>
      <w:pPr>
        <w:spacing w:line="360" w:lineRule="auto"/>
        <w:rPr>
          <w:rFonts w:ascii="宋体" w:hAnsi="宋体"/>
          <w:color w:val="auto"/>
          <w:sz w:val="24"/>
          <w:highlight w:val="none"/>
        </w:rPr>
      </w:pPr>
      <w:r>
        <w:rPr>
          <w:rFonts w:ascii="宋体" w:hAnsi="宋体"/>
          <w:color w:val="auto"/>
          <w:sz w:val="24"/>
          <w:highlight w:val="none"/>
        </w:rPr>
        <w:br w:type="page"/>
      </w:r>
    </w:p>
    <w:p>
      <w:pPr>
        <w:spacing w:line="360" w:lineRule="auto"/>
        <w:jc w:val="center"/>
        <w:outlineLvl w:val="2"/>
        <w:rPr>
          <w:rFonts w:ascii="宋体" w:hAnsi="宋体"/>
          <w:b/>
          <w:bCs/>
          <w:color w:val="auto"/>
          <w:sz w:val="24"/>
          <w:highlight w:val="none"/>
        </w:rPr>
      </w:pPr>
      <w:r>
        <w:rPr>
          <w:rFonts w:hint="eastAsia" w:ascii="宋体" w:hAnsi="宋体"/>
          <w:b/>
          <w:bCs/>
          <w:color w:val="auto"/>
          <w:sz w:val="24"/>
          <w:highlight w:val="none"/>
        </w:rPr>
        <w:t>监狱企业资格证明材料</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rPr>
          <w:rFonts w:ascii="宋体" w:hAnsi="宋体"/>
          <w:b/>
          <w:bCs/>
          <w:color w:val="auto"/>
          <w:sz w:val="21"/>
          <w:szCs w:val="21"/>
          <w:highlight w:val="none"/>
        </w:rPr>
      </w:pPr>
    </w:p>
    <w:p>
      <w:pPr>
        <w:pStyle w:val="10"/>
        <w:spacing w:line="288" w:lineRule="auto"/>
        <w:jc w:val="center"/>
        <w:outlineLvl w:val="2"/>
        <w:rPr>
          <w:rFonts w:hAnsi="宋体"/>
          <w:color w:val="auto"/>
          <w:sz w:val="21"/>
          <w:szCs w:val="21"/>
          <w:highlight w:val="none"/>
        </w:rPr>
      </w:pPr>
      <w:r>
        <w:rPr>
          <w:rFonts w:hAnsi="宋体"/>
          <w:color w:val="auto"/>
          <w:spacing w:val="-6"/>
          <w:highlight w:val="none"/>
        </w:rPr>
        <w:br w:type="page"/>
      </w:r>
      <w:r>
        <w:rPr>
          <w:rFonts w:hint="eastAsia" w:hAnsi="宋体"/>
          <w:b/>
          <w:color w:val="auto"/>
          <w:spacing w:val="6"/>
          <w:sz w:val="24"/>
          <w:highlight w:val="none"/>
        </w:rPr>
        <w:t>残疾人福利性单位声明函</w:t>
      </w:r>
    </w:p>
    <w:p>
      <w:pPr>
        <w:spacing w:line="360" w:lineRule="auto"/>
        <w:jc w:val="center"/>
        <w:rPr>
          <w:rFonts w:ascii="宋体" w:hAnsi="宋体"/>
          <w:b/>
          <w:color w:val="auto"/>
          <w:spacing w:val="6"/>
          <w:sz w:val="21"/>
          <w:szCs w:val="21"/>
          <w:highlight w:val="none"/>
        </w:rPr>
      </w:pP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z w:val="24"/>
          <w:highlight w:val="none"/>
        </w:rPr>
        <w:t>中国美术学院</w:t>
      </w:r>
      <w:r>
        <w:rPr>
          <w:rFonts w:hint="eastAsia" w:ascii="宋体" w:hAnsi="宋体"/>
          <w:color w:val="auto"/>
          <w:spacing w:val="6"/>
          <w:sz w:val="24"/>
          <w:highlight w:val="none"/>
        </w:rPr>
        <w:t>的教务处象山2号楼信息化提升项目项目采购活动提供本单位制造的货物（由本单位承担工程/提供服务），或者提供其他残疾人福利性单位制造的货物（不包括使用非残疾人福利性单位注册商标的货物）。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hAnsi="宋体"/>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ind w:firstLine="506" w:firstLineChars="200"/>
        <w:jc w:val="left"/>
        <w:rPr>
          <w:rFonts w:ascii="宋体" w:hAnsi="宋体"/>
          <w:b/>
          <w:bCs/>
          <w:color w:val="auto"/>
          <w:sz w:val="24"/>
          <w:highlight w:val="none"/>
        </w:rPr>
      </w:pPr>
      <w:r>
        <w:rPr>
          <w:rFonts w:hint="eastAsia" w:ascii="宋体" w:hAnsi="宋体"/>
          <w:b/>
          <w:color w:val="auto"/>
          <w:spacing w:val="6"/>
          <w:sz w:val="24"/>
          <w:highlight w:val="none"/>
        </w:rPr>
        <w:t>投标人不属于残疾人福利性单位的，无需提供此声明函，如提供所引起的后果由投标人承担。</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20" w:firstLineChars="200"/>
        <w:jc w:val="left"/>
        <w:rPr>
          <w:rFonts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　　（二）依法与安置的每位残疾人签订了一年以上（含一年）的劳动合同或服务协议；</w:t>
      </w:r>
    </w:p>
    <w:p>
      <w:pPr>
        <w:widowControl/>
        <w:shd w:val="clear" w:color="auto" w:fill="FFFFFF"/>
        <w:spacing w:line="360"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　　（三）为安置的每位残疾人按月足额缴纳了基本养老保险、基本医疗保险、失业保险、工伤保险和生育保险等社会保险费；</w:t>
      </w:r>
    </w:p>
    <w:p>
      <w:pPr>
        <w:widowControl/>
        <w:shd w:val="clear" w:color="auto" w:fill="FFFFFF"/>
        <w:spacing w:line="360"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spacing w:line="360"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center"/>
        <w:rPr>
          <w:rFonts w:hAnsi="宋体"/>
          <w:color w:val="auto"/>
          <w:spacing w:val="-6"/>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中标</w:t>
      </w:r>
      <w:r>
        <w:rPr>
          <w:rFonts w:hint="eastAsia" w:ascii="宋体" w:hAnsi="宋体"/>
          <w:bCs/>
          <w:color w:val="auto"/>
          <w:sz w:val="21"/>
          <w:szCs w:val="21"/>
          <w:highlight w:val="none"/>
        </w:rPr>
        <w:t>人</w:t>
      </w:r>
      <w:r>
        <w:rPr>
          <w:rFonts w:ascii="宋体" w:hAnsi="宋体"/>
          <w:bCs/>
          <w:color w:val="auto"/>
          <w:sz w:val="21"/>
          <w:szCs w:val="21"/>
          <w:highlight w:val="none"/>
        </w:rPr>
        <w:t>为残疾人福利性单位的，《残疾人福利性单位声明函》随中标结果同时公告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r>
        <w:rPr>
          <w:rFonts w:hAnsi="宋体"/>
          <w:color w:val="auto"/>
          <w:spacing w:val="-6"/>
          <w:highlight w:val="none"/>
        </w:rPr>
        <w:t xml:space="preserve"> </w:t>
      </w:r>
    </w:p>
    <w:p>
      <w:pPr>
        <w:spacing w:line="360" w:lineRule="auto"/>
        <w:jc w:val="center"/>
        <w:rPr>
          <w:rFonts w:ascii="宋体" w:hAnsi="宋体"/>
          <w:b/>
          <w:bCs/>
          <w:color w:val="auto"/>
          <w:spacing w:val="-6"/>
          <w:sz w:val="24"/>
          <w:highlight w:val="none"/>
        </w:rPr>
      </w:pPr>
      <w:r>
        <w:rPr>
          <w:rFonts w:ascii="宋体" w:hAnsi="宋体"/>
          <w:bCs/>
          <w:color w:val="auto"/>
          <w:spacing w:val="-6"/>
          <w:sz w:val="24"/>
          <w:highlight w:val="none"/>
        </w:rPr>
        <w:br w:type="page"/>
      </w: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采购人：中国美术学院</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项目名称：教务处象山2号楼信息化提升项目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标项：</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投标文件名称：资格</w:t>
      </w:r>
      <w:r>
        <w:rPr>
          <w:rFonts w:ascii="宋体" w:hAnsi="宋体"/>
          <w:bCs/>
          <w:color w:val="auto"/>
          <w:spacing w:val="-6"/>
          <w:sz w:val="24"/>
          <w:highlight w:val="none"/>
        </w:rPr>
        <w:t>文件及</w:t>
      </w:r>
      <w:r>
        <w:rPr>
          <w:rFonts w:hint="eastAsia" w:ascii="宋体" w:hAnsi="宋体"/>
          <w:bCs/>
          <w:color w:val="auto"/>
          <w:spacing w:val="-6"/>
          <w:sz w:val="24"/>
          <w:highlight w:val="none"/>
        </w:rPr>
        <w:t>商务和技术文件</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资格文件及</w:t>
      </w:r>
      <w:r>
        <w:rPr>
          <w:rFonts w:ascii="宋体" w:hAnsi="宋体"/>
          <w:bCs/>
          <w:color w:val="auto"/>
          <w:spacing w:val="-6"/>
          <w:sz w:val="24"/>
          <w:highlight w:val="none"/>
        </w:rPr>
        <w:t>商务和技术文件</w:t>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资格文件及</w:t>
      </w:r>
      <w:r>
        <w:rPr>
          <w:rFonts w:ascii="宋体" w:hAnsi="宋体"/>
          <w:b/>
          <w:bCs/>
          <w:color w:val="auto"/>
          <w:spacing w:val="-6"/>
          <w:sz w:val="24"/>
          <w:highlight w:val="none"/>
        </w:rPr>
        <w:t>商务和技术文件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采购人：中国美术学院</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项目名称：教务处象山2号楼信息化提升项目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标项：</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outlineLvl w:val="1"/>
        <w:rPr>
          <w:rFonts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资格文件</w:t>
      </w:r>
    </w:p>
    <w:p>
      <w:pPr>
        <w:pStyle w:val="10"/>
        <w:spacing w:line="360" w:lineRule="auto"/>
        <w:ind w:firstLine="0"/>
        <w:jc w:val="center"/>
        <w:outlineLvl w:val="2"/>
        <w:rPr>
          <w:rFonts w:hAnsi="宋体"/>
          <w:b/>
          <w:color w:val="auto"/>
          <w:spacing w:val="-6"/>
          <w:sz w:val="24"/>
          <w:szCs w:val="24"/>
          <w:highlight w:val="none"/>
        </w:rPr>
      </w:pPr>
      <w:r>
        <w:rPr>
          <w:rFonts w:hint="eastAsia" w:hAnsi="宋体"/>
          <w:b/>
          <w:color w:val="auto"/>
          <w:spacing w:val="-6"/>
          <w:sz w:val="24"/>
          <w:szCs w:val="24"/>
          <w:highlight w:val="none"/>
        </w:rPr>
        <w:t>评分索引表</w:t>
      </w:r>
    </w:p>
    <w:tbl>
      <w:tblPr>
        <w:tblStyle w:val="22"/>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序号</w:t>
            </w:r>
          </w:p>
        </w:tc>
        <w:tc>
          <w:tcPr>
            <w:tcW w:w="2091"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3465" w:type="dxa"/>
            <w:vAlign w:val="center"/>
          </w:tcPr>
          <w:p>
            <w:pPr>
              <w:pStyle w:val="52"/>
              <w:spacing w:line="288" w:lineRule="auto"/>
              <w:ind w:firstLine="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c>
          <w:tcPr>
            <w:tcW w:w="967" w:type="dxa"/>
            <w:vAlign w:val="center"/>
          </w:tcPr>
          <w:p>
            <w:pPr>
              <w:pStyle w:val="52"/>
              <w:spacing w:line="288" w:lineRule="auto"/>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自评分</w:t>
            </w:r>
          </w:p>
        </w:tc>
        <w:tc>
          <w:tcPr>
            <w:tcW w:w="1053" w:type="dxa"/>
            <w:vAlign w:val="center"/>
          </w:tcPr>
          <w:p>
            <w:pPr>
              <w:pStyle w:val="52"/>
              <w:spacing w:line="288" w:lineRule="auto"/>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自评依据</w:t>
            </w:r>
          </w:p>
        </w:tc>
        <w:tc>
          <w:tcPr>
            <w:tcW w:w="881" w:type="dxa"/>
            <w:vAlign w:val="center"/>
          </w:tcPr>
          <w:p>
            <w:pPr>
              <w:pStyle w:val="52"/>
              <w:spacing w:line="288" w:lineRule="auto"/>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52"/>
              <w:spacing w:line="288" w:lineRule="auto"/>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kern w:val="0"/>
                <w:sz w:val="21"/>
                <w:szCs w:val="21"/>
                <w:highlight w:val="none"/>
              </w:rPr>
            </w:pPr>
          </w:p>
        </w:tc>
        <w:tc>
          <w:tcPr>
            <w:tcW w:w="2091" w:type="dxa"/>
            <w:vAlign w:val="center"/>
          </w:tcPr>
          <w:p>
            <w:pPr>
              <w:spacing w:line="288" w:lineRule="auto"/>
              <w:jc w:val="center"/>
              <w:rPr>
                <w:rFonts w:ascii="宋体" w:hAnsi="宋体"/>
                <w:color w:val="auto"/>
                <w:kern w:val="0"/>
                <w:sz w:val="21"/>
                <w:szCs w:val="21"/>
                <w:highlight w:val="none"/>
              </w:rPr>
            </w:pPr>
          </w:p>
        </w:tc>
        <w:tc>
          <w:tcPr>
            <w:tcW w:w="709" w:type="dxa"/>
            <w:vAlign w:val="center"/>
          </w:tcPr>
          <w:p>
            <w:pPr>
              <w:spacing w:line="288" w:lineRule="auto"/>
              <w:jc w:val="center"/>
              <w:rPr>
                <w:rFonts w:ascii="宋体" w:hAnsi="宋体"/>
                <w:color w:val="auto"/>
                <w:kern w:val="0"/>
                <w:sz w:val="21"/>
                <w:szCs w:val="21"/>
                <w:highlight w:val="none"/>
              </w:rPr>
            </w:pPr>
          </w:p>
        </w:tc>
        <w:tc>
          <w:tcPr>
            <w:tcW w:w="3465" w:type="dxa"/>
            <w:vAlign w:val="center"/>
          </w:tcPr>
          <w:p>
            <w:pPr>
              <w:spacing w:line="288" w:lineRule="auto"/>
              <w:rPr>
                <w:rFonts w:ascii="宋体" w:hAnsi="宋体"/>
                <w:color w:val="auto"/>
                <w:kern w:val="0"/>
                <w:sz w:val="21"/>
                <w:szCs w:val="21"/>
                <w:highlight w:val="none"/>
              </w:rPr>
            </w:pPr>
          </w:p>
        </w:tc>
        <w:tc>
          <w:tcPr>
            <w:tcW w:w="967" w:type="dxa"/>
            <w:vAlign w:val="center"/>
          </w:tcPr>
          <w:p>
            <w:pPr>
              <w:spacing w:line="288" w:lineRule="auto"/>
              <w:jc w:val="center"/>
              <w:rPr>
                <w:rFonts w:ascii="宋体" w:hAnsi="宋体"/>
                <w:color w:val="auto"/>
                <w:sz w:val="21"/>
                <w:szCs w:val="21"/>
                <w:highlight w:val="none"/>
              </w:rPr>
            </w:pPr>
          </w:p>
        </w:tc>
        <w:tc>
          <w:tcPr>
            <w:tcW w:w="1053" w:type="dxa"/>
            <w:vAlign w:val="center"/>
          </w:tcPr>
          <w:p>
            <w:pPr>
              <w:spacing w:line="288" w:lineRule="auto"/>
              <w:jc w:val="center"/>
              <w:rPr>
                <w:rFonts w:ascii="宋体" w:hAnsi="宋体"/>
                <w:color w:val="auto"/>
                <w:sz w:val="21"/>
                <w:szCs w:val="21"/>
                <w:highlight w:val="none"/>
              </w:rPr>
            </w:pPr>
          </w:p>
        </w:tc>
        <w:tc>
          <w:tcPr>
            <w:tcW w:w="881" w:type="dxa"/>
          </w:tcPr>
          <w:p>
            <w:pPr>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10"/>
              <w:spacing w:line="288" w:lineRule="auto"/>
              <w:ind w:firstLine="0"/>
              <w:jc w:val="center"/>
              <w:rPr>
                <w:rFonts w:hAnsi="宋体"/>
                <w:b/>
                <w:color w:val="auto"/>
                <w:spacing w:val="-6"/>
                <w:sz w:val="21"/>
                <w:szCs w:val="21"/>
                <w:highlight w:val="none"/>
              </w:rPr>
            </w:pPr>
            <w:r>
              <w:rPr>
                <w:rFonts w:hint="eastAsia" w:hAnsi="宋体"/>
                <w:b/>
                <w:color w:val="auto"/>
                <w:spacing w:val="-6"/>
                <w:sz w:val="21"/>
                <w:szCs w:val="21"/>
                <w:highlight w:val="none"/>
              </w:rPr>
              <w:t>技术</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465"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bl>
    <w:p>
      <w:pPr>
        <w:spacing w:line="360" w:lineRule="auto"/>
        <w:rPr>
          <w:rFonts w:ascii="宋体" w:hAnsi="宋体"/>
          <w:color w:val="auto"/>
          <w:spacing w:val="-6"/>
          <w:sz w:val="24"/>
          <w:szCs w:val="20"/>
          <w:highlight w:val="none"/>
        </w:rPr>
      </w:pP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备注：本表仅为方便评标委员会评审使用，不作为判别投标文件是否有效的依据。</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有效的法人或者其他组织的营业执照等证明文件</w:t>
      </w:r>
      <w:r>
        <w:rPr>
          <w:rFonts w:hint="eastAsia" w:hAnsi="宋体"/>
          <w:color w:val="auto"/>
          <w:spacing w:val="-6"/>
          <w:sz w:val="24"/>
          <w:szCs w:val="24"/>
          <w:highlight w:val="none"/>
        </w:rPr>
        <w:t>（复印件）</w:t>
      </w:r>
      <w:r>
        <w:rPr>
          <w:rFonts w:hint="eastAsia" w:hAnsi="宋体"/>
          <w:b/>
          <w:color w:val="auto"/>
          <w:spacing w:val="-6"/>
          <w:sz w:val="24"/>
          <w:szCs w:val="24"/>
          <w:highlight w:val="none"/>
        </w:rPr>
        <w:t>，自然人的身份证明</w:t>
      </w:r>
    </w:p>
    <w:p>
      <w:pPr>
        <w:pStyle w:val="10"/>
        <w:spacing w:line="360" w:lineRule="auto"/>
        <w:ind w:firstLine="0"/>
        <w:jc w:val="center"/>
        <w:rPr>
          <w:rFonts w:hAnsi="宋体"/>
          <w:b/>
          <w:color w:val="auto"/>
          <w:spacing w:val="-6"/>
          <w:sz w:val="24"/>
          <w:szCs w:val="24"/>
          <w:highlight w:val="none"/>
        </w:rPr>
      </w:pPr>
    </w:p>
    <w:p>
      <w:pPr>
        <w:pStyle w:val="10"/>
        <w:spacing w:line="360" w:lineRule="auto"/>
        <w:ind w:firstLine="0"/>
        <w:jc w:val="center"/>
        <w:rPr>
          <w:rFonts w:hAnsi="宋体"/>
          <w:b/>
          <w:color w:val="auto"/>
          <w:spacing w:val="-6"/>
          <w:sz w:val="24"/>
          <w:szCs w:val="24"/>
          <w:highlight w:val="none"/>
        </w:rPr>
      </w:pPr>
    </w:p>
    <w:p>
      <w:pPr>
        <w:pStyle w:val="10"/>
        <w:spacing w:line="360" w:lineRule="auto"/>
        <w:ind w:firstLine="0"/>
        <w:jc w:val="center"/>
        <w:rPr>
          <w:rFonts w:hAnsi="宋体"/>
          <w:b/>
          <w:color w:val="auto"/>
          <w:spacing w:val="-6"/>
          <w:sz w:val="24"/>
          <w:szCs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pStyle w:val="10"/>
        <w:spacing w:line="360" w:lineRule="auto"/>
        <w:ind w:firstLine="0"/>
        <w:jc w:val="center"/>
        <w:outlineLvl w:val="2"/>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rPr>
        <w:t>2018年12月（含）以后任意一月的财务状况报告（复印件，包括资产负债表、利润表，两表缺一不可）或开标前三个月内出具的银行资信证明（若资信证明中注明复印无效，需提交正本）</w:t>
      </w:r>
    </w:p>
    <w:p>
      <w:pPr>
        <w:pStyle w:val="10"/>
        <w:spacing w:line="360" w:lineRule="auto"/>
        <w:ind w:firstLine="0"/>
        <w:jc w:val="center"/>
        <w:rPr>
          <w:rFonts w:hAnsi="宋体"/>
          <w:color w:val="auto"/>
          <w:spacing w:val="-6"/>
          <w:sz w:val="24"/>
          <w:szCs w:val="24"/>
          <w:highlight w:val="none"/>
        </w:rPr>
      </w:pPr>
    </w:p>
    <w:p>
      <w:pPr>
        <w:pStyle w:val="10"/>
        <w:spacing w:line="360" w:lineRule="auto"/>
        <w:ind w:firstLine="0"/>
        <w:jc w:val="center"/>
        <w:rPr>
          <w:rFonts w:hAnsi="宋体"/>
          <w:color w:val="auto"/>
          <w:spacing w:val="-6"/>
          <w:sz w:val="24"/>
          <w:szCs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1.供应商是法人的，应提供财务状况报告，包括资产负债表、利润表（两表缺一不可）或其基本开户银行出具的资信证明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Cs/>
          <w:color w:val="auto"/>
          <w:spacing w:val="-6"/>
          <w:sz w:val="21"/>
          <w:szCs w:val="21"/>
          <w:highlight w:val="none"/>
        </w:rPr>
        <w:t>，并加盖公章；</w:t>
      </w:r>
    </w:p>
    <w:p>
      <w:pPr>
        <w:pStyle w:val="17"/>
        <w:spacing w:line="360" w:lineRule="auto"/>
        <w:ind w:firstLineChars="0"/>
        <w:rPr>
          <w:rFonts w:ascii="宋体" w:hAnsi="宋体"/>
          <w:bCs/>
          <w:color w:val="auto"/>
          <w:spacing w:val="-6"/>
          <w:sz w:val="21"/>
          <w:szCs w:val="21"/>
          <w:highlight w:val="none"/>
        </w:rPr>
      </w:pPr>
      <w:r>
        <w:rPr>
          <w:rFonts w:hint="eastAsia" w:ascii="宋体" w:hAnsi="宋体"/>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Cs/>
          <w:color w:val="auto"/>
          <w:spacing w:val="-6"/>
          <w:sz w:val="21"/>
          <w:szCs w:val="21"/>
          <w:highlight w:val="none"/>
        </w:rPr>
        <w:t>,并加盖公章；</w:t>
      </w:r>
    </w:p>
    <w:p>
      <w:pPr>
        <w:pStyle w:val="17"/>
        <w:spacing w:line="360" w:lineRule="auto"/>
        <w:ind w:firstLineChars="0"/>
        <w:rPr>
          <w:rFonts w:ascii="宋体" w:hAnsi="宋体"/>
          <w:bCs/>
          <w:color w:val="auto"/>
          <w:spacing w:val="-6"/>
          <w:sz w:val="21"/>
          <w:szCs w:val="21"/>
          <w:highlight w:val="none"/>
        </w:rPr>
      </w:pPr>
      <w:r>
        <w:rPr>
          <w:rFonts w:hint="eastAsia" w:ascii="宋体" w:hAnsi="宋体"/>
          <w:bCs/>
          <w:color w:val="auto"/>
          <w:spacing w:val="-6"/>
          <w:sz w:val="21"/>
          <w:szCs w:val="21"/>
          <w:highlight w:val="none"/>
        </w:rPr>
        <w:t>3</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银行资信证明应能说明投标人与银行之间业务往来正常，企业信誉良好等，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Cs/>
          <w:color w:val="auto"/>
          <w:spacing w:val="-6"/>
          <w:sz w:val="21"/>
          <w:szCs w:val="21"/>
          <w:highlight w:val="none"/>
        </w:rPr>
        <w:t>。</w:t>
      </w:r>
    </w:p>
    <w:p>
      <w:pPr>
        <w:pStyle w:val="10"/>
        <w:spacing w:line="360" w:lineRule="auto"/>
        <w:ind w:firstLine="0"/>
        <w:jc w:val="center"/>
        <w:rPr>
          <w:rFonts w:hAnsi="宋体"/>
          <w:bCs/>
          <w:color w:val="auto"/>
          <w:spacing w:val="-6"/>
          <w:sz w:val="21"/>
          <w:szCs w:val="21"/>
          <w:highlight w:val="none"/>
        </w:rPr>
      </w:pPr>
    </w:p>
    <w:p>
      <w:pPr>
        <w:jc w:val="center"/>
        <w:rPr>
          <w:rFonts w:ascii="Calibri" w:hAnsi="Calibri"/>
          <w:color w:val="auto"/>
          <w:sz w:val="32"/>
          <w:szCs w:val="32"/>
          <w:highlight w:val="none"/>
        </w:rPr>
      </w:pPr>
      <w:r>
        <w:rPr>
          <w:rFonts w:ascii="宋体" w:hAnsi="宋体"/>
          <w:bCs/>
          <w:color w:val="auto"/>
          <w:spacing w:val="-6"/>
          <w:sz w:val="21"/>
          <w:szCs w:val="21"/>
          <w:highlight w:val="none"/>
        </w:rPr>
        <w:br w:type="page"/>
      </w:r>
      <w:r>
        <w:rPr>
          <w:rFonts w:hint="eastAsia" w:ascii="Calibri" w:hAnsi="Calibri"/>
          <w:color w:val="auto"/>
          <w:sz w:val="32"/>
          <w:szCs w:val="32"/>
          <w:highlight w:val="none"/>
        </w:rPr>
        <w:t>资信证明</w:t>
      </w:r>
    </w:p>
    <w:p>
      <w:pPr>
        <w:jc w:val="center"/>
        <w:rPr>
          <w:rFonts w:ascii="Calibri" w:hAnsi="Calibri"/>
          <w:color w:val="auto"/>
          <w:sz w:val="24"/>
          <w:highlight w:val="none"/>
        </w:rPr>
      </w:pPr>
    </w:p>
    <w:p>
      <w:pPr>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w:t>
      </w:r>
    </w:p>
    <w:p>
      <w:pPr>
        <w:spacing w:line="360" w:lineRule="auto"/>
        <w:ind w:firstLine="480" w:firstLineChars="200"/>
        <w:rPr>
          <w:rFonts w:ascii="Calibri" w:hAnsi="Calibri"/>
          <w:color w:val="auto"/>
          <w:sz w:val="24"/>
          <w:highlight w:val="none"/>
        </w:rPr>
      </w:pPr>
      <w:r>
        <w:rPr>
          <w:rFonts w:hint="eastAsia" w:ascii="Calibri" w:hAnsi="Calibri"/>
          <w:color w:val="auto"/>
          <w:sz w:val="24"/>
          <w:highlight w:val="none"/>
        </w:rPr>
        <w:t>兹证明，</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（单位名称）在我行辖属网点</w:t>
      </w:r>
      <w:r>
        <w:rPr>
          <w:rFonts w:hint="eastAsia" w:ascii="Calibri" w:hAnsi="Calibri"/>
          <w:color w:val="auto"/>
          <w:sz w:val="24"/>
          <w:highlight w:val="none"/>
          <w:u w:val="single"/>
        </w:rPr>
        <w:t xml:space="preserve">             </w:t>
      </w:r>
      <w:r>
        <w:rPr>
          <w:rFonts w:hint="eastAsia" w:ascii="Calibri" w:hAnsi="Calibri"/>
          <w:color w:val="auto"/>
          <w:sz w:val="24"/>
          <w:highlight w:val="none"/>
        </w:rPr>
        <w:t>支行开立基本账户，账号：</w:t>
      </w:r>
      <w:r>
        <w:rPr>
          <w:rFonts w:hint="eastAsia" w:ascii="Calibri" w:hAnsi="Calibri"/>
          <w:color w:val="auto"/>
          <w:sz w:val="24"/>
          <w:highlight w:val="none"/>
          <w:u w:val="single"/>
        </w:rPr>
        <w:t xml:space="preserve">             </w:t>
      </w:r>
      <w:r>
        <w:rPr>
          <w:rFonts w:hint="eastAsia" w:ascii="Calibri" w:hAnsi="Calibri"/>
          <w:color w:val="auto"/>
          <w:sz w:val="24"/>
          <w:highlight w:val="none"/>
        </w:rPr>
        <w:t>。根据</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（单位名称）委托，我行对</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（单位名称）在我行的结算记录开立本证明书，供</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（单位名称）参加</w:t>
      </w:r>
      <w:r>
        <w:rPr>
          <w:rFonts w:hint="eastAsia" w:ascii="Calibri" w:hAnsi="Calibri"/>
          <w:color w:val="auto"/>
          <w:sz w:val="24"/>
          <w:highlight w:val="none"/>
          <w:u w:val="single"/>
        </w:rPr>
        <w:t xml:space="preserve">             </w:t>
      </w:r>
      <w:r>
        <w:rPr>
          <w:rFonts w:hint="eastAsia" w:ascii="Calibri" w:hAnsi="Calibri"/>
          <w:color w:val="auto"/>
          <w:sz w:val="24"/>
          <w:highlight w:val="none"/>
        </w:rPr>
        <w:t>项目招标采购时使用。经确认，具体情况如下：</w:t>
      </w:r>
    </w:p>
    <w:p>
      <w:pPr>
        <w:spacing w:line="360" w:lineRule="auto"/>
        <w:ind w:firstLine="480" w:firstLineChars="200"/>
        <w:rPr>
          <w:rFonts w:ascii="Calibri" w:hAnsi="Calibri"/>
          <w:color w:val="auto"/>
          <w:sz w:val="24"/>
          <w:highlight w:val="none"/>
        </w:rPr>
      </w:pPr>
      <w:r>
        <w:rPr>
          <w:rFonts w:hint="eastAsia" w:ascii="Calibri" w:hAnsi="Calibri"/>
          <w:color w:val="auto"/>
          <w:sz w:val="24"/>
          <w:highlight w:val="none"/>
        </w:rPr>
        <w:t>自</w:t>
      </w: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日至</w:t>
      </w: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日（即该日我行营业终了结账时）止，</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（单位名称）无违反我行结算制度规定的行为。</w:t>
      </w:r>
    </w:p>
    <w:p>
      <w:pPr>
        <w:spacing w:line="360" w:lineRule="auto"/>
        <w:ind w:firstLine="480" w:firstLineChars="200"/>
        <w:rPr>
          <w:rFonts w:ascii="Calibri" w:hAnsi="Calibri"/>
          <w:color w:val="auto"/>
          <w:sz w:val="24"/>
          <w:highlight w:val="none"/>
        </w:rPr>
      </w:pPr>
      <w:r>
        <w:rPr>
          <w:rFonts w:hint="eastAsia" w:ascii="Calibri" w:hAnsi="Calibri"/>
          <w:color w:val="auto"/>
          <w:sz w:val="24"/>
          <w:highlight w:val="none"/>
        </w:rPr>
        <w:t xml:space="preserve">仅此证明，下无正文。 </w:t>
      </w:r>
    </w:p>
    <w:p>
      <w:pPr>
        <w:spacing w:line="360" w:lineRule="auto"/>
        <w:ind w:firstLine="480" w:firstLineChars="200"/>
        <w:rPr>
          <w:rFonts w:ascii="Calibri" w:hAnsi="Calibri"/>
          <w:color w:val="auto"/>
          <w:sz w:val="24"/>
          <w:highlight w:val="none"/>
        </w:rPr>
      </w:pPr>
    </w:p>
    <w:p>
      <w:pPr>
        <w:spacing w:line="360" w:lineRule="auto"/>
        <w:ind w:firstLine="480" w:firstLineChars="200"/>
        <w:rPr>
          <w:rFonts w:ascii="Calibri" w:hAnsi="Calibri"/>
          <w:color w:val="auto"/>
          <w:sz w:val="24"/>
          <w:highlight w:val="none"/>
        </w:rPr>
      </w:pPr>
    </w:p>
    <w:p>
      <w:pPr>
        <w:spacing w:line="360" w:lineRule="auto"/>
        <w:ind w:firstLine="480" w:firstLineChars="200"/>
        <w:jc w:val="right"/>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（银行）</w:t>
      </w:r>
    </w:p>
    <w:p>
      <w:pPr>
        <w:spacing w:line="360" w:lineRule="auto"/>
        <w:ind w:firstLine="480" w:firstLineChars="200"/>
        <w:jc w:val="right"/>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w:t>
      </w:r>
    </w:p>
    <w:p>
      <w:pPr>
        <w:ind w:firstLine="560" w:firstLineChars="200"/>
        <w:jc w:val="right"/>
        <w:rPr>
          <w:rFonts w:ascii="Calibri" w:hAnsi="Calibri"/>
          <w:color w:val="auto"/>
          <w:szCs w:val="28"/>
          <w:highlight w:val="none"/>
        </w:rPr>
      </w:pPr>
    </w:p>
    <w:p>
      <w:pPr>
        <w:ind w:firstLine="560" w:firstLineChars="200"/>
        <w:jc w:val="right"/>
        <w:rPr>
          <w:rFonts w:ascii="Calibri" w:hAnsi="Calibri"/>
          <w:color w:val="auto"/>
          <w:szCs w:val="28"/>
          <w:highlight w:val="none"/>
        </w:rPr>
      </w:pPr>
    </w:p>
    <w:p>
      <w:pPr>
        <w:ind w:firstLine="560" w:firstLineChars="200"/>
        <w:jc w:val="right"/>
        <w:rPr>
          <w:rFonts w:ascii="Calibri" w:hAnsi="Calibri"/>
          <w:color w:val="auto"/>
          <w:szCs w:val="28"/>
          <w:highlight w:val="none"/>
        </w:rPr>
      </w:pPr>
    </w:p>
    <w:p>
      <w:pPr>
        <w:spacing w:line="360"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说明：</w:t>
      </w:r>
    </w:p>
    <w:p>
      <w:pPr>
        <w:spacing w:line="360" w:lineRule="auto"/>
        <w:ind w:firstLine="495" w:firstLineChars="250"/>
        <w:rPr>
          <w:rFonts w:ascii="宋体" w:hAnsi="宋体"/>
          <w:bCs/>
          <w:color w:val="auto"/>
          <w:spacing w:val="-6"/>
          <w:sz w:val="21"/>
          <w:szCs w:val="21"/>
          <w:highlight w:val="none"/>
        </w:rPr>
      </w:pPr>
      <w:r>
        <w:rPr>
          <w:rFonts w:hint="eastAsia" w:ascii="宋体" w:hAnsi="宋体"/>
          <w:bCs/>
          <w:color w:val="auto"/>
          <w:spacing w:val="-6"/>
          <w:sz w:val="21"/>
          <w:szCs w:val="21"/>
          <w:highlight w:val="none"/>
        </w:rPr>
        <w:t>本“资信证明”内容与格式</w:t>
      </w:r>
      <w:r>
        <w:rPr>
          <w:rFonts w:hint="eastAsia" w:ascii="宋体" w:hAnsi="宋体"/>
          <w:b/>
          <w:bCs/>
          <w:color w:val="auto"/>
          <w:spacing w:val="-6"/>
          <w:sz w:val="21"/>
          <w:szCs w:val="21"/>
          <w:highlight w:val="none"/>
        </w:rPr>
        <w:t>仅供参考</w:t>
      </w:r>
      <w:r>
        <w:rPr>
          <w:rFonts w:hint="eastAsia" w:ascii="宋体" w:hAnsi="宋体"/>
          <w:bCs/>
          <w:color w:val="auto"/>
          <w:spacing w:val="-6"/>
          <w:sz w:val="21"/>
          <w:szCs w:val="21"/>
          <w:highlight w:val="none"/>
        </w:rPr>
        <w:t>，各银行可根据自身制度进行</w:t>
      </w:r>
      <w:r>
        <w:rPr>
          <w:rFonts w:hint="eastAsia" w:ascii="宋体" w:hAnsi="宋体"/>
          <w:b/>
          <w:bCs/>
          <w:color w:val="auto"/>
          <w:spacing w:val="-6"/>
          <w:sz w:val="21"/>
          <w:szCs w:val="21"/>
          <w:highlight w:val="none"/>
        </w:rPr>
        <w:t>修改</w:t>
      </w:r>
      <w:r>
        <w:rPr>
          <w:rFonts w:hint="eastAsia" w:ascii="宋体" w:hAnsi="宋体"/>
          <w:bCs/>
          <w:color w:val="auto"/>
          <w:spacing w:val="-6"/>
          <w:sz w:val="21"/>
          <w:szCs w:val="21"/>
          <w:highlight w:val="none"/>
        </w:rPr>
        <w:t>，但应满足本招标文件中对“资信证明”的要求。</w:t>
      </w:r>
    </w:p>
    <w:p>
      <w:pPr>
        <w:pStyle w:val="17"/>
        <w:spacing w:line="360" w:lineRule="auto"/>
        <w:ind w:left="0" w:firstLine="0" w:firstLineChars="0"/>
        <w:rPr>
          <w:rFonts w:ascii="宋体" w:hAnsi="宋体"/>
          <w:color w:val="auto"/>
          <w:spacing w:val="-6"/>
          <w:sz w:val="24"/>
          <w:highlight w:val="none"/>
        </w:rPr>
      </w:pPr>
    </w:p>
    <w:p>
      <w:pPr>
        <w:pStyle w:val="10"/>
        <w:spacing w:line="360" w:lineRule="auto"/>
        <w:ind w:firstLine="0"/>
        <w:jc w:val="center"/>
        <w:outlineLvl w:val="2"/>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rPr>
        <w:t>2019年1月（含）以后任意一月依法缴纳税收的证明材料</w:t>
      </w:r>
    </w:p>
    <w:p>
      <w:pPr>
        <w:pStyle w:val="17"/>
        <w:spacing w:line="360" w:lineRule="auto"/>
        <w:ind w:left="0" w:firstLine="0" w:firstLineChars="0"/>
        <w:jc w:val="center"/>
        <w:rPr>
          <w:rFonts w:hAnsi="宋体"/>
          <w:color w:val="auto"/>
          <w:spacing w:val="-6"/>
          <w:sz w:val="24"/>
          <w:highlight w:val="none"/>
        </w:rPr>
      </w:pPr>
      <w:r>
        <w:rPr>
          <w:rFonts w:hint="eastAsia" w:ascii="宋体" w:hAnsi="宋体"/>
          <w:color w:val="auto"/>
          <w:spacing w:val="-6"/>
          <w:sz w:val="24"/>
          <w:highlight w:val="none"/>
        </w:rPr>
        <w:t>（依法免税的投标人，应提供相</w:t>
      </w:r>
      <w:r>
        <w:rPr>
          <w:rFonts w:hint="eastAsia" w:hAnsi="宋体"/>
          <w:color w:val="auto"/>
          <w:spacing w:val="-6"/>
          <w:sz w:val="24"/>
          <w:highlight w:val="none"/>
        </w:rPr>
        <w:t>应文件证明其依法免税）</w:t>
      </w:r>
    </w:p>
    <w:p>
      <w:pPr>
        <w:pStyle w:val="17"/>
        <w:spacing w:line="360" w:lineRule="auto"/>
        <w:ind w:left="0" w:firstLine="0" w:firstLineChars="0"/>
        <w:jc w:val="center"/>
        <w:rPr>
          <w:rFonts w:hAnsi="宋体"/>
          <w:color w:val="auto"/>
          <w:spacing w:val="-6"/>
          <w:sz w:val="24"/>
          <w:highlight w:val="none"/>
        </w:rPr>
      </w:pPr>
    </w:p>
    <w:p>
      <w:pPr>
        <w:pStyle w:val="17"/>
        <w:spacing w:line="360" w:lineRule="auto"/>
        <w:ind w:left="0" w:firstLine="0" w:firstLineChars="0"/>
        <w:jc w:val="center"/>
        <w:rPr>
          <w:rFonts w:hAnsi="宋体"/>
          <w:color w:val="auto"/>
          <w:spacing w:val="-6"/>
          <w:sz w:val="24"/>
          <w:highlight w:val="none"/>
        </w:rPr>
      </w:pPr>
    </w:p>
    <w:p>
      <w:pPr>
        <w:pStyle w:val="17"/>
        <w:spacing w:line="360" w:lineRule="auto"/>
        <w:ind w:left="0" w:firstLine="0" w:firstLineChars="0"/>
        <w:jc w:val="center"/>
        <w:rPr>
          <w:rFonts w:hAnsi="宋体"/>
          <w:color w:val="auto"/>
          <w:spacing w:val="-6"/>
          <w:sz w:val="24"/>
          <w:highlight w:val="none"/>
        </w:rPr>
      </w:pP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依法缴纳税收的证明材料指依法缴纳税收的凭据（完税证明或</w:t>
      </w:r>
      <w:r>
        <w:rPr>
          <w:rFonts w:ascii="宋体" w:hAnsi="宋体"/>
          <w:b/>
          <w:color w:val="auto"/>
          <w:spacing w:val="-6"/>
          <w:sz w:val="21"/>
          <w:szCs w:val="21"/>
          <w:highlight w:val="none"/>
        </w:rPr>
        <w:t>纳税证明</w:t>
      </w:r>
      <w:r>
        <w:rPr>
          <w:rFonts w:hint="eastAsia" w:ascii="宋体" w:hAnsi="宋体"/>
          <w:b/>
          <w:color w:val="auto"/>
          <w:spacing w:val="-6"/>
          <w:sz w:val="21"/>
          <w:szCs w:val="21"/>
          <w:highlight w:val="none"/>
        </w:rPr>
        <w:t>或银行电子缴税付款凭证等）；</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依法免税的投标人，应提供相应文件证明其依法免税；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pStyle w:val="10"/>
        <w:spacing w:line="360" w:lineRule="auto"/>
        <w:ind w:firstLine="0"/>
        <w:jc w:val="center"/>
        <w:outlineLvl w:val="2"/>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rPr>
        <w:t>2019年1月（含）以后任意一月依法缴纳社会保障资金的证明材料</w:t>
      </w:r>
    </w:p>
    <w:p>
      <w:pPr>
        <w:pStyle w:val="10"/>
        <w:spacing w:line="360" w:lineRule="auto"/>
        <w:ind w:firstLine="0"/>
        <w:jc w:val="center"/>
        <w:rPr>
          <w:rFonts w:hAnsi="宋体"/>
          <w:color w:val="auto"/>
          <w:spacing w:val="-6"/>
          <w:sz w:val="24"/>
          <w:szCs w:val="24"/>
          <w:highlight w:val="none"/>
        </w:rPr>
      </w:pPr>
      <w:r>
        <w:rPr>
          <w:rFonts w:hint="eastAsia" w:hAnsi="宋体"/>
          <w:color w:val="auto"/>
          <w:spacing w:val="-6"/>
          <w:sz w:val="24"/>
          <w:szCs w:val="24"/>
          <w:highlight w:val="none"/>
        </w:rPr>
        <w:t>（依法不需要缴纳社会保障资金的投标人，应提供相应文件证明其依法不需要缴纳社会保障资金）</w:t>
      </w:r>
    </w:p>
    <w:p>
      <w:pPr>
        <w:pStyle w:val="10"/>
        <w:spacing w:line="360" w:lineRule="auto"/>
        <w:ind w:firstLine="0"/>
        <w:jc w:val="center"/>
        <w:rPr>
          <w:rFonts w:hAnsi="宋体"/>
          <w:color w:val="auto"/>
          <w:spacing w:val="-6"/>
          <w:sz w:val="24"/>
          <w:szCs w:val="24"/>
          <w:highlight w:val="none"/>
        </w:rPr>
      </w:pPr>
    </w:p>
    <w:p>
      <w:pPr>
        <w:pStyle w:val="10"/>
        <w:spacing w:line="360" w:lineRule="auto"/>
        <w:ind w:firstLine="0"/>
        <w:jc w:val="center"/>
        <w:rPr>
          <w:rFonts w:hAnsi="宋体"/>
          <w:color w:val="auto"/>
          <w:spacing w:val="-6"/>
          <w:sz w:val="24"/>
          <w:szCs w:val="24"/>
          <w:highlight w:val="none"/>
        </w:rPr>
      </w:pPr>
    </w:p>
    <w:p>
      <w:pPr>
        <w:pStyle w:val="10"/>
        <w:spacing w:line="360" w:lineRule="auto"/>
        <w:ind w:firstLine="0"/>
        <w:jc w:val="center"/>
        <w:rPr>
          <w:rFonts w:hAnsi="宋体"/>
          <w:color w:val="auto"/>
          <w:spacing w:val="-6"/>
          <w:sz w:val="24"/>
          <w:szCs w:val="24"/>
          <w:highlight w:val="none"/>
        </w:rPr>
      </w:pP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依法缴纳社会保障资金的证明材料指依法缴纳社会保险的凭据（社保缴费专用收据或银行电子缴税付款凭证或社会保险缴纳清单等）；</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依法不需要缴纳社会保障资金的投标人，应提供相应文件证明其依法不需要缴纳社会保障资金；</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pStyle w:val="10"/>
        <w:spacing w:line="360" w:lineRule="auto"/>
        <w:ind w:firstLine="0"/>
        <w:jc w:val="center"/>
        <w:outlineLvl w:val="2"/>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rPr>
        <w:t>具有履行合同所必需的设备和专业技术能力的承诺函（</w:t>
      </w:r>
      <w:r>
        <w:rPr>
          <w:rFonts w:hAnsi="宋体"/>
          <w:b/>
          <w:color w:val="auto"/>
          <w:spacing w:val="-6"/>
          <w:sz w:val="24"/>
          <w:szCs w:val="24"/>
          <w:highlight w:val="none"/>
        </w:rPr>
        <w:t>格式自拟）</w:t>
      </w:r>
    </w:p>
    <w:p>
      <w:pPr>
        <w:pStyle w:val="17"/>
        <w:spacing w:line="360" w:lineRule="auto"/>
        <w:ind w:left="0" w:firstLine="0" w:firstLineChars="0"/>
        <w:jc w:val="center"/>
        <w:rPr>
          <w:rFonts w:ascii="宋体" w:hAnsi="宋体"/>
          <w:b/>
          <w:color w:val="auto"/>
          <w:spacing w:val="-6"/>
          <w:sz w:val="24"/>
          <w:highlight w:val="none"/>
        </w:rPr>
      </w:pPr>
    </w:p>
    <w:p>
      <w:pPr>
        <w:pStyle w:val="17"/>
        <w:spacing w:line="360" w:lineRule="auto"/>
        <w:ind w:left="0" w:firstLine="0" w:firstLineChars="0"/>
        <w:jc w:val="center"/>
        <w:rPr>
          <w:rFonts w:ascii="宋体" w:hAnsi="宋体"/>
          <w:b/>
          <w:color w:val="auto"/>
          <w:spacing w:val="-6"/>
          <w:sz w:val="24"/>
          <w:highlight w:val="none"/>
        </w:rPr>
      </w:pPr>
    </w:p>
    <w:p>
      <w:pPr>
        <w:pStyle w:val="17"/>
        <w:spacing w:line="360" w:lineRule="auto"/>
        <w:ind w:left="0" w:firstLine="0" w:firstLineChars="0"/>
        <w:jc w:val="center"/>
        <w:rPr>
          <w:rFonts w:ascii="宋体" w:hAnsi="宋体"/>
          <w:b/>
          <w:color w:val="auto"/>
          <w:spacing w:val="-6"/>
          <w:sz w:val="24"/>
          <w:highlight w:val="none"/>
        </w:rPr>
      </w:pPr>
    </w:p>
    <w:p>
      <w:pPr>
        <w:pStyle w:val="17"/>
        <w:spacing w:line="360" w:lineRule="auto"/>
        <w:ind w:left="0" w:firstLine="0" w:firstLineChars="0"/>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0"/>
        <w:spacing w:line="360" w:lineRule="auto"/>
        <w:ind w:firstLine="0"/>
        <w:jc w:val="center"/>
        <w:outlineLvl w:val="2"/>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rPr>
        <w:t>参加政府采购活动前3年内在经营活动中没有重大违法记录的书面声明</w:t>
      </w:r>
    </w:p>
    <w:p>
      <w:pPr>
        <w:pStyle w:val="17"/>
        <w:spacing w:line="360" w:lineRule="auto"/>
        <w:ind w:left="169" w:hanging="169" w:hangingChars="74"/>
        <w:jc w:val="center"/>
        <w:rPr>
          <w:rFonts w:ascii="宋体" w:hAnsi="宋体"/>
          <w:b/>
          <w:color w:val="auto"/>
          <w:spacing w:val="-6"/>
          <w:sz w:val="24"/>
          <w:highlight w:val="none"/>
        </w:rPr>
      </w:pPr>
    </w:p>
    <w:p>
      <w:pPr>
        <w:pStyle w:val="17"/>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致：中国美术学院、浙江求是招标代理有限公司：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color w:val="auto"/>
          <w:spacing w:val="-6"/>
          <w:sz w:val="24"/>
          <w:highlight w:val="none"/>
        </w:rPr>
      </w:pPr>
    </w:p>
    <w:p>
      <w:pPr>
        <w:pStyle w:val="10"/>
        <w:spacing w:line="360" w:lineRule="auto"/>
        <w:ind w:firstLine="0"/>
        <w:jc w:val="center"/>
        <w:outlineLvl w:val="2"/>
        <w:rPr>
          <w:rFonts w:hAnsi="宋体"/>
          <w:b/>
          <w:color w:val="auto"/>
          <w:spacing w:val="-6"/>
          <w:sz w:val="24"/>
          <w:szCs w:val="24"/>
          <w:highlight w:val="none"/>
        </w:rPr>
      </w:pPr>
      <w:r>
        <w:rPr>
          <w:rFonts w:hAnsi="宋体"/>
          <w:color w:val="auto"/>
          <w:spacing w:val="-6"/>
          <w:sz w:val="24"/>
          <w:highlight w:val="none"/>
        </w:rPr>
        <w:br w:type="page"/>
      </w:r>
      <w:r>
        <w:rPr>
          <w:rFonts w:hint="eastAsia" w:hAnsi="宋体"/>
          <w:b/>
          <w:color w:val="auto"/>
          <w:spacing w:val="-6"/>
          <w:sz w:val="24"/>
          <w:szCs w:val="24"/>
          <w:highlight w:val="none"/>
        </w:rPr>
        <w:t>投标人特定资格条件（如有）</w:t>
      </w:r>
    </w:p>
    <w:p>
      <w:pPr>
        <w:pStyle w:val="10"/>
        <w:spacing w:line="360" w:lineRule="auto"/>
        <w:ind w:firstLine="0"/>
        <w:jc w:val="center"/>
        <w:rPr>
          <w:rFonts w:hAnsi="宋体"/>
          <w:b/>
          <w:color w:val="auto"/>
          <w:spacing w:val="-6"/>
          <w:sz w:val="24"/>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color w:val="auto"/>
          <w:spacing w:val="-6"/>
          <w:sz w:val="24"/>
          <w:highlight w:val="none"/>
        </w:rPr>
      </w:pPr>
    </w:p>
    <w:p>
      <w:pPr>
        <w:pStyle w:val="10"/>
        <w:spacing w:line="360" w:lineRule="auto"/>
        <w:ind w:firstLine="0"/>
        <w:jc w:val="center"/>
        <w:rPr>
          <w:rFonts w:hAnsi="宋体"/>
          <w:b/>
          <w:color w:val="auto"/>
          <w:spacing w:val="-6"/>
          <w:sz w:val="24"/>
          <w:szCs w:val="24"/>
          <w:highlight w:val="none"/>
        </w:rPr>
      </w:pPr>
    </w:p>
    <w:p>
      <w:pPr>
        <w:widowControl/>
        <w:jc w:val="left"/>
        <w:rPr>
          <w:rFonts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outlineLvl w:val="1"/>
        <w:rPr>
          <w:rFonts w:ascii="宋体" w:hAnsi="宋体"/>
          <w:b/>
          <w:color w:val="auto"/>
          <w:spacing w:val="-6"/>
          <w:sz w:val="52"/>
          <w:szCs w:val="52"/>
          <w:highlight w:val="none"/>
        </w:rPr>
      </w:pPr>
      <w:r>
        <w:rPr>
          <w:rFonts w:hint="eastAsia" w:ascii="宋体" w:hAnsi="宋体"/>
          <w:b/>
          <w:color w:val="auto"/>
          <w:spacing w:val="-6"/>
          <w:sz w:val="52"/>
          <w:szCs w:val="52"/>
          <w:highlight w:val="none"/>
        </w:rPr>
        <w:t>商务文件</w:t>
      </w:r>
    </w:p>
    <w:p>
      <w:pPr>
        <w:pStyle w:val="10"/>
        <w:spacing w:line="360" w:lineRule="auto"/>
        <w:ind w:firstLine="0"/>
        <w:jc w:val="center"/>
        <w:outlineLvl w:val="2"/>
        <w:rPr>
          <w:rFonts w:hAnsi="宋体"/>
          <w:b/>
          <w:color w:val="auto"/>
          <w:spacing w:val="-6"/>
          <w:sz w:val="24"/>
          <w:szCs w:val="24"/>
          <w:highlight w:val="none"/>
        </w:rPr>
      </w:pPr>
      <w:r>
        <w:rPr>
          <w:rFonts w:hint="eastAsia" w:hAnsi="宋体"/>
          <w:b/>
          <w:color w:val="auto"/>
          <w:spacing w:val="-6"/>
          <w:sz w:val="24"/>
          <w:szCs w:val="24"/>
          <w:highlight w:val="none"/>
        </w:rPr>
        <w:t>投 标 函</w:t>
      </w:r>
    </w:p>
    <w:p>
      <w:pPr>
        <w:spacing w:line="288"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中国美术学院教务处象山2号楼信息化提升项目</w:t>
      </w:r>
      <w:r>
        <w:rPr>
          <w:rFonts w:hint="eastAsia" w:ascii="宋体" w:hAnsi="宋体"/>
          <w:color w:val="auto"/>
          <w:spacing w:val="-6"/>
          <w:sz w:val="24"/>
          <w:highlight w:val="none"/>
        </w:rPr>
        <w:t>的投标邀请（项目编号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QSZB-Z(H)-C19233(GK)</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____________</w:t>
      </w:r>
      <w:r>
        <w:rPr>
          <w:rFonts w:hint="eastAsia" w:ascii="宋体" w:hAnsi="宋体"/>
          <w:color w:val="auto"/>
          <w:spacing w:val="-6"/>
          <w:sz w:val="24"/>
          <w:highlight w:val="none"/>
        </w:rPr>
        <w:t>（全名）经正式授权并代表投标人</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u w:val="single"/>
        </w:rPr>
        <w:t xml:space="preserve">           </w:t>
      </w:r>
      <w:r>
        <w:rPr>
          <w:rFonts w:hint="eastAsia" w:ascii="宋体" w:hAnsi="宋体"/>
          <w:bCs/>
          <w:color w:val="auto"/>
          <w:spacing w:val="-6"/>
          <w:sz w:val="24"/>
          <w:highlight w:val="none"/>
          <w:u w:val="single"/>
        </w:rPr>
        <w:t xml:space="preserve">       </w:t>
      </w:r>
      <w:r>
        <w:rPr>
          <w:rFonts w:hint="eastAsia" w:ascii="宋体" w:hAnsi="宋体"/>
          <w:color w:val="auto"/>
          <w:spacing w:val="-6"/>
          <w:sz w:val="24"/>
          <w:highlight w:val="none"/>
        </w:rPr>
        <w:t>（投标人名称）提交资格</w:t>
      </w:r>
      <w:r>
        <w:rPr>
          <w:rFonts w:ascii="宋体" w:hAnsi="宋体"/>
          <w:color w:val="auto"/>
          <w:spacing w:val="-6"/>
          <w:sz w:val="24"/>
          <w:highlight w:val="none"/>
        </w:rPr>
        <w:t>文件及</w:t>
      </w:r>
      <w:r>
        <w:rPr>
          <w:rFonts w:hint="eastAsia" w:ascii="宋体" w:hAnsi="宋体"/>
          <w:color w:val="auto"/>
          <w:spacing w:val="-6"/>
          <w:sz w:val="24"/>
          <w:highlight w:val="none"/>
        </w:rPr>
        <w:t>商务和技术文件正本一份、副本</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份、电子文档一份。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投标人已详细审查全部“招标文件”，包括修改文件（如有）以及全部参考资料和有关附件，已经了解我方对于招标文件、招标过程、中标结果有依法进行询问、质疑、投诉的权利及相关渠道和要求。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w:t>
      </w:r>
      <w:r>
        <w:rPr>
          <w:rFonts w:ascii="宋体" w:hAnsi="宋体"/>
          <w:color w:val="auto"/>
          <w:spacing w:val="-6"/>
          <w:sz w:val="24"/>
          <w:highlight w:val="none"/>
        </w:rPr>
        <w:t>.</w:t>
      </w:r>
      <w:r>
        <w:rPr>
          <w:rFonts w:hint="eastAsia" w:ascii="宋体" w:hAnsi="宋体"/>
          <w:color w:val="auto"/>
          <w:spacing w:val="-6"/>
          <w:sz w:val="24"/>
          <w:highlight w:val="none"/>
        </w:rPr>
        <w:t>投标有效期自提交投标文件的截止之日起</w:t>
      </w:r>
      <w:r>
        <w:rPr>
          <w:rFonts w:hint="eastAsia" w:ascii="宋体" w:hAnsi="宋体"/>
          <w:bCs/>
          <w:color w:val="auto"/>
          <w:spacing w:val="-6"/>
          <w:sz w:val="24"/>
          <w:highlight w:val="none"/>
          <w:u w:val="single"/>
        </w:rPr>
        <w:t xml:space="preserve"> 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天。</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w:t>
      </w:r>
      <w:r>
        <w:rPr>
          <w:rFonts w:ascii="宋体" w:hAnsi="宋体"/>
          <w:color w:val="auto"/>
          <w:spacing w:val="-6"/>
          <w:sz w:val="24"/>
          <w:highlight w:val="none"/>
        </w:rPr>
        <w:t>.</w:t>
      </w:r>
      <w:r>
        <w:rPr>
          <w:rFonts w:hint="eastAsia" w:ascii="宋体" w:hAnsi="宋体"/>
          <w:color w:val="auto"/>
          <w:spacing w:val="-6"/>
          <w:sz w:val="24"/>
          <w:highlight w:val="none"/>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w:t>
      </w:r>
      <w:r>
        <w:rPr>
          <w:rFonts w:ascii="宋体" w:hAnsi="宋体"/>
          <w:color w:val="auto"/>
          <w:spacing w:val="-6"/>
          <w:sz w:val="24"/>
          <w:highlight w:val="none"/>
        </w:rPr>
        <w:t>.</w:t>
      </w:r>
      <w:r>
        <w:rPr>
          <w:rFonts w:hint="eastAsia" w:ascii="宋体" w:hAnsi="宋体"/>
          <w:color w:val="auto"/>
          <w:spacing w:val="-6"/>
          <w:sz w:val="24"/>
          <w:highlight w:val="none"/>
        </w:rPr>
        <w:t>投标人同意按照贵方要求提供与投标有关的一切数据或资料。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 与本投标有关的一切正式往来信函请寄：</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r>
        <w:rPr>
          <w:rFonts w:ascii="宋体" w:hAnsi="宋体"/>
          <w:color w:val="auto"/>
          <w:spacing w:val="-6"/>
          <w:sz w:val="24"/>
          <w:highlight w:val="none"/>
        </w:rPr>
        <w:t xml:space="preserve">     </w:t>
      </w:r>
      <w:r>
        <w:rPr>
          <w:rFonts w:hint="eastAsia" w:ascii="宋体" w:hAnsi="宋体"/>
          <w:color w:val="auto"/>
          <w:spacing w:val="-6"/>
          <w:sz w:val="24"/>
          <w:highlight w:val="none"/>
        </w:rPr>
        <w:t>邮编：</w:t>
      </w:r>
      <w:r>
        <w:rPr>
          <w:rFonts w:hint="eastAsia" w:ascii="宋体" w:hAnsi="宋体"/>
          <w:color w:val="auto"/>
          <w:spacing w:val="-6"/>
          <w:sz w:val="24"/>
          <w:highlight w:val="none"/>
          <w:u w:val="single"/>
        </w:rPr>
        <w:t xml:space="preserve">                         </w:t>
      </w:r>
    </w:p>
    <w:p>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 xml:space="preserve">电话：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传真：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投标人代表姓名：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职务：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开户银行：</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银行帐号：</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Ansi="宋体"/>
          <w:b/>
          <w:color w:val="auto"/>
          <w:spacing w:val="-6"/>
          <w:sz w:val="24"/>
          <w:szCs w:val="24"/>
          <w:highlight w:val="none"/>
        </w:rPr>
        <w:t>法定代表人资格证明书</w:t>
      </w:r>
    </w:p>
    <w:p>
      <w:pPr>
        <w:spacing w:line="360" w:lineRule="auto"/>
        <w:jc w:val="center"/>
        <w:rPr>
          <w:rFonts w:ascii="宋体" w:hAnsi="宋体"/>
          <w:b/>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致：中国美术学院、浙江求是招标代理有限公司：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（姓名）系</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rPr>
        <w:t>（投标人名称）</w:t>
      </w:r>
      <w:r>
        <w:rPr>
          <w:rFonts w:ascii="宋体" w:hAnsi="宋体"/>
          <w:bCs/>
          <w:color w:val="auto"/>
          <w:spacing w:val="-6"/>
          <w:sz w:val="24"/>
          <w:highlight w:val="none"/>
        </w:rPr>
        <w:t>的法定代表人，身份证号</w:t>
      </w:r>
      <w:r>
        <w:rPr>
          <w:rFonts w:hint="eastAsia" w:ascii="宋体" w:hAnsi="宋体"/>
          <w:bCs/>
          <w:color w:val="auto"/>
          <w:spacing w:val="-6"/>
          <w:sz w:val="24"/>
          <w:highlight w:val="none"/>
        </w:rPr>
        <w:t>：</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rPr>
                <w:rFonts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tc>
      </w:tr>
    </w:tbl>
    <w:p>
      <w:pPr>
        <w:spacing w:line="360" w:lineRule="auto"/>
        <w:rPr>
          <w:rFonts w:ascii="宋体" w:hAnsi="宋体"/>
          <w:bCs/>
          <w:color w:val="auto"/>
          <w:spacing w:val="-6"/>
          <w:sz w:val="24"/>
          <w:highlight w:val="none"/>
        </w:rPr>
      </w:pPr>
    </w:p>
    <w:p>
      <w:pPr>
        <w:spacing w:line="360" w:lineRule="auto"/>
        <w:ind w:right="456"/>
        <w:rPr>
          <w:rFonts w:ascii="宋体" w:hAnsi="宋体"/>
          <w:b/>
          <w:bCs/>
          <w:color w:val="auto"/>
          <w:spacing w:val="-6"/>
          <w:sz w:val="24"/>
          <w:highlight w:val="none"/>
        </w:rPr>
      </w:pPr>
    </w:p>
    <w:p>
      <w:pPr>
        <w:spacing w:line="360" w:lineRule="auto"/>
        <w:ind w:right="456"/>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ind w:right="456"/>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法定代表人授权委托书</w:t>
      </w:r>
    </w:p>
    <w:p>
      <w:pPr>
        <w:spacing w:line="360" w:lineRule="auto"/>
        <w:jc w:val="center"/>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致：中国美术学院、浙江求是招标代理有限公司</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 xml:space="preserve">我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 xml:space="preserve">（姓名）系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（投标人名称）的法定代表人，现授权委托本单位在职职工：</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（姓名），身份证号码：</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rPr>
        <w:t>中国美术学院教务处象山2号楼信息化提升项目</w:t>
      </w:r>
      <w:r>
        <w:rPr>
          <w:rFonts w:hint="eastAsia" w:ascii="宋体" w:hAnsi="宋体"/>
          <w:bCs/>
          <w:color w:val="auto"/>
          <w:spacing w:val="-6"/>
          <w:sz w:val="24"/>
          <w:highlight w:val="none"/>
        </w:rPr>
        <w:t>项目标</w:t>
      </w:r>
      <w:r>
        <w:rPr>
          <w:rFonts w:ascii="宋体" w:hAnsi="宋体"/>
          <w:bCs/>
          <w:color w:val="auto"/>
          <w:spacing w:val="-6"/>
          <w:sz w:val="24"/>
          <w:highlight w:val="none"/>
        </w:rPr>
        <w:t>项</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u w:val="single"/>
        </w:rPr>
        <w:t>▲授权代表必须为投标人本单位在职职工，并提供2019年1月（含）以后任意一月的社保缴纳证明。</w:t>
      </w:r>
    </w:p>
    <w:p>
      <w:pPr>
        <w:spacing w:line="360" w:lineRule="auto"/>
        <w:ind w:firstLine="424" w:firstLineChars="186"/>
        <w:rPr>
          <w:rFonts w:ascii="宋体" w:hAnsi="宋体"/>
          <w:color w:val="auto"/>
          <w:spacing w:val="-6"/>
          <w:sz w:val="24"/>
          <w:highlight w:val="none"/>
        </w:rPr>
      </w:pPr>
    </w:p>
    <w:p>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hint="eastAsia" w:ascii="宋体" w:hAnsi="宋体"/>
          <w:color w:val="auto"/>
          <w:spacing w:val="-6"/>
          <w:sz w:val="24"/>
          <w:highlight w:val="none"/>
          <w:u w:val="single"/>
        </w:rPr>
        <w:t xml:space="preserve">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ascii="宋体" w:hAnsi="宋体"/>
          <w:color w:val="auto"/>
          <w:spacing w:val="-6"/>
          <w:sz w:val="24"/>
          <w:highlight w:val="none"/>
        </w:rPr>
      </w:pPr>
    </w:p>
    <w:tbl>
      <w:tblPr>
        <w:tblStyle w:val="2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639" w:type="dxa"/>
          </w:tcPr>
          <w:p>
            <w:pPr>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tc>
      </w:tr>
    </w:tbl>
    <w:p>
      <w:pPr>
        <w:pStyle w:val="12"/>
        <w:spacing w:before="0" w:beforeLines="0" w:after="0" w:afterLines="0" w:line="360" w:lineRule="auto"/>
        <w:rPr>
          <w:rFonts w:hAnsi="宋体"/>
          <w:b/>
          <w:color w:val="auto"/>
          <w:spacing w:val="-6"/>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1、投标人的</w:t>
      </w:r>
      <w:r>
        <w:rPr>
          <w:rFonts w:ascii="宋体" w:hAnsi="宋体"/>
          <w:b/>
          <w:bCs/>
          <w:color w:val="auto"/>
          <w:spacing w:val="-6"/>
          <w:sz w:val="21"/>
          <w:szCs w:val="21"/>
          <w:highlight w:val="none"/>
        </w:rPr>
        <w:t>法定代表人参加投标，须在投标文件中提供</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法定代表人资格证明</w:t>
      </w:r>
      <w:r>
        <w:rPr>
          <w:rFonts w:hint="eastAsia" w:ascii="宋体" w:hAnsi="宋体"/>
          <w:b/>
          <w:bCs/>
          <w:color w:val="auto"/>
          <w:spacing w:val="-6"/>
          <w:sz w:val="21"/>
          <w:szCs w:val="21"/>
          <w:highlight w:val="none"/>
        </w:rPr>
        <w:t>书；</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2、投标人的法定代表人委托授权代表</w:t>
      </w:r>
      <w:r>
        <w:rPr>
          <w:rFonts w:ascii="宋体" w:hAnsi="宋体"/>
          <w:b/>
          <w:bCs/>
          <w:color w:val="auto"/>
          <w:spacing w:val="-6"/>
          <w:sz w:val="21"/>
          <w:szCs w:val="21"/>
          <w:highlight w:val="none"/>
        </w:rPr>
        <w:t>参加投标，须在投标文件中提供</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法定代表人资格证明</w:t>
      </w:r>
      <w:r>
        <w:rPr>
          <w:rFonts w:hint="eastAsia" w:ascii="宋体" w:hAnsi="宋体"/>
          <w:b/>
          <w:bCs/>
          <w:color w:val="auto"/>
          <w:spacing w:val="-6"/>
          <w:sz w:val="21"/>
          <w:szCs w:val="21"/>
          <w:highlight w:val="none"/>
        </w:rPr>
        <w:t>书和</w:t>
      </w:r>
      <w:r>
        <w:rPr>
          <w:rFonts w:ascii="宋体" w:hAnsi="宋体"/>
          <w:b/>
          <w:bCs/>
          <w:color w:val="auto"/>
          <w:spacing w:val="-6"/>
          <w:sz w:val="21"/>
          <w:szCs w:val="21"/>
          <w:highlight w:val="none"/>
        </w:rPr>
        <w:t>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2019年1月（含）以后任意一月的投标授权代表社保缴纳证明</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投标声明书</w:t>
      </w:r>
    </w:p>
    <w:p>
      <w:pPr>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（投标人名称）系中华人民共和国合法企业，经营地址</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我方愿意参加贵方组织的中国美术学院教务处象山2号楼信息化提升项目</w:t>
      </w:r>
      <w:r>
        <w:rPr>
          <w:rFonts w:hint="eastAsia" w:ascii="宋体" w:hAnsi="宋体"/>
          <w:bCs/>
          <w:color w:val="auto"/>
          <w:spacing w:val="-6"/>
          <w:sz w:val="24"/>
          <w:highlight w:val="none"/>
        </w:rPr>
        <w:t>项目标</w:t>
      </w:r>
      <w:r>
        <w:rPr>
          <w:rFonts w:ascii="宋体" w:hAnsi="宋体"/>
          <w:bCs/>
          <w:color w:val="auto"/>
          <w:spacing w:val="-6"/>
          <w:sz w:val="24"/>
          <w:highlight w:val="none"/>
        </w:rPr>
        <w:t>项</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的投标，为便于贵方公正、择优地确定中标人及其投标产品和服务，我方就本次投标有关事项郑重声明如下：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我方向贵方提交的所有投标文件、资料都是准确的和真实的；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10"/>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62"/>
        <w:spacing w:line="360" w:lineRule="auto"/>
        <w:rPr>
          <w:rFonts w:ascii="宋体" w:hAnsi="宋体"/>
          <w:color w:val="auto"/>
          <w:spacing w:val="-6"/>
          <w:szCs w:val="24"/>
          <w:highlight w:val="none"/>
        </w:rPr>
      </w:pPr>
    </w:p>
    <w:p>
      <w:pPr>
        <w:pStyle w:val="62"/>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投标人一般情况</w:t>
      </w:r>
    </w:p>
    <w:p>
      <w:pPr>
        <w:spacing w:line="360" w:lineRule="auto"/>
        <w:jc w:val="center"/>
        <w:rPr>
          <w:rFonts w:ascii="宋体" w:hAnsi="宋体"/>
          <w:b/>
          <w:color w:val="auto"/>
          <w:spacing w:val="-6"/>
          <w:sz w:val="24"/>
          <w:highlight w:val="none"/>
        </w:rPr>
      </w:pP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192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3</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联系人：</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电子信箱：</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注册地：</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7</w:t>
            </w:r>
          </w:p>
        </w:tc>
        <w:tc>
          <w:tcPr>
            <w:tcW w:w="2384"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379" w:type="dxa"/>
            <w:gridSpan w:val="2"/>
            <w:vAlign w:val="center"/>
          </w:tcPr>
          <w:p>
            <w:pPr>
              <w:spacing w:line="360" w:lineRule="auto"/>
              <w:rPr>
                <w:rFonts w:ascii="宋体" w:hAnsi="宋体"/>
                <w:color w:val="auto"/>
                <w:spacing w:val="-6"/>
                <w:sz w:val="24"/>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说明：所有投标人都须填写此表。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投标人同类项目实施情况一览表</w:t>
      </w:r>
    </w:p>
    <w:p>
      <w:pPr>
        <w:pStyle w:val="17"/>
        <w:spacing w:line="360" w:lineRule="auto"/>
        <w:ind w:left="480" w:hanging="480"/>
        <w:rPr>
          <w:rFonts w:ascii="宋体" w:hAnsi="宋体"/>
          <w:color w:val="auto"/>
          <w:sz w:val="24"/>
          <w:highlight w:val="none"/>
        </w:rPr>
      </w:pPr>
      <w:r>
        <w:rPr>
          <w:rFonts w:ascii="宋体" w:hAnsi="宋体"/>
          <w:color w:val="auto"/>
          <w:sz w:val="24"/>
          <w:highlight w:val="none"/>
        </w:rPr>
        <w:t>标项：</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采购人联系人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r>
    </w:tbl>
    <w:p>
      <w:pPr>
        <w:pStyle w:val="17"/>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投标人须提供上述业绩合同复印件；</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所有合同复印件应清晰，应能体现合同签订时间、双方签字盖章等内容；</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投标人应在不涉及商业秘密的前提下尽可能提供详细的合同复印件内容。</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color w:val="auto"/>
          <w:spacing w:val="-6"/>
          <w:sz w:val="24"/>
          <w:highlight w:val="none"/>
        </w:rPr>
      </w:pPr>
    </w:p>
    <w:p>
      <w:pPr>
        <w:pStyle w:val="10"/>
        <w:spacing w:line="360" w:lineRule="auto"/>
        <w:ind w:firstLine="0"/>
        <w:jc w:val="center"/>
        <w:outlineLvl w:val="2"/>
        <w:rPr>
          <w:rFonts w:hAnsi="宋体"/>
          <w:b/>
          <w:color w:val="auto"/>
          <w:spacing w:val="-6"/>
          <w:sz w:val="24"/>
          <w:szCs w:val="24"/>
          <w:highlight w:val="none"/>
        </w:rPr>
      </w:pPr>
      <w:r>
        <w:rPr>
          <w:rFonts w:hint="eastAsia" w:hAnsi="宋体"/>
          <w:color w:val="auto"/>
          <w:spacing w:val="-6"/>
          <w:sz w:val="24"/>
          <w:highlight w:val="none"/>
        </w:rPr>
        <w:br w:type="page"/>
      </w:r>
      <w:r>
        <w:rPr>
          <w:rFonts w:hint="eastAsia" w:hAnsi="宋体"/>
          <w:b/>
          <w:color w:val="auto"/>
          <w:spacing w:val="-6"/>
          <w:sz w:val="24"/>
          <w:szCs w:val="24"/>
          <w:highlight w:val="none"/>
        </w:rPr>
        <w:t>节能环保产品证明材料</w:t>
      </w:r>
    </w:p>
    <w:p>
      <w:pPr>
        <w:spacing w:line="360" w:lineRule="auto"/>
        <w:rPr>
          <w:rFonts w:ascii="宋体" w:hAnsi="宋体"/>
          <w:bCs/>
          <w:color w:val="auto"/>
          <w:sz w:val="24"/>
          <w:highlight w:val="none"/>
        </w:rPr>
      </w:pP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说明：</w:t>
      </w:r>
    </w:p>
    <w:p>
      <w:pPr>
        <w:spacing w:line="288" w:lineRule="auto"/>
        <w:rPr>
          <w:b/>
          <w:color w:val="auto"/>
          <w:sz w:val="21"/>
          <w:szCs w:val="21"/>
          <w:highlight w:val="none"/>
        </w:rPr>
      </w:pPr>
    </w:p>
    <w:p>
      <w:pPr>
        <w:spacing w:line="360" w:lineRule="auto"/>
        <w:ind w:firstLine="422" w:firstLineChars="200"/>
        <w:rPr>
          <w:b/>
          <w:color w:val="auto"/>
          <w:sz w:val="21"/>
          <w:szCs w:val="21"/>
          <w:highlight w:val="none"/>
        </w:rPr>
      </w:pPr>
      <w:r>
        <w:rPr>
          <w:rFonts w:hint="eastAsia"/>
          <w:b/>
          <w:color w:val="auto"/>
          <w:sz w:val="21"/>
          <w:szCs w:val="21"/>
          <w:highlight w:val="none"/>
        </w:rPr>
        <w:t>所投产品属于品目清单范围，且提供国家确定的认证机构出具的处于有效期之内的节能产品、环境标志产品认证证书（复印件加盖公章）。</w:t>
      </w:r>
    </w:p>
    <w:p>
      <w:pPr>
        <w:pStyle w:val="10"/>
        <w:spacing w:line="360" w:lineRule="auto"/>
        <w:ind w:firstLine="0"/>
        <w:jc w:val="center"/>
        <w:outlineLvl w:val="2"/>
        <w:rPr>
          <w:rFonts w:hAnsi="宋体"/>
          <w:b/>
          <w:color w:val="auto"/>
          <w:spacing w:val="-6"/>
          <w:sz w:val="24"/>
          <w:szCs w:val="24"/>
          <w:highlight w:val="none"/>
        </w:rPr>
      </w:pPr>
      <w:r>
        <w:rPr>
          <w:rFonts w:hAnsi="宋体"/>
          <w:color w:val="auto"/>
          <w:spacing w:val="-6"/>
          <w:sz w:val="24"/>
          <w:highlight w:val="none"/>
        </w:rPr>
        <w:br w:type="page"/>
      </w:r>
      <w:r>
        <w:rPr>
          <w:rFonts w:hint="eastAsia" w:hAnsi="宋体"/>
          <w:b/>
          <w:color w:val="auto"/>
          <w:spacing w:val="-6"/>
          <w:sz w:val="24"/>
          <w:szCs w:val="24"/>
          <w:highlight w:val="none"/>
        </w:rPr>
        <w:t>投标人需要说明的其他文件和材料</w:t>
      </w:r>
    </w:p>
    <w:p>
      <w:pPr>
        <w:spacing w:line="360" w:lineRule="auto"/>
        <w:jc w:val="center"/>
        <w:rPr>
          <w:rFonts w:ascii="宋体" w:hAnsi="宋体"/>
          <w:b/>
          <w:color w:val="auto"/>
          <w:sz w:val="24"/>
          <w:highlight w:val="none"/>
        </w:rPr>
      </w:pPr>
    </w:p>
    <w:p>
      <w:pPr>
        <w:spacing w:line="360" w:lineRule="auto"/>
        <w:jc w:val="center"/>
        <w:outlineLvl w:val="1"/>
        <w:rPr>
          <w:rFonts w:ascii="宋体" w:hAnsi="宋体"/>
          <w:b/>
          <w:color w:val="auto"/>
          <w:spacing w:val="-6"/>
          <w:sz w:val="52"/>
          <w:szCs w:val="52"/>
          <w:highlight w:val="none"/>
        </w:rPr>
      </w:pPr>
      <w:r>
        <w:rPr>
          <w:rFonts w:ascii="宋体" w:hAnsi="宋体"/>
          <w:b/>
          <w:color w:val="auto"/>
          <w:sz w:val="52"/>
          <w:szCs w:val="52"/>
          <w:highlight w:val="none"/>
        </w:rPr>
        <w:br w:type="page"/>
      </w:r>
      <w:r>
        <w:rPr>
          <w:rFonts w:hint="eastAsia" w:ascii="宋体" w:hAnsi="宋体"/>
          <w:b/>
          <w:color w:val="auto"/>
          <w:spacing w:val="-6"/>
          <w:sz w:val="52"/>
          <w:szCs w:val="52"/>
          <w:highlight w:val="none"/>
        </w:rPr>
        <w:t>技术文件</w:t>
      </w:r>
    </w:p>
    <w:p>
      <w:pPr>
        <w:pStyle w:val="10"/>
        <w:spacing w:line="360" w:lineRule="auto"/>
        <w:ind w:firstLine="0"/>
        <w:jc w:val="center"/>
        <w:outlineLvl w:val="2"/>
        <w:rPr>
          <w:rFonts w:hAnsi="宋体"/>
          <w:b/>
          <w:color w:val="auto"/>
          <w:spacing w:val="-6"/>
          <w:sz w:val="24"/>
          <w:szCs w:val="24"/>
          <w:highlight w:val="none"/>
        </w:rPr>
      </w:pPr>
      <w:r>
        <w:rPr>
          <w:rFonts w:hint="eastAsia" w:hAnsi="宋体"/>
          <w:b/>
          <w:color w:val="auto"/>
          <w:spacing w:val="-6"/>
          <w:sz w:val="24"/>
          <w:szCs w:val="24"/>
          <w:highlight w:val="none"/>
        </w:rPr>
        <w:t>采购</w:t>
      </w:r>
      <w:r>
        <w:rPr>
          <w:rFonts w:hAnsi="宋体"/>
          <w:b/>
          <w:color w:val="auto"/>
          <w:spacing w:val="-6"/>
          <w:sz w:val="24"/>
          <w:szCs w:val="24"/>
          <w:highlight w:val="none"/>
        </w:rPr>
        <w:t>需求</w:t>
      </w:r>
      <w:r>
        <w:rPr>
          <w:rFonts w:hint="eastAsia" w:hAnsi="宋体"/>
          <w:b/>
          <w:color w:val="auto"/>
          <w:spacing w:val="-6"/>
          <w:sz w:val="24"/>
          <w:szCs w:val="24"/>
          <w:highlight w:val="none"/>
        </w:rPr>
        <w:t>偏离表</w:t>
      </w:r>
    </w:p>
    <w:p>
      <w:pPr>
        <w:spacing w:line="288" w:lineRule="auto"/>
        <w:rPr>
          <w:rFonts w:ascii="宋体" w:hAnsi="宋体"/>
          <w:bCs/>
          <w:color w:val="auto"/>
          <w:spacing w:val="-6"/>
          <w:sz w:val="24"/>
          <w:highlight w:val="none"/>
        </w:rPr>
      </w:pPr>
      <w:r>
        <w:rPr>
          <w:rFonts w:hint="eastAsia" w:ascii="宋体" w:hAnsi="宋体"/>
          <w:bCs/>
          <w:color w:val="auto"/>
          <w:spacing w:val="-6"/>
          <w:sz w:val="24"/>
          <w:highlight w:val="none"/>
        </w:rPr>
        <w:t>采购人：中国美术学院</w:t>
      </w:r>
    </w:p>
    <w:p>
      <w:pPr>
        <w:spacing w:line="288" w:lineRule="auto"/>
        <w:rPr>
          <w:rFonts w:ascii="宋体" w:hAnsi="宋体"/>
          <w:bCs/>
          <w:color w:val="auto"/>
          <w:spacing w:val="-6"/>
          <w:sz w:val="24"/>
          <w:highlight w:val="none"/>
        </w:rPr>
      </w:pPr>
      <w:r>
        <w:rPr>
          <w:rFonts w:hint="eastAsia" w:ascii="宋体" w:hAnsi="宋体"/>
          <w:bCs/>
          <w:color w:val="auto"/>
          <w:spacing w:val="-6"/>
          <w:sz w:val="24"/>
          <w:highlight w:val="none"/>
        </w:rPr>
        <w:t>项目名称：教务处象山2号楼信息化提升项目</w:t>
      </w:r>
    </w:p>
    <w:p>
      <w:pPr>
        <w:spacing w:line="288"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QSZB-Z(H)-C19233(GK)</w:t>
      </w:r>
    </w:p>
    <w:p>
      <w:pPr>
        <w:spacing w:line="288" w:lineRule="auto"/>
        <w:rPr>
          <w:rFonts w:ascii="宋体" w:hAnsi="宋体"/>
          <w:bCs/>
          <w:color w:val="auto"/>
          <w:spacing w:val="-6"/>
          <w:sz w:val="24"/>
          <w:highlight w:val="none"/>
        </w:rPr>
      </w:pPr>
      <w:r>
        <w:rPr>
          <w:rFonts w:hint="eastAsia" w:ascii="宋体" w:hAnsi="宋体"/>
          <w:bCs/>
          <w:color w:val="auto"/>
          <w:spacing w:val="-6"/>
          <w:sz w:val="24"/>
          <w:highlight w:val="none"/>
        </w:rPr>
        <w:t>标项：</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vAlign w:val="center"/>
          </w:tcPr>
          <w:p>
            <w:pPr>
              <w:snapToGrid w:val="0"/>
              <w:spacing w:line="288" w:lineRule="auto"/>
              <w:jc w:val="center"/>
              <w:rPr>
                <w:rFonts w:ascii="宋体" w:hAnsi="宋体"/>
                <w:b/>
                <w:color w:val="auto"/>
                <w:spacing w:val="-6"/>
                <w:sz w:val="24"/>
                <w:highlight w:val="none"/>
              </w:rPr>
            </w:pPr>
            <w:r>
              <w:rPr>
                <w:rFonts w:hint="eastAsia" w:ascii="宋体" w:hAnsi="宋体"/>
                <w:b/>
                <w:color w:val="auto"/>
                <w:spacing w:val="-6"/>
                <w:sz w:val="24"/>
                <w:highlight w:val="none"/>
              </w:rPr>
              <w:t>招标文件要求</w:t>
            </w:r>
          </w:p>
        </w:tc>
        <w:tc>
          <w:tcPr>
            <w:tcW w:w="3402" w:type="dxa"/>
            <w:vAlign w:val="center"/>
          </w:tcPr>
          <w:p>
            <w:pPr>
              <w:snapToGrid w:val="0"/>
              <w:spacing w:line="288" w:lineRule="auto"/>
              <w:jc w:val="center"/>
              <w:rPr>
                <w:rFonts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vAlign w:val="center"/>
          </w:tcPr>
          <w:p>
            <w:pPr>
              <w:snapToGrid w:val="0"/>
              <w:spacing w:line="288" w:lineRule="auto"/>
              <w:jc w:val="center"/>
              <w:rPr>
                <w:rFonts w:ascii="宋体" w:hAnsi="宋体"/>
                <w:b/>
                <w:color w:val="auto"/>
                <w:spacing w:val="-6"/>
                <w:sz w:val="24"/>
                <w:highlight w:val="none"/>
              </w:rPr>
            </w:pPr>
            <w:r>
              <w:rPr>
                <w:rFonts w:hint="eastAsia" w:ascii="宋体" w:hAnsi="宋体"/>
                <w:b/>
                <w:color w:val="auto"/>
                <w:spacing w:val="-6"/>
                <w:sz w:val="24"/>
                <w:highlight w:val="none"/>
              </w:rPr>
              <w:t>是否偏离</w:t>
            </w:r>
          </w:p>
          <w:p>
            <w:pPr>
              <w:snapToGrid w:val="0"/>
              <w:spacing w:line="288" w:lineRule="auto"/>
              <w:jc w:val="center"/>
              <w:rPr>
                <w:rFonts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pacing w:line="288" w:lineRule="auto"/>
              <w:rPr>
                <w:rFonts w:ascii="宋体" w:hAnsi="宋体"/>
                <w:b/>
                <w:color w:val="auto"/>
                <w:sz w:val="21"/>
                <w:szCs w:val="21"/>
                <w:highlight w:val="none"/>
              </w:rPr>
            </w:pPr>
            <w:r>
              <w:rPr>
                <w:rFonts w:hint="eastAsia" w:ascii="宋体" w:hAnsi="宋体"/>
                <w:b/>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3260" w:type="dxa"/>
            <w:vAlign w:val="center"/>
          </w:tcPr>
          <w:p>
            <w:pPr>
              <w:spacing w:line="288" w:lineRule="auto"/>
              <w:jc w:val="center"/>
              <w:rPr>
                <w:rFonts w:ascii="宋体" w:hAnsi="宋体"/>
                <w:color w:val="auto"/>
                <w:spacing w:val="-6"/>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w:t>
            </w:r>
          </w:p>
        </w:tc>
        <w:tc>
          <w:tcPr>
            <w:tcW w:w="3260" w:type="dxa"/>
            <w:vAlign w:val="center"/>
          </w:tcPr>
          <w:p>
            <w:pPr>
              <w:spacing w:line="288" w:lineRule="auto"/>
              <w:jc w:val="center"/>
              <w:rPr>
                <w:rFonts w:ascii="宋体" w:hAnsi="宋体"/>
                <w:color w:val="auto"/>
                <w:spacing w:val="-6"/>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color w:val="auto"/>
                <w:spacing w:val="-6"/>
                <w:sz w:val="21"/>
                <w:szCs w:val="21"/>
                <w:highlight w:val="none"/>
              </w:rPr>
            </w:pPr>
            <w:r>
              <w:rPr>
                <w:rFonts w:hint="eastAsia" w:ascii="宋体" w:hAnsi="宋体"/>
                <w:b/>
                <w:color w:val="auto"/>
                <w:sz w:val="21"/>
                <w:szCs w:val="21"/>
                <w:highlight w:val="none"/>
              </w:rPr>
              <w:t>服务</w:t>
            </w:r>
            <w:r>
              <w:rPr>
                <w:rFonts w:ascii="宋体" w:hAnsi="宋体"/>
                <w:b/>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3260" w:type="dxa"/>
            <w:vAlign w:val="center"/>
          </w:tcPr>
          <w:p>
            <w:pPr>
              <w:spacing w:line="288" w:lineRule="auto"/>
              <w:jc w:val="center"/>
              <w:rPr>
                <w:rFonts w:ascii="宋体" w:hAnsi="宋体"/>
                <w:color w:val="auto"/>
                <w:spacing w:val="-6"/>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color w:val="auto"/>
                <w:spacing w:val="-6"/>
                <w:sz w:val="21"/>
                <w:szCs w:val="21"/>
                <w:highlight w:val="none"/>
              </w:rPr>
            </w:pPr>
            <w:r>
              <w:rPr>
                <w:rFonts w:ascii="宋体" w:hAnsi="宋体"/>
                <w:b/>
                <w:color w:val="auto"/>
                <w:spacing w:val="-6"/>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color w:val="auto"/>
                <w:spacing w:val="-6"/>
                <w:sz w:val="21"/>
                <w:szCs w:val="21"/>
                <w:highlight w:val="none"/>
              </w:rPr>
            </w:pPr>
            <w:r>
              <w:rPr>
                <w:rFonts w:ascii="宋体" w:hAnsi="宋体"/>
                <w:color w:val="auto"/>
                <w:spacing w:val="-6"/>
                <w:sz w:val="21"/>
                <w:szCs w:val="21"/>
                <w:highlight w:val="none"/>
              </w:rPr>
              <w:t>……</w:t>
            </w:r>
          </w:p>
        </w:tc>
        <w:tc>
          <w:tcPr>
            <w:tcW w:w="3260" w:type="dxa"/>
            <w:vAlign w:val="center"/>
          </w:tcPr>
          <w:p>
            <w:pPr>
              <w:spacing w:line="288" w:lineRule="auto"/>
              <w:jc w:val="center"/>
              <w:rPr>
                <w:rFonts w:ascii="宋体" w:hAnsi="宋体"/>
                <w:color w:val="auto"/>
                <w:sz w:val="21"/>
                <w:szCs w:val="21"/>
                <w:highlight w:val="none"/>
              </w:rPr>
            </w:pPr>
          </w:p>
        </w:tc>
        <w:tc>
          <w:tcPr>
            <w:tcW w:w="3402" w:type="dxa"/>
            <w:vAlign w:val="center"/>
          </w:tcPr>
          <w:p>
            <w:pPr>
              <w:snapToGrid w:val="0"/>
              <w:spacing w:line="288" w:lineRule="auto"/>
              <w:jc w:val="center"/>
              <w:rPr>
                <w:rFonts w:ascii="宋体" w:hAnsi="宋体"/>
                <w:color w:val="auto"/>
                <w:spacing w:val="-6"/>
                <w:sz w:val="21"/>
                <w:szCs w:val="21"/>
                <w:highlight w:val="none"/>
              </w:rPr>
            </w:pPr>
          </w:p>
        </w:tc>
        <w:tc>
          <w:tcPr>
            <w:tcW w:w="1985" w:type="dxa"/>
            <w:vAlign w:val="center"/>
          </w:tcPr>
          <w:p>
            <w:pPr>
              <w:snapToGrid w:val="0"/>
              <w:spacing w:line="288" w:lineRule="auto"/>
              <w:jc w:val="center"/>
              <w:rPr>
                <w:rFonts w:ascii="宋体" w:hAnsi="宋体"/>
                <w:color w:val="auto"/>
                <w:spacing w:val="-6"/>
                <w:sz w:val="21"/>
                <w:szCs w:val="21"/>
                <w:highlight w:val="none"/>
              </w:rPr>
            </w:pPr>
          </w:p>
        </w:tc>
      </w:tr>
    </w:tbl>
    <w:p>
      <w:pPr>
        <w:spacing w:line="288" w:lineRule="auto"/>
        <w:rPr>
          <w:rFonts w:ascii="宋体" w:hAnsi="宋体"/>
          <w:b/>
          <w:bCs/>
          <w:color w:val="auto"/>
          <w:spacing w:val="-6"/>
          <w:sz w:val="24"/>
          <w:highlight w:val="none"/>
        </w:rPr>
      </w:pPr>
    </w:p>
    <w:p>
      <w:pPr>
        <w:spacing w:line="288" w:lineRule="auto"/>
        <w:rPr>
          <w:rFonts w:ascii="宋体" w:hAnsi="宋体"/>
          <w:b/>
          <w:bCs/>
          <w:color w:val="auto"/>
          <w:spacing w:val="-6"/>
          <w:sz w:val="24"/>
          <w:highlight w:val="none"/>
        </w:rPr>
      </w:pPr>
      <w:r>
        <w:rPr>
          <w:rFonts w:hint="eastAsia" w:ascii="宋体" w:hAnsi="宋体"/>
          <w:b/>
          <w:bCs/>
          <w:color w:val="auto"/>
          <w:spacing w:val="-6"/>
          <w:sz w:val="24"/>
          <w:highlight w:val="none"/>
        </w:rPr>
        <w:t>说明：</w:t>
      </w:r>
    </w:p>
    <w:p>
      <w:pPr>
        <w:spacing w:line="288" w:lineRule="auto"/>
        <w:rPr>
          <w:rFonts w:ascii="宋体" w:hAnsi="宋体"/>
          <w:b/>
          <w:bCs/>
          <w:color w:val="auto"/>
          <w:spacing w:val="-6"/>
          <w:sz w:val="24"/>
          <w:highlight w:val="none"/>
        </w:rPr>
      </w:pPr>
      <w:r>
        <w:rPr>
          <w:rFonts w:hint="eastAsia" w:ascii="宋体" w:hAnsi="宋体"/>
          <w:b/>
          <w:bCs/>
          <w:color w:val="auto"/>
          <w:spacing w:val="-6"/>
          <w:sz w:val="24"/>
          <w:highlight w:val="none"/>
        </w:rPr>
        <w:t>1</w:t>
      </w:r>
      <w:r>
        <w:rPr>
          <w:rFonts w:ascii="宋体" w:hAnsi="宋体"/>
          <w:b/>
          <w:bCs/>
          <w:color w:val="auto"/>
          <w:spacing w:val="-6"/>
          <w:sz w:val="24"/>
          <w:highlight w:val="none"/>
        </w:rPr>
        <w:t>.</w:t>
      </w:r>
      <w:r>
        <w:rPr>
          <w:rFonts w:hint="eastAsia" w:ascii="宋体" w:hAnsi="宋体"/>
          <w:b/>
          <w:bCs/>
          <w:color w:val="auto"/>
          <w:spacing w:val="-6"/>
          <w:sz w:val="24"/>
          <w:highlight w:val="none"/>
        </w:rPr>
        <w:t>逐项按照招标文件要求填写响应规格；</w:t>
      </w:r>
    </w:p>
    <w:p>
      <w:pPr>
        <w:spacing w:line="288" w:lineRule="auto"/>
        <w:rPr>
          <w:rFonts w:ascii="宋体" w:hAnsi="宋体"/>
          <w:b/>
          <w:bCs/>
          <w:color w:val="auto"/>
          <w:spacing w:val="-6"/>
          <w:sz w:val="24"/>
          <w:highlight w:val="none"/>
        </w:rPr>
      </w:pPr>
      <w:r>
        <w:rPr>
          <w:rFonts w:hint="eastAsia" w:ascii="宋体" w:hAnsi="宋体"/>
          <w:b/>
          <w:bCs/>
          <w:color w:val="auto"/>
          <w:spacing w:val="-6"/>
          <w:sz w:val="24"/>
          <w:highlight w:val="none"/>
        </w:rPr>
        <w:t>2</w:t>
      </w:r>
      <w:r>
        <w:rPr>
          <w:rFonts w:ascii="宋体" w:hAnsi="宋体"/>
          <w:b/>
          <w:bCs/>
          <w:color w:val="auto"/>
          <w:spacing w:val="-6"/>
          <w:sz w:val="24"/>
          <w:highlight w:val="none"/>
        </w:rPr>
        <w:t>.</w:t>
      </w:r>
      <w:r>
        <w:rPr>
          <w:rFonts w:hint="eastAsia" w:ascii="宋体" w:hAnsi="宋体"/>
          <w:b/>
          <w:bCs/>
          <w:color w:val="auto"/>
          <w:spacing w:val="-6"/>
          <w:sz w:val="24"/>
          <w:highlight w:val="none"/>
        </w:rPr>
        <w:t>偏离说明是指对招标文件要求存在不同之处的解释说明。偏离系指：正偏离（高于招标要求）、负偏离（低于招标要求）、无偏离（满足招标要求）；</w:t>
      </w:r>
    </w:p>
    <w:p>
      <w:pPr>
        <w:spacing w:line="288" w:lineRule="auto"/>
        <w:rPr>
          <w:rFonts w:ascii="宋体" w:hAnsi="宋体"/>
          <w:b/>
          <w:color w:val="auto"/>
          <w:spacing w:val="-6"/>
          <w:sz w:val="24"/>
          <w:highlight w:val="none"/>
        </w:rPr>
      </w:pPr>
      <w:r>
        <w:rPr>
          <w:rFonts w:hint="eastAsia" w:ascii="宋体" w:hAnsi="宋体"/>
          <w:b/>
          <w:bCs/>
          <w:color w:val="auto"/>
          <w:spacing w:val="-6"/>
          <w:sz w:val="24"/>
          <w:highlight w:val="none"/>
        </w:rPr>
        <w:t>3</w:t>
      </w:r>
      <w:r>
        <w:rPr>
          <w:rFonts w:ascii="宋体" w:hAnsi="宋体"/>
          <w:b/>
          <w:bCs/>
          <w:color w:val="auto"/>
          <w:spacing w:val="-6"/>
          <w:sz w:val="24"/>
          <w:highlight w:val="none"/>
        </w:rPr>
        <w:t>.</w:t>
      </w:r>
      <w:r>
        <w:rPr>
          <w:rFonts w:hint="eastAsia" w:ascii="宋体" w:hAnsi="宋体"/>
          <w:b/>
          <w:bCs/>
          <w:color w:val="auto"/>
          <w:spacing w:val="-6"/>
          <w:sz w:val="24"/>
          <w:highlight w:val="none"/>
        </w:rPr>
        <w:t>如不填写或未如实填写</w:t>
      </w:r>
      <w:r>
        <w:rPr>
          <w:rFonts w:hint="eastAsia" w:ascii="宋体" w:hAnsi="宋体"/>
          <w:b/>
          <w:color w:val="auto"/>
          <w:spacing w:val="-6"/>
          <w:sz w:val="24"/>
          <w:highlight w:val="none"/>
        </w:rPr>
        <w:t>，自行承担投标风险。</w:t>
      </w:r>
    </w:p>
    <w:p>
      <w:pPr>
        <w:spacing w:line="288" w:lineRule="auto"/>
        <w:rPr>
          <w:rFonts w:ascii="宋体" w:hAnsi="宋体"/>
          <w:color w:val="auto"/>
          <w:spacing w:val="-6"/>
          <w:sz w:val="24"/>
          <w:highlight w:val="none"/>
        </w:rPr>
      </w:pPr>
    </w:p>
    <w:p>
      <w:pPr>
        <w:spacing w:line="288" w:lineRule="auto"/>
        <w:rPr>
          <w:rFonts w:ascii="宋体" w:hAnsi="宋体"/>
          <w:color w:val="auto"/>
          <w:spacing w:val="-6"/>
          <w:sz w:val="24"/>
          <w:highlight w:val="none"/>
        </w:rPr>
      </w:pPr>
    </w:p>
    <w:p>
      <w:pPr>
        <w:spacing w:line="288"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288"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288"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标的物配置清单</w:t>
      </w:r>
      <w:r>
        <w:rPr>
          <w:rFonts w:hint="eastAsia" w:hAnsi="宋体"/>
          <w:color w:val="auto"/>
          <w:spacing w:val="-6"/>
          <w:sz w:val="24"/>
          <w:szCs w:val="24"/>
          <w:highlight w:val="none"/>
        </w:rPr>
        <w:t>（不含报价）</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790"/>
        <w:gridCol w:w="790"/>
        <w:gridCol w:w="1053"/>
        <w:gridCol w:w="992"/>
        <w:gridCol w:w="192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2045" w:type="dxa"/>
            <w:vAlign w:val="center"/>
          </w:tcPr>
          <w:p>
            <w:pPr>
              <w:jc w:val="center"/>
              <w:rPr>
                <w:rFonts w:ascii="宋体" w:hAnsi="宋体"/>
                <w:b/>
                <w:color w:val="auto"/>
                <w:sz w:val="24"/>
                <w:highlight w:val="none"/>
              </w:rPr>
            </w:pPr>
            <w:r>
              <w:rPr>
                <w:rFonts w:hint="eastAsia" w:ascii="宋体" w:hAnsi="宋体"/>
                <w:b/>
                <w:color w:val="auto"/>
                <w:sz w:val="24"/>
                <w:highlight w:val="none"/>
              </w:rPr>
              <w:t>名称</w:t>
            </w:r>
          </w:p>
        </w:tc>
        <w:tc>
          <w:tcPr>
            <w:tcW w:w="790" w:type="dxa"/>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790" w:type="dxa"/>
            <w:vAlign w:val="center"/>
          </w:tcPr>
          <w:p>
            <w:pPr>
              <w:jc w:val="center"/>
              <w:rPr>
                <w:rFonts w:ascii="宋体" w:hAnsi="宋体"/>
                <w:b/>
                <w:color w:val="auto"/>
                <w:sz w:val="24"/>
                <w:highlight w:val="none"/>
              </w:rPr>
            </w:pPr>
            <w:r>
              <w:rPr>
                <w:rFonts w:hint="eastAsia" w:ascii="宋体" w:hAnsi="宋体"/>
                <w:b/>
                <w:color w:val="auto"/>
                <w:sz w:val="24"/>
                <w:highlight w:val="none"/>
              </w:rPr>
              <w:t>单位</w:t>
            </w:r>
          </w:p>
        </w:tc>
        <w:tc>
          <w:tcPr>
            <w:tcW w:w="1053" w:type="dxa"/>
            <w:vAlign w:val="center"/>
          </w:tcPr>
          <w:p>
            <w:pPr>
              <w:jc w:val="center"/>
              <w:rPr>
                <w:rFonts w:ascii="宋体" w:hAnsi="宋体"/>
                <w:b/>
                <w:color w:val="auto"/>
                <w:sz w:val="24"/>
                <w:highlight w:val="none"/>
              </w:rPr>
            </w:pPr>
            <w:r>
              <w:rPr>
                <w:rFonts w:hint="eastAsia" w:ascii="宋体" w:hAnsi="宋体"/>
                <w:b/>
                <w:color w:val="auto"/>
                <w:sz w:val="24"/>
                <w:highlight w:val="none"/>
              </w:rPr>
              <w:t>品牌</w:t>
            </w:r>
          </w:p>
        </w:tc>
        <w:tc>
          <w:tcPr>
            <w:tcW w:w="992" w:type="dxa"/>
            <w:vAlign w:val="center"/>
          </w:tcPr>
          <w:p>
            <w:pPr>
              <w:jc w:val="center"/>
              <w:rPr>
                <w:rFonts w:ascii="宋体" w:hAnsi="宋体"/>
                <w:b/>
                <w:color w:val="auto"/>
                <w:sz w:val="24"/>
                <w:highlight w:val="none"/>
              </w:rPr>
            </w:pPr>
            <w:r>
              <w:rPr>
                <w:rFonts w:hint="eastAsia" w:ascii="宋体" w:hAnsi="宋体"/>
                <w:b/>
                <w:color w:val="auto"/>
                <w:sz w:val="24"/>
                <w:highlight w:val="none"/>
              </w:rPr>
              <w:t>型号</w:t>
            </w: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配置（</w:t>
            </w:r>
            <w:r>
              <w:rPr>
                <w:rFonts w:hint="default" w:ascii="宋体" w:eastAsia="宋体"/>
                <w:b/>
                <w:color w:val="auto"/>
                <w:kern w:val="2"/>
                <w:highlight w:val="none"/>
              </w:rPr>
              <w:t>可另附页）</w:t>
            </w:r>
          </w:p>
        </w:tc>
        <w:tc>
          <w:tcPr>
            <w:tcW w:w="1195" w:type="dxa"/>
            <w:vAlign w:val="center"/>
          </w:tcPr>
          <w:p>
            <w:pPr>
              <w:pStyle w:val="63"/>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color w:val="auto"/>
                <w:sz w:val="24"/>
                <w:highlight w:val="none"/>
              </w:rPr>
            </w:pPr>
          </w:p>
        </w:tc>
        <w:tc>
          <w:tcPr>
            <w:tcW w:w="2045"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790" w:type="dxa"/>
            <w:vAlign w:val="center"/>
          </w:tcPr>
          <w:p>
            <w:pPr>
              <w:jc w:val="center"/>
              <w:rPr>
                <w:rFonts w:ascii="宋体" w:hAnsi="宋体"/>
                <w:b/>
                <w:color w:val="auto"/>
                <w:sz w:val="24"/>
                <w:highlight w:val="none"/>
              </w:rPr>
            </w:pPr>
          </w:p>
        </w:tc>
        <w:tc>
          <w:tcPr>
            <w:tcW w:w="1053" w:type="dxa"/>
            <w:vAlign w:val="center"/>
          </w:tcPr>
          <w:p>
            <w:pPr>
              <w:jc w:val="center"/>
              <w:rPr>
                <w:rFonts w:ascii="宋体" w:hAnsi="宋体"/>
                <w:b/>
                <w:color w:val="auto"/>
                <w:sz w:val="24"/>
                <w:highlight w:val="none"/>
              </w:rPr>
            </w:pPr>
          </w:p>
        </w:tc>
        <w:tc>
          <w:tcPr>
            <w:tcW w:w="992" w:type="dxa"/>
            <w:vAlign w:val="center"/>
          </w:tcPr>
          <w:p>
            <w:pPr>
              <w:jc w:val="center"/>
              <w:rPr>
                <w:rFonts w:ascii="宋体" w:hAnsi="宋体"/>
                <w:b/>
                <w:color w:val="auto"/>
                <w:sz w:val="24"/>
                <w:highlight w:val="none"/>
              </w:rPr>
            </w:pPr>
          </w:p>
        </w:tc>
        <w:tc>
          <w:tcPr>
            <w:tcW w:w="1924" w:type="dxa"/>
            <w:vAlign w:val="center"/>
          </w:tcPr>
          <w:p>
            <w:pPr>
              <w:pStyle w:val="63"/>
              <w:widowControl w:val="0"/>
              <w:spacing w:before="0" w:beforeAutospacing="0" w:after="0" w:afterAutospacing="0"/>
              <w:rPr>
                <w:rFonts w:hint="default" w:ascii="宋体" w:eastAsia="宋体"/>
                <w:b/>
                <w:color w:val="auto"/>
                <w:kern w:val="2"/>
                <w:highlight w:val="none"/>
              </w:rPr>
            </w:pPr>
          </w:p>
        </w:tc>
        <w:tc>
          <w:tcPr>
            <w:tcW w:w="1195" w:type="dxa"/>
            <w:vAlign w:val="center"/>
          </w:tcPr>
          <w:p>
            <w:pPr>
              <w:pStyle w:val="63"/>
              <w:widowControl w:val="0"/>
              <w:spacing w:before="0" w:beforeAutospacing="0" w:after="0" w:afterAutospacing="0"/>
              <w:rPr>
                <w:rFonts w:hint="default" w:ascii="宋体" w:eastAsia="宋体"/>
                <w:b/>
                <w:color w:val="auto"/>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rPr>
          <w:rFonts w:ascii="宋体" w:hAnsi="宋体"/>
          <w:b/>
          <w:color w:val="auto"/>
          <w:spacing w:val="-6"/>
          <w:sz w:val="24"/>
          <w:highlight w:val="none"/>
        </w:rPr>
      </w:pPr>
      <w:r>
        <w:rPr>
          <w:rFonts w:ascii="宋体" w:hAnsi="宋体"/>
          <w:b/>
          <w:color w:val="auto"/>
          <w:spacing w:val="-6"/>
          <w:sz w:val="24"/>
          <w:highlight w:val="none"/>
        </w:rPr>
        <w:t>原厂出厂配置表（附在</w:t>
      </w:r>
      <w:r>
        <w:rPr>
          <w:rFonts w:hint="eastAsia" w:ascii="宋体" w:hAnsi="宋体"/>
          <w:b/>
          <w:color w:val="auto"/>
          <w:spacing w:val="-6"/>
          <w:sz w:val="24"/>
          <w:highlight w:val="none"/>
        </w:rPr>
        <w:t>投标</w:t>
      </w:r>
      <w:r>
        <w:rPr>
          <w:rFonts w:ascii="宋体" w:hAnsi="宋体"/>
          <w:b/>
          <w:color w:val="auto"/>
          <w:spacing w:val="-6"/>
          <w:sz w:val="24"/>
          <w:highlight w:val="none"/>
        </w:rPr>
        <w:t>文件中）</w:t>
      </w:r>
    </w:p>
    <w:p>
      <w:pPr>
        <w:pStyle w:val="10"/>
        <w:spacing w:line="360" w:lineRule="auto"/>
        <w:ind w:firstLine="0"/>
        <w:jc w:val="center"/>
        <w:outlineLvl w:val="2"/>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投标产品技术支持材料</w:t>
      </w:r>
    </w:p>
    <w:p>
      <w:pPr>
        <w:spacing w:line="360" w:lineRule="auto"/>
        <w:rPr>
          <w:rFonts w:ascii="宋体"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投标人提供技术支持资料以证明其对技术指标的应答；</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技术支持资料应是制造商公开发布的印刷资料（彩页、Datasheet）或由有关政府部门或检测机构合法出具的文件或报告；</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不符合上述要求的资料，可被视为是无效的技术支持资料；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如上述资料之间存在不一致的，以有关政府部门或检测机构合法出具的文件或报告为准；</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若对技术指标的应答无技术支持资料证明，评标委员会可不予承认，并可认为该应答不符合招标文件要求，</w:t>
      </w:r>
      <w:r>
        <w:rPr>
          <w:rFonts w:hint="eastAsia" w:ascii="宋体" w:hAnsi="宋体"/>
          <w:b/>
          <w:bCs/>
          <w:color w:val="auto"/>
          <w:spacing w:val="-6"/>
          <w:sz w:val="21"/>
          <w:szCs w:val="21"/>
          <w:highlight w:val="none"/>
        </w:rPr>
        <w:t>将作出不利于投标人的技术评审，其后果将由投标人自行承担</w:t>
      </w:r>
      <w:r>
        <w:rPr>
          <w:rFonts w:hint="eastAsia" w:ascii="宋体" w:hAnsi="宋体"/>
          <w:b/>
          <w:color w:val="auto"/>
          <w:spacing w:val="-6"/>
          <w:sz w:val="21"/>
          <w:szCs w:val="21"/>
          <w:highlight w:val="none"/>
        </w:rPr>
        <w:t>；</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6</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投标人可提供同等于或优于招标文件要求的设备和服务。</w:t>
      </w:r>
    </w:p>
    <w:p>
      <w:pPr>
        <w:rPr>
          <w:rFonts w:ascii="宋体" w:hAnsi="宋体"/>
          <w:b/>
          <w:color w:val="auto"/>
          <w:spacing w:val="-6"/>
          <w:sz w:val="24"/>
          <w:highlight w:val="none"/>
        </w:rPr>
      </w:pPr>
      <w:r>
        <w:rPr>
          <w:rFonts w:ascii="宋体" w:hAnsi="宋体"/>
          <w:b/>
          <w:color w:val="auto"/>
          <w:spacing w:val="-6"/>
          <w:sz w:val="24"/>
          <w:highlight w:val="none"/>
        </w:rPr>
        <w:br w:type="page"/>
      </w:r>
    </w:p>
    <w:p>
      <w:pPr>
        <w:pStyle w:val="17"/>
        <w:spacing w:after="120" w:line="360" w:lineRule="auto"/>
        <w:ind w:left="0" w:firstLine="0" w:firstLineChars="0"/>
        <w:rPr>
          <w:rFonts w:hint="eastAsia" w:ascii="宋体" w:hAnsi="宋体"/>
          <w:b/>
          <w:color w:val="auto"/>
          <w:spacing w:val="-6"/>
          <w:sz w:val="24"/>
          <w:highlight w:val="none"/>
        </w:rPr>
      </w:pPr>
      <w:r>
        <w:rPr>
          <w:rFonts w:hint="eastAsia" w:ascii="宋体" w:hAnsi="宋体"/>
          <w:b/>
          <w:color w:val="auto"/>
          <w:spacing w:val="-6"/>
          <w:sz w:val="24"/>
          <w:highlight w:val="none"/>
        </w:rPr>
        <w:t>技术方案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color w:val="auto"/>
          <w:spacing w:val="-6"/>
          <w:sz w:val="21"/>
          <w:szCs w:val="21"/>
          <w:highlight w:val="none"/>
        </w:rPr>
      </w:pPr>
      <w:r>
        <w:rPr>
          <w:rFonts w:hint="eastAsia" w:ascii="宋体" w:hAnsi="宋体"/>
          <w:b/>
          <w:color w:val="auto"/>
          <w:spacing w:val="-6"/>
          <w:sz w:val="21"/>
          <w:szCs w:val="21"/>
          <w:highlight w:val="none"/>
          <w:lang w:eastAsia="zh-CN"/>
        </w:rPr>
        <w:t>说明：</w:t>
      </w:r>
      <w:r>
        <w:rPr>
          <w:rFonts w:hint="eastAsia" w:ascii="宋体" w:hAnsi="宋体"/>
          <w:b/>
          <w:color w:val="auto"/>
          <w:spacing w:val="-6"/>
          <w:sz w:val="21"/>
          <w:szCs w:val="21"/>
          <w:highlight w:val="none"/>
        </w:rPr>
        <w:t>根据</w:t>
      </w:r>
      <w:r>
        <w:rPr>
          <w:rFonts w:ascii="宋体" w:hAnsi="宋体"/>
          <w:b/>
          <w:color w:val="auto"/>
          <w:spacing w:val="-6"/>
          <w:sz w:val="21"/>
          <w:szCs w:val="21"/>
          <w:highlight w:val="none"/>
        </w:rPr>
        <w:t>评分细则提供和编写格式自拟</w:t>
      </w:r>
    </w:p>
    <w:p>
      <w:pPr>
        <w:pStyle w:val="17"/>
        <w:spacing w:after="120" w:line="360" w:lineRule="auto"/>
        <w:ind w:left="0" w:firstLine="0" w:firstLineChars="0"/>
        <w:rPr>
          <w:rFonts w:hint="eastAsia" w:ascii="宋体" w:hAnsi="宋体"/>
          <w:b/>
          <w:color w:val="auto"/>
          <w:spacing w:val="-6"/>
          <w:sz w:val="24"/>
          <w:highlight w:val="none"/>
        </w:rPr>
      </w:pPr>
    </w:p>
    <w:p>
      <w:pPr>
        <w:pStyle w:val="17"/>
        <w:spacing w:after="120" w:line="360" w:lineRule="auto"/>
        <w:ind w:left="0" w:firstLine="0" w:firstLineChars="0"/>
        <w:rPr>
          <w:rFonts w:hint="eastAsia" w:ascii="宋体" w:hAnsi="宋体"/>
          <w:b/>
          <w:color w:val="auto"/>
          <w:spacing w:val="-6"/>
          <w:sz w:val="24"/>
          <w:highlight w:val="none"/>
        </w:rPr>
      </w:pPr>
      <w:r>
        <w:rPr>
          <w:rFonts w:hint="eastAsia" w:ascii="宋体" w:hAnsi="宋体"/>
          <w:b/>
          <w:color w:val="auto"/>
          <w:spacing w:val="-6"/>
          <w:sz w:val="24"/>
          <w:highlight w:val="none"/>
        </w:rPr>
        <w:t>项目实施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color w:val="auto"/>
          <w:spacing w:val="-6"/>
          <w:sz w:val="21"/>
          <w:szCs w:val="21"/>
          <w:highlight w:val="none"/>
        </w:rPr>
      </w:pPr>
      <w:r>
        <w:rPr>
          <w:rFonts w:hint="eastAsia" w:ascii="宋体" w:hAnsi="宋体"/>
          <w:b/>
          <w:color w:val="auto"/>
          <w:spacing w:val="-6"/>
          <w:sz w:val="21"/>
          <w:szCs w:val="21"/>
          <w:highlight w:val="none"/>
          <w:lang w:eastAsia="zh-CN"/>
        </w:rPr>
        <w:t>说明：</w:t>
      </w:r>
      <w:r>
        <w:rPr>
          <w:rFonts w:hint="eastAsia" w:ascii="宋体" w:hAnsi="宋体"/>
          <w:b/>
          <w:color w:val="auto"/>
          <w:spacing w:val="-6"/>
          <w:sz w:val="21"/>
          <w:szCs w:val="21"/>
          <w:highlight w:val="none"/>
        </w:rPr>
        <w:t>根据</w:t>
      </w:r>
      <w:r>
        <w:rPr>
          <w:rFonts w:ascii="宋体" w:hAnsi="宋体"/>
          <w:b/>
          <w:color w:val="auto"/>
          <w:spacing w:val="-6"/>
          <w:sz w:val="21"/>
          <w:szCs w:val="21"/>
          <w:highlight w:val="none"/>
        </w:rPr>
        <w:t>评分细则提供和编写格式自拟</w:t>
      </w:r>
    </w:p>
    <w:p>
      <w:pPr>
        <w:pStyle w:val="17"/>
        <w:spacing w:after="120" w:line="360" w:lineRule="auto"/>
        <w:ind w:left="0" w:firstLine="0" w:firstLineChars="0"/>
        <w:rPr>
          <w:rFonts w:hint="eastAsia" w:ascii="宋体" w:hAnsi="宋体"/>
          <w:b/>
          <w:color w:val="auto"/>
          <w:spacing w:val="-6"/>
          <w:sz w:val="24"/>
          <w:highlight w:val="none"/>
        </w:rPr>
      </w:pPr>
    </w:p>
    <w:p>
      <w:pPr>
        <w:pStyle w:val="17"/>
        <w:spacing w:after="120" w:line="360" w:lineRule="auto"/>
        <w:ind w:left="0" w:firstLine="0" w:firstLineChars="0"/>
        <w:rPr>
          <w:rFonts w:hint="eastAsia" w:ascii="宋体" w:hAnsi="宋体"/>
          <w:b/>
          <w:color w:val="auto"/>
          <w:spacing w:val="-6"/>
          <w:sz w:val="24"/>
          <w:highlight w:val="none"/>
        </w:rPr>
      </w:pPr>
      <w:r>
        <w:rPr>
          <w:rFonts w:hint="eastAsia" w:ascii="宋体" w:hAnsi="宋体"/>
          <w:b/>
          <w:color w:val="auto"/>
          <w:spacing w:val="-6"/>
          <w:sz w:val="24"/>
          <w:highlight w:val="none"/>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color w:val="auto"/>
          <w:spacing w:val="-6"/>
          <w:sz w:val="21"/>
          <w:szCs w:val="21"/>
          <w:highlight w:val="none"/>
        </w:rPr>
      </w:pPr>
      <w:r>
        <w:rPr>
          <w:rFonts w:hint="eastAsia" w:ascii="宋体" w:hAnsi="宋体"/>
          <w:b/>
          <w:color w:val="auto"/>
          <w:spacing w:val="-6"/>
          <w:sz w:val="21"/>
          <w:szCs w:val="21"/>
          <w:highlight w:val="none"/>
          <w:lang w:eastAsia="zh-CN"/>
        </w:rPr>
        <w:t>说明：</w:t>
      </w:r>
      <w:r>
        <w:rPr>
          <w:rFonts w:hint="eastAsia" w:ascii="宋体" w:hAnsi="宋体"/>
          <w:b/>
          <w:color w:val="auto"/>
          <w:spacing w:val="-6"/>
          <w:sz w:val="21"/>
          <w:szCs w:val="21"/>
          <w:highlight w:val="none"/>
        </w:rPr>
        <w:t>根据</w:t>
      </w:r>
      <w:r>
        <w:rPr>
          <w:rFonts w:ascii="宋体" w:hAnsi="宋体"/>
          <w:b/>
          <w:color w:val="auto"/>
          <w:spacing w:val="-6"/>
          <w:sz w:val="21"/>
          <w:szCs w:val="21"/>
          <w:highlight w:val="none"/>
        </w:rPr>
        <w:t>评分细则提供和编写格式自拟</w:t>
      </w:r>
    </w:p>
    <w:p>
      <w:pPr>
        <w:pStyle w:val="17"/>
        <w:spacing w:after="120" w:line="360" w:lineRule="auto"/>
        <w:ind w:left="0" w:firstLine="0" w:firstLineChars="0"/>
        <w:rPr>
          <w:rFonts w:hint="eastAsia" w:ascii="宋体" w:hAnsi="宋体"/>
          <w:b/>
          <w:color w:val="auto"/>
          <w:spacing w:val="-6"/>
          <w:sz w:val="24"/>
          <w:highlight w:val="none"/>
        </w:rPr>
      </w:pPr>
    </w:p>
    <w:p>
      <w:pPr>
        <w:pStyle w:val="17"/>
        <w:spacing w:after="120" w:line="360" w:lineRule="auto"/>
        <w:ind w:left="0" w:firstLine="0" w:firstLineChars="0"/>
        <w:rPr>
          <w:rFonts w:hint="eastAsia" w:ascii="宋体" w:hAnsi="宋体"/>
          <w:b/>
          <w:color w:val="auto"/>
          <w:spacing w:val="-6"/>
          <w:sz w:val="24"/>
          <w:highlight w:val="none"/>
        </w:rPr>
      </w:pPr>
      <w:r>
        <w:rPr>
          <w:rFonts w:hint="eastAsia" w:ascii="宋体" w:hAnsi="宋体"/>
          <w:b/>
          <w:color w:val="auto"/>
          <w:spacing w:val="-6"/>
          <w:sz w:val="24"/>
          <w:highlight w:val="none"/>
        </w:rPr>
        <w:t>技术服务培训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color w:val="auto"/>
          <w:spacing w:val="-6"/>
          <w:sz w:val="21"/>
          <w:szCs w:val="21"/>
          <w:highlight w:val="none"/>
        </w:rPr>
      </w:pPr>
      <w:r>
        <w:rPr>
          <w:rFonts w:hint="eastAsia" w:ascii="宋体" w:hAnsi="宋体"/>
          <w:b/>
          <w:color w:val="auto"/>
          <w:spacing w:val="-6"/>
          <w:sz w:val="21"/>
          <w:szCs w:val="21"/>
          <w:highlight w:val="none"/>
          <w:lang w:eastAsia="zh-CN"/>
        </w:rPr>
        <w:t>说明：</w:t>
      </w:r>
      <w:r>
        <w:rPr>
          <w:rFonts w:hint="eastAsia" w:ascii="宋体" w:hAnsi="宋体"/>
          <w:b/>
          <w:color w:val="auto"/>
          <w:spacing w:val="-6"/>
          <w:sz w:val="21"/>
          <w:szCs w:val="21"/>
          <w:highlight w:val="none"/>
        </w:rPr>
        <w:t>根据</w:t>
      </w:r>
      <w:r>
        <w:rPr>
          <w:rFonts w:ascii="宋体" w:hAnsi="宋体"/>
          <w:b/>
          <w:color w:val="auto"/>
          <w:spacing w:val="-6"/>
          <w:sz w:val="21"/>
          <w:szCs w:val="21"/>
          <w:highlight w:val="none"/>
        </w:rPr>
        <w:t>评分细则提供和编写格式自拟</w:t>
      </w:r>
    </w:p>
    <w:p>
      <w:pPr>
        <w:pStyle w:val="17"/>
        <w:spacing w:after="120" w:line="360" w:lineRule="auto"/>
        <w:ind w:left="0" w:firstLine="0" w:firstLineChars="0"/>
        <w:rPr>
          <w:rFonts w:hint="eastAsia" w:ascii="宋体" w:hAnsi="宋体"/>
          <w:b/>
          <w:color w:val="auto"/>
          <w:spacing w:val="-6"/>
          <w:sz w:val="24"/>
          <w:highlight w:val="none"/>
        </w:rPr>
      </w:pPr>
    </w:p>
    <w:p>
      <w:pPr>
        <w:pStyle w:val="17"/>
        <w:spacing w:after="120" w:line="360" w:lineRule="auto"/>
        <w:ind w:left="0" w:firstLine="0" w:firstLineChars="0"/>
        <w:rPr>
          <w:rFonts w:hint="eastAsia" w:ascii="宋体" w:hAnsi="宋体"/>
          <w:b/>
          <w:color w:val="auto"/>
          <w:spacing w:val="-6"/>
          <w:sz w:val="24"/>
          <w:highlight w:val="none"/>
        </w:rPr>
      </w:pPr>
      <w:r>
        <w:rPr>
          <w:rFonts w:hint="eastAsia" w:ascii="宋体" w:hAnsi="宋体"/>
          <w:b/>
          <w:color w:val="auto"/>
          <w:spacing w:val="-6"/>
          <w:sz w:val="24"/>
          <w:highlight w:val="none"/>
        </w:rPr>
        <w:t>服务团队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color w:val="auto"/>
          <w:spacing w:val="-6"/>
          <w:sz w:val="21"/>
          <w:szCs w:val="21"/>
          <w:highlight w:val="none"/>
        </w:rPr>
      </w:pPr>
      <w:r>
        <w:rPr>
          <w:rFonts w:hint="eastAsia" w:ascii="宋体" w:hAnsi="宋体"/>
          <w:b/>
          <w:color w:val="auto"/>
          <w:spacing w:val="-6"/>
          <w:sz w:val="21"/>
          <w:szCs w:val="21"/>
          <w:highlight w:val="none"/>
          <w:lang w:eastAsia="zh-CN"/>
        </w:rPr>
        <w:t>说明：</w:t>
      </w:r>
      <w:r>
        <w:rPr>
          <w:rFonts w:hint="eastAsia" w:ascii="宋体" w:hAnsi="宋体"/>
          <w:b/>
          <w:color w:val="auto"/>
          <w:spacing w:val="-6"/>
          <w:sz w:val="21"/>
          <w:szCs w:val="21"/>
          <w:highlight w:val="none"/>
        </w:rPr>
        <w:t>根据</w:t>
      </w:r>
      <w:r>
        <w:rPr>
          <w:rFonts w:ascii="宋体" w:hAnsi="宋体"/>
          <w:b/>
          <w:color w:val="auto"/>
          <w:spacing w:val="-6"/>
          <w:sz w:val="21"/>
          <w:szCs w:val="21"/>
          <w:highlight w:val="none"/>
        </w:rPr>
        <w:t>评分细则提供和编写格式自拟</w:t>
      </w:r>
    </w:p>
    <w:p>
      <w:pPr>
        <w:pStyle w:val="17"/>
        <w:spacing w:after="120" w:line="360" w:lineRule="auto"/>
        <w:ind w:left="0" w:firstLine="0" w:firstLineChars="0"/>
        <w:rPr>
          <w:rFonts w:hint="eastAsia" w:ascii="宋体" w:hAnsi="宋体"/>
          <w:b/>
          <w:color w:val="auto"/>
          <w:spacing w:val="-6"/>
          <w:sz w:val="24"/>
          <w:highlight w:val="none"/>
        </w:rPr>
      </w:pPr>
    </w:p>
    <w:p>
      <w:pPr>
        <w:pStyle w:val="17"/>
        <w:spacing w:after="120" w:line="360" w:lineRule="auto"/>
        <w:ind w:left="0" w:firstLine="0" w:firstLineChars="0"/>
        <w:rPr>
          <w:rFonts w:ascii="宋体" w:hAnsi="宋体"/>
          <w:b/>
          <w:color w:val="auto"/>
          <w:spacing w:val="-6"/>
          <w:sz w:val="24"/>
          <w:highlight w:val="none"/>
        </w:rPr>
      </w:pPr>
    </w:p>
    <w:sectPr>
      <w:footerReference r:id="rId6" w:type="default"/>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r>
      <w:fldChar w:fldCharType="begin"/>
    </w:r>
    <w:r>
      <w:rPr>
        <w:rStyle w:val="26"/>
      </w:rPr>
      <w:instrText xml:space="preserve">PAGE  </w:instrTex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r>
      <w:fldChar w:fldCharType="begin"/>
    </w:r>
    <w:r>
      <w:rPr>
        <w:rStyle w:val="26"/>
      </w:rPr>
      <w:instrText xml:space="preserve"> PAGE  </w:instrText>
    </w:r>
    <w:r>
      <w:fldChar w:fldCharType="separate"/>
    </w:r>
    <w:r>
      <w:rPr>
        <w:rStyle w:val="26"/>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4"/>
        <w:lang w:val="zh-CN"/>
      </w:rPr>
      <w:t xml:space="preserve"> </w:t>
    </w:r>
    <w:r>
      <w:rPr>
        <w:sz w:val="21"/>
        <w:szCs w:val="21"/>
      </w:rPr>
      <w:fldChar w:fldCharType="begin"/>
    </w:r>
    <w:r>
      <w:rPr>
        <w:sz w:val="21"/>
        <w:szCs w:val="21"/>
      </w:rPr>
      <w:instrText xml:space="preserve">PAGE  \* Arabic  \* MERGEFORMAT</w:instrText>
    </w:r>
    <w:r>
      <w:rPr>
        <w:sz w:val="21"/>
        <w:szCs w:val="21"/>
      </w:rPr>
      <w:fldChar w:fldCharType="separate"/>
    </w:r>
    <w:r>
      <w:rPr>
        <w:sz w:val="21"/>
        <w:szCs w:val="21"/>
        <w:lang w:val="zh-CN"/>
      </w:rPr>
      <w:t>22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NUMPAGES  \* Arabic  \* MERGEFORMAT</w:instrText>
    </w:r>
    <w:r>
      <w:rPr>
        <w:sz w:val="21"/>
        <w:szCs w:val="21"/>
      </w:rPr>
      <w:fldChar w:fldCharType="separate"/>
    </w:r>
    <w:r>
      <w:rPr>
        <w:sz w:val="21"/>
        <w:szCs w:val="21"/>
        <w:lang w:val="zh-CN"/>
      </w:rPr>
      <w:t>55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drawing>
        <wp:inline distT="0" distB="0" distL="0" distR="0">
          <wp:extent cx="5905500" cy="676275"/>
          <wp:effectExtent l="19050" t="0" r="0" b="0"/>
          <wp:docPr id="3"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页眉620.jpg"/>
                  <pic:cNvPicPr>
                    <a:picLocks noChangeAspect="1" noChangeArrowheads="1"/>
                  </pic:cNvPicPr>
                </pic:nvPicPr>
                <pic:blipFill>
                  <a:blip r:embed="rId1"/>
                  <a:stretch>
                    <a:fillRect/>
                  </a:stretch>
                </pic:blipFill>
                <pic:spPr>
                  <a:xfrm>
                    <a:off x="0" y="0"/>
                    <a:ext cx="59055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50FE"/>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C49"/>
    <w:rsid w:val="00025E6A"/>
    <w:rsid w:val="00026877"/>
    <w:rsid w:val="00027A3C"/>
    <w:rsid w:val="00030DB5"/>
    <w:rsid w:val="00030E81"/>
    <w:rsid w:val="00031075"/>
    <w:rsid w:val="000310FE"/>
    <w:rsid w:val="00031193"/>
    <w:rsid w:val="00031E2B"/>
    <w:rsid w:val="00032280"/>
    <w:rsid w:val="000325E1"/>
    <w:rsid w:val="00033E2F"/>
    <w:rsid w:val="00034B6F"/>
    <w:rsid w:val="00035A6C"/>
    <w:rsid w:val="00036996"/>
    <w:rsid w:val="0003700E"/>
    <w:rsid w:val="0003797E"/>
    <w:rsid w:val="00040041"/>
    <w:rsid w:val="000408F2"/>
    <w:rsid w:val="00041D0F"/>
    <w:rsid w:val="00041FA3"/>
    <w:rsid w:val="00043E78"/>
    <w:rsid w:val="000459B5"/>
    <w:rsid w:val="00045C96"/>
    <w:rsid w:val="00045EE2"/>
    <w:rsid w:val="00047DF2"/>
    <w:rsid w:val="00050CC8"/>
    <w:rsid w:val="0005166C"/>
    <w:rsid w:val="00051736"/>
    <w:rsid w:val="00051774"/>
    <w:rsid w:val="00052C43"/>
    <w:rsid w:val="00053AD2"/>
    <w:rsid w:val="00053CF2"/>
    <w:rsid w:val="00054211"/>
    <w:rsid w:val="000546B0"/>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A82"/>
    <w:rsid w:val="00066072"/>
    <w:rsid w:val="0006785D"/>
    <w:rsid w:val="00067B67"/>
    <w:rsid w:val="00071135"/>
    <w:rsid w:val="00071C2A"/>
    <w:rsid w:val="00072425"/>
    <w:rsid w:val="00073FF7"/>
    <w:rsid w:val="00074349"/>
    <w:rsid w:val="00074378"/>
    <w:rsid w:val="00074D7B"/>
    <w:rsid w:val="00076570"/>
    <w:rsid w:val="000765AF"/>
    <w:rsid w:val="00077067"/>
    <w:rsid w:val="000804A7"/>
    <w:rsid w:val="00080A03"/>
    <w:rsid w:val="00081AD3"/>
    <w:rsid w:val="00081D47"/>
    <w:rsid w:val="00084D5F"/>
    <w:rsid w:val="00085880"/>
    <w:rsid w:val="00085EC0"/>
    <w:rsid w:val="00090ABA"/>
    <w:rsid w:val="000919EC"/>
    <w:rsid w:val="0009253D"/>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1842"/>
    <w:rsid w:val="000B197A"/>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317"/>
    <w:rsid w:val="000C741E"/>
    <w:rsid w:val="000D03C9"/>
    <w:rsid w:val="000D1903"/>
    <w:rsid w:val="000D25B1"/>
    <w:rsid w:val="000D2F1B"/>
    <w:rsid w:val="000D2FF7"/>
    <w:rsid w:val="000D3E9E"/>
    <w:rsid w:val="000D4C7F"/>
    <w:rsid w:val="000D519D"/>
    <w:rsid w:val="000D6C0F"/>
    <w:rsid w:val="000E01C6"/>
    <w:rsid w:val="000E084C"/>
    <w:rsid w:val="000E0978"/>
    <w:rsid w:val="000E14AD"/>
    <w:rsid w:val="000E157A"/>
    <w:rsid w:val="000E1629"/>
    <w:rsid w:val="000E1EE9"/>
    <w:rsid w:val="000E1F26"/>
    <w:rsid w:val="000E2248"/>
    <w:rsid w:val="000E25FD"/>
    <w:rsid w:val="000E32A8"/>
    <w:rsid w:val="000E386F"/>
    <w:rsid w:val="000E3A24"/>
    <w:rsid w:val="000E6588"/>
    <w:rsid w:val="000E7DBB"/>
    <w:rsid w:val="000F09AF"/>
    <w:rsid w:val="000F0D64"/>
    <w:rsid w:val="000F1F26"/>
    <w:rsid w:val="000F20B7"/>
    <w:rsid w:val="000F2AAD"/>
    <w:rsid w:val="000F31CF"/>
    <w:rsid w:val="000F4212"/>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A3B"/>
    <w:rsid w:val="00111B51"/>
    <w:rsid w:val="001144F7"/>
    <w:rsid w:val="00116AC0"/>
    <w:rsid w:val="00117084"/>
    <w:rsid w:val="00117108"/>
    <w:rsid w:val="00117CA4"/>
    <w:rsid w:val="0012048B"/>
    <w:rsid w:val="00121040"/>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8F4"/>
    <w:rsid w:val="0015798B"/>
    <w:rsid w:val="00157BA2"/>
    <w:rsid w:val="00157C26"/>
    <w:rsid w:val="00160B84"/>
    <w:rsid w:val="00161017"/>
    <w:rsid w:val="001613DD"/>
    <w:rsid w:val="001618F0"/>
    <w:rsid w:val="001632A6"/>
    <w:rsid w:val="00163EB2"/>
    <w:rsid w:val="00163FCC"/>
    <w:rsid w:val="00164AA0"/>
    <w:rsid w:val="00164DDA"/>
    <w:rsid w:val="00165007"/>
    <w:rsid w:val="001650B5"/>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5801"/>
    <w:rsid w:val="00176145"/>
    <w:rsid w:val="001763B3"/>
    <w:rsid w:val="001769B8"/>
    <w:rsid w:val="001772C1"/>
    <w:rsid w:val="00177F6F"/>
    <w:rsid w:val="00181A44"/>
    <w:rsid w:val="00181A50"/>
    <w:rsid w:val="00182310"/>
    <w:rsid w:val="00182420"/>
    <w:rsid w:val="00182D78"/>
    <w:rsid w:val="00183235"/>
    <w:rsid w:val="00183978"/>
    <w:rsid w:val="00183AEF"/>
    <w:rsid w:val="00184D3D"/>
    <w:rsid w:val="00184E31"/>
    <w:rsid w:val="00187FD8"/>
    <w:rsid w:val="00190564"/>
    <w:rsid w:val="00190C4E"/>
    <w:rsid w:val="00191584"/>
    <w:rsid w:val="001916C6"/>
    <w:rsid w:val="00193798"/>
    <w:rsid w:val="00193E13"/>
    <w:rsid w:val="00193E45"/>
    <w:rsid w:val="00194E2F"/>
    <w:rsid w:val="00195094"/>
    <w:rsid w:val="00195167"/>
    <w:rsid w:val="00195A86"/>
    <w:rsid w:val="001965A7"/>
    <w:rsid w:val="001969F2"/>
    <w:rsid w:val="00196D70"/>
    <w:rsid w:val="00197580"/>
    <w:rsid w:val="001A01B6"/>
    <w:rsid w:val="001A1D09"/>
    <w:rsid w:val="001A1F58"/>
    <w:rsid w:val="001A25AA"/>
    <w:rsid w:val="001A25C8"/>
    <w:rsid w:val="001A3FFB"/>
    <w:rsid w:val="001A4D48"/>
    <w:rsid w:val="001A5A88"/>
    <w:rsid w:val="001A5DA8"/>
    <w:rsid w:val="001A6AB8"/>
    <w:rsid w:val="001A78EC"/>
    <w:rsid w:val="001A7E1A"/>
    <w:rsid w:val="001B045F"/>
    <w:rsid w:val="001B0589"/>
    <w:rsid w:val="001B0E53"/>
    <w:rsid w:val="001B0ED0"/>
    <w:rsid w:val="001B20DE"/>
    <w:rsid w:val="001B2A98"/>
    <w:rsid w:val="001B3E88"/>
    <w:rsid w:val="001B54B8"/>
    <w:rsid w:val="001B5FB1"/>
    <w:rsid w:val="001B68FB"/>
    <w:rsid w:val="001B6FB1"/>
    <w:rsid w:val="001B7852"/>
    <w:rsid w:val="001C095D"/>
    <w:rsid w:val="001C11F4"/>
    <w:rsid w:val="001C18CF"/>
    <w:rsid w:val="001C1AF2"/>
    <w:rsid w:val="001C39AF"/>
    <w:rsid w:val="001C60EB"/>
    <w:rsid w:val="001C787A"/>
    <w:rsid w:val="001D0B2F"/>
    <w:rsid w:val="001D0F0B"/>
    <w:rsid w:val="001D273B"/>
    <w:rsid w:val="001D2BC7"/>
    <w:rsid w:val="001D2ECB"/>
    <w:rsid w:val="001D37E3"/>
    <w:rsid w:val="001D43A8"/>
    <w:rsid w:val="001D4791"/>
    <w:rsid w:val="001D584D"/>
    <w:rsid w:val="001D59F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5A2"/>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ED8"/>
    <w:rsid w:val="00214FEB"/>
    <w:rsid w:val="00216BB7"/>
    <w:rsid w:val="00217173"/>
    <w:rsid w:val="00217560"/>
    <w:rsid w:val="00220CFB"/>
    <w:rsid w:val="0022121A"/>
    <w:rsid w:val="00221E51"/>
    <w:rsid w:val="002225F6"/>
    <w:rsid w:val="00223964"/>
    <w:rsid w:val="002242FA"/>
    <w:rsid w:val="00225014"/>
    <w:rsid w:val="00225666"/>
    <w:rsid w:val="00225741"/>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0E81"/>
    <w:rsid w:val="0025247A"/>
    <w:rsid w:val="00253721"/>
    <w:rsid w:val="002547BE"/>
    <w:rsid w:val="00255253"/>
    <w:rsid w:val="002562F5"/>
    <w:rsid w:val="002571E6"/>
    <w:rsid w:val="0026011F"/>
    <w:rsid w:val="00260977"/>
    <w:rsid w:val="00260B29"/>
    <w:rsid w:val="002629DD"/>
    <w:rsid w:val="0026507F"/>
    <w:rsid w:val="00265095"/>
    <w:rsid w:val="0027040C"/>
    <w:rsid w:val="00270464"/>
    <w:rsid w:val="0027204E"/>
    <w:rsid w:val="00272542"/>
    <w:rsid w:val="0027308E"/>
    <w:rsid w:val="00273787"/>
    <w:rsid w:val="00274A62"/>
    <w:rsid w:val="00274D87"/>
    <w:rsid w:val="00276367"/>
    <w:rsid w:val="00277580"/>
    <w:rsid w:val="00277C34"/>
    <w:rsid w:val="00280546"/>
    <w:rsid w:val="00282451"/>
    <w:rsid w:val="00282FB2"/>
    <w:rsid w:val="002831BF"/>
    <w:rsid w:val="00283516"/>
    <w:rsid w:val="0028510F"/>
    <w:rsid w:val="0028576A"/>
    <w:rsid w:val="00286A9E"/>
    <w:rsid w:val="00291E79"/>
    <w:rsid w:val="00292263"/>
    <w:rsid w:val="00292964"/>
    <w:rsid w:val="00293231"/>
    <w:rsid w:val="002932D1"/>
    <w:rsid w:val="002935D3"/>
    <w:rsid w:val="00294556"/>
    <w:rsid w:val="00294EB9"/>
    <w:rsid w:val="002959EC"/>
    <w:rsid w:val="00295D58"/>
    <w:rsid w:val="00296707"/>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B76BC"/>
    <w:rsid w:val="002C076E"/>
    <w:rsid w:val="002C10A2"/>
    <w:rsid w:val="002C143C"/>
    <w:rsid w:val="002C1912"/>
    <w:rsid w:val="002C1B38"/>
    <w:rsid w:val="002C245F"/>
    <w:rsid w:val="002C270C"/>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CED"/>
    <w:rsid w:val="002E4FDC"/>
    <w:rsid w:val="002E549E"/>
    <w:rsid w:val="002E5791"/>
    <w:rsid w:val="002E62A7"/>
    <w:rsid w:val="002E64B2"/>
    <w:rsid w:val="002E66CF"/>
    <w:rsid w:val="002E68EC"/>
    <w:rsid w:val="002F0F07"/>
    <w:rsid w:val="002F15C4"/>
    <w:rsid w:val="002F217D"/>
    <w:rsid w:val="002F4178"/>
    <w:rsid w:val="002F41F8"/>
    <w:rsid w:val="002F6F89"/>
    <w:rsid w:val="002F7560"/>
    <w:rsid w:val="003016B5"/>
    <w:rsid w:val="00302500"/>
    <w:rsid w:val="00302711"/>
    <w:rsid w:val="003029BF"/>
    <w:rsid w:val="0030392B"/>
    <w:rsid w:val="00304728"/>
    <w:rsid w:val="003047BC"/>
    <w:rsid w:val="00304EE6"/>
    <w:rsid w:val="003052FD"/>
    <w:rsid w:val="00305807"/>
    <w:rsid w:val="00306D72"/>
    <w:rsid w:val="00306DD9"/>
    <w:rsid w:val="00306E8F"/>
    <w:rsid w:val="003079E4"/>
    <w:rsid w:val="00307CC0"/>
    <w:rsid w:val="0031093B"/>
    <w:rsid w:val="00311A39"/>
    <w:rsid w:val="00312365"/>
    <w:rsid w:val="0031267B"/>
    <w:rsid w:val="0031354E"/>
    <w:rsid w:val="00313747"/>
    <w:rsid w:val="003140F3"/>
    <w:rsid w:val="003153A6"/>
    <w:rsid w:val="00316590"/>
    <w:rsid w:val="00316B96"/>
    <w:rsid w:val="003171CE"/>
    <w:rsid w:val="003176A2"/>
    <w:rsid w:val="0032012F"/>
    <w:rsid w:val="00320747"/>
    <w:rsid w:val="003210E3"/>
    <w:rsid w:val="00322663"/>
    <w:rsid w:val="003232CA"/>
    <w:rsid w:val="003232CD"/>
    <w:rsid w:val="003241E3"/>
    <w:rsid w:val="00324345"/>
    <w:rsid w:val="00325133"/>
    <w:rsid w:val="00325EA2"/>
    <w:rsid w:val="003264E3"/>
    <w:rsid w:val="00326C09"/>
    <w:rsid w:val="00326DBE"/>
    <w:rsid w:val="00326FF8"/>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61"/>
    <w:rsid w:val="003449A1"/>
    <w:rsid w:val="00344A56"/>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57EBC"/>
    <w:rsid w:val="003604DE"/>
    <w:rsid w:val="0036055A"/>
    <w:rsid w:val="00362FEA"/>
    <w:rsid w:val="0036319C"/>
    <w:rsid w:val="003636F6"/>
    <w:rsid w:val="003641CF"/>
    <w:rsid w:val="0036450B"/>
    <w:rsid w:val="0036454A"/>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22E"/>
    <w:rsid w:val="00374413"/>
    <w:rsid w:val="003773A7"/>
    <w:rsid w:val="0038000C"/>
    <w:rsid w:val="003839BD"/>
    <w:rsid w:val="00385FBB"/>
    <w:rsid w:val="00386526"/>
    <w:rsid w:val="00387150"/>
    <w:rsid w:val="00387B54"/>
    <w:rsid w:val="00387C2A"/>
    <w:rsid w:val="003933A4"/>
    <w:rsid w:val="00393EF7"/>
    <w:rsid w:val="00395436"/>
    <w:rsid w:val="0039578F"/>
    <w:rsid w:val="00395BA7"/>
    <w:rsid w:val="003964A1"/>
    <w:rsid w:val="00396ADE"/>
    <w:rsid w:val="0039735E"/>
    <w:rsid w:val="00397533"/>
    <w:rsid w:val="00397FC5"/>
    <w:rsid w:val="003A06EB"/>
    <w:rsid w:val="003A0759"/>
    <w:rsid w:val="003A14F2"/>
    <w:rsid w:val="003A2BFB"/>
    <w:rsid w:val="003A2CB6"/>
    <w:rsid w:val="003A2CBB"/>
    <w:rsid w:val="003A2CE1"/>
    <w:rsid w:val="003A381D"/>
    <w:rsid w:val="003A3E9B"/>
    <w:rsid w:val="003A41F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5547"/>
    <w:rsid w:val="003C6699"/>
    <w:rsid w:val="003C7359"/>
    <w:rsid w:val="003C746E"/>
    <w:rsid w:val="003C77EB"/>
    <w:rsid w:val="003D0B26"/>
    <w:rsid w:val="003D1E07"/>
    <w:rsid w:val="003D236C"/>
    <w:rsid w:val="003D2811"/>
    <w:rsid w:val="003D2850"/>
    <w:rsid w:val="003D306E"/>
    <w:rsid w:val="003D3342"/>
    <w:rsid w:val="003D35A2"/>
    <w:rsid w:val="003D39BB"/>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DF0"/>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D9A"/>
    <w:rsid w:val="004469A9"/>
    <w:rsid w:val="004473FE"/>
    <w:rsid w:val="00450275"/>
    <w:rsid w:val="004502D8"/>
    <w:rsid w:val="00450989"/>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8AF"/>
    <w:rsid w:val="00465A6B"/>
    <w:rsid w:val="004665C7"/>
    <w:rsid w:val="004667D5"/>
    <w:rsid w:val="00466F63"/>
    <w:rsid w:val="004678B9"/>
    <w:rsid w:val="004707C5"/>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369"/>
    <w:rsid w:val="00482B89"/>
    <w:rsid w:val="00483F4B"/>
    <w:rsid w:val="00483F8A"/>
    <w:rsid w:val="00484415"/>
    <w:rsid w:val="004858A5"/>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320"/>
    <w:rsid w:val="004A489C"/>
    <w:rsid w:val="004A5591"/>
    <w:rsid w:val="004B41C6"/>
    <w:rsid w:val="004B759C"/>
    <w:rsid w:val="004B7A1A"/>
    <w:rsid w:val="004C0B2C"/>
    <w:rsid w:val="004C18F8"/>
    <w:rsid w:val="004C37BA"/>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29BC"/>
    <w:rsid w:val="004E4930"/>
    <w:rsid w:val="004E4DF5"/>
    <w:rsid w:val="004E55ED"/>
    <w:rsid w:val="004E5A54"/>
    <w:rsid w:val="004E5AB9"/>
    <w:rsid w:val="004E641D"/>
    <w:rsid w:val="004E65BF"/>
    <w:rsid w:val="004E666E"/>
    <w:rsid w:val="004F014A"/>
    <w:rsid w:val="004F04A4"/>
    <w:rsid w:val="004F0E43"/>
    <w:rsid w:val="004F1269"/>
    <w:rsid w:val="004F148B"/>
    <w:rsid w:val="004F15DF"/>
    <w:rsid w:val="004F1C64"/>
    <w:rsid w:val="004F2288"/>
    <w:rsid w:val="004F25EC"/>
    <w:rsid w:val="004F293E"/>
    <w:rsid w:val="004F2DE7"/>
    <w:rsid w:val="004F3EB8"/>
    <w:rsid w:val="004F3F0F"/>
    <w:rsid w:val="004F44A2"/>
    <w:rsid w:val="004F49E7"/>
    <w:rsid w:val="004F5086"/>
    <w:rsid w:val="004F5BF2"/>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7A9"/>
    <w:rsid w:val="0051588D"/>
    <w:rsid w:val="00515BE8"/>
    <w:rsid w:val="0051644D"/>
    <w:rsid w:val="00516CD3"/>
    <w:rsid w:val="005170B5"/>
    <w:rsid w:val="005205F6"/>
    <w:rsid w:val="00520A33"/>
    <w:rsid w:val="00521116"/>
    <w:rsid w:val="005224A1"/>
    <w:rsid w:val="00522A86"/>
    <w:rsid w:val="00522CE3"/>
    <w:rsid w:val="00523E7A"/>
    <w:rsid w:val="00523EE4"/>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57B3A"/>
    <w:rsid w:val="005606E1"/>
    <w:rsid w:val="00560A36"/>
    <w:rsid w:val="00560A79"/>
    <w:rsid w:val="00560F3D"/>
    <w:rsid w:val="005616BD"/>
    <w:rsid w:val="0056203E"/>
    <w:rsid w:val="005622DC"/>
    <w:rsid w:val="0056252C"/>
    <w:rsid w:val="005625F7"/>
    <w:rsid w:val="005643E8"/>
    <w:rsid w:val="005644F8"/>
    <w:rsid w:val="00564D6C"/>
    <w:rsid w:val="005654BE"/>
    <w:rsid w:val="00565879"/>
    <w:rsid w:val="00565CE8"/>
    <w:rsid w:val="00566529"/>
    <w:rsid w:val="00567533"/>
    <w:rsid w:val="005708B6"/>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6B52"/>
    <w:rsid w:val="005A71F4"/>
    <w:rsid w:val="005B0817"/>
    <w:rsid w:val="005B0D5E"/>
    <w:rsid w:val="005B106F"/>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0FD2"/>
    <w:rsid w:val="005C367E"/>
    <w:rsid w:val="005C4A34"/>
    <w:rsid w:val="005C4CDD"/>
    <w:rsid w:val="005C512B"/>
    <w:rsid w:val="005C613B"/>
    <w:rsid w:val="005C619B"/>
    <w:rsid w:val="005C6742"/>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5ADE"/>
    <w:rsid w:val="00606FCA"/>
    <w:rsid w:val="0060710A"/>
    <w:rsid w:val="00607642"/>
    <w:rsid w:val="0061157C"/>
    <w:rsid w:val="00611BD5"/>
    <w:rsid w:val="00611D13"/>
    <w:rsid w:val="006122CB"/>
    <w:rsid w:val="006124EC"/>
    <w:rsid w:val="00612F42"/>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1B7"/>
    <w:rsid w:val="00636593"/>
    <w:rsid w:val="00637CB2"/>
    <w:rsid w:val="00641AC2"/>
    <w:rsid w:val="00641B22"/>
    <w:rsid w:val="00641F5F"/>
    <w:rsid w:val="00642353"/>
    <w:rsid w:val="00643707"/>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BFA"/>
    <w:rsid w:val="00656B4B"/>
    <w:rsid w:val="00661186"/>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5543"/>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8A"/>
    <w:rsid w:val="00692BF2"/>
    <w:rsid w:val="0069387D"/>
    <w:rsid w:val="00693A7B"/>
    <w:rsid w:val="00693F70"/>
    <w:rsid w:val="006941E8"/>
    <w:rsid w:val="0069435B"/>
    <w:rsid w:val="006943DE"/>
    <w:rsid w:val="006944FE"/>
    <w:rsid w:val="00695EC0"/>
    <w:rsid w:val="00697F33"/>
    <w:rsid w:val="006A02F8"/>
    <w:rsid w:val="006A0333"/>
    <w:rsid w:val="006A0435"/>
    <w:rsid w:val="006A144C"/>
    <w:rsid w:val="006A19C9"/>
    <w:rsid w:val="006A200A"/>
    <w:rsid w:val="006A27F6"/>
    <w:rsid w:val="006A2CFB"/>
    <w:rsid w:val="006A3181"/>
    <w:rsid w:val="006A3524"/>
    <w:rsid w:val="006A425D"/>
    <w:rsid w:val="006A475C"/>
    <w:rsid w:val="006A4AD6"/>
    <w:rsid w:val="006A53B8"/>
    <w:rsid w:val="006A6157"/>
    <w:rsid w:val="006A77D9"/>
    <w:rsid w:val="006B03F2"/>
    <w:rsid w:val="006B1614"/>
    <w:rsid w:val="006B17ED"/>
    <w:rsid w:val="006B2746"/>
    <w:rsid w:val="006B2C52"/>
    <w:rsid w:val="006B2CC2"/>
    <w:rsid w:val="006B3CA4"/>
    <w:rsid w:val="006B3DA0"/>
    <w:rsid w:val="006B42CD"/>
    <w:rsid w:val="006B53D3"/>
    <w:rsid w:val="006B5A26"/>
    <w:rsid w:val="006B5DB1"/>
    <w:rsid w:val="006B5DCA"/>
    <w:rsid w:val="006B67DB"/>
    <w:rsid w:val="006B6921"/>
    <w:rsid w:val="006B77CE"/>
    <w:rsid w:val="006B7912"/>
    <w:rsid w:val="006C062B"/>
    <w:rsid w:val="006C1BCA"/>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1D"/>
    <w:rsid w:val="006D4F4A"/>
    <w:rsid w:val="006D5AC9"/>
    <w:rsid w:val="006D5EB4"/>
    <w:rsid w:val="006D6742"/>
    <w:rsid w:val="006D6F17"/>
    <w:rsid w:val="006D70DA"/>
    <w:rsid w:val="006D7269"/>
    <w:rsid w:val="006D7C1C"/>
    <w:rsid w:val="006E01E1"/>
    <w:rsid w:val="006E0B5D"/>
    <w:rsid w:val="006E13BE"/>
    <w:rsid w:val="006E1442"/>
    <w:rsid w:val="006E2B55"/>
    <w:rsid w:val="006E30CC"/>
    <w:rsid w:val="006E4198"/>
    <w:rsid w:val="006E4425"/>
    <w:rsid w:val="006E4BFC"/>
    <w:rsid w:val="006E4FE5"/>
    <w:rsid w:val="006E51E2"/>
    <w:rsid w:val="006E56F7"/>
    <w:rsid w:val="006E5A01"/>
    <w:rsid w:val="006E5BB6"/>
    <w:rsid w:val="006F0ADD"/>
    <w:rsid w:val="006F0F42"/>
    <w:rsid w:val="006F17C3"/>
    <w:rsid w:val="006F1CCA"/>
    <w:rsid w:val="006F63A0"/>
    <w:rsid w:val="006F6958"/>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B30"/>
    <w:rsid w:val="00713CD3"/>
    <w:rsid w:val="00714B8A"/>
    <w:rsid w:val="00715A52"/>
    <w:rsid w:val="007164DB"/>
    <w:rsid w:val="00716D52"/>
    <w:rsid w:val="00717BBD"/>
    <w:rsid w:val="00721974"/>
    <w:rsid w:val="007224C5"/>
    <w:rsid w:val="00722C09"/>
    <w:rsid w:val="00723298"/>
    <w:rsid w:val="0072444D"/>
    <w:rsid w:val="0072490B"/>
    <w:rsid w:val="0072545F"/>
    <w:rsid w:val="00725469"/>
    <w:rsid w:val="00725715"/>
    <w:rsid w:val="00727040"/>
    <w:rsid w:val="00727B78"/>
    <w:rsid w:val="007301B8"/>
    <w:rsid w:val="00730985"/>
    <w:rsid w:val="00731944"/>
    <w:rsid w:val="00732B90"/>
    <w:rsid w:val="00732E8B"/>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03F"/>
    <w:rsid w:val="007459CF"/>
    <w:rsid w:val="00750228"/>
    <w:rsid w:val="007504C8"/>
    <w:rsid w:val="00751C49"/>
    <w:rsid w:val="0075217B"/>
    <w:rsid w:val="007522F5"/>
    <w:rsid w:val="00753C8E"/>
    <w:rsid w:val="00753DDE"/>
    <w:rsid w:val="00755683"/>
    <w:rsid w:val="007563F9"/>
    <w:rsid w:val="00756428"/>
    <w:rsid w:val="00756C3F"/>
    <w:rsid w:val="007576BA"/>
    <w:rsid w:val="00760A12"/>
    <w:rsid w:val="00760F3C"/>
    <w:rsid w:val="007614DF"/>
    <w:rsid w:val="00761C30"/>
    <w:rsid w:val="007622ED"/>
    <w:rsid w:val="00762A18"/>
    <w:rsid w:val="007632D1"/>
    <w:rsid w:val="00763901"/>
    <w:rsid w:val="00763D85"/>
    <w:rsid w:val="00764342"/>
    <w:rsid w:val="00764357"/>
    <w:rsid w:val="007643FA"/>
    <w:rsid w:val="007649B4"/>
    <w:rsid w:val="00765CC7"/>
    <w:rsid w:val="00766419"/>
    <w:rsid w:val="00766B0A"/>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4B6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B50"/>
    <w:rsid w:val="00795DC1"/>
    <w:rsid w:val="0079687A"/>
    <w:rsid w:val="00797228"/>
    <w:rsid w:val="00797AC4"/>
    <w:rsid w:val="00797C10"/>
    <w:rsid w:val="007A163A"/>
    <w:rsid w:val="007A1A9E"/>
    <w:rsid w:val="007A1B96"/>
    <w:rsid w:val="007A21C1"/>
    <w:rsid w:val="007A251E"/>
    <w:rsid w:val="007A2B7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5E90"/>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618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17E3C"/>
    <w:rsid w:val="0082109C"/>
    <w:rsid w:val="00821290"/>
    <w:rsid w:val="00822304"/>
    <w:rsid w:val="00822912"/>
    <w:rsid w:val="00822C2E"/>
    <w:rsid w:val="00822DC0"/>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288"/>
    <w:rsid w:val="00847385"/>
    <w:rsid w:val="00847843"/>
    <w:rsid w:val="00847A88"/>
    <w:rsid w:val="008519B3"/>
    <w:rsid w:val="00851AE6"/>
    <w:rsid w:val="00851C77"/>
    <w:rsid w:val="00851D97"/>
    <w:rsid w:val="008522D3"/>
    <w:rsid w:val="008524D2"/>
    <w:rsid w:val="0085386D"/>
    <w:rsid w:val="008541CE"/>
    <w:rsid w:val="00854ADE"/>
    <w:rsid w:val="008551B2"/>
    <w:rsid w:val="008553B2"/>
    <w:rsid w:val="008557ED"/>
    <w:rsid w:val="00855903"/>
    <w:rsid w:val="00855E7C"/>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979F0"/>
    <w:rsid w:val="008A01CB"/>
    <w:rsid w:val="008A05C8"/>
    <w:rsid w:val="008A06A2"/>
    <w:rsid w:val="008A105A"/>
    <w:rsid w:val="008A12E6"/>
    <w:rsid w:val="008A1C04"/>
    <w:rsid w:val="008A2779"/>
    <w:rsid w:val="008A3630"/>
    <w:rsid w:val="008A41BA"/>
    <w:rsid w:val="008A4836"/>
    <w:rsid w:val="008A4DCB"/>
    <w:rsid w:val="008A6037"/>
    <w:rsid w:val="008A6449"/>
    <w:rsid w:val="008A6F63"/>
    <w:rsid w:val="008B0295"/>
    <w:rsid w:val="008B103B"/>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C6D76"/>
    <w:rsid w:val="008D0FF4"/>
    <w:rsid w:val="008D1021"/>
    <w:rsid w:val="008D10EE"/>
    <w:rsid w:val="008D150B"/>
    <w:rsid w:val="008D1928"/>
    <w:rsid w:val="008D2A54"/>
    <w:rsid w:val="008D2C2A"/>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3F69"/>
    <w:rsid w:val="008E52F6"/>
    <w:rsid w:val="008E5B81"/>
    <w:rsid w:val="008E76FC"/>
    <w:rsid w:val="008F0680"/>
    <w:rsid w:val="008F2A5A"/>
    <w:rsid w:val="008F398B"/>
    <w:rsid w:val="008F3EF5"/>
    <w:rsid w:val="008F4A59"/>
    <w:rsid w:val="008F50E2"/>
    <w:rsid w:val="008F5B12"/>
    <w:rsid w:val="008F61A4"/>
    <w:rsid w:val="008F673C"/>
    <w:rsid w:val="008F6AAD"/>
    <w:rsid w:val="008F7726"/>
    <w:rsid w:val="00901116"/>
    <w:rsid w:val="009017A2"/>
    <w:rsid w:val="00901808"/>
    <w:rsid w:val="009026E9"/>
    <w:rsid w:val="00902874"/>
    <w:rsid w:val="00905495"/>
    <w:rsid w:val="0090632C"/>
    <w:rsid w:val="00906B13"/>
    <w:rsid w:val="00906CE8"/>
    <w:rsid w:val="009079F8"/>
    <w:rsid w:val="00910AB5"/>
    <w:rsid w:val="00910DF8"/>
    <w:rsid w:val="009118A7"/>
    <w:rsid w:val="00911953"/>
    <w:rsid w:val="00911E91"/>
    <w:rsid w:val="00913C4B"/>
    <w:rsid w:val="00914BAC"/>
    <w:rsid w:val="0091587E"/>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99"/>
    <w:rsid w:val="00932AFC"/>
    <w:rsid w:val="0093370A"/>
    <w:rsid w:val="00935870"/>
    <w:rsid w:val="00935BA4"/>
    <w:rsid w:val="00935D33"/>
    <w:rsid w:val="00936BD2"/>
    <w:rsid w:val="00937A59"/>
    <w:rsid w:val="00940CFF"/>
    <w:rsid w:val="00942672"/>
    <w:rsid w:val="0094270E"/>
    <w:rsid w:val="00943EBB"/>
    <w:rsid w:val="00944D3F"/>
    <w:rsid w:val="009453F0"/>
    <w:rsid w:val="00945869"/>
    <w:rsid w:val="00945A84"/>
    <w:rsid w:val="00946AF5"/>
    <w:rsid w:val="00947BC9"/>
    <w:rsid w:val="00947F1D"/>
    <w:rsid w:val="0095095A"/>
    <w:rsid w:val="0095187E"/>
    <w:rsid w:val="00951DFB"/>
    <w:rsid w:val="00952AC3"/>
    <w:rsid w:val="00953603"/>
    <w:rsid w:val="00953663"/>
    <w:rsid w:val="00953808"/>
    <w:rsid w:val="009542F7"/>
    <w:rsid w:val="009544BF"/>
    <w:rsid w:val="00954992"/>
    <w:rsid w:val="00954C21"/>
    <w:rsid w:val="00955DC6"/>
    <w:rsid w:val="0095619B"/>
    <w:rsid w:val="00956A06"/>
    <w:rsid w:val="00961136"/>
    <w:rsid w:val="00962D5A"/>
    <w:rsid w:val="009630F7"/>
    <w:rsid w:val="00963598"/>
    <w:rsid w:val="009659CD"/>
    <w:rsid w:val="00966E46"/>
    <w:rsid w:val="00967FE6"/>
    <w:rsid w:val="00970B2E"/>
    <w:rsid w:val="0097108B"/>
    <w:rsid w:val="00971A63"/>
    <w:rsid w:val="00972B71"/>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5B77"/>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E1C6C"/>
    <w:rsid w:val="009E1D25"/>
    <w:rsid w:val="009E3036"/>
    <w:rsid w:val="009E3CED"/>
    <w:rsid w:val="009E4E14"/>
    <w:rsid w:val="009E4F6A"/>
    <w:rsid w:val="009E59D2"/>
    <w:rsid w:val="009E5DD7"/>
    <w:rsid w:val="009E61D2"/>
    <w:rsid w:val="009E6B81"/>
    <w:rsid w:val="009E7C3F"/>
    <w:rsid w:val="009F015D"/>
    <w:rsid w:val="009F0505"/>
    <w:rsid w:val="009F071D"/>
    <w:rsid w:val="009F0AC9"/>
    <w:rsid w:val="009F0D0B"/>
    <w:rsid w:val="009F1ECF"/>
    <w:rsid w:val="009F39C8"/>
    <w:rsid w:val="009F5066"/>
    <w:rsid w:val="009F5EFB"/>
    <w:rsid w:val="009F78F0"/>
    <w:rsid w:val="009F7D5C"/>
    <w:rsid w:val="00A0051E"/>
    <w:rsid w:val="00A00DB1"/>
    <w:rsid w:val="00A02135"/>
    <w:rsid w:val="00A02621"/>
    <w:rsid w:val="00A02976"/>
    <w:rsid w:val="00A02B31"/>
    <w:rsid w:val="00A04118"/>
    <w:rsid w:val="00A0427E"/>
    <w:rsid w:val="00A05A52"/>
    <w:rsid w:val="00A06FF8"/>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3F2C"/>
    <w:rsid w:val="00A2439F"/>
    <w:rsid w:val="00A243CE"/>
    <w:rsid w:val="00A248F2"/>
    <w:rsid w:val="00A25439"/>
    <w:rsid w:val="00A25CB7"/>
    <w:rsid w:val="00A26A62"/>
    <w:rsid w:val="00A26AB9"/>
    <w:rsid w:val="00A30DD5"/>
    <w:rsid w:val="00A312EA"/>
    <w:rsid w:val="00A31424"/>
    <w:rsid w:val="00A32176"/>
    <w:rsid w:val="00A323AF"/>
    <w:rsid w:val="00A33692"/>
    <w:rsid w:val="00A33FC8"/>
    <w:rsid w:val="00A36666"/>
    <w:rsid w:val="00A3777B"/>
    <w:rsid w:val="00A3782A"/>
    <w:rsid w:val="00A40370"/>
    <w:rsid w:val="00A41F7E"/>
    <w:rsid w:val="00A42FC9"/>
    <w:rsid w:val="00A4319C"/>
    <w:rsid w:val="00A44458"/>
    <w:rsid w:val="00A445B7"/>
    <w:rsid w:val="00A446C5"/>
    <w:rsid w:val="00A46395"/>
    <w:rsid w:val="00A50424"/>
    <w:rsid w:val="00A51DE9"/>
    <w:rsid w:val="00A52110"/>
    <w:rsid w:val="00A527CF"/>
    <w:rsid w:val="00A52DB1"/>
    <w:rsid w:val="00A533CB"/>
    <w:rsid w:val="00A5363A"/>
    <w:rsid w:val="00A53ADC"/>
    <w:rsid w:val="00A53C6D"/>
    <w:rsid w:val="00A54380"/>
    <w:rsid w:val="00A54947"/>
    <w:rsid w:val="00A54A40"/>
    <w:rsid w:val="00A551D4"/>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5BC"/>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3318"/>
    <w:rsid w:val="00AA4173"/>
    <w:rsid w:val="00AA45BF"/>
    <w:rsid w:val="00AA4B1A"/>
    <w:rsid w:val="00AA537A"/>
    <w:rsid w:val="00AA5D9B"/>
    <w:rsid w:val="00AA6699"/>
    <w:rsid w:val="00AB025F"/>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36F3"/>
    <w:rsid w:val="00AC38A6"/>
    <w:rsid w:val="00AC3BD2"/>
    <w:rsid w:val="00AC3DC6"/>
    <w:rsid w:val="00AC406A"/>
    <w:rsid w:val="00AC413C"/>
    <w:rsid w:val="00AC4233"/>
    <w:rsid w:val="00AC44C3"/>
    <w:rsid w:val="00AC490F"/>
    <w:rsid w:val="00AC5255"/>
    <w:rsid w:val="00AC547C"/>
    <w:rsid w:val="00AC5679"/>
    <w:rsid w:val="00AC62D2"/>
    <w:rsid w:val="00AC676A"/>
    <w:rsid w:val="00AC67D7"/>
    <w:rsid w:val="00AC7D8F"/>
    <w:rsid w:val="00AC7E2E"/>
    <w:rsid w:val="00AD1265"/>
    <w:rsid w:val="00AD209D"/>
    <w:rsid w:val="00AD25B9"/>
    <w:rsid w:val="00AD2A06"/>
    <w:rsid w:val="00AD4B0B"/>
    <w:rsid w:val="00AD6CB8"/>
    <w:rsid w:val="00AE00E9"/>
    <w:rsid w:val="00AE1192"/>
    <w:rsid w:val="00AE151C"/>
    <w:rsid w:val="00AE1BD6"/>
    <w:rsid w:val="00AE1D46"/>
    <w:rsid w:val="00AE1DBF"/>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748"/>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4FA5"/>
    <w:rsid w:val="00B458AC"/>
    <w:rsid w:val="00B45A2B"/>
    <w:rsid w:val="00B50F4A"/>
    <w:rsid w:val="00B51B73"/>
    <w:rsid w:val="00B52542"/>
    <w:rsid w:val="00B5261E"/>
    <w:rsid w:val="00B5299E"/>
    <w:rsid w:val="00B53074"/>
    <w:rsid w:val="00B554D4"/>
    <w:rsid w:val="00B5729E"/>
    <w:rsid w:val="00B605F7"/>
    <w:rsid w:val="00B60E59"/>
    <w:rsid w:val="00B60EF2"/>
    <w:rsid w:val="00B6105C"/>
    <w:rsid w:val="00B617FF"/>
    <w:rsid w:val="00B61FFB"/>
    <w:rsid w:val="00B627A5"/>
    <w:rsid w:val="00B6501B"/>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BCC"/>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420"/>
    <w:rsid w:val="00BE1586"/>
    <w:rsid w:val="00BE19B8"/>
    <w:rsid w:val="00BE28AF"/>
    <w:rsid w:val="00BE2B7F"/>
    <w:rsid w:val="00BE2C75"/>
    <w:rsid w:val="00BE369D"/>
    <w:rsid w:val="00BE3AF2"/>
    <w:rsid w:val="00BE3B36"/>
    <w:rsid w:val="00BE4461"/>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30F"/>
    <w:rsid w:val="00BF59F4"/>
    <w:rsid w:val="00BF6769"/>
    <w:rsid w:val="00C00F72"/>
    <w:rsid w:val="00C01D3E"/>
    <w:rsid w:val="00C01DDE"/>
    <w:rsid w:val="00C03FFD"/>
    <w:rsid w:val="00C04D10"/>
    <w:rsid w:val="00C05116"/>
    <w:rsid w:val="00C0606C"/>
    <w:rsid w:val="00C0696D"/>
    <w:rsid w:val="00C1086B"/>
    <w:rsid w:val="00C11413"/>
    <w:rsid w:val="00C134EC"/>
    <w:rsid w:val="00C141C9"/>
    <w:rsid w:val="00C15084"/>
    <w:rsid w:val="00C15940"/>
    <w:rsid w:val="00C15BA8"/>
    <w:rsid w:val="00C203D4"/>
    <w:rsid w:val="00C21358"/>
    <w:rsid w:val="00C21E75"/>
    <w:rsid w:val="00C22D7A"/>
    <w:rsid w:val="00C23465"/>
    <w:rsid w:val="00C23AEC"/>
    <w:rsid w:val="00C23D65"/>
    <w:rsid w:val="00C24009"/>
    <w:rsid w:val="00C25FD4"/>
    <w:rsid w:val="00C26C41"/>
    <w:rsid w:val="00C26CA2"/>
    <w:rsid w:val="00C271DB"/>
    <w:rsid w:val="00C27E51"/>
    <w:rsid w:val="00C30062"/>
    <w:rsid w:val="00C31072"/>
    <w:rsid w:val="00C3162E"/>
    <w:rsid w:val="00C32603"/>
    <w:rsid w:val="00C330BA"/>
    <w:rsid w:val="00C3343D"/>
    <w:rsid w:val="00C3459C"/>
    <w:rsid w:val="00C35711"/>
    <w:rsid w:val="00C36C10"/>
    <w:rsid w:val="00C37F61"/>
    <w:rsid w:val="00C410D1"/>
    <w:rsid w:val="00C4121D"/>
    <w:rsid w:val="00C4642B"/>
    <w:rsid w:val="00C46465"/>
    <w:rsid w:val="00C4672B"/>
    <w:rsid w:val="00C468E9"/>
    <w:rsid w:val="00C4747B"/>
    <w:rsid w:val="00C50971"/>
    <w:rsid w:val="00C518BE"/>
    <w:rsid w:val="00C525C7"/>
    <w:rsid w:val="00C52BC8"/>
    <w:rsid w:val="00C52E2C"/>
    <w:rsid w:val="00C5328E"/>
    <w:rsid w:val="00C551F8"/>
    <w:rsid w:val="00C55424"/>
    <w:rsid w:val="00C55F54"/>
    <w:rsid w:val="00C565EB"/>
    <w:rsid w:val="00C5770E"/>
    <w:rsid w:val="00C578CA"/>
    <w:rsid w:val="00C6150A"/>
    <w:rsid w:val="00C6154C"/>
    <w:rsid w:val="00C61B53"/>
    <w:rsid w:val="00C620D3"/>
    <w:rsid w:val="00C62967"/>
    <w:rsid w:val="00C62AC5"/>
    <w:rsid w:val="00C630AC"/>
    <w:rsid w:val="00C633EB"/>
    <w:rsid w:val="00C6410B"/>
    <w:rsid w:val="00C64265"/>
    <w:rsid w:val="00C6448D"/>
    <w:rsid w:val="00C64564"/>
    <w:rsid w:val="00C66022"/>
    <w:rsid w:val="00C6664D"/>
    <w:rsid w:val="00C66CBE"/>
    <w:rsid w:val="00C6718D"/>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87E2C"/>
    <w:rsid w:val="00C92255"/>
    <w:rsid w:val="00C92973"/>
    <w:rsid w:val="00C93A92"/>
    <w:rsid w:val="00C93C59"/>
    <w:rsid w:val="00C94C58"/>
    <w:rsid w:val="00C95C76"/>
    <w:rsid w:val="00C9706D"/>
    <w:rsid w:val="00C9765D"/>
    <w:rsid w:val="00CA011C"/>
    <w:rsid w:val="00CA0E81"/>
    <w:rsid w:val="00CA1CD7"/>
    <w:rsid w:val="00CA34C2"/>
    <w:rsid w:val="00CA3920"/>
    <w:rsid w:val="00CA42E3"/>
    <w:rsid w:val="00CA4517"/>
    <w:rsid w:val="00CA46AB"/>
    <w:rsid w:val="00CA51B8"/>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3679"/>
    <w:rsid w:val="00CD3D4A"/>
    <w:rsid w:val="00CD51E0"/>
    <w:rsid w:val="00CD5C1C"/>
    <w:rsid w:val="00CD71C8"/>
    <w:rsid w:val="00CD743F"/>
    <w:rsid w:val="00CE1191"/>
    <w:rsid w:val="00CE177A"/>
    <w:rsid w:val="00CE213F"/>
    <w:rsid w:val="00CE2279"/>
    <w:rsid w:val="00CE2B79"/>
    <w:rsid w:val="00CE2C00"/>
    <w:rsid w:val="00CE2D60"/>
    <w:rsid w:val="00CE2D64"/>
    <w:rsid w:val="00CE3801"/>
    <w:rsid w:val="00CE3C9A"/>
    <w:rsid w:val="00CE4480"/>
    <w:rsid w:val="00CE4BD0"/>
    <w:rsid w:val="00CE4CD5"/>
    <w:rsid w:val="00CE6381"/>
    <w:rsid w:val="00CE6AC0"/>
    <w:rsid w:val="00CF0663"/>
    <w:rsid w:val="00CF1CEF"/>
    <w:rsid w:val="00CF226D"/>
    <w:rsid w:val="00CF245C"/>
    <w:rsid w:val="00CF2659"/>
    <w:rsid w:val="00CF350E"/>
    <w:rsid w:val="00CF3686"/>
    <w:rsid w:val="00CF3F70"/>
    <w:rsid w:val="00CF3FD1"/>
    <w:rsid w:val="00CF5166"/>
    <w:rsid w:val="00CF69AC"/>
    <w:rsid w:val="00CF723C"/>
    <w:rsid w:val="00CF7693"/>
    <w:rsid w:val="00D00E9D"/>
    <w:rsid w:val="00D016CA"/>
    <w:rsid w:val="00D017BE"/>
    <w:rsid w:val="00D01B03"/>
    <w:rsid w:val="00D031D0"/>
    <w:rsid w:val="00D035A9"/>
    <w:rsid w:val="00D03D6B"/>
    <w:rsid w:val="00D03F28"/>
    <w:rsid w:val="00D04082"/>
    <w:rsid w:val="00D047F3"/>
    <w:rsid w:val="00D04B61"/>
    <w:rsid w:val="00D05935"/>
    <w:rsid w:val="00D063A9"/>
    <w:rsid w:val="00D07096"/>
    <w:rsid w:val="00D11C81"/>
    <w:rsid w:val="00D1208F"/>
    <w:rsid w:val="00D133EA"/>
    <w:rsid w:val="00D16E4D"/>
    <w:rsid w:val="00D20B0D"/>
    <w:rsid w:val="00D21E42"/>
    <w:rsid w:val="00D23EA0"/>
    <w:rsid w:val="00D24132"/>
    <w:rsid w:val="00D24153"/>
    <w:rsid w:val="00D24548"/>
    <w:rsid w:val="00D24EAF"/>
    <w:rsid w:val="00D26276"/>
    <w:rsid w:val="00D26E98"/>
    <w:rsid w:val="00D27718"/>
    <w:rsid w:val="00D30081"/>
    <w:rsid w:val="00D30C4A"/>
    <w:rsid w:val="00D3167A"/>
    <w:rsid w:val="00D31AC2"/>
    <w:rsid w:val="00D31AEF"/>
    <w:rsid w:val="00D33D9C"/>
    <w:rsid w:val="00D343B2"/>
    <w:rsid w:val="00D3532B"/>
    <w:rsid w:val="00D357CA"/>
    <w:rsid w:val="00D35DA5"/>
    <w:rsid w:val="00D36928"/>
    <w:rsid w:val="00D376C1"/>
    <w:rsid w:val="00D40D8E"/>
    <w:rsid w:val="00D41B5E"/>
    <w:rsid w:val="00D41E2F"/>
    <w:rsid w:val="00D42672"/>
    <w:rsid w:val="00D42D09"/>
    <w:rsid w:val="00D4301D"/>
    <w:rsid w:val="00D4450E"/>
    <w:rsid w:val="00D4539C"/>
    <w:rsid w:val="00D457F1"/>
    <w:rsid w:val="00D45CE3"/>
    <w:rsid w:val="00D46DD9"/>
    <w:rsid w:val="00D47A43"/>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28B7"/>
    <w:rsid w:val="00DB3929"/>
    <w:rsid w:val="00DB40FD"/>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548A"/>
    <w:rsid w:val="00DC644A"/>
    <w:rsid w:val="00DC70A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A58"/>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404D"/>
    <w:rsid w:val="00E04AE8"/>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17A4F"/>
    <w:rsid w:val="00E22492"/>
    <w:rsid w:val="00E22500"/>
    <w:rsid w:val="00E22F68"/>
    <w:rsid w:val="00E23819"/>
    <w:rsid w:val="00E243F9"/>
    <w:rsid w:val="00E2491E"/>
    <w:rsid w:val="00E24FB3"/>
    <w:rsid w:val="00E25068"/>
    <w:rsid w:val="00E252C5"/>
    <w:rsid w:val="00E2557A"/>
    <w:rsid w:val="00E25D81"/>
    <w:rsid w:val="00E26AF2"/>
    <w:rsid w:val="00E26FAE"/>
    <w:rsid w:val="00E27361"/>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1ABB"/>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076F"/>
    <w:rsid w:val="00E821D7"/>
    <w:rsid w:val="00E8274E"/>
    <w:rsid w:val="00E87A9C"/>
    <w:rsid w:val="00E87B7D"/>
    <w:rsid w:val="00E87EAD"/>
    <w:rsid w:val="00E9045F"/>
    <w:rsid w:val="00E920C5"/>
    <w:rsid w:val="00E934A6"/>
    <w:rsid w:val="00E9527D"/>
    <w:rsid w:val="00E958C4"/>
    <w:rsid w:val="00E97011"/>
    <w:rsid w:val="00E97303"/>
    <w:rsid w:val="00E973E3"/>
    <w:rsid w:val="00E978B5"/>
    <w:rsid w:val="00E97D98"/>
    <w:rsid w:val="00EA0048"/>
    <w:rsid w:val="00EA0096"/>
    <w:rsid w:val="00EA0692"/>
    <w:rsid w:val="00EA1466"/>
    <w:rsid w:val="00EA1610"/>
    <w:rsid w:val="00EA1E12"/>
    <w:rsid w:val="00EA2696"/>
    <w:rsid w:val="00EA3363"/>
    <w:rsid w:val="00EA34B8"/>
    <w:rsid w:val="00EA3E7A"/>
    <w:rsid w:val="00EA3FD8"/>
    <w:rsid w:val="00EA4330"/>
    <w:rsid w:val="00EA5BC8"/>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BDE"/>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436"/>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EF7AD1"/>
    <w:rsid w:val="00F00CDD"/>
    <w:rsid w:val="00F00E12"/>
    <w:rsid w:val="00F012B1"/>
    <w:rsid w:val="00F01C3C"/>
    <w:rsid w:val="00F0291D"/>
    <w:rsid w:val="00F029D8"/>
    <w:rsid w:val="00F02B44"/>
    <w:rsid w:val="00F04857"/>
    <w:rsid w:val="00F04D5D"/>
    <w:rsid w:val="00F067C2"/>
    <w:rsid w:val="00F0706C"/>
    <w:rsid w:val="00F07277"/>
    <w:rsid w:val="00F10673"/>
    <w:rsid w:val="00F1181C"/>
    <w:rsid w:val="00F11A6D"/>
    <w:rsid w:val="00F125F3"/>
    <w:rsid w:val="00F14514"/>
    <w:rsid w:val="00F148B2"/>
    <w:rsid w:val="00F14BF2"/>
    <w:rsid w:val="00F15220"/>
    <w:rsid w:val="00F15C6C"/>
    <w:rsid w:val="00F16673"/>
    <w:rsid w:val="00F1779C"/>
    <w:rsid w:val="00F1780A"/>
    <w:rsid w:val="00F17D5E"/>
    <w:rsid w:val="00F17FB3"/>
    <w:rsid w:val="00F17FDA"/>
    <w:rsid w:val="00F2011D"/>
    <w:rsid w:val="00F22455"/>
    <w:rsid w:val="00F22C8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4C98"/>
    <w:rsid w:val="00F356A6"/>
    <w:rsid w:val="00F35DF9"/>
    <w:rsid w:val="00F35F9A"/>
    <w:rsid w:val="00F3693E"/>
    <w:rsid w:val="00F36A29"/>
    <w:rsid w:val="00F40CF0"/>
    <w:rsid w:val="00F41F7F"/>
    <w:rsid w:val="00F42046"/>
    <w:rsid w:val="00F456DC"/>
    <w:rsid w:val="00F50E37"/>
    <w:rsid w:val="00F512E8"/>
    <w:rsid w:val="00F5182F"/>
    <w:rsid w:val="00F521A6"/>
    <w:rsid w:val="00F527FF"/>
    <w:rsid w:val="00F52B84"/>
    <w:rsid w:val="00F531FC"/>
    <w:rsid w:val="00F54A4A"/>
    <w:rsid w:val="00F56637"/>
    <w:rsid w:val="00F56EAB"/>
    <w:rsid w:val="00F572B5"/>
    <w:rsid w:val="00F572B7"/>
    <w:rsid w:val="00F5753F"/>
    <w:rsid w:val="00F57559"/>
    <w:rsid w:val="00F60D93"/>
    <w:rsid w:val="00F60F99"/>
    <w:rsid w:val="00F616F6"/>
    <w:rsid w:val="00F617D9"/>
    <w:rsid w:val="00F640BE"/>
    <w:rsid w:val="00F64156"/>
    <w:rsid w:val="00F6431A"/>
    <w:rsid w:val="00F64B7F"/>
    <w:rsid w:val="00F6542D"/>
    <w:rsid w:val="00F65FBE"/>
    <w:rsid w:val="00F66FEC"/>
    <w:rsid w:val="00F679DA"/>
    <w:rsid w:val="00F70979"/>
    <w:rsid w:val="00F70FCE"/>
    <w:rsid w:val="00F71B43"/>
    <w:rsid w:val="00F71F72"/>
    <w:rsid w:val="00F757F2"/>
    <w:rsid w:val="00F76037"/>
    <w:rsid w:val="00F7637F"/>
    <w:rsid w:val="00F766DA"/>
    <w:rsid w:val="00F77B22"/>
    <w:rsid w:val="00F77BA2"/>
    <w:rsid w:val="00F8053B"/>
    <w:rsid w:val="00F81F7D"/>
    <w:rsid w:val="00F83154"/>
    <w:rsid w:val="00F83CF1"/>
    <w:rsid w:val="00F84107"/>
    <w:rsid w:val="00F84D4C"/>
    <w:rsid w:val="00F85737"/>
    <w:rsid w:val="00F858C6"/>
    <w:rsid w:val="00F87A0D"/>
    <w:rsid w:val="00F91FDD"/>
    <w:rsid w:val="00F923E9"/>
    <w:rsid w:val="00F9259A"/>
    <w:rsid w:val="00F92840"/>
    <w:rsid w:val="00F92DC1"/>
    <w:rsid w:val="00F93BCE"/>
    <w:rsid w:val="00F93D48"/>
    <w:rsid w:val="00F95C6D"/>
    <w:rsid w:val="00F9738A"/>
    <w:rsid w:val="00F974F3"/>
    <w:rsid w:val="00F97B20"/>
    <w:rsid w:val="00FA0B91"/>
    <w:rsid w:val="00FA1842"/>
    <w:rsid w:val="00FA1A8F"/>
    <w:rsid w:val="00FA2000"/>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3E031B3"/>
    <w:rsid w:val="0476464C"/>
    <w:rsid w:val="04BF387D"/>
    <w:rsid w:val="04F92F58"/>
    <w:rsid w:val="057D35B7"/>
    <w:rsid w:val="059B3AAE"/>
    <w:rsid w:val="05C86530"/>
    <w:rsid w:val="062B4BF2"/>
    <w:rsid w:val="0686670B"/>
    <w:rsid w:val="06984505"/>
    <w:rsid w:val="075673BF"/>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DC9654C"/>
    <w:rsid w:val="0DDA3F46"/>
    <w:rsid w:val="0E0A7653"/>
    <w:rsid w:val="0E7526B5"/>
    <w:rsid w:val="10435247"/>
    <w:rsid w:val="10817ED7"/>
    <w:rsid w:val="11280166"/>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965882"/>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6B1033"/>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677D33"/>
    <w:rsid w:val="2C8B6B16"/>
    <w:rsid w:val="2D4A1A33"/>
    <w:rsid w:val="2DDB2055"/>
    <w:rsid w:val="2E5D662D"/>
    <w:rsid w:val="2E937E84"/>
    <w:rsid w:val="2E9F503A"/>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C630EA"/>
    <w:rsid w:val="37E80F39"/>
    <w:rsid w:val="37F41BB3"/>
    <w:rsid w:val="38157B80"/>
    <w:rsid w:val="382F5281"/>
    <w:rsid w:val="38455D28"/>
    <w:rsid w:val="38CD18D2"/>
    <w:rsid w:val="38D33D18"/>
    <w:rsid w:val="3968667E"/>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3D47A11"/>
    <w:rsid w:val="540B48F1"/>
    <w:rsid w:val="54114993"/>
    <w:rsid w:val="54C52B79"/>
    <w:rsid w:val="54F24A86"/>
    <w:rsid w:val="553118B0"/>
    <w:rsid w:val="558F76DE"/>
    <w:rsid w:val="559001B2"/>
    <w:rsid w:val="55B2291D"/>
    <w:rsid w:val="576E2CF5"/>
    <w:rsid w:val="58290EC7"/>
    <w:rsid w:val="585610F4"/>
    <w:rsid w:val="58AC24B2"/>
    <w:rsid w:val="58B87927"/>
    <w:rsid w:val="593144FC"/>
    <w:rsid w:val="593909F6"/>
    <w:rsid w:val="59545948"/>
    <w:rsid w:val="5A521EF4"/>
    <w:rsid w:val="5A6D682C"/>
    <w:rsid w:val="5A9E374F"/>
    <w:rsid w:val="5B3B15CF"/>
    <w:rsid w:val="5C5408DC"/>
    <w:rsid w:val="5CCA5A2B"/>
    <w:rsid w:val="5D1A42DE"/>
    <w:rsid w:val="5D4221F0"/>
    <w:rsid w:val="5E057968"/>
    <w:rsid w:val="5EA82DB6"/>
    <w:rsid w:val="5ED20A97"/>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5961A19"/>
    <w:rsid w:val="66F74058"/>
    <w:rsid w:val="670B0904"/>
    <w:rsid w:val="671F6FDB"/>
    <w:rsid w:val="679720DB"/>
    <w:rsid w:val="67BB3C02"/>
    <w:rsid w:val="68127CA1"/>
    <w:rsid w:val="68462EA0"/>
    <w:rsid w:val="68A13454"/>
    <w:rsid w:val="68B2630F"/>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0D43CEC"/>
    <w:rsid w:val="71D92F74"/>
    <w:rsid w:val="721232F7"/>
    <w:rsid w:val="7214068D"/>
    <w:rsid w:val="72876DEB"/>
    <w:rsid w:val="72C82DDB"/>
    <w:rsid w:val="72CE307C"/>
    <w:rsid w:val="73213242"/>
    <w:rsid w:val="736C0658"/>
    <w:rsid w:val="74104CB7"/>
    <w:rsid w:val="742B41E8"/>
    <w:rsid w:val="75315330"/>
    <w:rsid w:val="760826FB"/>
    <w:rsid w:val="767A627F"/>
    <w:rsid w:val="76970BE9"/>
    <w:rsid w:val="76C02781"/>
    <w:rsid w:val="777C2CA0"/>
    <w:rsid w:val="778B254E"/>
    <w:rsid w:val="77900E7D"/>
    <w:rsid w:val="7872717E"/>
    <w:rsid w:val="791F21A9"/>
    <w:rsid w:val="79B77AFD"/>
    <w:rsid w:val="7A055C53"/>
    <w:rsid w:val="7A337D55"/>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EE63175"/>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jc w:val="left"/>
    </w:pPr>
    <w:rPr>
      <w:rFonts w:ascii="仿宋" w:hAnsi="仿宋" w:eastAsia="仿宋" w:cs="仿宋"/>
      <w:sz w:val="28"/>
      <w:szCs w:val="30"/>
      <w:lang w:val="zh-CN"/>
    </w:rPr>
  </w:style>
  <w:style w:type="paragraph" w:styleId="6">
    <w:name w:val="List Number"/>
    <w:basedOn w:val="1"/>
    <w:qFormat/>
    <w:uiPriority w:val="0"/>
    <w:pPr>
      <w:widowControl/>
      <w:tabs>
        <w:tab w:val="left" w:pos="454"/>
      </w:tabs>
      <w:spacing w:after="156" w:afterLines="50"/>
      <w:ind w:left="454" w:hanging="284"/>
      <w:jc w:val="left"/>
    </w:pPr>
    <w:rPr>
      <w:kern w:val="0"/>
      <w:sz w:val="24"/>
      <w:szCs w:val="20"/>
    </w:rPr>
  </w:style>
  <w:style w:type="paragraph" w:styleId="7">
    <w:name w:val="Normal Indent"/>
    <w:basedOn w:val="1"/>
    <w:link w:val="40"/>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32"/>
    <w:unhideWhenUsed/>
    <w:qFormat/>
    <w:uiPriority w:val="99"/>
    <w:pPr>
      <w:jc w:val="left"/>
    </w:pPr>
  </w:style>
  <w:style w:type="paragraph" w:styleId="10">
    <w:name w:val="Body Text Indent"/>
    <w:basedOn w:val="1"/>
    <w:link w:val="50"/>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7"/>
    <w:qFormat/>
    <w:uiPriority w:val="99"/>
    <w:pPr>
      <w:spacing w:before="156" w:beforeLines="50" w:after="156"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link w:val="67"/>
    <w:qFormat/>
    <w:uiPriority w:val="99"/>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66"/>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48"/>
    <w:unhideWhenUsed/>
    <w:qFormat/>
    <w:uiPriority w:val="99"/>
    <w:rPr>
      <w:b/>
      <w:bCs/>
    </w:rPr>
  </w:style>
  <w:style w:type="paragraph" w:styleId="21">
    <w:name w:val="Body Text First Indent 2"/>
    <w:basedOn w:val="10"/>
    <w:unhideWhenUsed/>
    <w:qFormat/>
    <w:uiPriority w:val="99"/>
    <w:pPr>
      <w:ind w:firstLine="42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nhideWhenUsed/>
    <w:qFormat/>
    <w:uiPriority w:val="99"/>
    <w:rPr>
      <w:color w:val="800080"/>
      <w:u w:val="single"/>
    </w:rPr>
  </w:style>
  <w:style w:type="character" w:styleId="28">
    <w:name w:val="Hyperlink"/>
    <w:qFormat/>
    <w:uiPriority w:val="0"/>
    <w:rPr>
      <w:color w:val="0000FF"/>
      <w:u w:val="single"/>
    </w:rPr>
  </w:style>
  <w:style w:type="character" w:styleId="29">
    <w:name w:val="annotation reference"/>
    <w:unhideWhenUsed/>
    <w:qFormat/>
    <w:uiPriority w:val="99"/>
    <w:rPr>
      <w:sz w:val="21"/>
      <w:szCs w:val="21"/>
    </w:rPr>
  </w:style>
  <w:style w:type="paragraph" w:customStyle="1" w:styleId="30">
    <w:name w:val="首行缩进"/>
    <w:basedOn w:val="1"/>
    <w:qFormat/>
    <w:uiPriority w:val="0"/>
    <w:pPr>
      <w:spacing w:line="360" w:lineRule="auto"/>
      <w:ind w:firstLine="480" w:firstLineChars="200"/>
      <w:jc w:val="left"/>
    </w:pPr>
    <w:rPr>
      <w:rFonts w:ascii="宋体" w:hAnsi="宋体"/>
      <w:sz w:val="24"/>
    </w:rPr>
  </w:style>
  <w:style w:type="character" w:customStyle="1" w:styleId="31">
    <w:name w:val="页脚 字符"/>
    <w:link w:val="15"/>
    <w:qFormat/>
    <w:uiPriority w:val="99"/>
    <w:rPr>
      <w:kern w:val="2"/>
      <w:sz w:val="18"/>
      <w:szCs w:val="18"/>
    </w:rPr>
  </w:style>
  <w:style w:type="character" w:customStyle="1" w:styleId="32">
    <w:name w:val="批注文字 字符"/>
    <w:link w:val="9"/>
    <w:qFormat/>
    <w:uiPriority w:val="99"/>
    <w:rPr>
      <w:kern w:val="2"/>
      <w:sz w:val="28"/>
      <w:szCs w:val="24"/>
    </w:rPr>
  </w:style>
  <w:style w:type="character" w:customStyle="1" w:styleId="33">
    <w:name w:val="纯文本 Char1"/>
    <w:qFormat/>
    <w:uiPriority w:val="0"/>
    <w:rPr>
      <w:rFonts w:ascii="宋体" w:hAnsi="Courier New"/>
      <w:kern w:val="2"/>
      <w:sz w:val="21"/>
    </w:rPr>
  </w:style>
  <w:style w:type="character" w:customStyle="1" w:styleId="34">
    <w:name w:val="纯文本 Char"/>
    <w:qFormat/>
    <w:uiPriority w:val="99"/>
    <w:rPr>
      <w:rFonts w:ascii="宋体" w:hAnsi="Courier New"/>
      <w:kern w:val="2"/>
      <w:sz w:val="24"/>
      <w:szCs w:val="24"/>
    </w:rPr>
  </w:style>
  <w:style w:type="character" w:customStyle="1" w:styleId="35">
    <w:name w:val="maywed421"/>
    <w:qFormat/>
    <w:uiPriority w:val="0"/>
    <w:rPr>
      <w:color w:val="366FB6"/>
      <w:u w:val="none"/>
    </w:rPr>
  </w:style>
  <w:style w:type="character" w:customStyle="1" w:styleId="36">
    <w:name w:val="标题 1 Char Char"/>
    <w:qFormat/>
    <w:uiPriority w:val="0"/>
    <w:rPr>
      <w:rFonts w:eastAsia="宋体"/>
      <w:b/>
      <w:spacing w:val="-2"/>
      <w:sz w:val="24"/>
      <w:lang w:val="en-US" w:eastAsia="zh-CN" w:bidi="ar-SA"/>
    </w:rPr>
  </w:style>
  <w:style w:type="character" w:customStyle="1" w:styleId="37">
    <w:name w:val="纯文本 字符"/>
    <w:link w:val="12"/>
    <w:qFormat/>
    <w:uiPriority w:val="99"/>
    <w:rPr>
      <w:rFonts w:ascii="宋体" w:hAnsi="Courier New"/>
      <w:kern w:val="2"/>
      <w:sz w:val="24"/>
      <w:szCs w:val="24"/>
    </w:rPr>
  </w:style>
  <w:style w:type="character" w:customStyle="1" w:styleId="38">
    <w:name w:val="正文文本缩进 字符1"/>
    <w:qFormat/>
    <w:uiPriority w:val="0"/>
    <w:rPr>
      <w:rFonts w:ascii="宋体" w:hAnsi="Courier New"/>
      <w:spacing w:val="-4"/>
      <w:kern w:val="2"/>
      <w:sz w:val="18"/>
    </w:rPr>
  </w:style>
  <w:style w:type="character" w:customStyle="1" w:styleId="39">
    <w:name w:val="标题 2 字符"/>
    <w:link w:val="4"/>
    <w:semiHidden/>
    <w:qFormat/>
    <w:uiPriority w:val="9"/>
    <w:rPr>
      <w:rFonts w:ascii="Cambria" w:hAnsi="Cambria" w:eastAsia="宋体" w:cs="Times New Roman"/>
      <w:b/>
      <w:bCs/>
      <w:kern w:val="2"/>
      <w:sz w:val="32"/>
      <w:szCs w:val="32"/>
    </w:rPr>
  </w:style>
  <w:style w:type="character" w:customStyle="1" w:styleId="40">
    <w:name w:val="正文缩进 字符"/>
    <w:link w:val="7"/>
    <w:qFormat/>
    <w:uiPriority w:val="0"/>
    <w:rPr>
      <w:rFonts w:eastAsia="宋体"/>
      <w:kern w:val="2"/>
      <w:sz w:val="21"/>
      <w:lang w:val="en-US" w:eastAsia="zh-CN" w:bidi="ar-SA"/>
    </w:rPr>
  </w:style>
  <w:style w:type="character" w:customStyle="1" w:styleId="41">
    <w:name w:val="black601"/>
    <w:qFormat/>
    <w:uiPriority w:val="0"/>
    <w:rPr>
      <w:color w:val="666666"/>
    </w:rPr>
  </w:style>
  <w:style w:type="character" w:customStyle="1" w:styleId="42">
    <w:name w:val="正文文本缩进 字符"/>
    <w:qFormat/>
    <w:uiPriority w:val="0"/>
    <w:rPr>
      <w:rFonts w:ascii="宋体" w:hAnsi="Courier New"/>
      <w:spacing w:val="-4"/>
      <w:kern w:val="2"/>
      <w:sz w:val="18"/>
    </w:rPr>
  </w:style>
  <w:style w:type="character" w:customStyle="1" w:styleId="43">
    <w:name w:val="z-窗体顶端 Char"/>
    <w:link w:val="44"/>
    <w:semiHidden/>
    <w:qFormat/>
    <w:uiPriority w:val="99"/>
    <w:rPr>
      <w:rFonts w:ascii="Arial" w:hAnsi="Arial"/>
      <w:vanish/>
      <w:sz w:val="16"/>
      <w:szCs w:val="16"/>
    </w:rPr>
  </w:style>
  <w:style w:type="paragraph" w:customStyle="1" w:styleId="44">
    <w:name w:val="z-窗体顶端1"/>
    <w:basedOn w:val="1"/>
    <w:next w:val="1"/>
    <w:link w:val="43"/>
    <w:unhideWhenUsed/>
    <w:qFormat/>
    <w:uiPriority w:val="99"/>
    <w:pPr>
      <w:widowControl/>
      <w:pBdr>
        <w:bottom w:val="single" w:color="auto" w:sz="6" w:space="1"/>
      </w:pBdr>
      <w:jc w:val="center"/>
    </w:pPr>
    <w:rPr>
      <w:rFonts w:ascii="Arial" w:hAnsi="Arial"/>
      <w:vanish/>
      <w:kern w:val="0"/>
      <w:sz w:val="16"/>
      <w:szCs w:val="16"/>
    </w:rPr>
  </w:style>
  <w:style w:type="character" w:customStyle="1" w:styleId="45">
    <w:name w:val="sub_title s0"/>
    <w:basedOn w:val="24"/>
    <w:qFormat/>
    <w:uiPriority w:val="0"/>
  </w:style>
  <w:style w:type="character" w:customStyle="1" w:styleId="46">
    <w:name w:val="z-窗体底端 Char"/>
    <w:link w:val="47"/>
    <w:semiHidden/>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kern w:val="0"/>
      <w:sz w:val="16"/>
      <w:szCs w:val="16"/>
    </w:rPr>
  </w:style>
  <w:style w:type="character" w:customStyle="1" w:styleId="48">
    <w:name w:val="批注主题 字符"/>
    <w:link w:val="20"/>
    <w:semiHidden/>
    <w:qFormat/>
    <w:uiPriority w:val="99"/>
    <w:rPr>
      <w:b/>
      <w:bCs/>
      <w:kern w:val="2"/>
      <w:sz w:val="28"/>
      <w:szCs w:val="24"/>
    </w:rPr>
  </w:style>
  <w:style w:type="character" w:customStyle="1" w:styleId="49">
    <w:name w:val="标题 3 字符"/>
    <w:link w:val="5"/>
    <w:semiHidden/>
    <w:qFormat/>
    <w:uiPriority w:val="9"/>
    <w:rPr>
      <w:b/>
      <w:bCs/>
      <w:kern w:val="2"/>
      <w:sz w:val="32"/>
      <w:szCs w:val="32"/>
    </w:rPr>
  </w:style>
  <w:style w:type="character" w:customStyle="1" w:styleId="50">
    <w:name w:val="正文文本缩进 字符2"/>
    <w:link w:val="10"/>
    <w:qFormat/>
    <w:uiPriority w:val="0"/>
    <w:rPr>
      <w:rFonts w:ascii="宋体" w:hAnsi="Courier New"/>
      <w:spacing w:val="-4"/>
      <w:kern w:val="2"/>
      <w:sz w:val="18"/>
    </w:rPr>
  </w:style>
  <w:style w:type="character" w:customStyle="1" w:styleId="51">
    <w:name w:val="标题 1 字符"/>
    <w:link w:val="3"/>
    <w:qFormat/>
    <w:uiPriority w:val="9"/>
    <w:rPr>
      <w:b/>
      <w:bCs/>
      <w:kern w:val="44"/>
      <w:sz w:val="44"/>
      <w:szCs w:val="44"/>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正文段"/>
    <w:basedOn w:val="1"/>
    <w:qFormat/>
    <w:uiPriority w:val="0"/>
    <w:pPr>
      <w:widowControl/>
      <w:snapToGrid w:val="0"/>
      <w:spacing w:after="156" w:afterLines="50"/>
      <w:ind w:firstLine="200" w:firstLineChars="200"/>
    </w:pPr>
    <w:rPr>
      <w:kern w:val="0"/>
      <w:sz w:val="24"/>
      <w:szCs w:val="20"/>
    </w:rPr>
  </w:style>
  <w:style w:type="paragraph" w:customStyle="1" w:styleId="56">
    <w:name w:val="彩色列表 - 强调文字颜色 11"/>
    <w:basedOn w:val="1"/>
    <w:qFormat/>
    <w:uiPriority w:val="34"/>
    <w:pPr>
      <w:ind w:firstLine="420" w:firstLineChars="200"/>
    </w:pPr>
    <w:rPr>
      <w:rFonts w:ascii="Calibri" w:hAnsi="Calibri"/>
      <w:sz w:val="21"/>
      <w:szCs w:val="22"/>
    </w:rPr>
  </w:style>
  <w:style w:type="paragraph" w:customStyle="1" w:styleId="57">
    <w:name w:val="List Paragraph1"/>
    <w:basedOn w:val="1"/>
    <w:qFormat/>
    <w:uiPriority w:val="0"/>
    <w:pPr>
      <w:ind w:firstLine="420" w:firstLineChars="200"/>
    </w:pPr>
    <w:rPr>
      <w:sz w:val="21"/>
    </w:rPr>
  </w:style>
  <w:style w:type="paragraph" w:customStyle="1" w:styleId="58">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9">
    <w:name w:val="Char Char Char Char1"/>
    <w:basedOn w:val="1"/>
    <w:qFormat/>
    <w:uiPriority w:val="0"/>
    <w:rPr>
      <w:rFonts w:ascii="Tahoma" w:hAnsi="Tahoma"/>
      <w:sz w:val="24"/>
      <w:szCs w:val="20"/>
    </w:rPr>
  </w:style>
  <w:style w:type="paragraph" w:customStyle="1" w:styleId="6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styleId="65">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66">
    <w:name w:val="页眉 字符"/>
    <w:basedOn w:val="24"/>
    <w:link w:val="16"/>
    <w:qFormat/>
    <w:uiPriority w:val="99"/>
    <w:rPr>
      <w:kern w:val="2"/>
      <w:sz w:val="18"/>
      <w:szCs w:val="18"/>
    </w:rPr>
  </w:style>
  <w:style w:type="character" w:customStyle="1" w:styleId="67">
    <w:name w:val="批注框文本 字符"/>
    <w:basedOn w:val="24"/>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9C70A-D01E-43B4-B055-870631698C3C}">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6262</Words>
  <Characters>35698</Characters>
  <Lines>297</Lines>
  <Paragraphs>83</Paragraphs>
  <TotalTime>1</TotalTime>
  <ScaleCrop>false</ScaleCrop>
  <LinksUpToDate>false</LinksUpToDate>
  <CharactersWithSpaces>41877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2019-08-14T07:59:00Z</dcterms:created>
  <dc:creator>jj</dc:creator>
  <cp:lastModifiedBy>halo1382942689</cp:lastModifiedBy>
  <cp:lastPrinted>2018-06-25T02:02:00Z</cp:lastPrinted>
  <dcterms:modified xsi:type="dcterms:W3CDTF">2019-10-08T02:39:21Z</dcterms:modified>
  <dc:title>求是招标代理有限公司</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