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楷体" w:hAnsi="楷体" w:eastAsia="楷体"/>
          <w:b/>
          <w:color w:val="auto"/>
          <w:spacing w:val="-6"/>
          <w:sz w:val="44"/>
          <w:szCs w:val="44"/>
          <w:highlight w:val="none"/>
        </w:rPr>
      </w:pPr>
    </w:p>
    <w:p>
      <w:pPr>
        <w:spacing w:line="360" w:lineRule="auto"/>
        <w:jc w:val="center"/>
        <w:rPr>
          <w:rFonts w:ascii="楷体" w:hAnsi="楷体" w:eastAsia="楷体"/>
          <w:b/>
          <w:color w:val="auto"/>
          <w:spacing w:val="-6"/>
          <w:sz w:val="48"/>
          <w:szCs w:val="48"/>
          <w:highlight w:val="none"/>
        </w:rPr>
      </w:pPr>
      <w:r>
        <w:rPr>
          <w:rFonts w:hint="eastAsia" w:ascii="楷体" w:hAnsi="楷体" w:eastAsia="楷体"/>
          <w:b/>
          <w:color w:val="auto"/>
          <w:spacing w:val="-6"/>
          <w:sz w:val="48"/>
          <w:szCs w:val="48"/>
          <w:highlight w:val="none"/>
        </w:rPr>
        <w:t>浙江求是招标代理有限公司关于</w:t>
      </w:r>
    </w:p>
    <w:p>
      <w:pPr>
        <w:spacing w:line="360" w:lineRule="auto"/>
        <w:jc w:val="center"/>
        <w:rPr>
          <w:rFonts w:ascii="楷体" w:hAnsi="楷体" w:eastAsia="楷体"/>
          <w:b/>
          <w:color w:val="auto"/>
          <w:spacing w:val="-6"/>
          <w:sz w:val="48"/>
          <w:szCs w:val="48"/>
          <w:highlight w:val="none"/>
        </w:rPr>
      </w:pPr>
      <w:r>
        <w:rPr>
          <w:rFonts w:hint="eastAsia" w:ascii="楷体" w:hAnsi="楷体" w:eastAsia="楷体"/>
          <w:b/>
          <w:color w:val="auto"/>
          <w:spacing w:val="-6"/>
          <w:sz w:val="48"/>
          <w:szCs w:val="48"/>
          <w:highlight w:val="none"/>
        </w:rPr>
        <w:t>浙江省退役军人事务厅</w:t>
      </w:r>
    </w:p>
    <w:p>
      <w:pPr>
        <w:spacing w:line="360" w:lineRule="auto"/>
        <w:jc w:val="center"/>
        <w:rPr>
          <w:rFonts w:ascii="楷体" w:hAnsi="楷体" w:eastAsia="楷体"/>
          <w:b/>
          <w:color w:val="auto"/>
          <w:spacing w:val="-6"/>
          <w:sz w:val="48"/>
          <w:szCs w:val="48"/>
          <w:highlight w:val="none"/>
        </w:rPr>
      </w:pPr>
      <w:r>
        <w:rPr>
          <w:rFonts w:hint="eastAsia" w:ascii="楷体" w:hAnsi="楷体" w:eastAsia="楷体"/>
          <w:b/>
          <w:color w:val="auto"/>
          <w:spacing w:val="-6"/>
          <w:sz w:val="48"/>
          <w:szCs w:val="48"/>
          <w:highlight w:val="none"/>
        </w:rPr>
        <w:t>云安全防护设备及服务项目</w:t>
      </w:r>
    </w:p>
    <w:p>
      <w:pPr>
        <w:spacing w:line="360" w:lineRule="auto"/>
        <w:jc w:val="center"/>
        <w:rPr>
          <w:rFonts w:ascii="楷体" w:hAnsi="楷体" w:eastAsia="楷体"/>
          <w:b/>
          <w:color w:val="auto"/>
          <w:sz w:val="72"/>
          <w:szCs w:val="72"/>
          <w:highlight w:val="none"/>
        </w:rPr>
      </w:pPr>
    </w:p>
    <w:p>
      <w:pPr>
        <w:spacing w:line="360" w:lineRule="auto"/>
        <w:jc w:val="center"/>
        <w:rPr>
          <w:rFonts w:ascii="楷体" w:hAnsi="楷体" w:eastAsia="楷体"/>
          <w:b/>
          <w:color w:val="auto"/>
          <w:spacing w:val="-6"/>
          <w:sz w:val="72"/>
          <w:szCs w:val="72"/>
          <w:highlight w:val="none"/>
        </w:rPr>
      </w:pPr>
      <w:r>
        <w:rPr>
          <w:rFonts w:hint="eastAsia" w:ascii="楷体" w:hAnsi="楷体" w:eastAsia="楷体"/>
          <w:b/>
          <w:color w:val="auto"/>
          <w:spacing w:val="-6"/>
          <w:sz w:val="72"/>
          <w:szCs w:val="72"/>
          <w:highlight w:val="none"/>
        </w:rPr>
        <w:t>磋商文件</w:t>
      </w:r>
    </w:p>
    <w:p>
      <w:pPr>
        <w:spacing w:line="360" w:lineRule="auto"/>
        <w:jc w:val="center"/>
        <w:rPr>
          <w:rFonts w:ascii="楷体" w:hAnsi="楷体" w:eastAsia="楷体"/>
          <w:color w:val="auto"/>
          <w:sz w:val="44"/>
          <w:szCs w:val="44"/>
          <w:highlight w:val="none"/>
        </w:rPr>
      </w:pPr>
    </w:p>
    <w:p>
      <w:pPr>
        <w:spacing w:line="360" w:lineRule="auto"/>
        <w:jc w:val="center"/>
        <w:rPr>
          <w:rFonts w:ascii="楷体" w:hAnsi="楷体" w:eastAsia="楷体"/>
          <w:color w:val="auto"/>
          <w:sz w:val="44"/>
          <w:szCs w:val="44"/>
          <w:highlight w:val="none"/>
        </w:rPr>
      </w:pPr>
    </w:p>
    <w:p>
      <w:pPr>
        <w:spacing w:line="360" w:lineRule="auto"/>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采 购 人：浙江省退役军人事务厅</w:t>
      </w:r>
    </w:p>
    <w:p>
      <w:pPr>
        <w:spacing w:line="360" w:lineRule="auto"/>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项目名称：云安全防护设备及服务项目</w:t>
      </w:r>
    </w:p>
    <w:p>
      <w:pPr>
        <w:spacing w:line="360" w:lineRule="auto"/>
        <w:rPr>
          <w:rFonts w:hint="eastAsia" w:ascii="楷体" w:hAnsi="楷体" w:eastAsia="楷体"/>
          <w:b/>
          <w:color w:val="auto"/>
          <w:spacing w:val="-6"/>
          <w:sz w:val="30"/>
          <w:szCs w:val="30"/>
          <w:highlight w:val="none"/>
          <w:lang w:eastAsia="zh-CN"/>
        </w:rPr>
      </w:pPr>
      <w:r>
        <w:rPr>
          <w:rFonts w:hint="eastAsia" w:ascii="楷体" w:hAnsi="楷体" w:eastAsia="楷体"/>
          <w:b/>
          <w:color w:val="auto"/>
          <w:spacing w:val="-6"/>
          <w:sz w:val="30"/>
          <w:szCs w:val="30"/>
          <w:highlight w:val="none"/>
        </w:rPr>
        <w:t>项目编号：</w:t>
      </w:r>
      <w:r>
        <w:rPr>
          <w:rFonts w:hint="eastAsia" w:ascii="楷体" w:hAnsi="楷体" w:eastAsia="楷体"/>
          <w:b/>
          <w:color w:val="auto"/>
          <w:spacing w:val="-6"/>
          <w:sz w:val="30"/>
          <w:szCs w:val="30"/>
          <w:highlight w:val="none"/>
          <w:lang w:eastAsia="zh-CN"/>
        </w:rPr>
        <w:t>QSZB-Z(F)-E19282(CS)</w:t>
      </w:r>
    </w:p>
    <w:p>
      <w:pPr>
        <w:spacing w:line="360" w:lineRule="auto"/>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采购代理机构：浙江求是招标代理有限公司</w:t>
      </w:r>
    </w:p>
    <w:p>
      <w:pPr>
        <w:spacing w:line="360" w:lineRule="auto"/>
        <w:rPr>
          <w:rFonts w:ascii="楷体" w:hAnsi="楷体" w:eastAsia="楷体"/>
          <w:b/>
          <w:color w:val="auto"/>
          <w:spacing w:val="-6"/>
          <w:sz w:val="30"/>
          <w:szCs w:val="30"/>
          <w:highlight w:val="none"/>
        </w:rPr>
        <w:sectPr>
          <w:headerReference r:id="rId3" w:type="default"/>
          <w:footerReference r:id="rId4" w:type="default"/>
          <w:pgSz w:w="11906" w:h="16838"/>
          <w:pgMar w:top="1247" w:right="1247" w:bottom="1247" w:left="1247" w:header="0" w:footer="782" w:gutter="0"/>
          <w:pgNumType w:start="1"/>
          <w:cols w:space="720" w:num="1"/>
          <w:docGrid w:linePitch="381" w:charSpace="0"/>
        </w:sectPr>
      </w:pPr>
    </w:p>
    <w:p>
      <w:pPr>
        <w:spacing w:line="360" w:lineRule="auto"/>
        <w:rPr>
          <w:rFonts w:ascii="楷体" w:hAnsi="楷体" w:eastAsia="楷体"/>
          <w:b/>
          <w:color w:val="auto"/>
          <w:spacing w:val="-6"/>
          <w:sz w:val="30"/>
          <w:szCs w:val="30"/>
          <w:highlight w:val="none"/>
        </w:rPr>
      </w:pPr>
    </w:p>
    <w:p>
      <w:pPr>
        <w:pStyle w:val="12"/>
        <w:spacing w:beforeLines="0" w:afterLines="0" w:line="288" w:lineRule="auto"/>
        <w:jc w:val="center"/>
        <w:rPr>
          <w:rFonts w:ascii="楷体" w:hAnsi="楷体" w:eastAsia="楷体"/>
          <w:b/>
          <w:color w:val="auto"/>
          <w:sz w:val="30"/>
          <w:szCs w:val="30"/>
          <w:highlight w:val="none"/>
        </w:rPr>
      </w:pPr>
      <w:r>
        <w:rPr>
          <w:rFonts w:ascii="楷体" w:hAnsi="楷体" w:eastAsia="楷体"/>
          <w:b/>
          <w:color w:val="auto"/>
          <w:sz w:val="30"/>
          <w:szCs w:val="30"/>
          <w:highlight w:val="none"/>
        </w:rPr>
        <w:t>目录</w:t>
      </w:r>
    </w:p>
    <w:p>
      <w:pPr>
        <w:pStyle w:val="12"/>
        <w:spacing w:beforeLines="0" w:afterLines="0" w:line="288" w:lineRule="auto"/>
        <w:jc w:val="center"/>
        <w:rPr>
          <w:rFonts w:ascii="楷体" w:hAnsi="楷体" w:eastAsia="楷体"/>
          <w:b/>
          <w:color w:val="auto"/>
          <w:sz w:val="30"/>
          <w:szCs w:val="30"/>
          <w:highlight w:val="none"/>
        </w:rPr>
      </w:pPr>
    </w:p>
    <w:p>
      <w:pPr>
        <w:numPr>
          <w:ilvl w:val="0"/>
          <w:numId w:val="2"/>
        </w:numPr>
        <w:spacing w:before="120" w:beforeLines="50" w:line="288" w:lineRule="auto"/>
        <w:ind w:left="284" w:firstLine="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采购邀请</w:t>
      </w:r>
    </w:p>
    <w:p>
      <w:pPr>
        <w:numPr>
          <w:ilvl w:val="0"/>
          <w:numId w:val="2"/>
        </w:numPr>
        <w:spacing w:before="120" w:beforeLines="50" w:line="288" w:lineRule="auto"/>
        <w:ind w:left="284" w:firstLine="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采购需求</w:t>
      </w:r>
    </w:p>
    <w:p>
      <w:pPr>
        <w:numPr>
          <w:ilvl w:val="0"/>
          <w:numId w:val="2"/>
        </w:numPr>
        <w:spacing w:before="120" w:beforeLines="50" w:line="288" w:lineRule="auto"/>
        <w:ind w:left="284" w:firstLine="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供应商须知</w:t>
      </w:r>
    </w:p>
    <w:p>
      <w:pPr>
        <w:numPr>
          <w:ilvl w:val="0"/>
          <w:numId w:val="2"/>
        </w:numPr>
        <w:spacing w:before="120" w:beforeLines="50" w:line="288" w:lineRule="auto"/>
        <w:ind w:left="284" w:firstLine="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评审办法及评分标准</w:t>
      </w:r>
    </w:p>
    <w:p>
      <w:pPr>
        <w:numPr>
          <w:ilvl w:val="0"/>
          <w:numId w:val="2"/>
        </w:numPr>
        <w:spacing w:before="120" w:beforeLines="50" w:line="288" w:lineRule="auto"/>
        <w:ind w:left="284" w:firstLine="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合同主要条款</w:t>
      </w:r>
    </w:p>
    <w:p>
      <w:pPr>
        <w:numPr>
          <w:ilvl w:val="0"/>
          <w:numId w:val="2"/>
        </w:numPr>
        <w:spacing w:before="120" w:beforeLines="50" w:line="288" w:lineRule="auto"/>
        <w:ind w:left="284" w:firstLine="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响应文件格式</w:t>
      </w:r>
    </w:p>
    <w:p>
      <w:pPr>
        <w:pStyle w:val="12"/>
        <w:spacing w:beforeLines="0" w:afterLines="0" w:line="288" w:lineRule="auto"/>
        <w:jc w:val="center"/>
        <w:outlineLvl w:val="0"/>
        <w:rPr>
          <w:rFonts w:hAnsi="宋体"/>
          <w:b/>
          <w:color w:val="auto"/>
          <w:spacing w:val="-6"/>
          <w:sz w:val="32"/>
          <w:szCs w:val="32"/>
          <w:highlight w:val="none"/>
        </w:rPr>
      </w:pPr>
      <w:r>
        <w:rPr>
          <w:rFonts w:hAnsi="宋体"/>
          <w:color w:val="auto"/>
          <w:sz w:val="21"/>
          <w:szCs w:val="21"/>
          <w:highlight w:val="none"/>
        </w:rPr>
        <w:br w:type="page"/>
      </w:r>
      <w:r>
        <w:rPr>
          <w:rFonts w:hAnsi="宋体"/>
          <w:b/>
          <w:color w:val="auto"/>
          <w:spacing w:val="-6"/>
          <w:sz w:val="32"/>
          <w:szCs w:val="32"/>
          <w:highlight w:val="none"/>
        </w:rPr>
        <w:t>第一章  采购邀请</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根据</w:t>
      </w:r>
      <w:r>
        <w:rPr>
          <w:rFonts w:ascii="宋体" w:hAnsi="宋体"/>
          <w:color w:val="auto"/>
          <w:sz w:val="21"/>
          <w:szCs w:val="21"/>
          <w:highlight w:val="none"/>
        </w:rPr>
        <w:t>《中华人民共和国政府采购法》</w:t>
      </w:r>
      <w:r>
        <w:rPr>
          <w:rFonts w:hint="eastAsia" w:ascii="宋体" w:hAnsi="宋体"/>
          <w:color w:val="auto"/>
          <w:sz w:val="21"/>
          <w:szCs w:val="21"/>
          <w:highlight w:val="none"/>
        </w:rPr>
        <w:t>等有关规定</w:t>
      </w:r>
      <w:r>
        <w:rPr>
          <w:rFonts w:ascii="宋体" w:hAnsi="宋体"/>
          <w:color w:val="auto"/>
          <w:sz w:val="21"/>
          <w:szCs w:val="21"/>
          <w:highlight w:val="none"/>
        </w:rPr>
        <w:t>，</w:t>
      </w:r>
      <w:r>
        <w:rPr>
          <w:rFonts w:hint="eastAsia" w:ascii="宋体" w:hAnsi="宋体"/>
          <w:color w:val="auto"/>
          <w:sz w:val="21"/>
          <w:szCs w:val="21"/>
          <w:highlight w:val="none"/>
        </w:rPr>
        <w:t>经浙江省财政厅[2019]69152号确认书批准</w:t>
      </w:r>
      <w:r>
        <w:rPr>
          <w:rFonts w:hint="eastAsia" w:ascii="宋体" w:hAnsi="宋体"/>
          <w:color w:val="auto"/>
          <w:sz w:val="21"/>
          <w:szCs w:val="21"/>
          <w:highlight w:val="none"/>
        </w:rPr>
        <w:t>，浙江求是招标代理有限公司受浙江省退役军人事务厅委托，现</w:t>
      </w:r>
      <w:r>
        <w:rPr>
          <w:rFonts w:ascii="宋体" w:hAnsi="宋体"/>
          <w:color w:val="auto"/>
          <w:sz w:val="21"/>
          <w:szCs w:val="21"/>
          <w:highlight w:val="none"/>
        </w:rPr>
        <w:t>就</w:t>
      </w:r>
      <w:r>
        <w:rPr>
          <w:rFonts w:hint="eastAsia" w:ascii="宋体" w:hAnsi="宋体"/>
          <w:color w:val="auto"/>
          <w:sz w:val="21"/>
          <w:szCs w:val="21"/>
          <w:highlight w:val="none"/>
        </w:rPr>
        <w:t>云安全防护设备及服务项目</w:t>
      </w:r>
      <w:r>
        <w:rPr>
          <w:rFonts w:ascii="宋体" w:hAnsi="宋体"/>
          <w:color w:val="auto"/>
          <w:sz w:val="21"/>
          <w:szCs w:val="21"/>
          <w:highlight w:val="none"/>
        </w:rPr>
        <w:t>进行</w:t>
      </w:r>
      <w:r>
        <w:rPr>
          <w:rFonts w:hint="eastAsia" w:ascii="宋体" w:hAnsi="宋体"/>
          <w:color w:val="auto"/>
          <w:sz w:val="21"/>
          <w:szCs w:val="21"/>
          <w:highlight w:val="none"/>
        </w:rPr>
        <w:t>竞争性磋商</w:t>
      </w:r>
      <w:r>
        <w:rPr>
          <w:rFonts w:ascii="宋体" w:hAnsi="宋体"/>
          <w:color w:val="auto"/>
          <w:sz w:val="21"/>
          <w:szCs w:val="21"/>
          <w:highlight w:val="none"/>
        </w:rPr>
        <w:t>，</w:t>
      </w:r>
      <w:r>
        <w:rPr>
          <w:rFonts w:hint="eastAsia" w:ascii="宋体" w:hAnsi="宋体"/>
          <w:color w:val="auto"/>
          <w:sz w:val="21"/>
          <w:szCs w:val="21"/>
          <w:highlight w:val="none"/>
        </w:rPr>
        <w:t>欢迎</w:t>
      </w:r>
      <w:r>
        <w:rPr>
          <w:rFonts w:ascii="宋体" w:hAnsi="宋体"/>
          <w:color w:val="auto"/>
          <w:sz w:val="21"/>
          <w:szCs w:val="21"/>
          <w:highlight w:val="none"/>
        </w:rPr>
        <w:t>国内合格的供应商前来</w:t>
      </w:r>
      <w:r>
        <w:rPr>
          <w:rFonts w:hint="eastAsia" w:ascii="宋体" w:hAnsi="宋体"/>
          <w:color w:val="auto"/>
          <w:sz w:val="21"/>
          <w:szCs w:val="21"/>
          <w:highlight w:val="none"/>
        </w:rPr>
        <w:t>磋商</w:t>
      </w:r>
      <w:r>
        <w:rPr>
          <w:rFonts w:ascii="宋体" w:hAnsi="宋体"/>
          <w:color w:val="auto"/>
          <w:sz w:val="21"/>
          <w:szCs w:val="21"/>
          <w:highlight w:val="none"/>
        </w:rPr>
        <w:t>。</w:t>
      </w:r>
      <w:bookmarkStart w:id="3" w:name="_GoBack"/>
      <w:bookmarkEnd w:id="3"/>
    </w:p>
    <w:p>
      <w:pPr>
        <w:spacing w:line="288" w:lineRule="auto"/>
        <w:outlineLvl w:val="1"/>
        <w:rPr>
          <w:rFonts w:ascii="宋体" w:hAnsi="宋体"/>
          <w:b/>
          <w:color w:val="auto"/>
          <w:sz w:val="24"/>
          <w:highlight w:val="none"/>
        </w:rPr>
      </w:pPr>
      <w:r>
        <w:rPr>
          <w:rFonts w:hint="eastAsia" w:ascii="宋体" w:hAnsi="宋体"/>
          <w:b/>
          <w:color w:val="auto"/>
          <w:sz w:val="24"/>
          <w:highlight w:val="none"/>
        </w:rPr>
        <w:t>一、采购项目名称：</w:t>
      </w:r>
      <w:r>
        <w:rPr>
          <w:rFonts w:hint="eastAsia" w:ascii="宋体" w:hAnsi="宋体"/>
          <w:color w:val="auto"/>
          <w:sz w:val="21"/>
          <w:szCs w:val="21"/>
          <w:highlight w:val="none"/>
        </w:rPr>
        <w:t>云安全防护设备及服务项目</w:t>
      </w:r>
    </w:p>
    <w:p>
      <w:pPr>
        <w:spacing w:line="288" w:lineRule="auto"/>
        <w:outlineLvl w:val="1"/>
        <w:rPr>
          <w:rFonts w:hint="eastAsia" w:ascii="宋体" w:hAnsi="宋体" w:eastAsia="宋体"/>
          <w:b/>
          <w:color w:val="auto"/>
          <w:sz w:val="24"/>
          <w:highlight w:val="none"/>
          <w:lang w:eastAsia="zh-CN"/>
        </w:rPr>
      </w:pPr>
      <w:r>
        <w:rPr>
          <w:rFonts w:hint="eastAsia" w:ascii="宋体" w:hAnsi="宋体"/>
          <w:b/>
          <w:color w:val="auto"/>
          <w:sz w:val="24"/>
          <w:highlight w:val="none"/>
        </w:rPr>
        <w:t>二、采购项目</w:t>
      </w:r>
      <w:r>
        <w:rPr>
          <w:rFonts w:ascii="宋体" w:hAnsi="宋体"/>
          <w:b/>
          <w:color w:val="auto"/>
          <w:sz w:val="24"/>
          <w:highlight w:val="none"/>
        </w:rPr>
        <w:t>编号</w:t>
      </w:r>
      <w:r>
        <w:rPr>
          <w:rFonts w:hint="eastAsia" w:ascii="宋体" w:hAnsi="宋体"/>
          <w:b/>
          <w:color w:val="auto"/>
          <w:sz w:val="24"/>
          <w:highlight w:val="none"/>
        </w:rPr>
        <w:t>：</w:t>
      </w:r>
      <w:r>
        <w:rPr>
          <w:rFonts w:hint="eastAsia" w:ascii="宋体" w:hAnsi="宋体"/>
          <w:color w:val="auto"/>
          <w:sz w:val="21"/>
          <w:szCs w:val="21"/>
          <w:highlight w:val="none"/>
          <w:lang w:eastAsia="zh-CN"/>
        </w:rPr>
        <w:t>QSZB-Z(F)-E19282(CS)</w:t>
      </w:r>
    </w:p>
    <w:p>
      <w:pPr>
        <w:spacing w:line="288" w:lineRule="auto"/>
        <w:outlineLvl w:val="1"/>
        <w:rPr>
          <w:rFonts w:ascii="宋体" w:hAnsi="宋体"/>
          <w:b/>
          <w:color w:val="auto"/>
          <w:sz w:val="24"/>
          <w:highlight w:val="none"/>
        </w:rPr>
      </w:pPr>
      <w:r>
        <w:rPr>
          <w:rFonts w:hint="eastAsia" w:ascii="宋体" w:hAnsi="宋体"/>
          <w:b/>
          <w:color w:val="auto"/>
          <w:sz w:val="24"/>
          <w:highlight w:val="none"/>
        </w:rPr>
        <w:t>三、采购组织类型：</w:t>
      </w:r>
      <w:r>
        <w:rPr>
          <w:rFonts w:hint="eastAsia" w:ascii="宋体" w:hAnsi="宋体"/>
          <w:color w:val="auto"/>
          <w:sz w:val="21"/>
          <w:szCs w:val="21"/>
          <w:highlight w:val="none"/>
        </w:rPr>
        <w:t>分散采购委托代理</w:t>
      </w:r>
    </w:p>
    <w:p>
      <w:pPr>
        <w:spacing w:line="288" w:lineRule="auto"/>
        <w:outlineLvl w:val="1"/>
        <w:rPr>
          <w:rFonts w:ascii="宋体" w:hAnsi="宋体"/>
          <w:b/>
          <w:color w:val="auto"/>
          <w:sz w:val="24"/>
          <w:highlight w:val="none"/>
        </w:rPr>
      </w:pPr>
      <w:r>
        <w:rPr>
          <w:rFonts w:hint="eastAsia" w:ascii="宋体" w:hAnsi="宋体"/>
          <w:b/>
          <w:color w:val="auto"/>
          <w:sz w:val="24"/>
          <w:highlight w:val="none"/>
        </w:rPr>
        <w:t>四、采购项目概况：</w:t>
      </w:r>
    </w:p>
    <w:tbl>
      <w:tblPr>
        <w:tblStyle w:val="21"/>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994"/>
        <w:gridCol w:w="775"/>
        <w:gridCol w:w="744"/>
        <w:gridCol w:w="2285"/>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vAlign w:val="center"/>
          </w:tcPr>
          <w:p>
            <w:pPr>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2994" w:type="dxa"/>
            <w:vAlign w:val="center"/>
          </w:tcPr>
          <w:p>
            <w:pPr>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名称</w:t>
            </w:r>
          </w:p>
        </w:tc>
        <w:tc>
          <w:tcPr>
            <w:tcW w:w="775" w:type="dxa"/>
            <w:vAlign w:val="center"/>
          </w:tcPr>
          <w:p>
            <w:pPr>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数量</w:t>
            </w:r>
          </w:p>
        </w:tc>
        <w:tc>
          <w:tcPr>
            <w:tcW w:w="744" w:type="dxa"/>
            <w:vAlign w:val="center"/>
          </w:tcPr>
          <w:p>
            <w:pPr>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单位</w:t>
            </w:r>
          </w:p>
        </w:tc>
        <w:tc>
          <w:tcPr>
            <w:tcW w:w="2285" w:type="dxa"/>
            <w:vAlign w:val="center"/>
          </w:tcPr>
          <w:p>
            <w:pPr>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简要规格描述或标项</w:t>
            </w:r>
            <w:r>
              <w:rPr>
                <w:rFonts w:ascii="宋体" w:hAnsi="宋体"/>
                <w:color w:val="auto"/>
                <w:sz w:val="21"/>
                <w:szCs w:val="21"/>
                <w:highlight w:val="none"/>
              </w:rPr>
              <w:t>基本概况介绍</w:t>
            </w:r>
          </w:p>
        </w:tc>
        <w:tc>
          <w:tcPr>
            <w:tcW w:w="1811" w:type="dxa"/>
            <w:vAlign w:val="center"/>
          </w:tcPr>
          <w:p>
            <w:pPr>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预算金额</w:t>
            </w:r>
          </w:p>
          <w:p>
            <w:pPr>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vAlign w:val="center"/>
          </w:tcPr>
          <w:p>
            <w:pPr>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1</w:t>
            </w:r>
          </w:p>
        </w:tc>
        <w:tc>
          <w:tcPr>
            <w:tcW w:w="2994" w:type="dxa"/>
            <w:vAlign w:val="center"/>
          </w:tcPr>
          <w:p>
            <w:pPr>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云安全防护设备及服务项目</w:t>
            </w:r>
          </w:p>
        </w:tc>
        <w:tc>
          <w:tcPr>
            <w:tcW w:w="775" w:type="dxa"/>
            <w:vAlign w:val="center"/>
          </w:tcPr>
          <w:p>
            <w:pPr>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1</w:t>
            </w:r>
          </w:p>
        </w:tc>
        <w:tc>
          <w:tcPr>
            <w:tcW w:w="744" w:type="dxa"/>
            <w:vAlign w:val="center"/>
          </w:tcPr>
          <w:p>
            <w:pPr>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批</w:t>
            </w:r>
          </w:p>
        </w:tc>
        <w:tc>
          <w:tcPr>
            <w:tcW w:w="2285" w:type="dxa"/>
            <w:vAlign w:val="center"/>
          </w:tcPr>
          <w:p>
            <w:pPr>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详见采购需求</w:t>
            </w:r>
          </w:p>
        </w:tc>
        <w:tc>
          <w:tcPr>
            <w:tcW w:w="1811" w:type="dxa"/>
            <w:vAlign w:val="center"/>
          </w:tcPr>
          <w:p>
            <w:pPr>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24</w:t>
            </w:r>
          </w:p>
        </w:tc>
      </w:tr>
    </w:tbl>
    <w:p>
      <w:pPr>
        <w:spacing w:line="288" w:lineRule="auto"/>
        <w:outlineLvl w:val="1"/>
        <w:rPr>
          <w:rFonts w:ascii="宋体" w:hAnsi="宋体"/>
          <w:b/>
          <w:color w:val="auto"/>
          <w:sz w:val="24"/>
          <w:highlight w:val="none"/>
        </w:rPr>
      </w:pPr>
      <w:r>
        <w:rPr>
          <w:rFonts w:hint="eastAsia" w:ascii="宋体" w:hAnsi="宋体"/>
          <w:b/>
          <w:color w:val="auto"/>
          <w:sz w:val="24"/>
          <w:highlight w:val="none"/>
        </w:rPr>
        <w:t>五、磋商供应商</w:t>
      </w:r>
      <w:r>
        <w:rPr>
          <w:rFonts w:ascii="宋体" w:hAnsi="宋体"/>
          <w:b/>
          <w:color w:val="auto"/>
          <w:sz w:val="24"/>
          <w:highlight w:val="none"/>
        </w:rPr>
        <w:t>资格要求</w:t>
      </w:r>
      <w:r>
        <w:rPr>
          <w:rFonts w:hint="eastAsia" w:ascii="宋体" w:hAnsi="宋体"/>
          <w:b/>
          <w:color w:val="auto"/>
          <w:sz w:val="24"/>
          <w:highlight w:val="none"/>
        </w:rPr>
        <w:t>：</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1.符合《中华人民共和国政府采购法》第二十二条规定的供应商资格条件：</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（一）具有独立承担民事责任的能力；</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（二）具有良好的商业信誉和健全的财务会计制度；</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（三）具有履行合同所必需的设备和专业技术能力；</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（四）有依法缴纳税收和社会保障资金的良好记录；</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（五）参加政府采购活动前三年内，在经营活动中没有重大违法记录；</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（六）法律、行政法规规定的其他条件。</w:t>
      </w:r>
    </w:p>
    <w:p>
      <w:pPr>
        <w:spacing w:line="288"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磋商供应商特定资格条件：</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本项目不接受联合体响应。</w:t>
      </w:r>
    </w:p>
    <w:p>
      <w:pPr>
        <w:spacing w:line="288" w:lineRule="auto"/>
        <w:outlineLvl w:val="1"/>
        <w:rPr>
          <w:rFonts w:ascii="宋体" w:hAnsi="宋体"/>
          <w:b/>
          <w:color w:val="auto"/>
          <w:sz w:val="24"/>
          <w:highlight w:val="none"/>
        </w:rPr>
      </w:pPr>
      <w:r>
        <w:rPr>
          <w:rFonts w:hint="eastAsia" w:ascii="宋体" w:hAnsi="宋体"/>
          <w:b/>
          <w:color w:val="auto"/>
          <w:sz w:val="24"/>
          <w:highlight w:val="none"/>
        </w:rPr>
        <w:t>六、磋商文件的获取时间、地址、方式及售价：</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1.获取时间：</w:t>
      </w:r>
      <w:r>
        <w:rPr>
          <w:rFonts w:hint="eastAsia" w:ascii="宋体" w:hAnsi="宋体"/>
          <w:color w:val="auto"/>
          <w:sz w:val="21"/>
          <w:szCs w:val="21"/>
          <w:highlight w:val="none"/>
          <w:lang w:eastAsia="zh-CN"/>
        </w:rPr>
        <w:t>2019年11月12日</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2019年11月21日</w:t>
      </w:r>
      <w:r>
        <w:rPr>
          <w:rFonts w:ascii="宋体" w:hAnsi="宋体"/>
          <w:color w:val="auto"/>
          <w:sz w:val="21"/>
          <w:szCs w:val="21"/>
          <w:highlight w:val="none"/>
        </w:rPr>
        <w:t>(双休日</w:t>
      </w:r>
      <w:r>
        <w:rPr>
          <w:rFonts w:hint="eastAsia" w:ascii="宋体" w:hAnsi="宋体"/>
          <w:color w:val="auto"/>
          <w:sz w:val="21"/>
          <w:szCs w:val="21"/>
          <w:highlight w:val="none"/>
        </w:rPr>
        <w:t>及法定节假日</w:t>
      </w:r>
      <w:r>
        <w:rPr>
          <w:rFonts w:ascii="宋体" w:hAnsi="宋体"/>
          <w:color w:val="auto"/>
          <w:sz w:val="21"/>
          <w:szCs w:val="21"/>
          <w:highlight w:val="none"/>
        </w:rPr>
        <w:t>除外)</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上午：</w:t>
      </w:r>
      <w:r>
        <w:rPr>
          <w:rFonts w:ascii="宋体" w:hAnsi="宋体"/>
          <w:color w:val="auto"/>
          <w:sz w:val="21"/>
          <w:szCs w:val="21"/>
          <w:highlight w:val="none"/>
        </w:rPr>
        <w:t>8:30-11:30</w:t>
      </w:r>
      <w:r>
        <w:rPr>
          <w:rFonts w:hint="eastAsia" w:ascii="宋体" w:hAnsi="宋体"/>
          <w:color w:val="auto"/>
          <w:sz w:val="21"/>
          <w:szCs w:val="21"/>
          <w:highlight w:val="none"/>
        </w:rPr>
        <w:t>、下午：</w:t>
      </w:r>
      <w:r>
        <w:rPr>
          <w:rFonts w:ascii="宋体" w:hAnsi="宋体"/>
          <w:color w:val="auto"/>
          <w:sz w:val="21"/>
          <w:szCs w:val="21"/>
          <w:highlight w:val="none"/>
        </w:rPr>
        <w:t>13:00-17:00</w:t>
      </w:r>
      <w:r>
        <w:rPr>
          <w:rFonts w:hint="eastAsia" w:ascii="宋体" w:hAnsi="宋体"/>
          <w:color w:val="auto"/>
          <w:sz w:val="21"/>
          <w:szCs w:val="21"/>
          <w:highlight w:val="none"/>
        </w:rPr>
        <w:t>。</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2.获取磋商文件地址：浙江求是招标代理有限公司（杭州市西湖区玉古路173号中田大厦16楼H室）。</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3.获取磋商文件方式：微信获取（扫描附件二维码或关注“浙江求是招标代理有限公司”企业公众号）或现场获取。</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4.磋商文件售价</w:t>
      </w:r>
      <w:r>
        <w:rPr>
          <w:rFonts w:ascii="宋体" w:hAnsi="宋体"/>
          <w:color w:val="auto"/>
          <w:sz w:val="21"/>
          <w:szCs w:val="21"/>
          <w:highlight w:val="none"/>
        </w:rPr>
        <w:t>：每本</w:t>
      </w:r>
      <w:r>
        <w:rPr>
          <w:rFonts w:hint="eastAsia" w:ascii="宋体" w:hAnsi="宋体"/>
          <w:color w:val="auto"/>
          <w:sz w:val="21"/>
          <w:szCs w:val="21"/>
          <w:highlight w:val="none"/>
        </w:rPr>
        <w:t>500元整（</w:t>
      </w:r>
      <w:r>
        <w:rPr>
          <w:rFonts w:ascii="宋体" w:hAnsi="宋体"/>
          <w:color w:val="auto"/>
          <w:sz w:val="21"/>
          <w:szCs w:val="21"/>
          <w:highlight w:val="none"/>
        </w:rPr>
        <w:t>售后不退</w:t>
      </w:r>
      <w:r>
        <w:rPr>
          <w:rFonts w:hint="eastAsia" w:ascii="宋体" w:hAnsi="宋体"/>
          <w:color w:val="auto"/>
          <w:sz w:val="21"/>
          <w:szCs w:val="21"/>
          <w:highlight w:val="none"/>
        </w:rPr>
        <w:t>）</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收款单位（户名）：浙江求是招标代理有限公司</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开户银行：工行浙大支行</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银行账号：</w:t>
      </w:r>
      <w:r>
        <w:rPr>
          <w:rFonts w:ascii="宋体" w:hAnsi="宋体"/>
          <w:color w:val="auto"/>
          <w:sz w:val="21"/>
          <w:szCs w:val="21"/>
          <w:highlight w:val="none"/>
        </w:rPr>
        <w:t>1202024609900033043</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财务联系方式：0571-87666113</w:t>
      </w:r>
    </w:p>
    <w:p>
      <w:pPr>
        <w:spacing w:line="288"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备注：</w:t>
      </w:r>
    </w:p>
    <w:p>
      <w:pPr>
        <w:spacing w:line="288"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（1）获取采购文件截止时间之后有潜在供应商提出要求获取采购文件的允许其获取，如对采购文件有质疑的应在规定的质疑期限内提出；</w:t>
      </w:r>
    </w:p>
    <w:p>
      <w:pPr>
        <w:spacing w:line="288" w:lineRule="auto"/>
        <w:ind w:firstLine="422" w:firstLineChars="200"/>
        <w:rPr>
          <w:rFonts w:ascii="宋体" w:hAnsi="宋体"/>
          <w:color w:val="auto"/>
          <w:sz w:val="21"/>
          <w:szCs w:val="21"/>
          <w:highlight w:val="none"/>
        </w:rPr>
      </w:pPr>
      <w:r>
        <w:rPr>
          <w:rFonts w:hint="eastAsia" w:ascii="宋体" w:hAnsi="宋体"/>
          <w:b/>
          <w:color w:val="auto"/>
          <w:sz w:val="21"/>
          <w:szCs w:val="21"/>
          <w:highlight w:val="none"/>
        </w:rPr>
        <w:t>（2）本公告规定的采购文件获取方式为依法获取采购文件的方式，未按照本公告规定的方式获取采购文件的，不得对采购文件提起质疑投诉。</w:t>
      </w:r>
    </w:p>
    <w:p>
      <w:pPr>
        <w:spacing w:line="288" w:lineRule="auto"/>
        <w:outlineLvl w:val="1"/>
        <w:rPr>
          <w:rFonts w:ascii="宋体" w:hAnsi="宋体"/>
          <w:b/>
          <w:color w:val="auto"/>
          <w:sz w:val="24"/>
          <w:highlight w:val="none"/>
        </w:rPr>
      </w:pPr>
      <w:r>
        <w:rPr>
          <w:rFonts w:hint="eastAsia" w:ascii="宋体" w:hAnsi="宋体"/>
          <w:b/>
          <w:color w:val="auto"/>
          <w:sz w:val="24"/>
          <w:highlight w:val="none"/>
        </w:rPr>
        <w:t>七、获取竞争性磋商文件时应提交的资料：</w:t>
      </w:r>
      <w:r>
        <w:rPr>
          <w:rFonts w:hint="eastAsia" w:ascii="宋体" w:hAnsi="宋体"/>
          <w:color w:val="auto"/>
          <w:sz w:val="21"/>
          <w:szCs w:val="21"/>
          <w:highlight w:val="none"/>
        </w:rPr>
        <w:t>文件获取申请函（格式详见附件）。</w:t>
      </w:r>
    </w:p>
    <w:p>
      <w:pPr>
        <w:spacing w:line="288"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备注：</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供应商注册：非浙江政府采购网注册的供应商或发生变更且未及时更新的供应商，应当在规定时间内按照《浙江省政府采购供应商注册及诚信管理暂行办法》（浙财采监字［2009］28号）的相关规定及时办理更新或供应商注册事项。</w:t>
      </w:r>
    </w:p>
    <w:p>
      <w:pPr>
        <w:spacing w:line="288" w:lineRule="auto"/>
        <w:ind w:firstLine="420" w:firstLineChars="200"/>
        <w:rPr>
          <w:rFonts w:ascii="宋体" w:hAnsi="宋体"/>
          <w:b/>
          <w:color w:val="auto"/>
          <w:sz w:val="21"/>
          <w:szCs w:val="21"/>
          <w:highlight w:val="none"/>
        </w:rPr>
      </w:pPr>
      <w:r>
        <w:rPr>
          <w:rFonts w:hint="eastAsia" w:ascii="宋体" w:hAnsi="宋体"/>
          <w:color w:val="auto"/>
          <w:sz w:val="21"/>
          <w:szCs w:val="21"/>
          <w:highlight w:val="none"/>
        </w:rPr>
        <w:t>2.供应商未按照本公告规定的方式获取采购文件的，磋商响应文件予以拒收。</w:t>
      </w:r>
    </w:p>
    <w:p>
      <w:pPr>
        <w:spacing w:line="288" w:lineRule="auto"/>
        <w:outlineLvl w:val="1"/>
        <w:rPr>
          <w:rFonts w:hint="eastAsia" w:ascii="宋体" w:hAnsi="宋体" w:eastAsia="宋体"/>
          <w:color w:val="auto"/>
          <w:sz w:val="21"/>
          <w:szCs w:val="21"/>
          <w:highlight w:val="none"/>
          <w:lang w:eastAsia="zh-CN"/>
        </w:rPr>
      </w:pPr>
      <w:r>
        <w:rPr>
          <w:rFonts w:hint="eastAsia" w:ascii="宋体" w:hAnsi="宋体"/>
          <w:b/>
          <w:color w:val="auto"/>
          <w:sz w:val="24"/>
          <w:highlight w:val="none"/>
        </w:rPr>
        <w:t>八、磋商响应文件提交</w:t>
      </w:r>
      <w:r>
        <w:rPr>
          <w:rFonts w:ascii="宋体" w:hAnsi="宋体"/>
          <w:b/>
          <w:color w:val="auto"/>
          <w:sz w:val="24"/>
          <w:highlight w:val="none"/>
        </w:rPr>
        <w:t>截止时间：</w:t>
      </w:r>
      <w:r>
        <w:rPr>
          <w:rFonts w:hint="eastAsia" w:ascii="宋体" w:hAnsi="宋体"/>
          <w:color w:val="auto"/>
          <w:sz w:val="21"/>
          <w:szCs w:val="21"/>
          <w:highlight w:val="none"/>
          <w:lang w:eastAsia="zh-CN"/>
        </w:rPr>
        <w:t>2019年11月22日下午14:00:00</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逾期送达或者未按照磋商文件要求密封的磋商响应文件予以拒收。</w:t>
      </w:r>
    </w:p>
    <w:p>
      <w:pPr>
        <w:spacing w:line="288" w:lineRule="auto"/>
        <w:outlineLvl w:val="1"/>
        <w:rPr>
          <w:rFonts w:ascii="宋体" w:hAnsi="宋体"/>
          <w:b/>
          <w:color w:val="auto"/>
          <w:sz w:val="24"/>
          <w:highlight w:val="none"/>
        </w:rPr>
      </w:pPr>
      <w:r>
        <w:rPr>
          <w:rFonts w:hint="eastAsia" w:ascii="宋体" w:hAnsi="宋体"/>
          <w:b/>
          <w:color w:val="auto"/>
          <w:sz w:val="24"/>
          <w:highlight w:val="none"/>
        </w:rPr>
        <w:t>九、磋商响应文件提交</w:t>
      </w:r>
      <w:r>
        <w:rPr>
          <w:rFonts w:ascii="宋体" w:hAnsi="宋体"/>
          <w:b/>
          <w:color w:val="auto"/>
          <w:sz w:val="24"/>
          <w:highlight w:val="none"/>
        </w:rPr>
        <w:t>地址：</w:t>
      </w:r>
      <w:r>
        <w:rPr>
          <w:rFonts w:hint="eastAsia" w:ascii="宋体" w:hAnsi="宋体"/>
          <w:color w:val="auto"/>
          <w:sz w:val="21"/>
          <w:szCs w:val="21"/>
          <w:highlight w:val="none"/>
        </w:rPr>
        <w:t>杭州市西湖区玉古路173号中田大厦16楼求是招标会议室</w:t>
      </w:r>
    </w:p>
    <w:p>
      <w:pPr>
        <w:spacing w:line="288" w:lineRule="auto"/>
        <w:outlineLvl w:val="1"/>
        <w:rPr>
          <w:rFonts w:hint="eastAsia" w:ascii="宋体" w:hAnsi="宋体" w:eastAsia="宋体"/>
          <w:b/>
          <w:color w:val="auto"/>
          <w:sz w:val="24"/>
          <w:highlight w:val="none"/>
          <w:lang w:eastAsia="zh-CN"/>
        </w:rPr>
      </w:pPr>
      <w:r>
        <w:rPr>
          <w:rFonts w:hint="eastAsia" w:ascii="宋体" w:hAnsi="宋体"/>
          <w:b/>
          <w:color w:val="auto"/>
          <w:sz w:val="24"/>
          <w:highlight w:val="none"/>
        </w:rPr>
        <w:t>十、磋商响应文件开启</w:t>
      </w:r>
      <w:r>
        <w:rPr>
          <w:rFonts w:ascii="宋体" w:hAnsi="宋体"/>
          <w:b/>
          <w:color w:val="auto"/>
          <w:sz w:val="24"/>
          <w:highlight w:val="none"/>
        </w:rPr>
        <w:t>时间：</w:t>
      </w:r>
      <w:r>
        <w:rPr>
          <w:rFonts w:hint="eastAsia" w:ascii="宋体" w:hAnsi="宋体"/>
          <w:color w:val="auto"/>
          <w:sz w:val="21"/>
          <w:szCs w:val="21"/>
          <w:highlight w:val="none"/>
          <w:lang w:eastAsia="zh-CN"/>
        </w:rPr>
        <w:t>2019年11月22日下午14:00:00</w:t>
      </w:r>
    </w:p>
    <w:p>
      <w:pPr>
        <w:spacing w:line="288" w:lineRule="auto"/>
        <w:outlineLvl w:val="1"/>
        <w:rPr>
          <w:rFonts w:ascii="宋体" w:hAnsi="宋体"/>
          <w:b/>
          <w:color w:val="auto"/>
          <w:sz w:val="24"/>
          <w:highlight w:val="none"/>
        </w:rPr>
      </w:pPr>
      <w:r>
        <w:rPr>
          <w:rFonts w:hint="eastAsia" w:ascii="宋体" w:hAnsi="宋体"/>
          <w:b/>
          <w:color w:val="auto"/>
          <w:sz w:val="24"/>
          <w:highlight w:val="none"/>
        </w:rPr>
        <w:t>十一、磋商地址：</w:t>
      </w:r>
      <w:r>
        <w:rPr>
          <w:rFonts w:hint="eastAsia" w:ascii="宋体" w:hAnsi="宋体"/>
          <w:color w:val="auto"/>
          <w:sz w:val="21"/>
          <w:szCs w:val="21"/>
          <w:highlight w:val="none"/>
        </w:rPr>
        <w:t>杭州市西湖区玉古路173号中田大厦16楼求是招标会议室</w:t>
      </w:r>
    </w:p>
    <w:p>
      <w:pPr>
        <w:spacing w:line="288" w:lineRule="auto"/>
        <w:outlineLvl w:val="1"/>
        <w:rPr>
          <w:rFonts w:ascii="宋体" w:hAnsi="宋体"/>
          <w:b/>
          <w:color w:val="auto"/>
          <w:sz w:val="24"/>
          <w:highlight w:val="none"/>
        </w:rPr>
      </w:pPr>
      <w:r>
        <w:rPr>
          <w:rFonts w:hint="eastAsia" w:ascii="宋体" w:hAnsi="宋体"/>
          <w:b/>
          <w:color w:val="auto"/>
          <w:sz w:val="24"/>
          <w:highlight w:val="none"/>
        </w:rPr>
        <w:t>十二、公告期限：</w:t>
      </w:r>
      <w:r>
        <w:rPr>
          <w:rFonts w:hint="eastAsia" w:ascii="宋体" w:hAnsi="宋体"/>
          <w:color w:val="auto"/>
          <w:sz w:val="21"/>
          <w:szCs w:val="21"/>
          <w:highlight w:val="none"/>
        </w:rPr>
        <w:t>3个工作日</w:t>
      </w:r>
    </w:p>
    <w:p>
      <w:pPr>
        <w:spacing w:line="288" w:lineRule="auto"/>
        <w:outlineLvl w:val="1"/>
        <w:rPr>
          <w:rFonts w:ascii="宋体" w:hAnsi="宋体"/>
          <w:b/>
          <w:color w:val="auto"/>
          <w:sz w:val="21"/>
          <w:szCs w:val="21"/>
          <w:highlight w:val="none"/>
        </w:rPr>
      </w:pPr>
      <w:r>
        <w:rPr>
          <w:rFonts w:hint="eastAsia" w:ascii="宋体" w:hAnsi="宋体"/>
          <w:b/>
          <w:color w:val="auto"/>
          <w:sz w:val="24"/>
          <w:highlight w:val="none"/>
        </w:rPr>
        <w:t>十三、其他事项：</w:t>
      </w:r>
    </w:p>
    <w:p>
      <w:pPr>
        <w:spacing w:line="288" w:lineRule="auto"/>
        <w:ind w:firstLine="420" w:firstLineChars="200"/>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供应商依法获取采购文件后认为采购文件使自己的权益受到损害的，可以自收到采购文件之日（获取截止日之后收到采购文件的，以获取截止日为准）或者采购文件公告期限届满之日（公告发布后的第4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采购项目需要落实的政府采购政策：</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（1）政府采购促进中小企业发展</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（2）政府采购支持监狱企业发展</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（3）政府采购促进残疾人就业</w:t>
      </w:r>
    </w:p>
    <w:p>
      <w:pPr>
        <w:spacing w:line="288" w:lineRule="auto"/>
        <w:ind w:firstLine="420" w:firstLineChars="200"/>
        <w:rPr>
          <w:rFonts w:ascii="宋体" w:hAnsi="宋体"/>
          <w:color w:val="auto"/>
          <w:sz w:val="21"/>
          <w:szCs w:val="21"/>
          <w:highlight w:val="none"/>
        </w:rPr>
      </w:pPr>
      <w:bookmarkStart w:id="0" w:name="B36_其他事项"/>
      <w:r>
        <w:rPr>
          <w:rFonts w:hint="eastAsia" w:ascii="宋体" w:hAnsi="宋体"/>
          <w:color w:val="auto"/>
          <w:sz w:val="21"/>
          <w:szCs w:val="21"/>
          <w:highlight w:val="none"/>
        </w:rPr>
        <w:t>3</w:t>
      </w:r>
      <w:r>
        <w:rPr>
          <w:rFonts w:ascii="宋体" w:hAnsi="宋体"/>
          <w:color w:val="auto"/>
          <w:sz w:val="21"/>
          <w:szCs w:val="21"/>
          <w:highlight w:val="none"/>
        </w:rPr>
        <w:t>、其他事项</w:t>
      </w:r>
      <w:r>
        <w:rPr>
          <w:rFonts w:hint="eastAsia" w:ascii="宋体" w:hAnsi="宋体"/>
          <w:color w:val="auto"/>
          <w:sz w:val="21"/>
          <w:szCs w:val="21"/>
          <w:highlight w:val="none"/>
        </w:rPr>
        <w:t>：</w:t>
      </w:r>
    </w:p>
    <w:bookmarkEnd w:id="0"/>
    <w:p>
      <w:pPr>
        <w:spacing w:line="288"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信用记录：</w:t>
      </w:r>
      <w:r>
        <w:rPr>
          <w:rFonts w:hint="eastAsia" w:ascii="宋体" w:hAnsi="宋体"/>
          <w:color w:val="auto"/>
          <w:sz w:val="21"/>
          <w:szCs w:val="21"/>
          <w:highlight w:val="none"/>
        </w:rPr>
        <w:t>根据财库[2016]125号《关于在政府采购活动中查询及使用信用记录有关问题的通知》要求，采购代理机构会对响应供应商信用记录进行查询并甄别。</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（1）信用信息查询的截止时点：磋商响应文件提交截止时间；</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（2）查询渠道：“信用中国”（www.creditchina.gov.cn）、“中国政府采购网”（www.ccgp.gov.cn）；</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（3）信用信息查询记录和证据留存具体方式：采购代理机构经办人和监督人员将查询网页打印、签字与其他采购文件一并保存；</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（4）信用信息的使用规则：供应商存在不良信用记录的，其响应将被作为无效响应处理。</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不良信用记录指：被列入失信被执行人、重大税收违法案件当事人名单、政府采购严重违法失信行为记录名单。</w:t>
      </w:r>
    </w:p>
    <w:p>
      <w:pPr>
        <w:spacing w:line="288" w:lineRule="auto"/>
        <w:ind w:firstLine="422" w:firstLineChars="200"/>
        <w:rPr>
          <w:rFonts w:ascii="宋体" w:hAnsi="宋体"/>
          <w:color w:val="auto"/>
          <w:sz w:val="21"/>
          <w:szCs w:val="21"/>
          <w:highlight w:val="none"/>
        </w:rPr>
      </w:pPr>
      <w:r>
        <w:rPr>
          <w:rFonts w:hint="eastAsia" w:ascii="宋体" w:hAnsi="宋体"/>
          <w:b/>
          <w:color w:val="auto"/>
          <w:sz w:val="21"/>
          <w:szCs w:val="21"/>
          <w:highlight w:val="none"/>
        </w:rPr>
        <w:t>4.本项目无磋商保证金。</w:t>
      </w:r>
    </w:p>
    <w:p>
      <w:pPr>
        <w:spacing w:line="288" w:lineRule="auto"/>
        <w:outlineLvl w:val="1"/>
        <w:rPr>
          <w:rFonts w:ascii="宋体" w:hAnsi="宋体"/>
          <w:b/>
          <w:color w:val="auto"/>
          <w:sz w:val="24"/>
          <w:highlight w:val="none"/>
        </w:rPr>
      </w:pPr>
      <w:r>
        <w:rPr>
          <w:rFonts w:hint="eastAsia" w:ascii="宋体" w:hAnsi="宋体"/>
          <w:b/>
          <w:color w:val="auto"/>
          <w:sz w:val="24"/>
          <w:highlight w:val="none"/>
        </w:rPr>
        <w:t>十四、联系方式：</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1、采购人名称：浙江省退役军人事务厅</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地址：杭州市保俶路北路83号</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联系人：金海彬</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联系方法：0571-87665890</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采购项目联系人：金海彬</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电话：0571-87665890</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2、采购代理机构名称：浙江求是招标代理有限公司</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地址：杭州市西湖区玉古路173号中田大厦16楼</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业务联系人：姜海军、张翔</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联系方法：0571-87666117</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获取文件联系人：於路莹</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联系方法：0571-87666112</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传真：0571-87666116</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获取文件二维码：详见附件</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采购代理机构质疑联系人：王庆庆</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联系方法：0571-87666119</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质疑邮箱：</w:t>
      </w:r>
      <w:r>
        <w:rPr>
          <w:rFonts w:ascii="宋体" w:hAnsi="宋体"/>
          <w:color w:val="auto"/>
          <w:sz w:val="21"/>
          <w:szCs w:val="21"/>
          <w:highlight w:val="none"/>
        </w:rPr>
        <w:t>jdkh@qszb.net</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3、同级政府采购监督管理部门：浙江省财政厅政府采购监管处</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联系人：倪文良</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监督投诉电话：0571-87057615</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地址：杭州市环城西路37号</w:t>
      </w:r>
    </w:p>
    <w:p>
      <w:pPr>
        <w:widowControl/>
        <w:spacing w:line="288" w:lineRule="auto"/>
        <w:ind w:right="62" w:firstLine="396" w:firstLineChars="200"/>
        <w:jc w:val="center"/>
        <w:outlineLvl w:val="0"/>
        <w:rPr>
          <w:rFonts w:ascii="宋体" w:hAnsi="宋体" w:cs="宋体"/>
          <w:color w:val="auto"/>
          <w:spacing w:val="-6"/>
          <w:kern w:val="0"/>
          <w:sz w:val="21"/>
          <w:szCs w:val="21"/>
          <w:highlight w:val="none"/>
        </w:rPr>
      </w:pPr>
      <w:r>
        <w:rPr>
          <w:rFonts w:ascii="宋体" w:hAnsi="宋体" w:cs="宋体"/>
          <w:color w:val="auto"/>
          <w:spacing w:val="-6"/>
          <w:kern w:val="0"/>
          <w:sz w:val="21"/>
          <w:szCs w:val="21"/>
          <w:highlight w:val="none"/>
        </w:rPr>
        <w:br w:type="page"/>
      </w:r>
      <w:r>
        <w:rPr>
          <w:rFonts w:hint="eastAsia" w:ascii="宋体" w:hAnsi="宋体"/>
          <w:b/>
          <w:color w:val="auto"/>
          <w:sz w:val="32"/>
          <w:szCs w:val="32"/>
          <w:highlight w:val="none"/>
        </w:rPr>
        <w:t xml:space="preserve">第二章  </w:t>
      </w:r>
      <w:r>
        <w:rPr>
          <w:rFonts w:hint="eastAsia" w:ascii="宋体" w:hAnsi="宋体"/>
          <w:b/>
          <w:bCs/>
          <w:color w:val="auto"/>
          <w:sz w:val="32"/>
          <w:szCs w:val="32"/>
          <w:highlight w:val="none"/>
        </w:rPr>
        <w:t>采购需求</w:t>
      </w:r>
    </w:p>
    <w:p>
      <w:pPr>
        <w:spacing w:line="288" w:lineRule="auto"/>
        <w:outlineLvl w:val="1"/>
        <w:rPr>
          <w:rFonts w:ascii="宋体" w:hAnsi="宋体"/>
          <w:b/>
          <w:color w:val="auto"/>
          <w:sz w:val="24"/>
          <w:highlight w:val="none"/>
        </w:rPr>
      </w:pPr>
      <w:r>
        <w:rPr>
          <w:rFonts w:hint="eastAsia" w:ascii="宋体" w:hAnsi="宋体"/>
          <w:b/>
          <w:color w:val="auto"/>
          <w:sz w:val="24"/>
          <w:highlight w:val="none"/>
        </w:rPr>
        <w:t>一</w:t>
      </w:r>
      <w:r>
        <w:rPr>
          <w:rFonts w:ascii="宋体" w:hAnsi="宋体"/>
          <w:b/>
          <w:color w:val="auto"/>
          <w:sz w:val="24"/>
          <w:highlight w:val="none"/>
        </w:rPr>
        <w:t>、</w:t>
      </w:r>
      <w:r>
        <w:rPr>
          <w:rFonts w:hint="eastAsia" w:ascii="宋体" w:hAnsi="宋体"/>
          <w:b/>
          <w:color w:val="auto"/>
          <w:sz w:val="24"/>
          <w:highlight w:val="none"/>
        </w:rPr>
        <w:t>采购资金的支付方式、时间、条件：</w:t>
      </w:r>
    </w:p>
    <w:tbl>
      <w:tblPr>
        <w:tblStyle w:val="21"/>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b/>
                <w:color w:val="auto"/>
                <w:spacing w:val="-6"/>
                <w:sz w:val="21"/>
                <w:szCs w:val="21"/>
                <w:highlight w:val="none"/>
              </w:rPr>
            </w:pPr>
            <w:r>
              <w:rPr>
                <w:rFonts w:hint="eastAsia" w:ascii="宋体" w:hAnsi="宋体"/>
                <w:b/>
                <w:color w:val="auto"/>
                <w:spacing w:val="-6"/>
                <w:sz w:val="21"/>
                <w:szCs w:val="21"/>
                <w:highlight w:val="none"/>
              </w:rPr>
              <w:t>▲付款方式</w:t>
            </w:r>
          </w:p>
        </w:tc>
        <w:tc>
          <w:tcPr>
            <w:tcW w:w="7655" w:type="dxa"/>
            <w:tcBorders>
              <w:top w:val="single" w:color="auto" w:sz="4" w:space="0"/>
              <w:left w:val="single" w:color="auto" w:sz="4" w:space="0"/>
              <w:bottom w:val="single" w:color="auto" w:sz="4" w:space="0"/>
              <w:right w:val="single" w:color="auto" w:sz="4" w:space="0"/>
            </w:tcBorders>
            <w:vAlign w:val="center"/>
          </w:tcPr>
          <w:p>
            <w:pPr>
              <w:spacing w:line="288" w:lineRule="auto"/>
              <w:rPr>
                <w:rFonts w:hint="eastAsia" w:ascii="宋体" w:hAnsi="宋体" w:eastAsia="宋体"/>
                <w:color w:val="auto"/>
                <w:spacing w:val="-6"/>
                <w:sz w:val="21"/>
                <w:szCs w:val="21"/>
                <w:highlight w:val="none"/>
                <w:lang w:val="en-US" w:eastAsia="zh-CN"/>
              </w:rPr>
            </w:pPr>
            <w:r>
              <w:rPr>
                <w:rFonts w:hint="eastAsia" w:ascii="宋体" w:hAnsi="宋体"/>
                <w:color w:val="auto"/>
                <w:spacing w:val="-6"/>
                <w:sz w:val="21"/>
                <w:szCs w:val="21"/>
                <w:highlight w:val="none"/>
              </w:rPr>
              <w:t>项目到货并经监理认可后支付30%，完成云部署后支付50%，完成1个信息系统的应用后支付尾款</w:t>
            </w:r>
            <w:r>
              <w:rPr>
                <w:rFonts w:hint="eastAsia" w:ascii="宋体" w:hAnsi="宋体"/>
                <w:color w:val="auto"/>
                <w:spacing w:val="-6"/>
                <w:sz w:val="21"/>
                <w:szCs w:val="21"/>
                <w:highlight w:val="none"/>
                <w:lang w:eastAsia="zh-CN"/>
              </w:rPr>
              <w:t>。</w:t>
            </w:r>
          </w:p>
        </w:tc>
      </w:tr>
    </w:tbl>
    <w:p>
      <w:pPr>
        <w:spacing w:line="288" w:lineRule="auto"/>
        <w:ind w:left="272" w:hanging="272" w:hangingChars="113"/>
        <w:rPr>
          <w:rFonts w:ascii="宋体" w:hAnsi="宋体"/>
          <w:b/>
          <w:color w:val="auto"/>
          <w:sz w:val="24"/>
          <w:highlight w:val="none"/>
        </w:rPr>
      </w:pPr>
    </w:p>
    <w:p>
      <w:pPr>
        <w:spacing w:line="288" w:lineRule="auto"/>
        <w:outlineLvl w:val="1"/>
        <w:rPr>
          <w:rFonts w:ascii="宋体" w:hAnsi="宋体"/>
          <w:b/>
          <w:color w:val="auto"/>
          <w:sz w:val="24"/>
          <w:highlight w:val="none"/>
        </w:rPr>
      </w:pPr>
      <w:r>
        <w:rPr>
          <w:rFonts w:hint="eastAsia" w:ascii="宋体" w:hAnsi="宋体"/>
          <w:b/>
          <w:color w:val="auto"/>
          <w:sz w:val="24"/>
          <w:highlight w:val="none"/>
        </w:rPr>
        <w:t>二</w:t>
      </w:r>
      <w:r>
        <w:rPr>
          <w:rFonts w:ascii="宋体" w:hAnsi="宋体"/>
          <w:b/>
          <w:color w:val="auto"/>
          <w:sz w:val="24"/>
          <w:highlight w:val="none"/>
        </w:rPr>
        <w:t>、</w:t>
      </w:r>
      <w:r>
        <w:rPr>
          <w:rFonts w:hint="eastAsia" w:ascii="宋体" w:hAnsi="宋体"/>
          <w:b/>
          <w:color w:val="auto"/>
          <w:sz w:val="24"/>
          <w:highlight w:val="none"/>
        </w:rPr>
        <w:t>服务</w:t>
      </w:r>
      <w:r>
        <w:rPr>
          <w:rFonts w:ascii="宋体" w:hAnsi="宋体"/>
          <w:b/>
          <w:color w:val="auto"/>
          <w:sz w:val="24"/>
          <w:highlight w:val="none"/>
        </w:rPr>
        <w:t>要求</w:t>
      </w:r>
      <w:r>
        <w:rPr>
          <w:rFonts w:hint="eastAsia" w:ascii="宋体" w:hAnsi="宋体"/>
          <w:b/>
          <w:color w:val="auto"/>
          <w:sz w:val="24"/>
          <w:highlight w:val="none"/>
        </w:rPr>
        <w:t>（技术要求里另有注明的以技术要求为准）</w:t>
      </w:r>
      <w:r>
        <w:rPr>
          <w:rFonts w:ascii="宋体" w:hAnsi="宋体"/>
          <w:b/>
          <w:color w:val="auto"/>
          <w:sz w:val="24"/>
          <w:highlight w:val="none"/>
        </w:rPr>
        <w:t>：</w:t>
      </w:r>
    </w:p>
    <w:tbl>
      <w:tblPr>
        <w:tblStyle w:val="21"/>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auto"/>
                <w:spacing w:val="-6"/>
                <w:sz w:val="21"/>
                <w:szCs w:val="21"/>
                <w:highlight w:val="none"/>
              </w:rPr>
            </w:pPr>
            <w:r>
              <w:rPr>
                <w:rFonts w:hint="eastAsia" w:ascii="宋体" w:hAnsi="宋体"/>
                <w:color w:val="auto"/>
                <w:spacing w:val="-6"/>
                <w:sz w:val="21"/>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3年（</w:t>
            </w:r>
            <w:r>
              <w:rPr>
                <w:rFonts w:hint="eastAsia" w:ascii="宋体" w:hAnsi="宋体"/>
                <w:color w:val="auto"/>
                <w:spacing w:val="-6"/>
                <w:sz w:val="21"/>
                <w:szCs w:val="21"/>
                <w:highlight w:val="none"/>
                <w:lang w:eastAsia="zh-CN"/>
              </w:rPr>
              <w:t>签订合同时</w:t>
            </w:r>
            <w:r>
              <w:rPr>
                <w:rFonts w:hint="eastAsia" w:ascii="宋体" w:hAnsi="宋体"/>
                <w:color w:val="auto"/>
                <w:spacing w:val="-6"/>
                <w:sz w:val="21"/>
                <w:szCs w:val="21"/>
                <w:highlight w:val="none"/>
              </w:rPr>
              <w:t>提供原厂质保证明）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auto"/>
                <w:spacing w:val="-6"/>
                <w:sz w:val="21"/>
                <w:szCs w:val="21"/>
                <w:highlight w:val="none"/>
              </w:rPr>
            </w:pPr>
            <w:r>
              <w:rPr>
                <w:rFonts w:hint="eastAsia" w:ascii="宋体" w:hAnsi="宋体"/>
                <w:color w:val="auto"/>
                <w:sz w:val="21"/>
                <w:szCs w:val="21"/>
                <w:highlight w:val="none"/>
              </w:rPr>
              <w:t>服务标准</w:t>
            </w:r>
          </w:p>
        </w:tc>
        <w:tc>
          <w:tcPr>
            <w:tcW w:w="7655"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z w:val="21"/>
                <w:szCs w:val="21"/>
                <w:highlight w:val="none"/>
              </w:rPr>
            </w:pPr>
            <w:r>
              <w:rPr>
                <w:rFonts w:hint="eastAsia" w:ascii="宋体" w:hAnsi="宋体"/>
                <w:color w:val="auto"/>
                <w:sz w:val="21"/>
                <w:szCs w:val="21"/>
                <w:highlight w:val="none"/>
              </w:rPr>
              <w:t>质保期内因不能排除的故障而影响工作的情况每发生一次，其质保期相应延长60天，质保期内因货物本身缺陷造成各种故障应由成交供应商免费予以更换，否则将扣除质量保证金作为对采购人的补偿。质保期满后，仅收取零配件成本费用，免人工费、差旅费，所涉及软件终身免费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服务</w:t>
            </w:r>
            <w:r>
              <w:rPr>
                <w:rFonts w:ascii="宋体" w:hAnsi="宋体"/>
                <w:color w:val="auto"/>
                <w:sz w:val="21"/>
                <w:szCs w:val="21"/>
                <w:highlight w:val="none"/>
              </w:rPr>
              <w:t>效率</w:t>
            </w:r>
          </w:p>
        </w:tc>
        <w:tc>
          <w:tcPr>
            <w:tcW w:w="7655"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z w:val="21"/>
                <w:szCs w:val="21"/>
                <w:highlight w:val="none"/>
              </w:rPr>
            </w:pPr>
            <w:r>
              <w:rPr>
                <w:rFonts w:hint="eastAsia" w:ascii="宋体" w:hAnsi="宋体"/>
                <w:color w:val="auto"/>
                <w:sz w:val="21"/>
                <w:szCs w:val="21"/>
                <w:highlight w:val="none"/>
              </w:rPr>
              <w:t>合同货物出现故障后，成交供应商接到采购人通知应在不超过2小时内做出响应，不超过2个工作日内解决故障。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auto"/>
                <w:spacing w:val="-6"/>
                <w:sz w:val="21"/>
                <w:szCs w:val="21"/>
                <w:highlight w:val="none"/>
              </w:rPr>
            </w:pPr>
            <w:r>
              <w:rPr>
                <w:rFonts w:hint="eastAsia" w:ascii="宋体" w:hAnsi="宋体"/>
                <w:color w:val="auto"/>
                <w:spacing w:val="-6"/>
                <w:sz w:val="21"/>
                <w:szCs w:val="21"/>
                <w:highlight w:val="none"/>
              </w:rPr>
              <w:t>交付时间和地点</w:t>
            </w:r>
          </w:p>
        </w:tc>
        <w:tc>
          <w:tcPr>
            <w:tcW w:w="7655"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交付时间：合同签订后30日内交付并安装完毕。</w:t>
            </w:r>
          </w:p>
          <w:p>
            <w:pPr>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auto"/>
                <w:spacing w:val="-6"/>
                <w:sz w:val="21"/>
                <w:szCs w:val="21"/>
                <w:highlight w:val="none"/>
              </w:rPr>
            </w:pPr>
            <w:r>
              <w:rPr>
                <w:rFonts w:hint="eastAsia" w:ascii="宋体" w:hAnsi="宋体"/>
                <w:color w:val="auto"/>
                <w:spacing w:val="-6"/>
                <w:sz w:val="21"/>
                <w:szCs w:val="21"/>
                <w:highlight w:val="none"/>
              </w:rPr>
              <w:t>验收</w:t>
            </w:r>
            <w:r>
              <w:rPr>
                <w:rFonts w:ascii="宋体" w:hAnsi="宋体"/>
                <w:color w:val="auto"/>
                <w:spacing w:val="-6"/>
                <w:sz w:val="21"/>
                <w:szCs w:val="21"/>
                <w:highlight w:val="none"/>
              </w:rPr>
              <w:t>标准</w:t>
            </w:r>
          </w:p>
        </w:tc>
        <w:tc>
          <w:tcPr>
            <w:tcW w:w="7655"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z w:val="21"/>
                <w:szCs w:val="21"/>
                <w:highlight w:val="none"/>
              </w:rPr>
            </w:pPr>
            <w:r>
              <w:rPr>
                <w:rFonts w:hint="eastAsia" w:ascii="宋体" w:hAnsi="宋体"/>
                <w:color w:val="auto"/>
                <w:sz w:val="21"/>
                <w:szCs w:val="21"/>
                <w:highlight w:val="none"/>
              </w:rPr>
              <w:t>1.成交供应商应提供合同货物的有效检验文件，经采购人认可后，与合同的性能指标一起作为合同货物验收标准。采购人对样品（如有）验收合格后，双方共同签署验收样品合格证书，在合同期限内采购人将对成交供应商提供的货物进行抽检验收，验收中发现合同货物达不到样品验收标准或合同规定的性能指标，成交供应商必须更换合同货物，并负担由此给采购人造成的损失，直到验收合格为止。</w:t>
            </w:r>
          </w:p>
          <w:p>
            <w:pPr>
              <w:spacing w:line="288" w:lineRule="auto"/>
              <w:rPr>
                <w:rFonts w:ascii="宋体" w:hAnsi="宋体"/>
                <w:color w:val="auto"/>
                <w:sz w:val="21"/>
                <w:szCs w:val="21"/>
                <w:highlight w:val="none"/>
              </w:rPr>
            </w:pPr>
            <w:r>
              <w:rPr>
                <w:rFonts w:hint="eastAsia" w:ascii="宋体" w:hAnsi="宋体"/>
                <w:color w:val="auto"/>
                <w:sz w:val="21"/>
                <w:szCs w:val="21"/>
                <w:highlight w:val="none"/>
              </w:rPr>
              <w:t>2.供应商应于响应文件中提供合同货物的验收标准和检测办法，并在验收中提供采购人认可的相应检测手段，验收标准应符合中国有关的国家、地方、行业的标准，如若成交，经采购人确认后作为验收的依据。</w:t>
            </w:r>
          </w:p>
          <w:p>
            <w:pPr>
              <w:spacing w:line="288" w:lineRule="auto"/>
              <w:rPr>
                <w:rFonts w:ascii="宋体" w:hAnsi="宋体"/>
                <w:color w:val="auto"/>
                <w:sz w:val="21"/>
                <w:szCs w:val="21"/>
                <w:highlight w:val="none"/>
              </w:rPr>
            </w:pPr>
            <w:r>
              <w:rPr>
                <w:rFonts w:hint="eastAsia" w:ascii="宋体" w:hAnsi="宋体"/>
                <w:color w:val="auto"/>
                <w:sz w:val="21"/>
                <w:szCs w:val="21"/>
                <w:highlight w:val="none"/>
              </w:rPr>
              <w:t>3.如成交供应商委托国内代理（或其他机构）负责安装或配合安装，应在签约时指明，但成交供应商仍要对合同货物及其安装质量负全部责任。</w:t>
            </w:r>
          </w:p>
          <w:p>
            <w:pPr>
              <w:spacing w:line="288" w:lineRule="auto"/>
              <w:rPr>
                <w:rFonts w:ascii="宋体" w:hAnsi="宋体"/>
                <w:color w:val="auto"/>
                <w:sz w:val="21"/>
                <w:szCs w:val="21"/>
                <w:highlight w:val="none"/>
              </w:rPr>
            </w:pPr>
            <w:r>
              <w:rPr>
                <w:rFonts w:hint="eastAsia" w:ascii="宋体" w:hAnsi="宋体"/>
                <w:color w:val="auto"/>
                <w:sz w:val="21"/>
                <w:szCs w:val="21"/>
                <w:highlight w:val="none"/>
              </w:rPr>
              <w:t>4.验收费用由成交供应商承担。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auto"/>
                <w:spacing w:val="-6"/>
                <w:sz w:val="21"/>
                <w:szCs w:val="21"/>
                <w:highlight w:val="none"/>
              </w:rPr>
            </w:pPr>
            <w:r>
              <w:rPr>
                <w:rFonts w:ascii="宋体" w:hAnsi="宋体"/>
                <w:color w:val="auto"/>
                <w:sz w:val="21"/>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z w:val="21"/>
                <w:szCs w:val="21"/>
                <w:highlight w:val="none"/>
              </w:rPr>
            </w:pPr>
            <w:r>
              <w:rPr>
                <w:rFonts w:hint="eastAsia" w:ascii="宋体" w:hAnsi="宋体"/>
                <w:color w:val="auto"/>
                <w:sz w:val="21"/>
                <w:szCs w:val="21"/>
                <w:highlight w:val="none"/>
              </w:rPr>
              <w:t>1.培训：</w:t>
            </w:r>
          </w:p>
          <w:p>
            <w:pPr>
              <w:spacing w:line="288" w:lineRule="auto"/>
              <w:rPr>
                <w:rFonts w:ascii="宋体" w:hAnsi="宋体"/>
                <w:color w:val="auto"/>
                <w:sz w:val="21"/>
                <w:szCs w:val="21"/>
                <w:highlight w:val="none"/>
              </w:rPr>
            </w:pPr>
            <w:r>
              <w:rPr>
                <w:rFonts w:hint="eastAsia" w:ascii="宋体" w:hAnsi="宋体"/>
                <w:color w:val="auto"/>
                <w:sz w:val="21"/>
                <w:szCs w:val="21"/>
                <w:highlight w:val="none"/>
              </w:rPr>
              <w:t>1.1 成交供应商应对采购人的操作人员、维修人员免费进行培训。</w:t>
            </w:r>
          </w:p>
          <w:p>
            <w:pPr>
              <w:spacing w:line="288" w:lineRule="auto"/>
              <w:rPr>
                <w:rFonts w:ascii="宋体" w:hAnsi="宋体"/>
                <w:color w:val="auto"/>
                <w:sz w:val="21"/>
                <w:szCs w:val="21"/>
                <w:highlight w:val="none"/>
              </w:rPr>
            </w:pPr>
            <w:r>
              <w:rPr>
                <w:rFonts w:hint="eastAsia" w:ascii="宋体" w:hAnsi="宋体"/>
                <w:color w:val="auto"/>
                <w:sz w:val="21"/>
                <w:szCs w:val="21"/>
                <w:highlight w:val="none"/>
              </w:rPr>
              <w:t>1.2 成交供应商应提供相应的培训计划。</w:t>
            </w:r>
          </w:p>
          <w:p>
            <w:pPr>
              <w:spacing w:line="288" w:lineRule="auto"/>
              <w:rPr>
                <w:rFonts w:ascii="宋体" w:hAnsi="宋体"/>
                <w:color w:val="auto"/>
                <w:sz w:val="21"/>
                <w:szCs w:val="21"/>
                <w:highlight w:val="none"/>
              </w:rPr>
            </w:pPr>
            <w:r>
              <w:rPr>
                <w:rFonts w:hint="eastAsia" w:ascii="宋体" w:hAnsi="宋体"/>
                <w:color w:val="auto"/>
                <w:sz w:val="21"/>
                <w:szCs w:val="21"/>
                <w:highlight w:val="none"/>
              </w:rPr>
              <w:t>1.3 成交供应商应对上述内容的实现方式、地点、人数、时间在响应文件中详细说明。</w:t>
            </w:r>
          </w:p>
          <w:p>
            <w:pPr>
              <w:spacing w:line="288" w:lineRule="auto"/>
              <w:rPr>
                <w:rFonts w:ascii="宋体" w:hAnsi="宋体"/>
                <w:color w:val="auto"/>
                <w:sz w:val="21"/>
                <w:szCs w:val="21"/>
                <w:highlight w:val="none"/>
              </w:rPr>
            </w:pPr>
            <w:r>
              <w:rPr>
                <w:rFonts w:hint="eastAsia" w:ascii="宋体" w:hAnsi="宋体"/>
                <w:color w:val="auto"/>
                <w:sz w:val="21"/>
                <w:szCs w:val="21"/>
                <w:highlight w:val="none"/>
              </w:rPr>
              <w:t>2.技术支持：</w:t>
            </w:r>
          </w:p>
          <w:p>
            <w:pPr>
              <w:spacing w:line="288" w:lineRule="auto"/>
              <w:rPr>
                <w:rFonts w:ascii="宋体" w:hAnsi="宋体"/>
                <w:color w:val="auto"/>
                <w:sz w:val="21"/>
                <w:szCs w:val="21"/>
                <w:highlight w:val="none"/>
              </w:rPr>
            </w:pPr>
            <w:r>
              <w:rPr>
                <w:rFonts w:hint="eastAsia" w:ascii="宋体" w:hAnsi="宋体"/>
                <w:color w:val="auto"/>
                <w:sz w:val="21"/>
                <w:szCs w:val="21"/>
                <w:highlight w:val="none"/>
              </w:rPr>
              <w:t>成交供应商应及时免费提供合同货物软件的升级，免费提供合同货物新功能和应用的资料。</w:t>
            </w:r>
          </w:p>
          <w:p>
            <w:pPr>
              <w:spacing w:line="288" w:lineRule="auto"/>
              <w:rPr>
                <w:rFonts w:ascii="宋体" w:hAnsi="宋体"/>
                <w:color w:val="auto"/>
                <w:sz w:val="21"/>
                <w:szCs w:val="21"/>
                <w:highlight w:val="none"/>
              </w:rPr>
            </w:pPr>
            <w:r>
              <w:rPr>
                <w:rFonts w:hint="eastAsia" w:ascii="宋体" w:hAnsi="宋体"/>
                <w:color w:val="auto"/>
                <w:sz w:val="21"/>
                <w:szCs w:val="21"/>
                <w:highlight w:val="none"/>
              </w:rPr>
              <w:t>3.安装调试（若需要安装调试）：</w:t>
            </w:r>
          </w:p>
          <w:p>
            <w:pPr>
              <w:spacing w:line="288" w:lineRule="auto"/>
              <w:rPr>
                <w:rFonts w:ascii="宋体" w:hAnsi="宋体"/>
                <w:color w:val="auto"/>
                <w:sz w:val="21"/>
                <w:szCs w:val="21"/>
                <w:highlight w:val="none"/>
              </w:rPr>
            </w:pPr>
            <w:r>
              <w:rPr>
                <w:rFonts w:hint="eastAsia" w:ascii="宋体" w:hAnsi="宋体"/>
                <w:color w:val="auto"/>
                <w:sz w:val="21"/>
                <w:szCs w:val="21"/>
                <w:highlight w:val="none"/>
              </w:rPr>
              <w:t>3.1 安装地点：采购人指定地点。</w:t>
            </w:r>
          </w:p>
          <w:p>
            <w:pPr>
              <w:spacing w:line="288" w:lineRule="auto"/>
              <w:rPr>
                <w:rFonts w:ascii="宋体" w:hAnsi="宋体"/>
                <w:color w:val="auto"/>
                <w:sz w:val="21"/>
                <w:szCs w:val="21"/>
                <w:highlight w:val="none"/>
              </w:rPr>
            </w:pPr>
            <w:r>
              <w:rPr>
                <w:rFonts w:hint="eastAsia" w:ascii="宋体" w:hAnsi="宋体"/>
                <w:color w:val="auto"/>
                <w:sz w:val="21"/>
                <w:szCs w:val="21"/>
                <w:highlight w:val="none"/>
              </w:rPr>
              <w:t>3.2 安装完成时间：接到采购人通知后在7日内完成安装和调试，如在规定的时间内由于成交供应商的原因不能完成安装和调试，成交供应商应承担由此给采购人造成的损失。</w:t>
            </w:r>
          </w:p>
          <w:p>
            <w:pPr>
              <w:spacing w:line="288" w:lineRule="auto"/>
              <w:rPr>
                <w:rFonts w:ascii="宋体" w:hAnsi="宋体"/>
                <w:color w:val="auto"/>
                <w:sz w:val="21"/>
                <w:szCs w:val="21"/>
                <w:highlight w:val="none"/>
              </w:rPr>
            </w:pPr>
            <w:r>
              <w:rPr>
                <w:rFonts w:hint="eastAsia" w:ascii="宋体" w:hAnsi="宋体"/>
                <w:color w:val="auto"/>
                <w:sz w:val="21"/>
                <w:szCs w:val="21"/>
                <w:highlight w:val="none"/>
              </w:rPr>
              <w:t>3.3 安装标准：符合我国国家有关技术规范要求和技术标准，所有的软件和硬件必须保证同时安装到位。</w:t>
            </w:r>
          </w:p>
          <w:p>
            <w:pPr>
              <w:spacing w:line="288" w:lineRule="auto"/>
              <w:rPr>
                <w:rFonts w:ascii="宋体" w:hAnsi="宋体"/>
                <w:color w:val="auto"/>
                <w:sz w:val="21"/>
                <w:szCs w:val="21"/>
                <w:highlight w:val="none"/>
              </w:rPr>
            </w:pPr>
            <w:r>
              <w:rPr>
                <w:rFonts w:hint="eastAsia" w:ascii="宋体" w:hAnsi="宋体"/>
                <w:color w:val="auto"/>
                <w:sz w:val="21"/>
                <w:szCs w:val="21"/>
                <w:highlight w:val="none"/>
              </w:rPr>
              <w:t>3.4 成交供应商免费提供合同货物的安装服务。</w:t>
            </w:r>
          </w:p>
          <w:p>
            <w:pPr>
              <w:spacing w:line="288" w:lineRule="auto"/>
              <w:rPr>
                <w:rFonts w:ascii="宋体" w:hAnsi="宋体"/>
                <w:color w:val="auto"/>
                <w:sz w:val="21"/>
                <w:szCs w:val="21"/>
                <w:highlight w:val="none"/>
              </w:rPr>
            </w:pPr>
            <w:r>
              <w:rPr>
                <w:rFonts w:hint="eastAsia" w:ascii="宋体" w:hAnsi="宋体"/>
                <w:color w:val="auto"/>
                <w:sz w:val="21"/>
                <w:szCs w:val="21"/>
                <w:highlight w:val="none"/>
              </w:rPr>
              <w:t>3.5 成交供应商在响应文件中应提供安装调试计划、对安装场地和环境的要求。</w:t>
            </w:r>
          </w:p>
        </w:tc>
      </w:tr>
    </w:tbl>
    <w:p>
      <w:pPr>
        <w:spacing w:line="288" w:lineRule="auto"/>
        <w:rPr>
          <w:rFonts w:ascii="宋体" w:hAnsi="宋体"/>
          <w:color w:val="auto"/>
          <w:sz w:val="21"/>
          <w:szCs w:val="21"/>
          <w:highlight w:val="none"/>
        </w:rPr>
      </w:pPr>
    </w:p>
    <w:p>
      <w:pPr>
        <w:spacing w:line="288" w:lineRule="auto"/>
        <w:outlineLvl w:val="1"/>
        <w:rPr>
          <w:rFonts w:ascii="宋体" w:hAnsi="宋体"/>
          <w:b/>
          <w:color w:val="auto"/>
          <w:sz w:val="24"/>
          <w:highlight w:val="none"/>
        </w:rPr>
      </w:pPr>
      <w:r>
        <w:rPr>
          <w:rFonts w:hint="eastAsia" w:ascii="宋体" w:hAnsi="宋体"/>
          <w:b/>
          <w:color w:val="auto"/>
          <w:sz w:val="24"/>
          <w:highlight w:val="none"/>
        </w:rPr>
        <w:t>三</w:t>
      </w:r>
      <w:r>
        <w:rPr>
          <w:rFonts w:ascii="宋体" w:hAnsi="宋体"/>
          <w:b/>
          <w:color w:val="auto"/>
          <w:sz w:val="24"/>
          <w:highlight w:val="none"/>
        </w:rPr>
        <w:t>、技术要求</w:t>
      </w:r>
      <w:r>
        <w:rPr>
          <w:rFonts w:hint="eastAsia" w:ascii="宋体" w:hAnsi="宋体"/>
          <w:b/>
          <w:color w:val="auto"/>
          <w:sz w:val="24"/>
          <w:highlight w:val="none"/>
        </w:rPr>
        <w:t>：</w:t>
      </w:r>
    </w:p>
    <w:p>
      <w:pPr>
        <w:spacing w:line="288" w:lineRule="auto"/>
        <w:ind w:firstLine="422" w:firstLineChars="200"/>
        <w:rPr>
          <w:rFonts w:ascii="宋体" w:hAnsi="宋体"/>
          <w:b/>
          <w:bCs/>
          <w:color w:val="auto"/>
          <w:sz w:val="21"/>
          <w:szCs w:val="21"/>
          <w:highlight w:val="none"/>
        </w:rPr>
      </w:pPr>
      <w:r>
        <w:rPr>
          <w:rFonts w:hint="eastAsia" w:ascii="宋体" w:hAnsi="宋体"/>
          <w:b/>
          <w:bCs/>
          <w:color w:val="auto"/>
          <w:sz w:val="21"/>
          <w:szCs w:val="21"/>
          <w:highlight w:val="none"/>
        </w:rPr>
        <w:t>（一）项目概况</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经过十几年的发展，我国各个行业信息化基础不断完备，同时伴随着云计算技术的飞速发展，当前很多机构、单位的业务都开始采用云部署，实现数据向服务的转化。云环境下，数据完全暴露在互联网上，运维环境越来越复杂，安全运维的管控思路也在在悄悄变化，整体的安全运维形势不容乐观。为了保障云平台上数据的安全，必须构建起全面有效地数据安全运维平台。</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2019年5月13日，网络安全等级保护技术2.0版本（简称等保2.0）正式公开发布，在1.0标准的基础上，注重全方位主动防御、安全可信、动态感知和全面审计。其中，主管单位明确要求在金融、电力、广电、医疗、教育等行业，从业机构的信息系统要开展等级保护工作；信息系统运营、使用单位通过开展等级保护工作可以发现系统内部的安全隐患与不足之处，可通过安全整改提升系统的安全防护能力，降低被攻击的风险。</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在此环境下，必须能够搭建一个适用的、有效的数据安全运维平台，在云环境下提供一个针对数据的涵盖事前、事中、事后全生命周期的安全服务。</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清单如下：</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2141"/>
        <w:gridCol w:w="804"/>
        <w:gridCol w:w="5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b/>
                <w:bCs/>
                <w:color w:val="auto"/>
                <w:sz w:val="21"/>
                <w:szCs w:val="21"/>
                <w:highlight w:val="none"/>
              </w:rPr>
            </w:pPr>
            <w:r>
              <w:rPr>
                <w:rFonts w:hint="eastAsia" w:ascii="宋体" w:hAnsi="宋体"/>
                <w:b/>
                <w:bCs/>
                <w:color w:val="auto"/>
                <w:sz w:val="21"/>
                <w:szCs w:val="21"/>
                <w:highlight w:val="none"/>
              </w:rPr>
              <w:t>序号</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b/>
                <w:bCs/>
                <w:color w:val="auto"/>
                <w:sz w:val="21"/>
                <w:szCs w:val="21"/>
                <w:highlight w:val="none"/>
              </w:rPr>
            </w:pPr>
            <w:r>
              <w:rPr>
                <w:rFonts w:hint="eastAsia" w:ascii="宋体" w:hAnsi="宋体"/>
                <w:b/>
                <w:bCs/>
                <w:color w:val="auto"/>
                <w:sz w:val="21"/>
                <w:szCs w:val="21"/>
                <w:highlight w:val="none"/>
              </w:rPr>
              <w:t>产品</w:t>
            </w:r>
            <w:r>
              <w:rPr>
                <w:rFonts w:ascii="宋体" w:hAnsi="宋体"/>
                <w:b/>
                <w:bCs/>
                <w:color w:val="auto"/>
                <w:sz w:val="21"/>
                <w:szCs w:val="21"/>
                <w:highlight w:val="none"/>
              </w:rPr>
              <w:t>名称</w:t>
            </w:r>
          </w:p>
        </w:tc>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b/>
                <w:bCs/>
                <w:color w:val="auto"/>
                <w:sz w:val="21"/>
                <w:szCs w:val="21"/>
                <w:highlight w:val="none"/>
              </w:rPr>
            </w:pPr>
            <w:r>
              <w:rPr>
                <w:rFonts w:hint="eastAsia" w:ascii="宋体" w:hAnsi="宋体"/>
                <w:b/>
                <w:bCs/>
                <w:color w:val="auto"/>
                <w:sz w:val="21"/>
                <w:szCs w:val="21"/>
                <w:highlight w:val="none"/>
              </w:rPr>
              <w:t>数量</w:t>
            </w:r>
          </w:p>
        </w:tc>
        <w:tc>
          <w:tcPr>
            <w:tcW w:w="593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b/>
                <w:bCs/>
                <w:color w:val="auto"/>
                <w:sz w:val="21"/>
                <w:szCs w:val="21"/>
                <w:highlight w:val="none"/>
              </w:rPr>
            </w:pPr>
            <w:r>
              <w:rPr>
                <w:rFonts w:hint="eastAsia" w:ascii="宋体" w:hAnsi="宋体"/>
                <w:b/>
                <w:bCs/>
                <w:color w:val="auto"/>
                <w:sz w:val="21"/>
                <w:szCs w:val="21"/>
                <w:highlight w:val="none"/>
              </w:rPr>
              <w:t>产品</w:t>
            </w:r>
            <w:r>
              <w:rPr>
                <w:rFonts w:ascii="宋体" w:hAnsi="宋体"/>
                <w:b/>
                <w:bCs/>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1</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数据库运维系统</w:t>
            </w:r>
          </w:p>
        </w:tc>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1套</w:t>
            </w:r>
          </w:p>
        </w:tc>
        <w:tc>
          <w:tcPr>
            <w:tcW w:w="593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数据库运维系统是一个对应用透明的，可以实现数据库运维工具管理、运维人员管理的系统，包括：敏感数据定义和分级分类管理；限制特权账户随意访问敏感数据；数据库准入管理；授权等机制对运维人员进行合规管理；限制针对敏感数据的危险操作；提供全面风险监控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2</w:t>
            </w:r>
          </w:p>
        </w:tc>
        <w:tc>
          <w:tcPr>
            <w:tcW w:w="21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数据库审计系统</w:t>
            </w:r>
          </w:p>
        </w:tc>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1套</w:t>
            </w:r>
          </w:p>
        </w:tc>
        <w:tc>
          <w:tcPr>
            <w:tcW w:w="593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主要用于对数据库的各类操作行为的监控和记录，是数据库之外的第三方独立审计系统，能够解析网络流量中的数据库协议，并对其中的SQL语句和语法进行提取分析，解析、还原对数据库操作的行为，并根据预先设置的策略进行告警和记录，以供日后进行查询、分析、溯源，实现对数据库的监控和审计。</w:t>
            </w:r>
          </w:p>
        </w:tc>
      </w:tr>
    </w:tbl>
    <w:p>
      <w:pPr>
        <w:spacing w:line="288" w:lineRule="auto"/>
        <w:rPr>
          <w:rFonts w:ascii="宋体" w:hAnsi="宋体"/>
          <w:color w:val="auto"/>
          <w:sz w:val="21"/>
          <w:szCs w:val="21"/>
          <w:highlight w:val="none"/>
        </w:rPr>
      </w:pPr>
    </w:p>
    <w:p>
      <w:pPr>
        <w:spacing w:line="288" w:lineRule="auto"/>
        <w:ind w:firstLine="422" w:firstLineChars="200"/>
        <w:rPr>
          <w:rFonts w:ascii="宋体" w:hAnsi="宋体"/>
          <w:b/>
          <w:bCs/>
          <w:color w:val="auto"/>
          <w:sz w:val="21"/>
          <w:szCs w:val="21"/>
          <w:highlight w:val="none"/>
        </w:rPr>
      </w:pPr>
      <w:r>
        <w:rPr>
          <w:rFonts w:hint="eastAsia" w:ascii="宋体" w:hAnsi="宋体"/>
          <w:b/>
          <w:bCs/>
          <w:color w:val="auto"/>
          <w:sz w:val="21"/>
          <w:szCs w:val="21"/>
          <w:highlight w:val="none"/>
        </w:rPr>
        <w:t>（二）数据库运维系统技术指标要求</w:t>
      </w:r>
    </w:p>
    <w:tbl>
      <w:tblPr>
        <w:tblStyle w:val="21"/>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187"/>
        <w:gridCol w:w="7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b/>
                <w:bCs/>
                <w:color w:val="auto"/>
                <w:sz w:val="21"/>
                <w:szCs w:val="21"/>
                <w:highlight w:val="none"/>
              </w:rPr>
            </w:pPr>
            <w:r>
              <w:rPr>
                <w:rFonts w:hint="eastAsia" w:ascii="宋体" w:hAnsi="宋体"/>
                <w:b/>
                <w:bCs/>
                <w:color w:val="auto"/>
                <w:sz w:val="21"/>
                <w:szCs w:val="21"/>
                <w:highlight w:val="none"/>
              </w:rPr>
              <w:t>指标项</w:t>
            </w:r>
          </w:p>
        </w:tc>
        <w:tc>
          <w:tcPr>
            <w:tcW w:w="736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b/>
                <w:bCs/>
                <w:color w:val="auto"/>
                <w:sz w:val="21"/>
                <w:szCs w:val="21"/>
                <w:highlight w:val="none"/>
              </w:rPr>
            </w:pPr>
            <w:r>
              <w:rPr>
                <w:rFonts w:hint="eastAsia" w:ascii="宋体" w:hAnsi="宋体"/>
                <w:b/>
                <w:bCs/>
                <w:color w:val="auto"/>
                <w:sz w:val="21"/>
                <w:szCs w:val="21"/>
                <w:highlight w:val="none"/>
              </w:rPr>
              <w:t>详细功能要求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配置</w:t>
            </w:r>
          </w:p>
        </w:tc>
        <w:tc>
          <w:tcPr>
            <w:tcW w:w="736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至少支持2个数据库实例安全管理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云环境支持</w:t>
            </w:r>
          </w:p>
        </w:tc>
        <w:tc>
          <w:tcPr>
            <w:tcW w:w="736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支持阿里云、京东云、华为云等主要公有云环境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数据库支持</w:t>
            </w:r>
          </w:p>
        </w:tc>
        <w:tc>
          <w:tcPr>
            <w:tcW w:w="736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至少需支持包括ORACLE（单机及R</w:t>
            </w:r>
            <w:r>
              <w:rPr>
                <w:rFonts w:ascii="宋体" w:hAnsi="宋体"/>
                <w:color w:val="auto"/>
                <w:sz w:val="21"/>
                <w:szCs w:val="21"/>
                <w:highlight w:val="none"/>
              </w:rPr>
              <w:t>AC</w:t>
            </w:r>
            <w:r>
              <w:rPr>
                <w:rFonts w:hint="eastAsia" w:ascii="宋体" w:hAnsi="宋体"/>
                <w:color w:val="auto"/>
                <w:sz w:val="21"/>
                <w:szCs w:val="21"/>
                <w:highlight w:val="none"/>
              </w:rPr>
              <w:t>）、MYSQL、SQLSERVER、DB2、GBASE8.3S等主流数据库系统。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准入控制</w:t>
            </w:r>
          </w:p>
        </w:tc>
        <w:tc>
          <w:tcPr>
            <w:tcW w:w="11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多因素准入控制</w:t>
            </w:r>
          </w:p>
        </w:tc>
        <w:tc>
          <w:tcPr>
            <w:tcW w:w="736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rPr>
              <w:t>支持多维身份管理，至少包括应用程序名、IP地址、主机名、操作系统账户、数据库账户、数据库实例名、时间等因素进行任意组合，并可以组合形成新的登陆认证规则</w:t>
            </w:r>
            <w:r>
              <w:rPr>
                <w:rFonts w:hint="eastAsia" w:ascii="宋体" w:hAnsi="宋体"/>
                <w:b/>
                <w:bCs/>
                <w:color w:val="auto"/>
                <w:sz w:val="21"/>
                <w:szCs w:val="21"/>
                <w:highlight w:val="none"/>
              </w:rPr>
              <w:t>（提供功能截图证明）</w:t>
            </w:r>
            <w:r>
              <w:rPr>
                <w:rFonts w:hint="eastAsia" w:ascii="宋体"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11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736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支持对SQLPLUS、PLSQLDEV等SQL管理工具进行签名登陆验证，防止工具程序随意连接数据库。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118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应用防假冒</w:t>
            </w:r>
          </w:p>
        </w:tc>
        <w:tc>
          <w:tcPr>
            <w:tcW w:w="736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支持对假冒应用识别和拦截，防止假冒应用访问数据库。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118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软证书登录</w:t>
            </w:r>
          </w:p>
        </w:tc>
        <w:tc>
          <w:tcPr>
            <w:tcW w:w="736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支持软证书方式进行证书登陆验证，从而对自然人进行识别和控制，可以为相关人员分为唯一的数字证书，实现对自然人的唯一验证，实现登陆过程不可抵赖。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11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防撞库</w:t>
            </w:r>
          </w:p>
          <w:p>
            <w:pPr>
              <w:jc w:val="center"/>
              <w:rPr>
                <w:rFonts w:ascii="宋体" w:hAnsi="宋体"/>
                <w:color w:val="auto"/>
                <w:sz w:val="21"/>
                <w:szCs w:val="21"/>
                <w:highlight w:val="none"/>
              </w:rPr>
            </w:pPr>
            <w:r>
              <w:rPr>
                <w:rFonts w:hint="eastAsia" w:ascii="宋体" w:hAnsi="宋体"/>
                <w:color w:val="auto"/>
                <w:sz w:val="21"/>
                <w:szCs w:val="21"/>
                <w:highlight w:val="none"/>
              </w:rPr>
              <w:t>(密码泄露防护</w:t>
            </w:r>
            <w:r>
              <w:rPr>
                <w:rFonts w:ascii="宋体" w:hAnsi="宋体"/>
                <w:color w:val="auto"/>
                <w:sz w:val="21"/>
                <w:szCs w:val="21"/>
                <w:highlight w:val="none"/>
              </w:rPr>
              <w:t>)</w:t>
            </w:r>
          </w:p>
        </w:tc>
        <w:tc>
          <w:tcPr>
            <w:tcW w:w="736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支持检测和审计密码猜测行为，通过设置密码输入错误次数限制进行防护。达到密码输入错误次数，自动锁定攻击终端，支持自动解锁和手工解锁。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11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736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在数据库用户密码被泄露的情形下，仍能阻止非法用户登陆目标数据库，解决仅依靠密码认证带来的安全不足问题。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118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免密登录</w:t>
            </w:r>
          </w:p>
        </w:tc>
        <w:tc>
          <w:tcPr>
            <w:tcW w:w="736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rPr>
              <w:t>支持免密登录功能，当数据库管理人员需要登录数据库时，无需输入数据库用户名密码，避免数据库用户和密码泄露</w:t>
            </w:r>
            <w:r>
              <w:rPr>
                <w:rFonts w:hint="eastAsia" w:ascii="宋体" w:hAnsi="宋体"/>
                <w:b/>
                <w:bCs/>
                <w:color w:val="auto"/>
                <w:sz w:val="21"/>
                <w:szCs w:val="21"/>
                <w:highlight w:val="none"/>
              </w:rPr>
              <w:t>（提供功能截图证明）</w:t>
            </w:r>
            <w:r>
              <w:rPr>
                <w:rFonts w:hint="eastAsia" w:ascii="宋体"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访问控制</w:t>
            </w:r>
          </w:p>
        </w:tc>
        <w:tc>
          <w:tcPr>
            <w:tcW w:w="118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特权账户管理</w:t>
            </w:r>
          </w:p>
        </w:tc>
        <w:tc>
          <w:tcPr>
            <w:tcW w:w="736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rPr>
              <w:t>支持特权用户访问控制（如：DBA\SYSDBA\Schema User\any权限等用户），实现特权用户三权分立管理，满足等级保护等法规对安全管理的要求</w:t>
            </w:r>
            <w:r>
              <w:rPr>
                <w:rFonts w:hint="eastAsia" w:ascii="宋体" w:hAnsi="宋体"/>
                <w:b/>
                <w:bCs/>
                <w:color w:val="auto"/>
                <w:sz w:val="21"/>
                <w:szCs w:val="21"/>
                <w:highlight w:val="none"/>
              </w:rPr>
              <w:t>（提供功能截图证明）</w:t>
            </w:r>
            <w:r>
              <w:rPr>
                <w:rFonts w:hint="eastAsia" w:ascii="宋体"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11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敏感数据访问控制</w:t>
            </w:r>
          </w:p>
        </w:tc>
        <w:tc>
          <w:tcPr>
            <w:tcW w:w="736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rPr>
              <w:t>针对敏感数据集合的访问，需要要经过授权，不具备访问权限的操作，明确阻断拒绝，并提示“安全权限不足错误”</w:t>
            </w:r>
            <w:r>
              <w:rPr>
                <w:rFonts w:hint="eastAsia" w:ascii="宋体" w:hAnsi="宋体"/>
                <w:b/>
                <w:bCs/>
                <w:color w:val="auto"/>
                <w:sz w:val="21"/>
                <w:szCs w:val="21"/>
                <w:highlight w:val="none"/>
              </w:rPr>
              <w:t>（提供功能截图证明）</w:t>
            </w:r>
            <w:r>
              <w:rPr>
                <w:rFonts w:hint="eastAsia" w:ascii="宋体"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11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736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敏感数据支持设置访问规则，访问规则中可设定精细化的访问因子（如应用程序名、IP地址、主机名、操作系统账户、数据库账户、数据库实例名、时间等条件），满足规则条件方可访问敏感数据。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11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736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支持限制特定的过程、函数、包等对象访问敏感数据</w:t>
            </w:r>
            <w:r>
              <w:rPr>
                <w:rFonts w:hint="eastAsia" w:ascii="宋体" w:hAnsi="宋体"/>
                <w:b/>
                <w:bCs/>
                <w:color w:val="auto"/>
                <w:sz w:val="21"/>
                <w:szCs w:val="21"/>
                <w:highlight w:val="none"/>
              </w:rPr>
              <w:t>（提供功能截图证明）</w:t>
            </w:r>
            <w:r>
              <w:rPr>
                <w:rFonts w:hint="eastAsia" w:ascii="宋体"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11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736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可设置敏感标签身份，自动具备合法访问敏感数据的权限。未明确注册的身份，默认表示为不合法身份，不能访问敏感表格。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118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行数阈值管控</w:t>
            </w:r>
          </w:p>
        </w:tc>
        <w:tc>
          <w:tcPr>
            <w:tcW w:w="736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支持访问返回行数控制，对批量下载、更新等操作的控制，避免海量数据泄漏。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118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访问频次控制</w:t>
            </w:r>
          </w:p>
        </w:tc>
        <w:tc>
          <w:tcPr>
            <w:tcW w:w="736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支持访问频次控制，避免一定时间内的高批次访问，避免非法人员通过高频访问快速窃取业务数据。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118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敏感SQL管理</w:t>
            </w:r>
          </w:p>
        </w:tc>
        <w:tc>
          <w:tcPr>
            <w:tcW w:w="736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具有敏感SQL特征库，能够对勒索等恶意代码进行快速识别和防御。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118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危险操作控制</w:t>
            </w:r>
          </w:p>
        </w:tc>
        <w:tc>
          <w:tcPr>
            <w:tcW w:w="736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rPr>
              <w:t>对于危险操作，如：Create user、Alter user、drop user等，授权管理操作(Grant)，业务对象操作（Truncat table，drop table）等操作，必须经过授权才能执行，防止人为误操作</w:t>
            </w:r>
            <w:r>
              <w:rPr>
                <w:rFonts w:hint="eastAsia" w:ascii="宋体" w:hAnsi="宋体"/>
                <w:b/>
                <w:bCs/>
                <w:color w:val="auto"/>
                <w:sz w:val="21"/>
                <w:szCs w:val="21"/>
                <w:highlight w:val="none"/>
              </w:rPr>
              <w:t>（提供功能截图证明）</w:t>
            </w:r>
            <w:r>
              <w:rPr>
                <w:rFonts w:hint="eastAsia" w:ascii="宋体"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分级分类</w:t>
            </w:r>
          </w:p>
        </w:tc>
        <w:tc>
          <w:tcPr>
            <w:tcW w:w="11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敏感数据分类</w:t>
            </w:r>
          </w:p>
        </w:tc>
        <w:tc>
          <w:tcPr>
            <w:tcW w:w="736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支持对敏感数据进行客体标签化定义，同时支持自然人、数据库用户、企业身份等访问主体的标签化定义，主体和客体通过敏感标签实现访问控制</w:t>
            </w:r>
            <w:r>
              <w:rPr>
                <w:rFonts w:hint="eastAsia" w:ascii="宋体" w:hAnsi="宋体"/>
                <w:b/>
                <w:bCs/>
                <w:color w:val="auto"/>
                <w:sz w:val="21"/>
                <w:szCs w:val="21"/>
                <w:highlight w:val="none"/>
              </w:rPr>
              <w:t>（提供功能截图证明）</w:t>
            </w:r>
            <w:r>
              <w:rPr>
                <w:rFonts w:hint="eastAsia" w:ascii="宋体"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11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736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支持自定义敏感数据范围，可在表级和列级两个粒度进行配置，多个数据表格归类成为敏感数据集合，进行独立安全管理</w:t>
            </w:r>
            <w:r>
              <w:rPr>
                <w:rFonts w:hint="eastAsia" w:ascii="宋体" w:hAnsi="宋体"/>
                <w:b/>
                <w:bCs/>
                <w:color w:val="auto"/>
                <w:sz w:val="21"/>
                <w:szCs w:val="21"/>
                <w:highlight w:val="none"/>
              </w:rPr>
              <w:t>（提供功能截图证明）</w:t>
            </w:r>
            <w:r>
              <w:rPr>
                <w:rFonts w:hint="eastAsia" w:ascii="宋体"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118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特权分类</w:t>
            </w:r>
          </w:p>
        </w:tc>
        <w:tc>
          <w:tcPr>
            <w:tcW w:w="736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预定义特权命令分类，支持对各类高危命令进行授权，只允许被授权的身份访问。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动态脱敏</w:t>
            </w:r>
          </w:p>
        </w:tc>
        <w:tc>
          <w:tcPr>
            <w:tcW w:w="118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运维脱敏</w:t>
            </w:r>
          </w:p>
        </w:tc>
        <w:tc>
          <w:tcPr>
            <w:tcW w:w="736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rPr>
              <w:t>支持SQLPLUS、PLSQLDEV等SQL管理工具查询数据时的动态脱敏，根据用户的身份与访问的数据库对象以及对应的脱敏规则，对不同授权的用户可返回真实数据、部分遮盖、全部遮盖以及其他脱敏算法得到的结果</w:t>
            </w:r>
            <w:r>
              <w:rPr>
                <w:rFonts w:hint="eastAsia" w:ascii="宋体" w:hAnsi="宋体"/>
                <w:b/>
                <w:bCs/>
                <w:color w:val="auto"/>
                <w:sz w:val="21"/>
                <w:szCs w:val="21"/>
                <w:highlight w:val="none"/>
              </w:rPr>
              <w:t>（提供功能截图证明）</w:t>
            </w:r>
            <w:r>
              <w:rPr>
                <w:rFonts w:hint="eastAsia" w:ascii="宋体" w:hAnsi="宋体"/>
                <w:color w:val="auto"/>
                <w:sz w:val="21"/>
                <w:szCs w:val="21"/>
                <w:highlight w:val="none"/>
              </w:rPr>
              <w:t>。</w:t>
            </w:r>
          </w:p>
          <w:p>
            <w:pPr>
              <w:rPr>
                <w:rFonts w:ascii="宋体" w:hAnsi="宋体"/>
                <w:color w:val="auto"/>
                <w:sz w:val="21"/>
                <w:szCs w:val="21"/>
                <w:highlight w:val="none"/>
              </w:rPr>
            </w:pPr>
            <w:r>
              <w:rPr>
                <w:rFonts w:hint="eastAsia" w:ascii="宋体" w:hAnsi="宋体"/>
                <w:color w:val="auto"/>
                <w:sz w:val="21"/>
                <w:szCs w:val="21"/>
                <w:highlight w:val="none"/>
              </w:rPr>
              <w:t>脱敏规则需要支持以下脱敏算法：</w:t>
            </w:r>
          </w:p>
          <w:p>
            <w:pPr>
              <w:rPr>
                <w:rFonts w:ascii="宋体" w:hAnsi="宋体"/>
                <w:color w:val="auto"/>
                <w:sz w:val="21"/>
                <w:szCs w:val="21"/>
                <w:highlight w:val="none"/>
              </w:rPr>
            </w:pPr>
            <w:r>
              <w:rPr>
                <w:rFonts w:hint="eastAsia" w:ascii="宋体" w:hAnsi="宋体"/>
                <w:color w:val="auto"/>
                <w:sz w:val="21"/>
                <w:szCs w:val="21"/>
                <w:highlight w:val="none"/>
              </w:rPr>
              <w:t>1、放行：对于已授权用户，返回真实数据；</w:t>
            </w:r>
          </w:p>
          <w:p>
            <w:pPr>
              <w:rPr>
                <w:rFonts w:ascii="宋体" w:hAnsi="宋体"/>
                <w:color w:val="auto"/>
                <w:sz w:val="21"/>
                <w:szCs w:val="21"/>
                <w:highlight w:val="none"/>
              </w:rPr>
            </w:pPr>
            <w:r>
              <w:rPr>
                <w:rFonts w:hint="eastAsia" w:ascii="宋体" w:hAnsi="宋体"/>
                <w:color w:val="auto"/>
                <w:sz w:val="21"/>
                <w:szCs w:val="21"/>
                <w:highlight w:val="none"/>
              </w:rPr>
              <w:t>2、返回空：对含有敏感表格或敏感列的数据结果返回为空值；</w:t>
            </w:r>
          </w:p>
          <w:p>
            <w:pPr>
              <w:rPr>
                <w:rFonts w:ascii="宋体" w:hAnsi="宋体"/>
                <w:color w:val="auto"/>
                <w:sz w:val="21"/>
                <w:szCs w:val="21"/>
                <w:highlight w:val="none"/>
              </w:rPr>
            </w:pPr>
            <w:r>
              <w:rPr>
                <w:rFonts w:hint="eastAsia" w:ascii="宋体" w:hAnsi="宋体"/>
                <w:color w:val="auto"/>
                <w:sz w:val="21"/>
                <w:szCs w:val="21"/>
                <w:highlight w:val="none"/>
              </w:rPr>
              <w:t>3、遮盖：全遮盖：默认以遮盖符‘*’替换敏感列的值；</w:t>
            </w:r>
          </w:p>
          <w:p>
            <w:pPr>
              <w:rPr>
                <w:rFonts w:ascii="宋体" w:hAnsi="宋体"/>
                <w:color w:val="auto"/>
                <w:sz w:val="21"/>
                <w:szCs w:val="21"/>
                <w:highlight w:val="none"/>
              </w:rPr>
            </w:pPr>
            <w:r>
              <w:rPr>
                <w:rFonts w:hint="eastAsia" w:ascii="宋体" w:hAnsi="宋体"/>
                <w:color w:val="auto"/>
                <w:sz w:val="21"/>
                <w:szCs w:val="21"/>
                <w:highlight w:val="none"/>
              </w:rPr>
              <w:t>4、部分遮盖：对敏感列的值进行分段，替换其中的一段或数段值；</w:t>
            </w:r>
          </w:p>
          <w:p>
            <w:pPr>
              <w:rPr>
                <w:rFonts w:ascii="宋体" w:hAnsi="宋体"/>
                <w:color w:val="auto"/>
                <w:sz w:val="21"/>
                <w:szCs w:val="21"/>
                <w:highlight w:val="none"/>
              </w:rPr>
            </w:pPr>
            <w:r>
              <w:rPr>
                <w:rFonts w:hint="eastAsia" w:ascii="宋体" w:hAnsi="宋体"/>
                <w:color w:val="auto"/>
                <w:sz w:val="21"/>
                <w:szCs w:val="21"/>
                <w:highlight w:val="none"/>
              </w:rPr>
              <w:t>5、随机映射：对数值、字符或字符串进行随机映射处理。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工单管理</w:t>
            </w:r>
          </w:p>
        </w:tc>
        <w:tc>
          <w:tcPr>
            <w:tcW w:w="118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运维安全管理</w:t>
            </w:r>
          </w:p>
        </w:tc>
        <w:tc>
          <w:tcPr>
            <w:tcW w:w="736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通过工作流的方式对表格和SQL访问授权，使整个过程更加透明，有迹可寻。简化安全管理流程，使安全管理更加便捷。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审计</w:t>
            </w:r>
          </w:p>
        </w:tc>
        <w:tc>
          <w:tcPr>
            <w:tcW w:w="118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运维审计</w:t>
            </w:r>
          </w:p>
        </w:tc>
        <w:tc>
          <w:tcPr>
            <w:tcW w:w="736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支持SQL命令的细粒度审计和分析，并详细记录管理用户的行为信息，包括该语句执行的时间、机器名、用户名、IP地址、MAC地址、客户端程序名以及SQL语句等信息，对数据库操作进行审计，可对查询，新增，修改，删除等行为进行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118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审计管理</w:t>
            </w:r>
          </w:p>
        </w:tc>
        <w:tc>
          <w:tcPr>
            <w:tcW w:w="736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支持以搜索引擎条的方式进行搜索，提供类似于百度，谷歌的搜索方式；提供高级搜索，进行精确匹配搜索。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118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审阅</w:t>
            </w:r>
          </w:p>
        </w:tc>
        <w:tc>
          <w:tcPr>
            <w:tcW w:w="736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提供自动审阅，自动审阅过的审计信息，再次出现将不需要再行审阅，依赖于审计信息可以提取访问规则，把规则加入至访问及订阅规则库。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118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审计分析</w:t>
            </w:r>
          </w:p>
        </w:tc>
        <w:tc>
          <w:tcPr>
            <w:tcW w:w="736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提供一致性回溯分析、相同事件查看分析；并提供依赖于审计信息的即时报表分析</w:t>
            </w:r>
            <w:r>
              <w:rPr>
                <w:rFonts w:hint="eastAsia" w:ascii="宋体" w:hAnsi="宋体"/>
                <w:b/>
                <w:bCs/>
                <w:color w:val="auto"/>
                <w:sz w:val="21"/>
                <w:szCs w:val="21"/>
                <w:highlight w:val="none"/>
              </w:rPr>
              <w:t>（提供功能截图证明）</w:t>
            </w:r>
            <w:r>
              <w:rPr>
                <w:rFonts w:hint="eastAsia" w:ascii="宋体"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118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告警通知</w:t>
            </w:r>
          </w:p>
        </w:tc>
        <w:tc>
          <w:tcPr>
            <w:tcW w:w="736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安全告警支持基于任意组合订阅的模式，实现个性化告警订阅管理。支持多种安全响应措施，包括页面、邮件、短信方式进行告警。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运行模式</w:t>
            </w:r>
          </w:p>
        </w:tc>
        <w:tc>
          <w:tcPr>
            <w:tcW w:w="118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多模式运行</w:t>
            </w:r>
          </w:p>
        </w:tc>
        <w:tc>
          <w:tcPr>
            <w:tcW w:w="736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支持学习模式、激活模式和模拟模式等多种模式。学习模式运行，支持SQL的自学习，识别安全SQL；模拟模式运行，可以提升安全策略准确性，避免对生产库的影响。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118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模式切换</w:t>
            </w:r>
          </w:p>
        </w:tc>
        <w:tc>
          <w:tcPr>
            <w:tcW w:w="736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在学习一定周期后，系统自动转激活运行，避免人工操作，简单快捷。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产品部署</w:t>
            </w:r>
          </w:p>
        </w:tc>
        <w:tc>
          <w:tcPr>
            <w:tcW w:w="118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部署模式</w:t>
            </w:r>
          </w:p>
        </w:tc>
        <w:tc>
          <w:tcPr>
            <w:tcW w:w="736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支持云探针、反向代理等模式部署。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风险感知</w:t>
            </w:r>
          </w:p>
        </w:tc>
        <w:tc>
          <w:tcPr>
            <w:tcW w:w="118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风险监控大屏</w:t>
            </w:r>
          </w:p>
        </w:tc>
        <w:tc>
          <w:tcPr>
            <w:tcW w:w="736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直观、可视化监控单位整体安全情况，当出现风险时可快速的定位当前被攻击的数据库及发起攻击的客户端等</w:t>
            </w:r>
            <w:r>
              <w:rPr>
                <w:rFonts w:hint="eastAsia" w:ascii="宋体" w:hAnsi="宋体"/>
                <w:b/>
                <w:bCs/>
                <w:color w:val="auto"/>
                <w:sz w:val="21"/>
                <w:szCs w:val="21"/>
                <w:highlight w:val="none"/>
              </w:rPr>
              <w:t>（提供功能截图证明）</w:t>
            </w:r>
            <w:r>
              <w:rPr>
                <w:rFonts w:hint="eastAsia" w:ascii="宋体"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118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24小时监控</w:t>
            </w:r>
          </w:p>
        </w:tc>
        <w:tc>
          <w:tcPr>
            <w:tcW w:w="73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color w:val="auto"/>
                <w:sz w:val="21"/>
                <w:szCs w:val="21"/>
                <w:highlight w:val="none"/>
              </w:rPr>
            </w:pPr>
            <w:r>
              <w:rPr>
                <w:rFonts w:hint="eastAsia" w:ascii="宋体" w:hAnsi="宋体"/>
                <w:color w:val="auto"/>
                <w:sz w:val="21"/>
                <w:szCs w:val="21"/>
                <w:highlight w:val="none"/>
              </w:rPr>
              <w:t>支持注入攻击监控、漏洞攻击监控、敏感访问监控、系统运行监控、流量监控等多角度展现近期攻击风险</w:t>
            </w:r>
            <w:r>
              <w:rPr>
                <w:rFonts w:hint="eastAsia" w:ascii="宋体" w:hAnsi="宋体"/>
                <w:b/>
                <w:bCs/>
                <w:color w:val="auto"/>
                <w:sz w:val="21"/>
                <w:szCs w:val="21"/>
                <w:highlight w:val="none"/>
              </w:rPr>
              <w:t>（提供功能截图证明）</w:t>
            </w:r>
            <w:r>
              <w:rPr>
                <w:rFonts w:hint="eastAsia" w:ascii="宋体"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报表</w:t>
            </w:r>
          </w:p>
        </w:tc>
        <w:tc>
          <w:tcPr>
            <w:tcW w:w="736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具有丰富的报表模板，报表可导出（包括：PDF、HTML、EXCEL、word等）。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平台安全</w:t>
            </w:r>
          </w:p>
        </w:tc>
        <w:tc>
          <w:tcPr>
            <w:tcW w:w="118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三权分立</w:t>
            </w:r>
          </w:p>
        </w:tc>
        <w:tc>
          <w:tcPr>
            <w:tcW w:w="736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具有强大的自身安全机制，支持平台用户三权分立，可以系统管理员、审计员和保密员等不同的安全角色。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118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复杂口令</w:t>
            </w:r>
          </w:p>
        </w:tc>
        <w:tc>
          <w:tcPr>
            <w:tcW w:w="736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支持复杂口令配置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118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白名单登录</w:t>
            </w:r>
          </w:p>
        </w:tc>
        <w:tc>
          <w:tcPr>
            <w:tcW w:w="736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支持</w:t>
            </w:r>
            <w:r>
              <w:rPr>
                <w:rFonts w:ascii="宋体" w:hAnsi="宋体"/>
                <w:color w:val="auto"/>
                <w:sz w:val="21"/>
                <w:szCs w:val="21"/>
                <w:highlight w:val="none"/>
              </w:rPr>
              <w:t>IP地址</w:t>
            </w:r>
            <w:r>
              <w:rPr>
                <w:rFonts w:hint="eastAsia" w:ascii="宋体" w:hAnsi="宋体"/>
                <w:color w:val="auto"/>
                <w:sz w:val="21"/>
                <w:szCs w:val="21"/>
                <w:highlight w:val="none"/>
              </w:rPr>
              <w:t>等要素作为验证机制，实现白名单登陆管理。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资质</w:t>
            </w:r>
          </w:p>
        </w:tc>
        <w:tc>
          <w:tcPr>
            <w:tcW w:w="11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所投产品资质要求</w:t>
            </w:r>
          </w:p>
        </w:tc>
        <w:tc>
          <w:tcPr>
            <w:tcW w:w="736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具备</w:t>
            </w:r>
            <w:r>
              <w:rPr>
                <w:rFonts w:ascii="宋体" w:hAnsi="宋体"/>
                <w:color w:val="auto"/>
                <w:sz w:val="21"/>
                <w:szCs w:val="21"/>
                <w:highlight w:val="none"/>
              </w:rPr>
              <w:t>国家版权局</w:t>
            </w:r>
            <w:r>
              <w:rPr>
                <w:rFonts w:hint="eastAsia" w:ascii="宋体" w:hAnsi="宋体"/>
                <w:color w:val="auto"/>
                <w:sz w:val="21"/>
                <w:szCs w:val="21"/>
                <w:highlight w:val="none"/>
              </w:rPr>
              <w:t>颁发</w:t>
            </w:r>
            <w:r>
              <w:rPr>
                <w:rFonts w:ascii="宋体" w:hAnsi="宋体"/>
                <w:color w:val="auto"/>
                <w:sz w:val="21"/>
                <w:szCs w:val="21"/>
                <w:highlight w:val="none"/>
              </w:rPr>
              <w:t>的《</w:t>
            </w:r>
            <w:r>
              <w:rPr>
                <w:rFonts w:hint="eastAsia" w:ascii="宋体" w:hAnsi="宋体"/>
                <w:color w:val="auto"/>
                <w:sz w:val="21"/>
                <w:szCs w:val="21"/>
                <w:highlight w:val="none"/>
              </w:rPr>
              <w:t>计算机</w:t>
            </w:r>
            <w:r>
              <w:rPr>
                <w:rFonts w:ascii="宋体" w:hAnsi="宋体"/>
                <w:color w:val="auto"/>
                <w:sz w:val="21"/>
                <w:szCs w:val="21"/>
                <w:highlight w:val="none"/>
              </w:rPr>
              <w:t>软件著作权</w:t>
            </w:r>
            <w:r>
              <w:rPr>
                <w:rFonts w:hint="eastAsia" w:ascii="宋体" w:hAnsi="宋体"/>
                <w:color w:val="auto"/>
                <w:sz w:val="21"/>
                <w:szCs w:val="21"/>
                <w:highlight w:val="none"/>
              </w:rPr>
              <w:t>登记</w:t>
            </w:r>
            <w:r>
              <w:rPr>
                <w:rFonts w:ascii="宋体" w:hAnsi="宋体"/>
                <w:color w:val="auto"/>
                <w:sz w:val="21"/>
                <w:szCs w:val="21"/>
                <w:highlight w:val="none"/>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11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736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具备</w:t>
            </w:r>
            <w:r>
              <w:rPr>
                <w:rFonts w:ascii="宋体" w:hAnsi="宋体"/>
                <w:color w:val="auto"/>
                <w:sz w:val="21"/>
                <w:szCs w:val="21"/>
                <w:highlight w:val="none"/>
              </w:rPr>
              <w:t>公安部颁发的</w:t>
            </w:r>
            <w:r>
              <w:rPr>
                <w:rFonts w:hint="eastAsia" w:ascii="宋体" w:hAnsi="宋体"/>
                <w:color w:val="auto"/>
                <w:sz w:val="21"/>
                <w:szCs w:val="21"/>
                <w:highlight w:val="none"/>
              </w:rPr>
              <w:t>《计算机</w:t>
            </w:r>
            <w:r>
              <w:rPr>
                <w:rFonts w:ascii="宋体" w:hAnsi="宋体"/>
                <w:color w:val="auto"/>
                <w:sz w:val="21"/>
                <w:szCs w:val="21"/>
                <w:highlight w:val="none"/>
              </w:rPr>
              <w:t>信息系统安全专用产品销售许可证</w:t>
            </w:r>
            <w:r>
              <w:rPr>
                <w:rFonts w:hint="eastAsia" w:ascii="宋体"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11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736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具备I</w:t>
            </w:r>
            <w:r>
              <w:rPr>
                <w:rFonts w:ascii="宋体" w:hAnsi="宋体"/>
                <w:color w:val="auto"/>
                <w:sz w:val="21"/>
                <w:szCs w:val="21"/>
                <w:highlight w:val="none"/>
              </w:rPr>
              <w:t>SCCC信息安全认证中心</w:t>
            </w:r>
            <w:r>
              <w:rPr>
                <w:rFonts w:hint="eastAsia" w:ascii="宋体" w:hAnsi="宋体"/>
                <w:color w:val="auto"/>
                <w:sz w:val="21"/>
                <w:szCs w:val="21"/>
                <w:highlight w:val="none"/>
              </w:rPr>
              <w:t>颁发</w:t>
            </w:r>
            <w:r>
              <w:rPr>
                <w:rFonts w:ascii="宋体" w:hAnsi="宋体"/>
                <w:color w:val="auto"/>
                <w:sz w:val="21"/>
                <w:szCs w:val="21"/>
                <w:highlight w:val="none"/>
              </w:rPr>
              <w:t>的《</w:t>
            </w:r>
            <w:r>
              <w:rPr>
                <w:rFonts w:hint="eastAsia" w:ascii="宋体" w:hAnsi="宋体"/>
                <w:color w:val="auto"/>
                <w:sz w:val="21"/>
                <w:szCs w:val="21"/>
                <w:highlight w:val="none"/>
              </w:rPr>
              <w:t>中国</w:t>
            </w:r>
            <w:r>
              <w:rPr>
                <w:rFonts w:ascii="宋体" w:hAnsi="宋体"/>
                <w:color w:val="auto"/>
                <w:sz w:val="21"/>
                <w:szCs w:val="21"/>
                <w:highlight w:val="none"/>
              </w:rPr>
              <w:t>国家信息安全产品认证证书》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11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736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具备保密局颁发的《涉密信息系统产品检测证书</w:t>
            </w:r>
            <w:r>
              <w:rPr>
                <w:rFonts w:ascii="宋体" w:hAnsi="宋体"/>
                <w:color w:val="auto"/>
                <w:sz w:val="21"/>
                <w:szCs w:val="21"/>
                <w:highlight w:val="none"/>
              </w:rPr>
              <w:t>》</w:t>
            </w:r>
          </w:p>
        </w:tc>
      </w:tr>
    </w:tbl>
    <w:p>
      <w:pPr>
        <w:spacing w:line="288" w:lineRule="auto"/>
        <w:rPr>
          <w:rFonts w:ascii="宋体" w:hAnsi="宋体"/>
          <w:color w:val="auto"/>
          <w:sz w:val="21"/>
          <w:szCs w:val="21"/>
          <w:highlight w:val="none"/>
        </w:rPr>
      </w:pPr>
    </w:p>
    <w:p>
      <w:pPr>
        <w:spacing w:line="288" w:lineRule="auto"/>
        <w:ind w:firstLine="422" w:firstLineChars="200"/>
        <w:rPr>
          <w:rFonts w:ascii="宋体" w:hAnsi="宋体"/>
          <w:b/>
          <w:bCs/>
          <w:color w:val="auto"/>
          <w:sz w:val="21"/>
          <w:szCs w:val="21"/>
          <w:highlight w:val="none"/>
        </w:rPr>
      </w:pPr>
      <w:r>
        <w:rPr>
          <w:rFonts w:hint="eastAsia" w:ascii="宋体" w:hAnsi="宋体"/>
          <w:b/>
          <w:bCs/>
          <w:color w:val="auto"/>
          <w:sz w:val="21"/>
          <w:szCs w:val="21"/>
          <w:highlight w:val="none"/>
        </w:rPr>
        <w:t>（三）数据库审计技术指标要求</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5"/>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b/>
                <w:bCs/>
                <w:color w:val="auto"/>
                <w:sz w:val="21"/>
                <w:szCs w:val="21"/>
                <w:highlight w:val="none"/>
              </w:rPr>
            </w:pPr>
            <w:r>
              <w:rPr>
                <w:rFonts w:hint="eastAsia" w:ascii="宋体" w:hAnsi="宋体"/>
                <w:b/>
                <w:bCs/>
                <w:color w:val="auto"/>
                <w:sz w:val="21"/>
                <w:szCs w:val="21"/>
                <w:highlight w:val="none"/>
              </w:rPr>
              <w:t>指标项</w:t>
            </w:r>
          </w:p>
        </w:tc>
        <w:tc>
          <w:tcPr>
            <w:tcW w:w="403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b/>
                <w:bCs/>
                <w:color w:val="auto"/>
                <w:sz w:val="21"/>
                <w:szCs w:val="21"/>
                <w:highlight w:val="none"/>
              </w:rPr>
            </w:pPr>
            <w:r>
              <w:rPr>
                <w:rFonts w:hint="eastAsia" w:ascii="宋体" w:hAnsi="宋体"/>
                <w:b/>
                <w:bCs/>
                <w:color w:val="auto"/>
                <w:sz w:val="21"/>
                <w:szCs w:val="21"/>
                <w:highlight w:val="none"/>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品牌</w:t>
            </w:r>
          </w:p>
        </w:tc>
        <w:tc>
          <w:tcPr>
            <w:tcW w:w="4036"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自主研发的国产化品牌，非OEM，具有软件著作权证书。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配置</w:t>
            </w:r>
          </w:p>
        </w:tc>
        <w:tc>
          <w:tcPr>
            <w:tcW w:w="4036"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至少支持2个数据库实例。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云环境支持</w:t>
            </w:r>
          </w:p>
        </w:tc>
        <w:tc>
          <w:tcPr>
            <w:tcW w:w="4036"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支持阿里云、京东云、华为云等主要公有云环境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数据库类型</w:t>
            </w:r>
          </w:p>
        </w:tc>
        <w:tc>
          <w:tcPr>
            <w:tcW w:w="4036"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★支持主流数据库，</w:t>
            </w:r>
            <w:r>
              <w:rPr>
                <w:rFonts w:ascii="宋体" w:hAnsi="宋体"/>
                <w:color w:val="auto"/>
                <w:sz w:val="21"/>
                <w:szCs w:val="21"/>
                <w:highlight w:val="none"/>
              </w:rPr>
              <w:t>包括</w:t>
            </w:r>
            <w:r>
              <w:rPr>
                <w:rFonts w:hint="eastAsia" w:ascii="宋体" w:hAnsi="宋体"/>
                <w:color w:val="auto"/>
                <w:sz w:val="21"/>
                <w:szCs w:val="21"/>
                <w:highlight w:val="none"/>
              </w:rPr>
              <w:t>Oracle、SQL Server、Mysql、DB</w:t>
            </w:r>
            <w:r>
              <w:rPr>
                <w:rFonts w:ascii="宋体" w:hAnsi="宋体"/>
                <w:color w:val="auto"/>
                <w:sz w:val="21"/>
                <w:szCs w:val="21"/>
                <w:highlight w:val="none"/>
              </w:rPr>
              <w:t>2</w:t>
            </w:r>
            <w:r>
              <w:rPr>
                <w:rFonts w:hint="eastAsia" w:ascii="宋体" w:hAnsi="宋体"/>
                <w:color w:val="auto"/>
                <w:sz w:val="21"/>
                <w:szCs w:val="21"/>
                <w:highlight w:val="none"/>
              </w:rPr>
              <w:t>、达梦DM6、Hive Informix、Sybase、南大通用、PostgreSQL、</w:t>
            </w:r>
            <w:r>
              <w:rPr>
                <w:rFonts w:ascii="宋体" w:hAnsi="宋体"/>
                <w:color w:val="auto"/>
                <w:sz w:val="21"/>
                <w:szCs w:val="21"/>
                <w:highlight w:val="none"/>
              </w:rPr>
              <w:t>mariaD</w:t>
            </w:r>
            <w:r>
              <w:rPr>
                <w:rFonts w:hint="eastAsia" w:ascii="宋体" w:hAnsi="宋体"/>
                <w:color w:val="auto"/>
                <w:sz w:val="21"/>
                <w:szCs w:val="21"/>
                <w:highlight w:val="none"/>
              </w:rPr>
              <w:t>、</w:t>
            </w:r>
            <w:r>
              <w:rPr>
                <w:rFonts w:ascii="宋体" w:hAnsi="宋体"/>
                <w:color w:val="auto"/>
                <w:sz w:val="21"/>
                <w:szCs w:val="21"/>
                <w:highlight w:val="none"/>
              </w:rPr>
              <w:t>Kingbase</w:t>
            </w:r>
            <w:r>
              <w:rPr>
                <w:rFonts w:hint="eastAsia" w:ascii="宋体" w:hAnsi="宋体"/>
                <w:color w:val="auto"/>
                <w:sz w:val="21"/>
                <w:szCs w:val="21"/>
                <w:highlight w:val="none"/>
              </w:rPr>
              <w:t>等</w:t>
            </w:r>
            <w:r>
              <w:rPr>
                <w:rFonts w:ascii="宋体" w:hAnsi="宋体"/>
                <w:b/>
                <w:bCs/>
                <w:color w:val="auto"/>
                <w:sz w:val="21"/>
                <w:szCs w:val="21"/>
                <w:highlight w:val="none"/>
              </w:rPr>
              <w:t>（提供功能截图证明）</w:t>
            </w:r>
            <w:r>
              <w:rPr>
                <w:rFonts w:hint="eastAsia" w:ascii="宋体"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高速缓存</w:t>
            </w:r>
          </w:p>
        </w:tc>
        <w:tc>
          <w:tcPr>
            <w:tcW w:w="4036"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审计系统支持将审计或者查询热数据自动存放到高速缓存。审计系统</w:t>
            </w:r>
            <w:r>
              <w:rPr>
                <w:rFonts w:ascii="宋体" w:hAnsi="宋体"/>
                <w:color w:val="auto"/>
                <w:sz w:val="21"/>
                <w:szCs w:val="21"/>
                <w:highlight w:val="none"/>
              </w:rPr>
              <w:t>记录的</w:t>
            </w:r>
            <w:r>
              <w:rPr>
                <w:rFonts w:hint="eastAsia" w:ascii="宋体" w:hAnsi="宋体"/>
                <w:color w:val="auto"/>
                <w:sz w:val="21"/>
                <w:szCs w:val="21"/>
                <w:highlight w:val="none"/>
              </w:rPr>
              <w:t>所有审计内容</w:t>
            </w:r>
            <w:r>
              <w:rPr>
                <w:rFonts w:ascii="宋体" w:hAnsi="宋体"/>
                <w:color w:val="auto"/>
                <w:sz w:val="21"/>
                <w:szCs w:val="21"/>
                <w:highlight w:val="none"/>
              </w:rPr>
              <w:t>不</w:t>
            </w:r>
            <w:r>
              <w:rPr>
                <w:rFonts w:hint="eastAsia" w:ascii="宋体" w:hAnsi="宋体"/>
                <w:color w:val="auto"/>
                <w:sz w:val="21"/>
                <w:szCs w:val="21"/>
                <w:highlight w:val="none"/>
              </w:rPr>
              <w:t>能</w:t>
            </w:r>
            <w:r>
              <w:rPr>
                <w:rFonts w:ascii="宋体" w:hAnsi="宋体"/>
                <w:color w:val="auto"/>
                <w:sz w:val="21"/>
                <w:szCs w:val="21"/>
                <w:highlight w:val="none"/>
              </w:rPr>
              <w:t>存储在关系型</w:t>
            </w:r>
            <w:r>
              <w:rPr>
                <w:rFonts w:hint="eastAsia" w:ascii="宋体" w:hAnsi="宋体"/>
                <w:color w:val="auto"/>
                <w:sz w:val="21"/>
                <w:szCs w:val="21"/>
                <w:highlight w:val="none"/>
              </w:rPr>
              <w:t>数据库</w:t>
            </w:r>
            <w:r>
              <w:rPr>
                <w:rFonts w:ascii="宋体" w:hAnsi="宋体"/>
                <w:color w:val="auto"/>
                <w:sz w:val="21"/>
                <w:szCs w:val="21"/>
                <w:highlight w:val="none"/>
              </w:rPr>
              <w:t>内，</w:t>
            </w:r>
            <w:r>
              <w:rPr>
                <w:rFonts w:hint="eastAsia" w:ascii="宋体" w:hAnsi="宋体"/>
                <w:color w:val="auto"/>
                <w:sz w:val="21"/>
                <w:szCs w:val="21"/>
                <w:highlight w:val="none"/>
              </w:rPr>
              <w:t>需</w:t>
            </w:r>
            <w:r>
              <w:rPr>
                <w:rFonts w:ascii="宋体" w:hAnsi="宋体"/>
                <w:color w:val="auto"/>
                <w:sz w:val="21"/>
                <w:szCs w:val="21"/>
                <w:highlight w:val="none"/>
              </w:rPr>
              <w:t>存入分布式</w:t>
            </w:r>
            <w:r>
              <w:rPr>
                <w:rFonts w:hint="eastAsia" w:ascii="宋体" w:hAnsi="宋体"/>
                <w:color w:val="auto"/>
                <w:sz w:val="21"/>
                <w:szCs w:val="21"/>
                <w:highlight w:val="none"/>
              </w:rPr>
              <w:t>架构系统</w:t>
            </w:r>
            <w:r>
              <w:rPr>
                <w:rFonts w:ascii="宋体" w:hAnsi="宋体"/>
                <w:color w:val="auto"/>
                <w:sz w:val="21"/>
                <w:szCs w:val="21"/>
                <w:highlight w:val="none"/>
              </w:rPr>
              <w:t>下</w:t>
            </w:r>
            <w:r>
              <w:rPr>
                <w:rFonts w:hint="eastAsia" w:ascii="宋体" w:hAnsi="宋体"/>
                <w:color w:val="auto"/>
                <w:sz w:val="21"/>
                <w:szCs w:val="21"/>
                <w:highlight w:val="none"/>
              </w:rPr>
              <w:t>，便于</w:t>
            </w:r>
            <w:r>
              <w:rPr>
                <w:rFonts w:ascii="宋体" w:hAnsi="宋体"/>
                <w:color w:val="auto"/>
                <w:sz w:val="21"/>
                <w:szCs w:val="21"/>
                <w:highlight w:val="none"/>
              </w:rPr>
              <w:t>提高</w:t>
            </w:r>
            <w:r>
              <w:rPr>
                <w:rFonts w:hint="eastAsia" w:ascii="宋体" w:hAnsi="宋体"/>
                <w:color w:val="auto"/>
                <w:sz w:val="21"/>
                <w:szCs w:val="21"/>
                <w:highlight w:val="none"/>
              </w:rPr>
              <w:t>单位磁盘存储量和</w:t>
            </w:r>
            <w:r>
              <w:rPr>
                <w:rFonts w:ascii="宋体" w:hAnsi="宋体"/>
                <w:color w:val="auto"/>
                <w:sz w:val="21"/>
                <w:szCs w:val="21"/>
                <w:highlight w:val="none"/>
              </w:rPr>
              <w:t>检索速度</w:t>
            </w:r>
            <w:r>
              <w:rPr>
                <w:rFonts w:hint="eastAsia" w:ascii="宋体"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日志检索速度</w:t>
            </w:r>
          </w:p>
        </w:tc>
        <w:tc>
          <w:tcPr>
            <w:tcW w:w="4036"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内置</w:t>
            </w:r>
            <w:r>
              <w:rPr>
                <w:rFonts w:ascii="宋体" w:hAnsi="宋体"/>
                <w:color w:val="auto"/>
                <w:sz w:val="21"/>
                <w:szCs w:val="21"/>
                <w:highlight w:val="none"/>
              </w:rPr>
              <w:t>大数据搜索引擎，</w:t>
            </w:r>
            <w:r>
              <w:rPr>
                <w:rFonts w:hint="eastAsia" w:ascii="宋体" w:hAnsi="宋体"/>
                <w:color w:val="auto"/>
                <w:sz w:val="21"/>
                <w:szCs w:val="21"/>
                <w:highlight w:val="none"/>
              </w:rPr>
              <w:t>支持模糊检索，10亿条以上的数据检索速度要求</w:t>
            </w:r>
            <w:r>
              <w:rPr>
                <w:rFonts w:ascii="宋体" w:hAnsi="宋体"/>
                <w:color w:val="auto"/>
                <w:sz w:val="21"/>
                <w:szCs w:val="21"/>
                <w:highlight w:val="none"/>
              </w:rPr>
              <w:t>在</w:t>
            </w:r>
            <w:r>
              <w:rPr>
                <w:rFonts w:hint="eastAsia" w:ascii="宋体" w:hAnsi="宋体"/>
                <w:color w:val="auto"/>
                <w:sz w:val="21"/>
                <w:szCs w:val="21"/>
                <w:highlight w:val="none"/>
              </w:rPr>
              <w:t>秒级别实现</w:t>
            </w:r>
            <w:r>
              <w:rPr>
                <w:rFonts w:ascii="宋体"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部署方式</w:t>
            </w:r>
          </w:p>
        </w:tc>
        <w:tc>
          <w:tcPr>
            <w:tcW w:w="4036"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同时支持旁路部署模式和代理式部署模式；</w:t>
            </w:r>
          </w:p>
          <w:p>
            <w:pPr>
              <w:rPr>
                <w:rFonts w:ascii="宋体" w:hAnsi="宋体"/>
                <w:color w:val="auto"/>
                <w:sz w:val="21"/>
                <w:szCs w:val="21"/>
                <w:highlight w:val="none"/>
              </w:rPr>
            </w:pPr>
            <w:r>
              <w:rPr>
                <w:rFonts w:hint="eastAsia" w:ascii="宋体" w:hAnsi="宋体"/>
                <w:color w:val="auto"/>
                <w:sz w:val="21"/>
                <w:szCs w:val="21"/>
                <w:highlight w:val="none"/>
              </w:rPr>
              <w:t>在旁路部署模式下，通过TAP、SPAN等技术将网络流量映射到审计系统，对数据库流量进行审计和告警；支持VLAN、上下行链路、冗余链路环境的审计，支持多端口组管理。</w:t>
            </w:r>
          </w:p>
          <w:p>
            <w:pPr>
              <w:rPr>
                <w:rFonts w:ascii="宋体" w:hAnsi="宋体"/>
                <w:color w:val="auto"/>
                <w:sz w:val="21"/>
                <w:szCs w:val="21"/>
                <w:highlight w:val="none"/>
              </w:rPr>
            </w:pPr>
            <w:r>
              <w:rPr>
                <w:rFonts w:hint="eastAsia" w:ascii="宋体" w:hAnsi="宋体"/>
                <w:color w:val="auto"/>
                <w:sz w:val="21"/>
                <w:szCs w:val="21"/>
                <w:highlight w:val="none"/>
              </w:rPr>
              <w:t>在代理式部署模式下，通过内存审计和数据库核心审计将数据库内部的所有操作行为动作，通过管道传送到审计系统。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管理结构</w:t>
            </w:r>
          </w:p>
        </w:tc>
        <w:tc>
          <w:tcPr>
            <w:tcW w:w="4036"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提供集中化管理平台，基于Web的管理方式和SQL管理接口，B/S架构模式。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全面审计功能</w:t>
            </w:r>
          </w:p>
        </w:tc>
        <w:tc>
          <w:tcPr>
            <w:tcW w:w="4036"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实现SQL语句的细粒度审计，并记录详细的用户行为信息，包括该语句执行的时间、机器名、用户名、IP地址、交换机端口、MAC地址、客户端程序名以及SQL语句等信息，对数据库操作进行审计，可对查询，新增，修改，删除等行为进行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4036"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实现数据库登录操作的审计，</w:t>
            </w:r>
            <w:r>
              <w:rPr>
                <w:rFonts w:ascii="宋体" w:hAnsi="宋体"/>
                <w:color w:val="auto"/>
                <w:sz w:val="21"/>
                <w:szCs w:val="21"/>
                <w:highlight w:val="none"/>
              </w:rPr>
              <w:t>并</w:t>
            </w:r>
            <w:r>
              <w:rPr>
                <w:rFonts w:hint="eastAsia" w:ascii="宋体" w:hAnsi="宋体"/>
                <w:color w:val="auto"/>
                <w:sz w:val="21"/>
                <w:szCs w:val="21"/>
                <w:highlight w:val="none"/>
              </w:rPr>
              <w:t>记录详细的成功登录行为和失败登录行为信息，能够识别暴力破解等非法登录行为。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4036"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可以深度解析数据库操作内容，准确解析出语句中的表名，操作方式,SQL语句及绑定变量，并根据策略名、SQL语句、日期进行归类和统计分析。通过这些细粒度的审计，可以对招标方的重要信息进行有效的侦测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精细化审计功能</w:t>
            </w:r>
          </w:p>
        </w:tc>
        <w:tc>
          <w:tcPr>
            <w:tcW w:w="4036"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数据库审计系统可以精确的识别操作人，可以精确的识别来自于B/S架构的浏览器终端信息，支持加密网络传输、自动</w:t>
            </w:r>
            <w:r>
              <w:rPr>
                <w:rFonts w:ascii="宋体" w:hAnsi="宋体"/>
                <w:color w:val="auto"/>
                <w:sz w:val="21"/>
                <w:szCs w:val="21"/>
                <w:highlight w:val="none"/>
              </w:rPr>
              <w:t>检测</w:t>
            </w:r>
            <w:r>
              <w:rPr>
                <w:rFonts w:hint="eastAsia" w:ascii="宋体" w:hAnsi="宋体"/>
                <w:color w:val="auto"/>
                <w:sz w:val="21"/>
                <w:szCs w:val="21"/>
                <w:highlight w:val="none"/>
              </w:rPr>
              <w:t>应用程序注入和假冒等独特功能。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4036"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能精确识别到操作人和应用程序账户，可以与现实真人互相匹配。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4036"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能精确识别操作，可以追踪审计到过程内部的SQL语句和操作对象。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4036"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能精确识别操作工具，当应用程序注入和假冒应用出现时，</w:t>
            </w:r>
            <w:r>
              <w:rPr>
                <w:rFonts w:ascii="宋体" w:hAnsi="宋体"/>
                <w:color w:val="auto"/>
                <w:sz w:val="21"/>
                <w:szCs w:val="21"/>
                <w:highlight w:val="none"/>
              </w:rPr>
              <w:t>可以</w:t>
            </w:r>
            <w:r>
              <w:rPr>
                <w:rFonts w:hint="eastAsia" w:ascii="宋体" w:hAnsi="宋体"/>
                <w:color w:val="auto"/>
                <w:sz w:val="21"/>
                <w:szCs w:val="21"/>
                <w:highlight w:val="none"/>
              </w:rPr>
              <w:t>检测到并及时告警。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不可旁路的全方位审计特征</w:t>
            </w:r>
          </w:p>
        </w:tc>
        <w:tc>
          <w:tcPr>
            <w:tcW w:w="4036"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以下事件</w:t>
            </w:r>
            <w:r>
              <w:rPr>
                <w:rFonts w:ascii="宋体" w:hAnsi="宋体"/>
                <w:color w:val="auto"/>
                <w:sz w:val="21"/>
                <w:szCs w:val="21"/>
                <w:highlight w:val="none"/>
              </w:rPr>
              <w:t>都不可被旁路，包括：</w:t>
            </w:r>
          </w:p>
          <w:p>
            <w:pPr>
              <w:rPr>
                <w:rFonts w:ascii="宋体" w:hAnsi="宋体"/>
                <w:color w:val="auto"/>
                <w:sz w:val="21"/>
                <w:szCs w:val="21"/>
                <w:highlight w:val="none"/>
              </w:rPr>
            </w:pPr>
            <w:r>
              <w:rPr>
                <w:rFonts w:hint="eastAsia" w:ascii="宋体" w:hAnsi="宋体"/>
                <w:color w:val="auto"/>
                <w:sz w:val="21"/>
                <w:szCs w:val="21"/>
                <w:highlight w:val="none"/>
              </w:rPr>
              <w:t>来自于网络的安全访问事件审计；</w:t>
            </w:r>
          </w:p>
          <w:p>
            <w:pPr>
              <w:rPr>
                <w:rFonts w:ascii="宋体" w:hAnsi="宋体"/>
                <w:color w:val="auto"/>
                <w:sz w:val="21"/>
                <w:szCs w:val="21"/>
                <w:highlight w:val="none"/>
              </w:rPr>
            </w:pPr>
            <w:r>
              <w:rPr>
                <w:rFonts w:hint="eastAsia" w:ascii="宋体" w:hAnsi="宋体"/>
                <w:color w:val="auto"/>
                <w:sz w:val="21"/>
                <w:szCs w:val="21"/>
                <w:highlight w:val="none"/>
              </w:rPr>
              <w:t>来自于数据库主机以及其他信任主机的安全访问事件审计；</w:t>
            </w:r>
          </w:p>
          <w:p>
            <w:pPr>
              <w:rPr>
                <w:rFonts w:ascii="宋体" w:hAnsi="宋体"/>
                <w:color w:val="auto"/>
                <w:sz w:val="21"/>
                <w:szCs w:val="21"/>
                <w:highlight w:val="none"/>
              </w:rPr>
            </w:pPr>
            <w:r>
              <w:rPr>
                <w:rFonts w:hint="eastAsia" w:ascii="宋体" w:hAnsi="宋体"/>
                <w:color w:val="auto"/>
                <w:sz w:val="21"/>
                <w:szCs w:val="21"/>
                <w:highlight w:val="none"/>
              </w:rPr>
              <w:t>来自于数据库内部的安全访问事件审计；</w:t>
            </w:r>
          </w:p>
          <w:p>
            <w:pPr>
              <w:rPr>
                <w:rFonts w:ascii="宋体" w:hAnsi="宋体"/>
                <w:color w:val="auto"/>
                <w:sz w:val="21"/>
                <w:szCs w:val="21"/>
                <w:highlight w:val="none"/>
              </w:rPr>
            </w:pPr>
            <w:r>
              <w:rPr>
                <w:rFonts w:hint="eastAsia" w:ascii="宋体" w:hAnsi="宋体"/>
                <w:color w:val="auto"/>
                <w:sz w:val="21"/>
                <w:szCs w:val="21"/>
                <w:highlight w:val="none"/>
              </w:rPr>
              <w:t>来自于数据库之间的安全访问事件审计；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不改动应用程序</w:t>
            </w:r>
          </w:p>
        </w:tc>
        <w:tc>
          <w:tcPr>
            <w:tcW w:w="4036"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加载数据库审计系统后，不需要改变现有应用程序和数据库的设计，无需改变应用程序代码，无需应用做二次开发，编写接口等。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支持加密链路</w:t>
            </w:r>
          </w:p>
        </w:tc>
        <w:tc>
          <w:tcPr>
            <w:tcW w:w="4036"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支持加密链路传输，在加密链路上不增加任何中间设备，以防止破坏链路的安全性。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数据库访问的实时监控与警报</w:t>
            </w:r>
          </w:p>
        </w:tc>
        <w:tc>
          <w:tcPr>
            <w:tcW w:w="4036"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根据IP地址、机器名、时间、程序名，sql语句等精细组合对数据库敏感操作行为预设警报策略，并能够为特定的审计需求自定义审计警报规则。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丰富的事件响应处理能力</w:t>
            </w:r>
          </w:p>
        </w:tc>
        <w:tc>
          <w:tcPr>
            <w:tcW w:w="4036"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提供审阅和自动审阅，自动审阅的审计信息后续出现将不需要再行审阅；依赖于审计信息的访问规则的单键生成,依赖于审计信息的订阅规则的单键生成；提供一致性回溯分析</w:t>
            </w:r>
            <w:r>
              <w:rPr>
                <w:rFonts w:hint="eastAsia" w:ascii="宋体" w:hAnsi="宋体"/>
                <w:color w:val="auto"/>
                <w:sz w:val="21"/>
                <w:szCs w:val="21"/>
                <w:highlight w:val="none"/>
                <w:lang w:eastAsia="zh-CN"/>
              </w:rPr>
              <w:t>；</w:t>
            </w:r>
            <w:r>
              <w:rPr>
                <w:rFonts w:hint="eastAsia" w:ascii="宋体" w:hAnsi="宋体"/>
                <w:color w:val="auto"/>
                <w:sz w:val="21"/>
                <w:szCs w:val="21"/>
                <w:highlight w:val="none"/>
              </w:rPr>
              <w:t>提供相同事件查看分析；提供依赖于审计信息的即时报表分析。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告警策略</w:t>
            </w:r>
          </w:p>
        </w:tc>
        <w:tc>
          <w:tcPr>
            <w:tcW w:w="4036"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提供多种安全响应措施，包括数据库记录、邮件报警、短信报警等。通过这些监控和防御措施，对招标方重要信息进行有效的监控、预防和保护。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4036"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模型分析策略：以操作语句为原型，根据获取的审计内容字段、表名称、条件字段、操作频率等条件设定分析策略；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未知威胁告警</w:t>
            </w:r>
          </w:p>
        </w:tc>
        <w:tc>
          <w:tcPr>
            <w:tcW w:w="4036"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对于首次出现的终端（IP）、人（用户名、账户），以及有规律的访问行为（如每个月固定时间出现）进行高级告警。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威胁溯源</w:t>
            </w:r>
          </w:p>
        </w:tc>
        <w:tc>
          <w:tcPr>
            <w:tcW w:w="4036"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★对于疑似威胁的操作记录，能够基于会话进行追踪溯源，根据人（用户名、账户）进行追溯，在同一界面展现跟其相关的从登陆、访问到退出的全过程</w:t>
            </w:r>
            <w:r>
              <w:rPr>
                <w:rFonts w:ascii="宋体" w:hAnsi="宋体"/>
                <w:b/>
                <w:bCs/>
                <w:color w:val="auto"/>
                <w:sz w:val="21"/>
                <w:szCs w:val="21"/>
                <w:highlight w:val="none"/>
              </w:rPr>
              <w:t>（提供功能截图证明）</w:t>
            </w:r>
            <w:r>
              <w:rPr>
                <w:rFonts w:hint="eastAsia" w:ascii="宋体"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响应方式</w:t>
            </w:r>
          </w:p>
        </w:tc>
        <w:tc>
          <w:tcPr>
            <w:tcW w:w="4036"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根据不同的安全级别采用不同的响应方式，包括记录、告警；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4036"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告警方式包括：邮件、短信、SYSLOG、SNMP。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告警订阅</w:t>
            </w:r>
          </w:p>
        </w:tc>
        <w:tc>
          <w:tcPr>
            <w:tcW w:w="4036"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安全告警必须支持基于订阅的模式，每个人可以订阅自己的安全告警事件，页面的安全告警事件必须区分开当前30分钟的安全告警事件和过去的安全事件以方便阅读，支持任意组合的规则订阅，</w:t>
            </w:r>
            <w:r>
              <w:rPr>
                <w:rFonts w:ascii="宋体" w:hAnsi="宋体"/>
                <w:color w:val="auto"/>
                <w:sz w:val="21"/>
                <w:szCs w:val="21"/>
                <w:highlight w:val="none"/>
              </w:rPr>
              <w:t>实现</w:t>
            </w:r>
            <w:r>
              <w:rPr>
                <w:rFonts w:hint="eastAsia" w:ascii="宋体" w:hAnsi="宋体"/>
                <w:color w:val="auto"/>
                <w:sz w:val="21"/>
                <w:szCs w:val="21"/>
                <w:highlight w:val="none"/>
              </w:rPr>
              <w:t>人员</w:t>
            </w:r>
            <w:r>
              <w:rPr>
                <w:rFonts w:ascii="宋体" w:hAnsi="宋体"/>
                <w:color w:val="auto"/>
                <w:sz w:val="21"/>
                <w:szCs w:val="21"/>
                <w:highlight w:val="none"/>
              </w:rPr>
              <w:t>的个性化订阅管理。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★SQL语句翻译</w:t>
            </w:r>
          </w:p>
          <w:p>
            <w:pPr>
              <w:jc w:val="center"/>
              <w:rPr>
                <w:rFonts w:ascii="宋体" w:hAnsi="宋体"/>
                <w:color w:val="auto"/>
                <w:sz w:val="21"/>
                <w:szCs w:val="21"/>
                <w:highlight w:val="none"/>
              </w:rPr>
            </w:pPr>
            <w:r>
              <w:rPr>
                <w:rFonts w:hint="eastAsia" w:ascii="宋体" w:hAnsi="宋体"/>
                <w:color w:val="auto"/>
                <w:sz w:val="21"/>
                <w:szCs w:val="21"/>
                <w:highlight w:val="none"/>
              </w:rPr>
              <w:t>统计信息</w:t>
            </w:r>
          </w:p>
        </w:tc>
        <w:tc>
          <w:tcPr>
            <w:tcW w:w="4036"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SQL语句提供直译和意译的不同翻译引擎，</w:t>
            </w:r>
            <w:r>
              <w:rPr>
                <w:rFonts w:ascii="宋体" w:hAnsi="宋体"/>
                <w:color w:val="auto"/>
                <w:sz w:val="21"/>
                <w:szCs w:val="21"/>
                <w:highlight w:val="none"/>
              </w:rPr>
              <w:t>从</w:t>
            </w:r>
            <w:r>
              <w:rPr>
                <w:rFonts w:hint="eastAsia" w:ascii="宋体" w:hAnsi="宋体"/>
                <w:color w:val="auto"/>
                <w:sz w:val="21"/>
                <w:szCs w:val="21"/>
                <w:highlight w:val="none"/>
              </w:rPr>
              <w:t>英文翻译成中文，增加阅读性直观性</w:t>
            </w:r>
            <w:r>
              <w:rPr>
                <w:rFonts w:ascii="宋体" w:hAnsi="宋体"/>
                <w:b/>
                <w:bCs/>
                <w:color w:val="auto"/>
                <w:sz w:val="21"/>
                <w:szCs w:val="21"/>
                <w:highlight w:val="none"/>
              </w:rPr>
              <w:t>（提供功能截图证明）</w:t>
            </w:r>
            <w:r>
              <w:rPr>
                <w:rFonts w:hint="eastAsia" w:ascii="宋体"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4036"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事件分析：依据安全策略，以事务为基线，统计异常事件的发生数量和趋势；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4036"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告警分析：依据安全策略，以事务为基线，统计严重告警事件的发生数量和趋势；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4036"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会话统计：以时间和IP为基线统计会话的数量、SQL操作语句统计等。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分析和报表</w:t>
            </w:r>
          </w:p>
        </w:tc>
        <w:tc>
          <w:tcPr>
            <w:tcW w:w="4036"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固定报表：告警、操作审计、流量；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4036"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自定义报表：定期自动生成：日、周、月、季度、年度综合报表；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4036"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提供表格、柱状图、饼状图、折线图等多种展示方式；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4036"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文档支持格式：包括HTML\PDF\EXCEL等。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升级支持</w:t>
            </w:r>
          </w:p>
        </w:tc>
        <w:tc>
          <w:tcPr>
            <w:tcW w:w="4036"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提供实时在线升级、自动在线升级、离线升级等多种升级方式。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产品资质要求</w:t>
            </w:r>
          </w:p>
        </w:tc>
        <w:tc>
          <w:tcPr>
            <w:tcW w:w="4036"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具备</w:t>
            </w:r>
            <w:r>
              <w:rPr>
                <w:rFonts w:ascii="宋体" w:hAnsi="宋体"/>
                <w:color w:val="auto"/>
                <w:sz w:val="21"/>
                <w:szCs w:val="21"/>
                <w:highlight w:val="none"/>
              </w:rPr>
              <w:t>国家版权局</w:t>
            </w:r>
            <w:r>
              <w:rPr>
                <w:rFonts w:hint="eastAsia" w:ascii="宋体" w:hAnsi="宋体"/>
                <w:color w:val="auto"/>
                <w:sz w:val="21"/>
                <w:szCs w:val="21"/>
                <w:highlight w:val="none"/>
              </w:rPr>
              <w:t>颁发</w:t>
            </w:r>
            <w:r>
              <w:rPr>
                <w:rFonts w:ascii="宋体" w:hAnsi="宋体"/>
                <w:color w:val="auto"/>
                <w:sz w:val="21"/>
                <w:szCs w:val="21"/>
                <w:highlight w:val="none"/>
              </w:rPr>
              <w:t>的《</w:t>
            </w:r>
            <w:r>
              <w:rPr>
                <w:rFonts w:hint="eastAsia" w:ascii="宋体" w:hAnsi="宋体"/>
                <w:color w:val="auto"/>
                <w:sz w:val="21"/>
                <w:szCs w:val="21"/>
                <w:highlight w:val="none"/>
              </w:rPr>
              <w:t>计算机</w:t>
            </w:r>
            <w:r>
              <w:rPr>
                <w:rFonts w:ascii="宋体" w:hAnsi="宋体"/>
                <w:color w:val="auto"/>
                <w:sz w:val="21"/>
                <w:szCs w:val="21"/>
                <w:highlight w:val="none"/>
              </w:rPr>
              <w:t>软件著作权</w:t>
            </w:r>
            <w:r>
              <w:rPr>
                <w:rFonts w:hint="eastAsia" w:ascii="宋体" w:hAnsi="宋体"/>
                <w:color w:val="auto"/>
                <w:sz w:val="21"/>
                <w:szCs w:val="21"/>
                <w:highlight w:val="none"/>
              </w:rPr>
              <w:t>登记</w:t>
            </w:r>
            <w:r>
              <w:rPr>
                <w:rFonts w:ascii="宋体" w:hAnsi="宋体"/>
                <w:color w:val="auto"/>
                <w:sz w:val="21"/>
                <w:szCs w:val="21"/>
                <w:highlight w:val="none"/>
              </w:rPr>
              <w:t>证书》</w:t>
            </w:r>
            <w:r>
              <w:rPr>
                <w:rFonts w:hint="eastAsia" w:ascii="宋体"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4036"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具备</w:t>
            </w:r>
            <w:r>
              <w:rPr>
                <w:rFonts w:ascii="宋体" w:hAnsi="宋体"/>
                <w:color w:val="auto"/>
                <w:sz w:val="21"/>
                <w:szCs w:val="21"/>
                <w:highlight w:val="none"/>
              </w:rPr>
              <w:t>公安部颁发的</w:t>
            </w:r>
            <w:r>
              <w:rPr>
                <w:rFonts w:hint="eastAsia" w:ascii="宋体" w:hAnsi="宋体"/>
                <w:color w:val="auto"/>
                <w:sz w:val="21"/>
                <w:szCs w:val="21"/>
                <w:highlight w:val="none"/>
              </w:rPr>
              <w:t>《计算机</w:t>
            </w:r>
            <w:r>
              <w:rPr>
                <w:rFonts w:ascii="宋体" w:hAnsi="宋体"/>
                <w:color w:val="auto"/>
                <w:sz w:val="21"/>
                <w:szCs w:val="21"/>
                <w:highlight w:val="none"/>
              </w:rPr>
              <w:t>信息系统安全专用产品销售许可证</w:t>
            </w:r>
            <w:r>
              <w:rPr>
                <w:rFonts w:hint="eastAsia" w:ascii="宋体"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auto"/>
                <w:sz w:val="21"/>
                <w:szCs w:val="21"/>
                <w:highlight w:val="none"/>
              </w:rPr>
            </w:pPr>
          </w:p>
        </w:tc>
        <w:tc>
          <w:tcPr>
            <w:tcW w:w="4036"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olor w:val="auto"/>
                <w:sz w:val="21"/>
                <w:szCs w:val="21"/>
                <w:highlight w:val="none"/>
              </w:rPr>
            </w:pPr>
            <w:r>
              <w:rPr>
                <w:rFonts w:hint="eastAsia" w:ascii="宋体" w:hAnsi="宋体"/>
                <w:color w:val="auto"/>
                <w:sz w:val="21"/>
                <w:szCs w:val="21"/>
                <w:highlight w:val="none"/>
              </w:rPr>
              <w:t>具备保密局颁发的《涉密信息系统产品检测证书</w:t>
            </w:r>
            <w:r>
              <w:rPr>
                <w:rFonts w:ascii="宋体" w:hAnsi="宋体"/>
                <w:color w:val="auto"/>
                <w:sz w:val="21"/>
                <w:szCs w:val="21"/>
                <w:highlight w:val="none"/>
              </w:rPr>
              <w:t>》</w:t>
            </w:r>
            <w:r>
              <w:rPr>
                <w:rFonts w:hint="eastAsia" w:ascii="宋体" w:hAnsi="宋体"/>
                <w:color w:val="auto"/>
                <w:sz w:val="21"/>
                <w:szCs w:val="21"/>
                <w:highlight w:val="none"/>
              </w:rPr>
              <w:t>。</w:t>
            </w:r>
          </w:p>
        </w:tc>
      </w:tr>
    </w:tbl>
    <w:p>
      <w:pPr>
        <w:spacing w:line="288" w:lineRule="auto"/>
        <w:rPr>
          <w:rFonts w:ascii="宋体" w:hAnsi="宋体"/>
          <w:color w:val="auto"/>
          <w:sz w:val="21"/>
          <w:szCs w:val="21"/>
          <w:highlight w:val="none"/>
        </w:rPr>
      </w:pPr>
    </w:p>
    <w:p>
      <w:pPr>
        <w:spacing w:line="288" w:lineRule="auto"/>
        <w:rPr>
          <w:rFonts w:ascii="宋体" w:hAnsi="宋体"/>
          <w:b/>
          <w:color w:val="auto"/>
          <w:sz w:val="21"/>
          <w:szCs w:val="21"/>
          <w:highlight w:val="none"/>
        </w:rPr>
      </w:pPr>
      <w:r>
        <w:rPr>
          <w:rFonts w:hint="eastAsia" w:ascii="宋体" w:hAnsi="宋体"/>
          <w:b/>
          <w:color w:val="auto"/>
          <w:sz w:val="21"/>
          <w:szCs w:val="21"/>
          <w:highlight w:val="none"/>
        </w:rPr>
        <w:t>注：</w:t>
      </w:r>
    </w:p>
    <w:p>
      <w:pPr>
        <w:spacing w:line="288" w:lineRule="auto"/>
        <w:rPr>
          <w:rFonts w:ascii="宋体" w:hAnsi="宋体"/>
          <w:b/>
          <w:color w:val="auto"/>
          <w:sz w:val="21"/>
          <w:szCs w:val="21"/>
          <w:highlight w:val="none"/>
        </w:rPr>
      </w:pPr>
      <w:r>
        <w:rPr>
          <w:rFonts w:hint="eastAsia" w:ascii="宋体" w:hAnsi="宋体"/>
          <w:b/>
          <w:color w:val="auto"/>
          <w:sz w:val="21"/>
          <w:szCs w:val="21"/>
          <w:highlight w:val="none"/>
        </w:rPr>
        <w:t>1.如技术要求中未特别注明需执行的国家相关标准、行业标准、地方标准或者其他标准、规范，则统一执行最新标准、规范。</w:t>
      </w:r>
    </w:p>
    <w:p>
      <w:pPr>
        <w:spacing w:line="288" w:lineRule="auto"/>
        <w:rPr>
          <w:rFonts w:ascii="宋体" w:hAnsi="宋体"/>
          <w:b/>
          <w:color w:val="auto"/>
          <w:sz w:val="21"/>
          <w:szCs w:val="21"/>
          <w:highlight w:val="none"/>
        </w:rPr>
      </w:pPr>
      <w:r>
        <w:rPr>
          <w:rFonts w:hint="eastAsia" w:ascii="宋体" w:hAnsi="宋体"/>
          <w:b/>
          <w:color w:val="auto"/>
          <w:sz w:val="21"/>
          <w:szCs w:val="21"/>
          <w:highlight w:val="none"/>
        </w:rPr>
        <w:t>2.除磋商文件中所明确的技术规格和品牌外，欢迎其他能满足本项目技术需求且性能相当于或高于所明确品牌的产品参加磋商。同时在采购需求偏离表中作出详细对比说明。</w:t>
      </w:r>
    </w:p>
    <w:p>
      <w:pPr>
        <w:spacing w:line="288" w:lineRule="auto"/>
        <w:jc w:val="center"/>
        <w:outlineLvl w:val="0"/>
        <w:rPr>
          <w:rFonts w:ascii="宋体" w:hAnsi="宋体"/>
          <w:b/>
          <w:color w:val="auto"/>
          <w:sz w:val="32"/>
          <w:szCs w:val="32"/>
          <w:highlight w:val="none"/>
        </w:rPr>
      </w:pPr>
      <w:r>
        <w:rPr>
          <w:rFonts w:ascii="宋体" w:hAnsi="宋体"/>
          <w:color w:val="auto"/>
          <w:sz w:val="24"/>
          <w:highlight w:val="none"/>
        </w:rPr>
        <w:br w:type="page"/>
      </w:r>
      <w:r>
        <w:rPr>
          <w:rFonts w:hint="eastAsia" w:ascii="宋体" w:hAnsi="宋体"/>
          <w:b/>
          <w:color w:val="auto"/>
          <w:sz w:val="32"/>
          <w:szCs w:val="32"/>
          <w:highlight w:val="none"/>
        </w:rPr>
        <w:t>第三章  供应商须知</w:t>
      </w:r>
    </w:p>
    <w:p>
      <w:pPr>
        <w:spacing w:line="288" w:lineRule="auto"/>
        <w:ind w:left="238"/>
        <w:jc w:val="center"/>
        <w:rPr>
          <w:rFonts w:ascii="宋体" w:hAnsi="宋体"/>
          <w:b/>
          <w:color w:val="auto"/>
          <w:sz w:val="24"/>
          <w:highlight w:val="none"/>
        </w:rPr>
      </w:pPr>
      <w:r>
        <w:rPr>
          <w:rFonts w:hint="eastAsia" w:ascii="宋体" w:hAnsi="宋体"/>
          <w:b/>
          <w:color w:val="auto"/>
          <w:sz w:val="24"/>
          <w:highlight w:val="none"/>
        </w:rPr>
        <w:t>前附表</w:t>
      </w:r>
    </w:p>
    <w:tbl>
      <w:tblPr>
        <w:tblStyle w:val="21"/>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8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8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1</w:t>
            </w:r>
          </w:p>
        </w:tc>
        <w:tc>
          <w:tcPr>
            <w:tcW w:w="864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1"/>
                <w:szCs w:val="21"/>
                <w:highlight w:val="none"/>
              </w:rPr>
            </w:pPr>
            <w:r>
              <w:rPr>
                <w:rFonts w:hint="eastAsia" w:ascii="宋体" w:hAnsi="宋体"/>
                <w:color w:val="auto"/>
                <w:sz w:val="21"/>
                <w:szCs w:val="21"/>
                <w:highlight w:val="none"/>
              </w:rPr>
              <w:t>采 购 人：浙江省退役军人事务厅</w:t>
            </w:r>
          </w:p>
          <w:p>
            <w:pPr>
              <w:rPr>
                <w:rFonts w:ascii="宋体" w:hAnsi="宋体"/>
                <w:color w:val="auto"/>
                <w:sz w:val="21"/>
                <w:szCs w:val="21"/>
                <w:highlight w:val="none"/>
              </w:rPr>
            </w:pPr>
            <w:r>
              <w:rPr>
                <w:rFonts w:hint="eastAsia" w:ascii="宋体" w:hAnsi="宋体"/>
                <w:color w:val="auto"/>
                <w:sz w:val="21"/>
                <w:szCs w:val="21"/>
                <w:highlight w:val="none"/>
              </w:rPr>
              <w:t>项目名称：云安全防护设备及服务项目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2</w:t>
            </w:r>
          </w:p>
        </w:tc>
        <w:tc>
          <w:tcPr>
            <w:tcW w:w="8647"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sz w:val="21"/>
                <w:szCs w:val="21"/>
                <w:highlight w:val="none"/>
              </w:rPr>
            </w:pPr>
            <w:r>
              <w:rPr>
                <w:rFonts w:hint="eastAsia" w:ascii="宋体" w:hAnsi="宋体"/>
                <w:color w:val="auto"/>
                <w:sz w:val="21"/>
                <w:szCs w:val="21"/>
                <w:highlight w:val="none"/>
              </w:rPr>
              <w:t>磋商响应报价：</w:t>
            </w:r>
            <w:r>
              <w:rPr>
                <w:rFonts w:hint="eastAsia" w:ascii="宋体" w:hAnsi="宋体"/>
                <w:b/>
                <w:color w:val="auto"/>
                <w:spacing w:val="-6"/>
                <w:sz w:val="21"/>
                <w:szCs w:val="21"/>
                <w:highlight w:val="none"/>
              </w:rPr>
              <w:t>本项目采用</w:t>
            </w:r>
            <w:r>
              <w:rPr>
                <w:rFonts w:ascii="宋体" w:hAnsi="宋体"/>
                <w:b/>
                <w:color w:val="auto"/>
                <w:spacing w:val="-6"/>
                <w:sz w:val="21"/>
                <w:szCs w:val="21"/>
                <w:highlight w:val="none"/>
              </w:rPr>
              <w:t>人民币报价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3</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color w:val="auto"/>
                <w:sz w:val="21"/>
                <w:szCs w:val="21"/>
                <w:highlight w:val="none"/>
              </w:rPr>
            </w:pPr>
            <w:r>
              <w:rPr>
                <w:rFonts w:hint="eastAsia" w:ascii="宋体" w:hAnsi="宋体"/>
                <w:color w:val="auto"/>
                <w:sz w:val="21"/>
                <w:szCs w:val="21"/>
                <w:highlight w:val="none"/>
              </w:rPr>
              <w:t>磋商费用：</w:t>
            </w:r>
          </w:p>
          <w:p>
            <w:pPr>
              <w:autoSpaceDE w:val="0"/>
              <w:autoSpaceDN w:val="0"/>
              <w:textAlignment w:val="bottom"/>
              <w:rPr>
                <w:rFonts w:ascii="宋体" w:hAnsi="宋体"/>
                <w:color w:val="auto"/>
                <w:sz w:val="21"/>
                <w:szCs w:val="21"/>
                <w:highlight w:val="none"/>
              </w:rPr>
            </w:pPr>
            <w:r>
              <w:rPr>
                <w:rFonts w:hint="eastAsia" w:ascii="宋体" w:hAnsi="宋体"/>
                <w:color w:val="auto"/>
                <w:sz w:val="21"/>
                <w:szCs w:val="21"/>
                <w:highlight w:val="none"/>
              </w:rPr>
              <w:t>1.不论磋商结果如何，供应商均应自行承担所有与磋商有关的全部费用；</w:t>
            </w:r>
          </w:p>
          <w:p>
            <w:pPr>
              <w:autoSpaceDE w:val="0"/>
              <w:autoSpaceDN w:val="0"/>
              <w:textAlignment w:val="bottom"/>
              <w:rPr>
                <w:rFonts w:ascii="宋体" w:hAnsi="宋体"/>
                <w:color w:val="auto"/>
                <w:spacing w:val="-6"/>
                <w:sz w:val="21"/>
                <w:szCs w:val="21"/>
                <w:highlight w:val="none"/>
              </w:rPr>
            </w:pPr>
            <w:r>
              <w:rPr>
                <w:rFonts w:hint="eastAsia" w:ascii="宋体" w:hAnsi="宋体"/>
                <w:color w:val="auto"/>
                <w:sz w:val="21"/>
                <w:szCs w:val="21"/>
                <w:highlight w:val="none"/>
              </w:rPr>
              <w:t>2.成交供应商在成交通知书发出后七个工作日内，向采购代理机构交纳代理服务费。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4</w:t>
            </w:r>
          </w:p>
        </w:tc>
        <w:tc>
          <w:tcPr>
            <w:tcW w:w="864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1"/>
                <w:szCs w:val="21"/>
                <w:highlight w:val="none"/>
              </w:rPr>
            </w:pPr>
            <w:r>
              <w:rPr>
                <w:rFonts w:hint="eastAsia" w:ascii="宋体" w:hAnsi="宋体"/>
                <w:color w:val="auto"/>
                <w:sz w:val="21"/>
                <w:szCs w:val="21"/>
                <w:highlight w:val="none"/>
              </w:rPr>
              <w:t>响应文件份数：</w:t>
            </w:r>
            <w:r>
              <w:rPr>
                <w:rFonts w:ascii="宋体" w:hAnsi="宋体"/>
                <w:b/>
                <w:color w:val="auto"/>
                <w:spacing w:val="-6"/>
                <w:sz w:val="21"/>
                <w:szCs w:val="21"/>
                <w:highlight w:val="none"/>
              </w:rPr>
              <w:t>正本</w:t>
            </w:r>
            <w:r>
              <w:rPr>
                <w:rFonts w:hint="eastAsia" w:ascii="宋体" w:hAnsi="宋体"/>
                <w:b/>
                <w:color w:val="auto"/>
                <w:spacing w:val="-6"/>
                <w:sz w:val="21"/>
                <w:szCs w:val="21"/>
                <w:highlight w:val="none"/>
              </w:rPr>
              <w:t>一</w:t>
            </w:r>
            <w:r>
              <w:rPr>
                <w:rFonts w:ascii="宋体" w:hAnsi="宋体"/>
                <w:b/>
                <w:color w:val="auto"/>
                <w:spacing w:val="-6"/>
                <w:sz w:val="21"/>
                <w:szCs w:val="21"/>
                <w:highlight w:val="none"/>
              </w:rPr>
              <w:t>份，</w:t>
            </w:r>
            <w:r>
              <w:rPr>
                <w:rFonts w:hint="eastAsia" w:ascii="宋体" w:hAnsi="宋体"/>
                <w:b/>
                <w:color w:val="auto"/>
                <w:spacing w:val="-6"/>
                <w:sz w:val="21"/>
                <w:szCs w:val="21"/>
                <w:highlight w:val="none"/>
              </w:rPr>
              <w:t>副本三份。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5</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color w:val="auto"/>
                <w:sz w:val="21"/>
                <w:szCs w:val="21"/>
                <w:highlight w:val="none"/>
              </w:rPr>
            </w:pPr>
            <w:r>
              <w:rPr>
                <w:rFonts w:hint="eastAsia" w:ascii="宋体" w:hAnsi="宋体"/>
                <w:color w:val="auto"/>
                <w:sz w:val="21"/>
                <w:szCs w:val="21"/>
                <w:highlight w:val="none"/>
              </w:rPr>
              <w:t>响应文件装订要求：</w:t>
            </w:r>
          </w:p>
          <w:p>
            <w:pPr>
              <w:autoSpaceDE w:val="0"/>
              <w:autoSpaceDN w:val="0"/>
              <w:textAlignment w:val="bottom"/>
              <w:rPr>
                <w:rFonts w:ascii="宋体" w:hAnsi="宋体"/>
                <w:b/>
                <w:color w:val="auto"/>
                <w:sz w:val="21"/>
                <w:szCs w:val="21"/>
                <w:highlight w:val="none"/>
              </w:rPr>
            </w:pPr>
            <w:r>
              <w:rPr>
                <w:rFonts w:hint="eastAsia" w:ascii="宋体" w:hAnsi="宋体"/>
                <w:b/>
                <w:color w:val="auto"/>
                <w:sz w:val="21"/>
                <w:szCs w:val="21"/>
                <w:highlight w:val="none"/>
              </w:rPr>
              <w:t>报价文件</w:t>
            </w:r>
            <w:r>
              <w:rPr>
                <w:rFonts w:ascii="宋体" w:hAnsi="宋体"/>
                <w:b/>
                <w:color w:val="auto"/>
                <w:sz w:val="21"/>
                <w:szCs w:val="21"/>
                <w:highlight w:val="none"/>
              </w:rPr>
              <w:t>、</w:t>
            </w:r>
            <w:r>
              <w:rPr>
                <w:rFonts w:hint="eastAsia" w:ascii="宋体" w:hAnsi="宋体"/>
                <w:b/>
                <w:color w:val="auto"/>
                <w:sz w:val="21"/>
                <w:szCs w:val="21"/>
                <w:highlight w:val="none"/>
              </w:rPr>
              <w:t>商务和技术文件分别</w:t>
            </w:r>
            <w:r>
              <w:rPr>
                <w:rFonts w:ascii="宋体" w:hAnsi="宋体"/>
                <w:b/>
                <w:color w:val="auto"/>
                <w:sz w:val="21"/>
                <w:szCs w:val="21"/>
                <w:highlight w:val="none"/>
              </w:rPr>
              <w:t>编制</w:t>
            </w:r>
            <w:r>
              <w:rPr>
                <w:rFonts w:hint="eastAsia" w:ascii="宋体" w:hAnsi="宋体"/>
                <w:b/>
                <w:color w:val="auto"/>
                <w:sz w:val="21"/>
                <w:szCs w:val="21"/>
                <w:highlight w:val="none"/>
              </w:rPr>
              <w:t>合并装订成册；</w:t>
            </w:r>
          </w:p>
          <w:p>
            <w:pPr>
              <w:spacing w:line="288" w:lineRule="auto"/>
              <w:jc w:val="left"/>
              <w:rPr>
                <w:rFonts w:ascii="宋体" w:hAnsi="宋体"/>
                <w:color w:val="auto"/>
                <w:sz w:val="21"/>
                <w:szCs w:val="21"/>
                <w:highlight w:val="none"/>
              </w:rPr>
            </w:pPr>
            <w:r>
              <w:rPr>
                <w:rFonts w:hint="eastAsia" w:ascii="宋体" w:hAnsi="宋体"/>
                <w:b/>
                <w:color w:val="auto"/>
                <w:sz w:val="21"/>
                <w:szCs w:val="21"/>
                <w:highlight w:val="none"/>
              </w:rPr>
              <w:t>▲活页装订（卡条、抽杆夹、订书机、散装）的响应文件无效。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6</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color w:val="auto"/>
                <w:sz w:val="21"/>
                <w:szCs w:val="21"/>
                <w:highlight w:val="none"/>
              </w:rPr>
            </w:pPr>
            <w:r>
              <w:rPr>
                <w:rFonts w:hint="eastAsia" w:ascii="宋体" w:hAnsi="宋体"/>
                <w:color w:val="auto"/>
                <w:sz w:val="21"/>
                <w:szCs w:val="21"/>
                <w:highlight w:val="none"/>
              </w:rPr>
              <w:t>评审办法及评分标准：详见第四章《评审办法及评分标准》。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7</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color w:val="auto"/>
                <w:sz w:val="21"/>
                <w:szCs w:val="21"/>
                <w:highlight w:val="none"/>
              </w:rPr>
            </w:pPr>
            <w:r>
              <w:rPr>
                <w:rFonts w:hint="eastAsia" w:ascii="宋体" w:hAnsi="宋体"/>
                <w:color w:val="auto"/>
                <w:sz w:val="21"/>
                <w:szCs w:val="21"/>
                <w:highlight w:val="none"/>
              </w:rPr>
              <w:t>成交结果公示：成交结果公示于浙江政府采购网（http://www.zjzfcg.gov.cn)等相关网站或媒体。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8</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color w:val="auto"/>
                <w:sz w:val="21"/>
                <w:szCs w:val="21"/>
                <w:highlight w:val="none"/>
              </w:rPr>
            </w:pPr>
            <w:r>
              <w:rPr>
                <w:rFonts w:hint="eastAsia" w:ascii="宋体" w:hAnsi="宋体"/>
                <w:color w:val="auto"/>
                <w:sz w:val="21"/>
                <w:szCs w:val="21"/>
                <w:highlight w:val="none"/>
              </w:rPr>
              <w:t>成交通知：成交结果公告发出之日发成交通知书。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9</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color w:val="auto"/>
                <w:sz w:val="21"/>
                <w:szCs w:val="21"/>
                <w:highlight w:val="none"/>
              </w:rPr>
            </w:pPr>
            <w:r>
              <w:rPr>
                <w:rFonts w:hint="eastAsia" w:ascii="宋体" w:hAnsi="宋体"/>
                <w:color w:val="auto"/>
                <w:sz w:val="21"/>
                <w:szCs w:val="21"/>
                <w:highlight w:val="none"/>
              </w:rPr>
              <w:t>签订合同：成交通知书发出之日起30日内。</w:t>
            </w:r>
          </w:p>
          <w:p>
            <w:pPr>
              <w:autoSpaceDE w:val="0"/>
              <w:autoSpaceDN w:val="0"/>
              <w:textAlignment w:val="bottom"/>
              <w:rPr>
                <w:rFonts w:ascii="宋体" w:hAnsi="宋体"/>
                <w:color w:val="auto"/>
                <w:sz w:val="21"/>
                <w:szCs w:val="21"/>
                <w:highlight w:val="none"/>
              </w:rPr>
            </w:pPr>
            <w:r>
              <w:rPr>
                <w:rFonts w:hint="eastAsia" w:ascii="宋体" w:hAnsi="宋体"/>
                <w:color w:val="auto"/>
                <w:sz w:val="21"/>
                <w:szCs w:val="21"/>
                <w:highlight w:val="none"/>
              </w:rPr>
              <w:t>支付代理服务费：成交通知书发出后七个工作日内。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textAlignment w:val="bottom"/>
              <w:rPr>
                <w:rFonts w:ascii="宋体" w:hAnsi="宋体"/>
                <w:color w:val="auto"/>
                <w:sz w:val="21"/>
                <w:szCs w:val="21"/>
                <w:highlight w:val="none"/>
              </w:rPr>
            </w:pPr>
            <w:r>
              <w:rPr>
                <w:rFonts w:hint="eastAsia" w:ascii="宋体" w:hAnsi="宋体"/>
                <w:color w:val="auto"/>
                <w:sz w:val="21"/>
                <w:szCs w:val="21"/>
                <w:highlight w:val="none"/>
              </w:rPr>
              <w:t>10</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color w:val="auto"/>
                <w:sz w:val="21"/>
                <w:szCs w:val="21"/>
                <w:highlight w:val="none"/>
              </w:rPr>
            </w:pPr>
            <w:r>
              <w:rPr>
                <w:rFonts w:hint="eastAsia" w:ascii="宋体" w:hAnsi="宋体"/>
                <w:color w:val="auto"/>
                <w:sz w:val="21"/>
                <w:szCs w:val="21"/>
                <w:highlight w:val="none"/>
              </w:rPr>
              <w:t>响应文件有效期：90天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textAlignment w:val="bottom"/>
              <w:rPr>
                <w:rFonts w:ascii="宋体" w:hAnsi="宋体"/>
                <w:color w:val="auto"/>
                <w:sz w:val="21"/>
                <w:szCs w:val="21"/>
                <w:highlight w:val="none"/>
              </w:rPr>
            </w:pPr>
            <w:r>
              <w:rPr>
                <w:rFonts w:hint="eastAsia" w:ascii="宋体" w:hAnsi="宋体"/>
                <w:color w:val="auto"/>
                <w:sz w:val="21"/>
                <w:szCs w:val="21"/>
                <w:highlight w:val="none"/>
              </w:rPr>
              <w:t>11</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color w:val="auto"/>
                <w:sz w:val="21"/>
                <w:szCs w:val="21"/>
                <w:highlight w:val="none"/>
              </w:rPr>
            </w:pPr>
            <w:r>
              <w:rPr>
                <w:rFonts w:hint="eastAsia" w:ascii="宋体" w:hAnsi="宋体"/>
                <w:color w:val="auto"/>
                <w:sz w:val="21"/>
                <w:szCs w:val="21"/>
                <w:highlight w:val="none"/>
              </w:rPr>
              <w:t>磋商过程中可能实质性变动的内容：采购需求中的技术、服务要求以及合同草案条款。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textAlignment w:val="bottom"/>
              <w:rPr>
                <w:rFonts w:ascii="宋体" w:hAnsi="宋体"/>
                <w:color w:val="auto"/>
                <w:sz w:val="21"/>
                <w:szCs w:val="21"/>
                <w:highlight w:val="none"/>
              </w:rPr>
            </w:pPr>
            <w:r>
              <w:rPr>
                <w:rFonts w:hint="eastAsia" w:ascii="宋体" w:hAnsi="宋体"/>
                <w:color w:val="auto"/>
                <w:sz w:val="21"/>
                <w:szCs w:val="21"/>
                <w:highlight w:val="none"/>
              </w:rPr>
              <w:t>12</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color w:val="auto"/>
                <w:sz w:val="21"/>
                <w:szCs w:val="21"/>
                <w:highlight w:val="none"/>
              </w:rPr>
            </w:pPr>
            <w:r>
              <w:rPr>
                <w:rFonts w:hint="eastAsia" w:ascii="宋体" w:hAnsi="宋体"/>
                <w:b/>
                <w:color w:val="auto"/>
                <w:sz w:val="21"/>
                <w:szCs w:val="21"/>
                <w:highlight w:val="none"/>
              </w:rPr>
              <w:t>▲</w:t>
            </w:r>
            <w:r>
              <w:rPr>
                <w:rFonts w:hint="eastAsia" w:ascii="宋体" w:hAnsi="宋体"/>
                <w:color w:val="auto"/>
                <w:sz w:val="21"/>
                <w:szCs w:val="21"/>
                <w:highlight w:val="none"/>
              </w:rPr>
              <w:t>供应商授权代表必须持本人有效的身份证原件、驾驶证原件或护照原件于响应文件提交的截止时间前到达响应文件的开启地点参与磋商。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shd w:val="clear" w:color="auto" w:fill="auto"/>
            <w:vAlign w:val="center"/>
          </w:tcPr>
          <w:p>
            <w:pPr>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19</w:t>
            </w:r>
          </w:p>
        </w:tc>
        <w:tc>
          <w:tcPr>
            <w:tcW w:w="8647" w:type="dxa"/>
            <w:shd w:val="clear" w:color="auto" w:fill="auto"/>
            <w:vAlign w:val="center"/>
          </w:tcPr>
          <w:p>
            <w:pPr>
              <w:autoSpaceDE w:val="0"/>
              <w:autoSpaceDN w:val="0"/>
              <w:textAlignment w:val="bottom"/>
              <w:rPr>
                <w:rFonts w:ascii="宋体" w:hAnsi="宋体"/>
                <w:color w:val="auto"/>
                <w:sz w:val="21"/>
                <w:szCs w:val="21"/>
                <w:highlight w:val="none"/>
              </w:rPr>
            </w:pPr>
            <w:r>
              <w:rPr>
                <w:rFonts w:hint="eastAsia" w:ascii="宋体" w:hAnsi="宋体"/>
                <w:color w:val="auto"/>
                <w:sz w:val="21"/>
                <w:szCs w:val="21"/>
                <w:highlight w:val="none"/>
              </w:rPr>
              <w:t>支付代理服务费：成交通知书发出之日起7个工作日内；</w:t>
            </w:r>
          </w:p>
          <w:p>
            <w:pPr>
              <w:widowControl/>
              <w:jc w:val="left"/>
              <w:rPr>
                <w:rFonts w:ascii="宋体" w:hAnsi="宋体" w:cs="宋体"/>
                <w:color w:val="auto"/>
                <w:kern w:val="0"/>
                <w:sz w:val="24"/>
                <w:highlight w:val="none"/>
              </w:rPr>
            </w:pPr>
            <w:r>
              <w:rPr>
                <w:rFonts w:hint="eastAsia" w:ascii="宋体" w:hAnsi="宋体"/>
                <w:color w:val="auto"/>
                <w:sz w:val="21"/>
                <w:szCs w:val="21"/>
                <w:highlight w:val="none"/>
              </w:rPr>
              <w:t>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shd w:val="clear" w:color="auto" w:fill="auto"/>
            <w:vAlign w:val="center"/>
          </w:tcPr>
          <w:p>
            <w:pPr>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20</w:t>
            </w:r>
          </w:p>
        </w:tc>
        <w:tc>
          <w:tcPr>
            <w:tcW w:w="8647" w:type="dxa"/>
            <w:shd w:val="clear" w:color="auto" w:fill="auto"/>
            <w:vAlign w:val="center"/>
          </w:tcPr>
          <w:p>
            <w:pPr>
              <w:autoSpaceDE w:val="0"/>
              <w:autoSpaceDN w:val="0"/>
              <w:textAlignment w:val="bottom"/>
              <w:rPr>
                <w:rFonts w:ascii="宋体" w:hAnsi="宋体"/>
                <w:color w:val="auto"/>
                <w:sz w:val="21"/>
                <w:szCs w:val="21"/>
                <w:highlight w:val="none"/>
              </w:rPr>
            </w:pPr>
            <w:r>
              <w:rPr>
                <w:rFonts w:hint="eastAsia" w:ascii="宋体" w:hAnsi="宋体"/>
                <w:color w:val="auto"/>
                <w:sz w:val="21"/>
                <w:szCs w:val="21"/>
                <w:highlight w:val="none"/>
              </w:rPr>
              <w:t>解释：本磋商文件的解释权属于</w:t>
            </w:r>
            <w:r>
              <w:rPr>
                <w:rFonts w:hint="eastAsia" w:ascii="宋体" w:hAnsi="宋体"/>
                <w:color w:val="auto"/>
                <w:spacing w:val="-6"/>
                <w:sz w:val="21"/>
                <w:szCs w:val="21"/>
                <w:highlight w:val="none"/>
              </w:rPr>
              <w:t>采购代理机构</w:t>
            </w:r>
            <w:r>
              <w:rPr>
                <w:rFonts w:hint="eastAsia" w:ascii="宋体" w:hAnsi="宋体"/>
                <w:color w:val="auto"/>
                <w:sz w:val="21"/>
                <w:szCs w:val="21"/>
                <w:highlight w:val="none"/>
              </w:rPr>
              <w:t>。</w:t>
            </w:r>
          </w:p>
        </w:tc>
      </w:tr>
    </w:tbl>
    <w:p>
      <w:pPr>
        <w:pStyle w:val="12"/>
        <w:spacing w:beforeLines="0" w:afterLines="0" w:line="288" w:lineRule="auto"/>
        <w:jc w:val="center"/>
        <w:rPr>
          <w:rFonts w:hAnsi="宋体"/>
          <w:b/>
          <w:color w:val="auto"/>
          <w:spacing w:val="-6"/>
          <w:sz w:val="32"/>
          <w:szCs w:val="32"/>
          <w:highlight w:val="none"/>
        </w:rPr>
      </w:pPr>
      <w:r>
        <w:rPr>
          <w:rFonts w:hAnsi="宋体"/>
          <w:b/>
          <w:color w:val="auto"/>
          <w:spacing w:val="-6"/>
          <w:sz w:val="21"/>
          <w:szCs w:val="21"/>
          <w:highlight w:val="none"/>
        </w:rPr>
        <w:br w:type="page"/>
      </w:r>
      <w:r>
        <w:rPr>
          <w:rFonts w:hAnsi="宋体"/>
          <w:b/>
          <w:color w:val="auto"/>
          <w:spacing w:val="-6"/>
          <w:sz w:val="32"/>
          <w:szCs w:val="32"/>
          <w:highlight w:val="none"/>
        </w:rPr>
        <w:t>一</w:t>
      </w:r>
      <w:r>
        <w:rPr>
          <w:rFonts w:hint="eastAsia" w:hAnsi="宋体"/>
          <w:b/>
          <w:color w:val="auto"/>
          <w:spacing w:val="-6"/>
          <w:sz w:val="32"/>
          <w:szCs w:val="32"/>
          <w:highlight w:val="none"/>
        </w:rPr>
        <w:t>、</w:t>
      </w:r>
      <w:r>
        <w:rPr>
          <w:rFonts w:hAnsi="宋体"/>
          <w:b/>
          <w:color w:val="auto"/>
          <w:spacing w:val="-6"/>
          <w:sz w:val="32"/>
          <w:szCs w:val="32"/>
          <w:highlight w:val="none"/>
        </w:rPr>
        <w:t>总则</w:t>
      </w:r>
    </w:p>
    <w:p>
      <w:pPr>
        <w:spacing w:line="288" w:lineRule="auto"/>
        <w:jc w:val="left"/>
        <w:rPr>
          <w:rFonts w:ascii="宋体" w:hAnsi="宋体"/>
          <w:b/>
          <w:color w:val="auto"/>
          <w:spacing w:val="-6"/>
          <w:sz w:val="24"/>
          <w:highlight w:val="none"/>
        </w:rPr>
      </w:pPr>
      <w:r>
        <w:rPr>
          <w:rFonts w:hint="eastAsia" w:ascii="宋体" w:hAnsi="宋体"/>
          <w:b/>
          <w:color w:val="auto"/>
          <w:spacing w:val="-6"/>
          <w:sz w:val="24"/>
          <w:highlight w:val="none"/>
        </w:rPr>
        <w:t>（一</w:t>
      </w:r>
      <w:r>
        <w:rPr>
          <w:rFonts w:ascii="宋体" w:hAnsi="宋体"/>
          <w:b/>
          <w:color w:val="auto"/>
          <w:spacing w:val="-6"/>
          <w:sz w:val="24"/>
          <w:highlight w:val="none"/>
        </w:rPr>
        <w:t>）</w:t>
      </w:r>
      <w:r>
        <w:rPr>
          <w:rFonts w:hint="eastAsia" w:ascii="宋体" w:hAnsi="宋体"/>
          <w:b/>
          <w:color w:val="auto"/>
          <w:spacing w:val="-6"/>
          <w:sz w:val="24"/>
          <w:highlight w:val="none"/>
        </w:rPr>
        <w:t xml:space="preserve"> 适用范围</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本磋商文件适用于浙江省退役军人事务厅云安全防护设备及服务项目的磋商、评审、成交、验收、合同履约、付款等（法律、法规另有规定的，从其规定）。</w:t>
      </w:r>
    </w:p>
    <w:p>
      <w:pPr>
        <w:spacing w:line="288" w:lineRule="auto"/>
        <w:jc w:val="left"/>
        <w:rPr>
          <w:rFonts w:ascii="宋体" w:hAnsi="宋体"/>
          <w:b/>
          <w:color w:val="auto"/>
          <w:spacing w:val="-6"/>
          <w:sz w:val="24"/>
          <w:highlight w:val="none"/>
        </w:rPr>
      </w:pPr>
      <w:r>
        <w:rPr>
          <w:rFonts w:hint="eastAsia" w:ascii="宋体" w:hAnsi="宋体"/>
          <w:b/>
          <w:color w:val="auto"/>
          <w:spacing w:val="-6"/>
          <w:sz w:val="24"/>
          <w:highlight w:val="none"/>
        </w:rPr>
        <w:t>（二） 定义</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1.“采购人”系指浙江省退役军人事务厅；</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w:t>
      </w:r>
      <w:r>
        <w:rPr>
          <w:rFonts w:hint="eastAsia" w:ascii="宋体" w:hAnsi="宋体"/>
          <w:color w:val="auto"/>
          <w:spacing w:val="-6"/>
          <w:sz w:val="21"/>
          <w:szCs w:val="21"/>
          <w:highlight w:val="none"/>
        </w:rPr>
        <w:t>采购代理机构”系指组织本次竞争性磋商的浙江求是招标代理有限公司；</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3．“供应商”系指响应磋商、参加竞争的法人、其他组织或者自然人；</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4．“书面形式”包括信函、传真、电子文档等；</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5．“▲”系指实质性要求条款，供应商必须做出实质性响应。</w:t>
      </w:r>
    </w:p>
    <w:p>
      <w:pPr>
        <w:spacing w:line="288" w:lineRule="auto"/>
        <w:jc w:val="left"/>
        <w:rPr>
          <w:rFonts w:ascii="宋体" w:hAnsi="宋体"/>
          <w:b/>
          <w:color w:val="auto"/>
          <w:spacing w:val="-6"/>
          <w:sz w:val="24"/>
          <w:highlight w:val="none"/>
        </w:rPr>
      </w:pPr>
      <w:r>
        <w:rPr>
          <w:rFonts w:hint="eastAsia" w:ascii="宋体" w:hAnsi="宋体"/>
          <w:b/>
          <w:color w:val="auto"/>
          <w:spacing w:val="-6"/>
          <w:sz w:val="24"/>
          <w:highlight w:val="none"/>
        </w:rPr>
        <w:t>（三） 采购方式</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本次采购采用竞争性磋商方式进行。</w:t>
      </w:r>
    </w:p>
    <w:p>
      <w:pPr>
        <w:spacing w:line="288" w:lineRule="auto"/>
        <w:jc w:val="left"/>
        <w:rPr>
          <w:rFonts w:ascii="宋体" w:hAnsi="宋体"/>
          <w:b/>
          <w:color w:val="auto"/>
          <w:spacing w:val="-6"/>
          <w:sz w:val="24"/>
          <w:highlight w:val="none"/>
        </w:rPr>
      </w:pPr>
      <w:r>
        <w:rPr>
          <w:rFonts w:hint="eastAsia" w:ascii="宋体" w:hAnsi="宋体"/>
          <w:b/>
          <w:color w:val="auto"/>
          <w:spacing w:val="-6"/>
          <w:sz w:val="24"/>
          <w:highlight w:val="none"/>
        </w:rPr>
        <w:t>（四） 竞争性磋商委托</w:t>
      </w:r>
    </w:p>
    <w:p>
      <w:pPr>
        <w:spacing w:line="288" w:lineRule="auto"/>
        <w:ind w:firstLine="396" w:firstLineChars="200"/>
        <w:jc w:val="left"/>
        <w:rPr>
          <w:rFonts w:ascii="宋体" w:hAnsi="宋体"/>
          <w:color w:val="auto"/>
          <w:spacing w:val="-6"/>
          <w:sz w:val="21"/>
          <w:szCs w:val="21"/>
          <w:highlight w:val="none"/>
        </w:rPr>
      </w:pPr>
      <w:r>
        <w:rPr>
          <w:rFonts w:ascii="宋体" w:hAnsi="宋体"/>
          <w:color w:val="auto"/>
          <w:spacing w:val="-6"/>
          <w:sz w:val="21"/>
          <w:szCs w:val="21"/>
          <w:highlight w:val="none"/>
        </w:rPr>
        <w:t>供应商授权代表须携带有效身份证件</w:t>
      </w:r>
      <w:r>
        <w:rPr>
          <w:rFonts w:hint="eastAsia" w:ascii="宋体" w:hAnsi="宋体"/>
          <w:color w:val="auto"/>
          <w:spacing w:val="-6"/>
          <w:sz w:val="21"/>
          <w:szCs w:val="21"/>
          <w:highlight w:val="none"/>
        </w:rPr>
        <w:t>。</w:t>
      </w:r>
      <w:r>
        <w:rPr>
          <w:rFonts w:ascii="宋体" w:hAnsi="宋体"/>
          <w:color w:val="auto"/>
          <w:spacing w:val="-6"/>
          <w:sz w:val="21"/>
          <w:szCs w:val="21"/>
          <w:highlight w:val="none"/>
        </w:rPr>
        <w:t>如供应商授权代表不是法定代表人，须有</w:t>
      </w:r>
      <w:r>
        <w:rPr>
          <w:rFonts w:ascii="宋体" w:hAnsi="宋体"/>
          <w:bCs/>
          <w:color w:val="auto"/>
          <w:spacing w:val="-6"/>
          <w:sz w:val="21"/>
          <w:szCs w:val="21"/>
          <w:highlight w:val="none"/>
        </w:rPr>
        <w:t>附有法定代表人资格证明</w:t>
      </w:r>
      <w:r>
        <w:rPr>
          <w:rFonts w:hint="eastAsia" w:ascii="宋体" w:hAnsi="宋体"/>
          <w:bCs/>
          <w:color w:val="auto"/>
          <w:spacing w:val="-6"/>
          <w:sz w:val="21"/>
          <w:szCs w:val="21"/>
          <w:highlight w:val="none"/>
        </w:rPr>
        <w:t>书</w:t>
      </w:r>
      <w:r>
        <w:rPr>
          <w:rFonts w:ascii="宋体" w:hAnsi="宋体"/>
          <w:bCs/>
          <w:color w:val="auto"/>
          <w:spacing w:val="-6"/>
          <w:sz w:val="21"/>
          <w:szCs w:val="21"/>
          <w:highlight w:val="none"/>
        </w:rPr>
        <w:t>的法定代表人授权</w:t>
      </w:r>
      <w:r>
        <w:rPr>
          <w:rFonts w:hint="eastAsia" w:ascii="宋体" w:hAnsi="宋体"/>
          <w:bCs/>
          <w:color w:val="auto"/>
          <w:spacing w:val="-6"/>
          <w:sz w:val="21"/>
          <w:szCs w:val="21"/>
          <w:highlight w:val="none"/>
        </w:rPr>
        <w:t>委托</w:t>
      </w:r>
      <w:r>
        <w:rPr>
          <w:rFonts w:ascii="宋体" w:hAnsi="宋体"/>
          <w:bCs/>
          <w:color w:val="auto"/>
          <w:spacing w:val="-6"/>
          <w:sz w:val="21"/>
          <w:szCs w:val="21"/>
          <w:highlight w:val="none"/>
        </w:rPr>
        <w:t>书</w:t>
      </w:r>
      <w:r>
        <w:rPr>
          <w:rFonts w:hint="eastAsia" w:ascii="宋体" w:hAnsi="宋体"/>
          <w:color w:val="auto"/>
          <w:spacing w:val="-6"/>
          <w:sz w:val="21"/>
          <w:szCs w:val="21"/>
          <w:highlight w:val="none"/>
        </w:rPr>
        <w:t>（</w:t>
      </w:r>
      <w:r>
        <w:rPr>
          <w:rFonts w:ascii="宋体" w:hAnsi="宋体"/>
          <w:color w:val="auto"/>
          <w:spacing w:val="-6"/>
          <w:sz w:val="21"/>
          <w:szCs w:val="21"/>
          <w:highlight w:val="none"/>
        </w:rPr>
        <w:t>正本用原件，副本用复印件</w:t>
      </w:r>
      <w:r>
        <w:rPr>
          <w:rFonts w:hint="eastAsia" w:ascii="宋体" w:hAnsi="宋体"/>
          <w:color w:val="auto"/>
          <w:spacing w:val="-6"/>
          <w:sz w:val="21"/>
          <w:szCs w:val="21"/>
          <w:highlight w:val="none"/>
        </w:rPr>
        <w:t>，详见响应文件格式）</w:t>
      </w:r>
      <w:r>
        <w:rPr>
          <w:rFonts w:ascii="宋体" w:hAnsi="宋体"/>
          <w:color w:val="auto"/>
          <w:spacing w:val="-6"/>
          <w:sz w:val="21"/>
          <w:szCs w:val="21"/>
          <w:highlight w:val="none"/>
        </w:rPr>
        <w:t>。</w:t>
      </w:r>
    </w:p>
    <w:p>
      <w:pPr>
        <w:spacing w:line="288" w:lineRule="auto"/>
        <w:jc w:val="left"/>
        <w:rPr>
          <w:rFonts w:ascii="宋体" w:hAnsi="宋体"/>
          <w:b/>
          <w:color w:val="auto"/>
          <w:spacing w:val="-6"/>
          <w:sz w:val="24"/>
          <w:highlight w:val="none"/>
        </w:rPr>
      </w:pPr>
      <w:r>
        <w:rPr>
          <w:rFonts w:hint="eastAsia" w:ascii="宋体" w:hAnsi="宋体"/>
          <w:b/>
          <w:color w:val="auto"/>
          <w:spacing w:val="-6"/>
          <w:sz w:val="24"/>
          <w:highlight w:val="none"/>
        </w:rPr>
        <w:t>（五） 磋商费用</w:t>
      </w:r>
    </w:p>
    <w:p>
      <w:pPr>
        <w:spacing w:line="288" w:lineRule="auto"/>
        <w:ind w:firstLine="396" w:firstLineChars="200"/>
        <w:jc w:val="left"/>
        <w:rPr>
          <w:rFonts w:ascii="宋体" w:hAnsi="宋体"/>
          <w:color w:val="auto"/>
          <w:spacing w:val="-6"/>
          <w:sz w:val="21"/>
          <w:szCs w:val="21"/>
          <w:highlight w:val="none"/>
        </w:rPr>
      </w:pPr>
      <w:r>
        <w:rPr>
          <w:rFonts w:ascii="宋体" w:hAnsi="宋体"/>
          <w:color w:val="auto"/>
          <w:spacing w:val="-6"/>
          <w:sz w:val="21"/>
          <w:szCs w:val="21"/>
          <w:highlight w:val="none"/>
        </w:rPr>
        <w:t>1.</w:t>
      </w:r>
      <w:r>
        <w:rPr>
          <w:rFonts w:hint="eastAsia" w:ascii="宋体" w:hAnsi="宋体"/>
          <w:color w:val="auto"/>
          <w:spacing w:val="-6"/>
          <w:sz w:val="21"/>
          <w:szCs w:val="21"/>
          <w:highlight w:val="none"/>
        </w:rPr>
        <w:t>不论磋商结果如何，供应商均应自行承担所有与磋商有关的全部费用；</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2.成交供应商在成交通知书发出之日起7个工作日内，向采购代理机构交纳代理服务费，收费标准：</w:t>
      </w:r>
    </w:p>
    <w:tbl>
      <w:tblPr>
        <w:tblStyle w:val="21"/>
        <w:tblW w:w="5812" w:type="dxa"/>
        <w:tblInd w:w="126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551"/>
        <w:gridCol w:w="32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2551" w:type="dxa"/>
            <w:tcMar>
              <w:top w:w="0" w:type="dxa"/>
              <w:left w:w="108" w:type="dxa"/>
              <w:bottom w:w="0" w:type="dxa"/>
              <w:right w:w="108" w:type="dxa"/>
            </w:tcMar>
            <w:vAlign w:val="center"/>
          </w:tcPr>
          <w:p>
            <w:pPr>
              <w:widowControl/>
              <w:spacing w:line="288"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成交</w:t>
            </w:r>
            <w:r>
              <w:rPr>
                <w:rFonts w:ascii="宋体" w:hAnsi="宋体" w:cs="宋体"/>
                <w:color w:val="auto"/>
                <w:kern w:val="0"/>
                <w:sz w:val="21"/>
                <w:szCs w:val="21"/>
                <w:highlight w:val="none"/>
              </w:rPr>
              <w:t>金额（万元）</w:t>
            </w:r>
          </w:p>
        </w:tc>
        <w:tc>
          <w:tcPr>
            <w:tcW w:w="3261" w:type="dxa"/>
            <w:tcMar>
              <w:top w:w="0" w:type="dxa"/>
              <w:left w:w="108" w:type="dxa"/>
              <w:bottom w:w="0" w:type="dxa"/>
              <w:right w:w="108" w:type="dxa"/>
            </w:tcMar>
            <w:vAlign w:val="center"/>
          </w:tcPr>
          <w:p>
            <w:pPr>
              <w:widowControl/>
              <w:spacing w:line="288"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收费标准</w:t>
            </w:r>
            <w:r>
              <w:rPr>
                <w:rFonts w:ascii="宋体" w:hAnsi="宋体" w:cs="宋体"/>
                <w:color w:val="auto"/>
                <w:kern w:val="0"/>
                <w:sz w:val="21"/>
                <w:szCs w:val="21"/>
                <w:highlight w:val="none"/>
              </w:rPr>
              <w:t>（费率</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2551" w:type="dxa"/>
            <w:tcMar>
              <w:top w:w="0" w:type="dxa"/>
              <w:left w:w="108" w:type="dxa"/>
              <w:bottom w:w="0" w:type="dxa"/>
              <w:right w:w="108" w:type="dxa"/>
            </w:tcMar>
            <w:vAlign w:val="center"/>
          </w:tcPr>
          <w:p>
            <w:pPr>
              <w:widowControl/>
              <w:spacing w:line="288" w:lineRule="auto"/>
              <w:jc w:val="center"/>
              <w:rPr>
                <w:rFonts w:ascii="宋体" w:hAnsi="宋体" w:cs="宋体"/>
                <w:color w:val="auto"/>
                <w:kern w:val="0"/>
                <w:sz w:val="21"/>
                <w:szCs w:val="21"/>
                <w:highlight w:val="none"/>
              </w:rPr>
            </w:pPr>
            <w:r>
              <w:rPr>
                <w:rFonts w:ascii="宋体" w:hAnsi="宋体" w:cs="宋体"/>
                <w:color w:val="auto"/>
                <w:kern w:val="0"/>
                <w:sz w:val="21"/>
                <w:szCs w:val="21"/>
                <w:highlight w:val="none"/>
              </w:rPr>
              <w:t>100以下</w:t>
            </w:r>
          </w:p>
        </w:tc>
        <w:tc>
          <w:tcPr>
            <w:tcW w:w="3261" w:type="dxa"/>
            <w:tcMar>
              <w:top w:w="0" w:type="dxa"/>
              <w:left w:w="108" w:type="dxa"/>
              <w:bottom w:w="0" w:type="dxa"/>
              <w:right w:w="108" w:type="dxa"/>
            </w:tcMar>
            <w:vAlign w:val="center"/>
          </w:tcPr>
          <w:p>
            <w:pPr>
              <w:widowControl/>
              <w:spacing w:line="288"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2551" w:type="dxa"/>
            <w:tcMar>
              <w:top w:w="0" w:type="dxa"/>
              <w:left w:w="108" w:type="dxa"/>
              <w:bottom w:w="0" w:type="dxa"/>
              <w:right w:w="108" w:type="dxa"/>
            </w:tcMar>
            <w:vAlign w:val="center"/>
          </w:tcPr>
          <w:p>
            <w:pPr>
              <w:widowControl/>
              <w:spacing w:line="288"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100-500</w:t>
            </w:r>
          </w:p>
        </w:tc>
        <w:tc>
          <w:tcPr>
            <w:tcW w:w="3261" w:type="dxa"/>
            <w:tcMar>
              <w:top w:w="0" w:type="dxa"/>
              <w:left w:w="108" w:type="dxa"/>
              <w:bottom w:w="0" w:type="dxa"/>
              <w:right w:w="108" w:type="dxa"/>
            </w:tcMar>
            <w:vAlign w:val="center"/>
          </w:tcPr>
          <w:p>
            <w:pPr>
              <w:widowControl/>
              <w:spacing w:line="288"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0.</w:t>
            </w:r>
            <w:r>
              <w:rPr>
                <w:rFonts w:hint="eastAsia" w:ascii="宋体" w:hAnsi="宋体" w:cs="宋体"/>
                <w:color w:val="auto"/>
                <w:kern w:val="0"/>
                <w:sz w:val="21"/>
                <w:szCs w:val="21"/>
                <w:highlight w:val="none"/>
                <w:lang w:val="en-US" w:eastAsia="zh-CN"/>
              </w:rPr>
              <w:t>64</w:t>
            </w:r>
          </w:p>
        </w:tc>
      </w:tr>
    </w:tbl>
    <w:p>
      <w:pPr>
        <w:widowControl/>
        <w:ind w:firstLine="396" w:firstLineChars="200"/>
        <w:jc w:val="left"/>
        <w:rPr>
          <w:rFonts w:ascii="宋体" w:hAnsi="宋体"/>
          <w:b/>
          <w:color w:val="auto"/>
          <w:spacing w:val="-6"/>
          <w:sz w:val="24"/>
          <w:highlight w:val="none"/>
        </w:rPr>
      </w:pPr>
      <w:r>
        <w:rPr>
          <w:rFonts w:hint="eastAsia" w:ascii="宋体" w:hAnsi="宋体"/>
          <w:color w:val="auto"/>
          <w:spacing w:val="-6"/>
          <w:sz w:val="21"/>
          <w:szCs w:val="21"/>
          <w:highlight w:val="none"/>
        </w:rPr>
        <w:t>3.</w:t>
      </w:r>
      <w:r>
        <w:rPr>
          <w:rFonts w:hint="eastAsia" w:ascii="宋体" w:hAnsi="宋体"/>
          <w:color w:val="auto"/>
          <w:sz w:val="21"/>
          <w:szCs w:val="21"/>
          <w:highlight w:val="none"/>
        </w:rPr>
        <w:t>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spacing w:line="288" w:lineRule="auto"/>
        <w:jc w:val="left"/>
        <w:rPr>
          <w:rFonts w:ascii="宋体" w:hAnsi="宋体"/>
          <w:b/>
          <w:color w:val="auto"/>
          <w:spacing w:val="-6"/>
          <w:sz w:val="24"/>
          <w:highlight w:val="none"/>
        </w:rPr>
      </w:pPr>
      <w:r>
        <w:rPr>
          <w:rFonts w:hint="eastAsia" w:ascii="宋体" w:hAnsi="宋体"/>
          <w:b/>
          <w:color w:val="auto"/>
          <w:spacing w:val="-6"/>
          <w:sz w:val="24"/>
          <w:highlight w:val="none"/>
        </w:rPr>
        <w:t>（六） 联合体响应</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本项目不接受联合体响应。</w:t>
      </w:r>
    </w:p>
    <w:p>
      <w:pPr>
        <w:spacing w:line="288" w:lineRule="auto"/>
        <w:jc w:val="left"/>
        <w:rPr>
          <w:rFonts w:ascii="宋体" w:hAnsi="宋体"/>
          <w:b/>
          <w:color w:val="auto"/>
          <w:spacing w:val="-6"/>
          <w:sz w:val="24"/>
          <w:highlight w:val="none"/>
        </w:rPr>
      </w:pPr>
      <w:r>
        <w:rPr>
          <w:rFonts w:hint="eastAsia" w:ascii="宋体" w:hAnsi="宋体"/>
          <w:b/>
          <w:color w:val="auto"/>
          <w:spacing w:val="-6"/>
          <w:sz w:val="24"/>
          <w:highlight w:val="none"/>
        </w:rPr>
        <w:t>（七） 转包与分包</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本项目不允许转包；</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w:t>
      </w:r>
      <w:r>
        <w:rPr>
          <w:rFonts w:hint="eastAsia" w:ascii="宋体" w:hAnsi="宋体"/>
          <w:color w:val="auto"/>
          <w:spacing w:val="-6"/>
          <w:sz w:val="21"/>
          <w:szCs w:val="21"/>
          <w:highlight w:val="none"/>
        </w:rPr>
        <w:t>供应商根据磋商文件的规定和采购项目的实际情况，拟在成交后将成交项目的非主体、非关键性工作分包的，应当在响应文件中载明分包承担主体，分包承担主体应当具备相应资质条件且不得再次分包。</w:t>
      </w:r>
    </w:p>
    <w:p>
      <w:pPr>
        <w:spacing w:line="288" w:lineRule="auto"/>
        <w:rPr>
          <w:rFonts w:ascii="宋体" w:hAnsi="宋体" w:cs="宋体"/>
          <w:b/>
          <w:color w:val="auto"/>
          <w:spacing w:val="-6"/>
          <w:kern w:val="0"/>
          <w:sz w:val="24"/>
          <w:highlight w:val="none"/>
        </w:rPr>
      </w:pPr>
      <w:r>
        <w:rPr>
          <w:rFonts w:hint="eastAsia" w:ascii="宋体" w:hAnsi="宋体" w:cs="宋体"/>
          <w:b/>
          <w:color w:val="auto"/>
          <w:spacing w:val="-6"/>
          <w:kern w:val="0"/>
          <w:sz w:val="24"/>
          <w:highlight w:val="none"/>
        </w:rPr>
        <w:t>（八） 特别说明</w:t>
      </w:r>
    </w:p>
    <w:p>
      <w:pPr>
        <w:pStyle w:val="10"/>
        <w:spacing w:line="288" w:lineRule="auto"/>
        <w:ind w:firstLine="396" w:firstLineChars="200"/>
        <w:jc w:val="left"/>
        <w:rPr>
          <w:rFonts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1</w:t>
      </w:r>
      <w:r>
        <w:rPr>
          <w:rFonts w:hAnsi="宋体"/>
          <w:color w:val="auto"/>
          <w:spacing w:val="-6"/>
          <w:sz w:val="21"/>
          <w:szCs w:val="21"/>
          <w:highlight w:val="none"/>
        </w:rPr>
        <w:t>.</w:t>
      </w:r>
      <w:r>
        <w:rPr>
          <w:rFonts w:hint="eastAsia" w:hAnsi="宋体"/>
          <w:color w:val="auto"/>
          <w:spacing w:val="-6"/>
          <w:sz w:val="21"/>
          <w:szCs w:val="21"/>
          <w:highlight w:val="none"/>
        </w:rPr>
        <w:t>供应商</w:t>
      </w:r>
      <w:r>
        <w:rPr>
          <w:rFonts w:hAnsi="宋体"/>
          <w:color w:val="auto"/>
          <w:spacing w:val="-6"/>
          <w:sz w:val="21"/>
          <w:szCs w:val="21"/>
          <w:highlight w:val="none"/>
        </w:rPr>
        <w:t>应仔细阅读</w:t>
      </w:r>
      <w:r>
        <w:rPr>
          <w:rFonts w:hint="eastAsia" w:hAnsi="宋体"/>
          <w:color w:val="auto"/>
          <w:spacing w:val="-6"/>
          <w:sz w:val="21"/>
          <w:szCs w:val="21"/>
          <w:highlight w:val="none"/>
        </w:rPr>
        <w:t>磋商</w:t>
      </w:r>
      <w:r>
        <w:rPr>
          <w:rFonts w:hAnsi="宋体"/>
          <w:color w:val="auto"/>
          <w:spacing w:val="-6"/>
          <w:sz w:val="21"/>
          <w:szCs w:val="21"/>
          <w:highlight w:val="none"/>
        </w:rPr>
        <w:t>文件的所有内容，按照</w:t>
      </w:r>
      <w:r>
        <w:rPr>
          <w:rFonts w:hint="eastAsia" w:hAnsi="宋体"/>
          <w:color w:val="auto"/>
          <w:spacing w:val="-6"/>
          <w:sz w:val="21"/>
          <w:szCs w:val="21"/>
          <w:highlight w:val="none"/>
        </w:rPr>
        <w:t>磋商</w:t>
      </w:r>
      <w:r>
        <w:rPr>
          <w:rFonts w:hAnsi="宋体"/>
          <w:color w:val="auto"/>
          <w:spacing w:val="-6"/>
          <w:sz w:val="21"/>
          <w:szCs w:val="21"/>
          <w:highlight w:val="none"/>
        </w:rPr>
        <w:t>文件的要求提交</w:t>
      </w:r>
      <w:r>
        <w:rPr>
          <w:rFonts w:hint="eastAsia" w:hAnsi="宋体"/>
          <w:color w:val="auto"/>
          <w:spacing w:val="-6"/>
          <w:sz w:val="21"/>
          <w:szCs w:val="21"/>
          <w:highlight w:val="none"/>
        </w:rPr>
        <w:t>响应</w:t>
      </w:r>
      <w:r>
        <w:rPr>
          <w:rFonts w:hAnsi="宋体"/>
          <w:color w:val="auto"/>
          <w:spacing w:val="-6"/>
          <w:sz w:val="21"/>
          <w:szCs w:val="21"/>
          <w:highlight w:val="none"/>
        </w:rPr>
        <w:t>文件，并对所提供的全部资料的真实性承担法律责任。</w:t>
      </w:r>
    </w:p>
    <w:p>
      <w:pPr>
        <w:pStyle w:val="10"/>
        <w:spacing w:line="288" w:lineRule="auto"/>
        <w:ind w:firstLine="396" w:firstLineChars="200"/>
        <w:jc w:val="left"/>
        <w:rPr>
          <w:rFonts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2</w:t>
      </w:r>
      <w:r>
        <w:rPr>
          <w:rFonts w:hAnsi="宋体"/>
          <w:color w:val="auto"/>
          <w:spacing w:val="-6"/>
          <w:sz w:val="21"/>
          <w:szCs w:val="21"/>
          <w:highlight w:val="none"/>
        </w:rPr>
        <w:t>.</w:t>
      </w:r>
      <w:r>
        <w:rPr>
          <w:rFonts w:hint="eastAsia" w:hAnsi="宋体"/>
          <w:color w:val="auto"/>
          <w:spacing w:val="-6"/>
          <w:sz w:val="21"/>
          <w:szCs w:val="21"/>
          <w:highlight w:val="none"/>
        </w:rPr>
        <w:t>单位负责人为同一人或者存在直接控股、管理关系的不同供应商，不得参加同一合同项下的政府采购活动。</w:t>
      </w:r>
    </w:p>
    <w:p>
      <w:pPr>
        <w:pStyle w:val="10"/>
        <w:spacing w:line="288" w:lineRule="auto"/>
        <w:ind w:firstLine="396" w:firstLineChars="200"/>
        <w:jc w:val="left"/>
        <w:rPr>
          <w:rFonts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3.为采购项目提供整体设计、规范编制或者项目管理、监理、检测等服务的供应商，不得再参加该采购项目的其他采购活动。</w:t>
      </w:r>
    </w:p>
    <w:p>
      <w:pPr>
        <w:pStyle w:val="10"/>
        <w:spacing w:line="288" w:lineRule="auto"/>
        <w:ind w:firstLine="396" w:firstLineChars="200"/>
        <w:jc w:val="left"/>
        <w:rPr>
          <w:rFonts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4.供应商授权代表必须为供应商本单位在职职工，并提供2019年8月至2019年11月任意一月社保缴纳证明。</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▲5.供应商授权代表必须持本人有效的身份证原件、驾驶证原件或护照原件于响应文件提交的截止时间前到达响应文件的开启地点参与磋商。</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6.采购人、采购代理机构可以视采购项目的具体情况，组织供应商进行现场考察或召开磋商前答疑会，但不得单独或分别组织只有一个供应商参加的现场考察和答疑会。</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7.浙财采监[2013]24号《关于规范政府采购供应商资格设定及资格审查的通知》第九条规定：</w:t>
      </w:r>
      <w:r>
        <w:rPr>
          <w:rFonts w:hAnsi="宋体"/>
          <w:color w:val="auto"/>
          <w:spacing w:val="-6"/>
          <w:sz w:val="21"/>
          <w:szCs w:val="21"/>
          <w:highlight w:val="none"/>
        </w:rPr>
        <w:t>如多家供应商提供相同品牌相同型号的产品参加同一政府采购项目</w:t>
      </w:r>
      <w:r>
        <w:rPr>
          <w:rFonts w:hint="eastAsia" w:hAnsi="宋体"/>
          <w:color w:val="auto"/>
          <w:spacing w:val="-6"/>
          <w:sz w:val="21"/>
          <w:szCs w:val="21"/>
          <w:highlight w:val="none"/>
        </w:rPr>
        <w:t>响应</w:t>
      </w:r>
      <w:r>
        <w:rPr>
          <w:rFonts w:hAnsi="宋体"/>
          <w:color w:val="auto"/>
          <w:spacing w:val="-6"/>
          <w:sz w:val="21"/>
          <w:szCs w:val="21"/>
          <w:highlight w:val="none"/>
        </w:rPr>
        <w:t>的，应当按一家供应商认定。评审时，应取其中通过资格审查后的</w:t>
      </w:r>
      <w:r>
        <w:rPr>
          <w:rFonts w:hint="eastAsia" w:hAnsi="宋体"/>
          <w:color w:val="auto"/>
          <w:spacing w:val="-6"/>
          <w:sz w:val="21"/>
          <w:szCs w:val="21"/>
          <w:highlight w:val="none"/>
        </w:rPr>
        <w:t>最后磋商</w:t>
      </w:r>
      <w:r>
        <w:rPr>
          <w:rFonts w:hAnsi="宋体"/>
          <w:color w:val="auto"/>
          <w:spacing w:val="-6"/>
          <w:sz w:val="21"/>
          <w:szCs w:val="21"/>
          <w:highlight w:val="none"/>
        </w:rPr>
        <w:t>报价最低一家为有效供应商；</w:t>
      </w:r>
      <w:r>
        <w:rPr>
          <w:rFonts w:hint="eastAsia" w:hAnsi="宋体"/>
          <w:color w:val="auto"/>
          <w:spacing w:val="-6"/>
          <w:sz w:val="21"/>
          <w:szCs w:val="21"/>
          <w:highlight w:val="none"/>
        </w:rPr>
        <w:t>最后</w:t>
      </w:r>
      <w:r>
        <w:rPr>
          <w:rFonts w:hAnsi="宋体"/>
          <w:color w:val="auto"/>
          <w:spacing w:val="-6"/>
          <w:sz w:val="21"/>
          <w:szCs w:val="21"/>
          <w:highlight w:val="none"/>
        </w:rPr>
        <w:t>磋商报价相同时，取技术分最高者；均相同时，由</w:t>
      </w:r>
      <w:r>
        <w:rPr>
          <w:rFonts w:hint="eastAsia" w:hAnsi="宋体"/>
          <w:color w:val="auto"/>
          <w:spacing w:val="-6"/>
          <w:sz w:val="21"/>
          <w:szCs w:val="21"/>
          <w:highlight w:val="none"/>
        </w:rPr>
        <w:t>磋商</w:t>
      </w:r>
      <w:r>
        <w:rPr>
          <w:rFonts w:hAnsi="宋体"/>
          <w:color w:val="auto"/>
          <w:spacing w:val="-6"/>
          <w:sz w:val="21"/>
          <w:szCs w:val="21"/>
          <w:highlight w:val="none"/>
        </w:rPr>
        <w:t>小组集体决定。</w:t>
      </w:r>
    </w:p>
    <w:p>
      <w:pPr>
        <w:pStyle w:val="10"/>
        <w:spacing w:line="288" w:lineRule="auto"/>
        <w:ind w:firstLine="396" w:firstLineChars="200"/>
        <w:jc w:val="left"/>
        <w:rPr>
          <w:rFonts w:hAnsi="宋体"/>
          <w:color w:val="auto"/>
          <w:spacing w:val="-6"/>
          <w:sz w:val="21"/>
          <w:szCs w:val="21"/>
          <w:highlight w:val="none"/>
        </w:rPr>
      </w:pPr>
      <w:r>
        <w:rPr>
          <w:rFonts w:hAnsi="宋体"/>
          <w:color w:val="auto"/>
          <w:spacing w:val="-6"/>
          <w:sz w:val="21"/>
          <w:szCs w:val="21"/>
          <w:highlight w:val="none"/>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8.按照《浙江省政府采购供应商注册及诚信管理暂行办法》（浙财采监字［2009］28号）的相关规定，</w:t>
      </w:r>
      <w:r>
        <w:rPr>
          <w:rFonts w:hAnsi="宋体"/>
          <w:color w:val="auto"/>
          <w:spacing w:val="-6"/>
          <w:sz w:val="21"/>
          <w:szCs w:val="21"/>
          <w:highlight w:val="none"/>
        </w:rPr>
        <w:t>未注册入库供应商参加政府采购活动时，应按</w:t>
      </w:r>
      <w:r>
        <w:rPr>
          <w:rFonts w:hint="eastAsia" w:hAnsi="宋体"/>
          <w:color w:val="auto"/>
          <w:spacing w:val="-6"/>
          <w:sz w:val="21"/>
          <w:szCs w:val="21"/>
          <w:highlight w:val="none"/>
        </w:rPr>
        <w:t>磋商</w:t>
      </w:r>
      <w:r>
        <w:rPr>
          <w:rFonts w:hAnsi="宋体"/>
          <w:color w:val="auto"/>
          <w:spacing w:val="-6"/>
          <w:sz w:val="21"/>
          <w:szCs w:val="21"/>
          <w:highlight w:val="none"/>
        </w:rPr>
        <w:t>文件要求提交相应的资格证明材料，按规定接受</w:t>
      </w:r>
      <w:r>
        <w:rPr>
          <w:rFonts w:hint="eastAsia" w:hAnsi="宋体"/>
          <w:color w:val="auto"/>
          <w:spacing w:val="-6"/>
          <w:sz w:val="21"/>
          <w:szCs w:val="21"/>
          <w:highlight w:val="none"/>
        </w:rPr>
        <w:t>采购代理机构</w:t>
      </w:r>
      <w:r>
        <w:rPr>
          <w:rFonts w:hAnsi="宋体"/>
          <w:color w:val="auto"/>
          <w:spacing w:val="-6"/>
          <w:sz w:val="21"/>
          <w:szCs w:val="21"/>
          <w:highlight w:val="none"/>
        </w:rPr>
        <w:t>或其委托的评审专家的资格审查和其他评审。一旦被确定为</w:t>
      </w:r>
      <w:r>
        <w:rPr>
          <w:rFonts w:hint="eastAsia" w:hAnsi="宋体"/>
          <w:color w:val="auto"/>
          <w:spacing w:val="-6"/>
          <w:sz w:val="21"/>
          <w:szCs w:val="21"/>
          <w:highlight w:val="none"/>
        </w:rPr>
        <w:t>成交</w:t>
      </w:r>
      <w:r>
        <w:rPr>
          <w:rFonts w:hAnsi="宋体"/>
          <w:color w:val="auto"/>
          <w:spacing w:val="-6"/>
          <w:sz w:val="21"/>
          <w:szCs w:val="21"/>
          <w:highlight w:val="none"/>
        </w:rPr>
        <w:t>候选供应商的，应在</w:t>
      </w:r>
      <w:r>
        <w:rPr>
          <w:rFonts w:hint="eastAsia" w:hAnsi="宋体"/>
          <w:color w:val="auto"/>
          <w:spacing w:val="-6"/>
          <w:sz w:val="21"/>
          <w:szCs w:val="21"/>
          <w:highlight w:val="none"/>
        </w:rPr>
        <w:t>成交</w:t>
      </w:r>
      <w:r>
        <w:rPr>
          <w:rFonts w:hAnsi="宋体"/>
          <w:color w:val="auto"/>
          <w:spacing w:val="-6"/>
          <w:sz w:val="21"/>
          <w:szCs w:val="21"/>
          <w:highlight w:val="none"/>
        </w:rPr>
        <w:t>通知书发出前的3个工作日内按本办法的规定进行注册申请，否则，</w:t>
      </w:r>
      <w:r>
        <w:rPr>
          <w:rFonts w:hint="eastAsia" w:hAnsi="宋体"/>
          <w:color w:val="auto"/>
          <w:spacing w:val="-6"/>
          <w:sz w:val="21"/>
          <w:szCs w:val="21"/>
          <w:highlight w:val="none"/>
        </w:rPr>
        <w:t>采购代理机构</w:t>
      </w:r>
      <w:r>
        <w:rPr>
          <w:rFonts w:hAnsi="宋体"/>
          <w:color w:val="auto"/>
          <w:spacing w:val="-6"/>
          <w:sz w:val="21"/>
          <w:szCs w:val="21"/>
          <w:highlight w:val="none"/>
        </w:rPr>
        <w:t>可以拒绝向其发出</w:t>
      </w:r>
      <w:r>
        <w:rPr>
          <w:rFonts w:hint="eastAsia" w:hAnsi="宋体"/>
          <w:color w:val="auto"/>
          <w:spacing w:val="-6"/>
          <w:sz w:val="21"/>
          <w:szCs w:val="21"/>
          <w:highlight w:val="none"/>
        </w:rPr>
        <w:t>成交</w:t>
      </w:r>
      <w:r>
        <w:rPr>
          <w:rFonts w:hAnsi="宋体"/>
          <w:color w:val="auto"/>
          <w:spacing w:val="-6"/>
          <w:sz w:val="21"/>
          <w:szCs w:val="21"/>
          <w:highlight w:val="none"/>
        </w:rPr>
        <w:t>通知书，并直接推荐排名次之的供应商为</w:t>
      </w:r>
      <w:r>
        <w:rPr>
          <w:rFonts w:hint="eastAsia" w:hAnsi="宋体"/>
          <w:color w:val="auto"/>
          <w:spacing w:val="-6"/>
          <w:sz w:val="21"/>
          <w:szCs w:val="21"/>
          <w:highlight w:val="none"/>
        </w:rPr>
        <w:t>成交</w:t>
      </w:r>
      <w:r>
        <w:rPr>
          <w:rFonts w:hAnsi="宋体"/>
          <w:color w:val="auto"/>
          <w:spacing w:val="-6"/>
          <w:sz w:val="21"/>
          <w:szCs w:val="21"/>
          <w:highlight w:val="none"/>
        </w:rPr>
        <w:t>候选供应商，依次类推。</w:t>
      </w:r>
    </w:p>
    <w:p>
      <w:pPr>
        <w:spacing w:line="288" w:lineRule="auto"/>
        <w:rPr>
          <w:rFonts w:ascii="宋体" w:hAnsi="宋体" w:cs="宋体"/>
          <w:b/>
          <w:color w:val="auto"/>
          <w:spacing w:val="-6"/>
          <w:kern w:val="0"/>
          <w:sz w:val="24"/>
          <w:highlight w:val="none"/>
        </w:rPr>
      </w:pPr>
      <w:r>
        <w:rPr>
          <w:rFonts w:ascii="宋体" w:hAnsi="宋体" w:cs="宋体"/>
          <w:b/>
          <w:color w:val="auto"/>
          <w:spacing w:val="-6"/>
          <w:kern w:val="0"/>
          <w:sz w:val="24"/>
          <w:highlight w:val="none"/>
        </w:rPr>
        <w:t>（九）质疑和投诉</w:t>
      </w:r>
    </w:p>
    <w:p>
      <w:pPr>
        <w:pStyle w:val="10"/>
        <w:spacing w:line="288" w:lineRule="auto"/>
        <w:ind w:firstLine="396" w:firstLineChars="200"/>
        <w:jc w:val="left"/>
        <w:rPr>
          <w:rFonts w:hAnsi="宋体" w:cs="宋体"/>
          <w:color w:val="auto"/>
          <w:kern w:val="0"/>
          <w:sz w:val="21"/>
          <w:szCs w:val="21"/>
          <w:highlight w:val="none"/>
        </w:rPr>
      </w:pPr>
      <w:r>
        <w:rPr>
          <w:rFonts w:hAnsi="宋体"/>
          <w:color w:val="auto"/>
          <w:spacing w:val="-6"/>
          <w:sz w:val="21"/>
          <w:szCs w:val="21"/>
          <w:highlight w:val="none"/>
        </w:rPr>
        <w:t>1</w:t>
      </w:r>
      <w:r>
        <w:rPr>
          <w:rFonts w:hint="eastAsia" w:hAnsi="宋体"/>
          <w:color w:val="auto"/>
          <w:spacing w:val="-6"/>
          <w:sz w:val="21"/>
          <w:szCs w:val="21"/>
          <w:highlight w:val="none"/>
        </w:rPr>
        <w:t>.供应商</w:t>
      </w:r>
      <w:r>
        <w:rPr>
          <w:rFonts w:hint="eastAsia" w:hAnsi="宋体" w:cs="宋体"/>
          <w:color w:val="auto"/>
          <w:kern w:val="0"/>
          <w:sz w:val="21"/>
          <w:szCs w:val="21"/>
          <w:highlight w:val="none"/>
        </w:rPr>
        <w:t>认为磋商文件、磋商过程和成交结果使自己的</w:t>
      </w:r>
      <w:r>
        <w:rPr>
          <w:rFonts w:hint="eastAsia" w:hAnsi="宋体" w:cs="宋体"/>
          <w:bCs/>
          <w:color w:val="auto"/>
          <w:kern w:val="0"/>
          <w:sz w:val="21"/>
          <w:szCs w:val="21"/>
          <w:highlight w:val="none"/>
        </w:rPr>
        <w:t>权益受到损害</w:t>
      </w:r>
      <w:r>
        <w:rPr>
          <w:rFonts w:hint="eastAsia" w:hAnsi="宋体" w:cs="宋体"/>
          <w:color w:val="auto"/>
          <w:kern w:val="0"/>
          <w:sz w:val="21"/>
          <w:szCs w:val="21"/>
          <w:highlight w:val="none"/>
        </w:rPr>
        <w:t>的，可以在知道或者应知其权益受到损害之日起</w:t>
      </w:r>
      <w:r>
        <w:rPr>
          <w:rFonts w:hint="eastAsia" w:hAnsi="宋体" w:cs="宋体"/>
          <w:bCs/>
          <w:color w:val="auto"/>
          <w:kern w:val="0"/>
          <w:sz w:val="21"/>
          <w:szCs w:val="21"/>
          <w:highlight w:val="none"/>
        </w:rPr>
        <w:t>七个工作日内</w:t>
      </w:r>
      <w:r>
        <w:rPr>
          <w:rFonts w:hint="eastAsia" w:hAnsi="宋体" w:cs="宋体"/>
          <w:color w:val="auto"/>
          <w:kern w:val="0"/>
          <w:sz w:val="21"/>
          <w:szCs w:val="21"/>
          <w:highlight w:val="none"/>
        </w:rPr>
        <w:t>，以书面形式向采购人或</w:t>
      </w:r>
      <w:r>
        <w:rPr>
          <w:rFonts w:hAnsi="宋体" w:cs="宋体"/>
          <w:color w:val="auto"/>
          <w:kern w:val="0"/>
          <w:sz w:val="21"/>
          <w:szCs w:val="21"/>
          <w:highlight w:val="none"/>
        </w:rPr>
        <w:t>采购代理机构</w:t>
      </w:r>
      <w:r>
        <w:rPr>
          <w:rFonts w:hint="eastAsia" w:hAnsi="宋体" w:cs="宋体"/>
          <w:color w:val="auto"/>
          <w:kern w:val="0"/>
          <w:sz w:val="21"/>
          <w:szCs w:val="21"/>
          <w:highlight w:val="none"/>
        </w:rPr>
        <w:t>提出质疑。质疑供应商对采购人、采购代理机构的答复不满意或者采购人、采购代理机构未在规定的时间内作出答复的，可以在</w:t>
      </w:r>
      <w:r>
        <w:rPr>
          <w:rFonts w:hint="eastAsia" w:hAnsi="宋体" w:cs="宋体"/>
          <w:bCs/>
          <w:color w:val="auto"/>
          <w:kern w:val="0"/>
          <w:sz w:val="21"/>
          <w:szCs w:val="21"/>
          <w:highlight w:val="none"/>
        </w:rPr>
        <w:t>答复期满后十五个工作日内</w:t>
      </w:r>
      <w:r>
        <w:rPr>
          <w:rFonts w:hint="eastAsia" w:hAnsi="宋体" w:cs="宋体"/>
          <w:color w:val="auto"/>
          <w:kern w:val="0"/>
          <w:sz w:val="21"/>
          <w:szCs w:val="21"/>
          <w:highlight w:val="none"/>
        </w:rPr>
        <w:t>向同级政府采购监督管理部门</w:t>
      </w:r>
      <w:r>
        <w:rPr>
          <w:rFonts w:hint="eastAsia" w:hAnsi="宋体" w:cs="宋体"/>
          <w:bCs/>
          <w:color w:val="auto"/>
          <w:kern w:val="0"/>
          <w:sz w:val="21"/>
          <w:szCs w:val="21"/>
          <w:highlight w:val="none"/>
        </w:rPr>
        <w:t>投诉</w:t>
      </w:r>
      <w:r>
        <w:rPr>
          <w:rFonts w:hint="eastAsia" w:hAnsi="宋体" w:cs="宋体"/>
          <w:color w:val="auto"/>
          <w:kern w:val="0"/>
          <w:sz w:val="21"/>
          <w:szCs w:val="21"/>
          <w:highlight w:val="none"/>
        </w:rPr>
        <w:t>。</w:t>
      </w:r>
    </w:p>
    <w:p>
      <w:pPr>
        <w:pStyle w:val="10"/>
        <w:spacing w:line="288" w:lineRule="auto"/>
        <w:ind w:firstLine="398" w:firstLineChars="200"/>
        <w:jc w:val="left"/>
        <w:rPr>
          <w:rFonts w:hAnsi="宋体"/>
          <w:b/>
          <w:color w:val="auto"/>
          <w:spacing w:val="-6"/>
          <w:sz w:val="21"/>
          <w:szCs w:val="21"/>
          <w:highlight w:val="none"/>
        </w:rPr>
      </w:pPr>
      <w:r>
        <w:rPr>
          <w:rFonts w:hint="eastAsia" w:hAnsi="宋体"/>
          <w:b/>
          <w:color w:val="auto"/>
          <w:spacing w:val="-6"/>
          <w:sz w:val="21"/>
          <w:szCs w:val="21"/>
          <w:highlight w:val="none"/>
        </w:rPr>
        <w:t>2.供应商提出质疑应当提交质疑函和必要的证明材料，质疑函范本请到“浙江政府采购网下载专区”下载，质疑函应当包括下列内容：</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（一）供应商的姓名或者名称、地址、邮编、联系人及联系电话；</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（二）质疑项目的名称、编号；</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（三）具体、明确的质疑事项和与质疑事项相关的请求；</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（四）事实依据；</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（五）必要的法律依据；</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（六）提出质疑的日期。</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供应商为自然人的，应当由本人签字；供应商为法人或者其他组织的，应当由法定代表人、主要负责人，或者其授权代表签字或者盖章，并加盖公章。</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3.提出质疑的供应商应当是参与本项目响应活动的供应商。</w:t>
      </w:r>
      <w:r>
        <w:rPr>
          <w:rFonts w:hint="eastAsia" w:hAnsi="宋体"/>
          <w:b/>
          <w:color w:val="auto"/>
          <w:spacing w:val="-6"/>
          <w:sz w:val="21"/>
          <w:szCs w:val="21"/>
          <w:highlight w:val="none"/>
        </w:rPr>
        <w:t>供应商在法定质疑期内应一次性提出针对同一采购程序环节的质疑。</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4.根据《政府采购质疑和投诉办法》第三十七条的规定，供应商在全国范围</w:t>
      </w:r>
      <w:r>
        <w:rPr>
          <w:rFonts w:hAnsi="宋体"/>
          <w:color w:val="auto"/>
          <w:spacing w:val="-6"/>
          <w:sz w:val="21"/>
          <w:szCs w:val="21"/>
          <w:highlight w:val="none"/>
        </w:rPr>
        <w:t>12</w:t>
      </w:r>
      <w:r>
        <w:rPr>
          <w:rFonts w:hint="eastAsia" w:hAnsi="宋体"/>
          <w:color w:val="auto"/>
          <w:spacing w:val="-6"/>
          <w:sz w:val="21"/>
          <w:szCs w:val="21"/>
          <w:highlight w:val="none"/>
        </w:rPr>
        <w:t>个月内三次以上投诉查无实据的，由财政部门列入不良行为记录名单。</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投诉人有下列行为之一的，属于虚假、恶意投诉，由财政部门列入不良行为记录名单，禁止其</w:t>
      </w:r>
      <w:r>
        <w:rPr>
          <w:rFonts w:hAnsi="宋体"/>
          <w:color w:val="auto"/>
          <w:spacing w:val="-6"/>
          <w:sz w:val="21"/>
          <w:szCs w:val="21"/>
          <w:highlight w:val="none"/>
        </w:rPr>
        <w:t>1</w:t>
      </w:r>
      <w:r>
        <w:rPr>
          <w:rFonts w:hint="eastAsia" w:hAnsi="宋体"/>
          <w:color w:val="auto"/>
          <w:spacing w:val="-6"/>
          <w:sz w:val="21"/>
          <w:szCs w:val="21"/>
          <w:highlight w:val="none"/>
        </w:rPr>
        <w:t>至</w:t>
      </w:r>
      <w:r>
        <w:rPr>
          <w:rFonts w:hAnsi="宋体"/>
          <w:color w:val="auto"/>
          <w:spacing w:val="-6"/>
          <w:sz w:val="21"/>
          <w:szCs w:val="21"/>
          <w:highlight w:val="none"/>
        </w:rPr>
        <w:t>3</w:t>
      </w:r>
      <w:r>
        <w:rPr>
          <w:rFonts w:hint="eastAsia" w:hAnsi="宋体"/>
          <w:color w:val="auto"/>
          <w:spacing w:val="-6"/>
          <w:sz w:val="21"/>
          <w:szCs w:val="21"/>
          <w:highlight w:val="none"/>
        </w:rPr>
        <w:t>年内参加政府采购活动：</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（一）捏造事实；</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（二）提供虚假材料；</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（三）以非法手段取得证明材料。证据来源的合法性存在明显疑问，投诉人无法证明其取得方式合法的，视为以非法手段取得证明材料。</w:t>
      </w:r>
    </w:p>
    <w:p>
      <w:pPr>
        <w:pStyle w:val="12"/>
        <w:spacing w:beforeLines="0" w:afterLines="0" w:line="288" w:lineRule="auto"/>
        <w:jc w:val="center"/>
        <w:rPr>
          <w:rFonts w:hAnsi="宋体"/>
          <w:b/>
          <w:color w:val="auto"/>
          <w:spacing w:val="-6"/>
          <w:sz w:val="32"/>
          <w:szCs w:val="32"/>
          <w:highlight w:val="none"/>
        </w:rPr>
      </w:pPr>
      <w:r>
        <w:rPr>
          <w:rFonts w:hAnsi="宋体"/>
          <w:b/>
          <w:color w:val="auto"/>
          <w:spacing w:val="-6"/>
          <w:sz w:val="21"/>
          <w:szCs w:val="21"/>
          <w:highlight w:val="none"/>
        </w:rPr>
        <w:br w:type="page"/>
      </w:r>
      <w:r>
        <w:rPr>
          <w:rFonts w:hAnsi="宋体"/>
          <w:b/>
          <w:color w:val="auto"/>
          <w:spacing w:val="-6"/>
          <w:sz w:val="32"/>
          <w:szCs w:val="32"/>
          <w:highlight w:val="none"/>
        </w:rPr>
        <w:t>二</w:t>
      </w:r>
      <w:r>
        <w:rPr>
          <w:rFonts w:hint="eastAsia" w:hAnsi="宋体"/>
          <w:b/>
          <w:color w:val="auto"/>
          <w:spacing w:val="-6"/>
          <w:sz w:val="32"/>
          <w:szCs w:val="32"/>
          <w:highlight w:val="none"/>
        </w:rPr>
        <w:t>、磋商文件</w:t>
      </w:r>
    </w:p>
    <w:p>
      <w:pPr>
        <w:spacing w:line="288" w:lineRule="auto"/>
        <w:jc w:val="left"/>
        <w:rPr>
          <w:rFonts w:ascii="宋体" w:hAnsi="宋体"/>
          <w:b/>
          <w:color w:val="auto"/>
          <w:spacing w:val="-6"/>
          <w:sz w:val="24"/>
          <w:highlight w:val="none"/>
        </w:rPr>
      </w:pPr>
      <w:r>
        <w:rPr>
          <w:rFonts w:hint="eastAsia" w:ascii="宋体" w:hAnsi="宋体"/>
          <w:b/>
          <w:color w:val="auto"/>
          <w:spacing w:val="-6"/>
          <w:sz w:val="24"/>
          <w:highlight w:val="none"/>
        </w:rPr>
        <w:t>（一） 磋商文件的构成。本磋商文件由以下部分组成：</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1.采购邀请</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2.采购需求</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3.供应商须知</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4.评审办法及评分标准</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5.合同主要条款</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6.响应文件格式</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7.本项目磋商文件的澄清、答复、修改、补充的内容</w:t>
      </w:r>
    </w:p>
    <w:p>
      <w:pPr>
        <w:spacing w:line="288" w:lineRule="auto"/>
        <w:jc w:val="left"/>
        <w:rPr>
          <w:rFonts w:ascii="宋体" w:hAnsi="宋体"/>
          <w:color w:val="auto"/>
          <w:spacing w:val="-6"/>
          <w:sz w:val="24"/>
          <w:highlight w:val="none"/>
        </w:rPr>
      </w:pPr>
      <w:r>
        <w:rPr>
          <w:rFonts w:hint="eastAsia" w:ascii="宋体" w:hAnsi="宋体"/>
          <w:b/>
          <w:color w:val="auto"/>
          <w:spacing w:val="-6"/>
          <w:sz w:val="24"/>
          <w:highlight w:val="none"/>
        </w:rPr>
        <w:t>（二） 供应商的风险</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供应商没有按照磋商文件要求提供全部资料，或者供应商没有对磋商文件在各方面作出实质性响应是供应商的风险，并可能导致其磋商响应被拒绝。</w:t>
      </w:r>
    </w:p>
    <w:p>
      <w:pPr>
        <w:spacing w:line="288" w:lineRule="auto"/>
        <w:jc w:val="left"/>
        <w:rPr>
          <w:rFonts w:ascii="宋体" w:hAnsi="宋体"/>
          <w:b/>
          <w:color w:val="auto"/>
          <w:spacing w:val="-6"/>
          <w:sz w:val="24"/>
          <w:highlight w:val="none"/>
        </w:rPr>
      </w:pPr>
      <w:r>
        <w:rPr>
          <w:rFonts w:hint="eastAsia" w:ascii="宋体" w:hAnsi="宋体"/>
          <w:b/>
          <w:color w:val="auto"/>
          <w:spacing w:val="-6"/>
          <w:sz w:val="24"/>
          <w:highlight w:val="none"/>
        </w:rPr>
        <w:t>（三） 磋商文件的澄清与修改</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磋商文件的修改将以书面形式通知所有购买磋商文件的供应商，并对其具有约束力。供应商在收到上述通知后，应立即向采购人、采购代理机构回函确认。若无书面回函确认，视同供应商已收到磋商文件修改的通知，并受其约束。</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4.磋商文件的澄清、答复、修改或补充都应该通过本采购代理机构以法定形式发布，采购人非通过本机构，不得擅自澄清、答复、修改或补充磋商文件。</w:t>
      </w:r>
    </w:p>
    <w:p>
      <w:pPr>
        <w:pStyle w:val="12"/>
        <w:spacing w:beforeLines="0" w:afterLines="0" w:line="288" w:lineRule="auto"/>
        <w:jc w:val="center"/>
        <w:outlineLvl w:val="1"/>
        <w:rPr>
          <w:rFonts w:hAnsi="宋体"/>
          <w:b/>
          <w:color w:val="auto"/>
          <w:spacing w:val="-6"/>
          <w:sz w:val="32"/>
          <w:szCs w:val="32"/>
          <w:highlight w:val="none"/>
        </w:rPr>
      </w:pPr>
      <w:r>
        <w:rPr>
          <w:rFonts w:hAnsi="宋体"/>
          <w:color w:val="auto"/>
          <w:spacing w:val="-6"/>
          <w:sz w:val="21"/>
          <w:szCs w:val="21"/>
          <w:highlight w:val="none"/>
        </w:rPr>
        <w:br w:type="page"/>
      </w:r>
      <w:r>
        <w:rPr>
          <w:rFonts w:hAnsi="宋体"/>
          <w:b/>
          <w:color w:val="auto"/>
          <w:spacing w:val="-6"/>
          <w:sz w:val="32"/>
          <w:szCs w:val="32"/>
          <w:highlight w:val="none"/>
        </w:rPr>
        <w:t>三</w:t>
      </w:r>
      <w:r>
        <w:rPr>
          <w:rFonts w:hint="eastAsia" w:hAnsi="宋体"/>
          <w:b/>
          <w:color w:val="auto"/>
          <w:spacing w:val="-6"/>
          <w:sz w:val="32"/>
          <w:szCs w:val="32"/>
          <w:highlight w:val="none"/>
        </w:rPr>
        <w:t>、</w:t>
      </w:r>
      <w:r>
        <w:rPr>
          <w:rFonts w:hAnsi="宋体"/>
          <w:b/>
          <w:color w:val="auto"/>
          <w:spacing w:val="-6"/>
          <w:sz w:val="32"/>
          <w:szCs w:val="32"/>
          <w:highlight w:val="none"/>
        </w:rPr>
        <w:t>响应文件的编制</w:t>
      </w:r>
    </w:p>
    <w:p>
      <w:pPr>
        <w:spacing w:line="288" w:lineRule="auto"/>
        <w:jc w:val="left"/>
        <w:rPr>
          <w:rFonts w:ascii="宋体" w:hAnsi="宋体"/>
          <w:b/>
          <w:color w:val="auto"/>
          <w:spacing w:val="-6"/>
          <w:sz w:val="24"/>
          <w:highlight w:val="none"/>
        </w:rPr>
      </w:pPr>
      <w:r>
        <w:rPr>
          <w:rFonts w:hint="eastAsia" w:ascii="宋体" w:hAnsi="宋体"/>
          <w:b/>
          <w:color w:val="auto"/>
          <w:spacing w:val="-6"/>
          <w:sz w:val="24"/>
          <w:highlight w:val="none"/>
        </w:rPr>
        <w:t>（一） 响应文件的组成</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响应文件由</w:t>
      </w:r>
      <w:r>
        <w:rPr>
          <w:rFonts w:hint="eastAsia" w:hAnsi="宋体"/>
          <w:b/>
          <w:color w:val="auto"/>
          <w:spacing w:val="-6"/>
          <w:sz w:val="21"/>
          <w:szCs w:val="21"/>
          <w:highlight w:val="none"/>
        </w:rPr>
        <w:t>报价文件</w:t>
      </w:r>
      <w:r>
        <w:rPr>
          <w:rFonts w:hint="eastAsia" w:hAnsi="宋体"/>
          <w:color w:val="auto"/>
          <w:spacing w:val="-6"/>
          <w:sz w:val="21"/>
          <w:szCs w:val="21"/>
          <w:highlight w:val="none"/>
        </w:rPr>
        <w:t>、</w:t>
      </w:r>
      <w:r>
        <w:rPr>
          <w:rFonts w:hint="eastAsia" w:hAnsi="宋体"/>
          <w:b/>
          <w:color w:val="auto"/>
          <w:spacing w:val="-6"/>
          <w:sz w:val="21"/>
          <w:szCs w:val="21"/>
          <w:highlight w:val="none"/>
        </w:rPr>
        <w:t>商务和技术文件</w:t>
      </w:r>
      <w:r>
        <w:rPr>
          <w:rFonts w:hint="eastAsia" w:hAnsi="宋体"/>
          <w:color w:val="auto"/>
          <w:spacing w:val="-6"/>
          <w:sz w:val="21"/>
          <w:szCs w:val="21"/>
          <w:highlight w:val="none"/>
        </w:rPr>
        <w:t>两部分组成（格式详见磋商文件第六章）。</w:t>
      </w:r>
    </w:p>
    <w:p>
      <w:pPr>
        <w:pStyle w:val="10"/>
        <w:spacing w:line="288" w:lineRule="auto"/>
        <w:ind w:firstLine="398" w:firstLineChars="200"/>
        <w:jc w:val="left"/>
        <w:rPr>
          <w:rFonts w:hAnsi="宋体"/>
          <w:b/>
          <w:color w:val="auto"/>
          <w:spacing w:val="-6"/>
          <w:sz w:val="21"/>
          <w:szCs w:val="21"/>
          <w:highlight w:val="none"/>
        </w:rPr>
      </w:pPr>
      <w:r>
        <w:rPr>
          <w:rFonts w:hint="eastAsia" w:hAnsi="宋体"/>
          <w:b/>
          <w:color w:val="auto"/>
          <w:spacing w:val="-6"/>
          <w:sz w:val="21"/>
          <w:szCs w:val="21"/>
          <w:highlight w:val="none"/>
        </w:rPr>
        <w:t>多标项项目建议按标项分别制作。</w:t>
      </w:r>
    </w:p>
    <w:p>
      <w:pPr>
        <w:spacing w:line="288" w:lineRule="auto"/>
        <w:ind w:firstLine="398" w:firstLineChars="200"/>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1.报价文件：</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（1）初次报价一览表</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（2）初次报价明细表</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（3）供应商企业类型声明函</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（4）小微企业资格证明材料、监狱企业资格证明材料（若属于小微、监狱企业）</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（5）</w:t>
      </w:r>
      <w:bookmarkStart w:id="1" w:name="OLE_LINK13"/>
      <w:bookmarkStart w:id="2" w:name="OLE_LINK14"/>
      <w:r>
        <w:rPr>
          <w:rFonts w:hint="eastAsia" w:hAnsi="宋体"/>
          <w:color w:val="auto"/>
          <w:spacing w:val="-6"/>
          <w:sz w:val="21"/>
          <w:szCs w:val="21"/>
          <w:highlight w:val="none"/>
        </w:rPr>
        <w:t>残疾人福利性单位声明函</w:t>
      </w:r>
      <w:bookmarkEnd w:id="1"/>
      <w:bookmarkEnd w:id="2"/>
      <w:r>
        <w:rPr>
          <w:rFonts w:hint="eastAsia" w:hAnsi="宋体"/>
          <w:color w:val="auto"/>
          <w:spacing w:val="-6"/>
          <w:sz w:val="21"/>
          <w:szCs w:val="21"/>
          <w:highlight w:val="none"/>
        </w:rPr>
        <w:t>（若属于残疾人福利性单位）</w:t>
      </w:r>
    </w:p>
    <w:p>
      <w:pPr>
        <w:spacing w:line="288" w:lineRule="auto"/>
        <w:ind w:firstLine="398" w:firstLineChars="200"/>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2.商务和技术文件：</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A.商务文件：</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（1）响应函</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w:t>
      </w:r>
      <w:r>
        <w:rPr>
          <w:rFonts w:hAnsi="宋体"/>
          <w:color w:val="auto"/>
          <w:spacing w:val="-6"/>
          <w:sz w:val="21"/>
          <w:szCs w:val="21"/>
          <w:highlight w:val="none"/>
        </w:rPr>
        <w:t>法定代表人资格证明书</w:t>
      </w:r>
      <w:r>
        <w:rPr>
          <w:rFonts w:hint="eastAsia" w:hAnsi="宋体"/>
          <w:color w:val="auto"/>
          <w:spacing w:val="-6"/>
          <w:sz w:val="21"/>
          <w:szCs w:val="21"/>
          <w:highlight w:val="none"/>
        </w:rPr>
        <w:t>、法定代表人授权委托书</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（3）2019年8月至2019年11月任意一月供应商</w:t>
      </w:r>
      <w:r>
        <w:rPr>
          <w:rFonts w:hAnsi="宋体"/>
          <w:color w:val="auto"/>
          <w:spacing w:val="-6"/>
          <w:sz w:val="21"/>
          <w:szCs w:val="21"/>
          <w:highlight w:val="none"/>
        </w:rPr>
        <w:t>授权代表社保缴纳证明</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w:t>
      </w:r>
      <w:r>
        <w:rPr>
          <w:rFonts w:hAnsi="宋体"/>
          <w:color w:val="auto"/>
          <w:spacing w:val="-6"/>
          <w:sz w:val="21"/>
          <w:szCs w:val="21"/>
          <w:highlight w:val="none"/>
        </w:rPr>
        <w:t>4</w:t>
      </w:r>
      <w:r>
        <w:rPr>
          <w:rFonts w:hint="eastAsia" w:hAnsi="宋体"/>
          <w:color w:val="auto"/>
          <w:spacing w:val="-6"/>
          <w:sz w:val="21"/>
          <w:szCs w:val="21"/>
          <w:highlight w:val="none"/>
        </w:rPr>
        <w:t>）响应声明书</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（5）供应商情况介绍</w:t>
      </w:r>
    </w:p>
    <w:p>
      <w:pPr>
        <w:pStyle w:val="10"/>
        <w:spacing w:line="288" w:lineRule="auto"/>
        <w:ind w:firstLine="398" w:firstLineChars="200"/>
        <w:jc w:val="left"/>
        <w:rPr>
          <w:rFonts w:hAnsi="宋体"/>
          <w:b/>
          <w:color w:val="auto"/>
          <w:spacing w:val="-6"/>
          <w:sz w:val="21"/>
          <w:szCs w:val="21"/>
          <w:highlight w:val="none"/>
        </w:rPr>
      </w:pPr>
      <w:r>
        <w:rPr>
          <w:rFonts w:hint="eastAsia" w:hAnsi="宋体"/>
          <w:b/>
          <w:color w:val="auto"/>
          <w:spacing w:val="-6"/>
          <w:sz w:val="21"/>
          <w:szCs w:val="21"/>
          <w:highlight w:val="none"/>
        </w:rPr>
        <w:t>（6）有效的法人或者其他组织的营业执照等证明文件（复印件加盖公章），自然人的身份证明</w:t>
      </w:r>
    </w:p>
    <w:p>
      <w:pPr>
        <w:pStyle w:val="10"/>
        <w:spacing w:line="288" w:lineRule="auto"/>
        <w:ind w:firstLine="398" w:firstLineChars="200"/>
        <w:jc w:val="left"/>
        <w:rPr>
          <w:rFonts w:hAnsi="宋体"/>
          <w:b/>
          <w:color w:val="auto"/>
          <w:spacing w:val="-6"/>
          <w:sz w:val="21"/>
          <w:szCs w:val="21"/>
          <w:highlight w:val="none"/>
        </w:rPr>
      </w:pPr>
      <w:r>
        <w:rPr>
          <w:rFonts w:hint="eastAsia" w:hAnsi="宋体"/>
          <w:b/>
          <w:color w:val="auto"/>
          <w:spacing w:val="-6"/>
          <w:sz w:val="21"/>
          <w:szCs w:val="21"/>
          <w:highlight w:val="none"/>
        </w:rPr>
        <w:t>（7）</w:t>
      </w:r>
      <w:r>
        <w:rPr>
          <w:rFonts w:hint="eastAsia" w:hAnsi="宋体"/>
          <w:b/>
          <w:color w:val="auto"/>
          <w:sz w:val="21"/>
          <w:szCs w:val="21"/>
          <w:highlight w:val="none"/>
        </w:rPr>
        <w:t>2018年12月（含）以后任意一月的财务状况报告（复印件）或开标前三个月内出具的银行资信证明（若资信证明中注明复印无效，需提交正本）</w:t>
      </w:r>
    </w:p>
    <w:p>
      <w:pPr>
        <w:pStyle w:val="10"/>
        <w:spacing w:line="288" w:lineRule="auto"/>
        <w:ind w:firstLine="398" w:firstLineChars="200"/>
        <w:jc w:val="left"/>
        <w:rPr>
          <w:rFonts w:hAnsi="宋体"/>
          <w:b/>
          <w:color w:val="auto"/>
          <w:spacing w:val="-6"/>
          <w:sz w:val="21"/>
          <w:szCs w:val="21"/>
          <w:highlight w:val="none"/>
        </w:rPr>
      </w:pPr>
      <w:r>
        <w:rPr>
          <w:rFonts w:hint="eastAsia" w:hAnsi="宋体"/>
          <w:b/>
          <w:color w:val="auto"/>
          <w:spacing w:val="-6"/>
          <w:sz w:val="21"/>
          <w:szCs w:val="21"/>
          <w:highlight w:val="none"/>
        </w:rPr>
        <w:t>（8）2019年8月至2019年11月任意一月依法缴纳税收的证明材料（依法免税的供应商，应提供相应文件证明其依法免税）</w:t>
      </w:r>
    </w:p>
    <w:p>
      <w:pPr>
        <w:pStyle w:val="10"/>
        <w:spacing w:line="288" w:lineRule="auto"/>
        <w:ind w:firstLine="398" w:firstLineChars="200"/>
        <w:jc w:val="left"/>
        <w:rPr>
          <w:rFonts w:hAnsi="宋体"/>
          <w:b/>
          <w:color w:val="auto"/>
          <w:spacing w:val="-6"/>
          <w:sz w:val="21"/>
          <w:szCs w:val="21"/>
          <w:highlight w:val="none"/>
        </w:rPr>
      </w:pPr>
      <w:r>
        <w:rPr>
          <w:rFonts w:hint="eastAsia" w:hAnsi="宋体"/>
          <w:b/>
          <w:color w:val="auto"/>
          <w:spacing w:val="-6"/>
          <w:sz w:val="21"/>
          <w:szCs w:val="21"/>
          <w:highlight w:val="none"/>
        </w:rPr>
        <w:t>（9）2019年8月至2019年11月任意一月依法缴纳社会保障资金的证明材料（依法不需要缴纳社会保障资金的供应商，应提供相应文件证明其依法不需要缴纳社会保障资金）</w:t>
      </w:r>
    </w:p>
    <w:p>
      <w:pPr>
        <w:pStyle w:val="10"/>
        <w:spacing w:line="288" w:lineRule="auto"/>
        <w:ind w:firstLine="398" w:firstLineChars="200"/>
        <w:jc w:val="left"/>
        <w:rPr>
          <w:rFonts w:hAnsi="宋体"/>
          <w:b/>
          <w:color w:val="auto"/>
          <w:spacing w:val="-6"/>
          <w:sz w:val="21"/>
          <w:szCs w:val="21"/>
          <w:highlight w:val="none"/>
        </w:rPr>
      </w:pPr>
      <w:r>
        <w:rPr>
          <w:rFonts w:hint="eastAsia" w:hAnsi="宋体"/>
          <w:b/>
          <w:color w:val="auto"/>
          <w:spacing w:val="-6"/>
          <w:sz w:val="21"/>
          <w:szCs w:val="21"/>
          <w:highlight w:val="none"/>
        </w:rPr>
        <w:t>（10）具有履行合同所必需的设备和专业技术能力的承诺函</w:t>
      </w:r>
    </w:p>
    <w:p>
      <w:pPr>
        <w:pStyle w:val="10"/>
        <w:spacing w:line="288" w:lineRule="auto"/>
        <w:ind w:firstLine="398" w:firstLineChars="200"/>
        <w:jc w:val="left"/>
        <w:rPr>
          <w:rFonts w:hAnsi="宋体"/>
          <w:b/>
          <w:color w:val="auto"/>
          <w:spacing w:val="-6"/>
          <w:sz w:val="21"/>
          <w:szCs w:val="21"/>
          <w:highlight w:val="none"/>
        </w:rPr>
      </w:pPr>
      <w:r>
        <w:rPr>
          <w:rFonts w:hint="eastAsia" w:hAnsi="宋体"/>
          <w:b/>
          <w:color w:val="auto"/>
          <w:spacing w:val="-6"/>
          <w:sz w:val="21"/>
          <w:szCs w:val="21"/>
          <w:highlight w:val="none"/>
        </w:rPr>
        <w:t>（11）参加政府采购活动前3年内在经营活动中没有重大违法记录的书面声明</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（12）供应商自2016年1月1日以来（以合同签订时间为准）相关成功案例和业绩证明（项目实施情况一览表、合同复印件）（原件现场备查）</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w:t>
      </w:r>
      <w:r>
        <w:rPr>
          <w:rFonts w:hint="eastAsia" w:hAnsi="宋体"/>
          <w:color w:val="auto"/>
          <w:spacing w:val="-6"/>
          <w:sz w:val="21"/>
          <w:szCs w:val="21"/>
          <w:highlight w:val="none"/>
          <w:lang w:val="en-US" w:eastAsia="zh-CN"/>
        </w:rPr>
        <w:t>3</w:t>
      </w:r>
      <w:r>
        <w:rPr>
          <w:rFonts w:hint="eastAsia" w:hAnsi="宋体"/>
          <w:color w:val="auto"/>
          <w:spacing w:val="-6"/>
          <w:sz w:val="21"/>
          <w:szCs w:val="21"/>
          <w:highlight w:val="none"/>
        </w:rPr>
        <w:t>）供应商需要说明的其他文件和材料</w:t>
      </w:r>
    </w:p>
    <w:p>
      <w:pPr>
        <w:pStyle w:val="10"/>
        <w:spacing w:line="288" w:lineRule="auto"/>
        <w:ind w:firstLine="396" w:firstLineChars="200"/>
        <w:jc w:val="left"/>
        <w:rPr>
          <w:rFonts w:hint="eastAsia" w:hAnsi="宋体" w:eastAsia="宋体"/>
          <w:color w:val="auto"/>
          <w:spacing w:val="-6"/>
          <w:sz w:val="21"/>
          <w:szCs w:val="21"/>
          <w:highlight w:val="none"/>
          <w:lang w:eastAsia="zh-CN"/>
        </w:rPr>
      </w:pPr>
      <w:r>
        <w:rPr>
          <w:rFonts w:hint="eastAsia" w:hAnsi="宋体"/>
          <w:color w:val="auto"/>
          <w:spacing w:val="-6"/>
          <w:sz w:val="21"/>
          <w:szCs w:val="21"/>
          <w:highlight w:val="none"/>
        </w:rPr>
        <w:t>B.技术文件</w:t>
      </w:r>
      <w:r>
        <w:rPr>
          <w:rFonts w:hint="eastAsia" w:hAnsi="宋体"/>
          <w:color w:val="auto"/>
          <w:spacing w:val="-6"/>
          <w:sz w:val="21"/>
          <w:szCs w:val="21"/>
          <w:highlight w:val="none"/>
          <w:lang w:eastAsia="zh-CN"/>
        </w:rPr>
        <w:t>：</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（1）采购</w:t>
      </w:r>
      <w:r>
        <w:rPr>
          <w:rFonts w:hAnsi="宋体"/>
          <w:color w:val="auto"/>
          <w:spacing w:val="-6"/>
          <w:sz w:val="21"/>
          <w:szCs w:val="21"/>
          <w:highlight w:val="none"/>
        </w:rPr>
        <w:t>需求</w:t>
      </w:r>
      <w:r>
        <w:rPr>
          <w:rFonts w:hint="eastAsia" w:hAnsi="宋体"/>
          <w:color w:val="auto"/>
          <w:spacing w:val="-6"/>
          <w:sz w:val="21"/>
          <w:szCs w:val="21"/>
          <w:highlight w:val="none"/>
        </w:rPr>
        <w:t>偏离表</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（2）标的物</w:t>
      </w:r>
      <w:r>
        <w:rPr>
          <w:rFonts w:hAnsi="宋体"/>
          <w:color w:val="auto"/>
          <w:spacing w:val="-6"/>
          <w:sz w:val="21"/>
          <w:szCs w:val="21"/>
          <w:highlight w:val="none"/>
        </w:rPr>
        <w:t>配置清单（不含报价）</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（3）响应产品技术支持材料</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（4）整体方案</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（5）实施方案</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（6）项目实施人员</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（7）培训服务</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（8）售后服务</w:t>
      </w:r>
    </w:p>
    <w:p>
      <w:pPr>
        <w:pStyle w:val="1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（9）本地化服务</w:t>
      </w:r>
    </w:p>
    <w:p>
      <w:pPr>
        <w:spacing w:line="288" w:lineRule="auto"/>
        <w:jc w:val="left"/>
        <w:rPr>
          <w:rFonts w:ascii="宋体" w:hAnsi="宋体"/>
          <w:b/>
          <w:color w:val="auto"/>
          <w:spacing w:val="-6"/>
          <w:sz w:val="24"/>
          <w:highlight w:val="none"/>
        </w:rPr>
      </w:pPr>
      <w:r>
        <w:rPr>
          <w:rFonts w:hint="eastAsia" w:ascii="宋体" w:hAnsi="宋体"/>
          <w:b/>
          <w:color w:val="auto"/>
          <w:spacing w:val="-6"/>
          <w:sz w:val="24"/>
          <w:highlight w:val="none"/>
        </w:rPr>
        <w:t>（二） 响应文件的签署和份数</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1.供应商应按本磋商文件规定的格式和顺序编制、装订响应文件，响应文件内容不完整、编排混乱导致响应文件被误读、漏读或者查找不到相关内容的，是供应商的责任。</w:t>
      </w:r>
    </w:p>
    <w:p>
      <w:pPr>
        <w:spacing w:line="288" w:lineRule="auto"/>
        <w:ind w:firstLine="398" w:firstLineChars="200"/>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2.供应商应按报价文件</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商务和技术文件分别</w:t>
      </w:r>
      <w:r>
        <w:rPr>
          <w:rFonts w:ascii="宋体" w:hAnsi="宋体"/>
          <w:b/>
          <w:color w:val="auto"/>
          <w:spacing w:val="-6"/>
          <w:sz w:val="21"/>
          <w:szCs w:val="21"/>
          <w:highlight w:val="none"/>
        </w:rPr>
        <w:t>编制</w:t>
      </w:r>
      <w:r>
        <w:rPr>
          <w:rFonts w:hint="eastAsia" w:ascii="宋体" w:hAnsi="宋体"/>
          <w:b/>
          <w:color w:val="auto"/>
          <w:spacing w:val="-6"/>
          <w:sz w:val="21"/>
          <w:szCs w:val="21"/>
          <w:highlight w:val="none"/>
        </w:rPr>
        <w:t>合并装订成册，其中正本一份、副本三份，响应文件的封面应注明“正本“、“副本”字样。</w:t>
      </w:r>
    </w:p>
    <w:p>
      <w:pPr>
        <w:spacing w:line="288" w:lineRule="auto"/>
        <w:ind w:firstLine="398" w:firstLineChars="200"/>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▲活页装订（卡条、抽杆夹、订书机、散装）的响应文件无效。</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3.响应文件的正本需打印或用不褪色的墨水填写，响应文件正本除本《供应商须知》中规定的可提供复印件外均须提供原件（复印件须加盖公章）。副本可以是正本加盖公章后的复印件。</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4.响应</w:t>
      </w:r>
      <w:r>
        <w:rPr>
          <w:rFonts w:ascii="宋体" w:hAnsi="宋体"/>
          <w:color w:val="auto"/>
          <w:spacing w:val="-6"/>
          <w:sz w:val="21"/>
          <w:szCs w:val="21"/>
          <w:highlight w:val="none"/>
        </w:rPr>
        <w:t>文件</w:t>
      </w:r>
      <w:r>
        <w:rPr>
          <w:rFonts w:hint="eastAsia" w:ascii="宋体" w:hAnsi="宋体"/>
          <w:color w:val="auto"/>
          <w:spacing w:val="-6"/>
          <w:sz w:val="21"/>
          <w:szCs w:val="21"/>
          <w:highlight w:val="none"/>
        </w:rPr>
        <w:t>须由供应商在规定位置盖章并由供应商</w:t>
      </w:r>
      <w:r>
        <w:rPr>
          <w:rFonts w:ascii="宋体" w:hAnsi="宋体"/>
          <w:color w:val="auto"/>
          <w:spacing w:val="-6"/>
          <w:sz w:val="21"/>
          <w:szCs w:val="21"/>
          <w:highlight w:val="none"/>
        </w:rPr>
        <w:t>代表</w:t>
      </w:r>
      <w:r>
        <w:rPr>
          <w:rFonts w:hint="eastAsia" w:ascii="宋体" w:hAnsi="宋体"/>
          <w:color w:val="auto"/>
          <w:spacing w:val="-6"/>
          <w:sz w:val="21"/>
          <w:szCs w:val="21"/>
          <w:highlight w:val="none"/>
        </w:rPr>
        <w:t>签署，供应商应写全称。</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5.响应</w:t>
      </w:r>
      <w:r>
        <w:rPr>
          <w:rFonts w:ascii="宋体" w:hAnsi="宋体"/>
          <w:color w:val="auto"/>
          <w:spacing w:val="-6"/>
          <w:sz w:val="21"/>
          <w:szCs w:val="21"/>
          <w:highlight w:val="none"/>
        </w:rPr>
        <w:t>文件</w:t>
      </w:r>
      <w:r>
        <w:rPr>
          <w:rFonts w:hint="eastAsia" w:ascii="宋体" w:hAnsi="宋体"/>
          <w:color w:val="auto"/>
          <w:spacing w:val="-6"/>
          <w:sz w:val="21"/>
          <w:szCs w:val="21"/>
          <w:highlight w:val="none"/>
        </w:rPr>
        <w:t>不得涂改，若有修改错漏处，须由供应商</w:t>
      </w:r>
      <w:r>
        <w:rPr>
          <w:rFonts w:ascii="宋体" w:hAnsi="宋体"/>
          <w:color w:val="auto"/>
          <w:spacing w:val="-6"/>
          <w:sz w:val="21"/>
          <w:szCs w:val="21"/>
          <w:highlight w:val="none"/>
        </w:rPr>
        <w:t>代表</w:t>
      </w:r>
      <w:r>
        <w:rPr>
          <w:rFonts w:hint="eastAsia" w:ascii="宋体" w:hAnsi="宋体"/>
          <w:color w:val="auto"/>
          <w:spacing w:val="-6"/>
          <w:sz w:val="21"/>
          <w:szCs w:val="21"/>
          <w:highlight w:val="none"/>
        </w:rPr>
        <w:t>签字并加盖公章。响应文件因字迹潦草或表达不清所引起的后果由供应商负责。</w:t>
      </w:r>
    </w:p>
    <w:p>
      <w:pPr>
        <w:spacing w:line="288" w:lineRule="auto"/>
        <w:jc w:val="left"/>
        <w:rPr>
          <w:rFonts w:ascii="宋体" w:hAnsi="宋体"/>
          <w:b/>
          <w:color w:val="auto"/>
          <w:spacing w:val="-6"/>
          <w:sz w:val="24"/>
          <w:highlight w:val="none"/>
        </w:rPr>
      </w:pPr>
      <w:r>
        <w:rPr>
          <w:rFonts w:hint="eastAsia" w:ascii="宋体" w:hAnsi="宋体"/>
          <w:b/>
          <w:color w:val="auto"/>
          <w:spacing w:val="-6"/>
          <w:sz w:val="24"/>
          <w:highlight w:val="none"/>
        </w:rPr>
        <w:t>（三） 响应文件的包装、递交、修改和撤回</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1.供应商应在响应文件包装封面上注明供应商名称、供应商地址、磋商响应项目名称、项目编号及“响应文件开启时启封”字样，并加盖供应商公章。</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2.未按规定密封</w:t>
      </w:r>
      <w:r>
        <w:rPr>
          <w:rFonts w:ascii="宋体" w:hAnsi="宋体"/>
          <w:color w:val="auto"/>
          <w:spacing w:val="-6"/>
          <w:sz w:val="21"/>
          <w:szCs w:val="21"/>
          <w:highlight w:val="none"/>
        </w:rPr>
        <w:t>或</w:t>
      </w:r>
      <w:r>
        <w:rPr>
          <w:rFonts w:hint="eastAsia" w:ascii="宋体" w:hAnsi="宋体"/>
          <w:color w:val="auto"/>
          <w:spacing w:val="-6"/>
          <w:sz w:val="21"/>
          <w:szCs w:val="21"/>
          <w:highlight w:val="none"/>
        </w:rPr>
        <w:t>标记的响应文件被误投或提前拆封的风险由供应商承担。</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288" w:lineRule="auto"/>
        <w:jc w:val="left"/>
        <w:rPr>
          <w:rFonts w:ascii="宋体" w:hAnsi="宋体"/>
          <w:color w:val="auto"/>
          <w:spacing w:val="-6"/>
          <w:sz w:val="24"/>
          <w:highlight w:val="none"/>
        </w:rPr>
      </w:pPr>
      <w:r>
        <w:rPr>
          <w:rFonts w:hint="eastAsia" w:ascii="宋体" w:hAnsi="宋体"/>
          <w:b/>
          <w:color w:val="auto"/>
          <w:spacing w:val="-6"/>
          <w:sz w:val="24"/>
          <w:highlight w:val="none"/>
        </w:rPr>
        <w:t>（四） 响应文件的语言及计量</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响应文件以及供应商与采购人、采购代理机构就有关磋商响应事宜的所有来往函电，均应以中文汉语书写。除签名、盖章、专用名称等特殊情形外，以中文汉语以外的文字表述的响应文件视同未提供（有中文汉语说明的除外）。</w:t>
      </w:r>
    </w:p>
    <w:p>
      <w:pPr>
        <w:spacing w:line="288" w:lineRule="auto"/>
        <w:jc w:val="left"/>
        <w:rPr>
          <w:rFonts w:ascii="宋体" w:hAnsi="宋体"/>
          <w:color w:val="auto"/>
          <w:spacing w:val="-6"/>
          <w:sz w:val="24"/>
          <w:highlight w:val="none"/>
        </w:rPr>
      </w:pPr>
      <w:r>
        <w:rPr>
          <w:rFonts w:hint="eastAsia" w:ascii="宋体" w:hAnsi="宋体"/>
          <w:b/>
          <w:color w:val="auto"/>
          <w:spacing w:val="-6"/>
          <w:sz w:val="24"/>
          <w:highlight w:val="none"/>
        </w:rPr>
        <w:t>（五） 磋商响应报价</w:t>
      </w:r>
    </w:p>
    <w:p>
      <w:pPr>
        <w:pStyle w:val="12"/>
        <w:spacing w:beforeLines="0" w:afterLines="0" w:line="288" w:lineRule="auto"/>
        <w:ind w:firstLine="398" w:firstLineChars="200"/>
        <w:jc w:val="left"/>
        <w:rPr>
          <w:rFonts w:hAnsi="宋体"/>
          <w:b/>
          <w:color w:val="auto"/>
          <w:spacing w:val="-6"/>
          <w:sz w:val="21"/>
          <w:szCs w:val="21"/>
          <w:highlight w:val="none"/>
        </w:rPr>
      </w:pPr>
      <w:r>
        <w:rPr>
          <w:rFonts w:hint="eastAsia" w:hAnsi="宋体"/>
          <w:b/>
          <w:color w:val="auto"/>
          <w:spacing w:val="-6"/>
          <w:sz w:val="21"/>
          <w:szCs w:val="21"/>
          <w:highlight w:val="none"/>
        </w:rPr>
        <w:t>1</w:t>
      </w:r>
      <w:r>
        <w:rPr>
          <w:rFonts w:hAnsi="宋体"/>
          <w:b/>
          <w:color w:val="auto"/>
          <w:spacing w:val="-6"/>
          <w:sz w:val="21"/>
          <w:szCs w:val="21"/>
          <w:highlight w:val="none"/>
        </w:rPr>
        <w:t>.</w:t>
      </w:r>
      <w:r>
        <w:rPr>
          <w:rFonts w:hint="eastAsia" w:hAnsi="宋体"/>
          <w:b/>
          <w:color w:val="auto"/>
          <w:spacing w:val="-6"/>
          <w:sz w:val="21"/>
          <w:szCs w:val="21"/>
          <w:highlight w:val="none"/>
        </w:rPr>
        <w:t>本项目采用</w:t>
      </w:r>
      <w:r>
        <w:rPr>
          <w:rFonts w:hAnsi="宋体"/>
          <w:b/>
          <w:color w:val="auto"/>
          <w:spacing w:val="-6"/>
          <w:sz w:val="21"/>
          <w:szCs w:val="21"/>
          <w:highlight w:val="none"/>
        </w:rPr>
        <w:t>人民币报价</w:t>
      </w:r>
      <w:r>
        <w:rPr>
          <w:rFonts w:hint="eastAsia" w:hAnsi="宋体"/>
          <w:b/>
          <w:color w:val="auto"/>
          <w:spacing w:val="-6"/>
          <w:sz w:val="21"/>
          <w:szCs w:val="21"/>
          <w:highlight w:val="none"/>
        </w:rPr>
        <w:t>。</w:t>
      </w:r>
    </w:p>
    <w:p>
      <w:pPr>
        <w:pStyle w:val="12"/>
        <w:spacing w:beforeLines="0" w:afterLines="0"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w:t>
      </w:r>
      <w:r>
        <w:rPr>
          <w:rFonts w:hAnsi="宋体"/>
          <w:color w:val="auto"/>
          <w:spacing w:val="-6"/>
          <w:sz w:val="21"/>
          <w:szCs w:val="21"/>
          <w:highlight w:val="none"/>
        </w:rPr>
        <w:t>磋商响应报价应按磋商文件中相关附表格式填写</w:t>
      </w:r>
      <w:r>
        <w:rPr>
          <w:rFonts w:hint="eastAsia" w:hAnsi="宋体"/>
          <w:color w:val="auto"/>
          <w:spacing w:val="-6"/>
          <w:sz w:val="21"/>
          <w:szCs w:val="21"/>
          <w:highlight w:val="none"/>
        </w:rPr>
        <w:t>。</w:t>
      </w:r>
    </w:p>
    <w:p>
      <w:pPr>
        <w:pStyle w:val="12"/>
        <w:spacing w:beforeLines="0" w:afterLines="0"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3.最后磋商</w:t>
      </w:r>
      <w:r>
        <w:rPr>
          <w:rFonts w:hAnsi="宋体"/>
          <w:color w:val="auto"/>
          <w:spacing w:val="-6"/>
          <w:sz w:val="21"/>
          <w:szCs w:val="21"/>
          <w:highlight w:val="none"/>
        </w:rPr>
        <w:t>报价是履行合同的最终价格，应包括完成所有产品供货及履行所有规定服务所产生的全部费用</w:t>
      </w:r>
      <w:r>
        <w:rPr>
          <w:rFonts w:hint="eastAsia" w:hAnsi="宋体"/>
          <w:color w:val="auto"/>
          <w:spacing w:val="-6"/>
          <w:sz w:val="21"/>
          <w:szCs w:val="21"/>
          <w:highlight w:val="none"/>
        </w:rPr>
        <w:t>。</w:t>
      </w:r>
    </w:p>
    <w:p>
      <w:pPr>
        <w:pStyle w:val="4"/>
        <w:widowControl w:val="0"/>
        <w:numPr>
          <w:ilvl w:val="0"/>
          <w:numId w:val="0"/>
        </w:numPr>
        <w:spacing w:afterLines="0" w:line="288" w:lineRule="auto"/>
        <w:ind w:left="327" w:hanging="327" w:hangingChars="143"/>
        <w:rPr>
          <w:rFonts w:ascii="宋体" w:hAnsi="宋体"/>
          <w:b/>
          <w:color w:val="auto"/>
          <w:spacing w:val="-6"/>
          <w:kern w:val="2"/>
          <w:szCs w:val="24"/>
          <w:highlight w:val="none"/>
        </w:rPr>
      </w:pPr>
      <w:r>
        <w:rPr>
          <w:rFonts w:hint="eastAsia" w:ascii="宋体" w:hAnsi="宋体"/>
          <w:b/>
          <w:color w:val="auto"/>
          <w:spacing w:val="-6"/>
          <w:kern w:val="2"/>
          <w:szCs w:val="24"/>
          <w:highlight w:val="none"/>
        </w:rPr>
        <w:t>（六） 响应有效期</w:t>
      </w:r>
    </w:p>
    <w:p>
      <w:pPr>
        <w:pStyle w:val="12"/>
        <w:spacing w:beforeLines="0" w:afterLines="0"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w:t>
      </w:r>
      <w:r>
        <w:rPr>
          <w:rFonts w:hAnsi="宋体"/>
          <w:color w:val="auto"/>
          <w:spacing w:val="-6"/>
          <w:sz w:val="21"/>
          <w:szCs w:val="21"/>
          <w:highlight w:val="none"/>
        </w:rPr>
        <w:t>.</w:t>
      </w:r>
      <w:r>
        <w:rPr>
          <w:rFonts w:hint="eastAsia" w:hAnsi="宋体"/>
          <w:color w:val="auto"/>
          <w:spacing w:val="-6"/>
          <w:sz w:val="21"/>
          <w:szCs w:val="21"/>
          <w:highlight w:val="none"/>
        </w:rPr>
        <w:t>从提交响应文件的截止之日起算90天。</w:t>
      </w:r>
    </w:p>
    <w:p>
      <w:pPr>
        <w:pStyle w:val="12"/>
        <w:spacing w:beforeLines="0" w:afterLines="0"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w:t>
      </w:r>
      <w:r>
        <w:rPr>
          <w:rFonts w:hAnsi="宋体"/>
          <w:color w:val="auto"/>
          <w:spacing w:val="-6"/>
          <w:sz w:val="21"/>
          <w:szCs w:val="21"/>
          <w:highlight w:val="none"/>
        </w:rPr>
        <w:t>.</w:t>
      </w:r>
      <w:r>
        <w:rPr>
          <w:rFonts w:hint="eastAsia" w:hAnsi="宋体"/>
          <w:color w:val="auto"/>
          <w:spacing w:val="-6"/>
          <w:sz w:val="21"/>
          <w:szCs w:val="21"/>
          <w:highlight w:val="none"/>
        </w:rPr>
        <w:t>在原响应有效期满之前，如果出现特殊情况，采购人</w:t>
      </w:r>
      <w:r>
        <w:rPr>
          <w:rFonts w:hAnsi="宋体"/>
          <w:color w:val="auto"/>
          <w:spacing w:val="-6"/>
          <w:sz w:val="21"/>
          <w:szCs w:val="21"/>
          <w:highlight w:val="none"/>
        </w:rPr>
        <w:t>或</w:t>
      </w:r>
      <w:r>
        <w:rPr>
          <w:rFonts w:hint="eastAsia" w:hAnsi="宋体"/>
          <w:color w:val="auto"/>
          <w:spacing w:val="-6"/>
          <w:sz w:val="21"/>
          <w:szCs w:val="21"/>
          <w:highlight w:val="none"/>
        </w:rPr>
        <w:t>采购</w:t>
      </w:r>
      <w:r>
        <w:rPr>
          <w:rFonts w:hAnsi="宋体"/>
          <w:color w:val="auto"/>
          <w:spacing w:val="-6"/>
          <w:sz w:val="21"/>
          <w:szCs w:val="21"/>
          <w:highlight w:val="none"/>
        </w:rPr>
        <w:t>代理机构</w:t>
      </w:r>
      <w:r>
        <w:rPr>
          <w:rFonts w:hint="eastAsia" w:hAnsi="宋体"/>
          <w:color w:val="auto"/>
          <w:spacing w:val="-6"/>
          <w:sz w:val="21"/>
          <w:szCs w:val="21"/>
          <w:highlight w:val="none"/>
        </w:rPr>
        <w:t>以书面形式通知供应商延长响应有效期。</w:t>
      </w:r>
    </w:p>
    <w:p>
      <w:pPr>
        <w:spacing w:line="288" w:lineRule="auto"/>
        <w:rPr>
          <w:rFonts w:ascii="宋体" w:hAnsi="宋体"/>
          <w:b/>
          <w:color w:val="auto"/>
          <w:spacing w:val="-6"/>
          <w:sz w:val="24"/>
          <w:highlight w:val="none"/>
        </w:rPr>
      </w:pPr>
      <w:r>
        <w:rPr>
          <w:rFonts w:hint="eastAsia" w:ascii="宋体" w:hAnsi="宋体"/>
          <w:b/>
          <w:color w:val="auto"/>
          <w:spacing w:val="-6"/>
          <w:sz w:val="24"/>
          <w:highlight w:val="none"/>
        </w:rPr>
        <w:t>（七） 磋商响应无效的情形</w:t>
      </w:r>
    </w:p>
    <w:p>
      <w:pPr>
        <w:spacing w:line="288" w:lineRule="auto"/>
        <w:ind w:firstLine="398" w:firstLineChars="200"/>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在资格审查时，如发现下列情形之一的，响应文件将被视为无效：</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）资格证明</w:t>
      </w:r>
      <w:r>
        <w:rPr>
          <w:rFonts w:hint="eastAsia" w:ascii="宋体" w:hAnsi="宋体"/>
          <w:color w:val="auto"/>
          <w:spacing w:val="-6"/>
          <w:sz w:val="21"/>
          <w:szCs w:val="21"/>
          <w:highlight w:val="none"/>
        </w:rPr>
        <w:t>材料</w:t>
      </w:r>
      <w:r>
        <w:rPr>
          <w:rFonts w:ascii="宋体" w:hAnsi="宋体"/>
          <w:color w:val="auto"/>
          <w:spacing w:val="-6"/>
          <w:sz w:val="21"/>
          <w:szCs w:val="21"/>
          <w:highlight w:val="none"/>
        </w:rPr>
        <w:t>不全的，或者不符合</w:t>
      </w:r>
      <w:r>
        <w:rPr>
          <w:rFonts w:hint="eastAsia" w:ascii="宋体" w:hAnsi="宋体"/>
          <w:color w:val="auto"/>
          <w:spacing w:val="-6"/>
          <w:sz w:val="21"/>
          <w:szCs w:val="21"/>
          <w:highlight w:val="none"/>
        </w:rPr>
        <w:t>磋商</w:t>
      </w:r>
      <w:r>
        <w:rPr>
          <w:rFonts w:ascii="宋体" w:hAnsi="宋体"/>
          <w:color w:val="auto"/>
          <w:spacing w:val="-6"/>
          <w:sz w:val="21"/>
          <w:szCs w:val="21"/>
          <w:highlight w:val="none"/>
        </w:rPr>
        <w:t>文件要求的</w:t>
      </w:r>
      <w:r>
        <w:rPr>
          <w:rFonts w:hint="eastAsia" w:ascii="宋体" w:hAnsi="宋体"/>
          <w:color w:val="auto"/>
          <w:spacing w:val="-6"/>
          <w:sz w:val="21"/>
          <w:szCs w:val="21"/>
          <w:highlight w:val="none"/>
        </w:rPr>
        <w:t>；</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（2）供应商不具备磋商文件中规定的资格要求的；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（3）经查询存在不良信用记录的。</w:t>
      </w:r>
    </w:p>
    <w:p>
      <w:pPr>
        <w:spacing w:line="288" w:lineRule="auto"/>
        <w:ind w:firstLine="398" w:firstLineChars="200"/>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在符合</w:t>
      </w:r>
      <w:r>
        <w:rPr>
          <w:rFonts w:ascii="宋体" w:hAnsi="宋体"/>
          <w:b/>
          <w:color w:val="auto"/>
          <w:spacing w:val="-6"/>
          <w:sz w:val="21"/>
          <w:szCs w:val="21"/>
          <w:highlight w:val="none"/>
        </w:rPr>
        <w:t>性审查、</w:t>
      </w:r>
      <w:r>
        <w:rPr>
          <w:rFonts w:hint="eastAsia" w:ascii="宋体" w:hAnsi="宋体"/>
          <w:b/>
          <w:color w:val="auto"/>
          <w:spacing w:val="-6"/>
          <w:sz w:val="21"/>
          <w:szCs w:val="21"/>
          <w:highlight w:val="none"/>
        </w:rPr>
        <w:t>商务</w:t>
      </w:r>
      <w:r>
        <w:rPr>
          <w:rFonts w:ascii="宋体" w:hAnsi="宋体"/>
          <w:b/>
          <w:color w:val="auto"/>
          <w:spacing w:val="-6"/>
          <w:sz w:val="21"/>
          <w:szCs w:val="21"/>
          <w:highlight w:val="none"/>
        </w:rPr>
        <w:t>和技术评审</w:t>
      </w:r>
      <w:r>
        <w:rPr>
          <w:rFonts w:hint="eastAsia" w:ascii="宋体" w:hAnsi="宋体"/>
          <w:b/>
          <w:color w:val="auto"/>
          <w:spacing w:val="-6"/>
          <w:sz w:val="21"/>
          <w:szCs w:val="21"/>
          <w:highlight w:val="none"/>
        </w:rPr>
        <w:t>时，如发现下列情形之一的，响应文件将被视为无效：</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商务</w:t>
      </w:r>
      <w:r>
        <w:rPr>
          <w:rFonts w:ascii="宋体" w:hAnsi="宋体"/>
          <w:color w:val="auto"/>
          <w:spacing w:val="-6"/>
          <w:sz w:val="21"/>
          <w:szCs w:val="21"/>
          <w:highlight w:val="none"/>
        </w:rPr>
        <w:t>和技术文件</w:t>
      </w:r>
      <w:r>
        <w:rPr>
          <w:rFonts w:hint="eastAsia" w:ascii="宋体" w:hAnsi="宋体"/>
          <w:color w:val="auto"/>
          <w:spacing w:val="-6"/>
          <w:sz w:val="21"/>
          <w:szCs w:val="21"/>
          <w:highlight w:val="none"/>
        </w:rPr>
        <w:t>未按要求签署、盖章的；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（2）未提供或未按要求提供响应函</w:t>
      </w:r>
      <w:r>
        <w:rPr>
          <w:rFonts w:ascii="宋体" w:hAnsi="宋体"/>
          <w:color w:val="auto"/>
          <w:spacing w:val="-6"/>
          <w:sz w:val="21"/>
          <w:szCs w:val="21"/>
          <w:highlight w:val="none"/>
        </w:rPr>
        <w:t>、法定代表人资格证明书</w:t>
      </w:r>
      <w:r>
        <w:rPr>
          <w:rFonts w:hint="eastAsia" w:ascii="宋体" w:hAnsi="宋体"/>
          <w:color w:val="auto"/>
          <w:spacing w:val="-6"/>
          <w:sz w:val="21"/>
          <w:szCs w:val="21"/>
          <w:highlight w:val="none"/>
        </w:rPr>
        <w:t>、法定代表人授权委托书、响应</w:t>
      </w:r>
      <w:r>
        <w:rPr>
          <w:rFonts w:ascii="宋体" w:hAnsi="宋体"/>
          <w:color w:val="auto"/>
          <w:spacing w:val="-6"/>
          <w:sz w:val="21"/>
          <w:szCs w:val="21"/>
          <w:highlight w:val="none"/>
        </w:rPr>
        <w:t>声明书</w:t>
      </w:r>
      <w:r>
        <w:rPr>
          <w:rFonts w:hint="eastAsia" w:ascii="宋体" w:hAnsi="宋体"/>
          <w:color w:val="auto"/>
          <w:spacing w:val="-6"/>
          <w:sz w:val="21"/>
          <w:szCs w:val="21"/>
          <w:highlight w:val="none"/>
        </w:rPr>
        <w:t>；</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（3）法定代表人委托授权代表</w:t>
      </w:r>
      <w:r>
        <w:rPr>
          <w:rFonts w:ascii="宋体" w:hAnsi="宋体"/>
          <w:color w:val="auto"/>
          <w:spacing w:val="-6"/>
          <w:sz w:val="21"/>
          <w:szCs w:val="21"/>
          <w:highlight w:val="none"/>
        </w:rPr>
        <w:t>参加</w:t>
      </w:r>
      <w:r>
        <w:rPr>
          <w:rFonts w:hint="eastAsia" w:ascii="宋体" w:hAnsi="宋体"/>
          <w:color w:val="auto"/>
          <w:spacing w:val="-6"/>
          <w:sz w:val="21"/>
          <w:szCs w:val="21"/>
          <w:highlight w:val="none"/>
        </w:rPr>
        <w:t>响应但未按要求</w:t>
      </w:r>
      <w:r>
        <w:rPr>
          <w:rFonts w:ascii="宋体" w:hAnsi="宋体"/>
          <w:color w:val="auto"/>
          <w:spacing w:val="-6"/>
          <w:sz w:val="21"/>
          <w:szCs w:val="21"/>
          <w:highlight w:val="none"/>
        </w:rPr>
        <w:t>提供</w:t>
      </w:r>
      <w:r>
        <w:rPr>
          <w:rFonts w:hint="eastAsia" w:ascii="宋体" w:hAnsi="宋体"/>
          <w:color w:val="auto"/>
          <w:spacing w:val="-6"/>
          <w:sz w:val="21"/>
          <w:szCs w:val="21"/>
          <w:highlight w:val="none"/>
        </w:rPr>
        <w:t>授权代表社保缴纳证明的</w:t>
      </w:r>
      <w:r>
        <w:rPr>
          <w:rFonts w:ascii="宋体" w:hAnsi="宋体"/>
          <w:color w:val="auto"/>
          <w:spacing w:val="-6"/>
          <w:sz w:val="21"/>
          <w:szCs w:val="21"/>
          <w:highlight w:val="none"/>
        </w:rPr>
        <w:t>；</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（4）未提供或未如实提供采购</w:t>
      </w:r>
      <w:r>
        <w:rPr>
          <w:rFonts w:ascii="宋体" w:hAnsi="宋体"/>
          <w:color w:val="auto"/>
          <w:spacing w:val="-6"/>
          <w:sz w:val="21"/>
          <w:szCs w:val="21"/>
          <w:highlight w:val="none"/>
        </w:rPr>
        <w:t>需求偏离表的；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（5）</w:t>
      </w:r>
      <w:r>
        <w:rPr>
          <w:rFonts w:ascii="宋体" w:hAnsi="宋体"/>
          <w:color w:val="auto"/>
          <w:spacing w:val="-6"/>
          <w:sz w:val="21"/>
          <w:szCs w:val="21"/>
          <w:highlight w:val="none"/>
        </w:rPr>
        <w:t>明显不符合</w:t>
      </w:r>
      <w:r>
        <w:rPr>
          <w:rFonts w:hint="eastAsia" w:ascii="宋体" w:hAnsi="宋体"/>
          <w:color w:val="auto"/>
          <w:spacing w:val="-6"/>
          <w:sz w:val="21"/>
          <w:szCs w:val="21"/>
          <w:highlight w:val="none"/>
        </w:rPr>
        <w:t>磋商</w:t>
      </w:r>
      <w:r>
        <w:rPr>
          <w:rFonts w:ascii="宋体" w:hAnsi="宋体"/>
          <w:color w:val="auto"/>
          <w:spacing w:val="-6"/>
          <w:sz w:val="21"/>
          <w:szCs w:val="21"/>
          <w:highlight w:val="none"/>
        </w:rPr>
        <w:t>文件</w:t>
      </w:r>
      <w:r>
        <w:rPr>
          <w:rFonts w:hint="eastAsia" w:ascii="宋体" w:hAnsi="宋体"/>
          <w:color w:val="auto"/>
          <w:spacing w:val="-6"/>
          <w:sz w:val="21"/>
          <w:szCs w:val="21"/>
          <w:highlight w:val="none"/>
        </w:rPr>
        <w:t>要求，</w:t>
      </w:r>
      <w:r>
        <w:rPr>
          <w:rFonts w:ascii="宋体" w:hAnsi="宋体"/>
          <w:color w:val="auto"/>
          <w:spacing w:val="-6"/>
          <w:sz w:val="21"/>
          <w:szCs w:val="21"/>
          <w:highlight w:val="none"/>
        </w:rPr>
        <w:t>或者</w:t>
      </w:r>
      <w:r>
        <w:rPr>
          <w:rFonts w:hint="eastAsia" w:ascii="宋体" w:hAnsi="宋体"/>
          <w:color w:val="auto"/>
          <w:spacing w:val="-6"/>
          <w:sz w:val="21"/>
          <w:szCs w:val="21"/>
          <w:highlight w:val="none"/>
        </w:rPr>
        <w:t>与磋商</w:t>
      </w:r>
      <w:r>
        <w:rPr>
          <w:rFonts w:ascii="宋体" w:hAnsi="宋体"/>
          <w:color w:val="auto"/>
          <w:spacing w:val="-6"/>
          <w:sz w:val="21"/>
          <w:szCs w:val="21"/>
          <w:highlight w:val="none"/>
        </w:rPr>
        <w:t>文件中标“▲”的项目发生实质性偏离的；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（6）</w:t>
      </w:r>
      <w:r>
        <w:rPr>
          <w:rFonts w:ascii="宋体" w:hAnsi="宋体"/>
          <w:color w:val="auto"/>
          <w:spacing w:val="-6"/>
          <w:sz w:val="21"/>
          <w:szCs w:val="21"/>
          <w:highlight w:val="none"/>
        </w:rPr>
        <w:t>未提供或未如实提供</w:t>
      </w:r>
      <w:r>
        <w:rPr>
          <w:rFonts w:hint="eastAsia" w:ascii="宋体" w:hAnsi="宋体"/>
          <w:color w:val="auto"/>
          <w:spacing w:val="-6"/>
          <w:sz w:val="21"/>
          <w:szCs w:val="21"/>
          <w:highlight w:val="none"/>
        </w:rPr>
        <w:t>响应</w:t>
      </w:r>
      <w:r>
        <w:rPr>
          <w:rFonts w:ascii="宋体" w:hAnsi="宋体"/>
          <w:color w:val="auto"/>
          <w:spacing w:val="-6"/>
          <w:sz w:val="21"/>
          <w:szCs w:val="21"/>
          <w:highlight w:val="none"/>
        </w:rPr>
        <w:t>货物的技术参数，或者</w:t>
      </w:r>
      <w:r>
        <w:rPr>
          <w:rFonts w:hint="eastAsia" w:ascii="宋体" w:hAnsi="宋体"/>
          <w:color w:val="auto"/>
          <w:spacing w:val="-6"/>
          <w:sz w:val="21"/>
          <w:szCs w:val="21"/>
          <w:highlight w:val="none"/>
        </w:rPr>
        <w:t>响应</w:t>
      </w:r>
      <w:r>
        <w:rPr>
          <w:rFonts w:ascii="宋体" w:hAnsi="宋体"/>
          <w:color w:val="auto"/>
          <w:spacing w:val="-6"/>
          <w:sz w:val="21"/>
          <w:szCs w:val="21"/>
          <w:highlight w:val="none"/>
        </w:rPr>
        <w:t>文件标明的响应或偏离与事实不符或虚假</w:t>
      </w:r>
      <w:r>
        <w:rPr>
          <w:rFonts w:hint="eastAsia" w:ascii="宋体" w:hAnsi="宋体"/>
          <w:color w:val="auto"/>
          <w:spacing w:val="-6"/>
          <w:sz w:val="21"/>
          <w:szCs w:val="21"/>
          <w:highlight w:val="none"/>
        </w:rPr>
        <w:t>响应</w:t>
      </w:r>
      <w:r>
        <w:rPr>
          <w:rFonts w:ascii="宋体" w:hAnsi="宋体"/>
          <w:color w:val="auto"/>
          <w:spacing w:val="-6"/>
          <w:sz w:val="21"/>
          <w:szCs w:val="21"/>
          <w:highlight w:val="none"/>
        </w:rPr>
        <w:t>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（7）响应</w:t>
      </w:r>
      <w:r>
        <w:rPr>
          <w:rFonts w:ascii="宋体" w:hAnsi="宋体"/>
          <w:color w:val="auto"/>
          <w:spacing w:val="-6"/>
          <w:sz w:val="21"/>
          <w:szCs w:val="21"/>
          <w:highlight w:val="none"/>
        </w:rPr>
        <w:t>技术方案不明确，存在一个或一个以上备选（替代）</w:t>
      </w:r>
      <w:r>
        <w:rPr>
          <w:rFonts w:hint="eastAsia" w:ascii="宋体" w:hAnsi="宋体"/>
          <w:color w:val="auto"/>
          <w:spacing w:val="-6"/>
          <w:sz w:val="21"/>
          <w:szCs w:val="21"/>
          <w:highlight w:val="none"/>
        </w:rPr>
        <w:t>响应</w:t>
      </w:r>
      <w:r>
        <w:rPr>
          <w:rFonts w:ascii="宋体" w:hAnsi="宋体"/>
          <w:color w:val="auto"/>
          <w:spacing w:val="-6"/>
          <w:sz w:val="21"/>
          <w:szCs w:val="21"/>
          <w:highlight w:val="none"/>
        </w:rPr>
        <w:t>方案的；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（8）响应文件含有采购人不能接受的附加条件的；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（9）法律、法规和磋商文件规定的其他无效情形。</w:t>
      </w:r>
    </w:p>
    <w:p>
      <w:pPr>
        <w:spacing w:line="288" w:lineRule="auto"/>
        <w:ind w:firstLine="398" w:firstLineChars="200"/>
        <w:rPr>
          <w:rFonts w:ascii="宋体"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.在报价评审时，如发现下列情形之一的，</w:t>
      </w:r>
      <w:r>
        <w:rPr>
          <w:rFonts w:hint="eastAsia" w:ascii="宋体" w:hAnsi="宋体"/>
          <w:b/>
          <w:color w:val="auto"/>
          <w:spacing w:val="-6"/>
          <w:sz w:val="21"/>
          <w:szCs w:val="21"/>
          <w:highlight w:val="none"/>
        </w:rPr>
        <w:t>响应</w:t>
      </w:r>
      <w:r>
        <w:rPr>
          <w:rFonts w:ascii="宋体" w:hAnsi="宋体"/>
          <w:b/>
          <w:color w:val="auto"/>
          <w:spacing w:val="-6"/>
          <w:sz w:val="21"/>
          <w:szCs w:val="21"/>
          <w:highlight w:val="none"/>
        </w:rPr>
        <w:t>文件将被视为无效：</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（1）最后报价超过磋商文件中规定的预算金额的；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（2）最后报价具有选择性的；</w:t>
      </w:r>
    </w:p>
    <w:p>
      <w:pPr>
        <w:spacing w:line="288" w:lineRule="auto"/>
        <w:ind w:firstLine="398" w:firstLineChars="200"/>
        <w:rPr>
          <w:rFonts w:ascii="宋体" w:hAnsi="宋体"/>
          <w:b/>
          <w:color w:val="auto"/>
          <w:spacing w:val="-6"/>
          <w:sz w:val="21"/>
          <w:szCs w:val="21"/>
          <w:highlight w:val="none"/>
        </w:rPr>
      </w:pPr>
      <w:r>
        <w:rPr>
          <w:rFonts w:hint="eastAsia" w:ascii="宋体" w:hAnsi="宋体"/>
          <w:b/>
          <w:color w:val="auto"/>
          <w:spacing w:val="-6"/>
          <w:sz w:val="21"/>
          <w:szCs w:val="21"/>
          <w:highlight w:val="none"/>
        </w:rPr>
        <w:t>4</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有下列情形之一的，视为供应商串通投标，其响应无效，由采购人或采购代理机构上报政府采购监督管理部门，视情列入不良行为记录名单，在一至三年内禁止参加政府采购活动：</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（1）不同供应商的响应文件由同一单位或者个人编制；</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（2）不同供应商委托同一单位或者个人办理响应事宜；</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（3）不同供应商的响应文件载明的项目管理成员或者联系人员为同一人；</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（4）不同供应商的响应文件异常一致或者最后报价呈规律性差异；</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（5）不同供应商的响应文件相互混装。</w:t>
      </w:r>
    </w:p>
    <w:p>
      <w:pPr>
        <w:pStyle w:val="12"/>
        <w:spacing w:beforeLines="0" w:afterLines="0" w:line="288" w:lineRule="auto"/>
        <w:jc w:val="center"/>
        <w:rPr>
          <w:rFonts w:hAnsi="宋体"/>
          <w:b/>
          <w:color w:val="auto"/>
          <w:spacing w:val="-6"/>
          <w:sz w:val="32"/>
          <w:szCs w:val="32"/>
          <w:highlight w:val="none"/>
        </w:rPr>
      </w:pPr>
      <w:r>
        <w:rPr>
          <w:rFonts w:hAnsi="宋体"/>
          <w:b/>
          <w:color w:val="auto"/>
          <w:spacing w:val="-6"/>
          <w:sz w:val="21"/>
          <w:szCs w:val="21"/>
          <w:highlight w:val="none"/>
        </w:rPr>
        <w:br w:type="page"/>
      </w:r>
      <w:r>
        <w:rPr>
          <w:rFonts w:hAnsi="宋体"/>
          <w:b/>
          <w:color w:val="auto"/>
          <w:spacing w:val="-6"/>
          <w:sz w:val="32"/>
          <w:szCs w:val="32"/>
          <w:highlight w:val="none"/>
        </w:rPr>
        <w:t>四</w:t>
      </w:r>
      <w:r>
        <w:rPr>
          <w:rFonts w:hint="eastAsia" w:hAnsi="宋体"/>
          <w:b/>
          <w:color w:val="auto"/>
          <w:spacing w:val="-6"/>
          <w:sz w:val="32"/>
          <w:szCs w:val="32"/>
          <w:highlight w:val="none"/>
        </w:rPr>
        <w:t>、响应文件开启</w:t>
      </w:r>
    </w:p>
    <w:p>
      <w:pPr>
        <w:pStyle w:val="10"/>
        <w:spacing w:line="288" w:lineRule="auto"/>
        <w:ind w:firstLine="0"/>
        <w:rPr>
          <w:rFonts w:hAnsi="宋体"/>
          <w:b/>
          <w:color w:val="auto"/>
          <w:spacing w:val="-6"/>
          <w:sz w:val="24"/>
          <w:szCs w:val="24"/>
          <w:highlight w:val="none"/>
        </w:rPr>
      </w:pPr>
      <w:r>
        <w:rPr>
          <w:rFonts w:hint="eastAsia" w:hAnsi="宋体"/>
          <w:b/>
          <w:color w:val="auto"/>
          <w:spacing w:val="-6"/>
          <w:sz w:val="24"/>
          <w:szCs w:val="24"/>
          <w:highlight w:val="none"/>
        </w:rPr>
        <w:t>（一） 响应文件开启准备</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制订</w:t>
      </w:r>
      <w:r>
        <w:rPr>
          <w:rFonts w:hint="eastAsia" w:ascii="宋体" w:hAnsi="宋体"/>
          <w:color w:val="auto"/>
          <w:spacing w:val="-6"/>
          <w:sz w:val="21"/>
          <w:szCs w:val="21"/>
          <w:highlight w:val="none"/>
        </w:rPr>
        <w:t>响应文件开启</w:t>
      </w:r>
      <w:r>
        <w:rPr>
          <w:rFonts w:ascii="宋体" w:hAnsi="宋体"/>
          <w:color w:val="auto"/>
          <w:spacing w:val="-6"/>
          <w:sz w:val="21"/>
          <w:szCs w:val="21"/>
          <w:highlight w:val="none"/>
        </w:rPr>
        <w:t>、评审工作的组织方案，落实工作场地、设施，检查录音录像采集设备运行情况。</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通知或邀请相关单位和人员出席</w:t>
      </w:r>
      <w:r>
        <w:rPr>
          <w:rFonts w:hint="eastAsia" w:ascii="宋体" w:hAnsi="宋体"/>
          <w:color w:val="auto"/>
          <w:spacing w:val="-6"/>
          <w:sz w:val="21"/>
          <w:szCs w:val="21"/>
          <w:highlight w:val="none"/>
        </w:rPr>
        <w:t>响应文件开启</w:t>
      </w:r>
      <w:r>
        <w:rPr>
          <w:rFonts w:ascii="宋体" w:hAnsi="宋体"/>
          <w:color w:val="auto"/>
          <w:spacing w:val="-6"/>
          <w:sz w:val="21"/>
          <w:szCs w:val="21"/>
          <w:highlight w:val="none"/>
        </w:rPr>
        <w:t>、评审活动（按规定由相关监管部门或其授权机构随机抽取、通知的政府采购评审专家除外）。</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w:t>
      </w:r>
      <w:r>
        <w:rPr>
          <w:rFonts w:ascii="宋体" w:hAnsi="宋体"/>
          <w:color w:val="auto"/>
          <w:spacing w:val="-6"/>
          <w:sz w:val="21"/>
          <w:szCs w:val="21"/>
          <w:highlight w:val="none"/>
        </w:rPr>
        <w:t>准备政府采购项目的相关文件资料，如项目政府采购预算确认书（计划）、专家抽取有关凭证、项目书面说明、</w:t>
      </w:r>
      <w:r>
        <w:rPr>
          <w:rFonts w:hint="eastAsia" w:ascii="宋体" w:hAnsi="宋体"/>
          <w:color w:val="auto"/>
          <w:spacing w:val="-6"/>
          <w:sz w:val="21"/>
          <w:szCs w:val="21"/>
          <w:highlight w:val="none"/>
        </w:rPr>
        <w:t>磋商</w:t>
      </w:r>
      <w:r>
        <w:rPr>
          <w:rFonts w:ascii="宋体" w:hAnsi="宋体"/>
          <w:color w:val="auto"/>
          <w:spacing w:val="-6"/>
          <w:sz w:val="21"/>
          <w:szCs w:val="21"/>
          <w:highlight w:val="none"/>
        </w:rPr>
        <w:t>文件、补充文件及质疑答复情况、现场工作所需的相关登记表单、评审工作底稿等。</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4.</w:t>
      </w:r>
      <w:r>
        <w:rPr>
          <w:rFonts w:ascii="宋体" w:hAnsi="宋体"/>
          <w:color w:val="auto"/>
          <w:spacing w:val="-6"/>
          <w:sz w:val="21"/>
          <w:szCs w:val="21"/>
          <w:highlight w:val="none"/>
        </w:rPr>
        <w:t>其他应准备的事项。</w:t>
      </w:r>
    </w:p>
    <w:p>
      <w:pPr>
        <w:pStyle w:val="10"/>
        <w:spacing w:line="288" w:lineRule="auto"/>
        <w:ind w:firstLine="0"/>
        <w:rPr>
          <w:rFonts w:hAnsi="宋体"/>
          <w:b/>
          <w:color w:val="auto"/>
          <w:spacing w:val="-6"/>
          <w:sz w:val="24"/>
          <w:szCs w:val="24"/>
          <w:highlight w:val="none"/>
        </w:rPr>
      </w:pPr>
      <w:r>
        <w:rPr>
          <w:rFonts w:hint="eastAsia" w:hAnsi="宋体"/>
          <w:b/>
          <w:color w:val="auto"/>
          <w:spacing w:val="-6"/>
          <w:sz w:val="24"/>
          <w:szCs w:val="24"/>
          <w:highlight w:val="none"/>
        </w:rPr>
        <w:t>（二） 响应文件开启程序</w:t>
      </w:r>
    </w:p>
    <w:p>
      <w:pPr>
        <w:pStyle w:val="10"/>
        <w:spacing w:line="288" w:lineRule="auto"/>
        <w:ind w:firstLine="396" w:firstLineChars="200"/>
        <w:rPr>
          <w:rFonts w:hAnsi="宋体"/>
          <w:color w:val="auto"/>
          <w:spacing w:val="-6"/>
          <w:sz w:val="21"/>
          <w:szCs w:val="21"/>
          <w:highlight w:val="none"/>
        </w:rPr>
      </w:pPr>
      <w:r>
        <w:rPr>
          <w:rFonts w:hAnsi="宋体"/>
          <w:color w:val="auto"/>
          <w:spacing w:val="-6"/>
          <w:sz w:val="21"/>
          <w:szCs w:val="21"/>
          <w:highlight w:val="none"/>
        </w:rPr>
        <w:t>采购代理机构按照</w:t>
      </w:r>
      <w:r>
        <w:rPr>
          <w:rFonts w:hint="eastAsia" w:hAnsi="宋体"/>
          <w:color w:val="auto"/>
          <w:spacing w:val="-6"/>
          <w:sz w:val="21"/>
          <w:szCs w:val="21"/>
          <w:highlight w:val="none"/>
        </w:rPr>
        <w:t>磋商文件</w:t>
      </w:r>
      <w:r>
        <w:rPr>
          <w:rFonts w:hAnsi="宋体"/>
          <w:color w:val="auto"/>
          <w:spacing w:val="-6"/>
          <w:sz w:val="21"/>
          <w:szCs w:val="21"/>
          <w:highlight w:val="none"/>
        </w:rPr>
        <w:t>规定的时间、地点和程序组织</w:t>
      </w:r>
      <w:r>
        <w:rPr>
          <w:rFonts w:hint="eastAsia" w:hAnsi="宋体"/>
          <w:color w:val="auto"/>
          <w:spacing w:val="-6"/>
          <w:sz w:val="21"/>
          <w:szCs w:val="21"/>
          <w:highlight w:val="none"/>
        </w:rPr>
        <w:t>响应文件开启</w:t>
      </w:r>
      <w:r>
        <w:rPr>
          <w:rFonts w:hAnsi="宋体"/>
          <w:color w:val="auto"/>
          <w:spacing w:val="-6"/>
          <w:sz w:val="21"/>
          <w:szCs w:val="21"/>
          <w:highlight w:val="none"/>
        </w:rPr>
        <w:t>。具体按以下程序进行：</w:t>
      </w:r>
    </w:p>
    <w:p>
      <w:pPr>
        <w:pStyle w:val="10"/>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1.</w:t>
      </w:r>
      <w:r>
        <w:rPr>
          <w:rFonts w:hAnsi="宋体"/>
          <w:color w:val="auto"/>
          <w:spacing w:val="-6"/>
          <w:sz w:val="21"/>
          <w:szCs w:val="21"/>
          <w:highlight w:val="none"/>
        </w:rPr>
        <w:t>开启</w:t>
      </w:r>
      <w:r>
        <w:rPr>
          <w:rFonts w:hint="eastAsia" w:hAnsi="宋体"/>
          <w:color w:val="auto"/>
          <w:spacing w:val="-6"/>
          <w:sz w:val="21"/>
          <w:szCs w:val="21"/>
          <w:highlight w:val="none"/>
        </w:rPr>
        <w:t>响应文件开启</w:t>
      </w:r>
      <w:r>
        <w:rPr>
          <w:rFonts w:hAnsi="宋体"/>
          <w:color w:val="auto"/>
          <w:spacing w:val="-6"/>
          <w:sz w:val="21"/>
          <w:szCs w:val="21"/>
          <w:highlight w:val="none"/>
        </w:rPr>
        <w:t>场地的录音录像采集设备，并确保其正常运行。</w:t>
      </w:r>
    </w:p>
    <w:p>
      <w:pPr>
        <w:pStyle w:val="10"/>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2.</w:t>
      </w:r>
      <w:r>
        <w:rPr>
          <w:rFonts w:hAnsi="宋体"/>
          <w:color w:val="auto"/>
          <w:spacing w:val="-6"/>
          <w:sz w:val="21"/>
          <w:szCs w:val="21"/>
          <w:highlight w:val="none"/>
        </w:rPr>
        <w:t>核验出席</w:t>
      </w:r>
      <w:r>
        <w:rPr>
          <w:rFonts w:hint="eastAsia" w:hAnsi="宋体"/>
          <w:color w:val="auto"/>
          <w:spacing w:val="-6"/>
          <w:sz w:val="21"/>
          <w:szCs w:val="21"/>
          <w:highlight w:val="none"/>
        </w:rPr>
        <w:t>响应文件开启</w:t>
      </w:r>
      <w:r>
        <w:rPr>
          <w:rFonts w:hAnsi="宋体"/>
          <w:color w:val="auto"/>
          <w:spacing w:val="-6"/>
          <w:sz w:val="21"/>
          <w:szCs w:val="21"/>
          <w:highlight w:val="none"/>
        </w:rPr>
        <w:t>活动现场的各授权供应商代表及相关单位人员身份，并组织其分别登记、签到，无关人员可拒绝其进入现场。</w:t>
      </w:r>
    </w:p>
    <w:p>
      <w:pPr>
        <w:pStyle w:val="10"/>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3.</w:t>
      </w:r>
      <w:r>
        <w:rPr>
          <w:rFonts w:hAnsi="宋体"/>
          <w:color w:val="auto"/>
          <w:spacing w:val="-6"/>
          <w:sz w:val="21"/>
          <w:szCs w:val="21"/>
          <w:highlight w:val="none"/>
        </w:rPr>
        <w:t>对现场接受</w:t>
      </w:r>
      <w:r>
        <w:rPr>
          <w:rFonts w:hint="eastAsia" w:hAnsi="宋体"/>
          <w:color w:val="auto"/>
          <w:spacing w:val="-6"/>
          <w:sz w:val="21"/>
          <w:szCs w:val="21"/>
          <w:highlight w:val="none"/>
        </w:rPr>
        <w:t>响应文件的，</w:t>
      </w:r>
      <w:r>
        <w:rPr>
          <w:rFonts w:hAnsi="宋体"/>
          <w:color w:val="auto"/>
          <w:spacing w:val="-6"/>
          <w:sz w:val="21"/>
          <w:szCs w:val="21"/>
          <w:highlight w:val="none"/>
        </w:rPr>
        <w:t>由现场工作人员接收</w:t>
      </w:r>
      <w:r>
        <w:rPr>
          <w:rFonts w:hint="eastAsia" w:hAnsi="宋体"/>
          <w:color w:val="auto"/>
          <w:spacing w:val="-6"/>
          <w:sz w:val="21"/>
          <w:szCs w:val="21"/>
          <w:highlight w:val="none"/>
        </w:rPr>
        <w:t>响应文件</w:t>
      </w:r>
      <w:r>
        <w:rPr>
          <w:rFonts w:hAnsi="宋体"/>
          <w:color w:val="auto"/>
          <w:spacing w:val="-6"/>
          <w:sz w:val="21"/>
          <w:szCs w:val="21"/>
          <w:highlight w:val="none"/>
        </w:rPr>
        <w:t>并登记，请供应商代表对</w:t>
      </w:r>
      <w:r>
        <w:rPr>
          <w:rFonts w:hint="eastAsia" w:hAnsi="宋体"/>
          <w:color w:val="auto"/>
          <w:spacing w:val="-6"/>
          <w:sz w:val="21"/>
          <w:szCs w:val="21"/>
          <w:highlight w:val="none"/>
        </w:rPr>
        <w:t>响应文件</w:t>
      </w:r>
      <w:r>
        <w:rPr>
          <w:rFonts w:hAnsi="宋体"/>
          <w:color w:val="auto"/>
          <w:spacing w:val="-6"/>
          <w:sz w:val="21"/>
          <w:szCs w:val="21"/>
          <w:highlight w:val="none"/>
        </w:rPr>
        <w:t>的递交记录情况进行签字确认。</w:t>
      </w:r>
    </w:p>
    <w:p>
      <w:pPr>
        <w:pStyle w:val="10"/>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4.</w:t>
      </w:r>
      <w:r>
        <w:rPr>
          <w:rFonts w:hAnsi="宋体"/>
          <w:color w:val="auto"/>
          <w:spacing w:val="-6"/>
          <w:sz w:val="21"/>
          <w:szCs w:val="21"/>
          <w:highlight w:val="none"/>
        </w:rPr>
        <w:t>主持人宣布</w:t>
      </w:r>
      <w:r>
        <w:rPr>
          <w:rFonts w:hint="eastAsia" w:hAnsi="宋体"/>
          <w:color w:val="auto"/>
          <w:spacing w:val="-6"/>
          <w:sz w:val="21"/>
          <w:szCs w:val="21"/>
          <w:highlight w:val="none"/>
        </w:rPr>
        <w:t>响应文件开启</w:t>
      </w:r>
      <w:r>
        <w:rPr>
          <w:rFonts w:hAnsi="宋体"/>
          <w:color w:val="auto"/>
          <w:spacing w:val="-6"/>
          <w:sz w:val="21"/>
          <w:szCs w:val="21"/>
          <w:highlight w:val="none"/>
        </w:rPr>
        <w:t>，介绍</w:t>
      </w:r>
      <w:r>
        <w:rPr>
          <w:rFonts w:hint="eastAsia" w:hAnsi="宋体"/>
          <w:color w:val="auto"/>
          <w:spacing w:val="-6"/>
          <w:sz w:val="21"/>
          <w:szCs w:val="21"/>
          <w:highlight w:val="none"/>
        </w:rPr>
        <w:t>响应文件开启</w:t>
      </w:r>
      <w:r>
        <w:rPr>
          <w:rFonts w:hAnsi="宋体"/>
          <w:color w:val="auto"/>
          <w:spacing w:val="-6"/>
          <w:sz w:val="21"/>
          <w:szCs w:val="21"/>
          <w:highlight w:val="none"/>
        </w:rPr>
        <w:t>现场的人员情况，宣读递交</w:t>
      </w:r>
      <w:r>
        <w:rPr>
          <w:rFonts w:hint="eastAsia" w:hAnsi="宋体"/>
          <w:color w:val="auto"/>
          <w:spacing w:val="-6"/>
          <w:sz w:val="21"/>
          <w:szCs w:val="21"/>
          <w:highlight w:val="none"/>
        </w:rPr>
        <w:t>响应文件的供应商名单</w:t>
      </w:r>
      <w:r>
        <w:rPr>
          <w:rFonts w:hAnsi="宋体"/>
          <w:color w:val="auto"/>
          <w:spacing w:val="-6"/>
          <w:sz w:val="21"/>
          <w:szCs w:val="21"/>
          <w:highlight w:val="none"/>
        </w:rPr>
        <w:t>、</w:t>
      </w:r>
      <w:r>
        <w:rPr>
          <w:rFonts w:hint="eastAsia" w:hAnsi="宋体"/>
          <w:color w:val="auto"/>
          <w:spacing w:val="-6"/>
          <w:sz w:val="21"/>
          <w:szCs w:val="21"/>
          <w:highlight w:val="none"/>
        </w:rPr>
        <w:t>响应文件开启</w:t>
      </w:r>
      <w:r>
        <w:rPr>
          <w:rFonts w:hAnsi="宋体"/>
          <w:color w:val="auto"/>
          <w:spacing w:val="-6"/>
          <w:sz w:val="21"/>
          <w:szCs w:val="21"/>
          <w:highlight w:val="none"/>
        </w:rPr>
        <w:t>纪律、应当回避的情形等注意事项，组织供应商签署不存在影响公平竞争的《政府采购活动现场确认声明书》。</w:t>
      </w:r>
    </w:p>
    <w:p>
      <w:pPr>
        <w:pStyle w:val="10"/>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5.</w:t>
      </w:r>
      <w:r>
        <w:rPr>
          <w:rFonts w:hAnsi="宋体"/>
          <w:color w:val="auto"/>
          <w:spacing w:val="-6"/>
          <w:sz w:val="21"/>
          <w:szCs w:val="21"/>
          <w:highlight w:val="none"/>
        </w:rPr>
        <w:t>提请供应商代表或公证人员查验响应文件密封情况。</w:t>
      </w:r>
    </w:p>
    <w:p>
      <w:pPr>
        <w:pStyle w:val="10"/>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6.</w:t>
      </w:r>
      <w:r>
        <w:rPr>
          <w:rFonts w:hAnsi="宋体"/>
          <w:color w:val="auto"/>
          <w:spacing w:val="-6"/>
          <w:sz w:val="21"/>
          <w:szCs w:val="21"/>
          <w:highlight w:val="none"/>
        </w:rPr>
        <w:t>按供应商提交响应文件的先后顺序当众拆封、清点</w:t>
      </w:r>
      <w:r>
        <w:rPr>
          <w:rFonts w:hint="eastAsia" w:hAnsi="宋体"/>
          <w:color w:val="auto"/>
          <w:spacing w:val="-6"/>
          <w:sz w:val="21"/>
          <w:szCs w:val="21"/>
          <w:highlight w:val="none"/>
        </w:rPr>
        <w:t>响应文件</w:t>
      </w:r>
      <w:r>
        <w:rPr>
          <w:rFonts w:hAnsi="宋体"/>
          <w:color w:val="auto"/>
          <w:spacing w:val="-6"/>
          <w:sz w:val="21"/>
          <w:szCs w:val="21"/>
          <w:highlight w:val="none"/>
        </w:rPr>
        <w:t>（包括正本、副本）数量。</w:t>
      </w:r>
    </w:p>
    <w:p>
      <w:pPr>
        <w:pStyle w:val="12"/>
        <w:spacing w:beforeLines="0" w:afterLines="0" w:line="288" w:lineRule="auto"/>
        <w:jc w:val="center"/>
        <w:rPr>
          <w:rFonts w:hAnsi="宋体"/>
          <w:b/>
          <w:color w:val="auto"/>
          <w:spacing w:val="-6"/>
          <w:sz w:val="32"/>
          <w:szCs w:val="32"/>
          <w:highlight w:val="none"/>
        </w:rPr>
      </w:pPr>
      <w:r>
        <w:rPr>
          <w:rFonts w:hAnsi="宋体"/>
          <w:b/>
          <w:color w:val="auto"/>
          <w:spacing w:val="-6"/>
          <w:sz w:val="32"/>
          <w:szCs w:val="32"/>
          <w:highlight w:val="none"/>
        </w:rPr>
        <w:br w:type="page"/>
      </w:r>
      <w:r>
        <w:rPr>
          <w:rFonts w:hAnsi="宋体"/>
          <w:b/>
          <w:color w:val="auto"/>
          <w:spacing w:val="-6"/>
          <w:sz w:val="32"/>
          <w:szCs w:val="32"/>
          <w:highlight w:val="none"/>
        </w:rPr>
        <w:t>五</w:t>
      </w:r>
      <w:r>
        <w:rPr>
          <w:rFonts w:hint="eastAsia" w:hAnsi="宋体"/>
          <w:b/>
          <w:color w:val="auto"/>
          <w:spacing w:val="-6"/>
          <w:sz w:val="32"/>
          <w:szCs w:val="32"/>
          <w:highlight w:val="none"/>
        </w:rPr>
        <w:t>、磋商程序</w:t>
      </w:r>
    </w:p>
    <w:p>
      <w:pPr>
        <w:spacing w:line="288" w:lineRule="auto"/>
        <w:rPr>
          <w:rFonts w:ascii="宋体" w:hAnsi="宋体"/>
          <w:b/>
          <w:color w:val="auto"/>
          <w:spacing w:val="-6"/>
          <w:sz w:val="24"/>
          <w:highlight w:val="none"/>
        </w:rPr>
      </w:pPr>
      <w:r>
        <w:rPr>
          <w:rFonts w:hint="eastAsia" w:ascii="宋体" w:hAnsi="宋体"/>
          <w:b/>
          <w:color w:val="auto"/>
          <w:spacing w:val="-6"/>
          <w:sz w:val="24"/>
          <w:highlight w:val="none"/>
        </w:rPr>
        <w:t>（一） 组建磋商小组</w:t>
      </w:r>
    </w:p>
    <w:p>
      <w:pPr>
        <w:pStyle w:val="12"/>
        <w:spacing w:beforeLines="0" w:afterLines="0" w:line="288" w:lineRule="auto"/>
        <w:ind w:firstLine="396" w:firstLineChars="200"/>
        <w:rPr>
          <w:rFonts w:hAnsi="宋体"/>
          <w:color w:val="auto"/>
          <w:spacing w:val="-6"/>
          <w:sz w:val="21"/>
          <w:szCs w:val="21"/>
          <w:highlight w:val="none"/>
        </w:rPr>
      </w:pPr>
      <w:r>
        <w:rPr>
          <w:rFonts w:hAnsi="宋体"/>
          <w:color w:val="auto"/>
          <w:spacing w:val="-6"/>
          <w:sz w:val="21"/>
          <w:szCs w:val="21"/>
          <w:highlight w:val="none"/>
        </w:rPr>
        <w:t>本项目磋商小组由政府采购评审专家共</w:t>
      </w:r>
      <w:r>
        <w:rPr>
          <w:rFonts w:hint="eastAsia" w:hAnsi="宋体"/>
          <w:color w:val="auto"/>
          <w:spacing w:val="-6"/>
          <w:sz w:val="21"/>
          <w:szCs w:val="21"/>
          <w:highlight w:val="none"/>
        </w:rPr>
        <w:t>3</w:t>
      </w:r>
      <w:r>
        <w:rPr>
          <w:rFonts w:hAnsi="宋体"/>
          <w:color w:val="auto"/>
          <w:spacing w:val="-6"/>
          <w:sz w:val="21"/>
          <w:szCs w:val="21"/>
          <w:highlight w:val="none"/>
        </w:rPr>
        <w:t>人组成。</w:t>
      </w:r>
    </w:p>
    <w:p>
      <w:pPr>
        <w:pStyle w:val="10"/>
        <w:spacing w:line="288" w:lineRule="auto"/>
        <w:ind w:firstLine="0"/>
        <w:rPr>
          <w:rFonts w:hAnsi="宋体"/>
          <w:b/>
          <w:color w:val="auto"/>
          <w:spacing w:val="-6"/>
          <w:sz w:val="24"/>
          <w:szCs w:val="24"/>
          <w:highlight w:val="none"/>
        </w:rPr>
      </w:pPr>
      <w:r>
        <w:rPr>
          <w:rFonts w:hAnsi="宋体"/>
          <w:b/>
          <w:color w:val="auto"/>
          <w:spacing w:val="-6"/>
          <w:sz w:val="24"/>
          <w:szCs w:val="24"/>
          <w:highlight w:val="none"/>
        </w:rPr>
        <w:t>（二</w:t>
      </w:r>
      <w:r>
        <w:rPr>
          <w:rFonts w:hint="eastAsia" w:hAnsi="宋体"/>
          <w:b/>
          <w:color w:val="auto"/>
          <w:spacing w:val="-6"/>
          <w:sz w:val="24"/>
          <w:szCs w:val="24"/>
          <w:highlight w:val="none"/>
        </w:rPr>
        <w:t>） 评审</w:t>
      </w:r>
      <w:r>
        <w:rPr>
          <w:rFonts w:hAnsi="宋体"/>
          <w:b/>
          <w:color w:val="auto"/>
          <w:spacing w:val="-6"/>
          <w:sz w:val="24"/>
          <w:szCs w:val="24"/>
          <w:highlight w:val="none"/>
        </w:rPr>
        <w:t>的方式</w:t>
      </w:r>
    </w:p>
    <w:p>
      <w:pPr>
        <w:pStyle w:val="10"/>
        <w:spacing w:line="288" w:lineRule="auto"/>
        <w:ind w:firstLine="396" w:firstLineChars="200"/>
        <w:rPr>
          <w:rFonts w:hAnsi="宋体"/>
          <w:color w:val="auto"/>
          <w:spacing w:val="-6"/>
          <w:sz w:val="21"/>
          <w:szCs w:val="21"/>
          <w:highlight w:val="none"/>
        </w:rPr>
      </w:pPr>
      <w:r>
        <w:rPr>
          <w:rFonts w:hAnsi="宋体"/>
          <w:color w:val="auto"/>
          <w:spacing w:val="-6"/>
          <w:sz w:val="21"/>
          <w:szCs w:val="21"/>
          <w:highlight w:val="none"/>
        </w:rPr>
        <w:t>本项目采用不公开方式</w:t>
      </w:r>
      <w:r>
        <w:rPr>
          <w:rFonts w:hint="eastAsia" w:hAnsi="宋体"/>
          <w:color w:val="auto"/>
          <w:spacing w:val="-6"/>
          <w:sz w:val="21"/>
          <w:szCs w:val="21"/>
          <w:highlight w:val="none"/>
        </w:rPr>
        <w:t>评审</w:t>
      </w:r>
      <w:r>
        <w:rPr>
          <w:rFonts w:hAnsi="宋体"/>
          <w:color w:val="auto"/>
          <w:spacing w:val="-6"/>
          <w:sz w:val="21"/>
          <w:szCs w:val="21"/>
          <w:highlight w:val="none"/>
        </w:rPr>
        <w:t>，</w:t>
      </w:r>
      <w:r>
        <w:rPr>
          <w:rFonts w:hint="eastAsia" w:hAnsi="宋体"/>
          <w:color w:val="auto"/>
          <w:spacing w:val="-6"/>
          <w:sz w:val="21"/>
          <w:szCs w:val="21"/>
          <w:highlight w:val="none"/>
        </w:rPr>
        <w:t>评审</w:t>
      </w:r>
      <w:r>
        <w:rPr>
          <w:rFonts w:hAnsi="宋体"/>
          <w:color w:val="auto"/>
          <w:spacing w:val="-6"/>
          <w:sz w:val="21"/>
          <w:szCs w:val="21"/>
          <w:highlight w:val="none"/>
        </w:rPr>
        <w:t>的依据为磋商文件</w:t>
      </w:r>
      <w:r>
        <w:rPr>
          <w:rFonts w:hint="eastAsia" w:hAnsi="宋体"/>
          <w:color w:val="auto"/>
          <w:spacing w:val="-6"/>
          <w:sz w:val="21"/>
          <w:szCs w:val="21"/>
          <w:highlight w:val="none"/>
        </w:rPr>
        <w:t>、</w:t>
      </w:r>
      <w:r>
        <w:rPr>
          <w:rFonts w:hAnsi="宋体"/>
          <w:color w:val="auto"/>
          <w:spacing w:val="-6"/>
          <w:sz w:val="21"/>
          <w:szCs w:val="21"/>
          <w:highlight w:val="none"/>
        </w:rPr>
        <w:t>响应文件</w:t>
      </w:r>
      <w:r>
        <w:rPr>
          <w:rFonts w:hint="eastAsia" w:hAnsi="宋体"/>
          <w:color w:val="auto"/>
          <w:spacing w:val="-6"/>
          <w:sz w:val="21"/>
          <w:szCs w:val="21"/>
          <w:highlight w:val="none"/>
        </w:rPr>
        <w:t>和磋商记录</w:t>
      </w:r>
      <w:r>
        <w:rPr>
          <w:rFonts w:hAnsi="宋体"/>
          <w:color w:val="auto"/>
          <w:spacing w:val="-6"/>
          <w:sz w:val="21"/>
          <w:szCs w:val="21"/>
          <w:highlight w:val="none"/>
        </w:rPr>
        <w:t>。</w:t>
      </w:r>
    </w:p>
    <w:p>
      <w:pPr>
        <w:pStyle w:val="10"/>
        <w:spacing w:line="288" w:lineRule="auto"/>
        <w:ind w:firstLine="0"/>
        <w:rPr>
          <w:rFonts w:hAnsi="宋体"/>
          <w:b/>
          <w:color w:val="auto"/>
          <w:spacing w:val="-6"/>
          <w:sz w:val="24"/>
          <w:szCs w:val="24"/>
          <w:highlight w:val="none"/>
        </w:rPr>
      </w:pPr>
      <w:r>
        <w:rPr>
          <w:rFonts w:hAnsi="宋体"/>
          <w:b/>
          <w:color w:val="auto"/>
          <w:spacing w:val="-6"/>
          <w:sz w:val="24"/>
          <w:szCs w:val="24"/>
          <w:highlight w:val="none"/>
        </w:rPr>
        <w:t>（三）</w:t>
      </w:r>
      <w:r>
        <w:rPr>
          <w:rFonts w:hint="eastAsia" w:hAnsi="宋体"/>
          <w:b/>
          <w:color w:val="auto"/>
          <w:spacing w:val="-6"/>
          <w:sz w:val="24"/>
          <w:szCs w:val="24"/>
          <w:highlight w:val="none"/>
        </w:rPr>
        <w:t xml:space="preserve"> 评审</w:t>
      </w:r>
      <w:r>
        <w:rPr>
          <w:rFonts w:hAnsi="宋体"/>
          <w:b/>
          <w:color w:val="auto"/>
          <w:spacing w:val="-6"/>
          <w:sz w:val="24"/>
          <w:szCs w:val="24"/>
          <w:highlight w:val="none"/>
        </w:rPr>
        <w:t>程序</w:t>
      </w:r>
    </w:p>
    <w:p>
      <w:pPr>
        <w:pStyle w:val="10"/>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采购代理机构</w:t>
      </w:r>
      <w:r>
        <w:rPr>
          <w:rFonts w:hAnsi="宋体"/>
          <w:color w:val="auto"/>
          <w:spacing w:val="-6"/>
          <w:sz w:val="21"/>
          <w:szCs w:val="21"/>
          <w:highlight w:val="none"/>
        </w:rPr>
        <w:t>按照</w:t>
      </w:r>
      <w:r>
        <w:rPr>
          <w:rFonts w:hint="eastAsia" w:hAnsi="宋体"/>
          <w:color w:val="auto"/>
          <w:spacing w:val="-6"/>
          <w:sz w:val="21"/>
          <w:szCs w:val="21"/>
          <w:highlight w:val="none"/>
        </w:rPr>
        <w:t>磋商文件</w:t>
      </w:r>
      <w:r>
        <w:rPr>
          <w:rFonts w:hAnsi="宋体"/>
          <w:color w:val="auto"/>
          <w:spacing w:val="-6"/>
          <w:sz w:val="21"/>
          <w:szCs w:val="21"/>
          <w:highlight w:val="none"/>
        </w:rPr>
        <w:t>规定的时间、地点及程序组织评审。评审活动一般应按以下程序组织开展：</w:t>
      </w:r>
    </w:p>
    <w:p>
      <w:pPr>
        <w:pStyle w:val="10"/>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1.</w:t>
      </w:r>
      <w:r>
        <w:rPr>
          <w:rFonts w:hAnsi="宋体"/>
          <w:color w:val="auto"/>
          <w:spacing w:val="-6"/>
          <w:sz w:val="21"/>
          <w:szCs w:val="21"/>
          <w:highlight w:val="none"/>
        </w:rPr>
        <w:t>开启评审场地的录音录像采集设备，并确保其正常运行</w:t>
      </w:r>
      <w:r>
        <w:rPr>
          <w:rFonts w:hint="eastAsia" w:hAnsi="宋体"/>
          <w:color w:val="auto"/>
          <w:spacing w:val="-6"/>
          <w:sz w:val="21"/>
          <w:szCs w:val="21"/>
          <w:highlight w:val="none"/>
        </w:rPr>
        <w:t>。</w:t>
      </w:r>
    </w:p>
    <w:p>
      <w:pPr>
        <w:pStyle w:val="10"/>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2.</w:t>
      </w:r>
      <w:r>
        <w:rPr>
          <w:rFonts w:hAnsi="宋体"/>
          <w:color w:val="auto"/>
          <w:spacing w:val="-6"/>
          <w:sz w:val="21"/>
          <w:szCs w:val="21"/>
          <w:highlight w:val="none"/>
        </w:rPr>
        <w:t>核验出席评审活动现场的</w:t>
      </w:r>
      <w:r>
        <w:rPr>
          <w:rFonts w:hint="eastAsia" w:hAnsi="宋体"/>
          <w:color w:val="auto"/>
          <w:spacing w:val="-6"/>
          <w:sz w:val="21"/>
          <w:szCs w:val="21"/>
          <w:highlight w:val="none"/>
        </w:rPr>
        <w:t>磋商小组</w:t>
      </w:r>
      <w:r>
        <w:rPr>
          <w:rFonts w:hAnsi="宋体"/>
          <w:color w:val="auto"/>
          <w:spacing w:val="-6"/>
          <w:sz w:val="21"/>
          <w:szCs w:val="21"/>
          <w:highlight w:val="none"/>
        </w:rPr>
        <w:t>各成员和相关监督人员身份，并要求其分别登记、签到，按规定统一收缴、保存其通讯工具，无关人员一律拒绝其进入评审现场。</w:t>
      </w:r>
    </w:p>
    <w:p>
      <w:pPr>
        <w:pStyle w:val="10"/>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3.</w:t>
      </w:r>
      <w:r>
        <w:rPr>
          <w:rFonts w:hAnsi="宋体"/>
          <w:color w:val="auto"/>
          <w:spacing w:val="-6"/>
          <w:sz w:val="21"/>
          <w:szCs w:val="21"/>
          <w:highlight w:val="none"/>
        </w:rPr>
        <w:t>介绍评审现场的人员情况，宣布评审工作纪律，告知</w:t>
      </w:r>
      <w:r>
        <w:rPr>
          <w:rFonts w:hint="eastAsia" w:hAnsi="宋体"/>
          <w:color w:val="auto"/>
          <w:spacing w:val="-6"/>
          <w:sz w:val="21"/>
          <w:szCs w:val="21"/>
          <w:highlight w:val="none"/>
        </w:rPr>
        <w:t>磋商小组</w:t>
      </w:r>
      <w:r>
        <w:rPr>
          <w:rFonts w:hAnsi="宋体"/>
          <w:color w:val="auto"/>
          <w:spacing w:val="-6"/>
          <w:sz w:val="21"/>
          <w:szCs w:val="21"/>
          <w:highlight w:val="none"/>
        </w:rPr>
        <w:t>应当回避情形；组织推选</w:t>
      </w:r>
      <w:r>
        <w:rPr>
          <w:rFonts w:hint="eastAsia" w:hAnsi="宋体"/>
          <w:color w:val="auto"/>
          <w:spacing w:val="-6"/>
          <w:sz w:val="21"/>
          <w:szCs w:val="21"/>
          <w:highlight w:val="none"/>
        </w:rPr>
        <w:t>磋商小组</w:t>
      </w:r>
      <w:r>
        <w:rPr>
          <w:rFonts w:hAnsi="宋体"/>
          <w:color w:val="auto"/>
          <w:spacing w:val="-6"/>
          <w:sz w:val="21"/>
          <w:szCs w:val="21"/>
          <w:highlight w:val="none"/>
        </w:rPr>
        <w:t>组长。</w:t>
      </w:r>
    </w:p>
    <w:p>
      <w:pPr>
        <w:pStyle w:val="10"/>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4. 依法获取采购文件</w:t>
      </w:r>
      <w:r>
        <w:rPr>
          <w:rFonts w:hAnsi="宋体"/>
          <w:color w:val="auto"/>
          <w:spacing w:val="-6"/>
          <w:sz w:val="21"/>
          <w:szCs w:val="21"/>
          <w:highlight w:val="none"/>
        </w:rPr>
        <w:t>的供应商名单及资格预审情况（如有），宣读最终提交</w:t>
      </w:r>
      <w:r>
        <w:rPr>
          <w:rFonts w:hint="eastAsia" w:hAnsi="宋体"/>
          <w:color w:val="auto"/>
          <w:spacing w:val="-6"/>
          <w:sz w:val="21"/>
          <w:szCs w:val="21"/>
          <w:highlight w:val="none"/>
        </w:rPr>
        <w:t>响应文件</w:t>
      </w:r>
      <w:r>
        <w:rPr>
          <w:rFonts w:hAnsi="宋体"/>
          <w:color w:val="auto"/>
          <w:spacing w:val="-6"/>
          <w:sz w:val="21"/>
          <w:szCs w:val="21"/>
          <w:highlight w:val="none"/>
        </w:rPr>
        <w:t>的供应商名单，组织</w:t>
      </w:r>
      <w:r>
        <w:rPr>
          <w:rFonts w:hint="eastAsia" w:hAnsi="宋体"/>
          <w:color w:val="auto"/>
          <w:spacing w:val="-6"/>
          <w:sz w:val="21"/>
          <w:szCs w:val="21"/>
          <w:highlight w:val="none"/>
        </w:rPr>
        <w:t>磋商小组</w:t>
      </w:r>
      <w:r>
        <w:rPr>
          <w:rFonts w:hAnsi="宋体"/>
          <w:color w:val="auto"/>
          <w:spacing w:val="-6"/>
          <w:sz w:val="21"/>
          <w:szCs w:val="21"/>
          <w:highlight w:val="none"/>
        </w:rPr>
        <w:t>各位成员签订《政府采购评审人员廉洁自律承诺书》。</w:t>
      </w:r>
    </w:p>
    <w:p>
      <w:pPr>
        <w:pStyle w:val="10"/>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5.</w:t>
      </w:r>
      <w:r>
        <w:rPr>
          <w:rFonts w:hAnsi="宋体"/>
          <w:color w:val="auto"/>
          <w:spacing w:val="-6"/>
          <w:sz w:val="21"/>
          <w:szCs w:val="21"/>
          <w:highlight w:val="none"/>
        </w:rPr>
        <w:t>根据需要简要介绍</w:t>
      </w:r>
      <w:r>
        <w:rPr>
          <w:rFonts w:hint="eastAsia" w:hAnsi="宋体"/>
          <w:color w:val="auto"/>
          <w:spacing w:val="-6"/>
          <w:sz w:val="21"/>
          <w:szCs w:val="21"/>
          <w:highlight w:val="none"/>
        </w:rPr>
        <w:t>磋商文件</w:t>
      </w:r>
      <w:r>
        <w:rPr>
          <w:rFonts w:hAnsi="宋体"/>
          <w:color w:val="auto"/>
          <w:spacing w:val="-6"/>
          <w:sz w:val="21"/>
          <w:szCs w:val="21"/>
          <w:highlight w:val="none"/>
        </w:rPr>
        <w:t>（含补充文件）制定及质疑答复情况、按书面陈述项目基本情况及评审工作需注意事项等，让评审专家尽快知悉和了解所评审项目的采购需求、评审依据、评审标准、工作程序等；提醒</w:t>
      </w:r>
      <w:r>
        <w:rPr>
          <w:rFonts w:hint="eastAsia" w:hAnsi="宋体"/>
          <w:color w:val="auto"/>
          <w:spacing w:val="-6"/>
          <w:sz w:val="21"/>
          <w:szCs w:val="21"/>
          <w:highlight w:val="none"/>
        </w:rPr>
        <w:t>磋商小组</w:t>
      </w:r>
      <w:r>
        <w:rPr>
          <w:rFonts w:hAnsi="宋体"/>
          <w:color w:val="auto"/>
          <w:spacing w:val="-6"/>
          <w:sz w:val="21"/>
          <w:szCs w:val="21"/>
          <w:highlight w:val="none"/>
        </w:rPr>
        <w:t>对客观评审项目应统一评审依据和评审标准，对主观评审项目应确定大致的评审要求和评审尺度；对</w:t>
      </w:r>
      <w:r>
        <w:rPr>
          <w:rFonts w:hint="eastAsia" w:hAnsi="宋体"/>
          <w:color w:val="auto"/>
          <w:spacing w:val="-6"/>
          <w:sz w:val="21"/>
          <w:szCs w:val="21"/>
          <w:highlight w:val="none"/>
        </w:rPr>
        <w:t>磋商小组</w:t>
      </w:r>
      <w:r>
        <w:rPr>
          <w:rFonts w:hAnsi="宋体"/>
          <w:color w:val="auto"/>
          <w:spacing w:val="-6"/>
          <w:sz w:val="21"/>
          <w:szCs w:val="21"/>
          <w:highlight w:val="none"/>
        </w:rPr>
        <w:t>提出的有关</w:t>
      </w:r>
      <w:r>
        <w:rPr>
          <w:rFonts w:hint="eastAsia" w:hAnsi="宋体"/>
          <w:color w:val="auto"/>
          <w:spacing w:val="-6"/>
          <w:sz w:val="21"/>
          <w:szCs w:val="21"/>
          <w:highlight w:val="none"/>
        </w:rPr>
        <w:t>磋商文件</w:t>
      </w:r>
      <w:r>
        <w:rPr>
          <w:rFonts w:hAnsi="宋体"/>
          <w:color w:val="auto"/>
          <w:spacing w:val="-6"/>
          <w:sz w:val="21"/>
          <w:szCs w:val="21"/>
          <w:highlight w:val="none"/>
        </w:rPr>
        <w:t>、</w:t>
      </w:r>
      <w:r>
        <w:rPr>
          <w:rFonts w:hint="eastAsia" w:hAnsi="宋体"/>
          <w:color w:val="auto"/>
          <w:spacing w:val="-6"/>
          <w:sz w:val="21"/>
          <w:szCs w:val="21"/>
          <w:highlight w:val="none"/>
        </w:rPr>
        <w:t>响应文件</w:t>
      </w:r>
      <w:r>
        <w:rPr>
          <w:rFonts w:hAnsi="宋体"/>
          <w:color w:val="auto"/>
          <w:spacing w:val="-6"/>
          <w:sz w:val="21"/>
          <w:szCs w:val="21"/>
          <w:highlight w:val="none"/>
        </w:rPr>
        <w:t>的问题进行必要的说明、解释或讨论。</w:t>
      </w:r>
    </w:p>
    <w:p>
      <w:pPr>
        <w:pStyle w:val="10"/>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6.磋商小组</w:t>
      </w:r>
      <w:r>
        <w:rPr>
          <w:rFonts w:hAnsi="宋体"/>
          <w:color w:val="auto"/>
          <w:spacing w:val="-6"/>
          <w:sz w:val="21"/>
          <w:szCs w:val="21"/>
          <w:highlight w:val="none"/>
        </w:rPr>
        <w:t>组长组织</w:t>
      </w:r>
      <w:r>
        <w:rPr>
          <w:rFonts w:hint="eastAsia" w:hAnsi="宋体"/>
          <w:color w:val="auto"/>
          <w:spacing w:val="-6"/>
          <w:sz w:val="21"/>
          <w:szCs w:val="21"/>
          <w:highlight w:val="none"/>
        </w:rPr>
        <w:t>磋商小组成员根据磋商文件规定的评审程序、评审方法和评审标准进行独立评审。未实质性响应磋商文件的响应文件按无效响应处理，磋商小组告知提交响应文件的供应商。</w:t>
      </w:r>
    </w:p>
    <w:p>
      <w:pPr>
        <w:pStyle w:val="10"/>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在按照磋商文件的变动情况和磋商小组的要求重新提交响应文件，并由其法定代表人或授权代表签字或者加盖公章。</w:t>
      </w:r>
    </w:p>
    <w:p>
      <w:pPr>
        <w:pStyle w:val="10"/>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8.磋商文件能够详细列明采购标的的技术、服务要求的，磋商结束后，磋商小组要求所有实质性响应的供应商在规定时间内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磋商报价。</w:t>
      </w:r>
    </w:p>
    <w:p>
      <w:pPr>
        <w:pStyle w:val="10"/>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9.经磋商确定最终采购需求和提交最后磋商报价的供应商后，由磋商小组采用综合评分法对提交最后磋商报价的供应商的响应文件和最后磋商报价进行综合评分。</w:t>
      </w:r>
    </w:p>
    <w:p>
      <w:pPr>
        <w:pStyle w:val="10"/>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10.</w:t>
      </w:r>
      <w:r>
        <w:rPr>
          <w:rFonts w:hAnsi="宋体"/>
          <w:color w:val="auto"/>
          <w:spacing w:val="-6"/>
          <w:sz w:val="21"/>
          <w:szCs w:val="21"/>
          <w:highlight w:val="none"/>
        </w:rPr>
        <w:t>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pPr>
        <w:pStyle w:val="10"/>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11.</w:t>
      </w:r>
      <w:r>
        <w:rPr>
          <w:rFonts w:hAnsi="宋体"/>
          <w:color w:val="auto"/>
          <w:spacing w:val="-6"/>
          <w:sz w:val="21"/>
          <w:szCs w:val="21"/>
          <w:highlight w:val="none"/>
        </w:rPr>
        <w:t>做好评审现场相关记录，协助磋商小组组长做好评审报告起草、有关内容电脑文字录入等工作，并要求磋商小组各成员签字确认。</w:t>
      </w:r>
    </w:p>
    <w:p>
      <w:pPr>
        <w:pStyle w:val="10"/>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12.</w:t>
      </w:r>
      <w:r>
        <w:rPr>
          <w:rFonts w:hAnsi="宋体"/>
          <w:color w:val="auto"/>
          <w:spacing w:val="-6"/>
          <w:sz w:val="21"/>
          <w:szCs w:val="21"/>
          <w:highlight w:val="none"/>
        </w:rPr>
        <w:t>评审结束后，</w:t>
      </w:r>
      <w:r>
        <w:rPr>
          <w:rFonts w:hint="eastAsia" w:hAnsi="宋体"/>
          <w:color w:val="auto"/>
          <w:spacing w:val="-6"/>
          <w:sz w:val="21"/>
          <w:szCs w:val="21"/>
          <w:highlight w:val="none"/>
        </w:rPr>
        <w:t>采购代理机构</w:t>
      </w:r>
      <w:r>
        <w:rPr>
          <w:rFonts w:hAnsi="宋体"/>
          <w:color w:val="auto"/>
          <w:spacing w:val="-6"/>
          <w:sz w:val="21"/>
          <w:szCs w:val="21"/>
          <w:highlight w:val="none"/>
        </w:rPr>
        <w:t>交还评审人员及其他现场相关人员的通讯工具</w:t>
      </w:r>
      <w:r>
        <w:rPr>
          <w:rFonts w:hint="eastAsia" w:hAnsi="宋体"/>
          <w:color w:val="auto"/>
          <w:spacing w:val="-6"/>
          <w:sz w:val="21"/>
          <w:szCs w:val="21"/>
          <w:highlight w:val="none"/>
        </w:rPr>
        <w:t>，</w:t>
      </w:r>
      <w:r>
        <w:rPr>
          <w:rFonts w:hAnsi="宋体"/>
          <w:color w:val="auto"/>
          <w:spacing w:val="-6"/>
          <w:sz w:val="21"/>
          <w:szCs w:val="21"/>
          <w:highlight w:val="none"/>
        </w:rPr>
        <w:t>主持人公布</w:t>
      </w:r>
      <w:r>
        <w:rPr>
          <w:rFonts w:hint="eastAsia" w:hAnsi="宋体"/>
          <w:color w:val="auto"/>
          <w:spacing w:val="-6"/>
          <w:sz w:val="21"/>
          <w:szCs w:val="21"/>
          <w:highlight w:val="none"/>
        </w:rPr>
        <w:t>成交</w:t>
      </w:r>
      <w:r>
        <w:rPr>
          <w:rFonts w:hAnsi="宋体"/>
          <w:color w:val="auto"/>
          <w:spacing w:val="-6"/>
          <w:sz w:val="21"/>
          <w:szCs w:val="21"/>
          <w:highlight w:val="none"/>
        </w:rPr>
        <w:t>候选供应商名单，及采购人最终确定</w:t>
      </w:r>
      <w:r>
        <w:rPr>
          <w:rFonts w:hint="eastAsia" w:hAnsi="宋体"/>
          <w:color w:val="auto"/>
          <w:spacing w:val="-6"/>
          <w:sz w:val="21"/>
          <w:szCs w:val="21"/>
          <w:highlight w:val="none"/>
        </w:rPr>
        <w:t>成交</w:t>
      </w:r>
      <w:r>
        <w:rPr>
          <w:rFonts w:hAnsi="宋体"/>
          <w:color w:val="auto"/>
          <w:spacing w:val="-6"/>
          <w:sz w:val="21"/>
          <w:szCs w:val="21"/>
          <w:highlight w:val="none"/>
        </w:rPr>
        <w:t>供应商名单的时间和公告方式等。</w:t>
      </w:r>
    </w:p>
    <w:p>
      <w:pPr>
        <w:pStyle w:val="10"/>
        <w:spacing w:line="288" w:lineRule="auto"/>
        <w:ind w:firstLine="0"/>
        <w:rPr>
          <w:rFonts w:hAnsi="宋体"/>
          <w:b/>
          <w:color w:val="auto"/>
          <w:spacing w:val="-6"/>
          <w:sz w:val="24"/>
          <w:szCs w:val="24"/>
          <w:highlight w:val="none"/>
        </w:rPr>
      </w:pPr>
      <w:r>
        <w:rPr>
          <w:rFonts w:hAnsi="宋体"/>
          <w:b/>
          <w:color w:val="auto"/>
          <w:spacing w:val="-6"/>
          <w:sz w:val="24"/>
          <w:szCs w:val="24"/>
          <w:highlight w:val="none"/>
        </w:rPr>
        <w:t>（四）澄清问题的形式</w:t>
      </w:r>
    </w:p>
    <w:p>
      <w:pPr>
        <w:pStyle w:val="10"/>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0"/>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磋商小组要求供应商澄清、说明或者更正响应文件应当以书面形式作出。供应商的澄清、说明或者更正应当由法定代表人或其授权代表签字或者加盖公章。</w:t>
      </w:r>
    </w:p>
    <w:p>
      <w:pPr>
        <w:pStyle w:val="10"/>
        <w:spacing w:line="288" w:lineRule="auto"/>
        <w:ind w:firstLine="0"/>
        <w:rPr>
          <w:rFonts w:hAnsi="宋体"/>
          <w:b/>
          <w:color w:val="auto"/>
          <w:spacing w:val="-6"/>
          <w:sz w:val="24"/>
          <w:szCs w:val="24"/>
          <w:highlight w:val="none"/>
        </w:rPr>
      </w:pPr>
      <w:r>
        <w:rPr>
          <w:rFonts w:hAnsi="宋体"/>
          <w:b/>
          <w:color w:val="auto"/>
          <w:spacing w:val="-6"/>
          <w:sz w:val="24"/>
          <w:szCs w:val="24"/>
          <w:highlight w:val="none"/>
        </w:rPr>
        <w:t>（</w:t>
      </w:r>
      <w:r>
        <w:rPr>
          <w:rFonts w:hint="eastAsia" w:hAnsi="宋体"/>
          <w:b/>
          <w:color w:val="auto"/>
          <w:spacing w:val="-6"/>
          <w:sz w:val="24"/>
          <w:szCs w:val="24"/>
          <w:highlight w:val="none"/>
        </w:rPr>
        <w:t>五</w:t>
      </w:r>
      <w:r>
        <w:rPr>
          <w:rFonts w:hAnsi="宋体"/>
          <w:b/>
          <w:color w:val="auto"/>
          <w:spacing w:val="-6"/>
          <w:sz w:val="24"/>
          <w:szCs w:val="24"/>
          <w:highlight w:val="none"/>
        </w:rPr>
        <w:t>）</w:t>
      </w:r>
      <w:r>
        <w:rPr>
          <w:rFonts w:hint="eastAsia" w:hAnsi="宋体"/>
          <w:b/>
          <w:color w:val="auto"/>
          <w:spacing w:val="-6"/>
          <w:sz w:val="24"/>
          <w:szCs w:val="24"/>
          <w:highlight w:val="none"/>
        </w:rPr>
        <w:t xml:space="preserve"> 评审</w:t>
      </w:r>
      <w:r>
        <w:rPr>
          <w:rFonts w:hAnsi="宋体"/>
          <w:b/>
          <w:color w:val="auto"/>
          <w:spacing w:val="-6"/>
          <w:sz w:val="24"/>
          <w:szCs w:val="24"/>
          <w:highlight w:val="none"/>
        </w:rPr>
        <w:t>原则和</w:t>
      </w:r>
      <w:r>
        <w:rPr>
          <w:rFonts w:hint="eastAsia" w:hAnsi="宋体"/>
          <w:b/>
          <w:color w:val="auto"/>
          <w:spacing w:val="-6"/>
          <w:sz w:val="24"/>
          <w:szCs w:val="24"/>
          <w:highlight w:val="none"/>
        </w:rPr>
        <w:t>评审</w:t>
      </w:r>
      <w:r>
        <w:rPr>
          <w:rFonts w:hAnsi="宋体"/>
          <w:b/>
          <w:color w:val="auto"/>
          <w:spacing w:val="-6"/>
          <w:sz w:val="24"/>
          <w:szCs w:val="24"/>
          <w:highlight w:val="none"/>
        </w:rPr>
        <w:t>办法</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1.评审专家应当遵守评审工作纪律，不得泄露评审情况和评审中获悉的商业秘密。磋商小组成员应当按照客观、公正、审慎的原则，根据</w:t>
      </w:r>
      <w:r>
        <w:rPr>
          <w:rFonts w:hint="eastAsia" w:ascii="宋体" w:hAnsi="宋体" w:cs="宋体"/>
          <w:color w:val="auto"/>
          <w:kern w:val="0"/>
          <w:sz w:val="21"/>
          <w:szCs w:val="21"/>
          <w:highlight w:val="none"/>
        </w:rPr>
        <w:t>磋商文件规定的评审程序、评审方法和评审标准进行独立评审。</w:t>
      </w:r>
    </w:p>
    <w:p>
      <w:pPr>
        <w:spacing w:line="288" w:lineRule="auto"/>
        <w:ind w:firstLine="396" w:firstLineChars="200"/>
        <w:rPr>
          <w:rFonts w:ascii="宋体" w:hAnsi="宋体"/>
          <w:bCs/>
          <w:color w:val="auto"/>
          <w:spacing w:val="-6"/>
          <w:sz w:val="21"/>
          <w:szCs w:val="21"/>
          <w:highlight w:val="none"/>
        </w:rPr>
      </w:pPr>
      <w:r>
        <w:rPr>
          <w:rFonts w:hint="eastAsia" w:ascii="宋体" w:hAnsi="宋体"/>
          <w:bCs/>
          <w:color w:val="auto"/>
          <w:spacing w:val="-6"/>
          <w:sz w:val="21"/>
          <w:szCs w:val="21"/>
          <w:highlight w:val="none"/>
        </w:rPr>
        <w:t>2.</w:t>
      </w:r>
      <w:r>
        <w:rPr>
          <w:rFonts w:ascii="宋体" w:hAnsi="宋体"/>
          <w:bCs/>
          <w:color w:val="auto"/>
          <w:spacing w:val="-6"/>
          <w:sz w:val="21"/>
          <w:szCs w:val="21"/>
          <w:highlight w:val="none"/>
        </w:rPr>
        <w:t>评审专家因回避、临时缺席或健康原因等特殊情况不能继续参加评审工作的，应按规定更换评审专家</w:t>
      </w:r>
      <w:r>
        <w:rPr>
          <w:rFonts w:hint="eastAsia" w:ascii="宋体" w:hAnsi="宋体"/>
          <w:bCs/>
          <w:color w:val="auto"/>
          <w:spacing w:val="-6"/>
          <w:sz w:val="21"/>
          <w:szCs w:val="21"/>
          <w:highlight w:val="none"/>
        </w:rPr>
        <w:t>，</w:t>
      </w:r>
      <w:r>
        <w:rPr>
          <w:rFonts w:ascii="宋体" w:hAnsi="宋体"/>
          <w:bCs/>
          <w:color w:val="auto"/>
          <w:spacing w:val="-6"/>
          <w:sz w:val="21"/>
          <w:szCs w:val="21"/>
          <w:highlight w:val="none"/>
        </w:rPr>
        <w:t>被更换的评审人员之前所作出的评审意见不再予以采纳，由更换后的评审人员重新进行评审。无法及时更换专家的，要立即停止评审工作、封存评审资料，并告知供应商择期重新评审的时间和地点。</w:t>
      </w:r>
    </w:p>
    <w:p>
      <w:pPr>
        <w:spacing w:line="288" w:lineRule="auto"/>
        <w:ind w:firstLine="396" w:firstLineChars="200"/>
        <w:rPr>
          <w:rFonts w:ascii="宋体" w:hAnsi="宋体"/>
          <w:bCs/>
          <w:color w:val="auto"/>
          <w:spacing w:val="-6"/>
          <w:sz w:val="21"/>
          <w:szCs w:val="21"/>
          <w:highlight w:val="none"/>
        </w:rPr>
      </w:pPr>
      <w:r>
        <w:rPr>
          <w:rFonts w:hint="eastAsia" w:ascii="宋体" w:hAnsi="宋体"/>
          <w:bCs/>
          <w:color w:val="auto"/>
          <w:spacing w:val="-6"/>
          <w:sz w:val="21"/>
          <w:szCs w:val="21"/>
          <w:highlight w:val="none"/>
        </w:rPr>
        <w:t>3.磋商文件内容违反国家有关强制性规定的，磋商小组应当停止评审并向采购人或者采购代理机构说明情况。</w:t>
      </w:r>
    </w:p>
    <w:p>
      <w:pPr>
        <w:spacing w:line="288" w:lineRule="auto"/>
        <w:ind w:firstLine="396" w:firstLineChars="200"/>
        <w:rPr>
          <w:rFonts w:ascii="宋体" w:hAnsi="宋体" w:cs="宋体"/>
          <w:color w:val="auto"/>
          <w:kern w:val="0"/>
          <w:sz w:val="21"/>
          <w:szCs w:val="21"/>
          <w:highlight w:val="none"/>
        </w:rPr>
      </w:pPr>
      <w:r>
        <w:rPr>
          <w:rFonts w:hint="eastAsia" w:ascii="宋体" w:hAnsi="宋体"/>
          <w:bCs/>
          <w:color w:val="auto"/>
          <w:spacing w:val="-6"/>
          <w:sz w:val="21"/>
          <w:szCs w:val="21"/>
          <w:highlight w:val="none"/>
        </w:rPr>
        <w:t>4.</w:t>
      </w:r>
      <w:r>
        <w:rPr>
          <w:rFonts w:hint="eastAsia" w:ascii="宋体" w:hAnsi="宋体" w:cs="宋体"/>
          <w:color w:val="auto"/>
          <w:kern w:val="0"/>
          <w:sz w:val="21"/>
          <w:szCs w:val="21"/>
          <w:highlight w:val="none"/>
        </w:rPr>
        <w:t>采购人、采购代理机构不得向磋商小组中的评审专家作倾向性、误导性的解释或者说明。</w:t>
      </w:r>
    </w:p>
    <w:p>
      <w:pPr>
        <w:spacing w:line="288" w:lineRule="auto"/>
        <w:ind w:firstLine="396" w:firstLineChars="200"/>
        <w:rPr>
          <w:rFonts w:ascii="宋体" w:hAnsi="宋体"/>
          <w:bCs/>
          <w:color w:val="auto"/>
          <w:spacing w:val="-6"/>
          <w:sz w:val="21"/>
          <w:szCs w:val="21"/>
          <w:highlight w:val="none"/>
        </w:rPr>
      </w:pPr>
      <w:r>
        <w:rPr>
          <w:rFonts w:hint="eastAsia" w:ascii="宋体" w:hAnsi="宋体"/>
          <w:bCs/>
          <w:color w:val="auto"/>
          <w:spacing w:val="-6"/>
          <w:sz w:val="21"/>
          <w:szCs w:val="21"/>
          <w:highlight w:val="none"/>
        </w:rPr>
        <w:t>5.已提交响应文件的供应商，在提交最后磋商报价之前，可以根据磋商情况退出磋商。</w:t>
      </w:r>
    </w:p>
    <w:p>
      <w:pPr>
        <w:spacing w:line="288" w:lineRule="auto"/>
        <w:ind w:firstLine="396" w:firstLineChars="200"/>
        <w:rPr>
          <w:rFonts w:ascii="宋体" w:hAnsi="宋体"/>
          <w:bCs/>
          <w:color w:val="auto"/>
          <w:spacing w:val="-6"/>
          <w:sz w:val="21"/>
          <w:szCs w:val="21"/>
          <w:highlight w:val="none"/>
        </w:rPr>
      </w:pPr>
      <w:r>
        <w:rPr>
          <w:rFonts w:hint="eastAsia" w:ascii="宋体" w:hAnsi="宋体"/>
          <w:bCs/>
          <w:color w:val="auto"/>
          <w:spacing w:val="-6"/>
          <w:sz w:val="21"/>
          <w:szCs w:val="21"/>
          <w:highlight w:val="none"/>
        </w:rPr>
        <w:t>6</w:t>
      </w:r>
      <w:r>
        <w:rPr>
          <w:rFonts w:ascii="宋体" w:hAnsi="宋体"/>
          <w:bCs/>
          <w:color w:val="auto"/>
          <w:spacing w:val="-6"/>
          <w:sz w:val="21"/>
          <w:szCs w:val="21"/>
          <w:highlight w:val="none"/>
        </w:rPr>
        <w:t>.</w:t>
      </w:r>
      <w:r>
        <w:rPr>
          <w:rFonts w:hint="eastAsia" w:ascii="宋体" w:hAnsi="宋体" w:cs="宋体"/>
          <w:color w:val="auto"/>
          <w:kern w:val="0"/>
          <w:sz w:val="21"/>
          <w:szCs w:val="21"/>
          <w:highlight w:val="none"/>
        </w:rPr>
        <w:t>采用竞争性磋商采购方式采购的政府购买服务项目（含政府和社会资本合作项目），在采购过程中符合要求的供应商（社会资本）只有2家的，竞争性磋商采购活动可以继续进行。</w:t>
      </w:r>
    </w:p>
    <w:p>
      <w:pPr>
        <w:pStyle w:val="10"/>
        <w:spacing w:line="288" w:lineRule="auto"/>
        <w:ind w:firstLine="396" w:firstLineChars="200"/>
        <w:rPr>
          <w:rFonts w:hAnsi="宋体" w:cs="宋体"/>
          <w:color w:val="auto"/>
          <w:kern w:val="0"/>
          <w:sz w:val="21"/>
          <w:szCs w:val="21"/>
          <w:highlight w:val="none"/>
        </w:rPr>
      </w:pPr>
      <w:r>
        <w:rPr>
          <w:rFonts w:hint="eastAsia" w:hAnsi="宋体"/>
          <w:bCs/>
          <w:color w:val="auto"/>
          <w:spacing w:val="-6"/>
          <w:sz w:val="21"/>
          <w:szCs w:val="21"/>
          <w:highlight w:val="none"/>
        </w:rPr>
        <w:t>7.</w:t>
      </w:r>
      <w:r>
        <w:rPr>
          <w:rFonts w:hint="eastAsia" w:hAnsi="宋体" w:cs="宋体"/>
          <w:color w:val="auto"/>
          <w:kern w:val="0"/>
          <w:sz w:val="21"/>
          <w:szCs w:val="21"/>
          <w:highlight w:val="none"/>
        </w:rPr>
        <w:t>磋商轮次不超过三轮，具体根据项目的情况由磋商小组决定。</w:t>
      </w:r>
    </w:p>
    <w:p>
      <w:pPr>
        <w:spacing w:line="288" w:lineRule="auto"/>
        <w:ind w:firstLine="396" w:firstLineChars="200"/>
        <w:rPr>
          <w:rFonts w:ascii="宋体" w:hAnsi="宋体"/>
          <w:bCs/>
          <w:color w:val="auto"/>
          <w:spacing w:val="-6"/>
          <w:sz w:val="21"/>
          <w:szCs w:val="21"/>
          <w:highlight w:val="none"/>
        </w:rPr>
      </w:pPr>
      <w:r>
        <w:rPr>
          <w:rFonts w:hint="eastAsia" w:ascii="宋体" w:hAnsi="宋体"/>
          <w:bCs/>
          <w:color w:val="auto"/>
          <w:spacing w:val="-6"/>
          <w:sz w:val="21"/>
          <w:szCs w:val="21"/>
          <w:highlight w:val="none"/>
        </w:rPr>
        <w:t>8.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9.评审办法。本项目评审办法是综合评分法，具体评审内容及评分标准等详见《第四章：评审办法及评分标准》。</w:t>
      </w:r>
    </w:p>
    <w:p>
      <w:pPr>
        <w:spacing w:line="288" w:lineRule="auto"/>
        <w:rPr>
          <w:rFonts w:ascii="宋体" w:hAnsi="宋体"/>
          <w:b/>
          <w:color w:val="auto"/>
          <w:spacing w:val="-6"/>
          <w:sz w:val="24"/>
          <w:highlight w:val="none"/>
        </w:rPr>
      </w:pPr>
      <w:r>
        <w:rPr>
          <w:rFonts w:hint="eastAsia" w:ascii="宋体" w:hAnsi="宋体"/>
          <w:b/>
          <w:color w:val="auto"/>
          <w:spacing w:val="-6"/>
          <w:sz w:val="24"/>
          <w:highlight w:val="none"/>
        </w:rPr>
        <w:t>（六） 成 交</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1.采购代理机构在评审结束后2个工作日内将评审报告送采购人确认。采购人在收到评审报告后</w:t>
      </w:r>
      <w:r>
        <w:rPr>
          <w:rFonts w:ascii="宋体" w:hAnsi="宋体"/>
          <w:color w:val="auto"/>
          <w:spacing w:val="-6"/>
          <w:sz w:val="21"/>
          <w:szCs w:val="21"/>
          <w:highlight w:val="none"/>
        </w:rPr>
        <w:t>5</w:t>
      </w:r>
      <w:r>
        <w:rPr>
          <w:rFonts w:hint="eastAsia" w:ascii="宋体" w:hAnsi="宋体"/>
          <w:color w:val="auto"/>
          <w:spacing w:val="-6"/>
          <w:sz w:val="21"/>
          <w:szCs w:val="21"/>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2.采购代理机构在成交供应商确定后2个工作日内在浙江政府采购网（http://www.zjzfcg.gov.cn)</w:t>
      </w:r>
      <w:r>
        <w:rPr>
          <w:rFonts w:hint="eastAsia" w:ascii="宋体" w:hAnsi="宋体"/>
          <w:color w:val="auto"/>
          <w:sz w:val="21"/>
          <w:szCs w:val="21"/>
          <w:highlight w:val="none"/>
        </w:rPr>
        <w:t>等相关网站或媒体</w:t>
      </w:r>
      <w:r>
        <w:rPr>
          <w:rFonts w:hint="eastAsia" w:ascii="宋体" w:hAnsi="宋体"/>
          <w:color w:val="auto"/>
          <w:spacing w:val="-6"/>
          <w:sz w:val="21"/>
          <w:szCs w:val="21"/>
          <w:highlight w:val="none"/>
        </w:rPr>
        <w:t>上公告成交结果，同时向成交供应商发出成交通知书，并将磋商文件随成交结果同时公告。</w:t>
      </w:r>
    </w:p>
    <w:p>
      <w:pPr>
        <w:spacing w:line="288" w:lineRule="auto"/>
        <w:rPr>
          <w:rFonts w:ascii="宋体" w:hAnsi="宋体"/>
          <w:color w:val="auto"/>
          <w:spacing w:val="-6"/>
          <w:sz w:val="24"/>
          <w:highlight w:val="none"/>
        </w:rPr>
      </w:pPr>
      <w:r>
        <w:rPr>
          <w:rFonts w:hint="eastAsia" w:ascii="宋体" w:hAnsi="宋体"/>
          <w:b/>
          <w:bCs/>
          <w:color w:val="auto"/>
          <w:spacing w:val="-6"/>
          <w:sz w:val="24"/>
          <w:highlight w:val="none"/>
        </w:rPr>
        <w:t>（七） 合同授予</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pacing w:line="288" w:lineRule="auto"/>
        <w:ind w:firstLine="425" w:firstLineChars="214"/>
        <w:jc w:val="center"/>
        <w:outlineLvl w:val="0"/>
        <w:rPr>
          <w:rFonts w:ascii="宋体" w:hAnsi="宋体"/>
          <w:b/>
          <w:color w:val="auto"/>
          <w:spacing w:val="-6"/>
          <w:sz w:val="32"/>
          <w:szCs w:val="32"/>
          <w:highlight w:val="none"/>
        </w:rPr>
      </w:pPr>
      <w:r>
        <w:rPr>
          <w:rFonts w:ascii="宋体" w:hAnsi="宋体"/>
          <w:b/>
          <w:bCs/>
          <w:color w:val="auto"/>
          <w:spacing w:val="-6"/>
          <w:sz w:val="21"/>
          <w:szCs w:val="21"/>
          <w:highlight w:val="none"/>
        </w:rPr>
        <w:br w:type="page"/>
      </w:r>
      <w:r>
        <w:rPr>
          <w:rFonts w:hint="eastAsia" w:ascii="宋体" w:hAnsi="宋体"/>
          <w:b/>
          <w:color w:val="auto"/>
          <w:spacing w:val="-6"/>
          <w:sz w:val="32"/>
          <w:szCs w:val="32"/>
          <w:highlight w:val="none"/>
        </w:rPr>
        <w:t>第四章  评审办法及评分标准</w:t>
      </w:r>
    </w:p>
    <w:p>
      <w:pPr>
        <w:spacing w:line="288" w:lineRule="auto"/>
        <w:rPr>
          <w:rFonts w:ascii="宋体" w:hAnsi="宋体"/>
          <w:b/>
          <w:color w:val="auto"/>
          <w:spacing w:val="-6"/>
          <w:sz w:val="24"/>
          <w:highlight w:val="none"/>
        </w:rPr>
      </w:pPr>
      <w:r>
        <w:rPr>
          <w:rFonts w:hint="eastAsia" w:ascii="宋体" w:hAnsi="宋体"/>
          <w:b/>
          <w:color w:val="auto"/>
          <w:spacing w:val="-6"/>
          <w:sz w:val="24"/>
          <w:highlight w:val="none"/>
        </w:rPr>
        <w:t>一、总则</w:t>
      </w:r>
    </w:p>
    <w:p>
      <w:pPr>
        <w:spacing w:line="288" w:lineRule="auto"/>
        <w:ind w:firstLine="396" w:firstLineChars="200"/>
        <w:rPr>
          <w:rFonts w:ascii="宋体" w:hAnsi="宋体"/>
          <w:bCs/>
          <w:color w:val="auto"/>
          <w:spacing w:val="-6"/>
          <w:sz w:val="21"/>
          <w:szCs w:val="21"/>
          <w:highlight w:val="none"/>
        </w:rPr>
      </w:pPr>
      <w:r>
        <w:rPr>
          <w:rFonts w:hint="eastAsia" w:ascii="宋体" w:hAnsi="宋体"/>
          <w:color w:val="auto"/>
          <w:spacing w:val="-6"/>
          <w:sz w:val="21"/>
          <w:szCs w:val="21"/>
          <w:highlight w:val="none"/>
        </w:rPr>
        <w:t>本次评审采用综合评分法，总分为100分。合格供应商的评审得分为各项目汇总得分，磋商小组应当根据综合评分情况，按照评审得分由高到低顺序推荐3名以上成交候选供应商，评审得分相同的，按照最后磋商报价由低到高的顺序推荐。评审得分且最后磋商报价相同的，按照技术指标优劣顺序推荐。</w:t>
      </w:r>
      <w:r>
        <w:rPr>
          <w:rFonts w:hint="eastAsia" w:ascii="宋体" w:hAnsi="宋体"/>
          <w:bCs/>
          <w:color w:val="auto"/>
          <w:spacing w:val="-6"/>
          <w:sz w:val="21"/>
          <w:szCs w:val="21"/>
          <w:highlight w:val="none"/>
        </w:rPr>
        <w:t>评分过程中采用四舍五入法，并保留小数2位。</w:t>
      </w:r>
    </w:p>
    <w:p>
      <w:pPr>
        <w:spacing w:line="288" w:lineRule="auto"/>
        <w:ind w:firstLine="396" w:firstLineChars="200"/>
        <w:rPr>
          <w:rFonts w:ascii="宋体" w:hAnsi="宋体"/>
          <w:bCs/>
          <w:color w:val="auto"/>
          <w:spacing w:val="-6"/>
          <w:sz w:val="21"/>
          <w:szCs w:val="21"/>
          <w:highlight w:val="none"/>
        </w:rPr>
      </w:pPr>
      <w:r>
        <w:rPr>
          <w:rFonts w:hint="eastAsia" w:ascii="宋体" w:hAnsi="宋体"/>
          <w:color w:val="auto"/>
          <w:spacing w:val="-6"/>
          <w:sz w:val="21"/>
          <w:szCs w:val="21"/>
          <w:highlight w:val="none"/>
        </w:rPr>
        <w:t>供应商评审</w:t>
      </w:r>
      <w:r>
        <w:rPr>
          <w:rFonts w:hint="eastAsia" w:ascii="宋体" w:hAnsi="宋体"/>
          <w:bCs/>
          <w:color w:val="auto"/>
          <w:spacing w:val="-6"/>
          <w:sz w:val="21"/>
          <w:szCs w:val="21"/>
          <w:highlight w:val="none"/>
        </w:rPr>
        <w:t>综合得分=商务分+技术分+价格分</w:t>
      </w:r>
    </w:p>
    <w:p>
      <w:pPr>
        <w:spacing w:line="288" w:lineRule="auto"/>
        <w:ind w:firstLine="396" w:firstLineChars="200"/>
        <w:rPr>
          <w:rFonts w:ascii="宋体" w:hAnsi="宋体"/>
          <w:color w:val="auto"/>
          <w:spacing w:val="-6"/>
          <w:sz w:val="21"/>
          <w:szCs w:val="21"/>
          <w:highlight w:val="none"/>
        </w:rPr>
      </w:pPr>
      <w:r>
        <w:rPr>
          <w:rFonts w:hint="eastAsia" w:ascii="宋体" w:hAnsi="宋体"/>
          <w:bCs/>
          <w:color w:val="auto"/>
          <w:spacing w:val="-6"/>
          <w:sz w:val="21"/>
          <w:szCs w:val="21"/>
          <w:highlight w:val="none"/>
        </w:rPr>
        <w:t>商务分、技术分按照磋商小组成员的独立评分结果的算术平均分计算，计算公式为：商务分、技术分=（磋商小组所有成员评分合计数）</w:t>
      </w:r>
      <w:r>
        <w:rPr>
          <w:rFonts w:ascii="宋体" w:hAnsi="宋体"/>
          <w:bCs/>
          <w:color w:val="auto"/>
          <w:spacing w:val="-6"/>
          <w:sz w:val="21"/>
          <w:szCs w:val="21"/>
          <w:highlight w:val="none"/>
        </w:rPr>
        <w:t>/（</w:t>
      </w:r>
      <w:r>
        <w:rPr>
          <w:rFonts w:hint="eastAsia" w:ascii="宋体" w:hAnsi="宋体"/>
          <w:bCs/>
          <w:color w:val="auto"/>
          <w:spacing w:val="-6"/>
          <w:sz w:val="21"/>
          <w:szCs w:val="21"/>
          <w:highlight w:val="none"/>
        </w:rPr>
        <w:t>磋商小组组成人员数）</w:t>
      </w:r>
    </w:p>
    <w:p>
      <w:pPr>
        <w:spacing w:line="288" w:lineRule="auto"/>
        <w:rPr>
          <w:rFonts w:ascii="宋体" w:hAnsi="宋体"/>
          <w:b/>
          <w:color w:val="auto"/>
          <w:spacing w:val="-6"/>
          <w:sz w:val="24"/>
          <w:highlight w:val="none"/>
        </w:rPr>
      </w:pPr>
      <w:r>
        <w:rPr>
          <w:rFonts w:hint="eastAsia" w:ascii="宋体" w:hAnsi="宋体"/>
          <w:b/>
          <w:color w:val="auto"/>
          <w:spacing w:val="-6"/>
          <w:sz w:val="24"/>
          <w:highlight w:val="none"/>
        </w:rPr>
        <w:t>二、评审内容及标准</w:t>
      </w:r>
    </w:p>
    <w:tbl>
      <w:tblPr>
        <w:tblStyle w:val="21"/>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70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89" w:type="dxa"/>
            <w:vAlign w:val="center"/>
          </w:tcPr>
          <w:p>
            <w:pPr>
              <w:adjustRightInd w:val="0"/>
              <w:snapToGrid w:val="0"/>
              <w:jc w:val="center"/>
              <w:rPr>
                <w:rFonts w:ascii="宋体" w:hAnsi="宋体"/>
                <w:b/>
                <w:color w:val="auto"/>
                <w:kern w:val="0"/>
                <w:sz w:val="21"/>
                <w:szCs w:val="21"/>
                <w:highlight w:val="none"/>
              </w:rPr>
            </w:pPr>
            <w:r>
              <w:rPr>
                <w:rFonts w:hint="eastAsia" w:ascii="宋体" w:hAnsi="宋体"/>
                <w:b/>
                <w:color w:val="auto"/>
                <w:kern w:val="0"/>
                <w:sz w:val="21"/>
                <w:szCs w:val="21"/>
                <w:highlight w:val="none"/>
              </w:rPr>
              <w:t>评审因素</w:t>
            </w:r>
          </w:p>
        </w:tc>
        <w:tc>
          <w:tcPr>
            <w:tcW w:w="709" w:type="dxa"/>
            <w:vAlign w:val="center"/>
          </w:tcPr>
          <w:p>
            <w:pPr>
              <w:adjustRightInd w:val="0"/>
              <w:snapToGrid w:val="0"/>
              <w:jc w:val="center"/>
              <w:rPr>
                <w:rFonts w:ascii="宋体" w:hAnsi="宋体"/>
                <w:b/>
                <w:color w:val="auto"/>
                <w:kern w:val="0"/>
                <w:sz w:val="21"/>
                <w:szCs w:val="21"/>
                <w:highlight w:val="none"/>
              </w:rPr>
            </w:pPr>
            <w:r>
              <w:rPr>
                <w:rFonts w:hint="eastAsia" w:ascii="宋体" w:hAnsi="宋体"/>
                <w:b/>
                <w:color w:val="auto"/>
                <w:kern w:val="0"/>
                <w:sz w:val="21"/>
                <w:szCs w:val="21"/>
                <w:highlight w:val="none"/>
              </w:rPr>
              <w:t>分值</w:t>
            </w:r>
          </w:p>
        </w:tc>
        <w:tc>
          <w:tcPr>
            <w:tcW w:w="6804" w:type="dxa"/>
            <w:vAlign w:val="center"/>
          </w:tcPr>
          <w:p>
            <w:pPr>
              <w:pStyle w:val="62"/>
              <w:adjustRightInd w:val="0"/>
              <w:snapToGrid w:val="0"/>
              <w:spacing w:line="240" w:lineRule="auto"/>
              <w:ind w:firstLine="398"/>
              <w:rPr>
                <w:rFonts w:hint="default" w:ascii="宋体" w:hAnsi="宋体" w:eastAsia="宋体"/>
                <w:b/>
                <w:color w:val="auto"/>
                <w:spacing w:val="0"/>
                <w:sz w:val="21"/>
                <w:szCs w:val="21"/>
                <w:highlight w:val="none"/>
              </w:rPr>
            </w:pPr>
            <w:r>
              <w:rPr>
                <w:rFonts w:ascii="宋体" w:hAnsi="宋体" w:eastAsia="宋体"/>
                <w:b/>
                <w:color w:val="auto"/>
                <w:spacing w:val="0"/>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2" w:type="dxa"/>
            <w:gridSpan w:val="3"/>
            <w:vAlign w:val="center"/>
          </w:tcPr>
          <w:p>
            <w:pPr>
              <w:pStyle w:val="62"/>
              <w:adjustRightInd w:val="0"/>
              <w:snapToGrid w:val="0"/>
              <w:spacing w:line="240" w:lineRule="auto"/>
              <w:ind w:hanging="4"/>
              <w:jc w:val="left"/>
              <w:rPr>
                <w:rFonts w:hint="default" w:ascii="宋体" w:hAnsi="宋体" w:eastAsia="宋体"/>
                <w:color w:val="auto"/>
                <w:spacing w:val="0"/>
                <w:sz w:val="21"/>
                <w:szCs w:val="21"/>
                <w:highlight w:val="none"/>
              </w:rPr>
            </w:pPr>
            <w:r>
              <w:rPr>
                <w:rFonts w:ascii="宋体" w:hAnsi="宋体" w:eastAsia="宋体"/>
                <w:b/>
                <w:bCs/>
                <w:color w:val="auto"/>
                <w:spacing w:val="0"/>
                <w:sz w:val="21"/>
                <w:szCs w:val="21"/>
                <w:highlight w:val="none"/>
              </w:rPr>
              <w:t>价格分（</w:t>
            </w:r>
            <w:r>
              <w:rPr>
                <w:rFonts w:hint="eastAsia" w:ascii="宋体" w:hAnsi="宋体" w:eastAsia="宋体"/>
                <w:b/>
                <w:bCs/>
                <w:color w:val="auto"/>
                <w:spacing w:val="0"/>
                <w:sz w:val="21"/>
                <w:szCs w:val="21"/>
                <w:highlight w:val="none"/>
                <w:lang w:val="en-US" w:eastAsia="zh-CN"/>
              </w:rPr>
              <w:t>2</w:t>
            </w:r>
            <w:r>
              <w:rPr>
                <w:rFonts w:ascii="宋体" w:hAnsi="宋体" w:eastAsia="宋体"/>
                <w:b/>
                <w:bCs/>
                <w:color w:val="auto"/>
                <w:spacing w:val="0"/>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 w:val="21"/>
                <w:szCs w:val="21"/>
                <w:highlight w:val="none"/>
              </w:rPr>
            </w:pPr>
            <w:r>
              <w:rPr>
                <w:rFonts w:hint="eastAsia" w:ascii="宋体" w:hAnsi="宋体"/>
                <w:color w:val="auto"/>
                <w:kern w:val="0"/>
                <w:sz w:val="21"/>
                <w:szCs w:val="21"/>
                <w:highlight w:val="none"/>
              </w:rPr>
              <w:t>最后磋商报价</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 w:val="21"/>
                <w:szCs w:val="21"/>
                <w:highlight w:val="none"/>
              </w:rPr>
            </w:pPr>
            <w:r>
              <w:rPr>
                <w:rFonts w:hint="eastAsia" w:ascii="宋体" w:hAnsi="宋体"/>
                <w:color w:val="auto"/>
                <w:kern w:val="0"/>
                <w:sz w:val="21"/>
                <w:szCs w:val="21"/>
                <w:highlight w:val="none"/>
              </w:rPr>
              <w:t>20</w:t>
            </w:r>
          </w:p>
        </w:tc>
        <w:tc>
          <w:tcPr>
            <w:tcW w:w="680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auto"/>
                <w:kern w:val="0"/>
                <w:sz w:val="21"/>
                <w:szCs w:val="21"/>
                <w:highlight w:val="none"/>
              </w:rPr>
            </w:pPr>
            <w:r>
              <w:rPr>
                <w:rFonts w:hint="eastAsia" w:ascii="宋体" w:hAnsi="宋体"/>
                <w:color w:val="auto"/>
                <w:kern w:val="0"/>
                <w:sz w:val="21"/>
                <w:szCs w:val="21"/>
                <w:highlight w:val="none"/>
              </w:rPr>
              <w:t>价格分采用低价优先法计算，即满足磋商文件要求且最后磋商报价最低的供应商的价格为磋商基准价，其价格分为满分。其他供应商的价格分统一按照下列公式计算：</w:t>
            </w:r>
          </w:p>
          <w:p>
            <w:pPr>
              <w:adjustRightInd w:val="0"/>
              <w:snapToGrid w:val="0"/>
              <w:rPr>
                <w:rFonts w:ascii="宋体" w:hAnsi="宋体"/>
                <w:color w:val="auto"/>
                <w:kern w:val="0"/>
                <w:sz w:val="21"/>
                <w:szCs w:val="21"/>
                <w:highlight w:val="none"/>
              </w:rPr>
            </w:pPr>
            <w:r>
              <w:rPr>
                <w:rFonts w:hint="eastAsia" w:ascii="宋体" w:hAnsi="宋体"/>
                <w:color w:val="auto"/>
                <w:kern w:val="0"/>
                <w:sz w:val="21"/>
                <w:szCs w:val="21"/>
                <w:highlight w:val="none"/>
              </w:rPr>
              <w:t>磋商报价得分=（磋商基准价/最后磋商报价）×</w:t>
            </w:r>
            <w:r>
              <w:rPr>
                <w:rFonts w:hint="eastAsia" w:ascii="宋体" w:hAnsi="宋体"/>
                <w:color w:val="auto"/>
                <w:kern w:val="0"/>
                <w:sz w:val="21"/>
                <w:szCs w:val="21"/>
                <w:highlight w:val="none"/>
                <w:lang w:val="en-US" w:eastAsia="zh-CN"/>
              </w:rPr>
              <w:t>2</w:t>
            </w:r>
            <w:r>
              <w:rPr>
                <w:rFonts w:hint="eastAsia" w:ascii="宋体" w:hAnsi="宋体"/>
                <w:color w:val="auto"/>
                <w:kern w:val="0"/>
                <w:sz w:val="21"/>
                <w:szCs w:val="21"/>
                <w:highlight w:val="none"/>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2" w:type="dxa"/>
            <w:gridSpan w:val="3"/>
            <w:vAlign w:val="center"/>
          </w:tcPr>
          <w:p>
            <w:pPr>
              <w:pStyle w:val="62"/>
              <w:adjustRightInd w:val="0"/>
              <w:snapToGrid w:val="0"/>
              <w:spacing w:line="240" w:lineRule="auto"/>
              <w:ind w:hanging="4"/>
              <w:jc w:val="left"/>
              <w:rPr>
                <w:rFonts w:hint="default" w:ascii="宋体" w:hAnsi="宋体" w:eastAsia="宋体"/>
                <w:b/>
                <w:color w:val="auto"/>
                <w:spacing w:val="0"/>
                <w:sz w:val="21"/>
                <w:szCs w:val="21"/>
                <w:highlight w:val="none"/>
              </w:rPr>
            </w:pPr>
            <w:r>
              <w:rPr>
                <w:rFonts w:ascii="宋体" w:hAnsi="宋体" w:eastAsia="宋体"/>
                <w:b/>
                <w:color w:val="auto"/>
                <w:spacing w:val="0"/>
                <w:sz w:val="21"/>
                <w:szCs w:val="21"/>
                <w:highlight w:val="none"/>
              </w:rPr>
              <w:t>商务分</w:t>
            </w:r>
            <w:r>
              <w:rPr>
                <w:rFonts w:ascii="宋体" w:hAnsi="宋体" w:eastAsia="宋体"/>
                <w:b/>
                <w:bCs/>
                <w:color w:val="auto"/>
                <w:spacing w:val="0"/>
                <w:sz w:val="21"/>
                <w:szCs w:val="21"/>
                <w:highlight w:val="none"/>
              </w:rPr>
              <w:t>（</w:t>
            </w:r>
            <w:r>
              <w:rPr>
                <w:rFonts w:hint="eastAsia" w:ascii="宋体" w:hAnsi="宋体" w:eastAsia="宋体"/>
                <w:b/>
                <w:bCs/>
                <w:color w:val="auto"/>
                <w:spacing w:val="0"/>
                <w:sz w:val="21"/>
                <w:szCs w:val="21"/>
                <w:highlight w:val="none"/>
                <w:lang w:val="en-US" w:eastAsia="zh-CN"/>
              </w:rPr>
              <w:t>24</w:t>
            </w:r>
            <w:r>
              <w:rPr>
                <w:rFonts w:ascii="宋体" w:hAnsi="宋体" w:eastAsia="宋体"/>
                <w:b/>
                <w:bCs/>
                <w:color w:val="auto"/>
                <w:spacing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89" w:type="dxa"/>
            <w:vAlign w:val="center"/>
          </w:tcPr>
          <w:p>
            <w:pPr>
              <w:adjustRightInd w:val="0"/>
              <w:snapToGrid w:val="0"/>
              <w:jc w:val="center"/>
              <w:rPr>
                <w:rFonts w:ascii="宋体" w:hAnsi="宋体"/>
                <w:color w:val="auto"/>
                <w:kern w:val="0"/>
                <w:sz w:val="21"/>
                <w:highlight w:val="none"/>
              </w:rPr>
            </w:pPr>
            <w:r>
              <w:rPr>
                <w:rFonts w:hint="eastAsia" w:ascii="宋体" w:hAnsi="宋体"/>
                <w:color w:val="auto"/>
                <w:kern w:val="0"/>
                <w:sz w:val="21"/>
                <w:highlight w:val="none"/>
              </w:rPr>
              <w:t>资质</w:t>
            </w:r>
          </w:p>
        </w:tc>
        <w:tc>
          <w:tcPr>
            <w:tcW w:w="709" w:type="dxa"/>
            <w:vAlign w:val="center"/>
          </w:tcPr>
          <w:p>
            <w:pPr>
              <w:adjustRightInd w:val="0"/>
              <w:snapToGrid w:val="0"/>
              <w:jc w:val="center"/>
              <w:rPr>
                <w:rFonts w:hint="eastAsia" w:ascii="宋体" w:hAnsi="宋体" w:eastAsia="宋体"/>
                <w:color w:val="auto"/>
                <w:kern w:val="0"/>
                <w:sz w:val="21"/>
                <w:highlight w:val="none"/>
                <w:lang w:eastAsia="zh-CN"/>
              </w:rPr>
            </w:pPr>
            <w:r>
              <w:rPr>
                <w:rFonts w:hint="eastAsia" w:ascii="宋体" w:hAnsi="宋体"/>
                <w:color w:val="auto"/>
                <w:kern w:val="0"/>
                <w:sz w:val="21"/>
                <w:highlight w:val="none"/>
              </w:rPr>
              <w:t>1</w:t>
            </w:r>
            <w:r>
              <w:rPr>
                <w:rFonts w:hint="eastAsia" w:ascii="宋体" w:hAnsi="宋体"/>
                <w:color w:val="auto"/>
                <w:kern w:val="0"/>
                <w:sz w:val="21"/>
                <w:highlight w:val="none"/>
                <w:lang w:val="en-US" w:eastAsia="zh-CN"/>
              </w:rPr>
              <w:t>1</w:t>
            </w:r>
          </w:p>
        </w:tc>
        <w:tc>
          <w:tcPr>
            <w:tcW w:w="6804" w:type="dxa"/>
            <w:vAlign w:val="center"/>
          </w:tcPr>
          <w:p>
            <w:pPr>
              <w:adjustRightInd w:val="0"/>
              <w:snapToGrid w:val="0"/>
              <w:rPr>
                <w:rFonts w:ascii="宋体" w:hAnsi="宋体"/>
                <w:color w:val="auto"/>
                <w:kern w:val="0"/>
                <w:sz w:val="21"/>
                <w:highlight w:val="none"/>
              </w:rPr>
            </w:pPr>
            <w:r>
              <w:rPr>
                <w:rFonts w:hint="eastAsia" w:ascii="宋体" w:hAnsi="宋体"/>
                <w:color w:val="auto"/>
                <w:kern w:val="0"/>
                <w:sz w:val="21"/>
                <w:highlight w:val="none"/>
              </w:rPr>
              <w:t>产品制造商具有ISO9001质量管理体系认证证书、ISO20000信息技术服务管理体系认证证书、ISO27001信息安全管理体系认证证书的，每提供一份得</w:t>
            </w:r>
            <w:r>
              <w:rPr>
                <w:rFonts w:hint="eastAsia" w:ascii="宋体" w:hAnsi="宋体"/>
                <w:color w:val="auto"/>
                <w:kern w:val="0"/>
                <w:sz w:val="21"/>
                <w:highlight w:val="none"/>
                <w:lang w:val="en-US" w:eastAsia="zh-CN"/>
              </w:rPr>
              <w:t>2</w:t>
            </w:r>
            <w:r>
              <w:rPr>
                <w:rFonts w:hint="eastAsia" w:ascii="宋体" w:hAnsi="宋体"/>
                <w:color w:val="auto"/>
                <w:kern w:val="0"/>
                <w:sz w:val="21"/>
                <w:highlight w:val="none"/>
              </w:rPr>
              <w:t>分，最多得</w:t>
            </w:r>
            <w:r>
              <w:rPr>
                <w:rFonts w:hint="eastAsia" w:ascii="宋体" w:hAnsi="宋体"/>
                <w:color w:val="auto"/>
                <w:kern w:val="0"/>
                <w:sz w:val="21"/>
                <w:highlight w:val="none"/>
                <w:lang w:val="en-US" w:eastAsia="zh-CN"/>
              </w:rPr>
              <w:t>6</w:t>
            </w:r>
            <w:r>
              <w:rPr>
                <w:rFonts w:hint="eastAsia" w:ascii="宋体" w:hAnsi="宋体"/>
                <w:color w:val="auto"/>
                <w:kern w:val="0"/>
                <w:sz w:val="21"/>
                <w:highlight w:val="none"/>
              </w:rPr>
              <w:t>分；</w:t>
            </w:r>
          </w:p>
          <w:p>
            <w:pPr>
              <w:adjustRightInd w:val="0"/>
              <w:snapToGrid w:val="0"/>
              <w:rPr>
                <w:rFonts w:ascii="宋体" w:hAnsi="宋体"/>
                <w:color w:val="auto"/>
                <w:kern w:val="0"/>
                <w:sz w:val="21"/>
                <w:highlight w:val="none"/>
              </w:rPr>
            </w:pPr>
            <w:r>
              <w:rPr>
                <w:rFonts w:hint="eastAsia" w:ascii="宋体" w:hAnsi="宋体"/>
                <w:color w:val="auto"/>
                <w:kern w:val="0"/>
                <w:sz w:val="21"/>
                <w:highlight w:val="none"/>
              </w:rPr>
              <w:t>产品制造商具备守合同重信用AAA级证书得2分；</w:t>
            </w:r>
          </w:p>
          <w:p>
            <w:pPr>
              <w:adjustRightInd w:val="0"/>
              <w:snapToGrid w:val="0"/>
              <w:rPr>
                <w:rFonts w:ascii="宋体" w:hAnsi="宋体"/>
                <w:color w:val="auto"/>
                <w:kern w:val="0"/>
                <w:sz w:val="21"/>
                <w:highlight w:val="none"/>
              </w:rPr>
            </w:pPr>
            <w:r>
              <w:rPr>
                <w:rFonts w:hint="eastAsia" w:ascii="宋体" w:hAnsi="宋体"/>
                <w:color w:val="auto"/>
                <w:kern w:val="0"/>
                <w:sz w:val="21"/>
                <w:highlight w:val="none"/>
              </w:rPr>
              <w:t>产品制造商具有在线迁移证书的得3分；</w:t>
            </w:r>
          </w:p>
          <w:p>
            <w:pPr>
              <w:adjustRightInd w:val="0"/>
              <w:snapToGrid w:val="0"/>
              <w:rPr>
                <w:rFonts w:ascii="宋体" w:hAnsi="宋体"/>
                <w:color w:val="auto"/>
                <w:kern w:val="0"/>
                <w:sz w:val="21"/>
                <w:highlight w:val="none"/>
              </w:rPr>
            </w:pPr>
            <w:r>
              <w:rPr>
                <w:rFonts w:hint="eastAsia" w:ascii="宋体" w:hAnsi="宋体"/>
                <w:color w:val="auto"/>
                <w:kern w:val="0"/>
                <w:sz w:val="21"/>
                <w:highlight w:val="none"/>
              </w:rPr>
              <w:t>（响应文件中提供上述有效证书复印件）。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89" w:type="dxa"/>
            <w:vAlign w:val="center"/>
          </w:tcPr>
          <w:p>
            <w:pPr>
              <w:adjustRightInd w:val="0"/>
              <w:snapToGrid w:val="0"/>
              <w:jc w:val="center"/>
              <w:rPr>
                <w:rFonts w:ascii="宋体" w:hAnsi="宋体"/>
                <w:color w:val="auto"/>
                <w:kern w:val="0"/>
                <w:sz w:val="21"/>
                <w:highlight w:val="none"/>
              </w:rPr>
            </w:pPr>
            <w:r>
              <w:rPr>
                <w:rFonts w:hint="eastAsia" w:ascii="宋体" w:hAnsi="宋体"/>
                <w:color w:val="auto"/>
                <w:kern w:val="0"/>
                <w:sz w:val="21"/>
                <w:highlight w:val="none"/>
              </w:rPr>
              <w:t>质保期</w:t>
            </w:r>
          </w:p>
        </w:tc>
        <w:tc>
          <w:tcPr>
            <w:tcW w:w="709" w:type="dxa"/>
            <w:vAlign w:val="center"/>
          </w:tcPr>
          <w:p>
            <w:pPr>
              <w:adjustRightInd w:val="0"/>
              <w:snapToGrid w:val="0"/>
              <w:jc w:val="center"/>
              <w:rPr>
                <w:rFonts w:hint="eastAsia" w:ascii="宋体" w:hAnsi="宋体" w:eastAsia="宋体"/>
                <w:color w:val="auto"/>
                <w:kern w:val="0"/>
                <w:sz w:val="21"/>
                <w:highlight w:val="none"/>
                <w:lang w:eastAsia="zh-CN"/>
              </w:rPr>
            </w:pPr>
            <w:r>
              <w:rPr>
                <w:rFonts w:hint="eastAsia" w:ascii="宋体" w:hAnsi="宋体"/>
                <w:color w:val="auto"/>
                <w:kern w:val="0"/>
                <w:sz w:val="21"/>
                <w:highlight w:val="none"/>
                <w:lang w:val="en-US" w:eastAsia="zh-CN"/>
              </w:rPr>
              <w:t>5</w:t>
            </w:r>
          </w:p>
        </w:tc>
        <w:tc>
          <w:tcPr>
            <w:tcW w:w="6804" w:type="dxa"/>
            <w:vAlign w:val="center"/>
          </w:tcPr>
          <w:p>
            <w:pPr>
              <w:adjustRightInd w:val="0"/>
              <w:snapToGrid w:val="0"/>
              <w:rPr>
                <w:rFonts w:ascii="宋体" w:hAnsi="宋体"/>
                <w:color w:val="auto"/>
                <w:kern w:val="0"/>
                <w:sz w:val="21"/>
                <w:highlight w:val="none"/>
              </w:rPr>
            </w:pPr>
            <w:r>
              <w:rPr>
                <w:rFonts w:hint="eastAsia" w:ascii="宋体" w:hAnsi="宋体"/>
                <w:color w:val="auto"/>
                <w:kern w:val="0"/>
                <w:sz w:val="21"/>
                <w:highlight w:val="none"/>
              </w:rPr>
              <w:t>质保期满足磋商文件要求的得1分，每延长一年加</w:t>
            </w:r>
            <w:r>
              <w:rPr>
                <w:rFonts w:hint="eastAsia" w:ascii="宋体" w:hAnsi="宋体"/>
                <w:color w:val="auto"/>
                <w:kern w:val="0"/>
                <w:sz w:val="21"/>
                <w:highlight w:val="none"/>
                <w:lang w:val="en-US" w:eastAsia="zh-CN"/>
              </w:rPr>
              <w:t>2</w:t>
            </w:r>
            <w:r>
              <w:rPr>
                <w:rFonts w:hint="eastAsia" w:ascii="宋体" w:hAnsi="宋体"/>
                <w:color w:val="auto"/>
                <w:kern w:val="0"/>
                <w:sz w:val="21"/>
                <w:highlight w:val="none"/>
              </w:rPr>
              <w:t>分，最多加</w:t>
            </w:r>
            <w:r>
              <w:rPr>
                <w:rFonts w:hint="eastAsia" w:ascii="宋体" w:hAnsi="宋体"/>
                <w:color w:val="auto"/>
                <w:kern w:val="0"/>
                <w:sz w:val="21"/>
                <w:highlight w:val="none"/>
                <w:lang w:val="en-US" w:eastAsia="zh-CN"/>
              </w:rPr>
              <w:t>4</w:t>
            </w:r>
            <w:r>
              <w:rPr>
                <w:rFonts w:hint="eastAsia" w:ascii="宋体" w:hAnsi="宋体"/>
                <w:color w:val="auto"/>
                <w:kern w:val="0"/>
                <w:sz w:val="21"/>
                <w:highlight w:val="none"/>
              </w:rPr>
              <w:t>分，延长时间不足一年的不计入加分。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89" w:type="dxa"/>
            <w:vAlign w:val="center"/>
          </w:tcPr>
          <w:p>
            <w:pPr>
              <w:adjustRightInd w:val="0"/>
              <w:snapToGrid w:val="0"/>
              <w:jc w:val="center"/>
              <w:rPr>
                <w:rFonts w:ascii="宋体" w:hAnsi="宋体"/>
                <w:color w:val="auto"/>
                <w:kern w:val="0"/>
                <w:sz w:val="21"/>
                <w:highlight w:val="none"/>
              </w:rPr>
            </w:pPr>
            <w:r>
              <w:rPr>
                <w:rFonts w:hint="eastAsia" w:ascii="宋体" w:hAnsi="宋体"/>
                <w:color w:val="auto"/>
                <w:kern w:val="0"/>
                <w:sz w:val="21"/>
                <w:highlight w:val="none"/>
              </w:rPr>
              <w:t>业绩</w:t>
            </w:r>
          </w:p>
        </w:tc>
        <w:tc>
          <w:tcPr>
            <w:tcW w:w="709" w:type="dxa"/>
            <w:vAlign w:val="center"/>
          </w:tcPr>
          <w:p>
            <w:pPr>
              <w:adjustRightInd w:val="0"/>
              <w:snapToGrid w:val="0"/>
              <w:jc w:val="center"/>
              <w:rPr>
                <w:rFonts w:ascii="宋体" w:hAnsi="宋体"/>
                <w:color w:val="auto"/>
                <w:kern w:val="0"/>
                <w:sz w:val="21"/>
                <w:highlight w:val="none"/>
              </w:rPr>
            </w:pPr>
            <w:r>
              <w:rPr>
                <w:rFonts w:hint="eastAsia" w:ascii="宋体" w:hAnsi="宋体"/>
                <w:color w:val="auto"/>
                <w:kern w:val="0"/>
                <w:sz w:val="21"/>
                <w:highlight w:val="none"/>
              </w:rPr>
              <w:t>8</w:t>
            </w:r>
          </w:p>
        </w:tc>
        <w:tc>
          <w:tcPr>
            <w:tcW w:w="6804" w:type="dxa"/>
            <w:vAlign w:val="center"/>
          </w:tcPr>
          <w:p>
            <w:pPr>
              <w:adjustRightInd w:val="0"/>
              <w:snapToGrid w:val="0"/>
              <w:rPr>
                <w:rFonts w:ascii="宋体" w:hAnsi="宋体"/>
                <w:color w:val="auto"/>
                <w:kern w:val="0"/>
                <w:sz w:val="21"/>
                <w:highlight w:val="none"/>
              </w:rPr>
            </w:pPr>
            <w:r>
              <w:rPr>
                <w:rFonts w:hint="eastAsia" w:ascii="宋体" w:hAnsi="宋体"/>
                <w:color w:val="auto"/>
                <w:kern w:val="0"/>
                <w:sz w:val="21"/>
                <w:highlight w:val="none"/>
                <w:lang w:eastAsia="zh-CN"/>
              </w:rPr>
              <w:t>产品</w:t>
            </w:r>
            <w:r>
              <w:rPr>
                <w:rFonts w:hint="eastAsia" w:ascii="宋体" w:hAnsi="宋体"/>
                <w:color w:val="auto"/>
                <w:kern w:val="0"/>
                <w:sz w:val="21"/>
                <w:highlight w:val="none"/>
              </w:rPr>
              <w:t>制造商自2016年1月1日以来（以合同签订时间为准）同类项目业绩：每提供1份得2分，最高得8分（响应文件中同时提供合同复印件及验收报告）。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2" w:type="dxa"/>
            <w:gridSpan w:val="3"/>
            <w:vAlign w:val="center"/>
          </w:tcPr>
          <w:p>
            <w:pPr>
              <w:pStyle w:val="10"/>
              <w:adjustRightInd w:val="0"/>
              <w:snapToGrid w:val="0"/>
              <w:spacing w:line="240" w:lineRule="auto"/>
              <w:ind w:firstLine="0"/>
              <w:jc w:val="left"/>
              <w:rPr>
                <w:rFonts w:hAnsi="宋体"/>
                <w:color w:val="auto"/>
                <w:spacing w:val="0"/>
                <w:kern w:val="0"/>
                <w:sz w:val="21"/>
                <w:szCs w:val="21"/>
                <w:highlight w:val="none"/>
              </w:rPr>
            </w:pPr>
            <w:r>
              <w:rPr>
                <w:rFonts w:hint="eastAsia" w:hAnsi="宋体"/>
                <w:b/>
                <w:color w:val="auto"/>
                <w:spacing w:val="0"/>
                <w:kern w:val="0"/>
                <w:sz w:val="21"/>
                <w:szCs w:val="21"/>
                <w:highlight w:val="none"/>
              </w:rPr>
              <w:t>技术</w:t>
            </w:r>
            <w:r>
              <w:rPr>
                <w:rFonts w:hAnsi="宋体"/>
                <w:b/>
                <w:color w:val="auto"/>
                <w:spacing w:val="0"/>
                <w:kern w:val="0"/>
                <w:sz w:val="21"/>
                <w:szCs w:val="21"/>
                <w:highlight w:val="none"/>
              </w:rPr>
              <w:t>分</w:t>
            </w:r>
            <w:r>
              <w:rPr>
                <w:rFonts w:hAnsi="宋体"/>
                <w:b/>
                <w:bCs/>
                <w:color w:val="auto"/>
                <w:spacing w:val="0"/>
                <w:kern w:val="0"/>
                <w:sz w:val="21"/>
                <w:szCs w:val="21"/>
                <w:highlight w:val="none"/>
              </w:rPr>
              <w:t>（</w:t>
            </w:r>
            <w:r>
              <w:rPr>
                <w:rFonts w:hint="eastAsia" w:hAnsi="宋体"/>
                <w:b/>
                <w:bCs/>
                <w:color w:val="auto"/>
                <w:spacing w:val="0"/>
                <w:kern w:val="0"/>
                <w:sz w:val="21"/>
                <w:szCs w:val="21"/>
                <w:highlight w:val="none"/>
              </w:rPr>
              <w:t>5</w:t>
            </w:r>
            <w:r>
              <w:rPr>
                <w:rFonts w:hint="eastAsia" w:hAnsi="宋体"/>
                <w:b/>
                <w:bCs/>
                <w:color w:val="auto"/>
                <w:spacing w:val="0"/>
                <w:kern w:val="0"/>
                <w:sz w:val="21"/>
                <w:szCs w:val="21"/>
                <w:highlight w:val="none"/>
                <w:lang w:val="en-US" w:eastAsia="zh-CN"/>
              </w:rPr>
              <w:t>6</w:t>
            </w:r>
            <w:r>
              <w:rPr>
                <w:rFonts w:hAnsi="宋体"/>
                <w:b/>
                <w:bCs/>
                <w:color w:val="auto"/>
                <w:spacing w:val="0"/>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89" w:type="dxa"/>
            <w:vAlign w:val="center"/>
          </w:tcPr>
          <w:p>
            <w:pPr>
              <w:adjustRightInd w:val="0"/>
              <w:snapToGrid w:val="0"/>
              <w:jc w:val="center"/>
              <w:rPr>
                <w:rFonts w:ascii="宋体" w:hAnsi="宋体"/>
                <w:color w:val="auto"/>
                <w:kern w:val="0"/>
                <w:sz w:val="21"/>
                <w:highlight w:val="none"/>
              </w:rPr>
            </w:pPr>
            <w:r>
              <w:rPr>
                <w:rFonts w:hint="eastAsia" w:ascii="宋体" w:hAnsi="宋体"/>
                <w:color w:val="auto"/>
                <w:kern w:val="0"/>
                <w:sz w:val="21"/>
                <w:szCs w:val="21"/>
                <w:highlight w:val="none"/>
              </w:rPr>
              <w:t>产品</w:t>
            </w:r>
            <w:r>
              <w:rPr>
                <w:rFonts w:ascii="宋体" w:hAnsi="宋体"/>
                <w:color w:val="auto"/>
                <w:kern w:val="0"/>
                <w:sz w:val="21"/>
                <w:szCs w:val="21"/>
                <w:highlight w:val="none"/>
              </w:rPr>
              <w:t>响应程度</w:t>
            </w:r>
          </w:p>
        </w:tc>
        <w:tc>
          <w:tcPr>
            <w:tcW w:w="709" w:type="dxa"/>
            <w:vAlign w:val="center"/>
          </w:tcPr>
          <w:p>
            <w:pPr>
              <w:adjustRightInd w:val="0"/>
              <w:snapToGrid w:val="0"/>
              <w:jc w:val="center"/>
              <w:rPr>
                <w:rFonts w:hint="default" w:ascii="宋体" w:hAnsi="宋体" w:eastAsia="宋体"/>
                <w:color w:val="auto"/>
                <w:kern w:val="0"/>
                <w:sz w:val="21"/>
                <w:highlight w:val="none"/>
                <w:lang w:val="en-US" w:eastAsia="zh-CN"/>
              </w:rPr>
            </w:pPr>
            <w:r>
              <w:rPr>
                <w:rFonts w:hint="eastAsia" w:ascii="宋体" w:hAnsi="宋体"/>
                <w:color w:val="auto"/>
                <w:kern w:val="0"/>
                <w:sz w:val="21"/>
                <w:highlight w:val="none"/>
                <w:lang w:val="en-US" w:eastAsia="zh-CN"/>
              </w:rPr>
              <w:t>24</w:t>
            </w:r>
          </w:p>
        </w:tc>
        <w:tc>
          <w:tcPr>
            <w:tcW w:w="6804" w:type="dxa"/>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不符合（负偏离）技术要求中标注“▲”条款（不可偏离）的响应无效；</w:t>
            </w:r>
          </w:p>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响应产品全部满足采购文件明确的技术条款要求，该项得满分；</w:t>
            </w:r>
          </w:p>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允许偏离的技术条款低于技术要求（负偏离）的，每条扣2分；</w:t>
            </w:r>
          </w:p>
          <w:p>
            <w:pPr>
              <w:adjustRightInd w:val="0"/>
              <w:snapToGrid w:val="0"/>
              <w:rPr>
                <w:rFonts w:ascii="宋体" w:hAnsi="宋体"/>
                <w:color w:val="auto"/>
                <w:kern w:val="0"/>
                <w:sz w:val="21"/>
                <w:szCs w:val="21"/>
                <w:highlight w:val="none"/>
              </w:rPr>
            </w:pPr>
            <w:r>
              <w:rPr>
                <w:rFonts w:hint="eastAsia" w:ascii="宋体" w:hAnsi="宋体" w:cs="宋体"/>
                <w:color w:val="auto"/>
                <w:kern w:val="0"/>
                <w:sz w:val="21"/>
                <w:szCs w:val="21"/>
                <w:highlight w:val="none"/>
              </w:rPr>
              <w:t>允许偏离的技术条款低于技术要求（负偏离）达到10条及以上的响应文件无效。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89" w:type="dxa"/>
            <w:vAlign w:val="center"/>
          </w:tcPr>
          <w:p>
            <w:pPr>
              <w:adjustRightInd w:val="0"/>
              <w:snapToGrid w:val="0"/>
              <w:jc w:val="center"/>
              <w:rPr>
                <w:rFonts w:ascii="宋体" w:hAnsi="宋体"/>
                <w:color w:val="auto"/>
                <w:kern w:val="0"/>
                <w:sz w:val="21"/>
                <w:szCs w:val="21"/>
                <w:highlight w:val="none"/>
              </w:rPr>
            </w:pPr>
            <w:r>
              <w:rPr>
                <w:rFonts w:hint="eastAsia" w:ascii="宋体" w:hAnsi="宋体"/>
                <w:color w:val="auto"/>
                <w:kern w:val="0"/>
                <w:sz w:val="21"/>
                <w:szCs w:val="21"/>
                <w:highlight w:val="none"/>
              </w:rPr>
              <w:t>整体方案</w:t>
            </w:r>
          </w:p>
        </w:tc>
        <w:tc>
          <w:tcPr>
            <w:tcW w:w="709" w:type="dxa"/>
            <w:vAlign w:val="center"/>
          </w:tcPr>
          <w:p>
            <w:pPr>
              <w:adjustRightInd w:val="0"/>
              <w:snapToGrid w:val="0"/>
              <w:jc w:val="center"/>
              <w:rPr>
                <w:rFonts w:ascii="宋体" w:hAnsi="宋体"/>
                <w:color w:val="auto"/>
                <w:kern w:val="0"/>
                <w:sz w:val="21"/>
                <w:highlight w:val="none"/>
              </w:rPr>
            </w:pPr>
            <w:r>
              <w:rPr>
                <w:rFonts w:hint="eastAsia" w:ascii="宋体" w:hAnsi="宋体"/>
                <w:color w:val="auto"/>
                <w:kern w:val="0"/>
                <w:sz w:val="21"/>
                <w:highlight w:val="none"/>
              </w:rPr>
              <w:t>5</w:t>
            </w:r>
          </w:p>
        </w:tc>
        <w:tc>
          <w:tcPr>
            <w:tcW w:w="6804" w:type="dxa"/>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供应商对采购人信息化发展趋势的理解、整体方案设计的合理性、成熟性。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89" w:type="dxa"/>
            <w:vAlign w:val="center"/>
          </w:tcPr>
          <w:p>
            <w:pPr>
              <w:adjustRightInd w:val="0"/>
              <w:snapToGrid w:val="0"/>
              <w:jc w:val="center"/>
              <w:rPr>
                <w:rFonts w:ascii="宋体" w:hAnsi="宋体"/>
                <w:color w:val="auto"/>
                <w:kern w:val="0"/>
                <w:sz w:val="21"/>
                <w:szCs w:val="21"/>
                <w:highlight w:val="none"/>
              </w:rPr>
            </w:pPr>
            <w:r>
              <w:rPr>
                <w:rFonts w:hint="eastAsia" w:ascii="宋体" w:hAnsi="宋体"/>
                <w:color w:val="auto"/>
                <w:kern w:val="0"/>
                <w:sz w:val="21"/>
                <w:szCs w:val="21"/>
                <w:highlight w:val="none"/>
              </w:rPr>
              <w:t>实施方案</w:t>
            </w:r>
          </w:p>
        </w:tc>
        <w:tc>
          <w:tcPr>
            <w:tcW w:w="709" w:type="dxa"/>
            <w:vAlign w:val="center"/>
          </w:tcPr>
          <w:p>
            <w:pPr>
              <w:adjustRightInd w:val="0"/>
              <w:snapToGrid w:val="0"/>
              <w:jc w:val="center"/>
              <w:rPr>
                <w:rFonts w:ascii="宋体" w:hAnsi="宋体"/>
                <w:color w:val="auto"/>
                <w:kern w:val="0"/>
                <w:sz w:val="21"/>
                <w:highlight w:val="none"/>
              </w:rPr>
            </w:pPr>
            <w:r>
              <w:rPr>
                <w:rFonts w:hint="eastAsia" w:ascii="宋体" w:hAnsi="宋体"/>
                <w:color w:val="auto"/>
                <w:kern w:val="0"/>
                <w:sz w:val="21"/>
                <w:highlight w:val="none"/>
              </w:rPr>
              <w:t>5</w:t>
            </w:r>
          </w:p>
        </w:tc>
        <w:tc>
          <w:tcPr>
            <w:tcW w:w="6804" w:type="dxa"/>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服务实施过程、服务技术、服务操守、服务要求、服务质量等是否具有科学合理的控制规范；实施计划、进度计划等的合理性、可行性情况；是否有提出具有可操作的优惠承诺。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89" w:type="dxa"/>
            <w:vAlign w:val="center"/>
          </w:tcPr>
          <w:p>
            <w:pPr>
              <w:adjustRightInd w:val="0"/>
              <w:snapToGrid w:val="0"/>
              <w:jc w:val="center"/>
              <w:rPr>
                <w:rFonts w:ascii="宋体" w:hAnsi="宋体"/>
                <w:color w:val="auto"/>
                <w:kern w:val="0"/>
                <w:sz w:val="21"/>
                <w:szCs w:val="21"/>
                <w:highlight w:val="none"/>
              </w:rPr>
            </w:pPr>
            <w:r>
              <w:rPr>
                <w:rFonts w:hint="eastAsia" w:ascii="宋体" w:hAnsi="宋体"/>
                <w:color w:val="auto"/>
                <w:kern w:val="0"/>
                <w:sz w:val="21"/>
                <w:szCs w:val="21"/>
                <w:highlight w:val="none"/>
              </w:rPr>
              <w:t>项目实施人员</w:t>
            </w:r>
          </w:p>
        </w:tc>
        <w:tc>
          <w:tcPr>
            <w:tcW w:w="709" w:type="dxa"/>
            <w:vAlign w:val="center"/>
          </w:tcPr>
          <w:p>
            <w:pPr>
              <w:adjustRightInd w:val="0"/>
              <w:snapToGrid w:val="0"/>
              <w:jc w:val="center"/>
              <w:rPr>
                <w:rFonts w:ascii="宋体" w:hAnsi="宋体"/>
                <w:color w:val="auto"/>
                <w:kern w:val="0"/>
                <w:sz w:val="21"/>
                <w:highlight w:val="none"/>
              </w:rPr>
            </w:pPr>
            <w:r>
              <w:rPr>
                <w:rFonts w:hint="eastAsia" w:ascii="宋体" w:hAnsi="宋体"/>
                <w:color w:val="auto"/>
                <w:kern w:val="0"/>
                <w:sz w:val="21"/>
                <w:highlight w:val="none"/>
              </w:rPr>
              <w:t>10</w:t>
            </w:r>
          </w:p>
        </w:tc>
        <w:tc>
          <w:tcPr>
            <w:tcW w:w="6804" w:type="dxa"/>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现场项目经理同时具有项目经理证书和OCM认证证书的得2分；</w:t>
            </w:r>
          </w:p>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现场工程师同时具有OCP和DB2双数据库证书的得2分；</w:t>
            </w:r>
          </w:p>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现场工程师同时具有OCP和LINUX操作系统双认证的得1分；</w:t>
            </w:r>
          </w:p>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现场工程师具有VCP认证的得1分；</w:t>
            </w:r>
          </w:p>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现场工程师具有CISP/CISSP认证的，每人得2分，最高得4分；</w:t>
            </w:r>
          </w:p>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（项目实施人员为供应商或产品制造商在职人员，响应文件中提供人员有效认证证书复印件及社保部门出具近3个月缴纳社保的证明资料复印件，原件备查）。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89" w:type="dxa"/>
            <w:vAlign w:val="center"/>
          </w:tcPr>
          <w:p>
            <w:pPr>
              <w:adjustRightInd w:val="0"/>
              <w:snapToGrid w:val="0"/>
              <w:jc w:val="center"/>
              <w:rPr>
                <w:rFonts w:ascii="宋体" w:hAnsi="宋体"/>
                <w:color w:val="auto"/>
                <w:kern w:val="0"/>
                <w:sz w:val="21"/>
                <w:szCs w:val="21"/>
                <w:highlight w:val="none"/>
              </w:rPr>
            </w:pPr>
            <w:r>
              <w:rPr>
                <w:rFonts w:hint="eastAsia" w:ascii="宋体" w:hAnsi="宋体"/>
                <w:color w:val="auto"/>
                <w:kern w:val="0"/>
                <w:sz w:val="21"/>
                <w:szCs w:val="21"/>
                <w:highlight w:val="none"/>
              </w:rPr>
              <w:t>培训服务</w:t>
            </w:r>
          </w:p>
        </w:tc>
        <w:tc>
          <w:tcPr>
            <w:tcW w:w="709" w:type="dxa"/>
            <w:vAlign w:val="center"/>
          </w:tcPr>
          <w:p>
            <w:pPr>
              <w:adjustRightInd w:val="0"/>
              <w:snapToGrid w:val="0"/>
              <w:jc w:val="center"/>
              <w:rPr>
                <w:rFonts w:ascii="宋体" w:hAnsi="宋体"/>
                <w:color w:val="auto"/>
                <w:kern w:val="0"/>
                <w:sz w:val="21"/>
                <w:highlight w:val="none"/>
              </w:rPr>
            </w:pPr>
            <w:r>
              <w:rPr>
                <w:rFonts w:hint="eastAsia" w:ascii="宋体" w:hAnsi="宋体"/>
                <w:color w:val="auto"/>
                <w:kern w:val="0"/>
                <w:sz w:val="21"/>
                <w:highlight w:val="none"/>
              </w:rPr>
              <w:t>5</w:t>
            </w:r>
          </w:p>
        </w:tc>
        <w:tc>
          <w:tcPr>
            <w:tcW w:w="6804" w:type="dxa"/>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根据供应商提供的培训服务次数、培训教材、培训讲师的资质（是否具有OCM、CISP、CISSP证书、是否具有出版专业书籍等）等情况。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89" w:type="dxa"/>
            <w:vAlign w:val="center"/>
          </w:tcPr>
          <w:p>
            <w:pPr>
              <w:adjustRightInd w:val="0"/>
              <w:snapToGrid w:val="0"/>
              <w:jc w:val="center"/>
              <w:rPr>
                <w:rFonts w:ascii="宋体" w:hAnsi="宋体"/>
                <w:color w:val="auto"/>
                <w:kern w:val="0"/>
                <w:sz w:val="21"/>
                <w:szCs w:val="21"/>
                <w:highlight w:val="none"/>
              </w:rPr>
            </w:pPr>
            <w:r>
              <w:rPr>
                <w:rFonts w:hint="eastAsia" w:ascii="宋体" w:hAnsi="宋体"/>
                <w:color w:val="auto"/>
                <w:kern w:val="0"/>
                <w:sz w:val="21"/>
                <w:szCs w:val="21"/>
                <w:highlight w:val="none"/>
              </w:rPr>
              <w:t>售后服务</w:t>
            </w:r>
          </w:p>
        </w:tc>
        <w:tc>
          <w:tcPr>
            <w:tcW w:w="709" w:type="dxa"/>
            <w:vAlign w:val="center"/>
          </w:tcPr>
          <w:p>
            <w:pPr>
              <w:adjustRightInd w:val="0"/>
              <w:snapToGrid w:val="0"/>
              <w:jc w:val="center"/>
              <w:rPr>
                <w:rFonts w:ascii="宋体" w:hAnsi="宋体"/>
                <w:color w:val="auto"/>
                <w:kern w:val="0"/>
                <w:sz w:val="21"/>
                <w:highlight w:val="none"/>
              </w:rPr>
            </w:pPr>
            <w:r>
              <w:rPr>
                <w:rFonts w:hint="eastAsia" w:ascii="宋体" w:hAnsi="宋体"/>
                <w:color w:val="auto"/>
                <w:kern w:val="0"/>
                <w:sz w:val="21"/>
                <w:highlight w:val="none"/>
              </w:rPr>
              <w:t>5</w:t>
            </w:r>
          </w:p>
        </w:tc>
        <w:tc>
          <w:tcPr>
            <w:tcW w:w="6804" w:type="dxa"/>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售后服务方案完整性、合理性，对服务质量承诺、服务承诺落实的保障措施、质量保障等情况，售后服务网点情况。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89" w:type="dxa"/>
            <w:vAlign w:val="center"/>
          </w:tcPr>
          <w:p>
            <w:pPr>
              <w:adjustRightInd w:val="0"/>
              <w:snapToGrid w:val="0"/>
              <w:jc w:val="center"/>
              <w:rPr>
                <w:rFonts w:ascii="宋体" w:hAnsi="宋体"/>
                <w:color w:val="auto"/>
                <w:kern w:val="0"/>
                <w:sz w:val="21"/>
                <w:szCs w:val="21"/>
                <w:highlight w:val="none"/>
              </w:rPr>
            </w:pPr>
            <w:r>
              <w:rPr>
                <w:rFonts w:hint="eastAsia" w:ascii="宋体" w:hAnsi="宋体"/>
                <w:color w:val="auto"/>
                <w:kern w:val="0"/>
                <w:sz w:val="21"/>
                <w:szCs w:val="21"/>
                <w:highlight w:val="none"/>
              </w:rPr>
              <w:t>本地化服务</w:t>
            </w:r>
          </w:p>
        </w:tc>
        <w:tc>
          <w:tcPr>
            <w:tcW w:w="709" w:type="dxa"/>
            <w:vAlign w:val="center"/>
          </w:tcPr>
          <w:p>
            <w:pPr>
              <w:adjustRightInd w:val="0"/>
              <w:snapToGrid w:val="0"/>
              <w:jc w:val="center"/>
              <w:rPr>
                <w:rFonts w:ascii="宋体" w:hAnsi="宋体"/>
                <w:color w:val="auto"/>
                <w:kern w:val="0"/>
                <w:sz w:val="21"/>
                <w:highlight w:val="none"/>
              </w:rPr>
            </w:pPr>
            <w:r>
              <w:rPr>
                <w:rFonts w:hint="eastAsia" w:ascii="宋体" w:hAnsi="宋体"/>
                <w:color w:val="auto"/>
                <w:kern w:val="0"/>
                <w:sz w:val="21"/>
                <w:highlight w:val="none"/>
              </w:rPr>
              <w:t>2</w:t>
            </w:r>
          </w:p>
        </w:tc>
        <w:tc>
          <w:tcPr>
            <w:tcW w:w="6804" w:type="dxa"/>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本地供应商提供相关的证明材料，如非本地供应商提供在成交公示后15个工作日内在本地设立售后服务机构的承诺，提供的得2分，不提供不得分。</w:t>
            </w:r>
          </w:p>
        </w:tc>
      </w:tr>
    </w:tbl>
    <w:p>
      <w:pPr>
        <w:spacing w:line="288" w:lineRule="auto"/>
        <w:rPr>
          <w:rFonts w:ascii="宋体" w:hAnsi="宋体"/>
          <w:b/>
          <w:color w:val="auto"/>
          <w:sz w:val="21"/>
          <w:szCs w:val="21"/>
          <w:highlight w:val="none"/>
        </w:rPr>
      </w:pPr>
    </w:p>
    <w:p>
      <w:pPr>
        <w:spacing w:line="288" w:lineRule="auto"/>
        <w:rPr>
          <w:rFonts w:ascii="宋体" w:hAnsi="宋体"/>
          <w:b/>
          <w:color w:val="auto"/>
          <w:sz w:val="21"/>
          <w:szCs w:val="21"/>
          <w:highlight w:val="none"/>
        </w:rPr>
      </w:pPr>
      <w:r>
        <w:rPr>
          <w:rFonts w:hint="eastAsia" w:ascii="宋体" w:hAnsi="宋体"/>
          <w:b/>
          <w:color w:val="auto"/>
          <w:sz w:val="21"/>
          <w:szCs w:val="21"/>
          <w:highlight w:val="none"/>
        </w:rPr>
        <w:t>说明</w:t>
      </w:r>
      <w:r>
        <w:rPr>
          <w:rFonts w:ascii="宋体" w:hAnsi="宋体"/>
          <w:b/>
          <w:color w:val="auto"/>
          <w:sz w:val="21"/>
          <w:szCs w:val="21"/>
          <w:highlight w:val="none"/>
        </w:rPr>
        <w:t>：</w:t>
      </w:r>
    </w:p>
    <w:p>
      <w:pPr>
        <w:spacing w:line="288" w:lineRule="auto"/>
        <w:rPr>
          <w:rFonts w:ascii="宋体" w:hAnsi="宋体"/>
          <w:b/>
          <w:color w:val="auto"/>
          <w:sz w:val="21"/>
          <w:szCs w:val="21"/>
          <w:highlight w:val="none"/>
        </w:rPr>
      </w:pPr>
      <w:r>
        <w:rPr>
          <w:rFonts w:hint="eastAsia" w:ascii="宋体" w:hAnsi="宋体"/>
          <w:b/>
          <w:color w:val="auto"/>
          <w:sz w:val="21"/>
          <w:szCs w:val="21"/>
          <w:highlight w:val="none"/>
        </w:rPr>
        <w:t>1</w:t>
      </w:r>
      <w:r>
        <w:rPr>
          <w:rFonts w:ascii="宋体" w:hAnsi="宋体"/>
          <w:b/>
          <w:color w:val="auto"/>
          <w:sz w:val="21"/>
          <w:szCs w:val="21"/>
          <w:highlight w:val="none"/>
        </w:rPr>
        <w:t>.</w:t>
      </w:r>
      <w:r>
        <w:rPr>
          <w:rFonts w:hint="eastAsia" w:ascii="宋体" w:hAnsi="宋体"/>
          <w:b/>
          <w:color w:val="auto"/>
          <w:sz w:val="21"/>
          <w:szCs w:val="21"/>
          <w:highlight w:val="none"/>
        </w:rPr>
        <w:t>根据《政府采购促进中小企业发展暂行办法》（财库[2011]181号）的规定，供应商如为小型或微型企业并提交相关证明材料且响应产品为小型或微型企业制造的，</w:t>
      </w:r>
      <w:r>
        <w:rPr>
          <w:rFonts w:ascii="宋体" w:hAnsi="宋体"/>
          <w:b/>
          <w:color w:val="auto"/>
          <w:sz w:val="21"/>
          <w:szCs w:val="21"/>
          <w:highlight w:val="none"/>
        </w:rPr>
        <w:t>其小型或微型企业</w:t>
      </w:r>
      <w:r>
        <w:rPr>
          <w:rFonts w:hint="eastAsia" w:ascii="宋体" w:hAnsi="宋体"/>
          <w:b/>
          <w:color w:val="auto"/>
          <w:sz w:val="21"/>
          <w:szCs w:val="21"/>
          <w:highlight w:val="none"/>
        </w:rPr>
        <w:t>部分</w:t>
      </w:r>
      <w:r>
        <w:rPr>
          <w:rFonts w:ascii="宋体" w:hAnsi="宋体"/>
          <w:b/>
          <w:color w:val="auto"/>
          <w:sz w:val="21"/>
          <w:szCs w:val="21"/>
          <w:highlight w:val="none"/>
        </w:rPr>
        <w:t>的最后磋商报价</w:t>
      </w:r>
      <w:r>
        <w:rPr>
          <w:rFonts w:hint="eastAsia" w:ascii="宋体" w:hAnsi="宋体"/>
          <w:b/>
          <w:color w:val="auto"/>
          <w:sz w:val="21"/>
          <w:szCs w:val="21"/>
          <w:highlight w:val="none"/>
        </w:rPr>
        <w:t>扣除6%后参与评审；</w:t>
      </w:r>
    </w:p>
    <w:p>
      <w:pPr>
        <w:spacing w:line="288"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2</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根据《</w:t>
      </w:r>
      <w:r>
        <w:rPr>
          <w:rFonts w:ascii="宋体" w:hAnsi="宋体"/>
          <w:b/>
          <w:bCs/>
          <w:color w:val="auto"/>
          <w:spacing w:val="-6"/>
          <w:sz w:val="21"/>
          <w:szCs w:val="21"/>
          <w:highlight w:val="none"/>
        </w:rPr>
        <w:t>关于政府采购支持监狱企业发展有关问题的通知</w:t>
      </w:r>
      <w:r>
        <w:rPr>
          <w:rFonts w:hint="eastAsia" w:ascii="宋体" w:hAnsi="宋体"/>
          <w:b/>
          <w:bCs/>
          <w:color w:val="auto"/>
          <w:spacing w:val="-6"/>
          <w:sz w:val="21"/>
          <w:szCs w:val="21"/>
          <w:highlight w:val="none"/>
        </w:rPr>
        <w:t>》（</w:t>
      </w:r>
      <w:r>
        <w:rPr>
          <w:rFonts w:ascii="宋体" w:hAnsi="宋体"/>
          <w:b/>
          <w:bCs/>
          <w:color w:val="auto"/>
          <w:spacing w:val="-6"/>
          <w:sz w:val="21"/>
          <w:szCs w:val="21"/>
          <w:highlight w:val="none"/>
        </w:rPr>
        <w:t>财库[2014]68号</w:t>
      </w:r>
      <w:r>
        <w:rPr>
          <w:rFonts w:hint="eastAsia" w:ascii="宋体" w:hAnsi="宋体"/>
          <w:b/>
          <w:bCs/>
          <w:color w:val="auto"/>
          <w:spacing w:val="-6"/>
          <w:sz w:val="21"/>
          <w:szCs w:val="21"/>
          <w:highlight w:val="none"/>
        </w:rPr>
        <w:t>）的规定，供应商如为监狱企业并提交相关证明材料的，视同小型、微型企业；</w:t>
      </w:r>
    </w:p>
    <w:p>
      <w:pPr>
        <w:spacing w:line="288"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3</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根据《关于促进残疾人就业政府采购政策的通知》（财库[2017]141号）的规定，供应商如为残疾人福利性单位并提交《残疾人福利性单位声明函》的，视同小型、微型企业；</w:t>
      </w:r>
    </w:p>
    <w:p>
      <w:pPr>
        <w:spacing w:line="288" w:lineRule="auto"/>
        <w:rPr>
          <w:rFonts w:ascii="宋体" w:hAnsi="宋体"/>
          <w:b/>
          <w:color w:val="auto"/>
          <w:sz w:val="21"/>
          <w:szCs w:val="21"/>
          <w:highlight w:val="none"/>
        </w:rPr>
      </w:pPr>
      <w:r>
        <w:rPr>
          <w:rFonts w:hint="eastAsia" w:ascii="宋体" w:hAnsi="宋体"/>
          <w:b/>
          <w:bCs/>
          <w:color w:val="auto"/>
          <w:spacing w:val="-6"/>
          <w:sz w:val="21"/>
          <w:szCs w:val="21"/>
          <w:highlight w:val="none"/>
        </w:rPr>
        <w:t>4</w:t>
      </w:r>
      <w:r>
        <w:rPr>
          <w:rFonts w:ascii="宋体" w:hAnsi="宋体"/>
          <w:b/>
          <w:bCs/>
          <w:color w:val="auto"/>
          <w:spacing w:val="-6"/>
          <w:sz w:val="21"/>
          <w:szCs w:val="21"/>
          <w:highlight w:val="none"/>
        </w:rPr>
        <w:t>.残疾人福利性单位属于小型、微型企业的，不重复享受政策。</w:t>
      </w:r>
    </w:p>
    <w:p>
      <w:pPr>
        <w:spacing w:line="288" w:lineRule="auto"/>
        <w:jc w:val="center"/>
        <w:outlineLvl w:val="0"/>
        <w:rPr>
          <w:rFonts w:ascii="宋体" w:hAnsi="宋体"/>
          <w:b/>
          <w:bCs/>
          <w:color w:val="auto"/>
          <w:spacing w:val="-6"/>
          <w:sz w:val="32"/>
          <w:szCs w:val="32"/>
          <w:highlight w:val="none"/>
        </w:rPr>
      </w:pPr>
      <w:r>
        <w:rPr>
          <w:rFonts w:ascii="宋体" w:hAnsi="宋体"/>
          <w:b/>
          <w:bCs/>
          <w:color w:val="auto"/>
          <w:spacing w:val="-6"/>
          <w:sz w:val="21"/>
          <w:szCs w:val="21"/>
          <w:highlight w:val="none"/>
        </w:rPr>
        <w:br w:type="page"/>
      </w:r>
      <w:r>
        <w:rPr>
          <w:rFonts w:hint="eastAsia" w:ascii="宋体" w:hAnsi="宋体"/>
          <w:b/>
          <w:bCs/>
          <w:color w:val="auto"/>
          <w:spacing w:val="-6"/>
          <w:sz w:val="32"/>
          <w:szCs w:val="32"/>
          <w:highlight w:val="none"/>
        </w:rPr>
        <w:t>第五章  合同主要条款</w:t>
      </w:r>
    </w:p>
    <w:p>
      <w:pPr>
        <w:jc w:val="center"/>
        <w:rPr>
          <w:rFonts w:ascii="宋体" w:hAnsi="宋体"/>
          <w:b/>
          <w:bCs/>
          <w:color w:val="auto"/>
          <w:spacing w:val="-6"/>
          <w:sz w:val="24"/>
          <w:highlight w:val="none"/>
        </w:rPr>
      </w:pPr>
      <w:r>
        <w:rPr>
          <w:rFonts w:hint="eastAsia" w:ascii="宋体" w:hAnsi="宋体"/>
          <w:b/>
          <w:bCs/>
          <w:color w:val="auto"/>
          <w:spacing w:val="-6"/>
          <w:sz w:val="24"/>
          <w:highlight w:val="none"/>
        </w:rPr>
        <w:t>浙江省退役军人事务厅云安全防护设备及服务项目合同</w:t>
      </w:r>
    </w:p>
    <w:p>
      <w:pPr>
        <w:rPr>
          <w:rFonts w:ascii="宋体" w:hAnsi="宋体"/>
          <w:color w:val="auto"/>
          <w:spacing w:val="-6"/>
          <w:sz w:val="21"/>
          <w:szCs w:val="21"/>
          <w:highlight w:val="none"/>
        </w:rPr>
      </w:pPr>
    </w:p>
    <w:p>
      <w:pPr>
        <w:rPr>
          <w:rFonts w:ascii="宋体" w:hAnsi="宋体"/>
          <w:color w:val="auto"/>
          <w:spacing w:val="-6"/>
          <w:sz w:val="21"/>
          <w:szCs w:val="21"/>
          <w:highlight w:val="none"/>
        </w:rPr>
      </w:pPr>
      <w:r>
        <w:rPr>
          <w:rFonts w:hint="eastAsia" w:ascii="宋体" w:hAnsi="宋体"/>
          <w:color w:val="auto"/>
          <w:spacing w:val="-6"/>
          <w:sz w:val="21"/>
          <w:szCs w:val="21"/>
          <w:highlight w:val="none"/>
        </w:rPr>
        <w:t>项目名称：</w:t>
      </w:r>
    </w:p>
    <w:p>
      <w:pPr>
        <w:rPr>
          <w:rFonts w:ascii="宋体" w:hAnsi="宋体"/>
          <w:color w:val="auto"/>
          <w:spacing w:val="-6"/>
          <w:sz w:val="21"/>
          <w:szCs w:val="21"/>
          <w:highlight w:val="none"/>
        </w:rPr>
      </w:pPr>
      <w:r>
        <w:rPr>
          <w:rFonts w:hint="eastAsia" w:ascii="宋体" w:hAnsi="宋体"/>
          <w:color w:val="auto"/>
          <w:spacing w:val="-6"/>
          <w:sz w:val="21"/>
          <w:szCs w:val="21"/>
          <w:highlight w:val="none"/>
        </w:rPr>
        <w:t>项目编号：</w:t>
      </w:r>
    </w:p>
    <w:p>
      <w:pPr>
        <w:rPr>
          <w:rFonts w:ascii="宋体" w:hAnsi="宋体"/>
          <w:color w:val="auto"/>
          <w:spacing w:val="-6"/>
          <w:sz w:val="21"/>
          <w:szCs w:val="21"/>
          <w:highlight w:val="none"/>
        </w:rPr>
      </w:pPr>
      <w:r>
        <w:rPr>
          <w:rFonts w:hint="eastAsia" w:ascii="宋体" w:hAnsi="宋体"/>
          <w:color w:val="auto"/>
          <w:spacing w:val="-6"/>
          <w:sz w:val="21"/>
          <w:szCs w:val="21"/>
          <w:highlight w:val="none"/>
        </w:rPr>
        <w:t>预算书编号：</w:t>
      </w:r>
    </w:p>
    <w:p>
      <w:pPr>
        <w:rPr>
          <w:rFonts w:ascii="宋体" w:hAnsi="宋体"/>
          <w:color w:val="auto"/>
          <w:spacing w:val="-6"/>
          <w:sz w:val="21"/>
          <w:szCs w:val="21"/>
          <w:highlight w:val="none"/>
        </w:rPr>
      </w:pPr>
      <w:r>
        <w:rPr>
          <w:rFonts w:hint="eastAsia" w:ascii="宋体" w:hAnsi="宋体"/>
          <w:color w:val="auto"/>
          <w:spacing w:val="-6"/>
          <w:sz w:val="21"/>
          <w:szCs w:val="21"/>
          <w:highlight w:val="none"/>
        </w:rPr>
        <w:t>甲方（需方）：</w:t>
      </w:r>
    </w:p>
    <w:p>
      <w:pPr>
        <w:rPr>
          <w:rFonts w:ascii="宋体" w:hAnsi="宋体"/>
          <w:color w:val="auto"/>
          <w:spacing w:val="-6"/>
          <w:sz w:val="21"/>
          <w:szCs w:val="21"/>
          <w:highlight w:val="none"/>
        </w:rPr>
      </w:pPr>
      <w:r>
        <w:rPr>
          <w:rFonts w:hint="eastAsia" w:ascii="宋体" w:hAnsi="宋体"/>
          <w:color w:val="auto"/>
          <w:spacing w:val="-6"/>
          <w:sz w:val="21"/>
          <w:szCs w:val="21"/>
          <w:highlight w:val="none"/>
        </w:rPr>
        <w:t>乙方（供方）：</w:t>
      </w:r>
    </w:p>
    <w:p>
      <w:pPr>
        <w:rPr>
          <w:rFonts w:ascii="宋体" w:hAnsi="宋体"/>
          <w:color w:val="auto"/>
          <w:spacing w:val="-6"/>
          <w:sz w:val="21"/>
          <w:szCs w:val="21"/>
          <w:highlight w:val="none"/>
        </w:rPr>
      </w:pPr>
      <w:r>
        <w:rPr>
          <w:rFonts w:hint="eastAsia" w:ascii="宋体" w:hAnsi="宋体"/>
          <w:color w:val="auto"/>
          <w:spacing w:val="-6"/>
          <w:sz w:val="21"/>
          <w:szCs w:val="21"/>
          <w:highlight w:val="none"/>
        </w:rPr>
        <w:t>采购代理机构：浙江求是招标代理有限公司</w:t>
      </w:r>
    </w:p>
    <w:p>
      <w:pPr>
        <w:rPr>
          <w:rFonts w:ascii="宋体" w:hAnsi="宋体"/>
          <w:color w:val="auto"/>
          <w:spacing w:val="-6"/>
          <w:sz w:val="21"/>
          <w:szCs w:val="21"/>
          <w:highlight w:val="none"/>
        </w:rPr>
      </w:pPr>
      <w:r>
        <w:rPr>
          <w:rFonts w:hint="eastAsia" w:ascii="宋体" w:hAnsi="宋体"/>
          <w:color w:val="auto"/>
          <w:spacing w:val="-6"/>
          <w:sz w:val="21"/>
          <w:szCs w:val="21"/>
          <w:highlight w:val="none"/>
        </w:rPr>
        <w:t>签约时间、地点：2019年</w:t>
      </w:r>
      <w:r>
        <w:rPr>
          <w:rFonts w:hint="eastAsia" w:ascii="宋体" w:hAnsi="宋体"/>
          <w:color w:val="auto"/>
          <w:spacing w:val="-6"/>
          <w:sz w:val="21"/>
          <w:szCs w:val="21"/>
          <w:highlight w:val="none"/>
          <w:u w:val="single"/>
        </w:rPr>
        <w:t xml:space="preserve">    </w:t>
      </w:r>
      <w:r>
        <w:rPr>
          <w:rFonts w:hint="eastAsia" w:ascii="宋体" w:hAnsi="宋体"/>
          <w:color w:val="auto"/>
          <w:spacing w:val="-6"/>
          <w:sz w:val="21"/>
          <w:szCs w:val="21"/>
          <w:highlight w:val="none"/>
        </w:rPr>
        <w:t>月</w:t>
      </w:r>
      <w:r>
        <w:rPr>
          <w:rFonts w:hint="eastAsia" w:ascii="宋体" w:hAnsi="宋体"/>
          <w:color w:val="auto"/>
          <w:spacing w:val="-6"/>
          <w:sz w:val="21"/>
          <w:szCs w:val="21"/>
          <w:highlight w:val="none"/>
          <w:u w:val="single"/>
        </w:rPr>
        <w:t xml:space="preserve">    </w:t>
      </w:r>
      <w:r>
        <w:rPr>
          <w:rFonts w:hint="eastAsia" w:ascii="宋体" w:hAnsi="宋体"/>
          <w:color w:val="auto"/>
          <w:spacing w:val="-6"/>
          <w:sz w:val="21"/>
          <w:szCs w:val="21"/>
          <w:highlight w:val="none"/>
        </w:rPr>
        <w:t>日，杭州</w:t>
      </w:r>
    </w:p>
    <w:p>
      <w:pPr>
        <w:rPr>
          <w:rFonts w:ascii="宋体" w:hAnsi="宋体"/>
          <w:b/>
          <w:bCs/>
          <w:color w:val="auto"/>
          <w:spacing w:val="-6"/>
          <w:sz w:val="21"/>
          <w:szCs w:val="21"/>
          <w:highlight w:val="none"/>
        </w:rPr>
      </w:pPr>
    </w:p>
    <w:p>
      <w:pPr>
        <w:ind w:right="31" w:rightChars="11"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甲、乙双方根据浙江求是招标代理有限公司关于</w:t>
      </w:r>
      <w:r>
        <w:rPr>
          <w:rFonts w:hint="eastAsia" w:ascii="宋体" w:hAnsi="宋体"/>
          <w:color w:val="auto"/>
          <w:spacing w:val="-6"/>
          <w:sz w:val="21"/>
          <w:szCs w:val="21"/>
          <w:highlight w:val="none"/>
          <w:u w:val="single"/>
        </w:rPr>
        <w:t>云安全防护设备及服务</w:t>
      </w:r>
      <w:r>
        <w:rPr>
          <w:rFonts w:hint="eastAsia" w:ascii="宋体" w:hAnsi="宋体"/>
          <w:color w:val="auto"/>
          <w:spacing w:val="-6"/>
          <w:sz w:val="21"/>
          <w:szCs w:val="21"/>
          <w:highlight w:val="none"/>
        </w:rPr>
        <w:t>项目</w:t>
      </w:r>
      <w:r>
        <w:rPr>
          <w:rFonts w:hint="eastAsia" w:ascii="宋体" w:hAnsi="宋体"/>
          <w:color w:val="auto"/>
          <w:spacing w:val="-6"/>
          <w:sz w:val="21"/>
          <w:szCs w:val="21"/>
          <w:highlight w:val="none"/>
          <w:u w:val="single"/>
        </w:rPr>
        <w:t xml:space="preserve">  竞争性磋商  </w:t>
      </w:r>
      <w:r>
        <w:rPr>
          <w:rFonts w:hint="eastAsia" w:ascii="宋体" w:hAnsi="宋体"/>
          <w:color w:val="auto"/>
          <w:spacing w:val="-6"/>
          <w:sz w:val="21"/>
          <w:szCs w:val="21"/>
          <w:highlight w:val="none"/>
        </w:rPr>
        <w:t>的结果，签署本合同。</w:t>
      </w:r>
    </w:p>
    <w:p>
      <w:pPr>
        <w:rPr>
          <w:rFonts w:ascii="宋体" w:hAnsi="宋体"/>
          <w:b/>
          <w:color w:val="auto"/>
          <w:spacing w:val="-6"/>
          <w:sz w:val="21"/>
          <w:szCs w:val="21"/>
          <w:highlight w:val="none"/>
        </w:rPr>
      </w:pPr>
      <w:r>
        <w:rPr>
          <w:rFonts w:hint="eastAsia" w:ascii="宋体" w:hAnsi="宋体"/>
          <w:b/>
          <w:color w:val="auto"/>
          <w:spacing w:val="-6"/>
          <w:sz w:val="21"/>
          <w:szCs w:val="21"/>
          <w:highlight w:val="none"/>
        </w:rPr>
        <w:t>第一条：采购货物清单及合同价格</w:t>
      </w:r>
    </w:p>
    <w:tbl>
      <w:tblPr>
        <w:tblStyle w:val="21"/>
        <w:tblW w:w="93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41"/>
        <w:gridCol w:w="708"/>
        <w:gridCol w:w="709"/>
        <w:gridCol w:w="1794"/>
        <w:gridCol w:w="1466"/>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vAlign w:val="center"/>
          </w:tcPr>
          <w:p>
            <w:pPr>
              <w:jc w:val="center"/>
              <w:rPr>
                <w:rFonts w:ascii="宋体" w:hAnsi="宋体"/>
                <w:color w:val="auto"/>
                <w:spacing w:val="-6"/>
                <w:sz w:val="21"/>
                <w:szCs w:val="21"/>
                <w:highlight w:val="none"/>
              </w:rPr>
            </w:pPr>
            <w:r>
              <w:rPr>
                <w:rFonts w:hint="eastAsia" w:ascii="宋体" w:hAnsi="宋体"/>
                <w:color w:val="auto"/>
                <w:spacing w:val="-6"/>
                <w:sz w:val="21"/>
                <w:szCs w:val="21"/>
                <w:highlight w:val="none"/>
              </w:rPr>
              <w:t>序号</w:t>
            </w:r>
          </w:p>
        </w:tc>
        <w:tc>
          <w:tcPr>
            <w:tcW w:w="2541" w:type="dxa"/>
            <w:vAlign w:val="center"/>
          </w:tcPr>
          <w:p>
            <w:pPr>
              <w:jc w:val="center"/>
              <w:rPr>
                <w:rFonts w:ascii="宋体" w:hAnsi="宋体"/>
                <w:color w:val="auto"/>
                <w:spacing w:val="-6"/>
                <w:sz w:val="21"/>
                <w:szCs w:val="21"/>
                <w:highlight w:val="none"/>
              </w:rPr>
            </w:pPr>
            <w:r>
              <w:rPr>
                <w:rFonts w:hint="eastAsia" w:ascii="宋体" w:hAnsi="宋体"/>
                <w:color w:val="auto"/>
                <w:spacing w:val="-6"/>
                <w:sz w:val="21"/>
                <w:szCs w:val="21"/>
                <w:highlight w:val="none"/>
              </w:rPr>
              <w:t>货物名称</w:t>
            </w:r>
          </w:p>
        </w:tc>
        <w:tc>
          <w:tcPr>
            <w:tcW w:w="708" w:type="dxa"/>
            <w:vAlign w:val="center"/>
          </w:tcPr>
          <w:p>
            <w:pPr>
              <w:jc w:val="center"/>
              <w:rPr>
                <w:rFonts w:ascii="宋体" w:hAnsi="宋体"/>
                <w:color w:val="auto"/>
                <w:spacing w:val="-6"/>
                <w:sz w:val="21"/>
                <w:szCs w:val="21"/>
                <w:highlight w:val="none"/>
              </w:rPr>
            </w:pPr>
            <w:r>
              <w:rPr>
                <w:rFonts w:hint="eastAsia" w:ascii="宋体" w:hAnsi="宋体"/>
                <w:color w:val="auto"/>
                <w:spacing w:val="-6"/>
                <w:sz w:val="21"/>
                <w:szCs w:val="21"/>
                <w:highlight w:val="none"/>
              </w:rPr>
              <w:t>数量</w:t>
            </w:r>
          </w:p>
        </w:tc>
        <w:tc>
          <w:tcPr>
            <w:tcW w:w="709" w:type="dxa"/>
            <w:vAlign w:val="center"/>
          </w:tcPr>
          <w:p>
            <w:pPr>
              <w:jc w:val="center"/>
              <w:rPr>
                <w:rFonts w:ascii="宋体" w:hAnsi="宋体"/>
                <w:color w:val="auto"/>
                <w:spacing w:val="-6"/>
                <w:sz w:val="21"/>
                <w:szCs w:val="21"/>
                <w:highlight w:val="none"/>
              </w:rPr>
            </w:pPr>
            <w:r>
              <w:rPr>
                <w:rFonts w:hint="eastAsia" w:ascii="宋体" w:hAnsi="宋体"/>
                <w:color w:val="auto"/>
                <w:spacing w:val="-6"/>
                <w:sz w:val="21"/>
                <w:szCs w:val="21"/>
                <w:highlight w:val="none"/>
              </w:rPr>
              <w:t>单位</w:t>
            </w:r>
          </w:p>
        </w:tc>
        <w:tc>
          <w:tcPr>
            <w:tcW w:w="1794" w:type="dxa"/>
            <w:vAlign w:val="center"/>
          </w:tcPr>
          <w:p>
            <w:pPr>
              <w:jc w:val="center"/>
              <w:rPr>
                <w:rFonts w:ascii="宋体" w:hAnsi="宋体"/>
                <w:color w:val="auto"/>
                <w:spacing w:val="-6"/>
                <w:sz w:val="21"/>
                <w:szCs w:val="21"/>
                <w:highlight w:val="none"/>
              </w:rPr>
            </w:pPr>
            <w:r>
              <w:rPr>
                <w:rFonts w:hint="eastAsia" w:ascii="宋体" w:hAnsi="宋体"/>
                <w:color w:val="auto"/>
                <w:spacing w:val="-6"/>
                <w:sz w:val="21"/>
                <w:szCs w:val="21"/>
                <w:highlight w:val="none"/>
              </w:rPr>
              <w:t>品牌、型号</w:t>
            </w:r>
          </w:p>
        </w:tc>
        <w:tc>
          <w:tcPr>
            <w:tcW w:w="1466" w:type="dxa"/>
            <w:vAlign w:val="center"/>
          </w:tcPr>
          <w:p>
            <w:pPr>
              <w:jc w:val="center"/>
              <w:rPr>
                <w:rFonts w:ascii="宋体" w:hAnsi="宋体"/>
                <w:color w:val="auto"/>
                <w:spacing w:val="-6"/>
                <w:sz w:val="21"/>
                <w:szCs w:val="21"/>
                <w:highlight w:val="none"/>
              </w:rPr>
            </w:pPr>
            <w:r>
              <w:rPr>
                <w:rFonts w:hint="eastAsia" w:ascii="宋体" w:hAnsi="宋体"/>
                <w:color w:val="auto"/>
                <w:spacing w:val="-6"/>
                <w:sz w:val="21"/>
                <w:szCs w:val="21"/>
                <w:highlight w:val="none"/>
              </w:rPr>
              <w:t>单价</w:t>
            </w:r>
          </w:p>
          <w:p>
            <w:pPr>
              <w:jc w:val="center"/>
              <w:rPr>
                <w:rFonts w:ascii="宋体" w:hAnsi="宋体"/>
                <w:color w:val="auto"/>
                <w:spacing w:val="-6"/>
                <w:sz w:val="21"/>
                <w:szCs w:val="21"/>
                <w:highlight w:val="none"/>
              </w:rPr>
            </w:pPr>
            <w:r>
              <w:rPr>
                <w:rFonts w:hint="eastAsia" w:ascii="宋体" w:hAnsi="宋体"/>
                <w:color w:val="auto"/>
                <w:spacing w:val="-6"/>
                <w:sz w:val="21"/>
                <w:szCs w:val="21"/>
                <w:highlight w:val="none"/>
              </w:rPr>
              <w:t>（人民币元）</w:t>
            </w:r>
          </w:p>
        </w:tc>
        <w:tc>
          <w:tcPr>
            <w:tcW w:w="1414" w:type="dxa"/>
            <w:vAlign w:val="center"/>
          </w:tcPr>
          <w:p>
            <w:pPr>
              <w:jc w:val="center"/>
              <w:rPr>
                <w:rFonts w:ascii="宋体" w:hAnsi="宋体"/>
                <w:color w:val="auto"/>
                <w:spacing w:val="-6"/>
                <w:sz w:val="21"/>
                <w:szCs w:val="21"/>
                <w:highlight w:val="none"/>
              </w:rPr>
            </w:pPr>
            <w:r>
              <w:rPr>
                <w:rFonts w:hint="eastAsia" w:ascii="宋体" w:hAnsi="宋体"/>
                <w:color w:val="auto"/>
                <w:spacing w:val="-6"/>
                <w:sz w:val="21"/>
                <w:szCs w:val="21"/>
                <w:highlight w:val="none"/>
              </w:rPr>
              <w:t>合计</w:t>
            </w:r>
          </w:p>
          <w:p>
            <w:pPr>
              <w:jc w:val="center"/>
              <w:rPr>
                <w:rFonts w:ascii="宋体" w:hAnsi="宋体"/>
                <w:color w:val="auto"/>
                <w:spacing w:val="-6"/>
                <w:sz w:val="21"/>
                <w:szCs w:val="21"/>
                <w:highlight w:val="none"/>
              </w:rPr>
            </w:pPr>
            <w:r>
              <w:rPr>
                <w:rFonts w:hint="eastAsia" w:ascii="宋体" w:hAnsi="宋体"/>
                <w:color w:val="auto"/>
                <w:spacing w:val="-6"/>
                <w:sz w:val="21"/>
                <w:szCs w:val="21"/>
                <w:highlight w:val="none"/>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vAlign w:val="center"/>
          </w:tcPr>
          <w:p>
            <w:pPr>
              <w:jc w:val="center"/>
              <w:rPr>
                <w:rFonts w:ascii="宋体" w:hAnsi="宋体"/>
                <w:color w:val="auto"/>
                <w:spacing w:val="-6"/>
                <w:sz w:val="21"/>
                <w:szCs w:val="21"/>
                <w:highlight w:val="none"/>
              </w:rPr>
            </w:pPr>
            <w:r>
              <w:rPr>
                <w:rFonts w:hint="eastAsia" w:ascii="宋体" w:hAnsi="宋体"/>
                <w:color w:val="auto"/>
                <w:spacing w:val="-6"/>
                <w:sz w:val="21"/>
                <w:szCs w:val="21"/>
                <w:highlight w:val="none"/>
              </w:rPr>
              <w:t>1</w:t>
            </w:r>
          </w:p>
        </w:tc>
        <w:tc>
          <w:tcPr>
            <w:tcW w:w="2541" w:type="dxa"/>
            <w:vAlign w:val="center"/>
          </w:tcPr>
          <w:p>
            <w:pPr>
              <w:ind w:left="238" w:leftChars="85"/>
              <w:jc w:val="center"/>
              <w:rPr>
                <w:rFonts w:ascii="宋体" w:hAnsi="宋体"/>
                <w:color w:val="auto"/>
                <w:spacing w:val="-6"/>
                <w:sz w:val="21"/>
                <w:szCs w:val="21"/>
                <w:highlight w:val="none"/>
              </w:rPr>
            </w:pPr>
          </w:p>
        </w:tc>
        <w:tc>
          <w:tcPr>
            <w:tcW w:w="708" w:type="dxa"/>
            <w:vAlign w:val="center"/>
          </w:tcPr>
          <w:p>
            <w:pPr>
              <w:jc w:val="center"/>
              <w:rPr>
                <w:rFonts w:ascii="宋体" w:hAnsi="宋体"/>
                <w:color w:val="auto"/>
                <w:spacing w:val="-6"/>
                <w:sz w:val="21"/>
                <w:szCs w:val="21"/>
                <w:highlight w:val="none"/>
              </w:rPr>
            </w:pPr>
          </w:p>
        </w:tc>
        <w:tc>
          <w:tcPr>
            <w:tcW w:w="709" w:type="dxa"/>
            <w:vAlign w:val="center"/>
          </w:tcPr>
          <w:p>
            <w:pPr>
              <w:jc w:val="center"/>
              <w:rPr>
                <w:rFonts w:ascii="宋体" w:hAnsi="宋体"/>
                <w:color w:val="auto"/>
                <w:spacing w:val="-6"/>
                <w:sz w:val="21"/>
                <w:szCs w:val="21"/>
                <w:highlight w:val="none"/>
              </w:rPr>
            </w:pPr>
          </w:p>
        </w:tc>
        <w:tc>
          <w:tcPr>
            <w:tcW w:w="1794" w:type="dxa"/>
            <w:vAlign w:val="center"/>
          </w:tcPr>
          <w:p>
            <w:pPr>
              <w:jc w:val="center"/>
              <w:rPr>
                <w:rFonts w:ascii="宋体" w:hAnsi="宋体"/>
                <w:color w:val="auto"/>
                <w:spacing w:val="-6"/>
                <w:sz w:val="21"/>
                <w:szCs w:val="21"/>
                <w:highlight w:val="none"/>
              </w:rPr>
            </w:pPr>
            <w:r>
              <w:rPr>
                <w:rFonts w:hint="eastAsia" w:ascii="宋体" w:hAnsi="宋体"/>
                <w:color w:val="auto"/>
                <w:spacing w:val="-6"/>
                <w:sz w:val="21"/>
                <w:szCs w:val="21"/>
                <w:highlight w:val="none"/>
              </w:rPr>
              <w:t>（详细技术指标见配置清单）</w:t>
            </w:r>
          </w:p>
        </w:tc>
        <w:tc>
          <w:tcPr>
            <w:tcW w:w="1466" w:type="dxa"/>
            <w:vAlign w:val="center"/>
          </w:tcPr>
          <w:p>
            <w:pPr>
              <w:jc w:val="center"/>
              <w:rPr>
                <w:rFonts w:ascii="宋体" w:hAnsi="宋体"/>
                <w:color w:val="auto"/>
                <w:spacing w:val="-6"/>
                <w:sz w:val="21"/>
                <w:szCs w:val="21"/>
                <w:highlight w:val="none"/>
              </w:rPr>
            </w:pPr>
          </w:p>
        </w:tc>
        <w:tc>
          <w:tcPr>
            <w:tcW w:w="1414" w:type="dxa"/>
            <w:vAlign w:val="center"/>
          </w:tcPr>
          <w:p>
            <w:pPr>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52" w:type="dxa"/>
            <w:gridSpan w:val="7"/>
            <w:vAlign w:val="center"/>
          </w:tcPr>
          <w:p>
            <w:pPr>
              <w:rPr>
                <w:rFonts w:ascii="宋体" w:hAnsi="宋体"/>
                <w:color w:val="auto"/>
                <w:spacing w:val="-6"/>
                <w:sz w:val="21"/>
                <w:szCs w:val="21"/>
                <w:highlight w:val="none"/>
              </w:rPr>
            </w:pPr>
          </w:p>
          <w:p>
            <w:pPr>
              <w:rPr>
                <w:rFonts w:ascii="宋体" w:hAnsi="宋体"/>
                <w:color w:val="auto"/>
                <w:spacing w:val="-6"/>
                <w:sz w:val="21"/>
                <w:szCs w:val="21"/>
                <w:highlight w:val="none"/>
              </w:rPr>
            </w:pPr>
            <w:r>
              <w:rPr>
                <w:rFonts w:hint="eastAsia" w:ascii="宋体" w:hAnsi="宋体"/>
                <w:color w:val="auto"/>
                <w:spacing w:val="-6"/>
                <w:sz w:val="21"/>
                <w:szCs w:val="21"/>
                <w:highlight w:val="none"/>
              </w:rPr>
              <w:t>合同总价（人民币元）：</w:t>
            </w:r>
          </w:p>
          <w:p>
            <w:pPr>
              <w:rPr>
                <w:rFonts w:ascii="宋体" w:hAnsi="宋体"/>
                <w:color w:val="auto"/>
                <w:spacing w:val="-6"/>
                <w:sz w:val="21"/>
                <w:szCs w:val="21"/>
                <w:highlight w:val="none"/>
              </w:rPr>
            </w:pPr>
          </w:p>
          <w:p>
            <w:pPr>
              <w:rPr>
                <w:rFonts w:ascii="宋体" w:hAnsi="宋体"/>
                <w:color w:val="auto"/>
                <w:spacing w:val="-6"/>
                <w:sz w:val="21"/>
                <w:szCs w:val="21"/>
                <w:highlight w:val="none"/>
              </w:rPr>
            </w:pPr>
            <w:r>
              <w:rPr>
                <w:rFonts w:hint="eastAsia" w:ascii="宋体" w:hAnsi="宋体"/>
                <w:color w:val="auto"/>
                <w:spacing w:val="-6"/>
                <w:sz w:val="21"/>
                <w:szCs w:val="21"/>
                <w:highlight w:val="none"/>
              </w:rPr>
              <w:t>注：1.以上合同总价包括将货物运抵甲方指定地点的运费及安装调试、培训等一切费用。</w:t>
            </w:r>
          </w:p>
        </w:tc>
      </w:tr>
    </w:tbl>
    <w:p>
      <w:pPr>
        <w:rPr>
          <w:rFonts w:ascii="宋体" w:hAnsi="宋体"/>
          <w:b/>
          <w:color w:val="auto"/>
          <w:spacing w:val="-6"/>
          <w:sz w:val="21"/>
          <w:szCs w:val="21"/>
          <w:highlight w:val="none"/>
        </w:rPr>
      </w:pPr>
    </w:p>
    <w:p>
      <w:pPr>
        <w:rPr>
          <w:rFonts w:ascii="宋体" w:hAnsi="宋体"/>
          <w:b/>
          <w:color w:val="auto"/>
          <w:spacing w:val="-6"/>
          <w:sz w:val="21"/>
          <w:szCs w:val="21"/>
          <w:highlight w:val="none"/>
        </w:rPr>
      </w:pPr>
      <w:r>
        <w:rPr>
          <w:rFonts w:hint="eastAsia" w:ascii="宋体" w:hAnsi="宋体"/>
          <w:b/>
          <w:color w:val="auto"/>
          <w:spacing w:val="-6"/>
          <w:sz w:val="21"/>
          <w:szCs w:val="21"/>
          <w:highlight w:val="none"/>
        </w:rPr>
        <w:t>第二条：交货时间、地点</w:t>
      </w:r>
    </w:p>
    <w:p>
      <w:pPr>
        <w:ind w:right="-686" w:rightChars="-245"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乙方应于2019年</w:t>
      </w:r>
      <w:r>
        <w:rPr>
          <w:rFonts w:hint="eastAsia" w:ascii="宋体" w:hAnsi="宋体"/>
          <w:color w:val="auto"/>
          <w:spacing w:val="-6"/>
          <w:sz w:val="21"/>
          <w:szCs w:val="21"/>
          <w:highlight w:val="none"/>
          <w:u w:val="single"/>
        </w:rPr>
        <w:t xml:space="preserve">    </w:t>
      </w:r>
      <w:r>
        <w:rPr>
          <w:rFonts w:hint="eastAsia" w:ascii="宋体" w:hAnsi="宋体"/>
          <w:color w:val="auto"/>
          <w:spacing w:val="-6"/>
          <w:sz w:val="21"/>
          <w:szCs w:val="21"/>
          <w:highlight w:val="none"/>
        </w:rPr>
        <w:t>月</w:t>
      </w:r>
      <w:r>
        <w:rPr>
          <w:rFonts w:hint="eastAsia" w:ascii="宋体" w:hAnsi="宋体"/>
          <w:color w:val="auto"/>
          <w:spacing w:val="-6"/>
          <w:sz w:val="21"/>
          <w:szCs w:val="21"/>
          <w:highlight w:val="none"/>
          <w:u w:val="single"/>
        </w:rPr>
        <w:t xml:space="preserve">    </w:t>
      </w:r>
      <w:r>
        <w:rPr>
          <w:rFonts w:hint="eastAsia" w:ascii="宋体" w:hAnsi="宋体"/>
          <w:color w:val="auto"/>
          <w:spacing w:val="-6"/>
          <w:sz w:val="21"/>
          <w:szCs w:val="21"/>
          <w:highlight w:val="none"/>
        </w:rPr>
        <w:t>日前将所供商品按时、安全运至甲方指定地点，并于一周内安装调试完毕。</w:t>
      </w:r>
    </w:p>
    <w:p>
      <w:pPr>
        <w:rPr>
          <w:rFonts w:ascii="宋体" w:hAnsi="宋体"/>
          <w:b/>
          <w:color w:val="auto"/>
          <w:spacing w:val="-6"/>
          <w:sz w:val="21"/>
          <w:szCs w:val="21"/>
          <w:highlight w:val="none"/>
        </w:rPr>
      </w:pPr>
      <w:r>
        <w:rPr>
          <w:rFonts w:hint="eastAsia" w:ascii="宋体" w:hAnsi="宋体"/>
          <w:b/>
          <w:color w:val="auto"/>
          <w:spacing w:val="-6"/>
          <w:sz w:val="21"/>
          <w:szCs w:val="21"/>
          <w:highlight w:val="none"/>
        </w:rPr>
        <w:t>第三条：质量保证金和付款方式</w:t>
      </w:r>
    </w:p>
    <w:p>
      <w:pPr>
        <w:ind w:firstLine="396" w:firstLineChars="200"/>
        <w:rPr>
          <w:rFonts w:hint="eastAsia" w:ascii="宋体" w:hAnsi="宋体" w:eastAsia="宋体" w:cs="宋体"/>
          <w:color w:val="auto"/>
          <w:spacing w:val="-6"/>
          <w:kern w:val="0"/>
          <w:sz w:val="21"/>
          <w:szCs w:val="21"/>
          <w:highlight w:val="none"/>
          <w:lang w:eastAsia="zh-CN"/>
        </w:rPr>
      </w:pPr>
      <w:r>
        <w:rPr>
          <w:rFonts w:hint="eastAsia" w:ascii="宋体" w:hAnsi="宋体" w:cs="宋体"/>
          <w:color w:val="auto"/>
          <w:spacing w:val="-6"/>
          <w:kern w:val="0"/>
          <w:sz w:val="21"/>
          <w:szCs w:val="21"/>
          <w:highlight w:val="none"/>
        </w:rPr>
        <w:t>项目到货并经监理认可后支付30%，完成云部署后支付50%，完成1个信息系统的应用后支付尾款</w:t>
      </w:r>
      <w:r>
        <w:rPr>
          <w:rFonts w:hint="eastAsia" w:ascii="宋体" w:hAnsi="宋体" w:cs="宋体"/>
          <w:color w:val="auto"/>
          <w:spacing w:val="-6"/>
          <w:kern w:val="0"/>
          <w:sz w:val="21"/>
          <w:szCs w:val="21"/>
          <w:highlight w:val="none"/>
          <w:lang w:eastAsia="zh-CN"/>
        </w:rPr>
        <w:t>；</w:t>
      </w:r>
    </w:p>
    <w:p>
      <w:pPr>
        <w:rPr>
          <w:rFonts w:ascii="宋体" w:hAnsi="宋体"/>
          <w:b/>
          <w:color w:val="auto"/>
          <w:spacing w:val="-6"/>
          <w:sz w:val="21"/>
          <w:szCs w:val="21"/>
          <w:highlight w:val="none"/>
        </w:rPr>
      </w:pPr>
      <w:r>
        <w:rPr>
          <w:rFonts w:hint="eastAsia" w:ascii="宋体" w:hAnsi="宋体"/>
          <w:b/>
          <w:color w:val="auto"/>
          <w:spacing w:val="-6"/>
          <w:sz w:val="21"/>
          <w:szCs w:val="21"/>
          <w:highlight w:val="none"/>
        </w:rPr>
        <w:t>第四条：售后服务</w:t>
      </w:r>
    </w:p>
    <w:p>
      <w:pPr>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1.上述的货物质保期为</w:t>
      </w:r>
      <w:r>
        <w:rPr>
          <w:rFonts w:hint="eastAsia" w:ascii="宋体" w:hAnsi="宋体"/>
          <w:color w:val="auto"/>
          <w:spacing w:val="-6"/>
          <w:sz w:val="21"/>
          <w:szCs w:val="21"/>
          <w:highlight w:val="none"/>
          <w:u w:val="single"/>
        </w:rPr>
        <w:t xml:space="preserve">    </w:t>
      </w:r>
      <w:r>
        <w:rPr>
          <w:rFonts w:hint="eastAsia" w:ascii="宋体" w:hAnsi="宋体"/>
          <w:color w:val="auto"/>
          <w:spacing w:val="-6"/>
          <w:sz w:val="21"/>
          <w:szCs w:val="21"/>
          <w:highlight w:val="none"/>
        </w:rPr>
        <w:t>年，因人为因素出现的故障不在免费保修范围内。超过质保期的货物，终生维修，维修时只收部件成本费。</w:t>
      </w:r>
    </w:p>
    <w:p>
      <w:pPr>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2.如在使用过程中发生质量问题，乙方</w:t>
      </w:r>
      <w:r>
        <w:rPr>
          <w:rFonts w:hAnsi="宋体"/>
          <w:color w:val="auto"/>
          <w:spacing w:val="-6"/>
          <w:sz w:val="21"/>
          <w:szCs w:val="21"/>
          <w:highlight w:val="none"/>
        </w:rPr>
        <w:t>维修响应时间：</w:t>
      </w:r>
      <w:r>
        <w:rPr>
          <w:rFonts w:hint="eastAsia" w:hAnsi="宋体"/>
          <w:color w:val="auto"/>
          <w:spacing w:val="-6"/>
          <w:sz w:val="21"/>
          <w:szCs w:val="21"/>
          <w:highlight w:val="none"/>
          <w:u w:val="single"/>
        </w:rPr>
        <w:t xml:space="preserve">    </w:t>
      </w:r>
      <w:r>
        <w:rPr>
          <w:rFonts w:hAnsi="宋体"/>
          <w:color w:val="auto"/>
          <w:spacing w:val="-6"/>
          <w:sz w:val="21"/>
          <w:szCs w:val="21"/>
          <w:highlight w:val="none"/>
        </w:rPr>
        <w:t>小时以内，电话技术支持；若需上门维修，则在</w:t>
      </w:r>
      <w:r>
        <w:rPr>
          <w:rFonts w:hint="eastAsia" w:hAnsi="宋体"/>
          <w:color w:val="auto"/>
          <w:spacing w:val="-6"/>
          <w:sz w:val="21"/>
          <w:szCs w:val="21"/>
          <w:highlight w:val="none"/>
          <w:u w:val="single"/>
        </w:rPr>
        <w:t xml:space="preserve">    </w:t>
      </w:r>
      <w:r>
        <w:rPr>
          <w:rFonts w:hAnsi="宋体"/>
          <w:color w:val="auto"/>
          <w:spacing w:val="-6"/>
          <w:sz w:val="21"/>
          <w:szCs w:val="21"/>
          <w:highlight w:val="none"/>
        </w:rPr>
        <w:t>小时内到达现场并进行维修；质保期满后，乙方继续为甲方服务，仅收取零配件成本费。保修期内出现无法排除的故障，乙方需无条件为甲方更换同型号产品。</w:t>
      </w:r>
    </w:p>
    <w:p>
      <w:pPr>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3.在质保期内，乙方应对货物出现的质量及安全问题负责处理解决并承担一切费用。</w:t>
      </w:r>
    </w:p>
    <w:p>
      <w:pPr>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4.培训：</w:t>
      </w:r>
    </w:p>
    <w:p>
      <w:pPr>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1）培训时间：</w:t>
      </w:r>
    </w:p>
    <w:p>
      <w:pPr>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2）培训地点：</w:t>
      </w:r>
    </w:p>
    <w:p>
      <w:pPr>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3）培训方式：现场讲解、实际操作。</w:t>
      </w:r>
    </w:p>
    <w:p>
      <w:pPr>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4）培训费用：已经包括在投标费用中。</w:t>
      </w:r>
    </w:p>
    <w:p>
      <w:pPr>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5）培训内容：</w:t>
      </w:r>
    </w:p>
    <w:p>
      <w:pPr>
        <w:rPr>
          <w:rFonts w:ascii="宋体" w:hAnsi="宋体"/>
          <w:b/>
          <w:color w:val="auto"/>
          <w:spacing w:val="-6"/>
          <w:sz w:val="21"/>
          <w:szCs w:val="21"/>
          <w:highlight w:val="none"/>
        </w:rPr>
      </w:pPr>
      <w:r>
        <w:rPr>
          <w:rFonts w:hint="eastAsia" w:ascii="宋体" w:hAnsi="宋体"/>
          <w:b/>
          <w:color w:val="auto"/>
          <w:spacing w:val="-6"/>
          <w:sz w:val="21"/>
          <w:szCs w:val="21"/>
          <w:highlight w:val="none"/>
        </w:rPr>
        <w:t>第五条：质量保证</w:t>
      </w:r>
    </w:p>
    <w:p>
      <w:pPr>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pPr>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2.乙方提供的货物在质保期内因货物本身的质量问题发生故障，乙方应负责免费更换。对达不到技术要求者，根据实际情况，经双方协商，可按以下办法处理：</w:t>
      </w:r>
    </w:p>
    <w:p>
      <w:pPr>
        <w:ind w:firstLine="396" w:firstLineChars="200"/>
        <w:rPr>
          <w:rFonts w:ascii="宋体" w:hAnsi="宋体"/>
          <w:color w:val="auto"/>
          <w:spacing w:val="-6"/>
          <w:sz w:val="21"/>
          <w:szCs w:val="21"/>
          <w:highlight w:val="none"/>
        </w:rPr>
      </w:pPr>
      <w:r>
        <w:rPr>
          <w:rFonts w:hint="eastAsia" w:ascii="宋体" w:hAnsi="宋体" w:cs="宋体"/>
          <w:color w:val="auto"/>
          <w:spacing w:val="-6"/>
          <w:sz w:val="21"/>
          <w:szCs w:val="21"/>
          <w:highlight w:val="none"/>
        </w:rPr>
        <w:t>2.1</w:t>
      </w:r>
      <w:r>
        <w:rPr>
          <w:rFonts w:hint="eastAsia" w:ascii="宋体" w:hAnsi="宋体"/>
          <w:color w:val="auto"/>
          <w:spacing w:val="-6"/>
          <w:sz w:val="21"/>
          <w:szCs w:val="21"/>
          <w:highlight w:val="none"/>
        </w:rPr>
        <w:t>更换：由乙方承担所发生的全部费用。</w:t>
      </w:r>
    </w:p>
    <w:p>
      <w:pPr>
        <w:ind w:firstLine="396" w:firstLineChars="200"/>
        <w:rPr>
          <w:rFonts w:ascii="宋体" w:hAnsi="宋体"/>
          <w:color w:val="auto"/>
          <w:spacing w:val="-6"/>
          <w:sz w:val="21"/>
          <w:szCs w:val="21"/>
          <w:highlight w:val="none"/>
        </w:rPr>
      </w:pPr>
      <w:r>
        <w:rPr>
          <w:rFonts w:hint="eastAsia" w:ascii="宋体" w:hAnsi="宋体" w:cs="宋体"/>
          <w:color w:val="auto"/>
          <w:spacing w:val="-6"/>
          <w:sz w:val="21"/>
          <w:szCs w:val="21"/>
          <w:highlight w:val="none"/>
        </w:rPr>
        <w:t>2.2</w:t>
      </w:r>
      <w:r>
        <w:rPr>
          <w:rFonts w:hint="eastAsia" w:ascii="宋体" w:hAnsi="宋体"/>
          <w:color w:val="auto"/>
          <w:spacing w:val="-6"/>
          <w:sz w:val="21"/>
          <w:szCs w:val="21"/>
          <w:highlight w:val="none"/>
        </w:rPr>
        <w:t>贬值处理：由甲乙双方合议定价。</w:t>
      </w:r>
    </w:p>
    <w:p>
      <w:pPr>
        <w:ind w:firstLine="396" w:firstLineChars="200"/>
        <w:rPr>
          <w:rFonts w:ascii="宋体" w:hAnsi="宋体"/>
          <w:color w:val="auto"/>
          <w:spacing w:val="-6"/>
          <w:sz w:val="21"/>
          <w:szCs w:val="21"/>
          <w:highlight w:val="none"/>
        </w:rPr>
      </w:pPr>
      <w:r>
        <w:rPr>
          <w:rFonts w:hint="eastAsia" w:ascii="宋体" w:hAnsi="宋体" w:cs="宋体"/>
          <w:color w:val="auto"/>
          <w:spacing w:val="-6"/>
          <w:sz w:val="21"/>
          <w:szCs w:val="21"/>
          <w:highlight w:val="none"/>
        </w:rPr>
        <w:t>2.3</w:t>
      </w:r>
      <w:r>
        <w:rPr>
          <w:rFonts w:hint="eastAsia" w:ascii="宋体" w:hAnsi="宋体"/>
          <w:color w:val="auto"/>
          <w:spacing w:val="-6"/>
          <w:sz w:val="21"/>
          <w:szCs w:val="21"/>
          <w:highlight w:val="none"/>
        </w:rPr>
        <w:t>退货处理：乙方应退还甲方支付的合同款，同时应承担该货物的直接费用（运输、保险、检验、货款利息及银行手续费等）。</w:t>
      </w:r>
    </w:p>
    <w:p>
      <w:pPr>
        <w:rPr>
          <w:rFonts w:ascii="宋体" w:hAnsi="宋体" w:cstheme="minorBidi"/>
          <w:b/>
          <w:color w:val="auto"/>
          <w:spacing w:val="-6"/>
          <w:sz w:val="21"/>
          <w:szCs w:val="21"/>
          <w:highlight w:val="none"/>
        </w:rPr>
      </w:pPr>
      <w:r>
        <w:rPr>
          <w:rFonts w:ascii="宋体" w:hAnsi="宋体" w:cstheme="minorBidi"/>
          <w:b/>
          <w:color w:val="auto"/>
          <w:spacing w:val="-6"/>
          <w:sz w:val="21"/>
          <w:szCs w:val="21"/>
          <w:highlight w:val="none"/>
        </w:rPr>
        <w:t>第</w:t>
      </w:r>
      <w:r>
        <w:rPr>
          <w:rFonts w:hint="eastAsia" w:ascii="宋体" w:hAnsi="宋体" w:cstheme="minorBidi"/>
          <w:b/>
          <w:color w:val="auto"/>
          <w:spacing w:val="-6"/>
          <w:sz w:val="21"/>
          <w:szCs w:val="21"/>
          <w:highlight w:val="none"/>
        </w:rPr>
        <w:t>六</w:t>
      </w:r>
      <w:r>
        <w:rPr>
          <w:rFonts w:ascii="宋体" w:hAnsi="宋体" w:cstheme="minorBidi"/>
          <w:b/>
          <w:color w:val="auto"/>
          <w:spacing w:val="-6"/>
          <w:sz w:val="21"/>
          <w:szCs w:val="21"/>
          <w:highlight w:val="none"/>
        </w:rPr>
        <w:t>条：技术资料</w:t>
      </w:r>
    </w:p>
    <w:p>
      <w:pPr>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1.乙方应按招标文件规定的时间向甲方提供使用货物的有关技术资料。</w:t>
      </w:r>
    </w:p>
    <w:p>
      <w:pPr>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340" w:hanging="340" w:hangingChars="171"/>
        <w:rPr>
          <w:rFonts w:ascii="宋体" w:hAnsi="宋体" w:cstheme="minorBidi"/>
          <w:b/>
          <w:color w:val="auto"/>
          <w:spacing w:val="-6"/>
          <w:sz w:val="21"/>
          <w:szCs w:val="21"/>
          <w:highlight w:val="none"/>
        </w:rPr>
      </w:pPr>
      <w:r>
        <w:rPr>
          <w:rFonts w:ascii="宋体" w:hAnsi="宋体" w:cstheme="minorBidi"/>
          <w:b/>
          <w:color w:val="auto"/>
          <w:spacing w:val="-6"/>
          <w:sz w:val="21"/>
          <w:szCs w:val="21"/>
          <w:highlight w:val="none"/>
        </w:rPr>
        <w:t>第</w:t>
      </w:r>
      <w:r>
        <w:rPr>
          <w:rFonts w:hint="eastAsia" w:ascii="宋体" w:hAnsi="宋体" w:cstheme="minorBidi"/>
          <w:b/>
          <w:color w:val="auto"/>
          <w:spacing w:val="-6"/>
          <w:sz w:val="21"/>
          <w:szCs w:val="21"/>
          <w:highlight w:val="none"/>
        </w:rPr>
        <w:t>七</w:t>
      </w:r>
      <w:r>
        <w:rPr>
          <w:rFonts w:ascii="宋体" w:hAnsi="宋体" w:cstheme="minorBidi"/>
          <w:b/>
          <w:color w:val="auto"/>
          <w:spacing w:val="-6"/>
          <w:sz w:val="21"/>
          <w:szCs w:val="21"/>
          <w:highlight w:val="none"/>
        </w:rPr>
        <w:t>条：知识产权</w:t>
      </w:r>
    </w:p>
    <w:p>
      <w:pPr>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乙方应保证所提供的货物或其任何一部分均不会侵犯任何第三方的知识产权。</w:t>
      </w:r>
    </w:p>
    <w:p>
      <w:pPr>
        <w:rPr>
          <w:rFonts w:ascii="宋体" w:hAnsi="宋体"/>
          <w:b/>
          <w:color w:val="auto"/>
          <w:spacing w:val="-6"/>
          <w:sz w:val="21"/>
          <w:szCs w:val="21"/>
          <w:highlight w:val="none"/>
        </w:rPr>
      </w:pPr>
      <w:r>
        <w:rPr>
          <w:rFonts w:hint="eastAsia" w:ascii="宋体" w:hAnsi="宋体"/>
          <w:b/>
          <w:color w:val="auto"/>
          <w:spacing w:val="-6"/>
          <w:sz w:val="21"/>
          <w:szCs w:val="21"/>
          <w:highlight w:val="none"/>
        </w:rPr>
        <w:t>第八条：调试与验收</w:t>
      </w:r>
    </w:p>
    <w:p>
      <w:pPr>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1.乙方交货前应对产品作出全面检查和对验收文件进行整理，并列出清单，作为甲方收货验收和使用的技术条件依据，检验的结果应随货物交甲方。</w:t>
      </w:r>
    </w:p>
    <w:p>
      <w:pPr>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2.甲方对乙方提交的货物依据招标文件上的技术规格要求和国家有关质量标准进行现场初步验收，外观、说明书符合招标文件技术要求的，给予签收，初步验收不合格的不予签收。</w:t>
      </w:r>
    </w:p>
    <w:p>
      <w:pPr>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3.甲方对乙方提供的货物在使用前进行调试时，乙方需负责安装并培训甲方的使用操作人员，并协助甲方一起调试，直到符合技术要求，甲方才做最终验收。</w:t>
      </w:r>
    </w:p>
    <w:p>
      <w:pPr>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4.对技术复杂的货物，甲方应请国家认可的专业检测机构参与初步验收及最终验收，并由其出具质量检测报告。</w:t>
      </w:r>
    </w:p>
    <w:p>
      <w:pPr>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5.验收时乙方必须在现场，验收完毕后作出验收结果报告；验收费用由乙方负责。</w:t>
      </w:r>
    </w:p>
    <w:p>
      <w:pPr>
        <w:ind w:right="31" w:rightChars="11"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6.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pPr>
        <w:ind w:right="-686" w:rightChars="-245"/>
        <w:rPr>
          <w:rFonts w:ascii="宋体" w:hAnsi="宋体"/>
          <w:b/>
          <w:color w:val="auto"/>
          <w:spacing w:val="-6"/>
          <w:sz w:val="21"/>
          <w:szCs w:val="21"/>
          <w:highlight w:val="none"/>
        </w:rPr>
      </w:pPr>
      <w:r>
        <w:rPr>
          <w:rFonts w:hint="eastAsia" w:ascii="宋体" w:hAnsi="宋体"/>
          <w:b/>
          <w:color w:val="auto"/>
          <w:spacing w:val="-6"/>
          <w:sz w:val="21"/>
          <w:szCs w:val="21"/>
          <w:highlight w:val="none"/>
        </w:rPr>
        <w:t>第九条：违约责任</w:t>
      </w:r>
    </w:p>
    <w:p>
      <w:pPr>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1.乙方逾期履行合同的，自逾期之日起，向甲方每日偿付合同总价千分之五的滞纳金。</w:t>
      </w:r>
    </w:p>
    <w:p>
      <w:pPr>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2.甲方逾期支付货款的，自逾期之日起，向乙方每日偿付未付价款千分之五的滞纳金。</w:t>
      </w:r>
    </w:p>
    <w:p>
      <w:pPr>
        <w:ind w:right="31" w:rightChars="11"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rPr>
          <w:rFonts w:ascii="宋体" w:hAnsi="宋体" w:cstheme="minorBidi"/>
          <w:b/>
          <w:color w:val="auto"/>
          <w:spacing w:val="-6"/>
          <w:sz w:val="21"/>
          <w:szCs w:val="21"/>
          <w:highlight w:val="none"/>
        </w:rPr>
      </w:pPr>
      <w:r>
        <w:rPr>
          <w:rFonts w:ascii="宋体" w:hAnsi="宋体" w:cstheme="minorBidi"/>
          <w:b/>
          <w:color w:val="auto"/>
          <w:spacing w:val="-6"/>
          <w:sz w:val="21"/>
          <w:szCs w:val="21"/>
          <w:highlight w:val="none"/>
        </w:rPr>
        <w:t>第十条：不可抗力事件处理</w:t>
      </w:r>
    </w:p>
    <w:p>
      <w:pPr>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1.在合同有效期内，任何一方因不可抗力事件导致不能履行合同，则合同履行期可延长，其延长期与不可抗力影响期相同。</w:t>
      </w:r>
    </w:p>
    <w:p>
      <w:pPr>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2.不可抗力事件发生后，应立即通知对方，并寄送有关权威机构出具的证明。</w:t>
      </w:r>
    </w:p>
    <w:p>
      <w:pPr>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3.不可抗力事件延续120天以上，双方应通过友好协商，确定是否继续履行合同。</w:t>
      </w:r>
    </w:p>
    <w:p>
      <w:pPr>
        <w:ind w:right="-686" w:rightChars="-245"/>
        <w:rPr>
          <w:rFonts w:ascii="宋体" w:hAnsi="宋体"/>
          <w:b/>
          <w:color w:val="auto"/>
          <w:spacing w:val="-6"/>
          <w:sz w:val="21"/>
          <w:szCs w:val="21"/>
          <w:highlight w:val="none"/>
        </w:rPr>
      </w:pPr>
      <w:r>
        <w:rPr>
          <w:rFonts w:hint="eastAsia" w:ascii="宋体" w:hAnsi="宋体"/>
          <w:b/>
          <w:color w:val="auto"/>
          <w:spacing w:val="-6"/>
          <w:sz w:val="21"/>
          <w:szCs w:val="21"/>
          <w:highlight w:val="none"/>
        </w:rPr>
        <w:t>第十一条：争议解决</w:t>
      </w:r>
    </w:p>
    <w:p>
      <w:pPr>
        <w:ind w:right="31" w:rightChars="11"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本合同未尽事宜由三方协商解决，如协商不成，三方同意将本合同引起的争议提交杭州仲裁委员会仲裁解决，仲裁为终局。</w:t>
      </w:r>
    </w:p>
    <w:p>
      <w:pPr>
        <w:ind w:right="-686" w:rightChars="-245"/>
        <w:rPr>
          <w:rFonts w:ascii="宋体" w:hAnsi="宋体"/>
          <w:b/>
          <w:color w:val="auto"/>
          <w:spacing w:val="-6"/>
          <w:sz w:val="21"/>
          <w:szCs w:val="21"/>
          <w:highlight w:val="none"/>
        </w:rPr>
      </w:pPr>
      <w:r>
        <w:rPr>
          <w:rFonts w:hint="eastAsia" w:ascii="宋体" w:hAnsi="宋体"/>
          <w:b/>
          <w:color w:val="auto"/>
          <w:spacing w:val="-6"/>
          <w:sz w:val="21"/>
          <w:szCs w:val="21"/>
          <w:highlight w:val="none"/>
        </w:rPr>
        <w:t>第十二条：合同生效</w:t>
      </w:r>
    </w:p>
    <w:p>
      <w:pPr>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合同经甲、乙双方法定代表人或授权代表签字并加盖单位公章后生效。</w:t>
      </w:r>
    </w:p>
    <w:p>
      <w:pPr>
        <w:rPr>
          <w:rFonts w:ascii="宋体" w:hAnsi="宋体"/>
          <w:b/>
          <w:color w:val="auto"/>
          <w:spacing w:val="-6"/>
          <w:sz w:val="21"/>
          <w:szCs w:val="21"/>
          <w:highlight w:val="none"/>
        </w:rPr>
      </w:pPr>
      <w:r>
        <w:rPr>
          <w:rFonts w:hint="eastAsia" w:ascii="宋体" w:hAnsi="宋体"/>
          <w:b/>
          <w:color w:val="auto"/>
          <w:spacing w:val="-6"/>
          <w:sz w:val="21"/>
          <w:szCs w:val="21"/>
          <w:highlight w:val="none"/>
        </w:rPr>
        <w:t>第十三条：其他</w:t>
      </w:r>
    </w:p>
    <w:p>
      <w:pPr>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1.合同执行中涉及采购资金和采购内容修改或补充的，须经财政部门审批，并签书面补充协议报政府采购监督管理部门备案，方可作为主合同不可分割的一部分。</w:t>
      </w:r>
    </w:p>
    <w:p>
      <w:pPr>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2.本合同未尽事宜，乙方在投标文件中有承诺或保证对其仍具有约束力，其余遵照《合同法》有关条文执行。</w:t>
      </w:r>
    </w:p>
    <w:p>
      <w:pPr>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3.本合同一式五份，甲方执三份，乙方执一份，采购代理机构执一份。</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pPr>
              <w:rPr>
                <w:rFonts w:ascii="宋体" w:hAnsi="宋体"/>
                <w:color w:val="auto"/>
                <w:spacing w:val="-6"/>
                <w:sz w:val="21"/>
                <w:szCs w:val="21"/>
                <w:highlight w:val="none"/>
              </w:rPr>
            </w:pPr>
            <w:r>
              <w:rPr>
                <w:rFonts w:hint="eastAsia" w:ascii="宋体" w:hAnsi="宋体"/>
                <w:color w:val="auto"/>
                <w:spacing w:val="-6"/>
                <w:sz w:val="21"/>
                <w:szCs w:val="21"/>
                <w:highlight w:val="none"/>
              </w:rPr>
              <w:t>甲方（需方）：（公章）</w:t>
            </w:r>
          </w:p>
        </w:tc>
        <w:tc>
          <w:tcPr>
            <w:tcW w:w="4678" w:type="dxa"/>
            <w:vAlign w:val="center"/>
          </w:tcPr>
          <w:p>
            <w:pPr>
              <w:rPr>
                <w:rFonts w:ascii="宋体" w:hAnsi="宋体"/>
                <w:color w:val="auto"/>
                <w:spacing w:val="-6"/>
                <w:sz w:val="21"/>
                <w:szCs w:val="21"/>
                <w:highlight w:val="none"/>
              </w:rPr>
            </w:pPr>
            <w:r>
              <w:rPr>
                <w:rFonts w:hint="eastAsia" w:ascii="宋体" w:hAnsi="宋体"/>
                <w:color w:val="auto"/>
                <w:spacing w:val="-6"/>
                <w:sz w:val="21"/>
                <w:szCs w:val="21"/>
                <w:highlight w:val="none"/>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pPr>
              <w:rPr>
                <w:rFonts w:ascii="宋体" w:hAnsi="宋体"/>
                <w:color w:val="auto"/>
                <w:spacing w:val="-6"/>
                <w:sz w:val="21"/>
                <w:szCs w:val="21"/>
                <w:highlight w:val="none"/>
              </w:rPr>
            </w:pPr>
            <w:r>
              <w:rPr>
                <w:rFonts w:hint="eastAsia" w:ascii="宋体" w:hAnsi="宋体"/>
                <w:color w:val="auto"/>
                <w:spacing w:val="-6"/>
                <w:sz w:val="21"/>
                <w:szCs w:val="21"/>
                <w:highlight w:val="none"/>
              </w:rPr>
              <w:t>甲方代表：</w:t>
            </w:r>
          </w:p>
          <w:p>
            <w:pPr>
              <w:rPr>
                <w:rFonts w:ascii="宋体" w:hAnsi="宋体"/>
                <w:color w:val="auto"/>
                <w:spacing w:val="-6"/>
                <w:sz w:val="21"/>
                <w:szCs w:val="21"/>
                <w:highlight w:val="none"/>
              </w:rPr>
            </w:pPr>
            <w:r>
              <w:rPr>
                <w:rFonts w:hint="eastAsia" w:ascii="宋体" w:hAnsi="宋体"/>
                <w:color w:val="auto"/>
                <w:spacing w:val="-6"/>
                <w:sz w:val="21"/>
                <w:szCs w:val="21"/>
                <w:highlight w:val="none"/>
              </w:rPr>
              <w:t>(签字）</w:t>
            </w:r>
          </w:p>
        </w:tc>
        <w:tc>
          <w:tcPr>
            <w:tcW w:w="4678" w:type="dxa"/>
            <w:vAlign w:val="center"/>
          </w:tcPr>
          <w:p>
            <w:pPr>
              <w:rPr>
                <w:rFonts w:ascii="宋体" w:hAnsi="宋体"/>
                <w:color w:val="auto"/>
                <w:spacing w:val="-6"/>
                <w:sz w:val="21"/>
                <w:szCs w:val="21"/>
                <w:highlight w:val="none"/>
              </w:rPr>
            </w:pPr>
            <w:r>
              <w:rPr>
                <w:rFonts w:hint="eastAsia" w:ascii="宋体" w:hAnsi="宋体"/>
                <w:color w:val="auto"/>
                <w:spacing w:val="-6"/>
                <w:sz w:val="21"/>
                <w:szCs w:val="21"/>
                <w:highlight w:val="none"/>
              </w:rPr>
              <w:t>乙方代表：</w:t>
            </w:r>
          </w:p>
          <w:p>
            <w:pPr>
              <w:rPr>
                <w:rFonts w:ascii="宋体" w:hAnsi="宋体"/>
                <w:color w:val="auto"/>
                <w:spacing w:val="-6"/>
                <w:sz w:val="21"/>
                <w:szCs w:val="21"/>
                <w:highlight w:val="none"/>
              </w:rPr>
            </w:pPr>
            <w:r>
              <w:rPr>
                <w:rFonts w:hint="eastAsia" w:ascii="宋体" w:hAnsi="宋体"/>
                <w:color w:val="auto"/>
                <w:spacing w:val="-6"/>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pPr>
              <w:rPr>
                <w:rFonts w:ascii="宋体" w:hAnsi="宋体"/>
                <w:color w:val="auto"/>
                <w:sz w:val="21"/>
                <w:szCs w:val="21"/>
                <w:highlight w:val="none"/>
              </w:rPr>
            </w:pPr>
            <w:r>
              <w:rPr>
                <w:rFonts w:hint="eastAsia" w:ascii="宋体" w:hAnsi="宋体"/>
                <w:color w:val="auto"/>
                <w:sz w:val="21"/>
                <w:szCs w:val="21"/>
                <w:highlight w:val="none"/>
              </w:rPr>
              <w:t>地址：</w:t>
            </w:r>
          </w:p>
        </w:tc>
        <w:tc>
          <w:tcPr>
            <w:tcW w:w="4678" w:type="dxa"/>
            <w:vAlign w:val="center"/>
          </w:tcPr>
          <w:p>
            <w:pPr>
              <w:rPr>
                <w:rFonts w:ascii="宋体" w:hAnsi="宋体"/>
                <w:color w:val="auto"/>
                <w:spacing w:val="-6"/>
                <w:sz w:val="21"/>
                <w:szCs w:val="21"/>
                <w:highlight w:val="none"/>
              </w:rPr>
            </w:pPr>
            <w:r>
              <w:rPr>
                <w:rFonts w:hint="eastAsia" w:ascii="宋体" w:hAnsi="宋体"/>
                <w:color w:val="auto"/>
                <w:spacing w:val="-6"/>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pPr>
              <w:rPr>
                <w:rFonts w:ascii="宋体" w:hAnsi="宋体"/>
                <w:color w:val="auto"/>
                <w:sz w:val="21"/>
                <w:szCs w:val="21"/>
                <w:highlight w:val="none"/>
              </w:rPr>
            </w:pPr>
            <w:r>
              <w:rPr>
                <w:rFonts w:hint="eastAsia" w:ascii="宋体" w:hAnsi="宋体"/>
                <w:color w:val="auto"/>
                <w:sz w:val="21"/>
                <w:szCs w:val="21"/>
                <w:highlight w:val="none"/>
              </w:rPr>
              <w:t>邮编：</w:t>
            </w:r>
          </w:p>
        </w:tc>
        <w:tc>
          <w:tcPr>
            <w:tcW w:w="4678" w:type="dxa"/>
            <w:vAlign w:val="center"/>
          </w:tcPr>
          <w:p>
            <w:pPr>
              <w:rPr>
                <w:rFonts w:ascii="宋体" w:hAnsi="宋体"/>
                <w:color w:val="auto"/>
                <w:spacing w:val="-6"/>
                <w:sz w:val="21"/>
                <w:szCs w:val="21"/>
                <w:highlight w:val="none"/>
              </w:rPr>
            </w:pPr>
            <w:r>
              <w:rPr>
                <w:rFonts w:hint="eastAsia" w:ascii="宋体" w:hAnsi="宋体"/>
                <w:color w:val="auto"/>
                <w:spacing w:val="-6"/>
                <w:sz w:val="21"/>
                <w:szCs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pPr>
              <w:rPr>
                <w:rFonts w:ascii="宋体" w:hAnsi="宋体"/>
                <w:color w:val="auto"/>
                <w:sz w:val="21"/>
                <w:szCs w:val="21"/>
                <w:highlight w:val="none"/>
              </w:rPr>
            </w:pPr>
            <w:r>
              <w:rPr>
                <w:rFonts w:hint="eastAsia" w:ascii="宋体" w:hAnsi="宋体"/>
                <w:color w:val="auto"/>
                <w:sz w:val="21"/>
                <w:szCs w:val="21"/>
                <w:highlight w:val="none"/>
              </w:rPr>
              <w:t>电话：</w:t>
            </w:r>
          </w:p>
        </w:tc>
        <w:tc>
          <w:tcPr>
            <w:tcW w:w="4678" w:type="dxa"/>
            <w:vAlign w:val="center"/>
          </w:tcPr>
          <w:p>
            <w:pPr>
              <w:rPr>
                <w:rFonts w:ascii="宋体" w:hAnsi="宋体"/>
                <w:color w:val="auto"/>
                <w:spacing w:val="-6"/>
                <w:sz w:val="21"/>
                <w:szCs w:val="21"/>
                <w:highlight w:val="none"/>
              </w:rPr>
            </w:pPr>
            <w:r>
              <w:rPr>
                <w:rFonts w:hint="eastAsia" w:ascii="宋体" w:hAnsi="宋体"/>
                <w:color w:val="auto"/>
                <w:spacing w:val="-6"/>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pPr>
              <w:rPr>
                <w:rFonts w:ascii="宋体" w:hAnsi="宋体"/>
                <w:color w:val="auto"/>
                <w:sz w:val="21"/>
                <w:szCs w:val="21"/>
                <w:highlight w:val="none"/>
              </w:rPr>
            </w:pPr>
            <w:r>
              <w:rPr>
                <w:rFonts w:hint="eastAsia" w:ascii="宋体" w:hAnsi="宋体"/>
                <w:color w:val="auto"/>
                <w:sz w:val="21"/>
                <w:szCs w:val="21"/>
                <w:highlight w:val="none"/>
              </w:rPr>
              <w:t>传真：</w:t>
            </w:r>
          </w:p>
        </w:tc>
        <w:tc>
          <w:tcPr>
            <w:tcW w:w="4678" w:type="dxa"/>
            <w:vAlign w:val="center"/>
          </w:tcPr>
          <w:p>
            <w:pPr>
              <w:rPr>
                <w:rFonts w:ascii="宋体" w:hAnsi="宋体"/>
                <w:color w:val="auto"/>
                <w:spacing w:val="-6"/>
                <w:sz w:val="21"/>
                <w:szCs w:val="21"/>
                <w:highlight w:val="none"/>
              </w:rPr>
            </w:pPr>
            <w:r>
              <w:rPr>
                <w:rFonts w:hint="eastAsia" w:ascii="宋体" w:hAnsi="宋体"/>
                <w:color w:val="auto"/>
                <w:spacing w:val="-6"/>
                <w:sz w:val="21"/>
                <w:szCs w:val="21"/>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pPr>
              <w:rPr>
                <w:rFonts w:ascii="宋体" w:hAnsi="宋体"/>
                <w:color w:val="auto"/>
                <w:sz w:val="21"/>
                <w:szCs w:val="21"/>
                <w:highlight w:val="none"/>
              </w:rPr>
            </w:pPr>
            <w:r>
              <w:rPr>
                <w:rFonts w:hint="eastAsia" w:ascii="宋体" w:hAnsi="宋体"/>
                <w:color w:val="auto"/>
                <w:sz w:val="21"/>
                <w:szCs w:val="21"/>
                <w:highlight w:val="none"/>
              </w:rPr>
              <w:t>开户银行：</w:t>
            </w:r>
          </w:p>
        </w:tc>
        <w:tc>
          <w:tcPr>
            <w:tcW w:w="4678" w:type="dxa"/>
            <w:vAlign w:val="center"/>
          </w:tcPr>
          <w:p>
            <w:pPr>
              <w:rPr>
                <w:rFonts w:ascii="宋体" w:hAnsi="宋体"/>
                <w:color w:val="auto"/>
                <w:spacing w:val="-6"/>
                <w:sz w:val="21"/>
                <w:szCs w:val="21"/>
                <w:highlight w:val="none"/>
              </w:rPr>
            </w:pPr>
            <w:r>
              <w:rPr>
                <w:rFonts w:hint="eastAsia" w:ascii="宋体" w:hAnsi="宋体"/>
                <w:color w:val="auto"/>
                <w:spacing w:val="-6"/>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pPr>
              <w:rPr>
                <w:rFonts w:ascii="宋体" w:hAnsi="宋体"/>
                <w:color w:val="auto"/>
                <w:sz w:val="21"/>
                <w:szCs w:val="21"/>
                <w:highlight w:val="none"/>
              </w:rPr>
            </w:pPr>
            <w:r>
              <w:rPr>
                <w:rFonts w:hint="eastAsia" w:ascii="宋体" w:hAnsi="宋体"/>
                <w:color w:val="auto"/>
                <w:sz w:val="21"/>
                <w:szCs w:val="21"/>
                <w:highlight w:val="none"/>
              </w:rPr>
              <w:t>帐号：</w:t>
            </w:r>
          </w:p>
        </w:tc>
        <w:tc>
          <w:tcPr>
            <w:tcW w:w="4678" w:type="dxa"/>
            <w:vAlign w:val="center"/>
          </w:tcPr>
          <w:p>
            <w:pPr>
              <w:rPr>
                <w:rFonts w:ascii="宋体" w:hAnsi="宋体"/>
                <w:color w:val="auto"/>
                <w:spacing w:val="-6"/>
                <w:sz w:val="21"/>
                <w:szCs w:val="21"/>
                <w:highlight w:val="none"/>
              </w:rPr>
            </w:pPr>
            <w:r>
              <w:rPr>
                <w:rFonts w:hint="eastAsia" w:ascii="宋体" w:hAnsi="宋体"/>
                <w:color w:val="auto"/>
                <w:spacing w:val="-6"/>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pPr>
              <w:rPr>
                <w:rFonts w:ascii="宋体" w:hAnsi="宋体"/>
                <w:color w:val="auto"/>
                <w:spacing w:val="-6"/>
                <w:sz w:val="21"/>
                <w:szCs w:val="21"/>
                <w:highlight w:val="none"/>
              </w:rPr>
            </w:pPr>
            <w:r>
              <w:rPr>
                <w:rFonts w:hint="eastAsia" w:ascii="宋体" w:hAnsi="宋体"/>
                <w:color w:val="auto"/>
                <w:spacing w:val="-6"/>
                <w:sz w:val="21"/>
                <w:szCs w:val="21"/>
                <w:highlight w:val="none"/>
              </w:rPr>
              <w:t>签字日期：      年    月    日</w:t>
            </w:r>
          </w:p>
        </w:tc>
        <w:tc>
          <w:tcPr>
            <w:tcW w:w="4678" w:type="dxa"/>
            <w:vAlign w:val="center"/>
          </w:tcPr>
          <w:p>
            <w:pPr>
              <w:rPr>
                <w:rFonts w:ascii="宋体" w:hAnsi="宋体"/>
                <w:color w:val="auto"/>
                <w:spacing w:val="-6"/>
                <w:sz w:val="21"/>
                <w:szCs w:val="21"/>
                <w:highlight w:val="none"/>
              </w:rPr>
            </w:pPr>
            <w:r>
              <w:rPr>
                <w:rFonts w:hint="eastAsia" w:ascii="宋体" w:hAnsi="宋体"/>
                <w:color w:val="auto"/>
                <w:spacing w:val="-6"/>
                <w:sz w:val="21"/>
                <w:szCs w:val="21"/>
                <w:highlight w:val="none"/>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454" w:hRule="atLeast"/>
        </w:trPr>
        <w:tc>
          <w:tcPr>
            <w:tcW w:w="4678" w:type="dxa"/>
            <w:vAlign w:val="center"/>
          </w:tcPr>
          <w:p>
            <w:pPr>
              <w:rPr>
                <w:rFonts w:ascii="宋体" w:hAnsi="宋体"/>
                <w:color w:val="auto"/>
                <w:spacing w:val="-6"/>
                <w:sz w:val="21"/>
                <w:szCs w:val="21"/>
                <w:highlight w:val="none"/>
              </w:rPr>
            </w:pPr>
            <w:r>
              <w:rPr>
                <w:rFonts w:hint="eastAsia" w:ascii="宋体" w:hAnsi="宋体"/>
                <w:color w:val="auto"/>
                <w:spacing w:val="-6"/>
                <w:sz w:val="21"/>
                <w:szCs w:val="21"/>
                <w:highlight w:val="none"/>
              </w:rPr>
              <w:t>合同鉴证方：浙江求是招标代理有限公司（公章）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454" w:hRule="atLeast"/>
        </w:trPr>
        <w:tc>
          <w:tcPr>
            <w:tcW w:w="4678" w:type="dxa"/>
            <w:vAlign w:val="center"/>
          </w:tcPr>
          <w:p>
            <w:pPr>
              <w:tabs>
                <w:tab w:val="left" w:pos="2880"/>
              </w:tabs>
              <w:rPr>
                <w:rFonts w:ascii="宋体" w:hAnsi="宋体"/>
                <w:color w:val="auto"/>
                <w:spacing w:val="-6"/>
                <w:sz w:val="21"/>
                <w:szCs w:val="21"/>
                <w:highlight w:val="none"/>
              </w:rPr>
            </w:pPr>
            <w:r>
              <w:rPr>
                <w:rFonts w:hint="eastAsia" w:ascii="宋体" w:hAnsi="宋体"/>
                <w:color w:val="auto"/>
                <w:spacing w:val="-6"/>
                <w:sz w:val="21"/>
                <w:szCs w:val="21"/>
                <w:highlight w:val="none"/>
              </w:rPr>
              <w:t>采购代理机构代表：</w:t>
            </w:r>
          </w:p>
          <w:p>
            <w:pPr>
              <w:rPr>
                <w:rFonts w:ascii="宋体" w:hAnsi="宋体"/>
                <w:color w:val="auto"/>
                <w:spacing w:val="-6"/>
                <w:sz w:val="21"/>
                <w:szCs w:val="21"/>
                <w:highlight w:val="none"/>
              </w:rPr>
            </w:pPr>
            <w:r>
              <w:rPr>
                <w:rFonts w:hint="eastAsia" w:ascii="宋体" w:hAnsi="宋体"/>
                <w:color w:val="auto"/>
                <w:spacing w:val="-6"/>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454" w:hRule="atLeast"/>
        </w:trPr>
        <w:tc>
          <w:tcPr>
            <w:tcW w:w="4678" w:type="dxa"/>
            <w:vAlign w:val="center"/>
          </w:tcPr>
          <w:p>
            <w:pPr>
              <w:rPr>
                <w:rFonts w:ascii="宋体" w:hAnsi="宋体"/>
                <w:color w:val="auto"/>
                <w:spacing w:val="-6"/>
                <w:sz w:val="21"/>
                <w:szCs w:val="21"/>
                <w:highlight w:val="none"/>
              </w:rPr>
            </w:pPr>
            <w:r>
              <w:rPr>
                <w:rFonts w:hint="eastAsia" w:ascii="宋体" w:hAnsi="宋体"/>
                <w:color w:val="auto"/>
                <w:spacing w:val="-6"/>
                <w:sz w:val="21"/>
                <w:szCs w:val="21"/>
                <w:highlight w:val="none"/>
              </w:rPr>
              <w:t>鉴证日期：      年    月    日</w:t>
            </w:r>
          </w:p>
        </w:tc>
      </w:tr>
    </w:tbl>
    <w:p>
      <w:pPr>
        <w:pStyle w:val="12"/>
        <w:tabs>
          <w:tab w:val="left" w:pos="2472"/>
        </w:tabs>
        <w:spacing w:beforeLines="0" w:afterLines="0" w:line="288" w:lineRule="auto"/>
        <w:jc w:val="center"/>
        <w:outlineLvl w:val="0"/>
        <w:rPr>
          <w:rFonts w:hAnsi="宋体"/>
          <w:b/>
          <w:color w:val="auto"/>
          <w:spacing w:val="-6"/>
          <w:sz w:val="32"/>
          <w:szCs w:val="32"/>
          <w:highlight w:val="none"/>
        </w:rPr>
      </w:pPr>
      <w:r>
        <w:rPr>
          <w:rFonts w:hAnsi="宋体"/>
          <w:b/>
          <w:color w:val="auto"/>
          <w:spacing w:val="-6"/>
          <w:sz w:val="32"/>
          <w:szCs w:val="32"/>
          <w:highlight w:val="none"/>
        </w:rPr>
        <w:br w:type="page"/>
      </w:r>
      <w:r>
        <w:rPr>
          <w:rFonts w:hAnsi="宋体"/>
          <w:b/>
          <w:color w:val="auto"/>
          <w:spacing w:val="-6"/>
          <w:sz w:val="32"/>
          <w:szCs w:val="32"/>
          <w:highlight w:val="none"/>
        </w:rPr>
        <w:t>第六章　响应文件格式</w:t>
      </w:r>
    </w:p>
    <w:p>
      <w:pPr>
        <w:spacing w:line="360" w:lineRule="auto"/>
        <w:rPr>
          <w:rFonts w:ascii="宋体" w:hAnsi="宋体"/>
          <w:b/>
          <w:bCs/>
          <w:color w:val="auto"/>
          <w:spacing w:val="-6"/>
          <w:sz w:val="24"/>
          <w:highlight w:val="none"/>
        </w:rPr>
      </w:pPr>
    </w:p>
    <w:p>
      <w:pPr>
        <w:pStyle w:val="12"/>
        <w:spacing w:beforeLines="0" w:afterLines="0" w:line="360" w:lineRule="auto"/>
        <w:ind w:firstLine="398" w:firstLineChars="200"/>
        <w:rPr>
          <w:rFonts w:hAnsi="宋体"/>
          <w:b/>
          <w:bCs/>
          <w:color w:val="auto"/>
          <w:spacing w:val="-6"/>
          <w:sz w:val="21"/>
          <w:szCs w:val="21"/>
          <w:highlight w:val="none"/>
        </w:rPr>
      </w:pPr>
      <w:r>
        <w:rPr>
          <w:rFonts w:hint="eastAsia" w:hAnsi="宋体"/>
          <w:b/>
          <w:bCs/>
          <w:color w:val="auto"/>
          <w:spacing w:val="-6"/>
          <w:sz w:val="21"/>
          <w:szCs w:val="21"/>
          <w:highlight w:val="none"/>
        </w:rPr>
        <w:t>响应文件的编制应按照本项目：“第三章  供应商须知”</w:t>
      </w:r>
      <w:r>
        <w:rPr>
          <w:rFonts w:hAnsi="宋体"/>
          <w:b/>
          <w:color w:val="auto"/>
          <w:spacing w:val="-6"/>
          <w:sz w:val="21"/>
          <w:szCs w:val="21"/>
          <w:highlight w:val="none"/>
        </w:rPr>
        <w:t>三</w:t>
      </w:r>
      <w:r>
        <w:rPr>
          <w:rFonts w:hint="eastAsia" w:hAnsi="宋体"/>
          <w:b/>
          <w:color w:val="auto"/>
          <w:spacing w:val="-6"/>
          <w:sz w:val="21"/>
          <w:szCs w:val="21"/>
          <w:highlight w:val="none"/>
        </w:rPr>
        <w:t>、</w:t>
      </w:r>
      <w:r>
        <w:rPr>
          <w:rFonts w:hAnsi="宋体"/>
          <w:b/>
          <w:color w:val="auto"/>
          <w:spacing w:val="-6"/>
          <w:sz w:val="21"/>
          <w:szCs w:val="21"/>
          <w:highlight w:val="none"/>
        </w:rPr>
        <w:t>响应文件的编制</w:t>
      </w:r>
      <w:r>
        <w:rPr>
          <w:rFonts w:hint="eastAsia" w:hAnsi="宋体"/>
          <w:b/>
          <w:color w:val="auto"/>
          <w:spacing w:val="-6"/>
          <w:sz w:val="21"/>
          <w:szCs w:val="21"/>
          <w:highlight w:val="none"/>
        </w:rPr>
        <w:t>的要求编制。</w:t>
      </w:r>
    </w:p>
    <w:p>
      <w:pPr>
        <w:spacing w:line="360" w:lineRule="auto"/>
        <w:rPr>
          <w:rFonts w:ascii="宋体" w:hAnsi="宋体"/>
          <w:b/>
          <w:bCs/>
          <w:color w:val="auto"/>
          <w:spacing w:val="-6"/>
          <w:sz w:val="24"/>
          <w:highlight w:val="none"/>
        </w:rPr>
      </w:pPr>
    </w:p>
    <w:p>
      <w:pPr>
        <w:spacing w:line="360" w:lineRule="auto"/>
        <w:rPr>
          <w:rFonts w:ascii="宋体" w:hAnsi="宋体"/>
          <w:b/>
          <w:bCs/>
          <w:color w:val="auto"/>
          <w:spacing w:val="-6"/>
          <w:sz w:val="24"/>
          <w:highlight w:val="none"/>
        </w:rPr>
      </w:pPr>
    </w:p>
    <w:p>
      <w:pPr>
        <w:spacing w:line="360" w:lineRule="auto"/>
        <w:rPr>
          <w:rFonts w:ascii="宋体" w:hAnsi="宋体"/>
          <w:b/>
          <w:bCs/>
          <w:color w:val="auto"/>
          <w:spacing w:val="-6"/>
          <w:sz w:val="24"/>
          <w:highlight w:val="none"/>
        </w:rPr>
      </w:pPr>
    </w:p>
    <w:p>
      <w:pPr>
        <w:spacing w:line="360" w:lineRule="auto"/>
        <w:jc w:val="center"/>
        <w:rPr>
          <w:rFonts w:ascii="宋体" w:hAnsi="宋体"/>
          <w:b/>
          <w:bCs/>
          <w:color w:val="auto"/>
          <w:spacing w:val="-6"/>
          <w:sz w:val="24"/>
          <w:highlight w:val="none"/>
        </w:rPr>
      </w:pPr>
      <w:r>
        <w:rPr>
          <w:rFonts w:hint="eastAsia" w:ascii="宋体" w:hAnsi="宋体"/>
          <w:b/>
          <w:bCs/>
          <w:color w:val="auto"/>
          <w:spacing w:val="-6"/>
          <w:sz w:val="24"/>
          <w:highlight w:val="none"/>
        </w:rPr>
        <w:t>外层包装（封签）</w:t>
      </w:r>
    </w:p>
    <w:p>
      <w:pPr>
        <w:spacing w:line="360" w:lineRule="auto"/>
        <w:rPr>
          <w:rFonts w:ascii="宋体" w:hAnsi="宋体"/>
          <w:color w:val="auto"/>
          <w:spacing w:val="-6"/>
          <w:sz w:val="24"/>
          <w:highlight w:val="none"/>
        </w:rPr>
      </w:pPr>
    </w:p>
    <w:p>
      <w:pPr>
        <w:spacing w:line="360" w:lineRule="auto"/>
        <w:jc w:val="center"/>
        <w:rPr>
          <w:rFonts w:ascii="宋体" w:hAnsi="宋体"/>
          <w:bCs/>
          <w:color w:val="auto"/>
          <w:spacing w:val="-6"/>
          <w:sz w:val="24"/>
          <w:highlight w:val="none"/>
        </w:rPr>
      </w:pPr>
      <w:r>
        <w:rPr>
          <w:rFonts w:hint="eastAsia" w:ascii="宋体" w:hAnsi="宋体"/>
          <w:bCs/>
          <w:color w:val="auto"/>
          <w:spacing w:val="-6"/>
          <w:sz w:val="24"/>
          <w:highlight w:val="none"/>
        </w:rPr>
        <w:t>____________________（供应商名称）</w:t>
      </w:r>
    </w:p>
    <w:p>
      <w:pPr>
        <w:spacing w:line="360" w:lineRule="auto"/>
        <w:jc w:val="center"/>
        <w:rPr>
          <w:rFonts w:ascii="宋体" w:hAnsi="宋体"/>
          <w:b/>
          <w:bCs/>
          <w:color w:val="auto"/>
          <w:spacing w:val="-6"/>
          <w:sz w:val="24"/>
          <w:highlight w:val="none"/>
        </w:rPr>
      </w:pPr>
      <w:r>
        <w:rPr>
          <w:rFonts w:hint="eastAsia" w:ascii="宋体" w:hAnsi="宋体"/>
          <w:b/>
          <w:bCs/>
          <w:color w:val="auto"/>
          <w:spacing w:val="-6"/>
          <w:sz w:val="24"/>
          <w:highlight w:val="none"/>
        </w:rPr>
        <w:t>响 应 文 件</w:t>
      </w:r>
    </w:p>
    <w:p>
      <w:pPr>
        <w:spacing w:line="360" w:lineRule="auto"/>
        <w:rPr>
          <w:rFonts w:ascii="宋体" w:hAnsi="宋体"/>
          <w:bCs/>
          <w:color w:val="auto"/>
          <w:spacing w:val="-6"/>
          <w:sz w:val="24"/>
          <w:highlight w:val="none"/>
        </w:rPr>
      </w:pP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采购人：浙江省退役军人事务厅</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项目名称：云安全防护设备及服务项目</w:t>
      </w:r>
    </w:p>
    <w:p>
      <w:pPr>
        <w:spacing w:line="360" w:lineRule="auto"/>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项目编号：</w:t>
      </w:r>
      <w:r>
        <w:rPr>
          <w:rFonts w:hint="eastAsia" w:ascii="宋体" w:hAnsi="宋体"/>
          <w:bCs/>
          <w:color w:val="auto"/>
          <w:spacing w:val="-6"/>
          <w:sz w:val="24"/>
          <w:highlight w:val="none"/>
          <w:lang w:eastAsia="zh-CN"/>
        </w:rPr>
        <w:t>QSZB-Z(F)-E19282(CS)</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供应商名称（盖章）：</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供应商地址：</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在  年  月  日  时  分之前不得启封</w:t>
      </w:r>
    </w:p>
    <w:p>
      <w:pPr>
        <w:spacing w:line="360" w:lineRule="auto"/>
        <w:rPr>
          <w:rFonts w:ascii="宋体" w:hAnsi="宋体"/>
          <w:bCs/>
          <w:color w:val="auto"/>
          <w:spacing w:val="-6"/>
          <w:sz w:val="24"/>
          <w:highlight w:val="none"/>
        </w:rPr>
      </w:pPr>
    </w:p>
    <w:p>
      <w:pPr>
        <w:spacing w:line="360" w:lineRule="auto"/>
        <w:rPr>
          <w:rFonts w:ascii="宋体" w:hAnsi="宋体"/>
          <w:bCs/>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日期：  年  月  日</w:t>
      </w:r>
    </w:p>
    <w:p>
      <w:pPr>
        <w:spacing w:line="360" w:lineRule="auto"/>
        <w:rPr>
          <w:rFonts w:ascii="宋体" w:hAnsi="宋体"/>
          <w:color w:val="auto"/>
          <w:spacing w:val="-6"/>
          <w:sz w:val="24"/>
          <w:highlight w:val="none"/>
        </w:rPr>
      </w:pPr>
      <w:r>
        <w:rPr>
          <w:rFonts w:ascii="宋体" w:hAnsi="宋体"/>
          <w:bCs/>
          <w:color w:val="auto"/>
          <w:spacing w:val="-6"/>
          <w:sz w:val="24"/>
          <w:highlight w:val="none"/>
        </w:rPr>
        <w:br w:type="page"/>
      </w:r>
      <w:r>
        <w:rPr>
          <w:rFonts w:hint="eastAsia" w:ascii="宋体" w:hAnsi="宋体"/>
          <w:color w:val="auto"/>
          <w:spacing w:val="-6"/>
          <w:sz w:val="24"/>
          <w:highlight w:val="none"/>
        </w:rPr>
        <w:t>封面</w:t>
      </w:r>
    </w:p>
    <w:p>
      <w:pPr>
        <w:spacing w:line="360" w:lineRule="auto"/>
        <w:jc w:val="right"/>
        <w:rPr>
          <w:rFonts w:ascii="宋体" w:hAnsi="宋体"/>
          <w:color w:val="auto"/>
          <w:spacing w:val="-6"/>
          <w:sz w:val="24"/>
          <w:highlight w:val="none"/>
        </w:rPr>
      </w:pPr>
      <w:r>
        <w:rPr>
          <w:rFonts w:hint="eastAsia" w:ascii="宋体" w:hAnsi="宋体"/>
          <w:b/>
          <w:bCs/>
          <w:color w:val="auto"/>
          <w:spacing w:val="-6"/>
          <w:sz w:val="24"/>
          <w:highlight w:val="none"/>
        </w:rPr>
        <w:t>正本或副本</w:t>
      </w:r>
    </w:p>
    <w:p>
      <w:pPr>
        <w:spacing w:line="360" w:lineRule="auto"/>
        <w:rPr>
          <w:rFonts w:ascii="宋体" w:hAnsi="宋体"/>
          <w:color w:val="auto"/>
          <w:spacing w:val="-6"/>
          <w:sz w:val="24"/>
          <w:highlight w:val="none"/>
        </w:rPr>
      </w:pPr>
    </w:p>
    <w:p>
      <w:pPr>
        <w:spacing w:line="360" w:lineRule="auto"/>
        <w:jc w:val="center"/>
        <w:rPr>
          <w:rFonts w:ascii="宋体" w:hAnsi="宋体"/>
          <w:bCs/>
          <w:color w:val="auto"/>
          <w:spacing w:val="-6"/>
          <w:sz w:val="24"/>
          <w:highlight w:val="none"/>
        </w:rPr>
      </w:pPr>
      <w:r>
        <w:rPr>
          <w:rFonts w:hint="eastAsia" w:ascii="宋体" w:hAnsi="宋体"/>
          <w:bCs/>
          <w:color w:val="auto"/>
          <w:spacing w:val="-6"/>
          <w:sz w:val="24"/>
          <w:highlight w:val="none"/>
        </w:rPr>
        <w:t>____________________（供应商名称）</w:t>
      </w:r>
    </w:p>
    <w:p>
      <w:pPr>
        <w:spacing w:line="360" w:lineRule="auto"/>
        <w:jc w:val="center"/>
        <w:rPr>
          <w:rFonts w:ascii="宋体" w:hAnsi="宋体"/>
          <w:b/>
          <w:bCs/>
          <w:color w:val="auto"/>
          <w:spacing w:val="-6"/>
          <w:sz w:val="24"/>
          <w:highlight w:val="none"/>
        </w:rPr>
      </w:pPr>
      <w:r>
        <w:rPr>
          <w:rFonts w:hint="eastAsia" w:ascii="宋体" w:hAnsi="宋体"/>
          <w:b/>
          <w:bCs/>
          <w:color w:val="auto"/>
          <w:spacing w:val="-6"/>
          <w:sz w:val="24"/>
          <w:highlight w:val="none"/>
        </w:rPr>
        <w:t>响 应 文 件</w:t>
      </w:r>
    </w:p>
    <w:p>
      <w:pPr>
        <w:spacing w:line="360" w:lineRule="auto"/>
        <w:rPr>
          <w:rFonts w:ascii="宋体" w:hAnsi="宋体"/>
          <w:bCs/>
          <w:color w:val="auto"/>
          <w:spacing w:val="-6"/>
          <w:sz w:val="24"/>
          <w:highlight w:val="none"/>
        </w:rPr>
      </w:pP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采购人：浙江省退役军人事务厅</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项目名称：云安全防护设备及服务项目</w:t>
      </w:r>
    </w:p>
    <w:p>
      <w:pPr>
        <w:spacing w:line="360" w:lineRule="auto"/>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项目编号：</w:t>
      </w:r>
      <w:r>
        <w:rPr>
          <w:rFonts w:hint="eastAsia" w:ascii="宋体" w:hAnsi="宋体"/>
          <w:bCs/>
          <w:color w:val="auto"/>
          <w:spacing w:val="-6"/>
          <w:sz w:val="24"/>
          <w:highlight w:val="none"/>
          <w:lang w:eastAsia="zh-CN"/>
        </w:rPr>
        <w:t>QSZB-Z(F)-E19282(CS)</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供应商名称（盖章）：</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供应商地址：</w:t>
      </w:r>
    </w:p>
    <w:p>
      <w:pPr>
        <w:spacing w:line="360" w:lineRule="auto"/>
        <w:rPr>
          <w:rFonts w:ascii="宋体" w:hAnsi="宋体"/>
          <w:bCs/>
          <w:color w:val="auto"/>
          <w:spacing w:val="-6"/>
          <w:sz w:val="24"/>
          <w:highlight w:val="none"/>
        </w:rPr>
      </w:pP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供应商授权代表签字：</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日期：  年  月  日</w:t>
      </w:r>
    </w:p>
    <w:p>
      <w:pPr>
        <w:spacing w:line="360" w:lineRule="auto"/>
        <w:jc w:val="center"/>
        <w:rPr>
          <w:rFonts w:ascii="宋体" w:hAnsi="宋体"/>
          <w:bCs/>
          <w:color w:val="auto"/>
          <w:spacing w:val="-6"/>
          <w:sz w:val="32"/>
          <w:szCs w:val="32"/>
          <w:highlight w:val="none"/>
        </w:rPr>
      </w:pPr>
      <w:r>
        <w:rPr>
          <w:rFonts w:ascii="宋体" w:hAnsi="宋体"/>
          <w:bCs/>
          <w:color w:val="auto"/>
          <w:spacing w:val="-6"/>
          <w:sz w:val="24"/>
          <w:highlight w:val="none"/>
        </w:rPr>
        <w:br w:type="page"/>
      </w:r>
      <w:r>
        <w:rPr>
          <w:rFonts w:hint="eastAsia" w:ascii="宋体" w:hAnsi="宋体"/>
          <w:bCs/>
          <w:color w:val="auto"/>
          <w:spacing w:val="-6"/>
          <w:sz w:val="32"/>
          <w:szCs w:val="32"/>
          <w:highlight w:val="none"/>
        </w:rPr>
        <w:t>评分索引表</w:t>
      </w:r>
    </w:p>
    <w:tbl>
      <w:tblPr>
        <w:tblStyle w:val="21"/>
        <w:tblW w:w="10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830"/>
        <w:gridCol w:w="967"/>
        <w:gridCol w:w="1053"/>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ascii="宋体" w:hAnsi="宋体"/>
                <w:b/>
                <w:color w:val="auto"/>
                <w:spacing w:val="-6"/>
                <w:sz w:val="21"/>
                <w:szCs w:val="21"/>
                <w:highlight w:val="none"/>
              </w:rPr>
            </w:pPr>
            <w:r>
              <w:rPr>
                <w:rFonts w:hint="eastAsia" w:ascii="宋体" w:hAnsi="宋体"/>
                <w:b/>
                <w:color w:val="auto"/>
                <w:spacing w:val="-6"/>
                <w:sz w:val="21"/>
                <w:szCs w:val="21"/>
                <w:highlight w:val="none"/>
              </w:rPr>
              <w:t>序号</w:t>
            </w:r>
          </w:p>
        </w:tc>
        <w:tc>
          <w:tcPr>
            <w:tcW w:w="2091" w:type="dxa"/>
            <w:vAlign w:val="center"/>
          </w:tcPr>
          <w:p>
            <w:pPr>
              <w:spacing w:line="288" w:lineRule="auto"/>
              <w:jc w:val="center"/>
              <w:rPr>
                <w:rFonts w:ascii="宋体" w:hAnsi="宋体"/>
                <w:b/>
                <w:color w:val="auto"/>
                <w:spacing w:val="-6"/>
                <w:sz w:val="21"/>
                <w:szCs w:val="21"/>
                <w:highlight w:val="none"/>
              </w:rPr>
            </w:pPr>
            <w:r>
              <w:rPr>
                <w:rFonts w:hint="eastAsia" w:ascii="宋体" w:hAnsi="宋体"/>
                <w:b/>
                <w:color w:val="auto"/>
                <w:spacing w:val="-6"/>
                <w:sz w:val="21"/>
                <w:szCs w:val="21"/>
                <w:highlight w:val="none"/>
              </w:rPr>
              <w:t>评审因素</w:t>
            </w:r>
          </w:p>
        </w:tc>
        <w:tc>
          <w:tcPr>
            <w:tcW w:w="709" w:type="dxa"/>
            <w:vAlign w:val="center"/>
          </w:tcPr>
          <w:p>
            <w:pPr>
              <w:spacing w:line="288" w:lineRule="auto"/>
              <w:jc w:val="center"/>
              <w:rPr>
                <w:rFonts w:ascii="宋体" w:hAnsi="宋体"/>
                <w:b/>
                <w:color w:val="auto"/>
                <w:spacing w:val="-6"/>
                <w:sz w:val="21"/>
                <w:szCs w:val="21"/>
                <w:highlight w:val="none"/>
              </w:rPr>
            </w:pPr>
            <w:r>
              <w:rPr>
                <w:rFonts w:hint="eastAsia" w:ascii="宋体" w:hAnsi="宋体"/>
                <w:b/>
                <w:color w:val="auto"/>
                <w:spacing w:val="-6"/>
                <w:sz w:val="21"/>
                <w:szCs w:val="21"/>
                <w:highlight w:val="none"/>
              </w:rPr>
              <w:t>分值</w:t>
            </w:r>
          </w:p>
        </w:tc>
        <w:tc>
          <w:tcPr>
            <w:tcW w:w="3830" w:type="dxa"/>
            <w:vAlign w:val="center"/>
          </w:tcPr>
          <w:p>
            <w:pPr>
              <w:pStyle w:val="62"/>
              <w:spacing w:line="288" w:lineRule="auto"/>
              <w:ind w:left="398" w:hanging="398"/>
              <w:rPr>
                <w:rFonts w:hint="default" w:ascii="宋体" w:hAnsi="宋体" w:eastAsia="宋体"/>
                <w:b/>
                <w:color w:val="auto"/>
                <w:spacing w:val="-6"/>
                <w:sz w:val="21"/>
                <w:szCs w:val="21"/>
                <w:highlight w:val="none"/>
              </w:rPr>
            </w:pPr>
            <w:r>
              <w:rPr>
                <w:rFonts w:ascii="宋体" w:hAnsi="宋体" w:eastAsia="宋体"/>
                <w:b/>
                <w:color w:val="auto"/>
                <w:spacing w:val="-6"/>
                <w:sz w:val="21"/>
                <w:szCs w:val="21"/>
                <w:highlight w:val="none"/>
              </w:rPr>
              <w:t>评分细则</w:t>
            </w:r>
          </w:p>
        </w:tc>
        <w:tc>
          <w:tcPr>
            <w:tcW w:w="967" w:type="dxa"/>
            <w:vAlign w:val="center"/>
          </w:tcPr>
          <w:p>
            <w:pPr>
              <w:pStyle w:val="62"/>
              <w:spacing w:line="288" w:lineRule="auto"/>
              <w:ind w:left="398" w:hanging="398"/>
              <w:rPr>
                <w:rFonts w:hint="default" w:ascii="宋体" w:hAnsi="宋体" w:eastAsia="宋体"/>
                <w:b/>
                <w:color w:val="auto"/>
                <w:spacing w:val="-6"/>
                <w:sz w:val="21"/>
                <w:szCs w:val="21"/>
                <w:highlight w:val="none"/>
              </w:rPr>
            </w:pPr>
            <w:r>
              <w:rPr>
                <w:rFonts w:ascii="宋体" w:hAnsi="宋体" w:eastAsia="宋体"/>
                <w:b/>
                <w:color w:val="auto"/>
                <w:spacing w:val="-6"/>
                <w:sz w:val="21"/>
                <w:szCs w:val="21"/>
                <w:highlight w:val="none"/>
              </w:rPr>
              <w:t>自评分</w:t>
            </w:r>
          </w:p>
        </w:tc>
        <w:tc>
          <w:tcPr>
            <w:tcW w:w="1053" w:type="dxa"/>
            <w:vAlign w:val="center"/>
          </w:tcPr>
          <w:p>
            <w:pPr>
              <w:pStyle w:val="62"/>
              <w:spacing w:line="288" w:lineRule="auto"/>
              <w:ind w:left="398" w:hanging="398"/>
              <w:rPr>
                <w:rFonts w:hint="default" w:ascii="宋体" w:hAnsi="宋体" w:eastAsia="宋体"/>
                <w:b/>
                <w:color w:val="auto"/>
                <w:spacing w:val="-6"/>
                <w:sz w:val="21"/>
                <w:szCs w:val="21"/>
                <w:highlight w:val="none"/>
              </w:rPr>
            </w:pPr>
            <w:r>
              <w:rPr>
                <w:rFonts w:ascii="宋体" w:hAnsi="宋体" w:eastAsia="宋体"/>
                <w:b/>
                <w:color w:val="auto"/>
                <w:spacing w:val="-6"/>
                <w:sz w:val="21"/>
                <w:szCs w:val="21"/>
                <w:highlight w:val="none"/>
              </w:rPr>
              <w:t>自评依据</w:t>
            </w:r>
          </w:p>
        </w:tc>
        <w:tc>
          <w:tcPr>
            <w:tcW w:w="881" w:type="dxa"/>
            <w:vAlign w:val="center"/>
          </w:tcPr>
          <w:p>
            <w:pPr>
              <w:pStyle w:val="62"/>
              <w:spacing w:line="288" w:lineRule="auto"/>
              <w:ind w:left="398" w:hanging="398"/>
              <w:rPr>
                <w:rFonts w:hint="default" w:ascii="宋体" w:hAnsi="宋体" w:eastAsia="宋体"/>
                <w:b/>
                <w:color w:val="auto"/>
                <w:spacing w:val="-6"/>
                <w:sz w:val="21"/>
                <w:szCs w:val="21"/>
                <w:highlight w:val="none"/>
              </w:rPr>
            </w:pPr>
            <w:r>
              <w:rPr>
                <w:rFonts w:ascii="宋体" w:hAnsi="宋体" w:eastAsia="宋体"/>
                <w:b/>
                <w:color w:val="auto"/>
                <w:spacing w:val="-6"/>
                <w:sz w:val="21"/>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2" w:type="dxa"/>
            <w:gridSpan w:val="7"/>
            <w:vAlign w:val="center"/>
          </w:tcPr>
          <w:p>
            <w:pPr>
              <w:pStyle w:val="62"/>
              <w:spacing w:line="288" w:lineRule="auto"/>
              <w:ind w:left="398" w:hanging="398"/>
              <w:rPr>
                <w:rFonts w:hint="default" w:ascii="宋体" w:hAnsi="宋体" w:eastAsia="宋体"/>
                <w:b/>
                <w:color w:val="auto"/>
                <w:spacing w:val="-6"/>
                <w:sz w:val="21"/>
                <w:szCs w:val="21"/>
                <w:highlight w:val="none"/>
              </w:rPr>
            </w:pPr>
            <w:r>
              <w:rPr>
                <w:rFonts w:ascii="宋体" w:hAnsi="宋体" w:eastAsia="宋体"/>
                <w:b/>
                <w:color w:val="auto"/>
                <w:spacing w:val="-6"/>
                <w:sz w:val="21"/>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ascii="宋体" w:hAnsi="宋体"/>
                <w:color w:val="auto"/>
                <w:spacing w:val="-6"/>
                <w:sz w:val="21"/>
                <w:szCs w:val="21"/>
                <w:highlight w:val="none"/>
              </w:rPr>
            </w:pPr>
          </w:p>
        </w:tc>
        <w:tc>
          <w:tcPr>
            <w:tcW w:w="2091" w:type="dxa"/>
            <w:vAlign w:val="center"/>
          </w:tcPr>
          <w:p>
            <w:pPr>
              <w:spacing w:line="288" w:lineRule="auto"/>
              <w:jc w:val="center"/>
              <w:rPr>
                <w:rFonts w:ascii="宋体" w:hAnsi="宋体"/>
                <w:color w:val="auto"/>
                <w:spacing w:val="-6"/>
                <w:sz w:val="21"/>
                <w:szCs w:val="21"/>
                <w:highlight w:val="none"/>
              </w:rPr>
            </w:pPr>
          </w:p>
        </w:tc>
        <w:tc>
          <w:tcPr>
            <w:tcW w:w="709" w:type="dxa"/>
            <w:vAlign w:val="center"/>
          </w:tcPr>
          <w:p>
            <w:pPr>
              <w:spacing w:line="288" w:lineRule="auto"/>
              <w:jc w:val="center"/>
              <w:rPr>
                <w:rFonts w:ascii="宋体" w:hAnsi="宋体"/>
                <w:color w:val="auto"/>
                <w:spacing w:val="-6"/>
                <w:sz w:val="21"/>
                <w:szCs w:val="21"/>
                <w:highlight w:val="none"/>
              </w:rPr>
            </w:pPr>
          </w:p>
        </w:tc>
        <w:tc>
          <w:tcPr>
            <w:tcW w:w="3830" w:type="dxa"/>
            <w:vAlign w:val="center"/>
          </w:tcPr>
          <w:p>
            <w:pPr>
              <w:spacing w:line="288" w:lineRule="auto"/>
              <w:rPr>
                <w:rFonts w:ascii="宋体" w:hAnsi="宋体"/>
                <w:color w:val="auto"/>
                <w:spacing w:val="-6"/>
                <w:sz w:val="21"/>
                <w:szCs w:val="21"/>
                <w:highlight w:val="none"/>
              </w:rPr>
            </w:pPr>
          </w:p>
        </w:tc>
        <w:tc>
          <w:tcPr>
            <w:tcW w:w="967" w:type="dxa"/>
            <w:vAlign w:val="center"/>
          </w:tcPr>
          <w:p>
            <w:pPr>
              <w:spacing w:line="288" w:lineRule="auto"/>
              <w:jc w:val="center"/>
              <w:rPr>
                <w:rFonts w:ascii="宋体" w:hAnsi="宋体"/>
                <w:color w:val="auto"/>
                <w:spacing w:val="-6"/>
                <w:sz w:val="21"/>
                <w:szCs w:val="21"/>
                <w:highlight w:val="none"/>
              </w:rPr>
            </w:pPr>
          </w:p>
        </w:tc>
        <w:tc>
          <w:tcPr>
            <w:tcW w:w="1053" w:type="dxa"/>
            <w:vAlign w:val="center"/>
          </w:tcPr>
          <w:p>
            <w:pPr>
              <w:spacing w:line="288" w:lineRule="auto"/>
              <w:jc w:val="center"/>
              <w:rPr>
                <w:rFonts w:ascii="宋体" w:hAnsi="宋体"/>
                <w:color w:val="auto"/>
                <w:spacing w:val="-6"/>
                <w:sz w:val="21"/>
                <w:szCs w:val="21"/>
                <w:highlight w:val="none"/>
              </w:rPr>
            </w:pPr>
          </w:p>
        </w:tc>
        <w:tc>
          <w:tcPr>
            <w:tcW w:w="881" w:type="dxa"/>
          </w:tcPr>
          <w:p>
            <w:pPr>
              <w:spacing w:line="288" w:lineRule="auto"/>
              <w:jc w:val="center"/>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ascii="宋体" w:hAnsi="宋体"/>
                <w:color w:val="auto"/>
                <w:spacing w:val="-6"/>
                <w:sz w:val="21"/>
                <w:szCs w:val="21"/>
                <w:highlight w:val="none"/>
              </w:rPr>
            </w:pPr>
          </w:p>
        </w:tc>
        <w:tc>
          <w:tcPr>
            <w:tcW w:w="2091" w:type="dxa"/>
            <w:vAlign w:val="center"/>
          </w:tcPr>
          <w:p>
            <w:pPr>
              <w:spacing w:line="288" w:lineRule="auto"/>
              <w:jc w:val="center"/>
              <w:rPr>
                <w:rFonts w:ascii="宋体" w:hAnsi="宋体"/>
                <w:color w:val="auto"/>
                <w:spacing w:val="-6"/>
                <w:sz w:val="21"/>
                <w:szCs w:val="21"/>
                <w:highlight w:val="none"/>
              </w:rPr>
            </w:pPr>
          </w:p>
        </w:tc>
        <w:tc>
          <w:tcPr>
            <w:tcW w:w="709" w:type="dxa"/>
            <w:vAlign w:val="center"/>
          </w:tcPr>
          <w:p>
            <w:pPr>
              <w:spacing w:line="288" w:lineRule="auto"/>
              <w:jc w:val="center"/>
              <w:rPr>
                <w:rFonts w:ascii="宋体" w:hAnsi="宋体"/>
                <w:color w:val="auto"/>
                <w:spacing w:val="-6"/>
                <w:sz w:val="21"/>
                <w:szCs w:val="21"/>
                <w:highlight w:val="none"/>
              </w:rPr>
            </w:pPr>
          </w:p>
        </w:tc>
        <w:tc>
          <w:tcPr>
            <w:tcW w:w="3830" w:type="dxa"/>
            <w:vAlign w:val="center"/>
          </w:tcPr>
          <w:p>
            <w:pPr>
              <w:spacing w:line="288" w:lineRule="auto"/>
              <w:rPr>
                <w:rFonts w:ascii="宋体" w:hAnsi="宋体"/>
                <w:color w:val="auto"/>
                <w:spacing w:val="-6"/>
                <w:sz w:val="21"/>
                <w:szCs w:val="21"/>
                <w:highlight w:val="none"/>
              </w:rPr>
            </w:pPr>
          </w:p>
        </w:tc>
        <w:tc>
          <w:tcPr>
            <w:tcW w:w="967" w:type="dxa"/>
            <w:vAlign w:val="center"/>
          </w:tcPr>
          <w:p>
            <w:pPr>
              <w:spacing w:line="288" w:lineRule="auto"/>
              <w:jc w:val="center"/>
              <w:rPr>
                <w:rFonts w:ascii="宋体" w:hAnsi="宋体"/>
                <w:color w:val="auto"/>
                <w:spacing w:val="-6"/>
                <w:sz w:val="21"/>
                <w:szCs w:val="21"/>
                <w:highlight w:val="none"/>
              </w:rPr>
            </w:pPr>
          </w:p>
        </w:tc>
        <w:tc>
          <w:tcPr>
            <w:tcW w:w="1053" w:type="dxa"/>
            <w:vAlign w:val="center"/>
          </w:tcPr>
          <w:p>
            <w:pPr>
              <w:spacing w:line="288" w:lineRule="auto"/>
              <w:jc w:val="center"/>
              <w:rPr>
                <w:rFonts w:ascii="宋体" w:hAnsi="宋体"/>
                <w:color w:val="auto"/>
                <w:spacing w:val="-6"/>
                <w:sz w:val="21"/>
                <w:szCs w:val="21"/>
                <w:highlight w:val="none"/>
              </w:rPr>
            </w:pPr>
          </w:p>
        </w:tc>
        <w:tc>
          <w:tcPr>
            <w:tcW w:w="881" w:type="dxa"/>
          </w:tcPr>
          <w:p>
            <w:pPr>
              <w:spacing w:line="288" w:lineRule="auto"/>
              <w:jc w:val="center"/>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ascii="宋体" w:hAnsi="宋体"/>
                <w:color w:val="auto"/>
                <w:kern w:val="0"/>
                <w:sz w:val="21"/>
                <w:szCs w:val="21"/>
                <w:highlight w:val="none"/>
              </w:rPr>
            </w:pPr>
          </w:p>
        </w:tc>
        <w:tc>
          <w:tcPr>
            <w:tcW w:w="2091" w:type="dxa"/>
            <w:vAlign w:val="center"/>
          </w:tcPr>
          <w:p>
            <w:pPr>
              <w:spacing w:line="288" w:lineRule="auto"/>
              <w:jc w:val="center"/>
              <w:rPr>
                <w:rFonts w:ascii="宋体" w:hAnsi="宋体"/>
                <w:color w:val="auto"/>
                <w:kern w:val="0"/>
                <w:sz w:val="21"/>
                <w:szCs w:val="21"/>
                <w:highlight w:val="none"/>
              </w:rPr>
            </w:pPr>
          </w:p>
        </w:tc>
        <w:tc>
          <w:tcPr>
            <w:tcW w:w="709" w:type="dxa"/>
            <w:vAlign w:val="center"/>
          </w:tcPr>
          <w:p>
            <w:pPr>
              <w:spacing w:line="288" w:lineRule="auto"/>
              <w:jc w:val="center"/>
              <w:rPr>
                <w:rFonts w:ascii="宋体" w:hAnsi="宋体"/>
                <w:color w:val="auto"/>
                <w:kern w:val="0"/>
                <w:sz w:val="21"/>
                <w:szCs w:val="21"/>
                <w:highlight w:val="none"/>
              </w:rPr>
            </w:pPr>
          </w:p>
        </w:tc>
        <w:tc>
          <w:tcPr>
            <w:tcW w:w="3830" w:type="dxa"/>
            <w:vAlign w:val="center"/>
          </w:tcPr>
          <w:p>
            <w:pPr>
              <w:spacing w:line="288" w:lineRule="auto"/>
              <w:rPr>
                <w:rFonts w:ascii="宋体" w:hAnsi="宋体"/>
                <w:color w:val="auto"/>
                <w:kern w:val="0"/>
                <w:sz w:val="21"/>
                <w:szCs w:val="21"/>
                <w:highlight w:val="none"/>
              </w:rPr>
            </w:pPr>
          </w:p>
        </w:tc>
        <w:tc>
          <w:tcPr>
            <w:tcW w:w="967" w:type="dxa"/>
            <w:vAlign w:val="center"/>
          </w:tcPr>
          <w:p>
            <w:pPr>
              <w:spacing w:line="288" w:lineRule="auto"/>
              <w:jc w:val="center"/>
              <w:rPr>
                <w:rFonts w:ascii="宋体" w:hAnsi="宋体"/>
                <w:color w:val="auto"/>
                <w:sz w:val="21"/>
                <w:szCs w:val="21"/>
                <w:highlight w:val="none"/>
              </w:rPr>
            </w:pPr>
          </w:p>
        </w:tc>
        <w:tc>
          <w:tcPr>
            <w:tcW w:w="1053" w:type="dxa"/>
            <w:vAlign w:val="center"/>
          </w:tcPr>
          <w:p>
            <w:pPr>
              <w:spacing w:line="288" w:lineRule="auto"/>
              <w:jc w:val="center"/>
              <w:rPr>
                <w:rFonts w:ascii="宋体" w:hAnsi="宋体"/>
                <w:color w:val="auto"/>
                <w:sz w:val="21"/>
                <w:szCs w:val="21"/>
                <w:highlight w:val="none"/>
              </w:rPr>
            </w:pPr>
          </w:p>
        </w:tc>
        <w:tc>
          <w:tcPr>
            <w:tcW w:w="881" w:type="dxa"/>
          </w:tcPr>
          <w:p>
            <w:pPr>
              <w:spacing w:line="288"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ascii="宋体" w:hAnsi="宋体"/>
                <w:color w:val="auto"/>
                <w:spacing w:val="-6"/>
                <w:sz w:val="21"/>
                <w:szCs w:val="21"/>
                <w:highlight w:val="none"/>
              </w:rPr>
            </w:pPr>
          </w:p>
        </w:tc>
        <w:tc>
          <w:tcPr>
            <w:tcW w:w="2091" w:type="dxa"/>
            <w:vAlign w:val="center"/>
          </w:tcPr>
          <w:p>
            <w:pPr>
              <w:spacing w:line="288" w:lineRule="auto"/>
              <w:jc w:val="center"/>
              <w:rPr>
                <w:rFonts w:ascii="宋体" w:hAnsi="宋体"/>
                <w:color w:val="auto"/>
                <w:spacing w:val="-6"/>
                <w:sz w:val="21"/>
                <w:szCs w:val="21"/>
                <w:highlight w:val="none"/>
              </w:rPr>
            </w:pPr>
          </w:p>
        </w:tc>
        <w:tc>
          <w:tcPr>
            <w:tcW w:w="709" w:type="dxa"/>
            <w:vAlign w:val="center"/>
          </w:tcPr>
          <w:p>
            <w:pPr>
              <w:spacing w:line="288" w:lineRule="auto"/>
              <w:jc w:val="center"/>
              <w:rPr>
                <w:rFonts w:ascii="宋体" w:hAnsi="宋体"/>
                <w:color w:val="auto"/>
                <w:spacing w:val="-6"/>
                <w:sz w:val="21"/>
                <w:szCs w:val="21"/>
                <w:highlight w:val="none"/>
              </w:rPr>
            </w:pPr>
          </w:p>
        </w:tc>
        <w:tc>
          <w:tcPr>
            <w:tcW w:w="3830" w:type="dxa"/>
            <w:vAlign w:val="center"/>
          </w:tcPr>
          <w:p>
            <w:pPr>
              <w:spacing w:line="288" w:lineRule="auto"/>
              <w:rPr>
                <w:rFonts w:ascii="宋体" w:hAnsi="宋体"/>
                <w:color w:val="auto"/>
                <w:spacing w:val="-6"/>
                <w:sz w:val="21"/>
                <w:szCs w:val="21"/>
                <w:highlight w:val="none"/>
              </w:rPr>
            </w:pPr>
          </w:p>
        </w:tc>
        <w:tc>
          <w:tcPr>
            <w:tcW w:w="967" w:type="dxa"/>
            <w:vAlign w:val="center"/>
          </w:tcPr>
          <w:p>
            <w:pPr>
              <w:spacing w:line="288" w:lineRule="auto"/>
              <w:jc w:val="center"/>
              <w:rPr>
                <w:rFonts w:ascii="宋体" w:hAnsi="宋体"/>
                <w:color w:val="auto"/>
                <w:spacing w:val="-6"/>
                <w:sz w:val="21"/>
                <w:szCs w:val="21"/>
                <w:highlight w:val="none"/>
              </w:rPr>
            </w:pPr>
          </w:p>
        </w:tc>
        <w:tc>
          <w:tcPr>
            <w:tcW w:w="1053" w:type="dxa"/>
            <w:vAlign w:val="center"/>
          </w:tcPr>
          <w:p>
            <w:pPr>
              <w:spacing w:line="288" w:lineRule="auto"/>
              <w:jc w:val="center"/>
              <w:rPr>
                <w:rFonts w:ascii="宋体" w:hAnsi="宋体"/>
                <w:color w:val="auto"/>
                <w:spacing w:val="-6"/>
                <w:sz w:val="21"/>
                <w:szCs w:val="21"/>
                <w:highlight w:val="none"/>
              </w:rPr>
            </w:pPr>
          </w:p>
        </w:tc>
        <w:tc>
          <w:tcPr>
            <w:tcW w:w="881" w:type="dxa"/>
          </w:tcPr>
          <w:p>
            <w:pPr>
              <w:spacing w:line="288" w:lineRule="auto"/>
              <w:jc w:val="center"/>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ascii="宋体" w:hAnsi="宋体"/>
                <w:color w:val="auto"/>
                <w:spacing w:val="-6"/>
                <w:sz w:val="21"/>
                <w:szCs w:val="21"/>
                <w:highlight w:val="none"/>
              </w:rPr>
            </w:pPr>
          </w:p>
        </w:tc>
        <w:tc>
          <w:tcPr>
            <w:tcW w:w="2091" w:type="dxa"/>
            <w:vAlign w:val="center"/>
          </w:tcPr>
          <w:p>
            <w:pPr>
              <w:spacing w:line="288" w:lineRule="auto"/>
              <w:jc w:val="center"/>
              <w:rPr>
                <w:rFonts w:ascii="宋体" w:hAnsi="宋体"/>
                <w:color w:val="auto"/>
                <w:spacing w:val="-6"/>
                <w:sz w:val="21"/>
                <w:szCs w:val="21"/>
                <w:highlight w:val="none"/>
              </w:rPr>
            </w:pPr>
          </w:p>
        </w:tc>
        <w:tc>
          <w:tcPr>
            <w:tcW w:w="709" w:type="dxa"/>
            <w:vAlign w:val="center"/>
          </w:tcPr>
          <w:p>
            <w:pPr>
              <w:spacing w:line="288" w:lineRule="auto"/>
              <w:jc w:val="center"/>
              <w:rPr>
                <w:rFonts w:ascii="宋体" w:hAnsi="宋体"/>
                <w:color w:val="auto"/>
                <w:spacing w:val="-6"/>
                <w:sz w:val="21"/>
                <w:szCs w:val="21"/>
                <w:highlight w:val="none"/>
              </w:rPr>
            </w:pPr>
          </w:p>
        </w:tc>
        <w:tc>
          <w:tcPr>
            <w:tcW w:w="3830" w:type="dxa"/>
            <w:vAlign w:val="center"/>
          </w:tcPr>
          <w:p>
            <w:pPr>
              <w:spacing w:line="288" w:lineRule="auto"/>
              <w:rPr>
                <w:rFonts w:ascii="宋体" w:hAnsi="宋体"/>
                <w:color w:val="auto"/>
                <w:spacing w:val="-6"/>
                <w:sz w:val="21"/>
                <w:szCs w:val="21"/>
                <w:highlight w:val="none"/>
              </w:rPr>
            </w:pPr>
          </w:p>
        </w:tc>
        <w:tc>
          <w:tcPr>
            <w:tcW w:w="967" w:type="dxa"/>
            <w:vAlign w:val="center"/>
          </w:tcPr>
          <w:p>
            <w:pPr>
              <w:spacing w:line="288" w:lineRule="auto"/>
              <w:jc w:val="center"/>
              <w:rPr>
                <w:rFonts w:ascii="宋体" w:hAnsi="宋体"/>
                <w:color w:val="auto"/>
                <w:spacing w:val="-6"/>
                <w:sz w:val="21"/>
                <w:szCs w:val="21"/>
                <w:highlight w:val="none"/>
              </w:rPr>
            </w:pPr>
          </w:p>
        </w:tc>
        <w:tc>
          <w:tcPr>
            <w:tcW w:w="1053" w:type="dxa"/>
            <w:vAlign w:val="center"/>
          </w:tcPr>
          <w:p>
            <w:pPr>
              <w:spacing w:line="288" w:lineRule="auto"/>
              <w:jc w:val="center"/>
              <w:rPr>
                <w:rFonts w:ascii="宋体" w:hAnsi="宋体"/>
                <w:color w:val="auto"/>
                <w:spacing w:val="-6"/>
                <w:sz w:val="21"/>
                <w:szCs w:val="21"/>
                <w:highlight w:val="none"/>
              </w:rPr>
            </w:pPr>
          </w:p>
        </w:tc>
        <w:tc>
          <w:tcPr>
            <w:tcW w:w="881" w:type="dxa"/>
          </w:tcPr>
          <w:p>
            <w:pPr>
              <w:spacing w:line="288" w:lineRule="auto"/>
              <w:jc w:val="center"/>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ascii="宋体" w:hAnsi="宋体"/>
                <w:color w:val="auto"/>
                <w:spacing w:val="-6"/>
                <w:sz w:val="21"/>
                <w:szCs w:val="21"/>
                <w:highlight w:val="none"/>
              </w:rPr>
            </w:pPr>
          </w:p>
        </w:tc>
        <w:tc>
          <w:tcPr>
            <w:tcW w:w="2091" w:type="dxa"/>
            <w:vAlign w:val="center"/>
          </w:tcPr>
          <w:p>
            <w:pPr>
              <w:spacing w:line="288" w:lineRule="auto"/>
              <w:jc w:val="center"/>
              <w:rPr>
                <w:rFonts w:ascii="宋体" w:hAnsi="宋体"/>
                <w:color w:val="auto"/>
                <w:spacing w:val="-6"/>
                <w:sz w:val="21"/>
                <w:szCs w:val="21"/>
                <w:highlight w:val="none"/>
              </w:rPr>
            </w:pPr>
          </w:p>
        </w:tc>
        <w:tc>
          <w:tcPr>
            <w:tcW w:w="709" w:type="dxa"/>
            <w:vAlign w:val="center"/>
          </w:tcPr>
          <w:p>
            <w:pPr>
              <w:spacing w:line="288" w:lineRule="auto"/>
              <w:jc w:val="center"/>
              <w:rPr>
                <w:rFonts w:ascii="宋体" w:hAnsi="宋体"/>
                <w:color w:val="auto"/>
                <w:spacing w:val="-6"/>
                <w:sz w:val="21"/>
                <w:szCs w:val="21"/>
                <w:highlight w:val="none"/>
              </w:rPr>
            </w:pPr>
          </w:p>
        </w:tc>
        <w:tc>
          <w:tcPr>
            <w:tcW w:w="3830" w:type="dxa"/>
            <w:vAlign w:val="center"/>
          </w:tcPr>
          <w:p>
            <w:pPr>
              <w:spacing w:line="288" w:lineRule="auto"/>
              <w:rPr>
                <w:rFonts w:ascii="宋体" w:hAnsi="宋体"/>
                <w:color w:val="auto"/>
                <w:spacing w:val="-6"/>
                <w:sz w:val="21"/>
                <w:szCs w:val="21"/>
                <w:highlight w:val="none"/>
              </w:rPr>
            </w:pPr>
          </w:p>
        </w:tc>
        <w:tc>
          <w:tcPr>
            <w:tcW w:w="967" w:type="dxa"/>
            <w:vAlign w:val="center"/>
          </w:tcPr>
          <w:p>
            <w:pPr>
              <w:spacing w:line="288" w:lineRule="auto"/>
              <w:jc w:val="center"/>
              <w:rPr>
                <w:rFonts w:ascii="宋体" w:hAnsi="宋体"/>
                <w:color w:val="auto"/>
                <w:spacing w:val="-6"/>
                <w:sz w:val="21"/>
                <w:szCs w:val="21"/>
                <w:highlight w:val="none"/>
              </w:rPr>
            </w:pPr>
          </w:p>
        </w:tc>
        <w:tc>
          <w:tcPr>
            <w:tcW w:w="1053" w:type="dxa"/>
            <w:vAlign w:val="center"/>
          </w:tcPr>
          <w:p>
            <w:pPr>
              <w:spacing w:line="288" w:lineRule="auto"/>
              <w:jc w:val="center"/>
              <w:rPr>
                <w:rFonts w:ascii="宋体" w:hAnsi="宋体"/>
                <w:color w:val="auto"/>
                <w:spacing w:val="-6"/>
                <w:sz w:val="21"/>
                <w:szCs w:val="21"/>
                <w:highlight w:val="none"/>
              </w:rPr>
            </w:pPr>
          </w:p>
        </w:tc>
        <w:tc>
          <w:tcPr>
            <w:tcW w:w="881" w:type="dxa"/>
          </w:tcPr>
          <w:p>
            <w:pPr>
              <w:spacing w:line="288" w:lineRule="auto"/>
              <w:jc w:val="center"/>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2" w:type="dxa"/>
            <w:gridSpan w:val="7"/>
            <w:vAlign w:val="center"/>
          </w:tcPr>
          <w:p>
            <w:pPr>
              <w:pStyle w:val="10"/>
              <w:spacing w:line="288" w:lineRule="auto"/>
              <w:ind w:firstLine="0"/>
              <w:jc w:val="center"/>
              <w:rPr>
                <w:rFonts w:hAnsi="宋体"/>
                <w:b/>
                <w:color w:val="auto"/>
                <w:spacing w:val="-6"/>
                <w:sz w:val="21"/>
                <w:szCs w:val="21"/>
                <w:highlight w:val="none"/>
              </w:rPr>
            </w:pPr>
            <w:r>
              <w:rPr>
                <w:rFonts w:hint="eastAsia" w:hAnsi="宋体"/>
                <w:b/>
                <w:color w:val="auto"/>
                <w:spacing w:val="-6"/>
                <w:sz w:val="21"/>
                <w:szCs w:val="21"/>
                <w:highlight w:val="none"/>
              </w:rPr>
              <w:t>技术</w:t>
            </w:r>
            <w:r>
              <w:rPr>
                <w:rFonts w:hAnsi="宋体"/>
                <w:b/>
                <w:color w:val="auto"/>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ascii="宋体" w:hAnsi="宋体"/>
                <w:color w:val="auto"/>
                <w:spacing w:val="-6"/>
                <w:sz w:val="21"/>
                <w:szCs w:val="21"/>
                <w:highlight w:val="none"/>
              </w:rPr>
            </w:pPr>
          </w:p>
        </w:tc>
        <w:tc>
          <w:tcPr>
            <w:tcW w:w="2091" w:type="dxa"/>
            <w:vAlign w:val="center"/>
          </w:tcPr>
          <w:p>
            <w:pPr>
              <w:spacing w:line="288" w:lineRule="auto"/>
              <w:jc w:val="center"/>
              <w:rPr>
                <w:rFonts w:ascii="宋体" w:hAnsi="宋体"/>
                <w:color w:val="auto"/>
                <w:spacing w:val="-6"/>
                <w:sz w:val="21"/>
                <w:szCs w:val="21"/>
                <w:highlight w:val="none"/>
              </w:rPr>
            </w:pPr>
          </w:p>
        </w:tc>
        <w:tc>
          <w:tcPr>
            <w:tcW w:w="709" w:type="dxa"/>
            <w:vAlign w:val="center"/>
          </w:tcPr>
          <w:p>
            <w:pPr>
              <w:spacing w:line="288" w:lineRule="auto"/>
              <w:jc w:val="center"/>
              <w:rPr>
                <w:rFonts w:ascii="宋体" w:hAnsi="宋体"/>
                <w:color w:val="auto"/>
                <w:spacing w:val="-6"/>
                <w:sz w:val="21"/>
                <w:szCs w:val="21"/>
                <w:highlight w:val="none"/>
              </w:rPr>
            </w:pPr>
          </w:p>
        </w:tc>
        <w:tc>
          <w:tcPr>
            <w:tcW w:w="3830" w:type="dxa"/>
            <w:vAlign w:val="center"/>
          </w:tcPr>
          <w:p>
            <w:pPr>
              <w:spacing w:line="288" w:lineRule="auto"/>
              <w:rPr>
                <w:rFonts w:ascii="宋体" w:hAnsi="宋体"/>
                <w:color w:val="auto"/>
                <w:spacing w:val="-6"/>
                <w:sz w:val="21"/>
                <w:szCs w:val="21"/>
                <w:highlight w:val="none"/>
              </w:rPr>
            </w:pPr>
          </w:p>
        </w:tc>
        <w:tc>
          <w:tcPr>
            <w:tcW w:w="967" w:type="dxa"/>
            <w:vAlign w:val="center"/>
          </w:tcPr>
          <w:p>
            <w:pPr>
              <w:spacing w:line="288" w:lineRule="auto"/>
              <w:jc w:val="center"/>
              <w:rPr>
                <w:rFonts w:ascii="宋体" w:hAnsi="宋体"/>
                <w:color w:val="auto"/>
                <w:spacing w:val="-6"/>
                <w:sz w:val="21"/>
                <w:szCs w:val="21"/>
                <w:highlight w:val="none"/>
              </w:rPr>
            </w:pPr>
          </w:p>
        </w:tc>
        <w:tc>
          <w:tcPr>
            <w:tcW w:w="1053" w:type="dxa"/>
            <w:vAlign w:val="center"/>
          </w:tcPr>
          <w:p>
            <w:pPr>
              <w:spacing w:line="288" w:lineRule="auto"/>
              <w:jc w:val="center"/>
              <w:rPr>
                <w:rFonts w:ascii="宋体" w:hAnsi="宋体"/>
                <w:color w:val="auto"/>
                <w:spacing w:val="-6"/>
                <w:sz w:val="21"/>
                <w:szCs w:val="21"/>
                <w:highlight w:val="none"/>
              </w:rPr>
            </w:pPr>
          </w:p>
        </w:tc>
        <w:tc>
          <w:tcPr>
            <w:tcW w:w="881" w:type="dxa"/>
          </w:tcPr>
          <w:p>
            <w:pPr>
              <w:spacing w:line="288" w:lineRule="auto"/>
              <w:jc w:val="center"/>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ascii="宋体" w:hAnsi="宋体"/>
                <w:color w:val="auto"/>
                <w:spacing w:val="-6"/>
                <w:sz w:val="21"/>
                <w:szCs w:val="21"/>
                <w:highlight w:val="none"/>
              </w:rPr>
            </w:pPr>
          </w:p>
        </w:tc>
        <w:tc>
          <w:tcPr>
            <w:tcW w:w="2091" w:type="dxa"/>
            <w:vAlign w:val="center"/>
          </w:tcPr>
          <w:p>
            <w:pPr>
              <w:spacing w:line="288" w:lineRule="auto"/>
              <w:jc w:val="center"/>
              <w:rPr>
                <w:rFonts w:ascii="宋体" w:hAnsi="宋体"/>
                <w:color w:val="auto"/>
                <w:spacing w:val="-6"/>
                <w:sz w:val="21"/>
                <w:szCs w:val="21"/>
                <w:highlight w:val="none"/>
              </w:rPr>
            </w:pPr>
          </w:p>
        </w:tc>
        <w:tc>
          <w:tcPr>
            <w:tcW w:w="709" w:type="dxa"/>
            <w:vAlign w:val="center"/>
          </w:tcPr>
          <w:p>
            <w:pPr>
              <w:spacing w:line="288" w:lineRule="auto"/>
              <w:jc w:val="center"/>
              <w:rPr>
                <w:rFonts w:ascii="宋体" w:hAnsi="宋体"/>
                <w:color w:val="auto"/>
                <w:spacing w:val="-6"/>
                <w:sz w:val="21"/>
                <w:szCs w:val="21"/>
                <w:highlight w:val="none"/>
              </w:rPr>
            </w:pPr>
          </w:p>
        </w:tc>
        <w:tc>
          <w:tcPr>
            <w:tcW w:w="3830" w:type="dxa"/>
            <w:vAlign w:val="center"/>
          </w:tcPr>
          <w:p>
            <w:pPr>
              <w:spacing w:line="288" w:lineRule="auto"/>
              <w:rPr>
                <w:rFonts w:ascii="宋体" w:hAnsi="宋体"/>
                <w:color w:val="auto"/>
                <w:spacing w:val="-6"/>
                <w:sz w:val="21"/>
                <w:szCs w:val="21"/>
                <w:highlight w:val="none"/>
              </w:rPr>
            </w:pPr>
          </w:p>
        </w:tc>
        <w:tc>
          <w:tcPr>
            <w:tcW w:w="967" w:type="dxa"/>
            <w:vAlign w:val="center"/>
          </w:tcPr>
          <w:p>
            <w:pPr>
              <w:spacing w:line="288" w:lineRule="auto"/>
              <w:jc w:val="center"/>
              <w:rPr>
                <w:rFonts w:ascii="宋体" w:hAnsi="宋体"/>
                <w:color w:val="auto"/>
                <w:spacing w:val="-6"/>
                <w:sz w:val="21"/>
                <w:szCs w:val="21"/>
                <w:highlight w:val="none"/>
              </w:rPr>
            </w:pPr>
          </w:p>
        </w:tc>
        <w:tc>
          <w:tcPr>
            <w:tcW w:w="1053" w:type="dxa"/>
            <w:vAlign w:val="center"/>
          </w:tcPr>
          <w:p>
            <w:pPr>
              <w:spacing w:line="288" w:lineRule="auto"/>
              <w:jc w:val="center"/>
              <w:rPr>
                <w:rFonts w:ascii="宋体" w:hAnsi="宋体"/>
                <w:color w:val="auto"/>
                <w:spacing w:val="-6"/>
                <w:sz w:val="21"/>
                <w:szCs w:val="21"/>
                <w:highlight w:val="none"/>
              </w:rPr>
            </w:pPr>
          </w:p>
        </w:tc>
        <w:tc>
          <w:tcPr>
            <w:tcW w:w="881" w:type="dxa"/>
          </w:tcPr>
          <w:p>
            <w:pPr>
              <w:spacing w:line="288" w:lineRule="auto"/>
              <w:jc w:val="center"/>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ascii="宋体" w:hAnsi="宋体"/>
                <w:color w:val="auto"/>
                <w:spacing w:val="-6"/>
                <w:sz w:val="21"/>
                <w:szCs w:val="21"/>
                <w:highlight w:val="none"/>
              </w:rPr>
            </w:pPr>
          </w:p>
        </w:tc>
        <w:tc>
          <w:tcPr>
            <w:tcW w:w="2091" w:type="dxa"/>
            <w:vAlign w:val="center"/>
          </w:tcPr>
          <w:p>
            <w:pPr>
              <w:spacing w:line="288" w:lineRule="auto"/>
              <w:jc w:val="center"/>
              <w:rPr>
                <w:rFonts w:ascii="宋体" w:hAnsi="宋体"/>
                <w:color w:val="auto"/>
                <w:spacing w:val="-6"/>
                <w:sz w:val="21"/>
                <w:szCs w:val="21"/>
                <w:highlight w:val="none"/>
              </w:rPr>
            </w:pPr>
          </w:p>
        </w:tc>
        <w:tc>
          <w:tcPr>
            <w:tcW w:w="709" w:type="dxa"/>
            <w:vAlign w:val="center"/>
          </w:tcPr>
          <w:p>
            <w:pPr>
              <w:spacing w:line="288" w:lineRule="auto"/>
              <w:jc w:val="center"/>
              <w:rPr>
                <w:rFonts w:ascii="宋体" w:hAnsi="宋体"/>
                <w:color w:val="auto"/>
                <w:spacing w:val="-6"/>
                <w:sz w:val="21"/>
                <w:szCs w:val="21"/>
                <w:highlight w:val="none"/>
              </w:rPr>
            </w:pPr>
          </w:p>
        </w:tc>
        <w:tc>
          <w:tcPr>
            <w:tcW w:w="3830" w:type="dxa"/>
            <w:vAlign w:val="center"/>
          </w:tcPr>
          <w:p>
            <w:pPr>
              <w:spacing w:line="288" w:lineRule="auto"/>
              <w:rPr>
                <w:rFonts w:ascii="宋体" w:hAnsi="宋体"/>
                <w:color w:val="auto"/>
                <w:spacing w:val="-6"/>
                <w:sz w:val="21"/>
                <w:szCs w:val="21"/>
                <w:highlight w:val="none"/>
              </w:rPr>
            </w:pPr>
          </w:p>
        </w:tc>
        <w:tc>
          <w:tcPr>
            <w:tcW w:w="967" w:type="dxa"/>
            <w:vAlign w:val="center"/>
          </w:tcPr>
          <w:p>
            <w:pPr>
              <w:spacing w:line="288" w:lineRule="auto"/>
              <w:jc w:val="center"/>
              <w:rPr>
                <w:rFonts w:ascii="宋体" w:hAnsi="宋体"/>
                <w:color w:val="auto"/>
                <w:spacing w:val="-6"/>
                <w:sz w:val="21"/>
                <w:szCs w:val="21"/>
                <w:highlight w:val="none"/>
              </w:rPr>
            </w:pPr>
          </w:p>
        </w:tc>
        <w:tc>
          <w:tcPr>
            <w:tcW w:w="1053" w:type="dxa"/>
            <w:vAlign w:val="center"/>
          </w:tcPr>
          <w:p>
            <w:pPr>
              <w:spacing w:line="288" w:lineRule="auto"/>
              <w:jc w:val="center"/>
              <w:rPr>
                <w:rFonts w:ascii="宋体" w:hAnsi="宋体"/>
                <w:color w:val="auto"/>
                <w:spacing w:val="-6"/>
                <w:sz w:val="21"/>
                <w:szCs w:val="21"/>
                <w:highlight w:val="none"/>
              </w:rPr>
            </w:pPr>
          </w:p>
        </w:tc>
        <w:tc>
          <w:tcPr>
            <w:tcW w:w="881" w:type="dxa"/>
          </w:tcPr>
          <w:p>
            <w:pPr>
              <w:spacing w:line="288" w:lineRule="auto"/>
              <w:jc w:val="center"/>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ascii="宋体" w:hAnsi="宋体"/>
                <w:color w:val="auto"/>
                <w:spacing w:val="-6"/>
                <w:sz w:val="21"/>
                <w:szCs w:val="21"/>
                <w:highlight w:val="none"/>
              </w:rPr>
            </w:pPr>
          </w:p>
        </w:tc>
        <w:tc>
          <w:tcPr>
            <w:tcW w:w="2091" w:type="dxa"/>
            <w:vAlign w:val="center"/>
          </w:tcPr>
          <w:p>
            <w:pPr>
              <w:spacing w:line="288" w:lineRule="auto"/>
              <w:jc w:val="center"/>
              <w:rPr>
                <w:rFonts w:ascii="宋体" w:hAnsi="宋体"/>
                <w:color w:val="auto"/>
                <w:spacing w:val="-6"/>
                <w:sz w:val="21"/>
                <w:szCs w:val="21"/>
                <w:highlight w:val="none"/>
              </w:rPr>
            </w:pPr>
          </w:p>
        </w:tc>
        <w:tc>
          <w:tcPr>
            <w:tcW w:w="709" w:type="dxa"/>
            <w:vAlign w:val="center"/>
          </w:tcPr>
          <w:p>
            <w:pPr>
              <w:spacing w:line="288" w:lineRule="auto"/>
              <w:jc w:val="center"/>
              <w:rPr>
                <w:rFonts w:ascii="宋体" w:hAnsi="宋体"/>
                <w:color w:val="auto"/>
                <w:spacing w:val="-6"/>
                <w:sz w:val="21"/>
                <w:szCs w:val="21"/>
                <w:highlight w:val="none"/>
              </w:rPr>
            </w:pPr>
          </w:p>
        </w:tc>
        <w:tc>
          <w:tcPr>
            <w:tcW w:w="3830" w:type="dxa"/>
            <w:vAlign w:val="center"/>
          </w:tcPr>
          <w:p>
            <w:pPr>
              <w:spacing w:line="288" w:lineRule="auto"/>
              <w:rPr>
                <w:rFonts w:ascii="宋体" w:hAnsi="宋体"/>
                <w:color w:val="auto"/>
                <w:spacing w:val="-6"/>
                <w:sz w:val="21"/>
                <w:szCs w:val="21"/>
                <w:highlight w:val="none"/>
              </w:rPr>
            </w:pPr>
          </w:p>
        </w:tc>
        <w:tc>
          <w:tcPr>
            <w:tcW w:w="967" w:type="dxa"/>
            <w:vAlign w:val="center"/>
          </w:tcPr>
          <w:p>
            <w:pPr>
              <w:spacing w:line="288" w:lineRule="auto"/>
              <w:jc w:val="center"/>
              <w:rPr>
                <w:rFonts w:ascii="宋体" w:hAnsi="宋体"/>
                <w:color w:val="auto"/>
                <w:spacing w:val="-6"/>
                <w:sz w:val="21"/>
                <w:szCs w:val="21"/>
                <w:highlight w:val="none"/>
              </w:rPr>
            </w:pPr>
          </w:p>
        </w:tc>
        <w:tc>
          <w:tcPr>
            <w:tcW w:w="1053" w:type="dxa"/>
            <w:vAlign w:val="center"/>
          </w:tcPr>
          <w:p>
            <w:pPr>
              <w:spacing w:line="288" w:lineRule="auto"/>
              <w:jc w:val="center"/>
              <w:rPr>
                <w:rFonts w:ascii="宋体" w:hAnsi="宋体"/>
                <w:color w:val="auto"/>
                <w:spacing w:val="-6"/>
                <w:sz w:val="21"/>
                <w:szCs w:val="21"/>
                <w:highlight w:val="none"/>
              </w:rPr>
            </w:pPr>
          </w:p>
        </w:tc>
        <w:tc>
          <w:tcPr>
            <w:tcW w:w="881" w:type="dxa"/>
          </w:tcPr>
          <w:p>
            <w:pPr>
              <w:spacing w:line="288" w:lineRule="auto"/>
              <w:jc w:val="center"/>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ascii="宋体" w:hAnsi="宋体"/>
                <w:color w:val="auto"/>
                <w:spacing w:val="-6"/>
                <w:sz w:val="21"/>
                <w:szCs w:val="21"/>
                <w:highlight w:val="none"/>
              </w:rPr>
            </w:pPr>
          </w:p>
        </w:tc>
        <w:tc>
          <w:tcPr>
            <w:tcW w:w="2091" w:type="dxa"/>
            <w:vAlign w:val="center"/>
          </w:tcPr>
          <w:p>
            <w:pPr>
              <w:spacing w:line="288" w:lineRule="auto"/>
              <w:jc w:val="center"/>
              <w:rPr>
                <w:rFonts w:ascii="宋体" w:hAnsi="宋体"/>
                <w:color w:val="auto"/>
                <w:spacing w:val="-6"/>
                <w:sz w:val="21"/>
                <w:szCs w:val="21"/>
                <w:highlight w:val="none"/>
              </w:rPr>
            </w:pPr>
          </w:p>
        </w:tc>
        <w:tc>
          <w:tcPr>
            <w:tcW w:w="709" w:type="dxa"/>
            <w:vAlign w:val="center"/>
          </w:tcPr>
          <w:p>
            <w:pPr>
              <w:spacing w:line="288" w:lineRule="auto"/>
              <w:jc w:val="center"/>
              <w:rPr>
                <w:rFonts w:ascii="宋体" w:hAnsi="宋体"/>
                <w:color w:val="auto"/>
                <w:spacing w:val="-6"/>
                <w:sz w:val="21"/>
                <w:szCs w:val="21"/>
                <w:highlight w:val="none"/>
              </w:rPr>
            </w:pPr>
          </w:p>
        </w:tc>
        <w:tc>
          <w:tcPr>
            <w:tcW w:w="3830" w:type="dxa"/>
            <w:vAlign w:val="center"/>
          </w:tcPr>
          <w:p>
            <w:pPr>
              <w:spacing w:line="288" w:lineRule="auto"/>
              <w:rPr>
                <w:rFonts w:ascii="宋体" w:hAnsi="宋体"/>
                <w:color w:val="auto"/>
                <w:spacing w:val="-6"/>
                <w:sz w:val="21"/>
                <w:szCs w:val="21"/>
                <w:highlight w:val="none"/>
              </w:rPr>
            </w:pPr>
          </w:p>
        </w:tc>
        <w:tc>
          <w:tcPr>
            <w:tcW w:w="967" w:type="dxa"/>
            <w:vAlign w:val="center"/>
          </w:tcPr>
          <w:p>
            <w:pPr>
              <w:spacing w:line="288" w:lineRule="auto"/>
              <w:jc w:val="center"/>
              <w:rPr>
                <w:rFonts w:ascii="宋体" w:hAnsi="宋体"/>
                <w:color w:val="auto"/>
                <w:spacing w:val="-6"/>
                <w:sz w:val="21"/>
                <w:szCs w:val="21"/>
                <w:highlight w:val="none"/>
              </w:rPr>
            </w:pPr>
          </w:p>
        </w:tc>
        <w:tc>
          <w:tcPr>
            <w:tcW w:w="1053" w:type="dxa"/>
            <w:vAlign w:val="center"/>
          </w:tcPr>
          <w:p>
            <w:pPr>
              <w:spacing w:line="288" w:lineRule="auto"/>
              <w:jc w:val="center"/>
              <w:rPr>
                <w:rFonts w:ascii="宋体" w:hAnsi="宋体"/>
                <w:color w:val="auto"/>
                <w:spacing w:val="-6"/>
                <w:sz w:val="21"/>
                <w:szCs w:val="21"/>
                <w:highlight w:val="none"/>
              </w:rPr>
            </w:pPr>
          </w:p>
        </w:tc>
        <w:tc>
          <w:tcPr>
            <w:tcW w:w="881" w:type="dxa"/>
          </w:tcPr>
          <w:p>
            <w:pPr>
              <w:spacing w:line="288" w:lineRule="auto"/>
              <w:jc w:val="center"/>
              <w:rPr>
                <w:rFonts w:ascii="宋体" w:hAnsi="宋体"/>
                <w:color w:val="auto"/>
                <w:spacing w:val="-6"/>
                <w:sz w:val="21"/>
                <w:szCs w:val="21"/>
                <w:highlight w:val="none"/>
              </w:rPr>
            </w:pPr>
          </w:p>
        </w:tc>
      </w:tr>
    </w:tbl>
    <w:p>
      <w:pPr>
        <w:spacing w:line="360" w:lineRule="auto"/>
        <w:rPr>
          <w:rFonts w:ascii="宋体" w:hAnsi="宋体"/>
          <w:color w:val="auto"/>
          <w:spacing w:val="-6"/>
          <w:sz w:val="21"/>
          <w:szCs w:val="21"/>
          <w:highlight w:val="none"/>
        </w:rPr>
      </w:pPr>
    </w:p>
    <w:p>
      <w:pPr>
        <w:spacing w:line="360" w:lineRule="auto"/>
        <w:rPr>
          <w:rFonts w:ascii="宋体" w:hAnsi="宋体"/>
          <w:color w:val="auto"/>
          <w:spacing w:val="-6"/>
          <w:sz w:val="21"/>
          <w:szCs w:val="21"/>
          <w:highlight w:val="none"/>
        </w:rPr>
      </w:pPr>
      <w:r>
        <w:rPr>
          <w:rFonts w:hint="eastAsia" w:ascii="宋体" w:hAnsi="宋体"/>
          <w:color w:val="auto"/>
          <w:spacing w:val="-6"/>
          <w:sz w:val="21"/>
          <w:szCs w:val="21"/>
          <w:highlight w:val="none"/>
        </w:rPr>
        <w:t>备注：本表仅为方便磋商小组评审使用，不作为判别响应文件是否有效的依据。</w:t>
      </w:r>
    </w:p>
    <w:p>
      <w:pPr>
        <w:spacing w:line="360" w:lineRule="auto"/>
        <w:jc w:val="center"/>
        <w:rPr>
          <w:rFonts w:ascii="宋体" w:hAnsi="宋体"/>
          <w:bCs/>
          <w:color w:val="auto"/>
          <w:spacing w:val="-6"/>
          <w:sz w:val="24"/>
          <w:highlight w:val="none"/>
        </w:rPr>
      </w:pPr>
    </w:p>
    <w:p>
      <w:pPr>
        <w:spacing w:line="360" w:lineRule="auto"/>
        <w:jc w:val="center"/>
        <w:rPr>
          <w:rFonts w:ascii="宋体" w:hAnsi="宋体"/>
          <w:b/>
          <w:color w:val="auto"/>
          <w:spacing w:val="-6"/>
          <w:sz w:val="52"/>
          <w:szCs w:val="52"/>
          <w:highlight w:val="none"/>
        </w:rPr>
      </w:pPr>
      <w:r>
        <w:rPr>
          <w:rFonts w:ascii="宋体" w:hAnsi="宋体"/>
          <w:bCs/>
          <w:color w:val="auto"/>
          <w:spacing w:val="-6"/>
          <w:sz w:val="24"/>
          <w:highlight w:val="none"/>
        </w:rPr>
        <w:br w:type="page"/>
      </w:r>
      <w:r>
        <w:rPr>
          <w:rFonts w:hint="eastAsia" w:ascii="宋体" w:hAnsi="宋体"/>
          <w:b/>
          <w:color w:val="auto"/>
          <w:spacing w:val="-6"/>
          <w:sz w:val="52"/>
          <w:szCs w:val="52"/>
          <w:highlight w:val="none"/>
        </w:rPr>
        <w:t>报价文件</w:t>
      </w:r>
    </w:p>
    <w:p>
      <w:pPr>
        <w:spacing w:line="360" w:lineRule="auto"/>
        <w:jc w:val="center"/>
        <w:rPr>
          <w:rFonts w:ascii="宋体" w:hAnsi="宋体"/>
          <w:b/>
          <w:color w:val="auto"/>
          <w:spacing w:val="-6"/>
          <w:sz w:val="24"/>
          <w:highlight w:val="none"/>
        </w:rPr>
      </w:pPr>
      <w:r>
        <w:rPr>
          <w:rFonts w:hint="eastAsia" w:ascii="宋体" w:hAnsi="宋体"/>
          <w:b/>
          <w:color w:val="auto"/>
          <w:spacing w:val="-6"/>
          <w:sz w:val="24"/>
          <w:highlight w:val="none"/>
        </w:rPr>
        <w:t>初次报价一览表</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采购人：浙江省退役军人事务厅</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项目名称：云安全防护设备及服务项目</w:t>
      </w:r>
    </w:p>
    <w:p>
      <w:pPr>
        <w:spacing w:line="360" w:lineRule="auto"/>
        <w:rPr>
          <w:rFonts w:hint="eastAsia" w:ascii="宋体" w:hAnsi="宋体" w:eastAsia="宋体"/>
          <w:color w:val="auto"/>
          <w:spacing w:val="-6"/>
          <w:sz w:val="24"/>
          <w:highlight w:val="none"/>
          <w:lang w:eastAsia="zh-CN"/>
        </w:rPr>
      </w:pPr>
      <w:r>
        <w:rPr>
          <w:rFonts w:hint="eastAsia" w:ascii="宋体" w:hAnsi="宋体"/>
          <w:color w:val="auto"/>
          <w:spacing w:val="-6"/>
          <w:sz w:val="24"/>
          <w:highlight w:val="none"/>
        </w:rPr>
        <w:t>项目编号：</w:t>
      </w:r>
      <w:r>
        <w:rPr>
          <w:rFonts w:hint="eastAsia" w:ascii="宋体" w:hAnsi="宋体"/>
          <w:color w:val="auto"/>
          <w:spacing w:val="-6"/>
          <w:sz w:val="24"/>
          <w:highlight w:val="none"/>
          <w:lang w:eastAsia="zh-CN"/>
        </w:rPr>
        <w:t>QSZB-Z(F)-E19282(CS)</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w:t>
      </w:r>
    </w:p>
    <w:tbl>
      <w:tblPr>
        <w:tblStyle w:val="21"/>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4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pacing w:val="-6"/>
                <w:sz w:val="24"/>
                <w:highlight w:val="none"/>
                <w:u w:val="single"/>
              </w:rPr>
            </w:pPr>
            <w:r>
              <w:rPr>
                <w:rFonts w:hint="eastAsia" w:ascii="宋体" w:hAnsi="宋体"/>
                <w:b/>
                <w:color w:val="auto"/>
                <w:spacing w:val="-6"/>
                <w:sz w:val="24"/>
                <w:highlight w:val="none"/>
              </w:rPr>
              <w:t>磋商响应总价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49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pacing w:val="-6"/>
                <w:sz w:val="24"/>
                <w:highlight w:val="none"/>
              </w:rPr>
            </w:pPr>
          </w:p>
          <w:p>
            <w:pPr>
              <w:spacing w:line="360" w:lineRule="auto"/>
              <w:rPr>
                <w:rFonts w:ascii="宋体" w:hAnsi="宋体"/>
                <w:color w:val="auto"/>
                <w:spacing w:val="-6"/>
                <w:sz w:val="24"/>
                <w:highlight w:val="none"/>
                <w:u w:val="single"/>
              </w:rPr>
            </w:pPr>
            <w:r>
              <w:rPr>
                <w:rFonts w:hint="eastAsia" w:ascii="宋体" w:hAnsi="宋体"/>
                <w:color w:val="auto"/>
                <w:spacing w:val="-6"/>
                <w:sz w:val="24"/>
                <w:highlight w:val="none"/>
              </w:rPr>
              <w:t>金额大写：__________________________________________，小写：____________</w:t>
            </w:r>
          </w:p>
          <w:p>
            <w:pPr>
              <w:spacing w:line="360" w:lineRule="auto"/>
              <w:rPr>
                <w:rFonts w:ascii="宋体" w:hAnsi="宋体"/>
                <w:color w:val="auto"/>
                <w:spacing w:val="-6"/>
                <w:sz w:val="24"/>
                <w:highlight w:val="none"/>
                <w:u w:val="single"/>
              </w:rPr>
            </w:pPr>
          </w:p>
          <w:p>
            <w:pPr>
              <w:spacing w:line="360" w:lineRule="auto"/>
              <w:rPr>
                <w:rFonts w:ascii="宋体" w:hAnsi="宋体"/>
                <w:b/>
                <w:color w:val="auto"/>
                <w:spacing w:val="-6"/>
                <w:sz w:val="24"/>
                <w:highlight w:val="none"/>
              </w:rPr>
            </w:pPr>
            <w:r>
              <w:rPr>
                <w:rFonts w:hint="eastAsia" w:ascii="宋体" w:hAnsi="宋体"/>
                <w:color w:val="auto"/>
                <w:spacing w:val="-6"/>
                <w:sz w:val="24"/>
                <w:highlight w:val="none"/>
              </w:rPr>
              <w:t>单位：人民币元</w:t>
            </w:r>
          </w:p>
        </w:tc>
      </w:tr>
    </w:tbl>
    <w:p>
      <w:pPr>
        <w:spacing w:line="360" w:lineRule="auto"/>
        <w:jc w:val="left"/>
        <w:rPr>
          <w:rFonts w:ascii="宋体" w:hAnsi="宋体"/>
          <w:color w:val="auto"/>
          <w:spacing w:val="-6"/>
          <w:sz w:val="24"/>
          <w:highlight w:val="none"/>
        </w:rPr>
      </w:pPr>
    </w:p>
    <w:p>
      <w:pPr>
        <w:spacing w:line="360" w:lineRule="auto"/>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p>
    <w:p>
      <w:pPr>
        <w:spacing w:line="360" w:lineRule="auto"/>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磋商响应总价包括完成所有产品供货及履行所有规定服务所产生的全部费用。</w:t>
      </w:r>
    </w:p>
    <w:p>
      <w:pPr>
        <w:spacing w:line="360" w:lineRule="auto"/>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以上报价应与“初次报价明细表”中的“磋商响应总价”相一致。</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此表在不改变格式要求的情况下，可自行制作。</w:t>
      </w:r>
    </w:p>
    <w:p>
      <w:pPr>
        <w:spacing w:line="360" w:lineRule="auto"/>
        <w:rPr>
          <w:rFonts w:ascii="宋体" w:hAnsi="宋体"/>
          <w:color w:val="auto"/>
          <w:spacing w:val="-6"/>
          <w:sz w:val="24"/>
          <w:highlight w:val="none"/>
        </w:rPr>
      </w:pPr>
    </w:p>
    <w:p>
      <w:pPr>
        <w:spacing w:line="360" w:lineRule="auto"/>
        <w:ind w:right="-1089" w:rightChars="-389"/>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ind w:right="-1089" w:rightChars="-389"/>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ind w:right="-1089" w:rightChars="-389"/>
        <w:rPr>
          <w:rFonts w:ascii="宋体" w:hAnsi="宋体"/>
          <w:color w:val="auto"/>
          <w:spacing w:val="-6"/>
          <w:sz w:val="24"/>
          <w:highlight w:val="none"/>
        </w:rPr>
      </w:pPr>
      <w:r>
        <w:rPr>
          <w:rFonts w:hint="eastAsia" w:ascii="宋体" w:hAnsi="宋体"/>
          <w:bCs/>
          <w:color w:val="auto"/>
          <w:spacing w:val="-6"/>
          <w:sz w:val="24"/>
          <w:highlight w:val="none"/>
        </w:rPr>
        <w:t>日期：  年  月  日</w:t>
      </w:r>
    </w:p>
    <w:p>
      <w:pPr>
        <w:pStyle w:val="12"/>
        <w:spacing w:beforeLines="0" w:afterLines="0" w:line="360" w:lineRule="auto"/>
        <w:jc w:val="center"/>
        <w:rPr>
          <w:rFonts w:hAnsi="宋体"/>
          <w:b/>
          <w:color w:val="auto"/>
          <w:spacing w:val="-6"/>
          <w:highlight w:val="none"/>
        </w:rPr>
      </w:pPr>
      <w:r>
        <w:rPr>
          <w:rFonts w:hAnsi="宋体"/>
          <w:b/>
          <w:color w:val="auto"/>
          <w:spacing w:val="-6"/>
          <w:highlight w:val="none"/>
        </w:rPr>
        <w:br w:type="page"/>
      </w:r>
      <w:r>
        <w:rPr>
          <w:rFonts w:hint="eastAsia" w:hAnsi="宋体"/>
          <w:b/>
          <w:color w:val="auto"/>
          <w:spacing w:val="-6"/>
          <w:highlight w:val="none"/>
        </w:rPr>
        <w:t>初次</w:t>
      </w:r>
      <w:r>
        <w:rPr>
          <w:rFonts w:hAnsi="宋体"/>
          <w:b/>
          <w:color w:val="auto"/>
          <w:spacing w:val="-6"/>
          <w:highlight w:val="none"/>
        </w:rPr>
        <w:t>报价明细表</w:t>
      </w:r>
    </w:p>
    <w:p>
      <w:pPr>
        <w:pStyle w:val="12"/>
        <w:spacing w:beforeLines="0" w:afterLines="0" w:line="360" w:lineRule="auto"/>
        <w:ind w:right="342"/>
        <w:jc w:val="right"/>
        <w:rPr>
          <w:rFonts w:hAnsi="宋体"/>
          <w:b/>
          <w:color w:val="auto"/>
          <w:spacing w:val="-6"/>
          <w:highlight w:val="none"/>
        </w:rPr>
      </w:pPr>
      <w:r>
        <w:rPr>
          <w:rFonts w:hAnsi="宋体"/>
          <w:color w:val="auto"/>
          <w:spacing w:val="-6"/>
          <w:highlight w:val="none"/>
        </w:rPr>
        <w:t>金额单位：</w:t>
      </w:r>
      <w:r>
        <w:rPr>
          <w:rFonts w:hint="eastAsia" w:hAnsi="宋体"/>
          <w:color w:val="auto"/>
          <w:spacing w:val="-6"/>
          <w:highlight w:val="none"/>
        </w:rPr>
        <w:t>人民币元</w:t>
      </w:r>
    </w:p>
    <w:tbl>
      <w:tblPr>
        <w:tblStyle w:val="21"/>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126"/>
        <w:gridCol w:w="851"/>
        <w:gridCol w:w="851"/>
        <w:gridCol w:w="1133"/>
        <w:gridCol w:w="1276"/>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序号</w:t>
            </w: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名称</w:t>
            </w: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数量</w:t>
            </w: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单位</w:t>
            </w: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品牌</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r>
              <w:rPr>
                <w:rFonts w:ascii="宋体" w:hAnsi="宋体"/>
                <w:color w:val="auto"/>
                <w:spacing w:val="-6"/>
                <w:sz w:val="24"/>
                <w:highlight w:val="none"/>
              </w:rPr>
              <w:t>型号</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p>
        </w:tc>
      </w:tr>
    </w:tbl>
    <w:p>
      <w:pPr>
        <w:tabs>
          <w:tab w:val="left" w:pos="1418"/>
        </w:tabs>
        <w:spacing w:line="360" w:lineRule="auto"/>
        <w:rPr>
          <w:rFonts w:ascii="宋体" w:hAnsi="宋体"/>
          <w:color w:val="auto"/>
          <w:spacing w:val="-6"/>
          <w:sz w:val="24"/>
          <w:highlight w:val="none"/>
          <w:u w:val="single"/>
        </w:rPr>
      </w:pPr>
    </w:p>
    <w:p>
      <w:pPr>
        <w:tabs>
          <w:tab w:val="left" w:pos="1418"/>
        </w:tabs>
        <w:spacing w:line="360" w:lineRule="auto"/>
        <w:rPr>
          <w:rFonts w:ascii="宋体" w:hAnsi="宋体"/>
          <w:color w:val="auto"/>
          <w:spacing w:val="-6"/>
          <w:sz w:val="24"/>
          <w:highlight w:val="none"/>
          <w:u w:val="single"/>
        </w:rPr>
      </w:pPr>
    </w:p>
    <w:p>
      <w:pPr>
        <w:spacing w:line="360" w:lineRule="auto"/>
        <w:ind w:right="-1089" w:rightChars="-389"/>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ind w:right="-1089" w:rightChars="-389"/>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ind w:right="-1089" w:rightChars="-389"/>
        <w:rPr>
          <w:rFonts w:ascii="宋体" w:hAnsi="宋体"/>
          <w:color w:val="auto"/>
          <w:spacing w:val="-6"/>
          <w:sz w:val="24"/>
          <w:highlight w:val="none"/>
        </w:rPr>
      </w:pPr>
      <w:r>
        <w:rPr>
          <w:rFonts w:hint="eastAsia" w:ascii="宋体" w:hAnsi="宋体"/>
          <w:bCs/>
          <w:color w:val="auto"/>
          <w:spacing w:val="-6"/>
          <w:sz w:val="24"/>
          <w:highlight w:val="none"/>
        </w:rPr>
        <w:t>日期：  年  月  日</w:t>
      </w:r>
    </w:p>
    <w:p>
      <w:pPr>
        <w:widowControl/>
        <w:jc w:val="left"/>
        <w:rPr>
          <w:rFonts w:ascii="宋体" w:hAnsi="宋体"/>
          <w:color w:val="auto"/>
          <w:spacing w:val="-6"/>
          <w:sz w:val="24"/>
          <w:highlight w:val="none"/>
        </w:rPr>
      </w:pPr>
      <w:r>
        <w:rPr>
          <w:rFonts w:ascii="宋体" w:hAnsi="宋体"/>
          <w:color w:val="auto"/>
          <w:spacing w:val="-6"/>
          <w:highlight w:val="none"/>
        </w:rPr>
        <w:br w:type="page"/>
      </w:r>
    </w:p>
    <w:p>
      <w:pPr>
        <w:pStyle w:val="17"/>
        <w:spacing w:line="360" w:lineRule="auto"/>
        <w:ind w:left="169" w:hanging="169" w:hangingChars="74"/>
        <w:jc w:val="center"/>
        <w:rPr>
          <w:rFonts w:ascii="宋体" w:hAnsi="宋体"/>
          <w:b/>
          <w:color w:val="auto"/>
          <w:spacing w:val="-6"/>
          <w:sz w:val="24"/>
          <w:highlight w:val="none"/>
        </w:rPr>
      </w:pPr>
      <w:r>
        <w:rPr>
          <w:rFonts w:hint="eastAsia" w:ascii="宋体" w:hAnsi="宋体"/>
          <w:b/>
          <w:color w:val="auto"/>
          <w:spacing w:val="-6"/>
          <w:sz w:val="24"/>
          <w:highlight w:val="none"/>
        </w:rPr>
        <w:t>供应商企业类型声明函</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本公司郑重声明，根据《政府采购促进中小企业发展暂行办法》（财库</w:t>
      </w:r>
      <w:r>
        <w:rPr>
          <w:rFonts w:ascii="宋体" w:hAnsi="宋体"/>
          <w:color w:val="auto"/>
          <w:sz w:val="24"/>
          <w:highlight w:val="none"/>
        </w:rPr>
        <w:t>[</w:t>
      </w:r>
      <w:r>
        <w:rPr>
          <w:rFonts w:hint="eastAsia" w:ascii="宋体" w:hAnsi="宋体"/>
          <w:color w:val="auto"/>
          <w:sz w:val="24"/>
          <w:highlight w:val="none"/>
        </w:rPr>
        <w:t>2011</w:t>
      </w:r>
      <w:r>
        <w:rPr>
          <w:rFonts w:ascii="宋体" w:hAnsi="宋体"/>
          <w:color w:val="auto"/>
          <w:sz w:val="24"/>
          <w:highlight w:val="none"/>
        </w:rPr>
        <w:t>]</w:t>
      </w:r>
      <w:r>
        <w:rPr>
          <w:rFonts w:hint="eastAsia" w:ascii="宋体" w:hAnsi="宋体"/>
          <w:color w:val="auto"/>
          <w:sz w:val="24"/>
          <w:highlight w:val="none"/>
        </w:rPr>
        <w:t>181号）的规定，本公司为______（请填写：大型、中型、小型、微型）企业。即，本公司同时满足以下条件：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根据《工业和信息化部、国家统计局、国家发展和改革委员会、财政部关于印发中小企业划型标准规定的通知》（工信部联企业[2011]300号）规定的划分标准，本公司为______（请填写：大型、中型、小型、微型）企业。</w:t>
      </w:r>
    </w:p>
    <w:p>
      <w:pPr>
        <w:spacing w:line="360" w:lineRule="auto"/>
        <w:ind w:firstLine="480" w:firstLineChars="200"/>
        <w:rPr>
          <w:rFonts w:ascii="宋体" w:hAnsi="宋体"/>
          <w:b/>
          <w:color w:val="auto"/>
          <w:sz w:val="24"/>
          <w:highlight w:val="none"/>
        </w:rPr>
      </w:pPr>
      <w:r>
        <w:rPr>
          <w:rFonts w:ascii="宋体" w:hAnsi="宋体"/>
          <w:color w:val="auto"/>
          <w:sz w:val="24"/>
          <w:highlight w:val="none"/>
        </w:rPr>
        <w:t>2.</w:t>
      </w:r>
      <w:r>
        <w:rPr>
          <w:rFonts w:hint="eastAsia" w:ascii="宋体" w:hAnsi="宋体"/>
          <w:color w:val="auto"/>
          <w:sz w:val="24"/>
          <w:highlight w:val="none"/>
        </w:rPr>
        <w:t>本公司参加</w:t>
      </w:r>
      <w:r>
        <w:rPr>
          <w:rFonts w:hint="eastAsia" w:ascii="宋体" w:hAnsi="宋体"/>
          <w:bCs/>
          <w:color w:val="auto"/>
          <w:sz w:val="24"/>
          <w:highlight w:val="none"/>
        </w:rPr>
        <w:t>浙江省退役军人事务厅云安全防护设备及服务项目</w:t>
      </w:r>
      <w:r>
        <w:rPr>
          <w:rFonts w:hint="eastAsia" w:ascii="宋体" w:hAnsi="宋体"/>
          <w:color w:val="auto"/>
          <w:sz w:val="24"/>
          <w:highlight w:val="none"/>
        </w:rPr>
        <w:t>采购活动（按响应形式选择填写）：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（1）□本公司为直接供应商提供本企业制造的货物。</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（2）□本公司为代理商，提供其他______（请填写：中型、小型、微型）企业制造的货物。本条所称货物不包括使用大型企业注册商标的货物。</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本公司对上述声明的真实性负责。如有虚假，将依法承担相应责任。</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right="-1089" w:rightChars="-389"/>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ind w:right="-1089" w:rightChars="-389"/>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ind w:right="-1089" w:rightChars="-389"/>
        <w:rPr>
          <w:rFonts w:ascii="宋体" w:hAnsi="宋体"/>
          <w:bCs/>
          <w:color w:val="auto"/>
          <w:spacing w:val="-6"/>
          <w:sz w:val="24"/>
          <w:highlight w:val="none"/>
        </w:rPr>
      </w:pPr>
      <w:r>
        <w:rPr>
          <w:rFonts w:hint="eastAsia" w:ascii="宋体" w:hAnsi="宋体"/>
          <w:bCs/>
          <w:color w:val="auto"/>
          <w:spacing w:val="-6"/>
          <w:sz w:val="24"/>
          <w:highlight w:val="none"/>
        </w:rPr>
        <w:t>日期：  年  月  日</w:t>
      </w:r>
    </w:p>
    <w:p>
      <w:pPr>
        <w:spacing w:line="360" w:lineRule="auto"/>
        <w:jc w:val="center"/>
        <w:rPr>
          <w:rFonts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小微企业资格证明材料</w:t>
      </w:r>
      <w:r>
        <w:rPr>
          <w:rFonts w:hint="eastAsia" w:ascii="宋体" w:hAnsi="宋体"/>
          <w:color w:val="auto"/>
          <w:sz w:val="24"/>
          <w:highlight w:val="none"/>
        </w:rPr>
        <w:t>（加盖公章）</w:t>
      </w:r>
    </w:p>
    <w:p>
      <w:pPr>
        <w:spacing w:line="360" w:lineRule="auto"/>
        <w:jc w:val="center"/>
        <w:rPr>
          <w:rFonts w:ascii="宋体" w:hAnsi="宋体"/>
          <w:b/>
          <w:bCs/>
          <w:color w:val="auto"/>
          <w:sz w:val="21"/>
          <w:szCs w:val="21"/>
          <w:highlight w:val="none"/>
        </w:rPr>
      </w:pPr>
      <w:r>
        <w:rPr>
          <w:rFonts w:hint="eastAsia" w:ascii="宋体" w:hAnsi="宋体"/>
          <w:color w:val="auto"/>
          <w:sz w:val="24"/>
          <w:highlight w:val="none"/>
        </w:rPr>
        <w:t>供应商在“国家企业信用信息公示系统-小微企业名录”中的网页查询截图或当地中小企业行政主管部门的确认意见</w:t>
      </w:r>
    </w:p>
    <w:p>
      <w:pPr>
        <w:spacing w:line="360" w:lineRule="auto"/>
        <w:rPr>
          <w:rFonts w:ascii="宋体" w:hAnsi="宋体"/>
          <w:b/>
          <w:bCs/>
          <w:color w:val="auto"/>
          <w:sz w:val="21"/>
          <w:szCs w:val="21"/>
          <w:highlight w:val="none"/>
        </w:rPr>
      </w:pPr>
    </w:p>
    <w:p>
      <w:pPr>
        <w:spacing w:line="360" w:lineRule="auto"/>
        <w:rPr>
          <w:rFonts w:ascii="宋体" w:hAnsi="宋体"/>
          <w:b/>
          <w:bCs/>
          <w:color w:val="auto"/>
          <w:sz w:val="21"/>
          <w:szCs w:val="21"/>
          <w:highlight w:val="none"/>
        </w:rPr>
      </w:pPr>
    </w:p>
    <w:p>
      <w:pPr>
        <w:spacing w:line="360" w:lineRule="auto"/>
        <w:rPr>
          <w:rFonts w:ascii="宋体" w:hAnsi="宋体"/>
          <w:b/>
          <w:bCs/>
          <w:color w:val="auto"/>
          <w:sz w:val="21"/>
          <w:szCs w:val="21"/>
          <w:highlight w:val="none"/>
        </w:rPr>
      </w:pPr>
    </w:p>
    <w:p>
      <w:pPr>
        <w:spacing w:line="360" w:lineRule="auto"/>
        <w:rPr>
          <w:rFonts w:ascii="宋体" w:hAnsi="宋体"/>
          <w:b/>
          <w:bCs/>
          <w:color w:val="auto"/>
          <w:sz w:val="21"/>
          <w:szCs w:val="21"/>
          <w:highlight w:val="none"/>
        </w:rPr>
      </w:pPr>
      <w:r>
        <w:rPr>
          <w:rFonts w:hint="eastAsia" w:ascii="宋体" w:hAnsi="宋体"/>
          <w:b/>
          <w:bCs/>
          <w:color w:val="auto"/>
          <w:sz w:val="21"/>
          <w:szCs w:val="21"/>
          <w:highlight w:val="none"/>
        </w:rPr>
        <w:t>说明</w:t>
      </w:r>
      <w:r>
        <w:rPr>
          <w:rFonts w:ascii="宋体" w:hAnsi="宋体"/>
          <w:b/>
          <w:bCs/>
          <w:color w:val="auto"/>
          <w:sz w:val="21"/>
          <w:szCs w:val="21"/>
          <w:highlight w:val="none"/>
        </w:rPr>
        <w:t>：</w:t>
      </w:r>
    </w:p>
    <w:p>
      <w:pPr>
        <w:spacing w:line="360" w:lineRule="auto"/>
        <w:jc w:val="left"/>
        <w:rPr>
          <w:rFonts w:ascii="宋体" w:hAnsi="宋体"/>
          <w:b/>
          <w:bCs/>
          <w:color w:val="auto"/>
          <w:sz w:val="21"/>
          <w:szCs w:val="21"/>
          <w:highlight w:val="none"/>
        </w:rPr>
      </w:pPr>
      <w:r>
        <w:rPr>
          <w:rFonts w:hint="eastAsia" w:ascii="宋体" w:hAnsi="宋体"/>
          <w:b/>
          <w:bCs/>
          <w:color w:val="auto"/>
          <w:sz w:val="21"/>
          <w:szCs w:val="21"/>
          <w:highlight w:val="none"/>
        </w:rPr>
        <w:t>1.磋商小组将依据“供应商企业类型声明函”及小微企业资格证明材料评定供应商的企业类型；</w:t>
      </w:r>
    </w:p>
    <w:p>
      <w:pPr>
        <w:spacing w:line="360" w:lineRule="auto"/>
        <w:jc w:val="left"/>
        <w:rPr>
          <w:rFonts w:ascii="宋体" w:hAnsi="宋体"/>
          <w:b/>
          <w:bCs/>
          <w:color w:val="auto"/>
          <w:sz w:val="21"/>
          <w:szCs w:val="21"/>
          <w:highlight w:val="none"/>
        </w:rPr>
      </w:pPr>
      <w:r>
        <w:rPr>
          <w:rFonts w:hint="eastAsia" w:ascii="宋体" w:hAnsi="宋体"/>
          <w:b/>
          <w:bCs/>
          <w:color w:val="auto"/>
          <w:sz w:val="21"/>
          <w:szCs w:val="21"/>
          <w:highlight w:val="none"/>
        </w:rPr>
        <w:t>2</w:t>
      </w:r>
      <w:r>
        <w:rPr>
          <w:rFonts w:ascii="宋体" w:hAnsi="宋体"/>
          <w:b/>
          <w:bCs/>
          <w:color w:val="auto"/>
          <w:sz w:val="21"/>
          <w:szCs w:val="21"/>
          <w:highlight w:val="none"/>
        </w:rPr>
        <w:t>.</w:t>
      </w:r>
      <w:r>
        <w:rPr>
          <w:rFonts w:hint="eastAsia" w:ascii="宋体" w:hAnsi="宋体"/>
          <w:b/>
          <w:bCs/>
          <w:color w:val="auto"/>
          <w:sz w:val="21"/>
          <w:szCs w:val="21"/>
          <w:highlight w:val="none"/>
        </w:rPr>
        <w:t>如供应商为代理商，提供其它小微企业制造的货物的，所代理品牌制造商的小微企业资格证明材料也需提供；</w:t>
      </w:r>
    </w:p>
    <w:p>
      <w:pPr>
        <w:spacing w:line="360" w:lineRule="auto"/>
        <w:jc w:val="left"/>
        <w:rPr>
          <w:rFonts w:ascii="宋体" w:hAnsi="宋体"/>
          <w:b/>
          <w:bCs/>
          <w:color w:val="auto"/>
          <w:sz w:val="21"/>
          <w:szCs w:val="21"/>
          <w:highlight w:val="none"/>
        </w:rPr>
      </w:pPr>
      <w:r>
        <w:rPr>
          <w:rFonts w:hint="eastAsia" w:ascii="宋体" w:hAnsi="宋体"/>
          <w:b/>
          <w:bCs/>
          <w:color w:val="auto"/>
          <w:sz w:val="21"/>
          <w:szCs w:val="21"/>
          <w:highlight w:val="none"/>
        </w:rPr>
        <w:t>3.小微企业资格证明材料中认定情形为“中小企业”等无法界定供应商或其代理品牌制造商具体企业类型的均为无效证明材料。</w:t>
      </w:r>
    </w:p>
    <w:p>
      <w:pPr>
        <w:spacing w:line="360" w:lineRule="auto"/>
        <w:jc w:val="center"/>
        <w:rPr>
          <w:rFonts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监狱企业资格证明材料</w:t>
      </w:r>
    </w:p>
    <w:p>
      <w:pPr>
        <w:spacing w:line="360" w:lineRule="auto"/>
        <w:jc w:val="center"/>
        <w:rPr>
          <w:rFonts w:ascii="宋体" w:hAnsi="宋体"/>
          <w:b/>
          <w:bCs/>
          <w:color w:val="auto"/>
          <w:sz w:val="21"/>
          <w:szCs w:val="21"/>
          <w:highlight w:val="none"/>
        </w:rPr>
      </w:pPr>
      <w:r>
        <w:rPr>
          <w:rFonts w:hint="eastAsia" w:ascii="宋体" w:hAnsi="宋体"/>
          <w:b/>
          <w:bCs/>
          <w:color w:val="auto"/>
          <w:sz w:val="21"/>
          <w:szCs w:val="21"/>
          <w:highlight w:val="none"/>
        </w:rPr>
        <w:t>（省级以上监狱管理局、戒毒管理局（含新疆生产建设兵团）出具的属于监狱企业的证明文件）</w:t>
      </w:r>
    </w:p>
    <w:p>
      <w:pPr>
        <w:spacing w:line="360" w:lineRule="auto"/>
        <w:jc w:val="center"/>
        <w:rPr>
          <w:rFonts w:ascii="宋体" w:hAnsi="宋体"/>
          <w:b/>
          <w:color w:val="auto"/>
          <w:spacing w:val="6"/>
          <w:sz w:val="24"/>
          <w:highlight w:val="none"/>
        </w:rPr>
      </w:pPr>
      <w:r>
        <w:rPr>
          <w:rFonts w:ascii="宋体" w:hAnsi="宋体"/>
          <w:b/>
          <w:color w:val="auto"/>
          <w:spacing w:val="-6"/>
          <w:sz w:val="52"/>
          <w:szCs w:val="52"/>
          <w:highlight w:val="none"/>
        </w:rPr>
        <w:br w:type="page"/>
      </w:r>
      <w:r>
        <w:rPr>
          <w:rFonts w:hint="eastAsia" w:ascii="宋体" w:hAnsi="宋体"/>
          <w:b/>
          <w:color w:val="auto"/>
          <w:spacing w:val="6"/>
          <w:sz w:val="24"/>
          <w:highlight w:val="none"/>
        </w:rPr>
        <w:t>残疾人福利性单位声明函</w:t>
      </w:r>
    </w:p>
    <w:p>
      <w:pPr>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[2017]141</w:t>
      </w:r>
      <w:r>
        <w:rPr>
          <w:rFonts w:hint="eastAsia" w:ascii="宋体" w:hAnsi="宋体"/>
          <w:color w:val="auto"/>
          <w:spacing w:val="6"/>
          <w:sz w:val="24"/>
          <w:highlight w:val="none"/>
        </w:rPr>
        <w:t>号）的规定，本单位为符合条件的残疾人福利性单位，且本单位参加</w:t>
      </w:r>
      <w:r>
        <w:rPr>
          <w:rFonts w:hint="eastAsia" w:ascii="宋体" w:hAnsi="宋体"/>
          <w:bCs/>
          <w:color w:val="auto"/>
          <w:sz w:val="24"/>
          <w:highlight w:val="none"/>
        </w:rPr>
        <w:t>浙江省退役军人事务厅云安全防护设备及服务</w:t>
      </w:r>
      <w:r>
        <w:rPr>
          <w:rFonts w:hint="eastAsia" w:ascii="宋体" w:hAnsi="宋体"/>
          <w:color w:val="auto"/>
          <w:spacing w:val="6"/>
          <w:sz w:val="24"/>
          <w:highlight w:val="none"/>
        </w:rPr>
        <w:t>项目采购活动提供本单位制造的货物，或者提供其他残疾人福利性单位制造的货物（不包括使用非残疾人福利性单位注册商标的货物）。</w:t>
      </w:r>
    </w:p>
    <w:p>
      <w:pPr>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360" w:lineRule="auto"/>
        <w:rPr>
          <w:rFonts w:ascii="宋体" w:hAnsi="宋体"/>
          <w:color w:val="auto"/>
          <w:spacing w:val="-6"/>
          <w:highlight w:val="none"/>
        </w:rPr>
      </w:pPr>
    </w:p>
    <w:p>
      <w:pPr>
        <w:spacing w:line="360" w:lineRule="auto"/>
        <w:ind w:right="-1089" w:rightChars="-389"/>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ind w:right="-1089" w:rightChars="-389"/>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ind w:right="-1089" w:rightChars="-389"/>
        <w:rPr>
          <w:rFonts w:ascii="宋体" w:hAnsi="宋体"/>
          <w:bCs/>
          <w:color w:val="auto"/>
          <w:spacing w:val="-6"/>
          <w:sz w:val="24"/>
          <w:highlight w:val="none"/>
        </w:rPr>
      </w:pPr>
      <w:r>
        <w:rPr>
          <w:rFonts w:hint="eastAsia" w:ascii="宋体" w:hAnsi="宋体"/>
          <w:bCs/>
          <w:color w:val="auto"/>
          <w:spacing w:val="-6"/>
          <w:sz w:val="24"/>
          <w:highlight w:val="none"/>
        </w:rPr>
        <w:t>日期：  年  月  日</w:t>
      </w:r>
    </w:p>
    <w:p>
      <w:pPr>
        <w:spacing w:line="360" w:lineRule="auto"/>
        <w:ind w:firstLine="506" w:firstLineChars="200"/>
        <w:jc w:val="left"/>
        <w:rPr>
          <w:rFonts w:ascii="宋体" w:hAnsi="宋体"/>
          <w:b/>
          <w:bCs/>
          <w:color w:val="auto"/>
          <w:sz w:val="24"/>
          <w:highlight w:val="none"/>
        </w:rPr>
      </w:pPr>
      <w:r>
        <w:rPr>
          <w:rFonts w:hint="eastAsia" w:ascii="宋体" w:hAnsi="宋体"/>
          <w:b/>
          <w:color w:val="auto"/>
          <w:spacing w:val="6"/>
          <w:sz w:val="24"/>
          <w:highlight w:val="none"/>
        </w:rPr>
        <w:t>供应商不属于残疾人福利性单位的，无需提供此声明函，如提供所引起的后果由供应商承担。</w:t>
      </w:r>
    </w:p>
    <w:p>
      <w:pPr>
        <w:spacing w:line="360" w:lineRule="auto"/>
        <w:rPr>
          <w:rFonts w:ascii="宋体" w:hAnsi="宋体"/>
          <w:color w:val="auto"/>
          <w:spacing w:val="-6"/>
          <w:highlight w:val="none"/>
        </w:rPr>
      </w:pPr>
    </w:p>
    <w:p>
      <w:pPr>
        <w:spacing w:line="360" w:lineRule="auto"/>
        <w:rPr>
          <w:rFonts w:ascii="宋体" w:hAnsi="宋体"/>
          <w:b/>
          <w:bCs/>
          <w:color w:val="auto"/>
          <w:sz w:val="21"/>
          <w:szCs w:val="21"/>
          <w:highlight w:val="none"/>
        </w:rPr>
      </w:pPr>
      <w:r>
        <w:rPr>
          <w:rFonts w:hint="eastAsia" w:ascii="宋体" w:hAnsi="宋体"/>
          <w:b/>
          <w:bCs/>
          <w:color w:val="auto"/>
          <w:sz w:val="21"/>
          <w:szCs w:val="21"/>
          <w:highlight w:val="none"/>
        </w:rPr>
        <w:t>说明</w:t>
      </w:r>
      <w:r>
        <w:rPr>
          <w:rFonts w:ascii="宋体" w:hAnsi="宋体"/>
          <w:b/>
          <w:bCs/>
          <w:color w:val="auto"/>
          <w:sz w:val="21"/>
          <w:szCs w:val="21"/>
          <w:highlight w:val="none"/>
        </w:rPr>
        <w:t>：</w:t>
      </w:r>
    </w:p>
    <w:p>
      <w:pPr>
        <w:spacing w:line="360" w:lineRule="auto"/>
        <w:ind w:firstLine="420" w:firstLineChars="200"/>
        <w:jc w:val="left"/>
        <w:rPr>
          <w:rFonts w:ascii="宋体" w:hAnsi="宋体"/>
          <w:color w:val="auto"/>
          <w:spacing w:val="6"/>
          <w:sz w:val="21"/>
          <w:szCs w:val="21"/>
          <w:highlight w:val="none"/>
        </w:rPr>
      </w:pPr>
      <w:r>
        <w:rPr>
          <w:rFonts w:hint="eastAsia" w:ascii="宋体" w:hAnsi="宋体"/>
          <w:bCs/>
          <w:color w:val="auto"/>
          <w:sz w:val="21"/>
          <w:szCs w:val="21"/>
          <w:highlight w:val="none"/>
        </w:rPr>
        <w:t>1、</w:t>
      </w:r>
      <w:r>
        <w:rPr>
          <w:rFonts w:hint="eastAsia" w:ascii="宋体" w:hAnsi="宋体"/>
          <w:color w:val="auto"/>
          <w:spacing w:val="6"/>
          <w:sz w:val="21"/>
          <w:szCs w:val="21"/>
          <w:highlight w:val="none"/>
        </w:rPr>
        <w:t>若供应商同时满足以下条件，则属于依法享受政府采购支持政策的残疾人福利性单位，可提供《残疾人福利性单位声明函》，并对声明的真实性负责：</w:t>
      </w:r>
    </w:p>
    <w:p>
      <w:pPr>
        <w:spacing w:line="360" w:lineRule="auto"/>
        <w:ind w:firstLine="444"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（一）安置的残疾人占本单位在职职工人数的比例不低于25%（含25%），并且安置的残疾人人数不少于10人（含10人）；</w:t>
      </w:r>
    </w:p>
    <w:p>
      <w:pPr>
        <w:spacing w:line="360" w:lineRule="auto"/>
        <w:ind w:firstLine="444"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（二）依法与安置的每位残疾人签订了一年以上（含一年）的劳动合同或服务协议；</w:t>
      </w:r>
    </w:p>
    <w:p>
      <w:pPr>
        <w:spacing w:line="360" w:lineRule="auto"/>
        <w:ind w:firstLine="444"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（三）为安置的每位残疾人按月足额缴纳了基本养老保险、基本医疗保险、失业保险、工伤保险和生育保险等社会保险费；</w:t>
      </w:r>
    </w:p>
    <w:p>
      <w:pPr>
        <w:spacing w:line="360" w:lineRule="auto"/>
        <w:ind w:firstLine="444"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（四）通过银行等金融机构向安置的每位残疾人，按月支付了不低于单位所在区县适用的经省级人民政府批准的月最低工资标准的工资；</w:t>
      </w:r>
    </w:p>
    <w:p>
      <w:pPr>
        <w:spacing w:line="360" w:lineRule="auto"/>
        <w:ind w:firstLine="444"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（五）提供本单位制造的货物、承担的工程或者服务（以下简称产品），或者提供其他残疾人福利性单位制造的货物（不包括使用非残疾人福利性单位注册商标的货物）。</w:t>
      </w:r>
    </w:p>
    <w:p>
      <w:pPr>
        <w:spacing w:line="360" w:lineRule="auto"/>
        <w:ind w:firstLine="444"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rPr>
          <w:rFonts w:ascii="宋体" w:hAnsi="宋体"/>
          <w:bCs/>
          <w:color w:val="auto"/>
          <w:spacing w:val="-6"/>
          <w:sz w:val="24"/>
          <w:highlight w:val="none"/>
        </w:rPr>
      </w:pPr>
      <w:r>
        <w:rPr>
          <w:rFonts w:hint="eastAsia" w:ascii="宋体" w:hAnsi="宋体"/>
          <w:bCs/>
          <w:color w:val="auto"/>
          <w:sz w:val="21"/>
          <w:szCs w:val="21"/>
          <w:highlight w:val="none"/>
        </w:rPr>
        <w:t>2、</w:t>
      </w:r>
      <w:r>
        <w:rPr>
          <w:rFonts w:ascii="宋体" w:hAnsi="宋体"/>
          <w:bCs/>
          <w:color w:val="auto"/>
          <w:sz w:val="21"/>
          <w:szCs w:val="21"/>
          <w:highlight w:val="none"/>
        </w:rPr>
        <w:t>成交供应商为残疾人福利性单位的，《残疾人福利性单位声明函》随</w:t>
      </w:r>
      <w:r>
        <w:rPr>
          <w:rFonts w:hint="eastAsia" w:ascii="宋体" w:hAnsi="宋体"/>
          <w:bCs/>
          <w:color w:val="auto"/>
          <w:sz w:val="21"/>
          <w:szCs w:val="21"/>
          <w:highlight w:val="none"/>
        </w:rPr>
        <w:t>成交</w:t>
      </w:r>
      <w:r>
        <w:rPr>
          <w:rFonts w:ascii="宋体" w:hAnsi="宋体"/>
          <w:bCs/>
          <w:color w:val="auto"/>
          <w:sz w:val="21"/>
          <w:szCs w:val="21"/>
          <w:highlight w:val="none"/>
        </w:rPr>
        <w:t>结果同时公告</w:t>
      </w:r>
      <w:r>
        <w:rPr>
          <w:rFonts w:hint="eastAsia" w:ascii="宋体" w:hAnsi="宋体"/>
          <w:bCs/>
          <w:color w:val="auto"/>
          <w:sz w:val="21"/>
          <w:szCs w:val="21"/>
          <w:highlight w:val="none"/>
        </w:rPr>
        <w:t>，</w:t>
      </w:r>
      <w:r>
        <w:rPr>
          <w:rFonts w:ascii="宋体" w:hAnsi="宋体"/>
          <w:bCs/>
          <w:color w:val="auto"/>
          <w:sz w:val="21"/>
          <w:szCs w:val="21"/>
          <w:highlight w:val="none"/>
        </w:rPr>
        <w:t>接受社会监督</w:t>
      </w:r>
      <w:r>
        <w:rPr>
          <w:rFonts w:hint="eastAsia" w:ascii="宋体" w:hAnsi="宋体"/>
          <w:bCs/>
          <w:color w:val="auto"/>
          <w:sz w:val="21"/>
          <w:szCs w:val="21"/>
          <w:highlight w:val="none"/>
        </w:rPr>
        <w:t>。</w:t>
      </w:r>
    </w:p>
    <w:p>
      <w:pPr>
        <w:spacing w:line="360" w:lineRule="auto"/>
        <w:jc w:val="center"/>
        <w:rPr>
          <w:rFonts w:ascii="宋体" w:hAnsi="宋体"/>
          <w:b/>
          <w:color w:val="auto"/>
          <w:spacing w:val="-6"/>
          <w:sz w:val="52"/>
          <w:szCs w:val="52"/>
          <w:highlight w:val="none"/>
        </w:rPr>
      </w:pPr>
      <w:r>
        <w:rPr>
          <w:rFonts w:ascii="宋体" w:hAnsi="宋体"/>
          <w:b/>
          <w:color w:val="auto"/>
          <w:spacing w:val="-6"/>
          <w:sz w:val="52"/>
          <w:szCs w:val="52"/>
          <w:highlight w:val="none"/>
        </w:rPr>
        <w:br w:type="page"/>
      </w:r>
      <w:r>
        <w:rPr>
          <w:rFonts w:hint="eastAsia" w:ascii="宋体" w:hAnsi="宋体"/>
          <w:b/>
          <w:color w:val="auto"/>
          <w:spacing w:val="-6"/>
          <w:sz w:val="52"/>
          <w:szCs w:val="52"/>
          <w:highlight w:val="none"/>
        </w:rPr>
        <w:t>商务文件</w:t>
      </w:r>
    </w:p>
    <w:p>
      <w:pPr>
        <w:spacing w:line="360" w:lineRule="auto"/>
        <w:jc w:val="center"/>
        <w:rPr>
          <w:rFonts w:ascii="宋体" w:hAnsi="宋体"/>
          <w:b/>
          <w:color w:val="auto"/>
          <w:spacing w:val="-6"/>
          <w:sz w:val="24"/>
          <w:highlight w:val="none"/>
        </w:rPr>
      </w:pPr>
      <w:r>
        <w:rPr>
          <w:rFonts w:hint="eastAsia" w:ascii="宋体" w:hAnsi="宋体"/>
          <w:b/>
          <w:color w:val="auto"/>
          <w:spacing w:val="-6"/>
          <w:sz w:val="24"/>
          <w:highlight w:val="none"/>
        </w:rPr>
        <w:t>响 应 函</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致：浙江求是招标代理有限公司：</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根据贵方为</w:t>
      </w:r>
      <w:r>
        <w:rPr>
          <w:rFonts w:hint="eastAsia" w:ascii="宋体" w:hAnsi="宋体"/>
          <w:bCs/>
          <w:color w:val="auto"/>
          <w:spacing w:val="-6"/>
          <w:sz w:val="24"/>
          <w:highlight w:val="none"/>
        </w:rPr>
        <w:t>浙江省退役军人事务厅云安全防护设备及服务项目</w:t>
      </w:r>
      <w:r>
        <w:rPr>
          <w:rFonts w:hint="eastAsia" w:ascii="宋体" w:hAnsi="宋体"/>
          <w:color w:val="auto"/>
          <w:spacing w:val="-6"/>
          <w:sz w:val="24"/>
          <w:highlight w:val="none"/>
        </w:rPr>
        <w:t>的采购邀请（项目编号</w:t>
      </w:r>
      <w:r>
        <w:rPr>
          <w:rFonts w:hint="eastAsia" w:ascii="宋体" w:hAnsi="宋体"/>
          <w:bCs/>
          <w:color w:val="auto"/>
          <w:spacing w:val="-6"/>
          <w:sz w:val="24"/>
          <w:highlight w:val="none"/>
        </w:rPr>
        <w:t>：</w:t>
      </w:r>
      <w:r>
        <w:rPr>
          <w:rFonts w:hint="eastAsia" w:ascii="宋体" w:hAnsi="宋体"/>
          <w:bCs/>
          <w:color w:val="auto"/>
          <w:spacing w:val="-6"/>
          <w:sz w:val="24"/>
          <w:highlight w:val="none"/>
          <w:lang w:eastAsia="zh-CN"/>
        </w:rPr>
        <w:t>QSZB-Z(F)-E19282(CS)</w:t>
      </w:r>
      <w:r>
        <w:rPr>
          <w:rFonts w:hint="eastAsia" w:ascii="宋体" w:hAnsi="宋体"/>
          <w:bCs/>
          <w:color w:val="auto"/>
          <w:spacing w:val="-6"/>
          <w:sz w:val="24"/>
          <w:highlight w:val="none"/>
        </w:rPr>
        <w:t>）</w:t>
      </w:r>
      <w:r>
        <w:rPr>
          <w:rFonts w:hint="eastAsia" w:ascii="宋体" w:hAnsi="宋体"/>
          <w:color w:val="auto"/>
          <w:spacing w:val="-6"/>
          <w:sz w:val="24"/>
          <w:highlight w:val="none"/>
        </w:rPr>
        <w:t>，签字代表</w:t>
      </w:r>
      <w:r>
        <w:rPr>
          <w:rFonts w:hint="eastAsia" w:ascii="宋体" w:hAnsi="宋体"/>
          <w:bCs/>
          <w:color w:val="auto"/>
          <w:spacing w:val="-6"/>
          <w:sz w:val="24"/>
          <w:highlight w:val="none"/>
        </w:rPr>
        <w:t>__________</w:t>
      </w:r>
      <w:r>
        <w:rPr>
          <w:rFonts w:hint="eastAsia" w:ascii="宋体" w:hAnsi="宋体"/>
          <w:color w:val="auto"/>
          <w:spacing w:val="-6"/>
          <w:sz w:val="24"/>
          <w:highlight w:val="none"/>
        </w:rPr>
        <w:t>（全名）经正式授权并代表</w:t>
      </w:r>
      <w:r>
        <w:rPr>
          <w:rFonts w:ascii="宋体" w:hAnsi="宋体"/>
          <w:color w:val="auto"/>
          <w:spacing w:val="-6"/>
          <w:sz w:val="24"/>
          <w:highlight w:val="none"/>
        </w:rPr>
        <w:t>______________________________</w:t>
      </w:r>
      <w:r>
        <w:rPr>
          <w:rFonts w:hint="eastAsia" w:ascii="宋体" w:hAnsi="宋体"/>
          <w:color w:val="auto"/>
          <w:spacing w:val="-6"/>
          <w:sz w:val="24"/>
          <w:highlight w:val="none"/>
        </w:rPr>
        <w:t>（供应商名称）提交商务和技术文件正本一份、副本____份。</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据此函，签字代表宣布同意如下：</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1、我方已详细审查全部“磋商文件”，包括修改文件（如有的话）以及全部参考资料和有关附件，已经了解我方对于磋商文件、采购过程、采购结果有依法进行询问、质疑、投诉的权利及相关渠道和要求。</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2、我方在磋商响应之前已经与贵方进行了充分的沟通，完全理解并接受磋商文件的各项规定和要求，对磋商文件的合理性、合法性不再有异议。</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3、本磋商响应有效期自响应文件开启日起_</w:t>
      </w:r>
      <w:r>
        <w:rPr>
          <w:rFonts w:hint="eastAsia" w:ascii="宋体" w:hAnsi="宋体"/>
          <w:bCs/>
          <w:color w:val="auto"/>
          <w:spacing w:val="-6"/>
          <w:sz w:val="24"/>
          <w:highlight w:val="none"/>
          <w:u w:val="single"/>
        </w:rPr>
        <w:t>90</w:t>
      </w:r>
      <w:r>
        <w:rPr>
          <w:rFonts w:ascii="宋体" w:hAnsi="宋体"/>
          <w:bCs/>
          <w:color w:val="auto"/>
          <w:spacing w:val="-6"/>
          <w:sz w:val="24"/>
          <w:highlight w:val="none"/>
        </w:rPr>
        <w:t>_</w:t>
      </w:r>
      <w:r>
        <w:rPr>
          <w:rFonts w:hint="eastAsia" w:ascii="宋体" w:hAnsi="宋体"/>
          <w:color w:val="auto"/>
          <w:spacing w:val="-6"/>
          <w:sz w:val="24"/>
          <w:highlight w:val="none"/>
        </w:rPr>
        <w:t>个日历日。</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4、如成交，本响应文件至本项目合同履行完毕止均保持有效，我方将按“磋商文件”及政府采购法律、法规的规定履行合同责任和义务。关于代理服务费，本供应商承诺按照本“磋商文件”的规定履行并承担相应的责任</w:t>
      </w:r>
      <w:r>
        <w:rPr>
          <w:rFonts w:hint="eastAsia" w:ascii="宋体" w:hAnsi="宋体"/>
          <w:color w:val="auto"/>
          <w:spacing w:val="-6"/>
          <w:sz w:val="24"/>
          <w:highlight w:val="none"/>
        </w:rPr>
        <w:t>。</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5、我方同意按照贵方要求提供与磋商有关的一切数据或资料。</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6、与本磋商有关的一切正式往来信函请寄：</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地址：_____________________________邮编：_________________________</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电话：_____________________________传真：_________________________</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供应商代表姓名：___________________职务：_________________________</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开户银行：_________________________</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银行帐号：_________________________</w:t>
      </w:r>
    </w:p>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w:t>
      </w:r>
      <w:r>
        <w:rPr>
          <w:rFonts w:hint="eastAsia" w:ascii="宋体" w:hAnsi="宋体"/>
          <w:bCs/>
          <w:color w:val="auto"/>
          <w:spacing w:val="-6"/>
          <w:sz w:val="24"/>
          <w:highlight w:val="none"/>
        </w:rPr>
        <w:t>盖章）</w:t>
      </w:r>
      <w:r>
        <w:rPr>
          <w:rFonts w:hint="eastAsia" w:ascii="宋体" w:hAnsi="宋体"/>
          <w:color w:val="auto"/>
          <w:spacing w:val="-6"/>
          <w:sz w:val="24"/>
          <w:highlight w:val="none"/>
        </w:rPr>
        <w:t>：</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ascii="宋体" w:hAnsi="宋体"/>
          <w:color w:val="auto"/>
          <w:spacing w:val="-6"/>
          <w:sz w:val="24"/>
          <w:highlight w:val="none"/>
        </w:rPr>
      </w:pPr>
      <w:r>
        <w:rPr>
          <w:rFonts w:hint="eastAsia" w:ascii="宋体" w:hAnsi="宋体"/>
          <w:bCs/>
          <w:color w:val="auto"/>
          <w:spacing w:val="-6"/>
          <w:sz w:val="24"/>
          <w:highlight w:val="none"/>
        </w:rPr>
        <w:t>日期：  年  月  日</w:t>
      </w:r>
    </w:p>
    <w:p>
      <w:pPr>
        <w:spacing w:line="360" w:lineRule="auto"/>
        <w:jc w:val="center"/>
        <w:rPr>
          <w:rFonts w:ascii="宋体" w:hAnsi="宋体"/>
          <w:b/>
          <w:color w:val="auto"/>
          <w:spacing w:val="-6"/>
          <w:sz w:val="24"/>
          <w:highlight w:val="none"/>
        </w:rPr>
      </w:pPr>
      <w:r>
        <w:rPr>
          <w:rFonts w:ascii="宋体" w:hAnsi="宋体"/>
          <w:b/>
          <w:color w:val="auto"/>
          <w:spacing w:val="-6"/>
          <w:sz w:val="24"/>
          <w:highlight w:val="none"/>
        </w:rPr>
        <w:br w:type="page"/>
      </w:r>
      <w:r>
        <w:rPr>
          <w:rFonts w:ascii="宋体" w:hAnsi="宋体"/>
          <w:b/>
          <w:color w:val="auto"/>
          <w:spacing w:val="-6"/>
          <w:sz w:val="24"/>
          <w:highlight w:val="none"/>
        </w:rPr>
        <w:t>法定代表人资格证明书</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致：浙江省退役军人事务厅、浙江求是招标代理有限公司：</w:t>
      </w:r>
    </w:p>
    <w:p>
      <w:pPr>
        <w:spacing w:line="360" w:lineRule="auto"/>
        <w:ind w:firstLine="456" w:firstLineChars="200"/>
        <w:rPr>
          <w:rFonts w:ascii="宋体" w:hAnsi="宋体"/>
          <w:bCs/>
          <w:color w:val="auto"/>
          <w:spacing w:val="-6"/>
          <w:sz w:val="24"/>
          <w:highlight w:val="none"/>
        </w:rPr>
      </w:pPr>
      <w:r>
        <w:rPr>
          <w:rFonts w:hint="eastAsia" w:ascii="宋体" w:hAnsi="宋体"/>
          <w:bCs/>
          <w:color w:val="auto"/>
          <w:spacing w:val="-6"/>
          <w:sz w:val="24"/>
          <w:highlight w:val="none"/>
        </w:rPr>
        <w:t>我</w:t>
      </w:r>
      <w:r>
        <w:rPr>
          <w:rFonts w:hint="eastAsia" w:ascii="宋体" w:hAnsi="宋体"/>
          <w:color w:val="auto"/>
          <w:spacing w:val="-6"/>
          <w:sz w:val="24"/>
          <w:highlight w:val="none"/>
        </w:rPr>
        <w:t>________</w:t>
      </w:r>
      <w:r>
        <w:rPr>
          <w:rFonts w:ascii="宋体" w:hAnsi="宋体"/>
          <w:bCs/>
          <w:color w:val="auto"/>
          <w:spacing w:val="-6"/>
          <w:sz w:val="24"/>
          <w:highlight w:val="none"/>
        </w:rPr>
        <w:t>（姓名）系</w:t>
      </w:r>
      <w:r>
        <w:rPr>
          <w:rFonts w:hint="eastAsia" w:ascii="宋体" w:hAnsi="宋体"/>
          <w:bCs/>
          <w:color w:val="auto"/>
          <w:spacing w:val="-6"/>
          <w:sz w:val="24"/>
          <w:highlight w:val="none"/>
        </w:rPr>
        <w:t>_________</w:t>
      </w:r>
      <w:r>
        <w:rPr>
          <w:rFonts w:ascii="宋体" w:hAnsi="宋体"/>
          <w:bCs/>
          <w:color w:val="auto"/>
          <w:spacing w:val="-6"/>
          <w:sz w:val="24"/>
          <w:highlight w:val="none"/>
        </w:rPr>
        <w:t>______</w:t>
      </w:r>
      <w:r>
        <w:rPr>
          <w:rFonts w:hint="eastAsia" w:ascii="宋体" w:hAnsi="宋体"/>
          <w:bCs/>
          <w:color w:val="auto"/>
          <w:spacing w:val="-6"/>
          <w:sz w:val="24"/>
          <w:highlight w:val="none"/>
        </w:rPr>
        <w:t>__________</w:t>
      </w:r>
      <w:r>
        <w:rPr>
          <w:rFonts w:ascii="宋体" w:hAnsi="宋体"/>
          <w:bCs/>
          <w:color w:val="auto"/>
          <w:spacing w:val="-6"/>
          <w:sz w:val="24"/>
          <w:highlight w:val="none"/>
        </w:rPr>
        <w:t>___</w:t>
      </w:r>
      <w:r>
        <w:rPr>
          <w:rFonts w:hint="eastAsia" w:ascii="宋体" w:hAnsi="宋体"/>
          <w:bCs/>
          <w:color w:val="auto"/>
          <w:spacing w:val="-6"/>
          <w:sz w:val="24"/>
          <w:highlight w:val="none"/>
        </w:rPr>
        <w:t>____(供应商名称）</w:t>
      </w:r>
      <w:r>
        <w:rPr>
          <w:rFonts w:ascii="宋体" w:hAnsi="宋体"/>
          <w:bCs/>
          <w:color w:val="auto"/>
          <w:spacing w:val="-6"/>
          <w:sz w:val="24"/>
          <w:highlight w:val="none"/>
        </w:rPr>
        <w:t>的法定代表人，身份证</w:t>
      </w:r>
      <w:r>
        <w:rPr>
          <w:rFonts w:hint="eastAsia" w:ascii="宋体" w:hAnsi="宋体"/>
          <w:bCs/>
          <w:color w:val="auto"/>
          <w:spacing w:val="-6"/>
          <w:sz w:val="24"/>
          <w:highlight w:val="none"/>
        </w:rPr>
        <w:t>号码：</w:t>
      </w:r>
      <w:r>
        <w:rPr>
          <w:rFonts w:ascii="宋体" w:hAnsi="宋体"/>
          <w:color w:val="auto"/>
          <w:spacing w:val="-6"/>
          <w:sz w:val="24"/>
          <w:highlight w:val="none"/>
        </w:rPr>
        <w:t>_________________________________</w:t>
      </w:r>
      <w:r>
        <w:rPr>
          <w:rFonts w:ascii="宋体" w:hAnsi="宋体"/>
          <w:bCs/>
          <w:color w:val="auto"/>
          <w:spacing w:val="-6"/>
          <w:sz w:val="24"/>
          <w:highlight w:val="none"/>
        </w:rPr>
        <w:t>。</w:t>
      </w:r>
    </w:p>
    <w:p>
      <w:pPr>
        <w:spacing w:line="360" w:lineRule="auto"/>
        <w:ind w:firstLine="456" w:firstLineChars="200"/>
        <w:rPr>
          <w:rFonts w:ascii="宋体" w:hAnsi="宋体"/>
          <w:bCs/>
          <w:color w:val="auto"/>
          <w:spacing w:val="-6"/>
          <w:sz w:val="24"/>
          <w:highlight w:val="none"/>
        </w:rPr>
      </w:pPr>
      <w:r>
        <w:rPr>
          <w:rFonts w:ascii="宋体" w:hAnsi="宋体"/>
          <w:bCs/>
          <w:color w:val="auto"/>
          <w:spacing w:val="-6"/>
          <w:sz w:val="24"/>
          <w:highlight w:val="none"/>
        </w:rPr>
        <w:t>特此证明。</w:t>
      </w:r>
    </w:p>
    <w:p>
      <w:pPr>
        <w:spacing w:line="360" w:lineRule="auto"/>
        <w:rPr>
          <w:rFonts w:ascii="宋体" w:hAnsi="宋体"/>
          <w:bCs/>
          <w:color w:val="auto"/>
          <w:spacing w:val="-6"/>
          <w:sz w:val="24"/>
          <w:highlight w:val="none"/>
        </w:rPr>
      </w:pPr>
    </w:p>
    <w:tbl>
      <w:tblPr>
        <w:tblStyle w:val="2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9498" w:type="dxa"/>
          </w:tcPr>
          <w:p>
            <w:pPr>
              <w:rPr>
                <w:rFonts w:ascii="宋体" w:hAnsi="宋体"/>
                <w:color w:val="auto"/>
                <w:sz w:val="24"/>
                <w:highlight w:val="none"/>
              </w:rPr>
            </w:pPr>
            <w:r>
              <w:rPr>
                <w:rFonts w:hint="eastAsia" w:ascii="宋体" w:hAnsi="宋体"/>
                <w:color w:val="auto"/>
                <w:sz w:val="24"/>
                <w:highlight w:val="none"/>
              </w:rPr>
              <w:t>法定代表人身份证：</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复印件粘贴处</w:t>
            </w:r>
          </w:p>
          <w:p>
            <w:pPr>
              <w:spacing w:line="360" w:lineRule="auto"/>
              <w:rPr>
                <w:rFonts w:ascii="宋体" w:hAnsi="宋体"/>
                <w:bCs/>
                <w:color w:val="auto"/>
                <w:spacing w:val="-6"/>
                <w:sz w:val="24"/>
                <w:highlight w:val="none"/>
              </w:rPr>
            </w:pPr>
          </w:p>
        </w:tc>
      </w:tr>
    </w:tbl>
    <w:p>
      <w:pPr>
        <w:spacing w:line="360" w:lineRule="auto"/>
        <w:rPr>
          <w:rFonts w:ascii="宋体" w:hAnsi="宋体"/>
          <w:bCs/>
          <w:color w:val="auto"/>
          <w:spacing w:val="-6"/>
          <w:sz w:val="24"/>
          <w:highlight w:val="none"/>
        </w:rPr>
      </w:pPr>
    </w:p>
    <w:p>
      <w:pPr>
        <w:spacing w:line="360" w:lineRule="auto"/>
        <w:rPr>
          <w:rFonts w:ascii="宋体" w:hAnsi="宋体"/>
          <w:b/>
          <w:bCs/>
          <w:color w:val="auto"/>
          <w:spacing w:val="-6"/>
          <w:sz w:val="24"/>
          <w:highlight w:val="none"/>
        </w:rPr>
      </w:pPr>
    </w:p>
    <w:p>
      <w:pPr>
        <w:spacing w:line="360" w:lineRule="auto"/>
        <w:ind w:right="456"/>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color w:val="auto"/>
          <w:spacing w:val="-6"/>
          <w:sz w:val="24"/>
          <w:highlight w:val="none"/>
        </w:rPr>
      </w:pPr>
      <w:r>
        <w:rPr>
          <w:rFonts w:hint="eastAsia" w:ascii="宋体" w:hAnsi="宋体"/>
          <w:bCs/>
          <w:color w:val="auto"/>
          <w:spacing w:val="-6"/>
          <w:sz w:val="24"/>
          <w:highlight w:val="none"/>
        </w:rPr>
        <w:t>日期：  年  月  日</w:t>
      </w:r>
    </w:p>
    <w:p>
      <w:pPr>
        <w:spacing w:line="360" w:lineRule="auto"/>
        <w:jc w:val="center"/>
        <w:rPr>
          <w:rFonts w:ascii="宋体" w:hAnsi="宋体"/>
          <w:b/>
          <w:bCs/>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法定代表人授权委托书</w:t>
      </w:r>
    </w:p>
    <w:p>
      <w:pPr>
        <w:spacing w:line="360" w:lineRule="auto"/>
        <w:rPr>
          <w:rFonts w:ascii="宋体" w:hAnsi="宋体"/>
          <w:b/>
          <w:bCs/>
          <w:color w:val="auto"/>
          <w:spacing w:val="-6"/>
          <w:sz w:val="24"/>
          <w:highlight w:val="none"/>
        </w:rPr>
      </w:pPr>
      <w:r>
        <w:rPr>
          <w:rFonts w:hint="eastAsia" w:ascii="宋体" w:hAnsi="宋体"/>
          <w:bCs/>
          <w:color w:val="auto"/>
          <w:spacing w:val="-6"/>
          <w:sz w:val="24"/>
          <w:highlight w:val="none"/>
        </w:rPr>
        <w:t>致：浙江省退役军人事务厅、浙江求是招标代理有限公司</w:t>
      </w:r>
      <w:r>
        <w:rPr>
          <w:rFonts w:hint="eastAsia" w:ascii="宋体" w:hAnsi="宋体"/>
          <w:color w:val="auto"/>
          <w:spacing w:val="-6"/>
          <w:sz w:val="24"/>
          <w:highlight w:val="none"/>
        </w:rPr>
        <w:t>：</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我____________（姓名）系</w:t>
      </w:r>
      <w:r>
        <w:rPr>
          <w:rFonts w:ascii="宋体" w:hAnsi="宋体"/>
          <w:color w:val="auto"/>
          <w:spacing w:val="-6"/>
          <w:sz w:val="24"/>
          <w:highlight w:val="none"/>
        </w:rPr>
        <w:t>__________________________</w:t>
      </w:r>
      <w:r>
        <w:rPr>
          <w:rFonts w:hint="eastAsia" w:ascii="宋体" w:hAnsi="宋体"/>
          <w:color w:val="auto"/>
          <w:spacing w:val="-6"/>
          <w:sz w:val="24"/>
          <w:highlight w:val="none"/>
        </w:rPr>
        <w:t>（供应商名称）的法定代表人，现授权委托本单位在职职工：</w:t>
      </w:r>
      <w:r>
        <w:rPr>
          <w:rFonts w:ascii="宋体" w:hAnsi="宋体"/>
          <w:color w:val="auto"/>
          <w:spacing w:val="-6"/>
          <w:sz w:val="24"/>
          <w:highlight w:val="none"/>
        </w:rPr>
        <w:t>__________</w:t>
      </w:r>
      <w:r>
        <w:rPr>
          <w:rFonts w:hint="eastAsia" w:ascii="宋体" w:hAnsi="宋体"/>
          <w:color w:val="auto"/>
          <w:spacing w:val="-6"/>
          <w:sz w:val="24"/>
          <w:highlight w:val="none"/>
        </w:rPr>
        <w:t>（姓名），身份证号码：</w:t>
      </w:r>
      <w:r>
        <w:rPr>
          <w:rFonts w:ascii="宋体" w:hAnsi="宋体"/>
          <w:color w:val="auto"/>
          <w:spacing w:val="-6"/>
          <w:sz w:val="24"/>
          <w:highlight w:val="none"/>
        </w:rPr>
        <w:t>____________________________</w:t>
      </w:r>
      <w:r>
        <w:rPr>
          <w:rFonts w:hint="eastAsia" w:ascii="宋体" w:hAnsi="宋体"/>
          <w:color w:val="auto"/>
          <w:spacing w:val="-6"/>
          <w:sz w:val="24"/>
          <w:highlight w:val="none"/>
        </w:rPr>
        <w:t>以我方的名义参加</w:t>
      </w:r>
      <w:r>
        <w:rPr>
          <w:rFonts w:hint="eastAsia" w:ascii="宋体" w:hAnsi="宋体"/>
          <w:bCs/>
          <w:color w:val="auto"/>
          <w:spacing w:val="-6"/>
          <w:sz w:val="24"/>
          <w:highlight w:val="none"/>
          <w:u w:val="single"/>
        </w:rPr>
        <w:t>浙江省退役军人事务厅云安全防护设备及服务项目</w:t>
      </w:r>
      <w:r>
        <w:rPr>
          <w:rFonts w:hint="eastAsia" w:ascii="宋体" w:hAnsi="宋体"/>
          <w:color w:val="auto"/>
          <w:spacing w:val="-6"/>
          <w:sz w:val="24"/>
          <w:highlight w:val="none"/>
        </w:rPr>
        <w:t>的磋商响应活动，并代表我方全权办理针对上述项目的磋商响应、响应文件开启、评审、签约等具体事务和签署相关文件。</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我方对被授权人的签名负全部责任。</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被授权人无转委托权，特此委托。</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u w:val="single"/>
        </w:rPr>
        <w:t>▲授权代表必须为供应商本单位在职职工，并提供2019年8月至2019年11月任意一月的社保缴纳证明。</w:t>
      </w:r>
    </w:p>
    <w:p>
      <w:pPr>
        <w:spacing w:line="360" w:lineRule="auto"/>
        <w:rPr>
          <w:rFonts w:ascii="宋体" w:hAnsi="宋体"/>
          <w:color w:val="auto"/>
          <w:spacing w:val="-6"/>
          <w:sz w:val="24"/>
          <w:highlight w:val="none"/>
        </w:rPr>
      </w:pPr>
    </w:p>
    <w:p>
      <w:pPr>
        <w:spacing w:line="360" w:lineRule="auto"/>
        <w:ind w:firstLine="424" w:firstLineChars="186"/>
        <w:rPr>
          <w:rFonts w:ascii="宋体" w:hAnsi="宋体"/>
          <w:color w:val="auto"/>
          <w:spacing w:val="-6"/>
          <w:sz w:val="24"/>
          <w:highlight w:val="none"/>
          <w:u w:val="single"/>
        </w:rPr>
      </w:pPr>
      <w:r>
        <w:rPr>
          <w:rFonts w:hint="eastAsia" w:ascii="宋体" w:hAnsi="宋体"/>
          <w:color w:val="auto"/>
          <w:spacing w:val="-6"/>
          <w:sz w:val="24"/>
          <w:highlight w:val="none"/>
        </w:rPr>
        <w:t>法定代表人（签字或盖章）：</w:t>
      </w:r>
      <w:r>
        <w:rPr>
          <w:rFonts w:ascii="宋体" w:hAnsi="宋体"/>
          <w:color w:val="auto"/>
          <w:spacing w:val="-6"/>
          <w:sz w:val="24"/>
          <w:highlight w:val="none"/>
        </w:rPr>
        <w:t>_____________________</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日期：  年  月  日</w:t>
      </w:r>
    </w:p>
    <w:p>
      <w:pPr>
        <w:spacing w:line="360" w:lineRule="auto"/>
        <w:rPr>
          <w:rFonts w:ascii="宋体" w:hAnsi="宋体"/>
          <w:color w:val="auto"/>
          <w:spacing w:val="-6"/>
          <w:sz w:val="24"/>
          <w:highlight w:val="none"/>
        </w:rPr>
      </w:pPr>
    </w:p>
    <w:tbl>
      <w:tblPr>
        <w:tblStyle w:val="21"/>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trPr>
        <w:tc>
          <w:tcPr>
            <w:tcW w:w="9640" w:type="dxa"/>
          </w:tcPr>
          <w:p>
            <w:pPr>
              <w:rPr>
                <w:rFonts w:ascii="宋体" w:hAnsi="宋体"/>
                <w:color w:val="auto"/>
                <w:sz w:val="24"/>
                <w:highlight w:val="none"/>
              </w:rPr>
            </w:pPr>
            <w:r>
              <w:rPr>
                <w:rFonts w:hint="eastAsia" w:ascii="宋体" w:hAnsi="宋体"/>
                <w:color w:val="auto"/>
                <w:sz w:val="24"/>
                <w:highlight w:val="none"/>
              </w:rPr>
              <w:t>授权代表身份证：</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复印件粘贴处</w:t>
            </w:r>
          </w:p>
          <w:p>
            <w:pPr>
              <w:spacing w:line="360" w:lineRule="auto"/>
              <w:rPr>
                <w:rFonts w:ascii="宋体" w:hAnsi="宋体"/>
                <w:color w:val="auto"/>
                <w:spacing w:val="-6"/>
                <w:sz w:val="24"/>
                <w:highlight w:val="none"/>
              </w:rPr>
            </w:pPr>
          </w:p>
        </w:tc>
      </w:tr>
    </w:tbl>
    <w:p>
      <w:pPr>
        <w:spacing w:line="360" w:lineRule="auto"/>
        <w:rPr>
          <w:rFonts w:ascii="宋体" w:hAnsi="宋体"/>
          <w:b/>
          <w:bCs/>
          <w:color w:val="auto"/>
          <w:spacing w:val="-6"/>
          <w:sz w:val="24"/>
          <w:highlight w:val="none"/>
        </w:rPr>
      </w:pP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说明：</w:t>
      </w: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1.供应商的</w:t>
      </w:r>
      <w:r>
        <w:rPr>
          <w:rFonts w:ascii="宋体" w:hAnsi="宋体"/>
          <w:b/>
          <w:bCs/>
          <w:color w:val="auto"/>
          <w:spacing w:val="-6"/>
          <w:sz w:val="21"/>
          <w:szCs w:val="21"/>
          <w:highlight w:val="none"/>
        </w:rPr>
        <w:t>法定代表人参加磋商响应，须在响应文件中提供法定代表人资格证明</w:t>
      </w:r>
      <w:r>
        <w:rPr>
          <w:rFonts w:hint="eastAsia" w:ascii="宋体" w:hAnsi="宋体"/>
          <w:b/>
          <w:bCs/>
          <w:color w:val="auto"/>
          <w:spacing w:val="-6"/>
          <w:sz w:val="21"/>
          <w:szCs w:val="21"/>
          <w:highlight w:val="none"/>
        </w:rPr>
        <w:t>书；</w:t>
      </w: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2.供应商的法定代表人委托授权代表</w:t>
      </w:r>
      <w:r>
        <w:rPr>
          <w:rFonts w:ascii="宋体" w:hAnsi="宋体"/>
          <w:b/>
          <w:bCs/>
          <w:color w:val="auto"/>
          <w:spacing w:val="-6"/>
          <w:sz w:val="21"/>
          <w:szCs w:val="21"/>
          <w:highlight w:val="none"/>
        </w:rPr>
        <w:t>参加磋商响应，须在响应文件中提供附有法定代表人资格证明</w:t>
      </w:r>
      <w:r>
        <w:rPr>
          <w:rFonts w:hint="eastAsia" w:ascii="宋体" w:hAnsi="宋体"/>
          <w:b/>
          <w:bCs/>
          <w:color w:val="auto"/>
          <w:spacing w:val="-6"/>
          <w:sz w:val="21"/>
          <w:szCs w:val="21"/>
          <w:highlight w:val="none"/>
        </w:rPr>
        <w:t>书</w:t>
      </w:r>
      <w:r>
        <w:rPr>
          <w:rFonts w:ascii="宋体" w:hAnsi="宋体"/>
          <w:b/>
          <w:bCs/>
          <w:color w:val="auto"/>
          <w:spacing w:val="-6"/>
          <w:sz w:val="21"/>
          <w:szCs w:val="21"/>
          <w:highlight w:val="none"/>
        </w:rPr>
        <w:t>的法定代表人授权</w:t>
      </w:r>
      <w:r>
        <w:rPr>
          <w:rFonts w:hint="eastAsia" w:ascii="宋体" w:hAnsi="宋体"/>
          <w:b/>
          <w:bCs/>
          <w:color w:val="auto"/>
          <w:spacing w:val="-6"/>
          <w:sz w:val="21"/>
          <w:szCs w:val="21"/>
          <w:highlight w:val="none"/>
        </w:rPr>
        <w:t>委托</w:t>
      </w:r>
      <w:r>
        <w:rPr>
          <w:rFonts w:ascii="宋体" w:hAnsi="宋体"/>
          <w:b/>
          <w:bCs/>
          <w:color w:val="auto"/>
          <w:spacing w:val="-6"/>
          <w:sz w:val="21"/>
          <w:szCs w:val="21"/>
          <w:highlight w:val="none"/>
        </w:rPr>
        <w:t>书</w:t>
      </w:r>
      <w:r>
        <w:rPr>
          <w:rFonts w:hint="eastAsia" w:ascii="宋体" w:hAnsi="宋体"/>
          <w:b/>
          <w:bCs/>
          <w:color w:val="auto"/>
          <w:spacing w:val="-6"/>
          <w:sz w:val="21"/>
          <w:szCs w:val="21"/>
          <w:highlight w:val="none"/>
        </w:rPr>
        <w:t>。</w:t>
      </w:r>
    </w:p>
    <w:p>
      <w:pPr>
        <w:spacing w:line="360" w:lineRule="auto"/>
        <w:jc w:val="center"/>
        <w:rPr>
          <w:rFonts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2019年8月至2019年11月任意一月供应商</w:t>
      </w:r>
      <w:r>
        <w:rPr>
          <w:rFonts w:ascii="宋体" w:hAnsi="宋体"/>
          <w:b/>
          <w:color w:val="auto"/>
          <w:spacing w:val="-6"/>
          <w:sz w:val="24"/>
          <w:highlight w:val="none"/>
        </w:rPr>
        <w:t>授权代表社保缴纳证明</w:t>
      </w:r>
    </w:p>
    <w:p>
      <w:pPr>
        <w:spacing w:line="360" w:lineRule="auto"/>
        <w:jc w:val="center"/>
        <w:rPr>
          <w:rFonts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响应声明书</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致：浙江求是招标代理有限公司：</w:t>
      </w:r>
    </w:p>
    <w:p>
      <w:pPr>
        <w:spacing w:line="360" w:lineRule="auto"/>
        <w:ind w:firstLine="456" w:firstLineChars="200"/>
        <w:rPr>
          <w:rFonts w:ascii="宋体" w:hAnsi="宋体"/>
          <w:color w:val="auto"/>
          <w:spacing w:val="-6"/>
          <w:sz w:val="24"/>
          <w:highlight w:val="none"/>
        </w:rPr>
      </w:pPr>
      <w:r>
        <w:rPr>
          <w:rFonts w:ascii="宋体" w:hAnsi="宋体"/>
          <w:color w:val="auto"/>
          <w:spacing w:val="-6"/>
          <w:sz w:val="24"/>
          <w:highlight w:val="none"/>
        </w:rPr>
        <w:t>______________________________________</w:t>
      </w:r>
      <w:r>
        <w:rPr>
          <w:rFonts w:hint="eastAsia" w:ascii="宋体" w:hAnsi="宋体"/>
          <w:color w:val="auto"/>
          <w:spacing w:val="-6"/>
          <w:sz w:val="24"/>
          <w:highlight w:val="none"/>
        </w:rPr>
        <w:t>（供应商名称）系中华人民共和国合法企业，经营地址</w:t>
      </w:r>
      <w:r>
        <w:rPr>
          <w:rFonts w:ascii="宋体" w:hAnsi="宋体"/>
          <w:color w:val="auto"/>
          <w:spacing w:val="-6"/>
          <w:sz w:val="24"/>
          <w:highlight w:val="none"/>
        </w:rPr>
        <w:t>__________________________________</w:t>
      </w:r>
      <w:r>
        <w:rPr>
          <w:rFonts w:hint="eastAsia" w:ascii="宋体" w:hAnsi="宋体"/>
          <w:color w:val="auto"/>
          <w:spacing w:val="-6"/>
          <w:sz w:val="24"/>
          <w:highlight w:val="none"/>
        </w:rPr>
        <w:t>。</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我方愿意参加贵方组织的</w:t>
      </w:r>
      <w:r>
        <w:rPr>
          <w:rFonts w:hint="eastAsia" w:ascii="宋体" w:hAnsi="宋体"/>
          <w:bCs/>
          <w:color w:val="auto"/>
          <w:spacing w:val="-6"/>
          <w:sz w:val="24"/>
          <w:highlight w:val="none"/>
          <w:u w:val="single"/>
        </w:rPr>
        <w:t>浙江省退役军人事务厅云安全防护设备及服务项目</w:t>
      </w:r>
      <w:r>
        <w:rPr>
          <w:rFonts w:hint="eastAsia" w:ascii="宋体" w:hAnsi="宋体"/>
          <w:color w:val="auto"/>
          <w:spacing w:val="-6"/>
          <w:sz w:val="24"/>
          <w:highlight w:val="none"/>
        </w:rPr>
        <w:t>的磋商响应，为便于贵方公正、择优地确定成交供应商及其磋商响应产品和服务，我方就本次磋商有关事项郑重声明如下：</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1、我方向贵方提交的所有响应文件、资料都是准确的和真实的；</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2、我方不是采购人的附属机构；在获知本项目采购信息后，与采购人聘请的为此项目提供咨询服务的公司及其附属机构没有任何联系。</w:t>
      </w:r>
    </w:p>
    <w:p>
      <w:pPr>
        <w:pStyle w:val="10"/>
        <w:spacing w:line="360" w:lineRule="auto"/>
        <w:ind w:firstLine="456" w:firstLineChars="200"/>
        <w:rPr>
          <w:rFonts w:hAnsi="宋体"/>
          <w:color w:val="auto"/>
          <w:spacing w:val="-6"/>
          <w:sz w:val="24"/>
          <w:szCs w:val="24"/>
          <w:highlight w:val="none"/>
        </w:rPr>
      </w:pPr>
      <w:r>
        <w:rPr>
          <w:rFonts w:hAnsi="宋体"/>
          <w:color w:val="auto"/>
          <w:spacing w:val="-6"/>
          <w:sz w:val="24"/>
          <w:szCs w:val="24"/>
          <w:highlight w:val="none"/>
        </w:rPr>
        <w:t>3.我方</w:t>
      </w:r>
      <w:r>
        <w:rPr>
          <w:rFonts w:hint="eastAsia" w:hAnsi="宋体"/>
          <w:color w:val="auto"/>
          <w:spacing w:val="-6"/>
          <w:sz w:val="24"/>
          <w:szCs w:val="24"/>
          <w:highlight w:val="none"/>
        </w:rPr>
        <w:t>在参加政府采购活动前3年内：</w:t>
      </w:r>
      <w:r>
        <w:rPr>
          <w:rFonts w:hint="eastAsia" w:hAnsi="宋体"/>
          <w:b/>
          <w:color w:val="auto"/>
          <w:spacing w:val="-6"/>
          <w:sz w:val="24"/>
          <w:szCs w:val="24"/>
          <w:highlight w:val="none"/>
        </w:rPr>
        <w:t>______（填写“有”或“没有”，如实填写，如不填写视同未按要求填写）</w:t>
      </w:r>
      <w:r>
        <w:rPr>
          <w:rFonts w:hint="eastAsia" w:hAnsi="宋体"/>
          <w:color w:val="auto"/>
          <w:spacing w:val="-6"/>
          <w:sz w:val="24"/>
          <w:szCs w:val="24"/>
          <w:highlight w:val="none"/>
        </w:rPr>
        <w:t>因违法经营被禁止在一定期限内参加政府采购活动，且期限未满的情形；</w:t>
      </w:r>
    </w:p>
    <w:p>
      <w:pPr>
        <w:pStyle w:val="10"/>
        <w:spacing w:line="360" w:lineRule="auto"/>
        <w:ind w:firstLine="456" w:firstLineChars="200"/>
        <w:rPr>
          <w:rFonts w:hAnsi="宋体"/>
          <w:color w:val="auto"/>
          <w:spacing w:val="-6"/>
          <w:sz w:val="24"/>
          <w:szCs w:val="24"/>
          <w:highlight w:val="none"/>
        </w:rPr>
      </w:pPr>
      <w:r>
        <w:rPr>
          <w:rFonts w:hAnsi="宋体"/>
          <w:color w:val="auto"/>
          <w:spacing w:val="-6"/>
          <w:sz w:val="24"/>
          <w:szCs w:val="24"/>
          <w:highlight w:val="none"/>
        </w:rPr>
        <w:t>4、以上事项如有虚假或隐瞒，我方愿意承担一切后果和责任。</w:t>
      </w:r>
    </w:p>
    <w:p>
      <w:pPr>
        <w:pStyle w:val="57"/>
        <w:spacing w:line="360" w:lineRule="auto"/>
        <w:rPr>
          <w:rFonts w:ascii="宋体" w:hAnsi="宋体"/>
          <w:color w:val="auto"/>
          <w:spacing w:val="-6"/>
          <w:szCs w:val="24"/>
          <w:highlight w:val="none"/>
        </w:rPr>
      </w:pPr>
    </w:p>
    <w:p>
      <w:pPr>
        <w:pStyle w:val="57"/>
        <w:spacing w:line="360" w:lineRule="auto"/>
        <w:rPr>
          <w:rFonts w:ascii="宋体" w:hAnsi="宋体"/>
          <w:color w:val="auto"/>
          <w:spacing w:val="-6"/>
          <w:szCs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ascii="宋体" w:hAnsi="宋体"/>
          <w:color w:val="auto"/>
          <w:spacing w:val="-6"/>
          <w:sz w:val="24"/>
          <w:highlight w:val="none"/>
        </w:rPr>
      </w:pPr>
      <w:r>
        <w:rPr>
          <w:rFonts w:hint="eastAsia" w:ascii="宋体" w:hAnsi="宋体"/>
          <w:bCs/>
          <w:color w:val="auto"/>
          <w:spacing w:val="-6"/>
          <w:sz w:val="24"/>
          <w:highlight w:val="none"/>
        </w:rPr>
        <w:t>日期：  年  月  日</w:t>
      </w:r>
    </w:p>
    <w:p>
      <w:pPr>
        <w:spacing w:line="360" w:lineRule="auto"/>
        <w:jc w:val="center"/>
        <w:rPr>
          <w:rFonts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供应商一般情况</w:t>
      </w:r>
    </w:p>
    <w:tbl>
      <w:tblPr>
        <w:tblStyle w:val="2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1</w:t>
            </w:r>
          </w:p>
        </w:tc>
        <w:tc>
          <w:tcPr>
            <w:tcW w:w="8763" w:type="dxa"/>
            <w:gridSpan w:val="3"/>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2</w:t>
            </w:r>
          </w:p>
        </w:tc>
        <w:tc>
          <w:tcPr>
            <w:tcW w:w="8763" w:type="dxa"/>
            <w:gridSpan w:val="3"/>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3</w:t>
            </w:r>
          </w:p>
        </w:tc>
        <w:tc>
          <w:tcPr>
            <w:tcW w:w="8763" w:type="dxa"/>
            <w:gridSpan w:val="3"/>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4</w:t>
            </w:r>
          </w:p>
        </w:tc>
        <w:tc>
          <w:tcPr>
            <w:tcW w:w="4305" w:type="dxa"/>
            <w:gridSpan w:val="2"/>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电话：</w:t>
            </w:r>
          </w:p>
        </w:tc>
        <w:tc>
          <w:tcPr>
            <w:tcW w:w="4458" w:type="dxa"/>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5</w:t>
            </w:r>
          </w:p>
        </w:tc>
        <w:tc>
          <w:tcPr>
            <w:tcW w:w="4305" w:type="dxa"/>
            <w:gridSpan w:val="2"/>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传真：</w:t>
            </w:r>
          </w:p>
        </w:tc>
        <w:tc>
          <w:tcPr>
            <w:tcW w:w="4458" w:type="dxa"/>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6</w:t>
            </w:r>
          </w:p>
        </w:tc>
        <w:tc>
          <w:tcPr>
            <w:tcW w:w="4305" w:type="dxa"/>
            <w:gridSpan w:val="2"/>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注册地：</w:t>
            </w:r>
          </w:p>
        </w:tc>
        <w:tc>
          <w:tcPr>
            <w:tcW w:w="4458" w:type="dxa"/>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735" w:type="dxa"/>
            <w:vAlign w:val="center"/>
          </w:tcPr>
          <w:p>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7</w:t>
            </w:r>
          </w:p>
        </w:tc>
        <w:tc>
          <w:tcPr>
            <w:tcW w:w="2520" w:type="dxa"/>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其他需要说明的情况</w:t>
            </w:r>
          </w:p>
        </w:tc>
        <w:tc>
          <w:tcPr>
            <w:tcW w:w="6243" w:type="dxa"/>
            <w:gridSpan w:val="2"/>
            <w:vAlign w:val="center"/>
          </w:tcPr>
          <w:p>
            <w:pPr>
              <w:spacing w:line="360" w:lineRule="auto"/>
              <w:rPr>
                <w:rFonts w:ascii="宋体" w:hAnsi="宋体"/>
                <w:color w:val="auto"/>
                <w:spacing w:val="-6"/>
                <w:sz w:val="24"/>
                <w:highlight w:val="none"/>
              </w:rPr>
            </w:pPr>
          </w:p>
        </w:tc>
      </w:tr>
    </w:tbl>
    <w:p>
      <w:pPr>
        <w:spacing w:line="360" w:lineRule="auto"/>
        <w:rPr>
          <w:rFonts w:ascii="宋体" w:hAnsi="宋体"/>
          <w:color w:val="auto"/>
          <w:spacing w:val="-6"/>
          <w:sz w:val="24"/>
          <w:highlight w:val="none"/>
        </w:rPr>
      </w:pPr>
    </w:p>
    <w:p>
      <w:pPr>
        <w:spacing w:line="360" w:lineRule="auto"/>
        <w:rPr>
          <w:rFonts w:ascii="宋体" w:hAnsi="宋体"/>
          <w:b/>
          <w:color w:val="auto"/>
          <w:spacing w:val="-6"/>
          <w:sz w:val="24"/>
          <w:highlight w:val="none"/>
        </w:rPr>
      </w:pPr>
      <w:r>
        <w:rPr>
          <w:rFonts w:hint="eastAsia" w:ascii="宋体" w:hAnsi="宋体"/>
          <w:b/>
          <w:color w:val="auto"/>
          <w:spacing w:val="-6"/>
          <w:sz w:val="24"/>
          <w:highlight w:val="none"/>
        </w:rPr>
        <w:t>说明：所有供应商都须填写此表。</w:t>
      </w:r>
    </w:p>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日期：  年  月  日</w:t>
      </w:r>
    </w:p>
    <w:p>
      <w:pPr>
        <w:pStyle w:val="17"/>
        <w:spacing w:line="360" w:lineRule="auto"/>
        <w:ind w:left="0" w:firstLine="0" w:firstLineChars="0"/>
        <w:jc w:val="center"/>
        <w:outlineLvl w:val="1"/>
        <w:rPr>
          <w:rFonts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有效的法人或者其他组织的营业执照等证明文件</w:t>
      </w:r>
      <w:r>
        <w:rPr>
          <w:rFonts w:hint="eastAsia" w:ascii="宋体" w:hAnsi="宋体"/>
          <w:color w:val="auto"/>
          <w:spacing w:val="-6"/>
          <w:sz w:val="24"/>
          <w:highlight w:val="none"/>
        </w:rPr>
        <w:t>（复印件加盖公章）</w:t>
      </w:r>
      <w:r>
        <w:rPr>
          <w:rFonts w:hint="eastAsia" w:ascii="宋体" w:hAnsi="宋体"/>
          <w:b/>
          <w:color w:val="auto"/>
          <w:spacing w:val="-6"/>
          <w:sz w:val="24"/>
          <w:highlight w:val="none"/>
        </w:rPr>
        <w:t>，自然人的身份证明</w:t>
      </w:r>
    </w:p>
    <w:p>
      <w:pPr>
        <w:spacing w:line="360" w:lineRule="auto"/>
        <w:rPr>
          <w:rFonts w:ascii="宋体" w:hAnsi="宋体"/>
          <w:b/>
          <w:color w:val="auto"/>
          <w:spacing w:val="-6"/>
          <w:sz w:val="21"/>
          <w:szCs w:val="21"/>
          <w:highlight w:val="none"/>
        </w:rPr>
      </w:pPr>
    </w:p>
    <w:p>
      <w:pPr>
        <w:spacing w:line="360" w:lineRule="auto"/>
        <w:rPr>
          <w:rFonts w:ascii="宋体" w:hAnsi="宋体"/>
          <w:b/>
          <w:color w:val="auto"/>
          <w:spacing w:val="-6"/>
          <w:sz w:val="21"/>
          <w:szCs w:val="21"/>
          <w:highlight w:val="none"/>
        </w:rPr>
      </w:pPr>
    </w:p>
    <w:p>
      <w:pPr>
        <w:spacing w:line="360" w:lineRule="auto"/>
        <w:rPr>
          <w:rFonts w:ascii="宋体" w:hAnsi="宋体"/>
          <w:b/>
          <w:color w:val="auto"/>
          <w:spacing w:val="-6"/>
          <w:sz w:val="21"/>
          <w:szCs w:val="21"/>
          <w:highlight w:val="none"/>
        </w:rPr>
      </w:pP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r>
        <w:rPr>
          <w:rFonts w:ascii="宋体" w:hAnsi="宋体"/>
          <w:b/>
          <w:color w:val="auto"/>
          <w:spacing w:val="-6"/>
          <w:sz w:val="21"/>
          <w:szCs w:val="21"/>
          <w:highlight w:val="none"/>
        </w:rPr>
        <w:t>：</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1</w:t>
      </w:r>
      <w:r>
        <w:rPr>
          <w:rFonts w:ascii="宋体" w:hAnsi="宋体"/>
          <w:b/>
          <w:color w:val="auto"/>
          <w:sz w:val="21"/>
          <w:szCs w:val="21"/>
          <w:highlight w:val="none"/>
        </w:rPr>
        <w:t>.</w:t>
      </w:r>
      <w:r>
        <w:rPr>
          <w:rFonts w:hint="eastAsia" w:ascii="宋体" w:hAnsi="宋体"/>
          <w:b/>
          <w:color w:val="auto"/>
          <w:sz w:val="21"/>
          <w:szCs w:val="21"/>
          <w:highlight w:val="none"/>
        </w:rPr>
        <w:t>如供应商是企业（包括合伙企业），提供在工商部门注册的有效“企业法人营业执照”或“营业执照”；</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2</w:t>
      </w:r>
      <w:r>
        <w:rPr>
          <w:rFonts w:ascii="宋体" w:hAnsi="宋体"/>
          <w:b/>
          <w:color w:val="auto"/>
          <w:sz w:val="21"/>
          <w:szCs w:val="21"/>
          <w:highlight w:val="none"/>
        </w:rPr>
        <w:t>.</w:t>
      </w:r>
      <w:r>
        <w:rPr>
          <w:rFonts w:hint="eastAsia" w:ascii="宋体" w:hAnsi="宋体"/>
          <w:b/>
          <w:color w:val="auto"/>
          <w:sz w:val="21"/>
          <w:szCs w:val="21"/>
          <w:highlight w:val="none"/>
        </w:rPr>
        <w:t>如供应商是事业单位，提供有效的“事业单位法人证书”；</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3</w:t>
      </w:r>
      <w:r>
        <w:rPr>
          <w:rFonts w:ascii="宋体" w:hAnsi="宋体"/>
          <w:b/>
          <w:color w:val="auto"/>
          <w:sz w:val="21"/>
          <w:szCs w:val="21"/>
          <w:highlight w:val="none"/>
        </w:rPr>
        <w:t>.</w:t>
      </w:r>
      <w:r>
        <w:rPr>
          <w:rFonts w:hint="eastAsia" w:ascii="宋体" w:hAnsi="宋体"/>
          <w:b/>
          <w:color w:val="auto"/>
          <w:sz w:val="21"/>
          <w:szCs w:val="21"/>
          <w:highlight w:val="none"/>
        </w:rPr>
        <w:t>如供应商是非企业专业服务机构的，提供执业许可证等证明文件；</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4</w:t>
      </w:r>
      <w:r>
        <w:rPr>
          <w:rFonts w:ascii="宋体" w:hAnsi="宋体"/>
          <w:b/>
          <w:color w:val="auto"/>
          <w:sz w:val="21"/>
          <w:szCs w:val="21"/>
          <w:highlight w:val="none"/>
        </w:rPr>
        <w:t>.</w:t>
      </w:r>
      <w:r>
        <w:rPr>
          <w:rFonts w:hint="eastAsia" w:ascii="宋体" w:hAnsi="宋体"/>
          <w:b/>
          <w:color w:val="auto"/>
          <w:sz w:val="21"/>
          <w:szCs w:val="21"/>
          <w:highlight w:val="none"/>
        </w:rPr>
        <w:t>如供应商是个体工商户，提供有效的“个体工商户营业执照”；</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5</w:t>
      </w:r>
      <w:r>
        <w:rPr>
          <w:rFonts w:ascii="宋体" w:hAnsi="宋体"/>
          <w:b/>
          <w:color w:val="auto"/>
          <w:sz w:val="21"/>
          <w:szCs w:val="21"/>
          <w:highlight w:val="none"/>
        </w:rPr>
        <w:t>.</w:t>
      </w:r>
      <w:r>
        <w:rPr>
          <w:rFonts w:hint="eastAsia" w:ascii="宋体" w:hAnsi="宋体"/>
          <w:b/>
          <w:color w:val="auto"/>
          <w:sz w:val="21"/>
          <w:szCs w:val="21"/>
          <w:highlight w:val="none"/>
        </w:rPr>
        <w:t>如供应商是自然人，提供有效的自然人身份证明。</w:t>
      </w:r>
    </w:p>
    <w:p>
      <w:pPr>
        <w:widowControl/>
        <w:jc w:val="left"/>
        <w:rPr>
          <w:rFonts w:ascii="宋体" w:hAnsi="宋体"/>
          <w:b/>
          <w:color w:val="auto"/>
          <w:sz w:val="21"/>
          <w:szCs w:val="21"/>
          <w:highlight w:val="none"/>
        </w:rPr>
      </w:pPr>
      <w:r>
        <w:rPr>
          <w:rFonts w:ascii="宋体" w:hAnsi="宋体"/>
          <w:b/>
          <w:color w:val="auto"/>
          <w:sz w:val="21"/>
          <w:szCs w:val="21"/>
          <w:highlight w:val="none"/>
        </w:rPr>
        <w:br w:type="page"/>
      </w:r>
    </w:p>
    <w:p>
      <w:pPr>
        <w:pStyle w:val="17"/>
        <w:spacing w:line="360" w:lineRule="auto"/>
        <w:ind w:left="0" w:firstLine="0" w:firstLineChars="0"/>
        <w:jc w:val="center"/>
        <w:rPr>
          <w:rFonts w:ascii="宋体" w:hAnsi="宋体"/>
          <w:bCs/>
          <w:color w:val="auto"/>
          <w:spacing w:val="-6"/>
          <w:sz w:val="24"/>
          <w:highlight w:val="none"/>
        </w:rPr>
      </w:pPr>
      <w:r>
        <w:rPr>
          <w:rFonts w:hint="eastAsia" w:ascii="宋体" w:hAnsi="宋体"/>
          <w:color w:val="auto"/>
          <w:spacing w:val="-6"/>
          <w:sz w:val="24"/>
          <w:highlight w:val="none"/>
        </w:rPr>
        <w:t>2018年12月（含）以后任意一月的财务状况报告（复印件）或开标前三个月内出具的银行资信证明（若资信证明中注明复印无效，需提交正本）</w:t>
      </w:r>
    </w:p>
    <w:p>
      <w:pPr>
        <w:pStyle w:val="17"/>
        <w:spacing w:line="360" w:lineRule="auto"/>
        <w:ind w:left="0" w:firstLine="0" w:firstLineChars="0"/>
        <w:rPr>
          <w:rFonts w:ascii="宋体" w:hAnsi="宋体"/>
          <w:bCs/>
          <w:color w:val="auto"/>
          <w:spacing w:val="-6"/>
          <w:sz w:val="24"/>
          <w:highlight w:val="none"/>
        </w:rPr>
      </w:pPr>
    </w:p>
    <w:p>
      <w:pPr>
        <w:pStyle w:val="17"/>
        <w:spacing w:line="360" w:lineRule="auto"/>
        <w:ind w:left="0" w:firstLine="0" w:firstLineChars="0"/>
        <w:rPr>
          <w:rFonts w:ascii="宋体" w:hAnsi="宋体"/>
          <w:bCs/>
          <w:color w:val="auto"/>
          <w:spacing w:val="-6"/>
          <w:sz w:val="24"/>
          <w:highlight w:val="none"/>
        </w:rPr>
      </w:pPr>
    </w:p>
    <w:p>
      <w:pPr>
        <w:pStyle w:val="17"/>
        <w:spacing w:line="360" w:lineRule="auto"/>
        <w:ind w:left="0" w:firstLine="0" w:firstLineChars="0"/>
        <w:rPr>
          <w:rFonts w:ascii="宋体" w:hAnsi="宋体"/>
          <w:bCs/>
          <w:color w:val="auto"/>
          <w:spacing w:val="-6"/>
          <w:sz w:val="24"/>
          <w:highlight w:val="none"/>
        </w:rPr>
      </w:pP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说明：</w:t>
      </w: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1.供应商是法人的，应提供财务状况报告，包括资产负债表、利润表或其基本开户银行出具的资信证明</w:t>
      </w:r>
      <w:r>
        <w:rPr>
          <w:rFonts w:hint="eastAsia" w:ascii="宋体" w:hAnsi="宋体"/>
          <w:b/>
          <w:color w:val="auto"/>
          <w:spacing w:val="-6"/>
          <w:sz w:val="21"/>
          <w:szCs w:val="21"/>
          <w:highlight w:val="none"/>
        </w:rPr>
        <w:t>（若资信证明中注明复印无效，需提交正本）</w:t>
      </w:r>
      <w:r>
        <w:rPr>
          <w:rFonts w:hint="eastAsia" w:ascii="宋体" w:hAnsi="宋体"/>
          <w:b/>
          <w:bCs/>
          <w:color w:val="auto"/>
          <w:spacing w:val="-6"/>
          <w:sz w:val="21"/>
          <w:szCs w:val="21"/>
          <w:highlight w:val="none"/>
        </w:rPr>
        <w:t>，并加盖公章；</w:t>
      </w: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2.部分其他组织和自然人没有财务状况报告的，可以提供银行出具的资信证明</w:t>
      </w:r>
      <w:r>
        <w:rPr>
          <w:rFonts w:hint="eastAsia" w:ascii="宋体" w:hAnsi="宋体"/>
          <w:b/>
          <w:color w:val="auto"/>
          <w:spacing w:val="-6"/>
          <w:sz w:val="21"/>
          <w:szCs w:val="21"/>
          <w:highlight w:val="none"/>
        </w:rPr>
        <w:t>(若资信证明中注明复印无效，需提交正本)</w:t>
      </w:r>
      <w:r>
        <w:rPr>
          <w:rFonts w:hint="eastAsia" w:ascii="宋体" w:hAnsi="宋体"/>
          <w:b/>
          <w:bCs/>
          <w:color w:val="auto"/>
          <w:spacing w:val="-6"/>
          <w:sz w:val="21"/>
          <w:szCs w:val="21"/>
          <w:highlight w:val="none"/>
        </w:rPr>
        <w:t>，并加盖公章；</w:t>
      </w: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3</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银行资信证明应能说明供应商与银行之间业务往来正常，企业信誉良好等，</w:t>
      </w:r>
      <w:r>
        <w:rPr>
          <w:rFonts w:hint="eastAsia" w:ascii="宋体" w:hAnsi="宋体"/>
          <w:b/>
          <w:color w:val="auto"/>
          <w:spacing w:val="-6"/>
          <w:sz w:val="21"/>
          <w:szCs w:val="21"/>
          <w:highlight w:val="none"/>
        </w:rPr>
        <w:t>银行出具的存款证明不能替代银行资信证明</w:t>
      </w:r>
      <w:r>
        <w:rPr>
          <w:rFonts w:hint="eastAsia" w:ascii="宋体" w:hAnsi="宋体"/>
          <w:b/>
          <w:bCs/>
          <w:color w:val="auto"/>
          <w:spacing w:val="-6"/>
          <w:sz w:val="21"/>
          <w:szCs w:val="21"/>
          <w:highlight w:val="none"/>
        </w:rPr>
        <w:t>。</w:t>
      </w:r>
    </w:p>
    <w:p>
      <w:pPr>
        <w:pStyle w:val="10"/>
        <w:spacing w:line="360" w:lineRule="auto"/>
        <w:ind w:firstLine="0"/>
        <w:jc w:val="center"/>
        <w:rPr>
          <w:rFonts w:hAnsi="宋体"/>
          <w:b/>
          <w:color w:val="auto"/>
          <w:spacing w:val="-6"/>
          <w:sz w:val="24"/>
          <w:szCs w:val="24"/>
          <w:highlight w:val="none"/>
        </w:rPr>
      </w:pPr>
      <w:r>
        <w:rPr>
          <w:rFonts w:hAnsi="宋体"/>
          <w:b/>
          <w:color w:val="auto"/>
          <w:spacing w:val="-6"/>
          <w:sz w:val="24"/>
          <w:szCs w:val="24"/>
          <w:highlight w:val="none"/>
        </w:rPr>
        <w:br w:type="page"/>
      </w:r>
      <w:r>
        <w:rPr>
          <w:rFonts w:hint="eastAsia" w:hAnsi="宋体"/>
          <w:b/>
          <w:color w:val="auto"/>
          <w:spacing w:val="-6"/>
          <w:sz w:val="24"/>
          <w:szCs w:val="24"/>
          <w:highlight w:val="none"/>
        </w:rPr>
        <w:t>2019年8月至2019年11月任意一月依法缴纳税收的证明材料</w:t>
      </w:r>
    </w:p>
    <w:p>
      <w:pPr>
        <w:pStyle w:val="10"/>
        <w:spacing w:line="360" w:lineRule="auto"/>
        <w:ind w:firstLine="0"/>
        <w:jc w:val="center"/>
        <w:rPr>
          <w:rFonts w:hAnsi="宋体"/>
          <w:color w:val="auto"/>
          <w:spacing w:val="-6"/>
          <w:sz w:val="24"/>
          <w:szCs w:val="24"/>
          <w:highlight w:val="none"/>
        </w:rPr>
      </w:pPr>
      <w:r>
        <w:rPr>
          <w:rFonts w:hint="eastAsia" w:hAnsi="宋体"/>
          <w:color w:val="auto"/>
          <w:spacing w:val="-6"/>
          <w:sz w:val="24"/>
          <w:szCs w:val="24"/>
          <w:highlight w:val="none"/>
        </w:rPr>
        <w:t>（依法免税的供应商，应提供相应文件证明其依法免税）</w:t>
      </w:r>
    </w:p>
    <w:p>
      <w:pPr>
        <w:pStyle w:val="10"/>
        <w:spacing w:line="360" w:lineRule="auto"/>
        <w:ind w:firstLine="0"/>
        <w:rPr>
          <w:rFonts w:hAnsi="宋体"/>
          <w:color w:val="auto"/>
          <w:spacing w:val="-6"/>
          <w:sz w:val="24"/>
          <w:szCs w:val="24"/>
          <w:highlight w:val="none"/>
        </w:rPr>
      </w:pPr>
    </w:p>
    <w:p>
      <w:pPr>
        <w:pStyle w:val="10"/>
        <w:spacing w:line="360" w:lineRule="auto"/>
        <w:ind w:firstLine="0"/>
        <w:rPr>
          <w:rFonts w:hAnsi="宋体"/>
          <w:color w:val="auto"/>
          <w:spacing w:val="-6"/>
          <w:sz w:val="24"/>
          <w:szCs w:val="24"/>
          <w:highlight w:val="none"/>
        </w:rPr>
      </w:pPr>
    </w:p>
    <w:p>
      <w:pPr>
        <w:spacing w:line="360" w:lineRule="auto"/>
        <w:rPr>
          <w:rFonts w:ascii="宋体" w:hAnsi="宋体"/>
          <w:b/>
          <w:color w:val="auto"/>
          <w:sz w:val="21"/>
          <w:szCs w:val="21"/>
          <w:highlight w:val="none"/>
        </w:rPr>
      </w:pPr>
    </w:p>
    <w:p>
      <w:pPr>
        <w:pStyle w:val="17"/>
        <w:spacing w:line="360" w:lineRule="auto"/>
        <w:ind w:left="398" w:hanging="398"/>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依法缴纳税收的证明材料指依法缴纳税收的凭据（完税证明或</w:t>
      </w:r>
      <w:r>
        <w:rPr>
          <w:rFonts w:ascii="宋体" w:hAnsi="宋体"/>
          <w:b/>
          <w:color w:val="auto"/>
          <w:spacing w:val="-6"/>
          <w:sz w:val="21"/>
          <w:szCs w:val="21"/>
          <w:highlight w:val="none"/>
        </w:rPr>
        <w:t>纳税证明</w:t>
      </w:r>
      <w:r>
        <w:rPr>
          <w:rFonts w:hint="eastAsia" w:ascii="宋体" w:hAnsi="宋体"/>
          <w:b/>
          <w:color w:val="auto"/>
          <w:spacing w:val="-6"/>
          <w:sz w:val="21"/>
          <w:szCs w:val="21"/>
          <w:highlight w:val="none"/>
        </w:rPr>
        <w:t>或银行电子缴税付款凭证等）；</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依法免税的供应商，应提供相应文件证明其依法免税；</w:t>
      </w:r>
    </w:p>
    <w:p>
      <w:pPr>
        <w:spacing w:line="360" w:lineRule="auto"/>
        <w:rPr>
          <w:rFonts w:ascii="宋体" w:hAnsi="宋体"/>
          <w:b/>
          <w:color w:val="auto"/>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供应商因新注册成立等原因无法提供相关材料的，应在响应文件中提交如实的情况说明。</w:t>
      </w:r>
    </w:p>
    <w:p>
      <w:pPr>
        <w:pStyle w:val="10"/>
        <w:spacing w:line="360" w:lineRule="auto"/>
        <w:ind w:firstLine="0"/>
        <w:jc w:val="center"/>
        <w:rPr>
          <w:rFonts w:hAnsi="宋体"/>
          <w:b/>
          <w:color w:val="auto"/>
          <w:spacing w:val="-6"/>
          <w:sz w:val="24"/>
          <w:szCs w:val="24"/>
          <w:highlight w:val="none"/>
        </w:rPr>
      </w:pPr>
      <w:r>
        <w:rPr>
          <w:rFonts w:hAnsi="宋体"/>
          <w:b/>
          <w:color w:val="auto"/>
          <w:spacing w:val="-6"/>
          <w:sz w:val="24"/>
          <w:szCs w:val="24"/>
          <w:highlight w:val="none"/>
        </w:rPr>
        <w:br w:type="page"/>
      </w:r>
      <w:r>
        <w:rPr>
          <w:rFonts w:hint="eastAsia" w:hAnsi="宋体"/>
          <w:b/>
          <w:color w:val="auto"/>
          <w:spacing w:val="-6"/>
          <w:sz w:val="24"/>
          <w:szCs w:val="24"/>
          <w:highlight w:val="none"/>
        </w:rPr>
        <w:t>2019年8月至2019年11月任意一月依法缴纳社会保障资金的证明材料</w:t>
      </w:r>
    </w:p>
    <w:p>
      <w:pPr>
        <w:pStyle w:val="10"/>
        <w:spacing w:line="360" w:lineRule="auto"/>
        <w:ind w:firstLine="0"/>
        <w:jc w:val="center"/>
        <w:rPr>
          <w:rFonts w:hAnsi="宋体"/>
          <w:color w:val="auto"/>
          <w:spacing w:val="-6"/>
          <w:sz w:val="24"/>
          <w:szCs w:val="24"/>
          <w:highlight w:val="none"/>
        </w:rPr>
      </w:pPr>
      <w:r>
        <w:rPr>
          <w:rFonts w:hint="eastAsia" w:hAnsi="宋体"/>
          <w:color w:val="auto"/>
          <w:spacing w:val="-6"/>
          <w:sz w:val="24"/>
          <w:szCs w:val="24"/>
          <w:highlight w:val="none"/>
        </w:rPr>
        <w:t>（依法不需要缴纳社会保障资金的供应商，应提供相应文件证明其依法不需要缴纳社会保障资金）</w:t>
      </w:r>
    </w:p>
    <w:p>
      <w:pPr>
        <w:pStyle w:val="10"/>
        <w:spacing w:line="360" w:lineRule="auto"/>
        <w:ind w:firstLine="0"/>
        <w:rPr>
          <w:rFonts w:hAnsi="宋体"/>
          <w:color w:val="auto"/>
          <w:spacing w:val="-6"/>
          <w:sz w:val="24"/>
          <w:szCs w:val="24"/>
          <w:highlight w:val="none"/>
        </w:rPr>
      </w:pPr>
    </w:p>
    <w:p>
      <w:pPr>
        <w:pStyle w:val="10"/>
        <w:spacing w:line="360" w:lineRule="auto"/>
        <w:ind w:firstLine="0"/>
        <w:rPr>
          <w:rFonts w:hAnsi="宋体"/>
          <w:color w:val="auto"/>
          <w:spacing w:val="-6"/>
          <w:sz w:val="24"/>
          <w:szCs w:val="24"/>
          <w:highlight w:val="none"/>
        </w:rPr>
      </w:pPr>
    </w:p>
    <w:p>
      <w:pPr>
        <w:pStyle w:val="10"/>
        <w:spacing w:line="360" w:lineRule="auto"/>
        <w:ind w:firstLine="0"/>
        <w:rPr>
          <w:rFonts w:hAnsi="宋体"/>
          <w:color w:val="auto"/>
          <w:spacing w:val="-6"/>
          <w:sz w:val="24"/>
          <w:szCs w:val="24"/>
          <w:highlight w:val="none"/>
        </w:rPr>
      </w:pPr>
    </w:p>
    <w:p>
      <w:pPr>
        <w:pStyle w:val="17"/>
        <w:spacing w:line="360" w:lineRule="auto"/>
        <w:ind w:left="398" w:hanging="398"/>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依法缴纳社会保障资金的证明材料指依法缴纳社会保险的凭据（社保缴费专用收据或银行电子缴税付款凭证或社会保险缴纳清单等）；</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依法不需要缴纳社会保障资金的供应商，应提供相应文件证明其依法不需要缴纳社会保障资金；</w:t>
      </w:r>
    </w:p>
    <w:p>
      <w:pPr>
        <w:spacing w:line="360" w:lineRule="auto"/>
        <w:rPr>
          <w:rFonts w:ascii="宋体" w:hAnsi="宋体"/>
          <w:b/>
          <w:color w:val="auto"/>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供应商因新注册成立等原因无法提供相关材料的，应在响应文件中提交如实的情况说明。</w:t>
      </w:r>
    </w:p>
    <w:p>
      <w:pPr>
        <w:widowControl/>
        <w:spacing w:line="360" w:lineRule="auto"/>
        <w:jc w:val="center"/>
        <w:rPr>
          <w:rFonts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具有履行合同所必需的设备和专业技术能力的承诺函（</w:t>
      </w:r>
      <w:r>
        <w:rPr>
          <w:rFonts w:ascii="宋体" w:hAnsi="宋体"/>
          <w:b/>
          <w:color w:val="auto"/>
          <w:spacing w:val="-6"/>
          <w:sz w:val="24"/>
          <w:highlight w:val="none"/>
        </w:rPr>
        <w:t>格式自拟）</w:t>
      </w:r>
    </w:p>
    <w:p>
      <w:pPr>
        <w:widowControl/>
        <w:spacing w:line="360" w:lineRule="auto"/>
        <w:jc w:val="center"/>
        <w:rPr>
          <w:rFonts w:ascii="宋体" w:hAnsi="宋体"/>
          <w:b/>
          <w:color w:val="auto"/>
          <w:spacing w:val="-6"/>
          <w:sz w:val="24"/>
          <w:highlight w:val="none"/>
        </w:rPr>
      </w:pPr>
    </w:p>
    <w:p>
      <w:pPr>
        <w:widowControl/>
        <w:spacing w:line="360" w:lineRule="auto"/>
        <w:jc w:val="center"/>
        <w:rPr>
          <w:rFonts w:ascii="宋体" w:hAnsi="宋体"/>
          <w:b/>
          <w:color w:val="auto"/>
          <w:spacing w:val="-6"/>
          <w:sz w:val="24"/>
          <w:highlight w:val="none"/>
        </w:rPr>
      </w:pPr>
    </w:p>
    <w:p>
      <w:pPr>
        <w:widowControl/>
        <w:spacing w:line="360" w:lineRule="auto"/>
        <w:jc w:val="center"/>
        <w:rPr>
          <w:rFonts w:ascii="宋体" w:hAnsi="宋体"/>
          <w:b/>
          <w:color w:val="auto"/>
          <w:spacing w:val="-6"/>
          <w:sz w:val="24"/>
          <w:highlight w:val="none"/>
        </w:rPr>
      </w:pPr>
    </w:p>
    <w:p>
      <w:pPr>
        <w:widowControl/>
        <w:spacing w:line="360" w:lineRule="auto"/>
        <w:jc w:val="center"/>
        <w:rPr>
          <w:rFonts w:ascii="宋体" w:hAnsi="宋体"/>
          <w:b/>
          <w:color w:val="auto"/>
          <w:spacing w:val="-6"/>
          <w:sz w:val="24"/>
          <w:highlight w:val="none"/>
        </w:rPr>
      </w:pPr>
    </w:p>
    <w:p>
      <w:pPr>
        <w:widowControl/>
        <w:spacing w:line="360" w:lineRule="auto"/>
        <w:jc w:val="center"/>
        <w:rPr>
          <w:rFonts w:ascii="宋体" w:hAnsi="宋体"/>
          <w:b/>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日期：  年  月  日</w:t>
      </w:r>
    </w:p>
    <w:p>
      <w:pPr>
        <w:widowControl/>
        <w:spacing w:line="360" w:lineRule="auto"/>
        <w:jc w:val="center"/>
        <w:rPr>
          <w:rFonts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参加政府采购活动前3年内在经营活动中没有重大违法记录的书面声明</w:t>
      </w:r>
    </w:p>
    <w:p>
      <w:pPr>
        <w:widowControl/>
        <w:spacing w:line="360" w:lineRule="auto"/>
        <w:jc w:val="center"/>
        <w:rPr>
          <w:rFonts w:ascii="宋体" w:hAnsi="宋体"/>
          <w:b/>
          <w:color w:val="auto"/>
          <w:spacing w:val="-6"/>
          <w:sz w:val="24"/>
          <w:highlight w:val="none"/>
        </w:rPr>
      </w:pPr>
    </w:p>
    <w:p>
      <w:pPr>
        <w:pStyle w:val="17"/>
        <w:spacing w:line="360" w:lineRule="auto"/>
        <w:ind w:left="169" w:hanging="169" w:hangingChars="74"/>
        <w:jc w:val="center"/>
        <w:rPr>
          <w:rFonts w:ascii="宋体" w:hAnsi="宋体"/>
          <w:b/>
          <w:color w:val="auto"/>
          <w:spacing w:val="-6"/>
          <w:sz w:val="24"/>
          <w:highlight w:val="none"/>
        </w:rPr>
      </w:pPr>
      <w:r>
        <w:rPr>
          <w:rFonts w:hint="eastAsia" w:ascii="宋体" w:hAnsi="宋体"/>
          <w:b/>
          <w:color w:val="auto"/>
          <w:spacing w:val="-6"/>
          <w:sz w:val="24"/>
          <w:highlight w:val="none"/>
        </w:rPr>
        <w:t>声明函</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致：浙江省退役军人事务厅、浙江求是招标代理有限公司：</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我公司郑重承诺在参加本项目政府采购活动前三年内，在经营活动中</w:t>
      </w:r>
      <w:r>
        <w:rPr>
          <w:rFonts w:hint="eastAsia" w:ascii="宋体" w:hAnsi="宋体"/>
          <w:b/>
          <w:color w:val="auto"/>
          <w:spacing w:val="-6"/>
          <w:sz w:val="24"/>
          <w:highlight w:val="none"/>
        </w:rPr>
        <w:t>____（填写“有”或“没有”，如实填写，如不填写视同未提供本声明函）</w:t>
      </w:r>
      <w:r>
        <w:rPr>
          <w:rFonts w:hint="eastAsia" w:ascii="宋体" w:hAnsi="宋体"/>
          <w:color w:val="auto"/>
          <w:spacing w:val="-6"/>
          <w:sz w:val="24"/>
          <w:highlight w:val="none"/>
        </w:rPr>
        <w:t>重大违法记录，重大违法记录是指供应商因违法经营受到刑事处罚或者责令停产停业、吊销许可证或者执照、较大数额罚款等行政处罚。</w:t>
      </w:r>
    </w:p>
    <w:p>
      <w:pPr>
        <w:spacing w:line="360" w:lineRule="auto"/>
        <w:ind w:firstLine="456" w:firstLineChars="200"/>
        <w:rPr>
          <w:rFonts w:ascii="宋体" w:hAnsi="宋体"/>
          <w:color w:val="auto"/>
          <w:spacing w:val="-6"/>
          <w:sz w:val="24"/>
          <w:highlight w:val="none"/>
        </w:rPr>
      </w:pPr>
      <w:r>
        <w:rPr>
          <w:rFonts w:ascii="宋体" w:hAnsi="宋体"/>
          <w:color w:val="auto"/>
          <w:spacing w:val="-6"/>
          <w:sz w:val="24"/>
          <w:highlight w:val="none"/>
        </w:rPr>
        <w:t>以上事项如有虚假或隐瞒，我方愿意承担一切后果和责任。</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特此声明。</w:t>
      </w:r>
    </w:p>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日期：  年  月  日</w:t>
      </w:r>
    </w:p>
    <w:p>
      <w:pPr>
        <w:spacing w:line="360" w:lineRule="auto"/>
        <w:jc w:val="center"/>
        <w:rPr>
          <w:rFonts w:ascii="宋体" w:hAnsi="宋体"/>
          <w:b/>
          <w:color w:val="auto"/>
          <w:spacing w:val="-6"/>
          <w:sz w:val="24"/>
          <w:highlight w:val="none"/>
        </w:rPr>
      </w:pPr>
      <w:r>
        <w:rPr>
          <w:rFonts w:ascii="宋体" w:hAnsi="宋体"/>
          <w:color w:val="auto"/>
          <w:spacing w:val="-6"/>
          <w:sz w:val="24"/>
          <w:highlight w:val="none"/>
        </w:rPr>
        <w:br w:type="page"/>
      </w:r>
      <w:r>
        <w:rPr>
          <w:rFonts w:hint="eastAsia" w:ascii="宋体" w:hAnsi="宋体"/>
          <w:b/>
          <w:color w:val="auto"/>
          <w:spacing w:val="-6"/>
          <w:sz w:val="24"/>
          <w:highlight w:val="none"/>
        </w:rPr>
        <w:t>供应商同类项目实施情况一览表</w:t>
      </w:r>
    </w:p>
    <w:tbl>
      <w:tblPr>
        <w:tblStyle w:val="21"/>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1"/>
                <w:szCs w:val="21"/>
                <w:highlight w:val="none"/>
              </w:rPr>
            </w:pPr>
            <w:r>
              <w:rPr>
                <w:rFonts w:ascii="宋体" w:hAnsi="宋体"/>
                <w:b/>
                <w:color w:val="auto"/>
                <w:sz w:val="21"/>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采购单位</w:t>
            </w: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合同金额</w:t>
            </w:r>
          </w:p>
          <w:p>
            <w:pPr>
              <w:jc w:val="center"/>
              <w:rPr>
                <w:rFonts w:ascii="宋体" w:hAnsi="宋体"/>
                <w:b/>
                <w:color w:val="auto"/>
                <w:sz w:val="21"/>
                <w:szCs w:val="21"/>
                <w:highlight w:val="none"/>
              </w:rPr>
            </w:pPr>
            <w:r>
              <w:rPr>
                <w:rFonts w:hint="eastAsia" w:ascii="宋体" w:hAnsi="宋体"/>
                <w:b/>
                <w:color w:val="auto"/>
                <w:sz w:val="21"/>
                <w:szCs w:val="21"/>
                <w:highlight w:val="none"/>
              </w:rPr>
              <w:t>（万元）</w:t>
            </w: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合同签订时间</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采购单位联系人</w:t>
            </w:r>
          </w:p>
          <w:p>
            <w:pPr>
              <w:jc w:val="center"/>
              <w:rPr>
                <w:rFonts w:ascii="宋体" w:hAnsi="宋体"/>
                <w:b/>
                <w:color w:val="auto"/>
                <w:sz w:val="24"/>
                <w:highlight w:val="none"/>
              </w:rPr>
            </w:pPr>
            <w:r>
              <w:rPr>
                <w:rFonts w:hint="eastAsia" w:ascii="宋体" w:hAnsi="宋体"/>
                <w:b/>
                <w:color w:val="auto"/>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4"/>
                <w:szCs w:val="20"/>
                <w:highlight w:val="none"/>
              </w:rPr>
            </w:pPr>
          </w:p>
        </w:tc>
      </w:tr>
    </w:tbl>
    <w:p>
      <w:pPr>
        <w:pStyle w:val="17"/>
        <w:spacing w:line="360" w:lineRule="auto"/>
        <w:ind w:left="480" w:hanging="480"/>
        <w:rPr>
          <w:rFonts w:ascii="宋体" w:hAnsi="宋体"/>
          <w:color w:val="auto"/>
          <w:sz w:val="24"/>
          <w:highlight w:val="none"/>
        </w:rPr>
      </w:pPr>
    </w:p>
    <w:p>
      <w:pPr>
        <w:spacing w:line="360" w:lineRule="auto"/>
        <w:rPr>
          <w:rFonts w:ascii="宋体" w:hAnsi="宋体"/>
          <w:b/>
          <w:color w:val="auto"/>
          <w:spacing w:val="-6"/>
          <w:sz w:val="24"/>
          <w:highlight w:val="none"/>
        </w:rPr>
      </w:pPr>
      <w:r>
        <w:rPr>
          <w:rFonts w:hint="eastAsia" w:ascii="宋体" w:hAnsi="宋体"/>
          <w:b/>
          <w:color w:val="auto"/>
          <w:spacing w:val="-6"/>
          <w:sz w:val="24"/>
          <w:highlight w:val="none"/>
        </w:rPr>
        <w:t>说明：</w:t>
      </w:r>
    </w:p>
    <w:p>
      <w:pPr>
        <w:spacing w:line="360" w:lineRule="auto"/>
        <w:rPr>
          <w:rFonts w:ascii="宋体" w:hAnsi="宋体"/>
          <w:b/>
          <w:color w:val="auto"/>
          <w:spacing w:val="-6"/>
          <w:sz w:val="24"/>
          <w:highlight w:val="none"/>
        </w:rPr>
      </w:pPr>
      <w:r>
        <w:rPr>
          <w:rFonts w:hint="eastAsia" w:ascii="宋体" w:hAnsi="宋体"/>
          <w:b/>
          <w:color w:val="auto"/>
          <w:spacing w:val="-6"/>
          <w:sz w:val="24"/>
          <w:highlight w:val="none"/>
        </w:rPr>
        <w:t>1</w:t>
      </w:r>
      <w:r>
        <w:rPr>
          <w:rFonts w:ascii="宋体" w:hAnsi="宋体"/>
          <w:b/>
          <w:color w:val="auto"/>
          <w:spacing w:val="-6"/>
          <w:sz w:val="24"/>
          <w:highlight w:val="none"/>
        </w:rPr>
        <w:t>.</w:t>
      </w:r>
      <w:r>
        <w:rPr>
          <w:rFonts w:hint="eastAsia" w:ascii="宋体" w:hAnsi="宋体"/>
          <w:b/>
          <w:color w:val="auto"/>
          <w:spacing w:val="-6"/>
          <w:sz w:val="24"/>
          <w:highlight w:val="none"/>
        </w:rPr>
        <w:t>供应商须提供上述业绩合同复印件；</w:t>
      </w:r>
    </w:p>
    <w:p>
      <w:pPr>
        <w:spacing w:line="360" w:lineRule="auto"/>
        <w:rPr>
          <w:rFonts w:ascii="宋体" w:hAnsi="宋体"/>
          <w:b/>
          <w:color w:val="auto"/>
          <w:spacing w:val="-6"/>
          <w:sz w:val="24"/>
          <w:highlight w:val="none"/>
        </w:rPr>
      </w:pPr>
      <w:r>
        <w:rPr>
          <w:rFonts w:hint="eastAsia" w:ascii="宋体" w:hAnsi="宋体"/>
          <w:b/>
          <w:color w:val="auto"/>
          <w:spacing w:val="-6"/>
          <w:sz w:val="24"/>
          <w:highlight w:val="none"/>
        </w:rPr>
        <w:t>2</w:t>
      </w:r>
      <w:r>
        <w:rPr>
          <w:rFonts w:ascii="宋体" w:hAnsi="宋体"/>
          <w:b/>
          <w:color w:val="auto"/>
          <w:spacing w:val="-6"/>
          <w:sz w:val="24"/>
          <w:highlight w:val="none"/>
        </w:rPr>
        <w:t>.</w:t>
      </w:r>
      <w:r>
        <w:rPr>
          <w:rFonts w:hint="eastAsia" w:ascii="宋体" w:hAnsi="宋体"/>
          <w:b/>
          <w:color w:val="auto"/>
          <w:spacing w:val="-6"/>
          <w:sz w:val="24"/>
          <w:highlight w:val="none"/>
        </w:rPr>
        <w:t>所有合同复印件应清晰，应能体现合同签订时间、双方签字盖章等内容；</w:t>
      </w:r>
    </w:p>
    <w:p>
      <w:pPr>
        <w:spacing w:line="360" w:lineRule="auto"/>
        <w:rPr>
          <w:rFonts w:ascii="宋体" w:hAnsi="宋体"/>
          <w:b/>
          <w:color w:val="auto"/>
          <w:spacing w:val="-6"/>
          <w:sz w:val="24"/>
          <w:highlight w:val="none"/>
        </w:rPr>
      </w:pPr>
      <w:r>
        <w:rPr>
          <w:rFonts w:hint="eastAsia" w:ascii="宋体" w:hAnsi="宋体"/>
          <w:b/>
          <w:color w:val="auto"/>
          <w:spacing w:val="-6"/>
          <w:sz w:val="24"/>
          <w:highlight w:val="none"/>
        </w:rPr>
        <w:t>3</w:t>
      </w:r>
      <w:r>
        <w:rPr>
          <w:rFonts w:ascii="宋体" w:hAnsi="宋体"/>
          <w:b/>
          <w:color w:val="auto"/>
          <w:spacing w:val="-6"/>
          <w:sz w:val="24"/>
          <w:highlight w:val="none"/>
        </w:rPr>
        <w:t>.</w:t>
      </w:r>
      <w:r>
        <w:rPr>
          <w:rFonts w:hint="eastAsia" w:ascii="宋体" w:hAnsi="宋体"/>
          <w:b/>
          <w:color w:val="auto"/>
          <w:spacing w:val="-6"/>
          <w:sz w:val="24"/>
          <w:highlight w:val="none"/>
        </w:rPr>
        <w:t>供应商应在不涉及商业秘密的前提下尽可能提供详细的合同复印件内容。</w:t>
      </w:r>
    </w:p>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日期：  年  月  日</w:t>
      </w:r>
    </w:p>
    <w:p>
      <w:pPr>
        <w:pStyle w:val="17"/>
        <w:spacing w:line="360" w:lineRule="auto"/>
        <w:ind w:left="0" w:firstLine="0" w:firstLineChars="0"/>
        <w:jc w:val="center"/>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供应商需要说明的其他文件和材料</w:t>
      </w:r>
    </w:p>
    <w:p>
      <w:pPr>
        <w:pStyle w:val="17"/>
        <w:spacing w:line="360" w:lineRule="auto"/>
        <w:ind w:left="0" w:firstLine="0" w:firstLineChars="0"/>
        <w:jc w:val="center"/>
        <w:rPr>
          <w:rFonts w:ascii="宋体" w:hAnsi="宋体"/>
          <w:b/>
          <w:color w:val="auto"/>
          <w:sz w:val="24"/>
          <w:highlight w:val="none"/>
        </w:rPr>
      </w:pP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说明：包括</w:t>
      </w:r>
      <w:r>
        <w:rPr>
          <w:rFonts w:ascii="宋体" w:hAnsi="宋体"/>
          <w:b/>
          <w:color w:val="auto"/>
          <w:sz w:val="21"/>
          <w:szCs w:val="21"/>
          <w:highlight w:val="none"/>
        </w:rPr>
        <w:t>但不</w:t>
      </w:r>
      <w:r>
        <w:rPr>
          <w:rFonts w:hint="eastAsia" w:ascii="宋体" w:hAnsi="宋体"/>
          <w:b/>
          <w:color w:val="auto"/>
          <w:sz w:val="21"/>
          <w:szCs w:val="21"/>
          <w:highlight w:val="none"/>
        </w:rPr>
        <w:t>仅限于有效期内的ISO9001质量管理体系认证证书、ISO20000信息技术服务管理体系认证证书、ISO27001信息安全管理体系认证证书、守合同重信用AAA级证书、在线迁移证书。</w:t>
      </w:r>
    </w:p>
    <w:p>
      <w:pPr>
        <w:spacing w:line="360" w:lineRule="auto"/>
        <w:jc w:val="center"/>
        <w:rPr>
          <w:rFonts w:ascii="宋体" w:hAnsi="宋体"/>
          <w:b/>
          <w:color w:val="auto"/>
          <w:sz w:val="52"/>
          <w:szCs w:val="52"/>
          <w:highlight w:val="none"/>
        </w:rPr>
      </w:pPr>
      <w:r>
        <w:rPr>
          <w:rFonts w:ascii="宋体" w:hAnsi="宋体"/>
          <w:color w:val="auto"/>
          <w:sz w:val="24"/>
          <w:highlight w:val="none"/>
        </w:rPr>
        <w:br w:type="page"/>
      </w:r>
      <w:r>
        <w:rPr>
          <w:rFonts w:hint="eastAsia" w:ascii="宋体" w:hAnsi="宋体"/>
          <w:b/>
          <w:color w:val="auto"/>
          <w:sz w:val="52"/>
          <w:szCs w:val="52"/>
          <w:highlight w:val="none"/>
        </w:rPr>
        <w:t>技术文件</w:t>
      </w:r>
    </w:p>
    <w:p>
      <w:pPr>
        <w:spacing w:line="360" w:lineRule="auto"/>
        <w:jc w:val="center"/>
        <w:rPr>
          <w:rFonts w:ascii="宋体" w:hAnsi="宋体"/>
          <w:b/>
          <w:bCs/>
          <w:iCs/>
          <w:color w:val="auto"/>
          <w:spacing w:val="-6"/>
          <w:sz w:val="24"/>
          <w:highlight w:val="none"/>
        </w:rPr>
      </w:pPr>
      <w:r>
        <w:rPr>
          <w:rFonts w:hint="eastAsia" w:ascii="宋体" w:hAnsi="宋体"/>
          <w:b/>
          <w:bCs/>
          <w:iCs/>
          <w:color w:val="auto"/>
          <w:spacing w:val="-6"/>
          <w:sz w:val="24"/>
          <w:highlight w:val="none"/>
        </w:rPr>
        <w:t>采购</w:t>
      </w:r>
      <w:r>
        <w:rPr>
          <w:rFonts w:ascii="宋体" w:hAnsi="宋体"/>
          <w:b/>
          <w:bCs/>
          <w:iCs/>
          <w:color w:val="auto"/>
          <w:spacing w:val="-6"/>
          <w:sz w:val="24"/>
          <w:highlight w:val="none"/>
        </w:rPr>
        <w:t>需求</w:t>
      </w:r>
      <w:r>
        <w:rPr>
          <w:rFonts w:hint="eastAsia" w:ascii="宋体" w:hAnsi="宋体"/>
          <w:b/>
          <w:bCs/>
          <w:iCs/>
          <w:color w:val="auto"/>
          <w:spacing w:val="-6"/>
          <w:sz w:val="24"/>
          <w:highlight w:val="none"/>
        </w:rPr>
        <w:t>偏离表</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采购人：浙江省退役军人事务厅</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项目名称：云安全防护设备及服务项目</w:t>
      </w:r>
    </w:p>
    <w:p>
      <w:pPr>
        <w:spacing w:line="360" w:lineRule="auto"/>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项目编号：</w:t>
      </w:r>
      <w:r>
        <w:rPr>
          <w:rFonts w:hint="eastAsia" w:ascii="宋体" w:hAnsi="宋体"/>
          <w:bCs/>
          <w:color w:val="auto"/>
          <w:spacing w:val="-6"/>
          <w:sz w:val="24"/>
          <w:highlight w:val="none"/>
          <w:lang w:eastAsia="zh-CN"/>
        </w:rPr>
        <w:t>QSZB-Z(F)-E19282(CS)</w:t>
      </w:r>
    </w:p>
    <w:tbl>
      <w:tblPr>
        <w:tblStyle w:val="2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snapToGrid w:val="0"/>
              <w:jc w:val="center"/>
              <w:rPr>
                <w:rFonts w:ascii="宋体" w:hAnsi="宋体"/>
                <w:b/>
                <w:color w:val="auto"/>
                <w:spacing w:val="-6"/>
                <w:sz w:val="24"/>
                <w:highlight w:val="none"/>
              </w:rPr>
            </w:pPr>
            <w:r>
              <w:rPr>
                <w:rFonts w:hint="eastAsia" w:ascii="宋体" w:hAnsi="宋体"/>
                <w:b/>
                <w:color w:val="auto"/>
                <w:spacing w:val="-6"/>
                <w:sz w:val="24"/>
                <w:highlight w:val="none"/>
              </w:rPr>
              <w:t>序号</w:t>
            </w:r>
          </w:p>
        </w:tc>
        <w:tc>
          <w:tcPr>
            <w:tcW w:w="3260" w:type="dxa"/>
            <w:vAlign w:val="center"/>
          </w:tcPr>
          <w:p>
            <w:pPr>
              <w:snapToGrid w:val="0"/>
              <w:jc w:val="center"/>
              <w:rPr>
                <w:rFonts w:ascii="宋体" w:hAnsi="宋体"/>
                <w:b/>
                <w:color w:val="auto"/>
                <w:spacing w:val="-6"/>
                <w:sz w:val="24"/>
                <w:highlight w:val="none"/>
              </w:rPr>
            </w:pPr>
            <w:r>
              <w:rPr>
                <w:rFonts w:hint="eastAsia" w:ascii="宋体" w:hAnsi="宋体"/>
                <w:b/>
                <w:color w:val="auto"/>
                <w:spacing w:val="-6"/>
                <w:sz w:val="24"/>
                <w:highlight w:val="none"/>
              </w:rPr>
              <w:t>磋商文件要求</w:t>
            </w:r>
          </w:p>
        </w:tc>
        <w:tc>
          <w:tcPr>
            <w:tcW w:w="3402" w:type="dxa"/>
            <w:vAlign w:val="center"/>
          </w:tcPr>
          <w:p>
            <w:pPr>
              <w:snapToGrid w:val="0"/>
              <w:jc w:val="center"/>
              <w:rPr>
                <w:rFonts w:ascii="宋体" w:hAnsi="宋体"/>
                <w:b/>
                <w:color w:val="auto"/>
                <w:spacing w:val="-6"/>
                <w:sz w:val="24"/>
                <w:highlight w:val="none"/>
              </w:rPr>
            </w:pPr>
            <w:r>
              <w:rPr>
                <w:rFonts w:hint="eastAsia" w:ascii="宋体" w:hAnsi="宋体"/>
                <w:b/>
                <w:color w:val="auto"/>
                <w:spacing w:val="-6"/>
                <w:sz w:val="24"/>
                <w:highlight w:val="none"/>
              </w:rPr>
              <w:t>响应内容</w:t>
            </w:r>
          </w:p>
        </w:tc>
        <w:tc>
          <w:tcPr>
            <w:tcW w:w="1985" w:type="dxa"/>
            <w:vAlign w:val="center"/>
          </w:tcPr>
          <w:p>
            <w:pPr>
              <w:snapToGrid w:val="0"/>
              <w:jc w:val="center"/>
              <w:rPr>
                <w:rFonts w:ascii="宋体" w:hAnsi="宋体"/>
                <w:b/>
                <w:color w:val="auto"/>
                <w:spacing w:val="-6"/>
                <w:sz w:val="24"/>
                <w:highlight w:val="none"/>
              </w:rPr>
            </w:pPr>
            <w:r>
              <w:rPr>
                <w:rFonts w:hint="eastAsia" w:ascii="宋体" w:hAnsi="宋体"/>
                <w:b/>
                <w:color w:val="auto"/>
                <w:spacing w:val="-6"/>
                <w:sz w:val="24"/>
                <w:highlight w:val="none"/>
              </w:rPr>
              <w:t>是否偏离</w:t>
            </w:r>
          </w:p>
          <w:p>
            <w:pPr>
              <w:snapToGrid w:val="0"/>
              <w:jc w:val="center"/>
              <w:rPr>
                <w:rFonts w:ascii="宋体" w:hAnsi="宋体"/>
                <w:b/>
                <w:color w:val="auto"/>
                <w:spacing w:val="-6"/>
                <w:sz w:val="24"/>
                <w:highlight w:val="none"/>
              </w:rPr>
            </w:pPr>
            <w:r>
              <w:rPr>
                <w:rFonts w:hint="eastAsia" w:ascii="宋体" w:hAnsi="宋体"/>
                <w:b/>
                <w:color w:val="auto"/>
                <w:spacing w:val="-6"/>
                <w:sz w:val="24"/>
                <w:highlight w:val="none"/>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pPr>
              <w:snapToGrid w:val="0"/>
              <w:rPr>
                <w:rFonts w:ascii="宋体" w:hAnsi="宋体"/>
                <w:color w:val="auto"/>
                <w:spacing w:val="-6"/>
                <w:sz w:val="24"/>
                <w:highlight w:val="none"/>
              </w:rPr>
            </w:pPr>
            <w:r>
              <w:rPr>
                <w:rFonts w:hint="eastAsia" w:ascii="宋体" w:hAnsi="宋体"/>
                <w:color w:val="auto"/>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snapToGrid w:val="0"/>
              <w:jc w:val="center"/>
              <w:rPr>
                <w:rFonts w:ascii="宋体" w:hAnsi="宋体"/>
                <w:color w:val="auto"/>
                <w:spacing w:val="-6"/>
                <w:sz w:val="24"/>
                <w:highlight w:val="none"/>
              </w:rPr>
            </w:pPr>
          </w:p>
        </w:tc>
        <w:tc>
          <w:tcPr>
            <w:tcW w:w="3260" w:type="dxa"/>
            <w:vAlign w:val="center"/>
          </w:tcPr>
          <w:p>
            <w:pPr>
              <w:snapToGrid w:val="0"/>
              <w:jc w:val="center"/>
              <w:rPr>
                <w:rFonts w:ascii="宋体" w:hAnsi="宋体"/>
                <w:color w:val="auto"/>
                <w:spacing w:val="-6"/>
                <w:sz w:val="24"/>
                <w:highlight w:val="none"/>
              </w:rPr>
            </w:pPr>
          </w:p>
        </w:tc>
        <w:tc>
          <w:tcPr>
            <w:tcW w:w="3402" w:type="dxa"/>
            <w:vAlign w:val="center"/>
          </w:tcPr>
          <w:p>
            <w:pPr>
              <w:snapToGrid w:val="0"/>
              <w:jc w:val="center"/>
              <w:rPr>
                <w:rFonts w:ascii="宋体" w:hAnsi="宋体"/>
                <w:color w:val="auto"/>
                <w:spacing w:val="-6"/>
                <w:sz w:val="24"/>
                <w:highlight w:val="none"/>
              </w:rPr>
            </w:pPr>
          </w:p>
        </w:tc>
        <w:tc>
          <w:tcPr>
            <w:tcW w:w="1985" w:type="dxa"/>
            <w:vAlign w:val="center"/>
          </w:tcPr>
          <w:p>
            <w:pPr>
              <w:snapToGrid w:val="0"/>
              <w:jc w:val="center"/>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snapToGrid w:val="0"/>
              <w:jc w:val="center"/>
              <w:rPr>
                <w:rFonts w:ascii="宋体" w:hAnsi="宋体"/>
                <w:color w:val="auto"/>
                <w:spacing w:val="-6"/>
                <w:sz w:val="24"/>
                <w:highlight w:val="none"/>
              </w:rPr>
            </w:pPr>
          </w:p>
        </w:tc>
        <w:tc>
          <w:tcPr>
            <w:tcW w:w="3260" w:type="dxa"/>
            <w:vAlign w:val="center"/>
          </w:tcPr>
          <w:p>
            <w:pPr>
              <w:snapToGrid w:val="0"/>
              <w:jc w:val="center"/>
              <w:rPr>
                <w:rFonts w:ascii="宋体" w:hAnsi="宋体"/>
                <w:color w:val="auto"/>
                <w:spacing w:val="-6"/>
                <w:sz w:val="24"/>
                <w:highlight w:val="none"/>
              </w:rPr>
            </w:pPr>
          </w:p>
        </w:tc>
        <w:tc>
          <w:tcPr>
            <w:tcW w:w="3402" w:type="dxa"/>
            <w:vAlign w:val="center"/>
          </w:tcPr>
          <w:p>
            <w:pPr>
              <w:snapToGrid w:val="0"/>
              <w:jc w:val="center"/>
              <w:rPr>
                <w:rFonts w:ascii="宋体" w:hAnsi="宋体"/>
                <w:color w:val="auto"/>
                <w:spacing w:val="-6"/>
                <w:sz w:val="24"/>
                <w:highlight w:val="none"/>
              </w:rPr>
            </w:pPr>
          </w:p>
        </w:tc>
        <w:tc>
          <w:tcPr>
            <w:tcW w:w="1985" w:type="dxa"/>
            <w:vAlign w:val="center"/>
          </w:tcPr>
          <w:p>
            <w:pPr>
              <w:snapToGrid w:val="0"/>
              <w:jc w:val="center"/>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pPr>
              <w:snapToGrid w:val="0"/>
              <w:rPr>
                <w:rFonts w:ascii="宋体" w:hAnsi="宋体"/>
                <w:color w:val="auto"/>
                <w:spacing w:val="-6"/>
                <w:sz w:val="24"/>
                <w:highlight w:val="none"/>
              </w:rPr>
            </w:pPr>
            <w:r>
              <w:rPr>
                <w:rFonts w:hint="eastAsia" w:ascii="宋体" w:hAnsi="宋体"/>
                <w:color w:val="auto"/>
                <w:sz w:val="21"/>
                <w:szCs w:val="21"/>
                <w:highlight w:val="none"/>
              </w:rPr>
              <w:t>服务</w:t>
            </w:r>
            <w:r>
              <w:rPr>
                <w:rFonts w:ascii="宋体" w:hAnsi="宋体"/>
                <w:color w:val="auto"/>
                <w:sz w:val="21"/>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snapToGrid w:val="0"/>
              <w:jc w:val="center"/>
              <w:rPr>
                <w:rFonts w:ascii="宋体" w:hAnsi="宋体"/>
                <w:color w:val="auto"/>
                <w:spacing w:val="-6"/>
                <w:sz w:val="24"/>
                <w:highlight w:val="none"/>
              </w:rPr>
            </w:pPr>
          </w:p>
        </w:tc>
        <w:tc>
          <w:tcPr>
            <w:tcW w:w="3260" w:type="dxa"/>
            <w:vAlign w:val="center"/>
          </w:tcPr>
          <w:p>
            <w:pPr>
              <w:snapToGrid w:val="0"/>
              <w:jc w:val="center"/>
              <w:rPr>
                <w:rFonts w:ascii="宋体" w:hAnsi="宋体"/>
                <w:color w:val="auto"/>
                <w:spacing w:val="-6"/>
                <w:sz w:val="24"/>
                <w:highlight w:val="none"/>
              </w:rPr>
            </w:pPr>
          </w:p>
        </w:tc>
        <w:tc>
          <w:tcPr>
            <w:tcW w:w="3402" w:type="dxa"/>
            <w:vAlign w:val="center"/>
          </w:tcPr>
          <w:p>
            <w:pPr>
              <w:snapToGrid w:val="0"/>
              <w:jc w:val="center"/>
              <w:rPr>
                <w:rFonts w:ascii="宋体" w:hAnsi="宋体"/>
                <w:color w:val="auto"/>
                <w:spacing w:val="-6"/>
                <w:sz w:val="24"/>
                <w:highlight w:val="none"/>
              </w:rPr>
            </w:pPr>
          </w:p>
        </w:tc>
        <w:tc>
          <w:tcPr>
            <w:tcW w:w="1985" w:type="dxa"/>
            <w:vAlign w:val="center"/>
          </w:tcPr>
          <w:p>
            <w:pPr>
              <w:snapToGrid w:val="0"/>
              <w:jc w:val="center"/>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snapToGrid w:val="0"/>
              <w:jc w:val="center"/>
              <w:rPr>
                <w:rFonts w:ascii="宋体" w:hAnsi="宋体"/>
                <w:color w:val="auto"/>
                <w:spacing w:val="-6"/>
                <w:sz w:val="24"/>
                <w:highlight w:val="none"/>
              </w:rPr>
            </w:pPr>
          </w:p>
        </w:tc>
        <w:tc>
          <w:tcPr>
            <w:tcW w:w="3260" w:type="dxa"/>
            <w:vAlign w:val="center"/>
          </w:tcPr>
          <w:p>
            <w:pPr>
              <w:snapToGrid w:val="0"/>
              <w:jc w:val="center"/>
              <w:rPr>
                <w:rFonts w:ascii="宋体" w:hAnsi="宋体"/>
                <w:color w:val="auto"/>
                <w:spacing w:val="-6"/>
                <w:sz w:val="24"/>
                <w:highlight w:val="none"/>
              </w:rPr>
            </w:pPr>
          </w:p>
        </w:tc>
        <w:tc>
          <w:tcPr>
            <w:tcW w:w="3402" w:type="dxa"/>
            <w:vAlign w:val="center"/>
          </w:tcPr>
          <w:p>
            <w:pPr>
              <w:snapToGrid w:val="0"/>
              <w:jc w:val="center"/>
              <w:rPr>
                <w:rFonts w:ascii="宋体" w:hAnsi="宋体"/>
                <w:color w:val="auto"/>
                <w:spacing w:val="-6"/>
                <w:sz w:val="24"/>
                <w:highlight w:val="none"/>
              </w:rPr>
            </w:pPr>
          </w:p>
        </w:tc>
        <w:tc>
          <w:tcPr>
            <w:tcW w:w="1985" w:type="dxa"/>
            <w:vAlign w:val="center"/>
          </w:tcPr>
          <w:p>
            <w:pPr>
              <w:snapToGrid w:val="0"/>
              <w:jc w:val="center"/>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pPr>
              <w:snapToGrid w:val="0"/>
              <w:rPr>
                <w:rFonts w:ascii="宋体" w:hAnsi="宋体"/>
                <w:color w:val="auto"/>
                <w:spacing w:val="-6"/>
                <w:sz w:val="24"/>
                <w:highlight w:val="none"/>
              </w:rPr>
            </w:pPr>
            <w:r>
              <w:rPr>
                <w:rFonts w:ascii="宋体" w:hAnsi="宋体"/>
                <w:color w:val="auto"/>
                <w:spacing w:val="-6"/>
                <w:sz w:val="21"/>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snapToGrid w:val="0"/>
              <w:jc w:val="center"/>
              <w:rPr>
                <w:rFonts w:ascii="宋体" w:hAnsi="宋体"/>
                <w:color w:val="auto"/>
                <w:spacing w:val="-6"/>
                <w:sz w:val="24"/>
                <w:highlight w:val="none"/>
              </w:rPr>
            </w:pPr>
          </w:p>
        </w:tc>
        <w:tc>
          <w:tcPr>
            <w:tcW w:w="3260" w:type="dxa"/>
            <w:vAlign w:val="center"/>
          </w:tcPr>
          <w:p>
            <w:pPr>
              <w:snapToGrid w:val="0"/>
              <w:jc w:val="center"/>
              <w:rPr>
                <w:rFonts w:ascii="宋体" w:hAnsi="宋体"/>
                <w:color w:val="auto"/>
                <w:spacing w:val="-6"/>
                <w:sz w:val="24"/>
                <w:highlight w:val="none"/>
              </w:rPr>
            </w:pPr>
          </w:p>
        </w:tc>
        <w:tc>
          <w:tcPr>
            <w:tcW w:w="3402" w:type="dxa"/>
            <w:vAlign w:val="center"/>
          </w:tcPr>
          <w:p>
            <w:pPr>
              <w:snapToGrid w:val="0"/>
              <w:jc w:val="center"/>
              <w:rPr>
                <w:rFonts w:ascii="宋体" w:hAnsi="宋体"/>
                <w:color w:val="auto"/>
                <w:spacing w:val="-6"/>
                <w:sz w:val="24"/>
                <w:highlight w:val="none"/>
              </w:rPr>
            </w:pPr>
          </w:p>
        </w:tc>
        <w:tc>
          <w:tcPr>
            <w:tcW w:w="1985" w:type="dxa"/>
            <w:vAlign w:val="center"/>
          </w:tcPr>
          <w:p>
            <w:pPr>
              <w:snapToGrid w:val="0"/>
              <w:jc w:val="center"/>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snapToGrid w:val="0"/>
              <w:jc w:val="center"/>
              <w:rPr>
                <w:rFonts w:ascii="宋体" w:hAnsi="宋体"/>
                <w:color w:val="auto"/>
                <w:spacing w:val="-6"/>
                <w:sz w:val="24"/>
                <w:highlight w:val="none"/>
              </w:rPr>
            </w:pPr>
          </w:p>
        </w:tc>
        <w:tc>
          <w:tcPr>
            <w:tcW w:w="3260" w:type="dxa"/>
            <w:vAlign w:val="center"/>
          </w:tcPr>
          <w:p>
            <w:pPr>
              <w:snapToGrid w:val="0"/>
              <w:jc w:val="center"/>
              <w:rPr>
                <w:rFonts w:ascii="宋体" w:hAnsi="宋体"/>
                <w:color w:val="auto"/>
                <w:spacing w:val="-6"/>
                <w:sz w:val="24"/>
                <w:highlight w:val="none"/>
              </w:rPr>
            </w:pPr>
          </w:p>
        </w:tc>
        <w:tc>
          <w:tcPr>
            <w:tcW w:w="3402" w:type="dxa"/>
            <w:vAlign w:val="center"/>
          </w:tcPr>
          <w:p>
            <w:pPr>
              <w:snapToGrid w:val="0"/>
              <w:jc w:val="center"/>
              <w:rPr>
                <w:rFonts w:ascii="宋体" w:hAnsi="宋体"/>
                <w:color w:val="auto"/>
                <w:spacing w:val="-6"/>
                <w:sz w:val="24"/>
                <w:highlight w:val="none"/>
              </w:rPr>
            </w:pPr>
          </w:p>
        </w:tc>
        <w:tc>
          <w:tcPr>
            <w:tcW w:w="1985" w:type="dxa"/>
            <w:vAlign w:val="center"/>
          </w:tcPr>
          <w:p>
            <w:pPr>
              <w:snapToGrid w:val="0"/>
              <w:jc w:val="center"/>
              <w:rPr>
                <w:rFonts w:ascii="宋体" w:hAnsi="宋体"/>
                <w:color w:val="auto"/>
                <w:spacing w:val="-6"/>
                <w:sz w:val="24"/>
                <w:highlight w:val="none"/>
              </w:rPr>
            </w:pPr>
          </w:p>
        </w:tc>
      </w:tr>
    </w:tbl>
    <w:p>
      <w:pPr>
        <w:spacing w:line="360" w:lineRule="auto"/>
        <w:rPr>
          <w:rFonts w:ascii="宋体" w:hAnsi="宋体"/>
          <w:b/>
          <w:bCs/>
          <w:color w:val="auto"/>
          <w:spacing w:val="-6"/>
          <w:sz w:val="24"/>
          <w:highlight w:val="none"/>
        </w:rPr>
      </w:pP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说明：</w:t>
      </w: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1</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逐项按照磋商文件要求填写响应规格；</w:t>
      </w: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2</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偏离说明是指对磋商文件要求存在不同之处的解释说明。偏离系指：正偏离（高于招标要求）、负偏离（低于招标要求）、无偏离（满足招标要求）；</w:t>
      </w:r>
    </w:p>
    <w:p>
      <w:pPr>
        <w:spacing w:line="360" w:lineRule="auto"/>
        <w:rPr>
          <w:rFonts w:ascii="宋体" w:hAnsi="宋体"/>
          <w:b/>
          <w:color w:val="auto"/>
          <w:spacing w:val="-6"/>
          <w:sz w:val="21"/>
          <w:szCs w:val="21"/>
          <w:highlight w:val="none"/>
        </w:rPr>
      </w:pPr>
      <w:r>
        <w:rPr>
          <w:rFonts w:hint="eastAsia" w:ascii="宋体" w:hAnsi="宋体"/>
          <w:b/>
          <w:bCs/>
          <w:color w:val="auto"/>
          <w:spacing w:val="-6"/>
          <w:sz w:val="21"/>
          <w:szCs w:val="21"/>
          <w:highlight w:val="none"/>
        </w:rPr>
        <w:t>3</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如不填写或未如实填写</w:t>
      </w:r>
      <w:r>
        <w:rPr>
          <w:rFonts w:hint="eastAsia" w:ascii="宋体" w:hAnsi="宋体"/>
          <w:b/>
          <w:color w:val="auto"/>
          <w:spacing w:val="-6"/>
          <w:sz w:val="21"/>
          <w:szCs w:val="21"/>
          <w:highlight w:val="none"/>
        </w:rPr>
        <w:t>，自行承担磋商响应风险。</w:t>
      </w:r>
    </w:p>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日期：  年  月  日</w:t>
      </w:r>
    </w:p>
    <w:p>
      <w:pPr>
        <w:spacing w:line="360" w:lineRule="auto"/>
        <w:jc w:val="center"/>
        <w:outlineLvl w:val="1"/>
        <w:rPr>
          <w:rFonts w:ascii="宋体" w:hAnsi="宋体"/>
          <w:color w:val="auto"/>
          <w:spacing w:val="-6"/>
          <w:sz w:val="24"/>
          <w:highlight w:val="none"/>
        </w:rPr>
      </w:pPr>
      <w:r>
        <w:rPr>
          <w:rFonts w:ascii="宋体" w:hAnsi="宋体"/>
          <w:color w:val="auto"/>
          <w:spacing w:val="-6"/>
          <w:sz w:val="24"/>
          <w:highlight w:val="none"/>
        </w:rPr>
        <w:br w:type="page"/>
      </w:r>
      <w:r>
        <w:rPr>
          <w:rFonts w:hint="eastAsia" w:ascii="宋体" w:hAnsi="宋体"/>
          <w:b/>
          <w:color w:val="auto"/>
          <w:spacing w:val="-6"/>
          <w:sz w:val="24"/>
          <w:highlight w:val="none"/>
        </w:rPr>
        <w:t>标的物配置清单</w:t>
      </w:r>
      <w:r>
        <w:rPr>
          <w:rFonts w:hint="eastAsia" w:ascii="宋体" w:hAnsi="宋体"/>
          <w:color w:val="auto"/>
          <w:spacing w:val="-6"/>
          <w:sz w:val="24"/>
          <w:highlight w:val="none"/>
        </w:rPr>
        <w:t>（不含报价）</w:t>
      </w:r>
    </w:p>
    <w:tbl>
      <w:tblPr>
        <w:tblStyle w:val="21"/>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18"/>
        <w:gridCol w:w="993"/>
        <w:gridCol w:w="993"/>
        <w:gridCol w:w="991"/>
        <w:gridCol w:w="1134"/>
        <w:gridCol w:w="1418"/>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r>
              <w:rPr>
                <w:rFonts w:hint="eastAsia" w:ascii="宋体" w:hAnsi="宋体"/>
                <w:b/>
                <w:color w:val="auto"/>
                <w:sz w:val="24"/>
                <w:highlight w:val="none"/>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r>
              <w:rPr>
                <w:rFonts w:hint="eastAsia" w:ascii="宋体" w:hAnsi="宋体"/>
                <w:b/>
                <w:color w:val="auto"/>
                <w:sz w:val="24"/>
                <w:highlight w:val="none"/>
              </w:rPr>
              <w:t>名称</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r>
              <w:rPr>
                <w:rFonts w:hint="eastAsia" w:ascii="宋体" w:hAnsi="宋体"/>
                <w:b/>
                <w:color w:val="auto"/>
                <w:sz w:val="24"/>
                <w:highlight w:val="none"/>
              </w:rPr>
              <w:t>数量</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r>
              <w:rPr>
                <w:rFonts w:hint="eastAsia" w:ascii="宋体" w:hAnsi="宋体"/>
                <w:b/>
                <w:color w:val="auto"/>
                <w:sz w:val="24"/>
                <w:highlight w:val="none"/>
              </w:rPr>
              <w:t>单位</w:t>
            </w:r>
          </w:p>
        </w:tc>
        <w:tc>
          <w:tcPr>
            <w:tcW w:w="9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r>
              <w:rPr>
                <w:rFonts w:hint="eastAsia" w:ascii="宋体" w:hAnsi="宋体"/>
                <w:b/>
                <w:color w:val="auto"/>
                <w:sz w:val="24"/>
                <w:highlight w:val="none"/>
              </w:rPr>
              <w:t>品牌</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r>
              <w:rPr>
                <w:rFonts w:hint="eastAsia" w:ascii="宋体" w:hAnsi="宋体"/>
                <w:b/>
                <w:color w:val="auto"/>
                <w:sz w:val="24"/>
                <w:highlight w:val="none"/>
              </w:rPr>
              <w:t>型号</w:t>
            </w:r>
          </w:p>
        </w:tc>
        <w:tc>
          <w:tcPr>
            <w:tcW w:w="1418" w:type="dxa"/>
            <w:tcBorders>
              <w:top w:val="single" w:color="auto" w:sz="4" w:space="0"/>
              <w:left w:val="single" w:color="auto" w:sz="4" w:space="0"/>
              <w:bottom w:val="single" w:color="auto" w:sz="4" w:space="0"/>
              <w:right w:val="single" w:color="auto" w:sz="4" w:space="0"/>
            </w:tcBorders>
            <w:vAlign w:val="center"/>
          </w:tcPr>
          <w:p>
            <w:pPr>
              <w:pStyle w:val="56"/>
              <w:widowControl w:val="0"/>
              <w:spacing w:before="0" w:beforeAutospacing="0" w:after="0" w:afterAutospacing="0"/>
              <w:rPr>
                <w:rFonts w:hint="default" w:ascii="宋体" w:eastAsia="宋体"/>
                <w:b/>
                <w:color w:val="auto"/>
                <w:kern w:val="2"/>
                <w:highlight w:val="none"/>
              </w:rPr>
            </w:pPr>
            <w:r>
              <w:rPr>
                <w:rFonts w:ascii="宋体" w:eastAsia="宋体"/>
                <w:b/>
                <w:color w:val="auto"/>
                <w:kern w:val="2"/>
                <w:highlight w:val="none"/>
              </w:rPr>
              <w:t>配置（</w:t>
            </w:r>
            <w:r>
              <w:rPr>
                <w:rFonts w:hint="default" w:ascii="宋体" w:eastAsia="宋体"/>
                <w:b/>
                <w:color w:val="auto"/>
                <w:kern w:val="2"/>
                <w:highlight w:val="none"/>
              </w:rPr>
              <w:t>可另附页）</w:t>
            </w:r>
          </w:p>
        </w:tc>
        <w:tc>
          <w:tcPr>
            <w:tcW w:w="1134" w:type="dxa"/>
            <w:tcBorders>
              <w:top w:val="single" w:color="auto" w:sz="4" w:space="0"/>
              <w:left w:val="single" w:color="auto" w:sz="4" w:space="0"/>
              <w:bottom w:val="single" w:color="auto" w:sz="4" w:space="0"/>
              <w:right w:val="single" w:color="auto" w:sz="4" w:space="0"/>
            </w:tcBorders>
            <w:vAlign w:val="center"/>
          </w:tcPr>
          <w:p>
            <w:pPr>
              <w:pStyle w:val="56"/>
              <w:widowControl w:val="0"/>
              <w:spacing w:before="0" w:beforeAutospacing="0" w:after="0" w:afterAutospacing="0"/>
              <w:rPr>
                <w:rFonts w:hint="default" w:ascii="宋体" w:eastAsia="宋体"/>
                <w:b/>
                <w:color w:val="auto"/>
                <w:kern w:val="2"/>
                <w:highlight w:val="none"/>
              </w:rPr>
            </w:pPr>
            <w:r>
              <w:rPr>
                <w:rFonts w:ascii="宋体" w:eastAsia="宋体"/>
                <w:b/>
                <w:color w:val="auto"/>
                <w:highlight w:val="none"/>
              </w:rPr>
              <w:t>产地</w:t>
            </w:r>
          </w:p>
        </w:tc>
        <w:tc>
          <w:tcPr>
            <w:tcW w:w="850" w:type="dxa"/>
            <w:tcBorders>
              <w:top w:val="single" w:color="auto" w:sz="4" w:space="0"/>
              <w:left w:val="single" w:color="auto" w:sz="4" w:space="0"/>
              <w:bottom w:val="single" w:color="auto" w:sz="4" w:space="0"/>
              <w:right w:val="single" w:color="auto" w:sz="4" w:space="0"/>
            </w:tcBorders>
            <w:vAlign w:val="center"/>
          </w:tcPr>
          <w:p>
            <w:pPr>
              <w:pStyle w:val="56"/>
              <w:widowControl w:val="0"/>
              <w:spacing w:before="0" w:beforeAutospacing="0" w:after="0" w:afterAutospacing="0"/>
              <w:rPr>
                <w:rFonts w:hint="default" w:ascii="宋体" w:eastAsia="宋体"/>
                <w:b/>
                <w:color w:val="auto"/>
                <w:kern w:val="2"/>
                <w:highlight w:val="none"/>
              </w:rPr>
            </w:pPr>
            <w:r>
              <w:rPr>
                <w:rFonts w:ascii="宋体" w:eastAsia="宋体"/>
                <w:b/>
                <w:color w:val="auto"/>
                <w:kern w:val="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56"/>
              <w:widowControl w:val="0"/>
              <w:spacing w:before="0" w:beforeAutospacing="0" w:after="0" w:afterAutospacing="0"/>
              <w:rPr>
                <w:rFonts w:hint="default" w:ascii="宋体" w:eastAsia="宋体"/>
                <w:b/>
                <w:color w:val="auto"/>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56"/>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56"/>
              <w:widowControl w:val="0"/>
              <w:spacing w:before="0" w:beforeAutospacing="0" w:after="0" w:afterAutospacing="0"/>
              <w:rPr>
                <w:rFonts w:hint="default" w:ascii="宋体" w:eastAsia="宋体"/>
                <w:b/>
                <w:color w:val="auto"/>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56"/>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56"/>
              <w:widowControl w:val="0"/>
              <w:spacing w:before="0" w:beforeAutospacing="0" w:after="0" w:afterAutospacing="0"/>
              <w:rPr>
                <w:rFonts w:hint="default" w:ascii="宋体" w:eastAsia="宋体"/>
                <w:b/>
                <w:color w:val="auto"/>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56"/>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56"/>
              <w:widowControl w:val="0"/>
              <w:spacing w:before="0" w:beforeAutospacing="0" w:after="0" w:afterAutospacing="0"/>
              <w:rPr>
                <w:rFonts w:hint="default" w:ascii="宋体" w:eastAsia="宋体"/>
                <w:b/>
                <w:color w:val="auto"/>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56"/>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56"/>
              <w:widowControl w:val="0"/>
              <w:spacing w:before="0" w:beforeAutospacing="0" w:after="0" w:afterAutospacing="0"/>
              <w:rPr>
                <w:rFonts w:hint="default" w:ascii="宋体" w:eastAsia="宋体"/>
                <w:b/>
                <w:color w:val="auto"/>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56"/>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56"/>
              <w:widowControl w:val="0"/>
              <w:spacing w:before="0" w:beforeAutospacing="0" w:after="0" w:afterAutospacing="0"/>
              <w:rPr>
                <w:rFonts w:hint="default" w:ascii="宋体" w:eastAsia="宋体"/>
                <w:b/>
                <w:color w:val="auto"/>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56"/>
              <w:widowControl w:val="0"/>
              <w:spacing w:before="0" w:beforeAutospacing="0" w:after="0" w:afterAutospacing="0"/>
              <w:rPr>
                <w:rFonts w:hint="default" w:ascii="宋体" w:eastAsia="宋体"/>
                <w:b/>
                <w:color w:val="auto"/>
                <w:kern w:val="2"/>
                <w:highlight w:val="none"/>
              </w:rPr>
            </w:pPr>
          </w:p>
        </w:tc>
      </w:tr>
    </w:tbl>
    <w:p>
      <w:pPr>
        <w:snapToGrid w:val="0"/>
        <w:spacing w:before="50" w:after="50"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日期：  年  月  日</w:t>
      </w:r>
    </w:p>
    <w:p>
      <w:pPr>
        <w:spacing w:line="360" w:lineRule="auto"/>
        <w:rPr>
          <w:rFonts w:ascii="宋体" w:hAnsi="宋体"/>
          <w:color w:val="auto"/>
          <w:spacing w:val="-6"/>
          <w:sz w:val="24"/>
          <w:highlight w:val="none"/>
        </w:rPr>
      </w:pPr>
    </w:p>
    <w:p>
      <w:pPr>
        <w:spacing w:line="360" w:lineRule="auto"/>
        <w:jc w:val="center"/>
        <w:rPr>
          <w:rFonts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响应产品技术支持材料</w:t>
      </w:r>
    </w:p>
    <w:p>
      <w:pPr>
        <w:spacing w:line="360" w:lineRule="auto"/>
        <w:jc w:val="center"/>
        <w:rPr>
          <w:rFonts w:ascii="宋体" w:hAnsi="宋体"/>
          <w:b/>
          <w:color w:val="auto"/>
          <w:spacing w:val="-6"/>
          <w:sz w:val="24"/>
          <w:highlight w:val="none"/>
        </w:rPr>
      </w:pP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供应商提供技术支持资料以证明其对技术指标的应答；</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技术支持资料应是制造商公开发布的印刷资料（官网</w:t>
      </w:r>
      <w:r>
        <w:rPr>
          <w:rFonts w:ascii="宋体" w:hAnsi="宋体"/>
          <w:b/>
          <w:color w:val="auto"/>
          <w:spacing w:val="-6"/>
          <w:sz w:val="21"/>
          <w:szCs w:val="21"/>
          <w:highlight w:val="none"/>
        </w:rPr>
        <w:t>资料、</w:t>
      </w:r>
      <w:r>
        <w:rPr>
          <w:rFonts w:hint="eastAsia" w:ascii="宋体" w:hAnsi="宋体"/>
          <w:b/>
          <w:color w:val="auto"/>
          <w:spacing w:val="-6"/>
          <w:sz w:val="21"/>
          <w:szCs w:val="21"/>
          <w:highlight w:val="none"/>
        </w:rPr>
        <w:t>彩页、Datasheet）或由有关政府部门或检测机构合法出具的文件或报告；</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不符合上述要求的资料，可被视为是无效的技术支持资料；</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4</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如上述资料之间存在不一致的，以有关政府部门或检测机构合法出具的文件或报告为准；</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5</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若对技术指标的应答无技术支持资料证明或</w:t>
      </w:r>
      <w:r>
        <w:rPr>
          <w:rFonts w:ascii="宋体" w:hAnsi="宋体"/>
          <w:b/>
          <w:color w:val="auto"/>
          <w:spacing w:val="-6"/>
          <w:sz w:val="21"/>
          <w:szCs w:val="21"/>
          <w:highlight w:val="none"/>
        </w:rPr>
        <w:t>与</w:t>
      </w:r>
      <w:r>
        <w:rPr>
          <w:rFonts w:hint="eastAsia" w:ascii="宋体" w:hAnsi="宋体"/>
          <w:b/>
          <w:color w:val="auto"/>
          <w:spacing w:val="-6"/>
          <w:sz w:val="21"/>
          <w:szCs w:val="21"/>
          <w:highlight w:val="none"/>
        </w:rPr>
        <w:t>技术支持资料不一致</w:t>
      </w:r>
      <w:r>
        <w:rPr>
          <w:rFonts w:ascii="宋体" w:hAnsi="宋体"/>
          <w:b/>
          <w:color w:val="auto"/>
          <w:spacing w:val="-6"/>
          <w:sz w:val="21"/>
          <w:szCs w:val="21"/>
          <w:highlight w:val="none"/>
        </w:rPr>
        <w:t>的</w:t>
      </w:r>
      <w:r>
        <w:rPr>
          <w:rFonts w:hint="eastAsia" w:ascii="宋体" w:hAnsi="宋体"/>
          <w:b/>
          <w:color w:val="auto"/>
          <w:spacing w:val="-6"/>
          <w:sz w:val="21"/>
          <w:szCs w:val="21"/>
          <w:highlight w:val="none"/>
        </w:rPr>
        <w:t>，磋商小组可不予承认，并可认为该应答不符合磋商文件要求，</w:t>
      </w:r>
      <w:r>
        <w:rPr>
          <w:rFonts w:hint="eastAsia" w:ascii="宋体" w:hAnsi="宋体"/>
          <w:b/>
          <w:bCs/>
          <w:color w:val="auto"/>
          <w:spacing w:val="-6"/>
          <w:sz w:val="21"/>
          <w:szCs w:val="21"/>
          <w:highlight w:val="none"/>
        </w:rPr>
        <w:t>将作出不利于供应商的技术评审，其后果将由供应商自行承担</w:t>
      </w:r>
      <w:r>
        <w:rPr>
          <w:rFonts w:hint="eastAsia" w:ascii="宋体" w:hAnsi="宋体"/>
          <w:b/>
          <w:color w:val="auto"/>
          <w:spacing w:val="-6"/>
          <w:sz w:val="21"/>
          <w:szCs w:val="21"/>
          <w:highlight w:val="none"/>
        </w:rPr>
        <w:t>；</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6</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供应商可提供同等于或优于磋商文件要求的设备和服务。</w:t>
      </w:r>
    </w:p>
    <w:p>
      <w:pPr>
        <w:spacing w:line="288" w:lineRule="auto"/>
        <w:jc w:val="left"/>
        <w:rPr>
          <w:rFonts w:ascii="宋体" w:hAnsi="宋体"/>
          <w:b/>
          <w:color w:val="auto"/>
          <w:spacing w:val="-6"/>
          <w:sz w:val="24"/>
          <w:highlight w:val="none"/>
        </w:rPr>
      </w:pPr>
      <w:r>
        <w:rPr>
          <w:rFonts w:ascii="宋体" w:hAnsi="宋体"/>
          <w:b/>
          <w:color w:val="auto"/>
          <w:spacing w:val="-6"/>
          <w:sz w:val="24"/>
          <w:highlight w:val="none"/>
        </w:rPr>
        <w:br w:type="page"/>
      </w:r>
    </w:p>
    <w:p>
      <w:pPr>
        <w:spacing w:line="360" w:lineRule="auto"/>
        <w:jc w:val="center"/>
        <w:rPr>
          <w:rFonts w:ascii="宋体" w:hAnsi="宋体"/>
          <w:b/>
          <w:color w:val="auto"/>
          <w:spacing w:val="-6"/>
          <w:sz w:val="24"/>
          <w:highlight w:val="none"/>
        </w:rPr>
      </w:pPr>
      <w:r>
        <w:rPr>
          <w:rFonts w:hint="eastAsia" w:ascii="宋体" w:hAnsi="宋体"/>
          <w:b/>
          <w:color w:val="auto"/>
          <w:spacing w:val="-6"/>
          <w:sz w:val="24"/>
          <w:highlight w:val="none"/>
        </w:rPr>
        <w:t>以下内容格式自拟</w:t>
      </w:r>
    </w:p>
    <w:p>
      <w:pPr>
        <w:spacing w:line="360" w:lineRule="auto"/>
        <w:jc w:val="left"/>
        <w:rPr>
          <w:rFonts w:ascii="宋体" w:hAnsi="宋体"/>
          <w:b/>
          <w:color w:val="auto"/>
          <w:spacing w:val="-6"/>
          <w:sz w:val="24"/>
          <w:highlight w:val="none"/>
        </w:rPr>
      </w:pPr>
    </w:p>
    <w:p>
      <w:pPr>
        <w:spacing w:line="360" w:lineRule="auto"/>
        <w:jc w:val="left"/>
        <w:rPr>
          <w:rFonts w:ascii="宋体" w:hAnsi="宋体"/>
          <w:b/>
          <w:color w:val="auto"/>
          <w:spacing w:val="-6"/>
          <w:sz w:val="24"/>
          <w:highlight w:val="none"/>
        </w:rPr>
      </w:pPr>
      <w:r>
        <w:rPr>
          <w:rFonts w:hint="eastAsia" w:ascii="宋体" w:hAnsi="宋体"/>
          <w:b/>
          <w:color w:val="auto"/>
          <w:spacing w:val="-6"/>
          <w:sz w:val="24"/>
          <w:highlight w:val="none"/>
        </w:rPr>
        <w:t>整体方案</w:t>
      </w:r>
    </w:p>
    <w:p>
      <w:pPr>
        <w:spacing w:line="360" w:lineRule="auto"/>
        <w:jc w:val="left"/>
        <w:rPr>
          <w:rFonts w:ascii="宋体" w:hAnsi="宋体"/>
          <w:b/>
          <w:color w:val="auto"/>
          <w:spacing w:val="-6"/>
          <w:sz w:val="24"/>
          <w:highlight w:val="none"/>
        </w:rPr>
      </w:pPr>
    </w:p>
    <w:p>
      <w:pPr>
        <w:spacing w:line="360" w:lineRule="auto"/>
        <w:jc w:val="left"/>
        <w:rPr>
          <w:rFonts w:ascii="宋体" w:hAnsi="宋体"/>
          <w:b/>
          <w:color w:val="auto"/>
          <w:spacing w:val="-6"/>
          <w:sz w:val="24"/>
          <w:highlight w:val="none"/>
        </w:rPr>
      </w:pPr>
      <w:r>
        <w:rPr>
          <w:rFonts w:hint="eastAsia" w:ascii="宋体" w:hAnsi="宋体"/>
          <w:b/>
          <w:color w:val="auto"/>
          <w:spacing w:val="-6"/>
          <w:sz w:val="24"/>
          <w:highlight w:val="none"/>
        </w:rPr>
        <w:t>实施方案</w:t>
      </w:r>
    </w:p>
    <w:p>
      <w:pPr>
        <w:spacing w:line="360" w:lineRule="auto"/>
        <w:jc w:val="left"/>
        <w:rPr>
          <w:rFonts w:ascii="宋体" w:hAnsi="宋体"/>
          <w:b/>
          <w:color w:val="auto"/>
          <w:spacing w:val="-6"/>
          <w:sz w:val="24"/>
          <w:highlight w:val="none"/>
        </w:rPr>
      </w:pPr>
    </w:p>
    <w:p>
      <w:pPr>
        <w:spacing w:line="360" w:lineRule="auto"/>
        <w:jc w:val="left"/>
        <w:rPr>
          <w:rFonts w:ascii="宋体" w:hAnsi="宋体"/>
          <w:b/>
          <w:color w:val="auto"/>
          <w:spacing w:val="-6"/>
          <w:sz w:val="24"/>
          <w:highlight w:val="none"/>
        </w:rPr>
      </w:pPr>
      <w:r>
        <w:rPr>
          <w:rFonts w:hint="eastAsia" w:ascii="宋体" w:hAnsi="宋体"/>
          <w:b/>
          <w:color w:val="auto"/>
          <w:spacing w:val="-6"/>
          <w:sz w:val="24"/>
          <w:highlight w:val="none"/>
        </w:rPr>
        <w:t>项目实施人员</w:t>
      </w:r>
    </w:p>
    <w:p>
      <w:pPr>
        <w:spacing w:line="360" w:lineRule="auto"/>
        <w:jc w:val="left"/>
        <w:rPr>
          <w:rFonts w:ascii="宋体" w:hAnsi="宋体"/>
          <w:b/>
          <w:color w:val="auto"/>
          <w:spacing w:val="-6"/>
          <w:sz w:val="24"/>
          <w:highlight w:val="none"/>
        </w:rPr>
      </w:pPr>
    </w:p>
    <w:p>
      <w:pPr>
        <w:spacing w:line="360" w:lineRule="auto"/>
        <w:jc w:val="left"/>
        <w:rPr>
          <w:rFonts w:ascii="宋体" w:hAnsi="宋体"/>
          <w:b/>
          <w:color w:val="auto"/>
          <w:spacing w:val="-6"/>
          <w:sz w:val="24"/>
          <w:highlight w:val="none"/>
        </w:rPr>
      </w:pPr>
      <w:r>
        <w:rPr>
          <w:rFonts w:hint="eastAsia" w:ascii="宋体" w:hAnsi="宋体"/>
          <w:b/>
          <w:color w:val="auto"/>
          <w:spacing w:val="-6"/>
          <w:sz w:val="24"/>
          <w:highlight w:val="none"/>
        </w:rPr>
        <w:t>培训服务</w:t>
      </w:r>
    </w:p>
    <w:p>
      <w:pPr>
        <w:spacing w:line="360" w:lineRule="auto"/>
        <w:jc w:val="left"/>
        <w:rPr>
          <w:rFonts w:ascii="宋体" w:hAnsi="宋体"/>
          <w:b/>
          <w:color w:val="auto"/>
          <w:spacing w:val="-6"/>
          <w:sz w:val="24"/>
          <w:highlight w:val="none"/>
        </w:rPr>
      </w:pPr>
    </w:p>
    <w:p>
      <w:pPr>
        <w:spacing w:line="360" w:lineRule="auto"/>
        <w:jc w:val="left"/>
        <w:rPr>
          <w:rFonts w:ascii="宋体" w:hAnsi="宋体"/>
          <w:b/>
          <w:color w:val="auto"/>
          <w:spacing w:val="-6"/>
          <w:sz w:val="24"/>
          <w:highlight w:val="none"/>
        </w:rPr>
      </w:pPr>
      <w:r>
        <w:rPr>
          <w:rFonts w:hint="eastAsia" w:ascii="宋体" w:hAnsi="宋体"/>
          <w:b/>
          <w:color w:val="auto"/>
          <w:spacing w:val="-6"/>
          <w:sz w:val="24"/>
          <w:highlight w:val="none"/>
        </w:rPr>
        <w:t>售后服务</w:t>
      </w:r>
    </w:p>
    <w:p>
      <w:pPr>
        <w:spacing w:line="360" w:lineRule="auto"/>
        <w:jc w:val="left"/>
        <w:rPr>
          <w:rFonts w:ascii="宋体" w:hAnsi="宋体"/>
          <w:b/>
          <w:color w:val="auto"/>
          <w:spacing w:val="-6"/>
          <w:sz w:val="24"/>
          <w:highlight w:val="none"/>
        </w:rPr>
      </w:pPr>
    </w:p>
    <w:p>
      <w:pPr>
        <w:spacing w:line="360" w:lineRule="auto"/>
        <w:jc w:val="left"/>
        <w:rPr>
          <w:rFonts w:ascii="宋体" w:hAnsi="宋体"/>
          <w:b/>
          <w:color w:val="auto"/>
          <w:spacing w:val="-6"/>
          <w:sz w:val="24"/>
          <w:highlight w:val="none"/>
        </w:rPr>
      </w:pPr>
      <w:r>
        <w:rPr>
          <w:rFonts w:hint="eastAsia" w:ascii="宋体" w:hAnsi="宋体"/>
          <w:b/>
          <w:color w:val="auto"/>
          <w:spacing w:val="-6"/>
          <w:sz w:val="24"/>
          <w:highlight w:val="none"/>
        </w:rPr>
        <w:t>本地化服务</w:t>
      </w:r>
    </w:p>
    <w:sectPr>
      <w:footerReference r:id="rId5" w:type="default"/>
      <w:pgSz w:w="11906" w:h="16838"/>
      <w:pgMar w:top="1247" w:right="1247" w:bottom="1247" w:left="1247" w:header="0" w:footer="78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Helvetica Neue Light">
    <w:altName w:val="Courier New"/>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0000012" w:usb3="00000000" w:csb0="0002000D"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32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szCs w:val="21"/>
      </w:rPr>
      <w:fldChar w:fldCharType="begin"/>
    </w:r>
    <w:r>
      <w:rPr>
        <w:sz w:val="21"/>
        <w:szCs w:val="21"/>
      </w:rPr>
      <w:instrText xml:space="preserve"> PAGE </w:instrText>
    </w:r>
    <w:r>
      <w:rPr>
        <w:sz w:val="21"/>
        <w:szCs w:val="21"/>
      </w:rPr>
      <w:fldChar w:fldCharType="separate"/>
    </w:r>
    <w:r>
      <w:rPr>
        <w:sz w:val="21"/>
        <w:szCs w:val="21"/>
      </w:rPr>
      <w:t>9</w:t>
    </w:r>
    <w:r>
      <w:rPr>
        <w:sz w:val="21"/>
        <w:szCs w:val="21"/>
      </w:rPr>
      <w:fldChar w:fldCharType="end"/>
    </w:r>
    <w:r>
      <w:rPr>
        <w:sz w:val="21"/>
        <w:szCs w:val="21"/>
        <w:lang w:val="zh-CN"/>
      </w:rPr>
      <w:t xml:space="preserve"> / </w:t>
    </w:r>
    <w:r>
      <w:rPr>
        <w:sz w:val="21"/>
        <w:szCs w:val="21"/>
      </w:rPr>
      <w:fldChar w:fldCharType="begin"/>
    </w:r>
    <w:r>
      <w:rPr>
        <w:sz w:val="21"/>
        <w:szCs w:val="21"/>
      </w:rPr>
      <w:instrText xml:space="preserve"> NUMPAGES  </w:instrText>
    </w:r>
    <w:r>
      <w:rPr>
        <w:sz w:val="21"/>
        <w:szCs w:val="21"/>
      </w:rPr>
      <w:fldChar w:fldCharType="separate"/>
    </w:r>
    <w:r>
      <w:rPr>
        <w:sz w:val="21"/>
        <w:szCs w:val="21"/>
      </w:rPr>
      <w:t>54</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inline distT="0" distB="0" distL="0" distR="0">
          <wp:extent cx="5905500" cy="676275"/>
          <wp:effectExtent l="19050" t="0" r="0" b="0"/>
          <wp:docPr id="1" name="图片 1" descr="页眉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页眉620"/>
                  <pic:cNvPicPr>
                    <a:picLocks noChangeAspect="1" noChangeArrowheads="1"/>
                  </pic:cNvPicPr>
                </pic:nvPicPr>
                <pic:blipFill>
                  <a:blip r:embed="rId1"/>
                  <a:srcRect/>
                  <a:stretch>
                    <a:fillRect/>
                  </a:stretch>
                </pic:blipFill>
                <pic:spPr>
                  <a:xfrm>
                    <a:off x="0" y="0"/>
                    <a:ext cx="5905500" cy="676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4"/>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256"/>
    <w:rsid w:val="0000392F"/>
    <w:rsid w:val="0000407F"/>
    <w:rsid w:val="00011460"/>
    <w:rsid w:val="000114CE"/>
    <w:rsid w:val="00012EBC"/>
    <w:rsid w:val="0001334A"/>
    <w:rsid w:val="000145B8"/>
    <w:rsid w:val="00014602"/>
    <w:rsid w:val="0001520A"/>
    <w:rsid w:val="000153ED"/>
    <w:rsid w:val="00015891"/>
    <w:rsid w:val="000169AF"/>
    <w:rsid w:val="000169F9"/>
    <w:rsid w:val="00017BEE"/>
    <w:rsid w:val="00021187"/>
    <w:rsid w:val="00021D4E"/>
    <w:rsid w:val="00024130"/>
    <w:rsid w:val="00025067"/>
    <w:rsid w:val="00026EE5"/>
    <w:rsid w:val="00027A3C"/>
    <w:rsid w:val="00030DB5"/>
    <w:rsid w:val="000310FE"/>
    <w:rsid w:val="00031E2B"/>
    <w:rsid w:val="00032047"/>
    <w:rsid w:val="00032280"/>
    <w:rsid w:val="000325E1"/>
    <w:rsid w:val="000362B2"/>
    <w:rsid w:val="00036996"/>
    <w:rsid w:val="0003700E"/>
    <w:rsid w:val="00037598"/>
    <w:rsid w:val="0003797E"/>
    <w:rsid w:val="00040041"/>
    <w:rsid w:val="00041D0F"/>
    <w:rsid w:val="0004239D"/>
    <w:rsid w:val="00043E78"/>
    <w:rsid w:val="000459B5"/>
    <w:rsid w:val="00045C96"/>
    <w:rsid w:val="00045EE2"/>
    <w:rsid w:val="000475A7"/>
    <w:rsid w:val="00047DF2"/>
    <w:rsid w:val="0005166C"/>
    <w:rsid w:val="00051736"/>
    <w:rsid w:val="00052C43"/>
    <w:rsid w:val="000530F5"/>
    <w:rsid w:val="00053AD2"/>
    <w:rsid w:val="000558AF"/>
    <w:rsid w:val="000572E5"/>
    <w:rsid w:val="00057B3C"/>
    <w:rsid w:val="00057C6A"/>
    <w:rsid w:val="0006044C"/>
    <w:rsid w:val="00061307"/>
    <w:rsid w:val="00061500"/>
    <w:rsid w:val="00061C96"/>
    <w:rsid w:val="00062C77"/>
    <w:rsid w:val="00062D03"/>
    <w:rsid w:val="000645A8"/>
    <w:rsid w:val="00064E6B"/>
    <w:rsid w:val="00064F1A"/>
    <w:rsid w:val="00065362"/>
    <w:rsid w:val="00066072"/>
    <w:rsid w:val="0006785D"/>
    <w:rsid w:val="00067B67"/>
    <w:rsid w:val="00071C2A"/>
    <w:rsid w:val="00072425"/>
    <w:rsid w:val="00073FF7"/>
    <w:rsid w:val="00074D7B"/>
    <w:rsid w:val="00076570"/>
    <w:rsid w:val="00077067"/>
    <w:rsid w:val="00077A9F"/>
    <w:rsid w:val="000804A7"/>
    <w:rsid w:val="00080A03"/>
    <w:rsid w:val="00082259"/>
    <w:rsid w:val="00082F7C"/>
    <w:rsid w:val="00084D5F"/>
    <w:rsid w:val="00085EC0"/>
    <w:rsid w:val="000904F8"/>
    <w:rsid w:val="00090F34"/>
    <w:rsid w:val="00091E28"/>
    <w:rsid w:val="00093340"/>
    <w:rsid w:val="00093A4B"/>
    <w:rsid w:val="00093FB0"/>
    <w:rsid w:val="000941F1"/>
    <w:rsid w:val="00094C73"/>
    <w:rsid w:val="000957CD"/>
    <w:rsid w:val="00095E66"/>
    <w:rsid w:val="00096127"/>
    <w:rsid w:val="000965C7"/>
    <w:rsid w:val="00096CEF"/>
    <w:rsid w:val="00097C05"/>
    <w:rsid w:val="00097FA1"/>
    <w:rsid w:val="000A2678"/>
    <w:rsid w:val="000A28E5"/>
    <w:rsid w:val="000A3119"/>
    <w:rsid w:val="000A584B"/>
    <w:rsid w:val="000A7CFC"/>
    <w:rsid w:val="000B08AC"/>
    <w:rsid w:val="000B0CF9"/>
    <w:rsid w:val="000B1842"/>
    <w:rsid w:val="000B2628"/>
    <w:rsid w:val="000B3E1B"/>
    <w:rsid w:val="000B4CA7"/>
    <w:rsid w:val="000B504A"/>
    <w:rsid w:val="000B55D0"/>
    <w:rsid w:val="000B575E"/>
    <w:rsid w:val="000B5C73"/>
    <w:rsid w:val="000B6C54"/>
    <w:rsid w:val="000B78AE"/>
    <w:rsid w:val="000B7B69"/>
    <w:rsid w:val="000C08EB"/>
    <w:rsid w:val="000C2327"/>
    <w:rsid w:val="000C3345"/>
    <w:rsid w:val="000C3741"/>
    <w:rsid w:val="000C3CA7"/>
    <w:rsid w:val="000C41D6"/>
    <w:rsid w:val="000C460F"/>
    <w:rsid w:val="000C47A9"/>
    <w:rsid w:val="000C4883"/>
    <w:rsid w:val="000C5831"/>
    <w:rsid w:val="000C5C75"/>
    <w:rsid w:val="000C60CB"/>
    <w:rsid w:val="000C6B0D"/>
    <w:rsid w:val="000C6D59"/>
    <w:rsid w:val="000C73FF"/>
    <w:rsid w:val="000D03C9"/>
    <w:rsid w:val="000D0723"/>
    <w:rsid w:val="000D25B1"/>
    <w:rsid w:val="000D3763"/>
    <w:rsid w:val="000D46E8"/>
    <w:rsid w:val="000D4C7F"/>
    <w:rsid w:val="000D519D"/>
    <w:rsid w:val="000D6C0F"/>
    <w:rsid w:val="000D79F9"/>
    <w:rsid w:val="000E01C6"/>
    <w:rsid w:val="000E0978"/>
    <w:rsid w:val="000E0C88"/>
    <w:rsid w:val="000E105F"/>
    <w:rsid w:val="000E1629"/>
    <w:rsid w:val="000E1E54"/>
    <w:rsid w:val="000E1EE9"/>
    <w:rsid w:val="000E1F26"/>
    <w:rsid w:val="000E25FD"/>
    <w:rsid w:val="000E27D1"/>
    <w:rsid w:val="000E3A24"/>
    <w:rsid w:val="000E6588"/>
    <w:rsid w:val="000F09AF"/>
    <w:rsid w:val="000F0D64"/>
    <w:rsid w:val="000F21C3"/>
    <w:rsid w:val="000F2AAD"/>
    <w:rsid w:val="000F31CF"/>
    <w:rsid w:val="000F43E3"/>
    <w:rsid w:val="000F4472"/>
    <w:rsid w:val="000F45FF"/>
    <w:rsid w:val="000F47CE"/>
    <w:rsid w:val="000F55B7"/>
    <w:rsid w:val="000F5BBD"/>
    <w:rsid w:val="000F623A"/>
    <w:rsid w:val="000F665A"/>
    <w:rsid w:val="000F7089"/>
    <w:rsid w:val="0010098C"/>
    <w:rsid w:val="00100E4C"/>
    <w:rsid w:val="00101341"/>
    <w:rsid w:val="00102403"/>
    <w:rsid w:val="00102D01"/>
    <w:rsid w:val="00104760"/>
    <w:rsid w:val="00105F12"/>
    <w:rsid w:val="00106134"/>
    <w:rsid w:val="001065B0"/>
    <w:rsid w:val="00106973"/>
    <w:rsid w:val="00106EF6"/>
    <w:rsid w:val="00110547"/>
    <w:rsid w:val="00110AE7"/>
    <w:rsid w:val="00111B51"/>
    <w:rsid w:val="00112093"/>
    <w:rsid w:val="00112A94"/>
    <w:rsid w:val="001144F7"/>
    <w:rsid w:val="00114BEF"/>
    <w:rsid w:val="00116AC0"/>
    <w:rsid w:val="00117084"/>
    <w:rsid w:val="001178FF"/>
    <w:rsid w:val="0012048B"/>
    <w:rsid w:val="00121040"/>
    <w:rsid w:val="00121153"/>
    <w:rsid w:val="0012178A"/>
    <w:rsid w:val="00124DE1"/>
    <w:rsid w:val="00125768"/>
    <w:rsid w:val="00126C29"/>
    <w:rsid w:val="00130627"/>
    <w:rsid w:val="00130CAF"/>
    <w:rsid w:val="00130ED6"/>
    <w:rsid w:val="00131252"/>
    <w:rsid w:val="00131A09"/>
    <w:rsid w:val="0013247C"/>
    <w:rsid w:val="00132A2E"/>
    <w:rsid w:val="001330A8"/>
    <w:rsid w:val="001350A2"/>
    <w:rsid w:val="00136919"/>
    <w:rsid w:val="00136C4A"/>
    <w:rsid w:val="0013796A"/>
    <w:rsid w:val="001411DB"/>
    <w:rsid w:val="00142B06"/>
    <w:rsid w:val="0014310B"/>
    <w:rsid w:val="00143148"/>
    <w:rsid w:val="0014555E"/>
    <w:rsid w:val="00146B7D"/>
    <w:rsid w:val="001475CB"/>
    <w:rsid w:val="001478E0"/>
    <w:rsid w:val="001502BC"/>
    <w:rsid w:val="00150D1E"/>
    <w:rsid w:val="00150EBF"/>
    <w:rsid w:val="00150EE4"/>
    <w:rsid w:val="00151C82"/>
    <w:rsid w:val="00152D27"/>
    <w:rsid w:val="00153628"/>
    <w:rsid w:val="00155AFA"/>
    <w:rsid w:val="00155BC8"/>
    <w:rsid w:val="00155DAF"/>
    <w:rsid w:val="001566F2"/>
    <w:rsid w:val="001572A5"/>
    <w:rsid w:val="00157BA2"/>
    <w:rsid w:val="00160B84"/>
    <w:rsid w:val="001613DD"/>
    <w:rsid w:val="00163EB2"/>
    <w:rsid w:val="00164383"/>
    <w:rsid w:val="0016466F"/>
    <w:rsid w:val="00164AA0"/>
    <w:rsid w:val="00164DDA"/>
    <w:rsid w:val="001656CC"/>
    <w:rsid w:val="0016712C"/>
    <w:rsid w:val="00167538"/>
    <w:rsid w:val="00167CCA"/>
    <w:rsid w:val="00170101"/>
    <w:rsid w:val="00170703"/>
    <w:rsid w:val="00170DDC"/>
    <w:rsid w:val="001712CC"/>
    <w:rsid w:val="00171AF6"/>
    <w:rsid w:val="001722F1"/>
    <w:rsid w:val="00172615"/>
    <w:rsid w:val="00172A27"/>
    <w:rsid w:val="001735C7"/>
    <w:rsid w:val="001763B3"/>
    <w:rsid w:val="00176D03"/>
    <w:rsid w:val="00177FB3"/>
    <w:rsid w:val="00181A44"/>
    <w:rsid w:val="00182D78"/>
    <w:rsid w:val="00183235"/>
    <w:rsid w:val="0018377D"/>
    <w:rsid w:val="00183AEF"/>
    <w:rsid w:val="00184D3D"/>
    <w:rsid w:val="00184E31"/>
    <w:rsid w:val="00190C4E"/>
    <w:rsid w:val="00190DBC"/>
    <w:rsid w:val="00191584"/>
    <w:rsid w:val="00193798"/>
    <w:rsid w:val="00193CB3"/>
    <w:rsid w:val="00195094"/>
    <w:rsid w:val="00195167"/>
    <w:rsid w:val="00195A86"/>
    <w:rsid w:val="001965A7"/>
    <w:rsid w:val="001969F2"/>
    <w:rsid w:val="00197580"/>
    <w:rsid w:val="001A16C8"/>
    <w:rsid w:val="001A1D09"/>
    <w:rsid w:val="001A25C8"/>
    <w:rsid w:val="001A4D48"/>
    <w:rsid w:val="001A5A88"/>
    <w:rsid w:val="001A5DA8"/>
    <w:rsid w:val="001A6AB8"/>
    <w:rsid w:val="001B045F"/>
    <w:rsid w:val="001B0E53"/>
    <w:rsid w:val="001B0ED0"/>
    <w:rsid w:val="001B20DE"/>
    <w:rsid w:val="001B3E88"/>
    <w:rsid w:val="001B5FB1"/>
    <w:rsid w:val="001B6F07"/>
    <w:rsid w:val="001B7804"/>
    <w:rsid w:val="001C11F4"/>
    <w:rsid w:val="001C18CF"/>
    <w:rsid w:val="001C4908"/>
    <w:rsid w:val="001C4959"/>
    <w:rsid w:val="001C5AEF"/>
    <w:rsid w:val="001C787A"/>
    <w:rsid w:val="001D0F0B"/>
    <w:rsid w:val="001D2BC7"/>
    <w:rsid w:val="001D37E3"/>
    <w:rsid w:val="001D4791"/>
    <w:rsid w:val="001D4A34"/>
    <w:rsid w:val="001D584D"/>
    <w:rsid w:val="001E1578"/>
    <w:rsid w:val="001E1686"/>
    <w:rsid w:val="001E1703"/>
    <w:rsid w:val="001E2199"/>
    <w:rsid w:val="001E2316"/>
    <w:rsid w:val="001E27B1"/>
    <w:rsid w:val="001E2B4D"/>
    <w:rsid w:val="001E309E"/>
    <w:rsid w:val="001E3A76"/>
    <w:rsid w:val="001E4FB8"/>
    <w:rsid w:val="001E57A3"/>
    <w:rsid w:val="001E6A29"/>
    <w:rsid w:val="001E7C22"/>
    <w:rsid w:val="001F01E8"/>
    <w:rsid w:val="001F21F0"/>
    <w:rsid w:val="001F2717"/>
    <w:rsid w:val="001F3F3F"/>
    <w:rsid w:val="001F464D"/>
    <w:rsid w:val="001F477A"/>
    <w:rsid w:val="001F5FE3"/>
    <w:rsid w:val="001F6162"/>
    <w:rsid w:val="001F631F"/>
    <w:rsid w:val="001F6DFD"/>
    <w:rsid w:val="001F7D64"/>
    <w:rsid w:val="00201740"/>
    <w:rsid w:val="00202AFC"/>
    <w:rsid w:val="002032D2"/>
    <w:rsid w:val="00203DAA"/>
    <w:rsid w:val="00204379"/>
    <w:rsid w:val="002048D6"/>
    <w:rsid w:val="00205352"/>
    <w:rsid w:val="002053B5"/>
    <w:rsid w:val="002057B9"/>
    <w:rsid w:val="00206B67"/>
    <w:rsid w:val="00206C9F"/>
    <w:rsid w:val="002102BE"/>
    <w:rsid w:val="00210B1B"/>
    <w:rsid w:val="00210BCF"/>
    <w:rsid w:val="00210DE3"/>
    <w:rsid w:val="00212052"/>
    <w:rsid w:val="002126B6"/>
    <w:rsid w:val="002143CB"/>
    <w:rsid w:val="00214FEB"/>
    <w:rsid w:val="00215C0E"/>
    <w:rsid w:val="00216BB7"/>
    <w:rsid w:val="00216E5F"/>
    <w:rsid w:val="00217173"/>
    <w:rsid w:val="00217E78"/>
    <w:rsid w:val="00220CFB"/>
    <w:rsid w:val="00220D2D"/>
    <w:rsid w:val="0022121A"/>
    <w:rsid w:val="002225F6"/>
    <w:rsid w:val="00223964"/>
    <w:rsid w:val="002242FA"/>
    <w:rsid w:val="00225014"/>
    <w:rsid w:val="00225666"/>
    <w:rsid w:val="00226B5C"/>
    <w:rsid w:val="00227BFF"/>
    <w:rsid w:val="002302BE"/>
    <w:rsid w:val="00230467"/>
    <w:rsid w:val="00230BB3"/>
    <w:rsid w:val="00230C06"/>
    <w:rsid w:val="00231503"/>
    <w:rsid w:val="002315A6"/>
    <w:rsid w:val="0023373E"/>
    <w:rsid w:val="0023377A"/>
    <w:rsid w:val="0023476A"/>
    <w:rsid w:val="002347A8"/>
    <w:rsid w:val="00235211"/>
    <w:rsid w:val="00237186"/>
    <w:rsid w:val="00237361"/>
    <w:rsid w:val="002378EC"/>
    <w:rsid w:val="00237EE5"/>
    <w:rsid w:val="00240C9B"/>
    <w:rsid w:val="00242080"/>
    <w:rsid w:val="00242148"/>
    <w:rsid w:val="00242235"/>
    <w:rsid w:val="00242E6A"/>
    <w:rsid w:val="00243E14"/>
    <w:rsid w:val="00246231"/>
    <w:rsid w:val="0024679B"/>
    <w:rsid w:val="00247211"/>
    <w:rsid w:val="00250C0D"/>
    <w:rsid w:val="00251533"/>
    <w:rsid w:val="0025247A"/>
    <w:rsid w:val="00253721"/>
    <w:rsid w:val="0025435A"/>
    <w:rsid w:val="002547BE"/>
    <w:rsid w:val="002548B0"/>
    <w:rsid w:val="00255253"/>
    <w:rsid w:val="00255E2A"/>
    <w:rsid w:val="002562F5"/>
    <w:rsid w:val="00256681"/>
    <w:rsid w:val="002578AA"/>
    <w:rsid w:val="0026011F"/>
    <w:rsid w:val="00261101"/>
    <w:rsid w:val="00261402"/>
    <w:rsid w:val="002618AC"/>
    <w:rsid w:val="00261F96"/>
    <w:rsid w:val="00265DA1"/>
    <w:rsid w:val="00266AA8"/>
    <w:rsid w:val="00270464"/>
    <w:rsid w:val="002709F6"/>
    <w:rsid w:val="0027204E"/>
    <w:rsid w:val="00274A62"/>
    <w:rsid w:val="0027604A"/>
    <w:rsid w:val="0027669D"/>
    <w:rsid w:val="00277580"/>
    <w:rsid w:val="00280971"/>
    <w:rsid w:val="00280D4F"/>
    <w:rsid w:val="0028261A"/>
    <w:rsid w:val="00282FB2"/>
    <w:rsid w:val="00283516"/>
    <w:rsid w:val="0028576A"/>
    <w:rsid w:val="00291E79"/>
    <w:rsid w:val="00292964"/>
    <w:rsid w:val="00294556"/>
    <w:rsid w:val="0029652F"/>
    <w:rsid w:val="002968CF"/>
    <w:rsid w:val="00296EF4"/>
    <w:rsid w:val="002972C0"/>
    <w:rsid w:val="002A0C1E"/>
    <w:rsid w:val="002A127B"/>
    <w:rsid w:val="002A14AF"/>
    <w:rsid w:val="002A3506"/>
    <w:rsid w:val="002A3CBC"/>
    <w:rsid w:val="002A3E8A"/>
    <w:rsid w:val="002A49A6"/>
    <w:rsid w:val="002A5CCC"/>
    <w:rsid w:val="002A6C7B"/>
    <w:rsid w:val="002B11C3"/>
    <w:rsid w:val="002B1A46"/>
    <w:rsid w:val="002B2768"/>
    <w:rsid w:val="002B2B72"/>
    <w:rsid w:val="002B3E2B"/>
    <w:rsid w:val="002B4E83"/>
    <w:rsid w:val="002B5DAB"/>
    <w:rsid w:val="002B6BA6"/>
    <w:rsid w:val="002B6F01"/>
    <w:rsid w:val="002C076E"/>
    <w:rsid w:val="002C1460"/>
    <w:rsid w:val="002C1912"/>
    <w:rsid w:val="002C1B38"/>
    <w:rsid w:val="002C2627"/>
    <w:rsid w:val="002C33CA"/>
    <w:rsid w:val="002C3EAE"/>
    <w:rsid w:val="002C40FF"/>
    <w:rsid w:val="002C44E9"/>
    <w:rsid w:val="002C477A"/>
    <w:rsid w:val="002C5CB1"/>
    <w:rsid w:val="002C5E13"/>
    <w:rsid w:val="002C5EBF"/>
    <w:rsid w:val="002C75A5"/>
    <w:rsid w:val="002D10B5"/>
    <w:rsid w:val="002D1786"/>
    <w:rsid w:val="002D3048"/>
    <w:rsid w:val="002D382A"/>
    <w:rsid w:val="002D3F02"/>
    <w:rsid w:val="002D47F3"/>
    <w:rsid w:val="002D5589"/>
    <w:rsid w:val="002D5FFD"/>
    <w:rsid w:val="002D69B5"/>
    <w:rsid w:val="002D7BD0"/>
    <w:rsid w:val="002E07ED"/>
    <w:rsid w:val="002E3EBA"/>
    <w:rsid w:val="002E40AE"/>
    <w:rsid w:val="002E4C92"/>
    <w:rsid w:val="002E4FDC"/>
    <w:rsid w:val="002E549E"/>
    <w:rsid w:val="002E5791"/>
    <w:rsid w:val="002E6079"/>
    <w:rsid w:val="002E64B2"/>
    <w:rsid w:val="002E68EC"/>
    <w:rsid w:val="002F0664"/>
    <w:rsid w:val="002F0F07"/>
    <w:rsid w:val="002F6346"/>
    <w:rsid w:val="002F670D"/>
    <w:rsid w:val="002F6F89"/>
    <w:rsid w:val="00300CA3"/>
    <w:rsid w:val="00300ED1"/>
    <w:rsid w:val="003016B5"/>
    <w:rsid w:val="00302500"/>
    <w:rsid w:val="00304728"/>
    <w:rsid w:val="003047BC"/>
    <w:rsid w:val="00304A05"/>
    <w:rsid w:val="00304EE6"/>
    <w:rsid w:val="003052FD"/>
    <w:rsid w:val="00305807"/>
    <w:rsid w:val="00306DD9"/>
    <w:rsid w:val="0031267B"/>
    <w:rsid w:val="00313747"/>
    <w:rsid w:val="003140F3"/>
    <w:rsid w:val="003153E3"/>
    <w:rsid w:val="00316590"/>
    <w:rsid w:val="00316B96"/>
    <w:rsid w:val="003210E3"/>
    <w:rsid w:val="00322663"/>
    <w:rsid w:val="003232C0"/>
    <w:rsid w:val="003232CD"/>
    <w:rsid w:val="00324345"/>
    <w:rsid w:val="00325EA2"/>
    <w:rsid w:val="003264E3"/>
    <w:rsid w:val="00326C09"/>
    <w:rsid w:val="00326DBE"/>
    <w:rsid w:val="00327DE6"/>
    <w:rsid w:val="00330A9F"/>
    <w:rsid w:val="00331BE2"/>
    <w:rsid w:val="00331BE9"/>
    <w:rsid w:val="0033444D"/>
    <w:rsid w:val="00335F05"/>
    <w:rsid w:val="003369C9"/>
    <w:rsid w:val="00336C64"/>
    <w:rsid w:val="00340383"/>
    <w:rsid w:val="00341716"/>
    <w:rsid w:val="003418FF"/>
    <w:rsid w:val="00341F46"/>
    <w:rsid w:val="00342D1B"/>
    <w:rsid w:val="00343CEA"/>
    <w:rsid w:val="003442F4"/>
    <w:rsid w:val="003449A1"/>
    <w:rsid w:val="00347BE6"/>
    <w:rsid w:val="00350356"/>
    <w:rsid w:val="003504FE"/>
    <w:rsid w:val="003508D0"/>
    <w:rsid w:val="00350E13"/>
    <w:rsid w:val="00352463"/>
    <w:rsid w:val="00352D75"/>
    <w:rsid w:val="00353427"/>
    <w:rsid w:val="00354ADC"/>
    <w:rsid w:val="00354EF9"/>
    <w:rsid w:val="00354F38"/>
    <w:rsid w:val="00356CF5"/>
    <w:rsid w:val="00357217"/>
    <w:rsid w:val="003604DE"/>
    <w:rsid w:val="0036319C"/>
    <w:rsid w:val="003641CF"/>
    <w:rsid w:val="00364B7C"/>
    <w:rsid w:val="003650F7"/>
    <w:rsid w:val="00365895"/>
    <w:rsid w:val="003668F9"/>
    <w:rsid w:val="00367213"/>
    <w:rsid w:val="003673D3"/>
    <w:rsid w:val="00367496"/>
    <w:rsid w:val="00367E4B"/>
    <w:rsid w:val="003700F0"/>
    <w:rsid w:val="00370631"/>
    <w:rsid w:val="00370A2E"/>
    <w:rsid w:val="00371B9E"/>
    <w:rsid w:val="0037202A"/>
    <w:rsid w:val="00372CD5"/>
    <w:rsid w:val="00374413"/>
    <w:rsid w:val="003766F3"/>
    <w:rsid w:val="003773A7"/>
    <w:rsid w:val="003839BD"/>
    <w:rsid w:val="00385944"/>
    <w:rsid w:val="00385FBB"/>
    <w:rsid w:val="00386087"/>
    <w:rsid w:val="00386526"/>
    <w:rsid w:val="00387150"/>
    <w:rsid w:val="00387DEF"/>
    <w:rsid w:val="003933A4"/>
    <w:rsid w:val="00394115"/>
    <w:rsid w:val="00394C42"/>
    <w:rsid w:val="003953E4"/>
    <w:rsid w:val="00395436"/>
    <w:rsid w:val="0039578F"/>
    <w:rsid w:val="00395BA7"/>
    <w:rsid w:val="003A06EB"/>
    <w:rsid w:val="003A09FA"/>
    <w:rsid w:val="003A2CBB"/>
    <w:rsid w:val="003A3E9B"/>
    <w:rsid w:val="003A41F8"/>
    <w:rsid w:val="003A4BE2"/>
    <w:rsid w:val="003A5D2C"/>
    <w:rsid w:val="003A659B"/>
    <w:rsid w:val="003A6B84"/>
    <w:rsid w:val="003A7431"/>
    <w:rsid w:val="003A79A4"/>
    <w:rsid w:val="003A7D18"/>
    <w:rsid w:val="003B006D"/>
    <w:rsid w:val="003B1C1F"/>
    <w:rsid w:val="003B20ED"/>
    <w:rsid w:val="003B2F96"/>
    <w:rsid w:val="003B357D"/>
    <w:rsid w:val="003B4DB5"/>
    <w:rsid w:val="003B4DED"/>
    <w:rsid w:val="003B51F5"/>
    <w:rsid w:val="003B51F8"/>
    <w:rsid w:val="003B5425"/>
    <w:rsid w:val="003B659C"/>
    <w:rsid w:val="003B675D"/>
    <w:rsid w:val="003B7865"/>
    <w:rsid w:val="003B7F8F"/>
    <w:rsid w:val="003C01CA"/>
    <w:rsid w:val="003C25B4"/>
    <w:rsid w:val="003C4DEA"/>
    <w:rsid w:val="003C5342"/>
    <w:rsid w:val="003C6699"/>
    <w:rsid w:val="003C7359"/>
    <w:rsid w:val="003C746E"/>
    <w:rsid w:val="003C77EB"/>
    <w:rsid w:val="003D002F"/>
    <w:rsid w:val="003D0A0A"/>
    <w:rsid w:val="003D13D8"/>
    <w:rsid w:val="003D1E07"/>
    <w:rsid w:val="003D2811"/>
    <w:rsid w:val="003D5252"/>
    <w:rsid w:val="003D6E3B"/>
    <w:rsid w:val="003D71F0"/>
    <w:rsid w:val="003E01CF"/>
    <w:rsid w:val="003E10E5"/>
    <w:rsid w:val="003E420E"/>
    <w:rsid w:val="003E432C"/>
    <w:rsid w:val="003E4AC9"/>
    <w:rsid w:val="003E4D6D"/>
    <w:rsid w:val="003E5479"/>
    <w:rsid w:val="003E68D9"/>
    <w:rsid w:val="003E72D6"/>
    <w:rsid w:val="003E7956"/>
    <w:rsid w:val="003E7EBC"/>
    <w:rsid w:val="003F0B69"/>
    <w:rsid w:val="003F10BB"/>
    <w:rsid w:val="003F124B"/>
    <w:rsid w:val="003F1386"/>
    <w:rsid w:val="003F15BA"/>
    <w:rsid w:val="003F218F"/>
    <w:rsid w:val="003F2AEB"/>
    <w:rsid w:val="003F2E62"/>
    <w:rsid w:val="003F3600"/>
    <w:rsid w:val="003F3ECE"/>
    <w:rsid w:val="003F3F07"/>
    <w:rsid w:val="003F5EB4"/>
    <w:rsid w:val="003F6704"/>
    <w:rsid w:val="003F7571"/>
    <w:rsid w:val="003F7DC8"/>
    <w:rsid w:val="00400CA6"/>
    <w:rsid w:val="00403823"/>
    <w:rsid w:val="004047A6"/>
    <w:rsid w:val="0040605A"/>
    <w:rsid w:val="00406F68"/>
    <w:rsid w:val="00407370"/>
    <w:rsid w:val="00407A78"/>
    <w:rsid w:val="00411200"/>
    <w:rsid w:val="0041289D"/>
    <w:rsid w:val="0041409C"/>
    <w:rsid w:val="0041426E"/>
    <w:rsid w:val="0041545F"/>
    <w:rsid w:val="00416015"/>
    <w:rsid w:val="0041634C"/>
    <w:rsid w:val="00416B34"/>
    <w:rsid w:val="00420A84"/>
    <w:rsid w:val="00421296"/>
    <w:rsid w:val="00422E4D"/>
    <w:rsid w:val="0042563A"/>
    <w:rsid w:val="00427131"/>
    <w:rsid w:val="00427E22"/>
    <w:rsid w:val="0043054E"/>
    <w:rsid w:val="0043176C"/>
    <w:rsid w:val="00432148"/>
    <w:rsid w:val="00432766"/>
    <w:rsid w:val="00433638"/>
    <w:rsid w:val="00434010"/>
    <w:rsid w:val="00434CF8"/>
    <w:rsid w:val="004355DD"/>
    <w:rsid w:val="00441172"/>
    <w:rsid w:val="00441565"/>
    <w:rsid w:val="00441F66"/>
    <w:rsid w:val="00442074"/>
    <w:rsid w:val="00445C4A"/>
    <w:rsid w:val="00445D9A"/>
    <w:rsid w:val="004469A9"/>
    <w:rsid w:val="00446CC3"/>
    <w:rsid w:val="0044790B"/>
    <w:rsid w:val="00450275"/>
    <w:rsid w:val="004502D8"/>
    <w:rsid w:val="0045057C"/>
    <w:rsid w:val="004517BB"/>
    <w:rsid w:val="004525D7"/>
    <w:rsid w:val="00452944"/>
    <w:rsid w:val="00452D8A"/>
    <w:rsid w:val="0045392A"/>
    <w:rsid w:val="00455AF6"/>
    <w:rsid w:val="00455FDE"/>
    <w:rsid w:val="00456080"/>
    <w:rsid w:val="00457648"/>
    <w:rsid w:val="0045778D"/>
    <w:rsid w:val="00460046"/>
    <w:rsid w:val="004608B3"/>
    <w:rsid w:val="00460ED4"/>
    <w:rsid w:val="00462652"/>
    <w:rsid w:val="00463D29"/>
    <w:rsid w:val="004659A2"/>
    <w:rsid w:val="00465A6B"/>
    <w:rsid w:val="004667D5"/>
    <w:rsid w:val="00466F63"/>
    <w:rsid w:val="00466FB4"/>
    <w:rsid w:val="0047158C"/>
    <w:rsid w:val="0047302A"/>
    <w:rsid w:val="0047439E"/>
    <w:rsid w:val="00475629"/>
    <w:rsid w:val="0047604F"/>
    <w:rsid w:val="00476CEE"/>
    <w:rsid w:val="004775BF"/>
    <w:rsid w:val="0048048B"/>
    <w:rsid w:val="00480998"/>
    <w:rsid w:val="00480A62"/>
    <w:rsid w:val="00480CB2"/>
    <w:rsid w:val="004819B5"/>
    <w:rsid w:val="00481A52"/>
    <w:rsid w:val="00481A6F"/>
    <w:rsid w:val="00481CAD"/>
    <w:rsid w:val="00482B89"/>
    <w:rsid w:val="00483955"/>
    <w:rsid w:val="00483F4B"/>
    <w:rsid w:val="00484415"/>
    <w:rsid w:val="00490624"/>
    <w:rsid w:val="004921C2"/>
    <w:rsid w:val="004925C8"/>
    <w:rsid w:val="00492B0C"/>
    <w:rsid w:val="00494993"/>
    <w:rsid w:val="0049588B"/>
    <w:rsid w:val="00495BB8"/>
    <w:rsid w:val="00496AF0"/>
    <w:rsid w:val="00497D90"/>
    <w:rsid w:val="004A0013"/>
    <w:rsid w:val="004A24A6"/>
    <w:rsid w:val="004A2DE8"/>
    <w:rsid w:val="004A3D82"/>
    <w:rsid w:val="004B12AD"/>
    <w:rsid w:val="004B1BE5"/>
    <w:rsid w:val="004B2453"/>
    <w:rsid w:val="004B5782"/>
    <w:rsid w:val="004B759C"/>
    <w:rsid w:val="004C07AF"/>
    <w:rsid w:val="004C0B2C"/>
    <w:rsid w:val="004C0FB9"/>
    <w:rsid w:val="004C18F8"/>
    <w:rsid w:val="004C3E5D"/>
    <w:rsid w:val="004C4640"/>
    <w:rsid w:val="004C4D43"/>
    <w:rsid w:val="004C4FAA"/>
    <w:rsid w:val="004C5352"/>
    <w:rsid w:val="004C5C99"/>
    <w:rsid w:val="004C6118"/>
    <w:rsid w:val="004C6264"/>
    <w:rsid w:val="004C696F"/>
    <w:rsid w:val="004C6BBE"/>
    <w:rsid w:val="004C7410"/>
    <w:rsid w:val="004D0196"/>
    <w:rsid w:val="004D0FDB"/>
    <w:rsid w:val="004D2173"/>
    <w:rsid w:val="004D244D"/>
    <w:rsid w:val="004D338F"/>
    <w:rsid w:val="004D34B1"/>
    <w:rsid w:val="004D4751"/>
    <w:rsid w:val="004D65EE"/>
    <w:rsid w:val="004D691A"/>
    <w:rsid w:val="004D6C06"/>
    <w:rsid w:val="004D7A3E"/>
    <w:rsid w:val="004E13AE"/>
    <w:rsid w:val="004E1820"/>
    <w:rsid w:val="004E1A2F"/>
    <w:rsid w:val="004E1AC2"/>
    <w:rsid w:val="004E1C0D"/>
    <w:rsid w:val="004E2909"/>
    <w:rsid w:val="004E4DF5"/>
    <w:rsid w:val="004E55ED"/>
    <w:rsid w:val="004E5A54"/>
    <w:rsid w:val="004E641D"/>
    <w:rsid w:val="004E666E"/>
    <w:rsid w:val="004E732D"/>
    <w:rsid w:val="004E7E41"/>
    <w:rsid w:val="004F04A4"/>
    <w:rsid w:val="004F0E43"/>
    <w:rsid w:val="004F1269"/>
    <w:rsid w:val="004F1C64"/>
    <w:rsid w:val="004F25EC"/>
    <w:rsid w:val="004F374C"/>
    <w:rsid w:val="004F3EB8"/>
    <w:rsid w:val="004F3F0F"/>
    <w:rsid w:val="004F4496"/>
    <w:rsid w:val="004F49E7"/>
    <w:rsid w:val="004F5086"/>
    <w:rsid w:val="004F5F86"/>
    <w:rsid w:val="004F76EF"/>
    <w:rsid w:val="004F7AAC"/>
    <w:rsid w:val="00501DC4"/>
    <w:rsid w:val="0050283A"/>
    <w:rsid w:val="00502E5B"/>
    <w:rsid w:val="00502E66"/>
    <w:rsid w:val="00502F81"/>
    <w:rsid w:val="0050309D"/>
    <w:rsid w:val="00504712"/>
    <w:rsid w:val="00505A25"/>
    <w:rsid w:val="005069F0"/>
    <w:rsid w:val="00510880"/>
    <w:rsid w:val="00510BB7"/>
    <w:rsid w:val="00511929"/>
    <w:rsid w:val="00512334"/>
    <w:rsid w:val="00513B1C"/>
    <w:rsid w:val="005147FF"/>
    <w:rsid w:val="0051588D"/>
    <w:rsid w:val="005165D5"/>
    <w:rsid w:val="00516932"/>
    <w:rsid w:val="00517286"/>
    <w:rsid w:val="005205F6"/>
    <w:rsid w:val="00521116"/>
    <w:rsid w:val="005224A1"/>
    <w:rsid w:val="00522CE3"/>
    <w:rsid w:val="005230C3"/>
    <w:rsid w:val="0052329B"/>
    <w:rsid w:val="00523E7A"/>
    <w:rsid w:val="00524853"/>
    <w:rsid w:val="0052523C"/>
    <w:rsid w:val="00526134"/>
    <w:rsid w:val="00526451"/>
    <w:rsid w:val="00527779"/>
    <w:rsid w:val="00532103"/>
    <w:rsid w:val="005324DF"/>
    <w:rsid w:val="00532D35"/>
    <w:rsid w:val="00532F04"/>
    <w:rsid w:val="00533518"/>
    <w:rsid w:val="00534DBF"/>
    <w:rsid w:val="00534ECC"/>
    <w:rsid w:val="00535EA7"/>
    <w:rsid w:val="00536654"/>
    <w:rsid w:val="005371C1"/>
    <w:rsid w:val="005411C1"/>
    <w:rsid w:val="00541743"/>
    <w:rsid w:val="005420A4"/>
    <w:rsid w:val="00542AF9"/>
    <w:rsid w:val="0054431E"/>
    <w:rsid w:val="005449C4"/>
    <w:rsid w:val="00544BE2"/>
    <w:rsid w:val="005454D8"/>
    <w:rsid w:val="005455D7"/>
    <w:rsid w:val="00545ACE"/>
    <w:rsid w:val="005467E3"/>
    <w:rsid w:val="00546A69"/>
    <w:rsid w:val="00546CBB"/>
    <w:rsid w:val="005476C8"/>
    <w:rsid w:val="0054774A"/>
    <w:rsid w:val="00551107"/>
    <w:rsid w:val="005518B4"/>
    <w:rsid w:val="00552A8A"/>
    <w:rsid w:val="00553DF6"/>
    <w:rsid w:val="005546E1"/>
    <w:rsid w:val="00555D2D"/>
    <w:rsid w:val="0055666A"/>
    <w:rsid w:val="005567B8"/>
    <w:rsid w:val="00556914"/>
    <w:rsid w:val="00556B9C"/>
    <w:rsid w:val="00557654"/>
    <w:rsid w:val="00560A36"/>
    <w:rsid w:val="00560A79"/>
    <w:rsid w:val="0056136E"/>
    <w:rsid w:val="0056252C"/>
    <w:rsid w:val="005634A9"/>
    <w:rsid w:val="005636A6"/>
    <w:rsid w:val="005643E8"/>
    <w:rsid w:val="005644F8"/>
    <w:rsid w:val="00564D6C"/>
    <w:rsid w:val="005651B9"/>
    <w:rsid w:val="005654BE"/>
    <w:rsid w:val="00565879"/>
    <w:rsid w:val="00566529"/>
    <w:rsid w:val="00567533"/>
    <w:rsid w:val="00567BB1"/>
    <w:rsid w:val="00571DBA"/>
    <w:rsid w:val="005726F3"/>
    <w:rsid w:val="00574040"/>
    <w:rsid w:val="0057439E"/>
    <w:rsid w:val="00574DC1"/>
    <w:rsid w:val="00575672"/>
    <w:rsid w:val="00575895"/>
    <w:rsid w:val="0057684F"/>
    <w:rsid w:val="00576C0F"/>
    <w:rsid w:val="00577C3A"/>
    <w:rsid w:val="00581D03"/>
    <w:rsid w:val="0058256A"/>
    <w:rsid w:val="00582816"/>
    <w:rsid w:val="00583539"/>
    <w:rsid w:val="00583F23"/>
    <w:rsid w:val="00584DB3"/>
    <w:rsid w:val="005858A1"/>
    <w:rsid w:val="005878B8"/>
    <w:rsid w:val="005905B4"/>
    <w:rsid w:val="00590773"/>
    <w:rsid w:val="005914C5"/>
    <w:rsid w:val="005915D7"/>
    <w:rsid w:val="00592205"/>
    <w:rsid w:val="0059232E"/>
    <w:rsid w:val="00592F57"/>
    <w:rsid w:val="00593C63"/>
    <w:rsid w:val="00594BFF"/>
    <w:rsid w:val="005967EE"/>
    <w:rsid w:val="005977A9"/>
    <w:rsid w:val="00597CF0"/>
    <w:rsid w:val="005A0B3D"/>
    <w:rsid w:val="005A2394"/>
    <w:rsid w:val="005A2822"/>
    <w:rsid w:val="005A3ADA"/>
    <w:rsid w:val="005A4528"/>
    <w:rsid w:val="005A4E57"/>
    <w:rsid w:val="005A6080"/>
    <w:rsid w:val="005A63E9"/>
    <w:rsid w:val="005A6690"/>
    <w:rsid w:val="005A68EE"/>
    <w:rsid w:val="005A6EB6"/>
    <w:rsid w:val="005B0176"/>
    <w:rsid w:val="005B0817"/>
    <w:rsid w:val="005B0D5E"/>
    <w:rsid w:val="005B0DA3"/>
    <w:rsid w:val="005B10DB"/>
    <w:rsid w:val="005B1867"/>
    <w:rsid w:val="005B1CE1"/>
    <w:rsid w:val="005B362C"/>
    <w:rsid w:val="005B47A5"/>
    <w:rsid w:val="005B47D1"/>
    <w:rsid w:val="005B5690"/>
    <w:rsid w:val="005B5B8E"/>
    <w:rsid w:val="005B6045"/>
    <w:rsid w:val="005B7B7A"/>
    <w:rsid w:val="005B7F8C"/>
    <w:rsid w:val="005C0C37"/>
    <w:rsid w:val="005C4263"/>
    <w:rsid w:val="005C464D"/>
    <w:rsid w:val="005C4A34"/>
    <w:rsid w:val="005C4CDD"/>
    <w:rsid w:val="005C512B"/>
    <w:rsid w:val="005C613B"/>
    <w:rsid w:val="005C619B"/>
    <w:rsid w:val="005C6E9F"/>
    <w:rsid w:val="005C6EB2"/>
    <w:rsid w:val="005C6F03"/>
    <w:rsid w:val="005C78BD"/>
    <w:rsid w:val="005C7EC8"/>
    <w:rsid w:val="005D0515"/>
    <w:rsid w:val="005D0E6E"/>
    <w:rsid w:val="005D21C1"/>
    <w:rsid w:val="005D2E03"/>
    <w:rsid w:val="005D3AC6"/>
    <w:rsid w:val="005D4733"/>
    <w:rsid w:val="005D6D07"/>
    <w:rsid w:val="005D7846"/>
    <w:rsid w:val="005E2C99"/>
    <w:rsid w:val="005E30D1"/>
    <w:rsid w:val="005E4137"/>
    <w:rsid w:val="005E4AAD"/>
    <w:rsid w:val="005E523D"/>
    <w:rsid w:val="005E60F5"/>
    <w:rsid w:val="005E6A7D"/>
    <w:rsid w:val="005E7B45"/>
    <w:rsid w:val="005E7BA1"/>
    <w:rsid w:val="005F1172"/>
    <w:rsid w:val="005F163A"/>
    <w:rsid w:val="005F3CFC"/>
    <w:rsid w:val="005F5B90"/>
    <w:rsid w:val="005F77A5"/>
    <w:rsid w:val="00601714"/>
    <w:rsid w:val="006020B8"/>
    <w:rsid w:val="006023A2"/>
    <w:rsid w:val="006030CD"/>
    <w:rsid w:val="006045E3"/>
    <w:rsid w:val="0060542B"/>
    <w:rsid w:val="00605AC8"/>
    <w:rsid w:val="0060710A"/>
    <w:rsid w:val="006075EB"/>
    <w:rsid w:val="00607642"/>
    <w:rsid w:val="00610B2E"/>
    <w:rsid w:val="00611844"/>
    <w:rsid w:val="00611BD5"/>
    <w:rsid w:val="00611D13"/>
    <w:rsid w:val="006124EC"/>
    <w:rsid w:val="006137A4"/>
    <w:rsid w:val="0061497F"/>
    <w:rsid w:val="00616A3B"/>
    <w:rsid w:val="00616B49"/>
    <w:rsid w:val="00617997"/>
    <w:rsid w:val="00617E4F"/>
    <w:rsid w:val="00620516"/>
    <w:rsid w:val="0062136D"/>
    <w:rsid w:val="00622715"/>
    <w:rsid w:val="00622BCB"/>
    <w:rsid w:val="006234A2"/>
    <w:rsid w:val="00624B01"/>
    <w:rsid w:val="006253D5"/>
    <w:rsid w:val="00625F2E"/>
    <w:rsid w:val="00627306"/>
    <w:rsid w:val="00627BCD"/>
    <w:rsid w:val="00627D66"/>
    <w:rsid w:val="00631DCB"/>
    <w:rsid w:val="00631E35"/>
    <w:rsid w:val="00632425"/>
    <w:rsid w:val="00632602"/>
    <w:rsid w:val="00632B80"/>
    <w:rsid w:val="00633353"/>
    <w:rsid w:val="00634EB6"/>
    <w:rsid w:val="00636219"/>
    <w:rsid w:val="00636593"/>
    <w:rsid w:val="00636D5D"/>
    <w:rsid w:val="00640D7E"/>
    <w:rsid w:val="0064152B"/>
    <w:rsid w:val="00641AC2"/>
    <w:rsid w:val="00641B22"/>
    <w:rsid w:val="00643429"/>
    <w:rsid w:val="00643E26"/>
    <w:rsid w:val="006442C3"/>
    <w:rsid w:val="0064658F"/>
    <w:rsid w:val="00646B6F"/>
    <w:rsid w:val="0064712A"/>
    <w:rsid w:val="006471BB"/>
    <w:rsid w:val="00650350"/>
    <w:rsid w:val="00650418"/>
    <w:rsid w:val="00650D4C"/>
    <w:rsid w:val="00651518"/>
    <w:rsid w:val="00651589"/>
    <w:rsid w:val="00651BA8"/>
    <w:rsid w:val="0065275D"/>
    <w:rsid w:val="0065339E"/>
    <w:rsid w:val="00653E9A"/>
    <w:rsid w:val="00654807"/>
    <w:rsid w:val="00656B4B"/>
    <w:rsid w:val="00661B07"/>
    <w:rsid w:val="006621B9"/>
    <w:rsid w:val="006625A5"/>
    <w:rsid w:val="0066274A"/>
    <w:rsid w:val="006631FA"/>
    <w:rsid w:val="00663D06"/>
    <w:rsid w:val="00663DF6"/>
    <w:rsid w:val="0066445B"/>
    <w:rsid w:val="006646D8"/>
    <w:rsid w:val="0066485B"/>
    <w:rsid w:val="00665C3D"/>
    <w:rsid w:val="00666304"/>
    <w:rsid w:val="00666BEA"/>
    <w:rsid w:val="0067071A"/>
    <w:rsid w:val="00670B47"/>
    <w:rsid w:val="00670ED0"/>
    <w:rsid w:val="00670FD9"/>
    <w:rsid w:val="006716EA"/>
    <w:rsid w:val="00671EC4"/>
    <w:rsid w:val="00673C8C"/>
    <w:rsid w:val="006742A5"/>
    <w:rsid w:val="0067535B"/>
    <w:rsid w:val="00676BF1"/>
    <w:rsid w:val="00676D52"/>
    <w:rsid w:val="006773E9"/>
    <w:rsid w:val="00680E5F"/>
    <w:rsid w:val="006810AD"/>
    <w:rsid w:val="006811F9"/>
    <w:rsid w:val="00682082"/>
    <w:rsid w:val="00682876"/>
    <w:rsid w:val="006839CB"/>
    <w:rsid w:val="00684614"/>
    <w:rsid w:val="00684F77"/>
    <w:rsid w:val="00686915"/>
    <w:rsid w:val="006873A5"/>
    <w:rsid w:val="00687E8C"/>
    <w:rsid w:val="00687FB9"/>
    <w:rsid w:val="006902DA"/>
    <w:rsid w:val="006904D5"/>
    <w:rsid w:val="00690FD0"/>
    <w:rsid w:val="0069199E"/>
    <w:rsid w:val="00692402"/>
    <w:rsid w:val="00692738"/>
    <w:rsid w:val="00692BF2"/>
    <w:rsid w:val="00693A7B"/>
    <w:rsid w:val="00693F70"/>
    <w:rsid w:val="0069435B"/>
    <w:rsid w:val="006943DE"/>
    <w:rsid w:val="0069506C"/>
    <w:rsid w:val="00695EC0"/>
    <w:rsid w:val="00697F33"/>
    <w:rsid w:val="006A02F8"/>
    <w:rsid w:val="006A0333"/>
    <w:rsid w:val="006A0435"/>
    <w:rsid w:val="006A144C"/>
    <w:rsid w:val="006A19C9"/>
    <w:rsid w:val="006A200A"/>
    <w:rsid w:val="006A2258"/>
    <w:rsid w:val="006A2CFB"/>
    <w:rsid w:val="006A3181"/>
    <w:rsid w:val="006A325B"/>
    <w:rsid w:val="006A4AD6"/>
    <w:rsid w:val="006A53B8"/>
    <w:rsid w:val="006A5A08"/>
    <w:rsid w:val="006A6157"/>
    <w:rsid w:val="006B048D"/>
    <w:rsid w:val="006B1614"/>
    <w:rsid w:val="006B17ED"/>
    <w:rsid w:val="006B1A92"/>
    <w:rsid w:val="006B2B16"/>
    <w:rsid w:val="006B2CC2"/>
    <w:rsid w:val="006B35A1"/>
    <w:rsid w:val="006B362D"/>
    <w:rsid w:val="006B42CD"/>
    <w:rsid w:val="006B53D3"/>
    <w:rsid w:val="006B5DCA"/>
    <w:rsid w:val="006B67DB"/>
    <w:rsid w:val="006B68D7"/>
    <w:rsid w:val="006B7912"/>
    <w:rsid w:val="006C062B"/>
    <w:rsid w:val="006C10EA"/>
    <w:rsid w:val="006C20D9"/>
    <w:rsid w:val="006C6A41"/>
    <w:rsid w:val="006C7041"/>
    <w:rsid w:val="006C770C"/>
    <w:rsid w:val="006C77EC"/>
    <w:rsid w:val="006D0283"/>
    <w:rsid w:val="006D1D73"/>
    <w:rsid w:val="006D33C0"/>
    <w:rsid w:val="006D365E"/>
    <w:rsid w:val="006D385A"/>
    <w:rsid w:val="006D4F4A"/>
    <w:rsid w:val="006D5AC9"/>
    <w:rsid w:val="006D5EB4"/>
    <w:rsid w:val="006D6F17"/>
    <w:rsid w:val="006D7269"/>
    <w:rsid w:val="006E01E1"/>
    <w:rsid w:val="006E0B5D"/>
    <w:rsid w:val="006E1442"/>
    <w:rsid w:val="006E25DC"/>
    <w:rsid w:val="006E29B9"/>
    <w:rsid w:val="006E2B55"/>
    <w:rsid w:val="006E30CC"/>
    <w:rsid w:val="006E39BD"/>
    <w:rsid w:val="006E4299"/>
    <w:rsid w:val="006E4425"/>
    <w:rsid w:val="006E51E2"/>
    <w:rsid w:val="006E57DF"/>
    <w:rsid w:val="006E5A01"/>
    <w:rsid w:val="006E5BB6"/>
    <w:rsid w:val="006E61D7"/>
    <w:rsid w:val="006F0ADD"/>
    <w:rsid w:val="006F0C77"/>
    <w:rsid w:val="006F0F42"/>
    <w:rsid w:val="006F13F7"/>
    <w:rsid w:val="006F17C3"/>
    <w:rsid w:val="006F1CCA"/>
    <w:rsid w:val="006F6A32"/>
    <w:rsid w:val="006F6FAD"/>
    <w:rsid w:val="006F7985"/>
    <w:rsid w:val="006F7AAD"/>
    <w:rsid w:val="007003FF"/>
    <w:rsid w:val="00700546"/>
    <w:rsid w:val="007079FC"/>
    <w:rsid w:val="00710906"/>
    <w:rsid w:val="00710D9B"/>
    <w:rsid w:val="007124A3"/>
    <w:rsid w:val="00712D65"/>
    <w:rsid w:val="007130A9"/>
    <w:rsid w:val="00713CD3"/>
    <w:rsid w:val="00714B8A"/>
    <w:rsid w:val="00715A52"/>
    <w:rsid w:val="00716D52"/>
    <w:rsid w:val="00717BBD"/>
    <w:rsid w:val="007214F3"/>
    <w:rsid w:val="00721974"/>
    <w:rsid w:val="00722333"/>
    <w:rsid w:val="00722BBE"/>
    <w:rsid w:val="00722C09"/>
    <w:rsid w:val="00722F80"/>
    <w:rsid w:val="0072444D"/>
    <w:rsid w:val="0072490B"/>
    <w:rsid w:val="0072545F"/>
    <w:rsid w:val="00725469"/>
    <w:rsid w:val="00725715"/>
    <w:rsid w:val="00727295"/>
    <w:rsid w:val="007301B8"/>
    <w:rsid w:val="00730985"/>
    <w:rsid w:val="007323DC"/>
    <w:rsid w:val="007338C8"/>
    <w:rsid w:val="007345F6"/>
    <w:rsid w:val="007348F8"/>
    <w:rsid w:val="007349FB"/>
    <w:rsid w:val="0073516A"/>
    <w:rsid w:val="0073637A"/>
    <w:rsid w:val="00736481"/>
    <w:rsid w:val="007374E8"/>
    <w:rsid w:val="00740D39"/>
    <w:rsid w:val="007413B9"/>
    <w:rsid w:val="007425CB"/>
    <w:rsid w:val="007425E6"/>
    <w:rsid w:val="007427F5"/>
    <w:rsid w:val="00743B76"/>
    <w:rsid w:val="0074591B"/>
    <w:rsid w:val="007459CF"/>
    <w:rsid w:val="0075024D"/>
    <w:rsid w:val="00753C8E"/>
    <w:rsid w:val="00753DD1"/>
    <w:rsid w:val="00753DDE"/>
    <w:rsid w:val="007541AB"/>
    <w:rsid w:val="00755CAC"/>
    <w:rsid w:val="007563F9"/>
    <w:rsid w:val="00756C15"/>
    <w:rsid w:val="007572E2"/>
    <w:rsid w:val="007576BA"/>
    <w:rsid w:val="00760A12"/>
    <w:rsid w:val="00760F3C"/>
    <w:rsid w:val="007614DF"/>
    <w:rsid w:val="00761C30"/>
    <w:rsid w:val="00763508"/>
    <w:rsid w:val="00763901"/>
    <w:rsid w:val="00763D85"/>
    <w:rsid w:val="00765CC7"/>
    <w:rsid w:val="007660CD"/>
    <w:rsid w:val="00766419"/>
    <w:rsid w:val="00766C3B"/>
    <w:rsid w:val="00771263"/>
    <w:rsid w:val="00771A36"/>
    <w:rsid w:val="0077295E"/>
    <w:rsid w:val="00773D1D"/>
    <w:rsid w:val="00774976"/>
    <w:rsid w:val="00774A21"/>
    <w:rsid w:val="00774EEC"/>
    <w:rsid w:val="00775038"/>
    <w:rsid w:val="00775DCF"/>
    <w:rsid w:val="0077618C"/>
    <w:rsid w:val="00776857"/>
    <w:rsid w:val="00777870"/>
    <w:rsid w:val="00777D33"/>
    <w:rsid w:val="007807B1"/>
    <w:rsid w:val="00780B43"/>
    <w:rsid w:val="0078100F"/>
    <w:rsid w:val="00781A1E"/>
    <w:rsid w:val="00782159"/>
    <w:rsid w:val="00784690"/>
    <w:rsid w:val="00785EFF"/>
    <w:rsid w:val="00791653"/>
    <w:rsid w:val="00792A9D"/>
    <w:rsid w:val="00793896"/>
    <w:rsid w:val="007941DF"/>
    <w:rsid w:val="00794444"/>
    <w:rsid w:val="0079468C"/>
    <w:rsid w:val="00795DC1"/>
    <w:rsid w:val="007963D1"/>
    <w:rsid w:val="0079687A"/>
    <w:rsid w:val="00797AC4"/>
    <w:rsid w:val="007A14F4"/>
    <w:rsid w:val="007A163A"/>
    <w:rsid w:val="007A46E3"/>
    <w:rsid w:val="007A517D"/>
    <w:rsid w:val="007A5684"/>
    <w:rsid w:val="007A56D2"/>
    <w:rsid w:val="007A56F1"/>
    <w:rsid w:val="007A6062"/>
    <w:rsid w:val="007B0148"/>
    <w:rsid w:val="007B0A4C"/>
    <w:rsid w:val="007B1E88"/>
    <w:rsid w:val="007B2E70"/>
    <w:rsid w:val="007B3ED8"/>
    <w:rsid w:val="007B4C10"/>
    <w:rsid w:val="007B4F3B"/>
    <w:rsid w:val="007B50E5"/>
    <w:rsid w:val="007B7DD3"/>
    <w:rsid w:val="007C00D7"/>
    <w:rsid w:val="007C08D2"/>
    <w:rsid w:val="007C0F6D"/>
    <w:rsid w:val="007C1BCE"/>
    <w:rsid w:val="007C238C"/>
    <w:rsid w:val="007C2B57"/>
    <w:rsid w:val="007C3079"/>
    <w:rsid w:val="007C5596"/>
    <w:rsid w:val="007C63BC"/>
    <w:rsid w:val="007C75A1"/>
    <w:rsid w:val="007C7ADF"/>
    <w:rsid w:val="007C7D9A"/>
    <w:rsid w:val="007D0EBE"/>
    <w:rsid w:val="007D1C44"/>
    <w:rsid w:val="007D1D15"/>
    <w:rsid w:val="007D3B2C"/>
    <w:rsid w:val="007D42E8"/>
    <w:rsid w:val="007D5D5E"/>
    <w:rsid w:val="007D7679"/>
    <w:rsid w:val="007D7947"/>
    <w:rsid w:val="007E058F"/>
    <w:rsid w:val="007E1C8C"/>
    <w:rsid w:val="007E3405"/>
    <w:rsid w:val="007E34A8"/>
    <w:rsid w:val="007E41F2"/>
    <w:rsid w:val="007E48B5"/>
    <w:rsid w:val="007E6121"/>
    <w:rsid w:val="007E709F"/>
    <w:rsid w:val="007E765F"/>
    <w:rsid w:val="007F087E"/>
    <w:rsid w:val="007F0B33"/>
    <w:rsid w:val="007F0B48"/>
    <w:rsid w:val="007F0BAD"/>
    <w:rsid w:val="007F1F2A"/>
    <w:rsid w:val="007F3330"/>
    <w:rsid w:val="007F43C2"/>
    <w:rsid w:val="007F4CA3"/>
    <w:rsid w:val="007F647D"/>
    <w:rsid w:val="007F6D41"/>
    <w:rsid w:val="007F7330"/>
    <w:rsid w:val="007F750D"/>
    <w:rsid w:val="007F794F"/>
    <w:rsid w:val="008029B2"/>
    <w:rsid w:val="00802E9D"/>
    <w:rsid w:val="00804FDD"/>
    <w:rsid w:val="008059CB"/>
    <w:rsid w:val="008061AB"/>
    <w:rsid w:val="008065B4"/>
    <w:rsid w:val="008109BE"/>
    <w:rsid w:val="00812EB7"/>
    <w:rsid w:val="0081360D"/>
    <w:rsid w:val="00813EB4"/>
    <w:rsid w:val="008144F4"/>
    <w:rsid w:val="00814968"/>
    <w:rsid w:val="00814A49"/>
    <w:rsid w:val="00815625"/>
    <w:rsid w:val="00816D8D"/>
    <w:rsid w:val="00817AC1"/>
    <w:rsid w:val="00817D9F"/>
    <w:rsid w:val="0082109C"/>
    <w:rsid w:val="00821290"/>
    <w:rsid w:val="0082202C"/>
    <w:rsid w:val="00822912"/>
    <w:rsid w:val="00822C2E"/>
    <w:rsid w:val="008235ED"/>
    <w:rsid w:val="00824BD3"/>
    <w:rsid w:val="00826A78"/>
    <w:rsid w:val="00826B17"/>
    <w:rsid w:val="0082730A"/>
    <w:rsid w:val="00827C4F"/>
    <w:rsid w:val="00830052"/>
    <w:rsid w:val="008314D2"/>
    <w:rsid w:val="008315BD"/>
    <w:rsid w:val="008319C0"/>
    <w:rsid w:val="00831E4F"/>
    <w:rsid w:val="00831F0B"/>
    <w:rsid w:val="008332B1"/>
    <w:rsid w:val="00837A14"/>
    <w:rsid w:val="008415EA"/>
    <w:rsid w:val="00841BCB"/>
    <w:rsid w:val="00842722"/>
    <w:rsid w:val="00844F2F"/>
    <w:rsid w:val="00846521"/>
    <w:rsid w:val="008466CA"/>
    <w:rsid w:val="00846CE8"/>
    <w:rsid w:val="00847048"/>
    <w:rsid w:val="008471B7"/>
    <w:rsid w:val="008471C4"/>
    <w:rsid w:val="00847385"/>
    <w:rsid w:val="00847843"/>
    <w:rsid w:val="00847A88"/>
    <w:rsid w:val="00847D22"/>
    <w:rsid w:val="00851C77"/>
    <w:rsid w:val="00851D97"/>
    <w:rsid w:val="008522D3"/>
    <w:rsid w:val="008524D2"/>
    <w:rsid w:val="008524FC"/>
    <w:rsid w:val="00852630"/>
    <w:rsid w:val="008553B2"/>
    <w:rsid w:val="008557ED"/>
    <w:rsid w:val="00855903"/>
    <w:rsid w:val="00861B88"/>
    <w:rsid w:val="00861F7D"/>
    <w:rsid w:val="008671E2"/>
    <w:rsid w:val="00867786"/>
    <w:rsid w:val="00867941"/>
    <w:rsid w:val="00867F31"/>
    <w:rsid w:val="00870E1A"/>
    <w:rsid w:val="008720A7"/>
    <w:rsid w:val="008724E9"/>
    <w:rsid w:val="00872766"/>
    <w:rsid w:val="00873274"/>
    <w:rsid w:val="008744BC"/>
    <w:rsid w:val="00875709"/>
    <w:rsid w:val="00876C30"/>
    <w:rsid w:val="00881DA3"/>
    <w:rsid w:val="00882313"/>
    <w:rsid w:val="00883827"/>
    <w:rsid w:val="00884CF0"/>
    <w:rsid w:val="0088589D"/>
    <w:rsid w:val="00886116"/>
    <w:rsid w:val="00887CEB"/>
    <w:rsid w:val="00887FDD"/>
    <w:rsid w:val="00890757"/>
    <w:rsid w:val="008909A8"/>
    <w:rsid w:val="00890D42"/>
    <w:rsid w:val="008919BA"/>
    <w:rsid w:val="00891CBF"/>
    <w:rsid w:val="00892CAB"/>
    <w:rsid w:val="00893991"/>
    <w:rsid w:val="008958BB"/>
    <w:rsid w:val="008A01CB"/>
    <w:rsid w:val="008A105A"/>
    <w:rsid w:val="008A1C04"/>
    <w:rsid w:val="008A2779"/>
    <w:rsid w:val="008A3630"/>
    <w:rsid w:val="008A41BA"/>
    <w:rsid w:val="008A4836"/>
    <w:rsid w:val="008A6F60"/>
    <w:rsid w:val="008A6F63"/>
    <w:rsid w:val="008B0295"/>
    <w:rsid w:val="008B17B6"/>
    <w:rsid w:val="008B1963"/>
    <w:rsid w:val="008B37A5"/>
    <w:rsid w:val="008B525E"/>
    <w:rsid w:val="008B5A6D"/>
    <w:rsid w:val="008B5D73"/>
    <w:rsid w:val="008B6169"/>
    <w:rsid w:val="008B6802"/>
    <w:rsid w:val="008B74D7"/>
    <w:rsid w:val="008C0FE3"/>
    <w:rsid w:val="008C1158"/>
    <w:rsid w:val="008C1AF6"/>
    <w:rsid w:val="008C2E48"/>
    <w:rsid w:val="008C57AC"/>
    <w:rsid w:val="008C6582"/>
    <w:rsid w:val="008C6E5C"/>
    <w:rsid w:val="008D1021"/>
    <w:rsid w:val="008D1E33"/>
    <w:rsid w:val="008D2A54"/>
    <w:rsid w:val="008D2BAF"/>
    <w:rsid w:val="008D337E"/>
    <w:rsid w:val="008D3665"/>
    <w:rsid w:val="008D4A72"/>
    <w:rsid w:val="008D4F4C"/>
    <w:rsid w:val="008D50A2"/>
    <w:rsid w:val="008D5E71"/>
    <w:rsid w:val="008E0D71"/>
    <w:rsid w:val="008E0F85"/>
    <w:rsid w:val="008E1925"/>
    <w:rsid w:val="008E1A89"/>
    <w:rsid w:val="008E1E97"/>
    <w:rsid w:val="008E52F6"/>
    <w:rsid w:val="008E6B93"/>
    <w:rsid w:val="008E76FC"/>
    <w:rsid w:val="008F2A5A"/>
    <w:rsid w:val="008F398B"/>
    <w:rsid w:val="008F3EF5"/>
    <w:rsid w:val="008F4A59"/>
    <w:rsid w:val="008F50E2"/>
    <w:rsid w:val="008F5B12"/>
    <w:rsid w:val="008F61A4"/>
    <w:rsid w:val="008F6AAD"/>
    <w:rsid w:val="008F7726"/>
    <w:rsid w:val="00900AE3"/>
    <w:rsid w:val="00901116"/>
    <w:rsid w:val="0090242D"/>
    <w:rsid w:val="009027E6"/>
    <w:rsid w:val="00902874"/>
    <w:rsid w:val="0090501C"/>
    <w:rsid w:val="00905495"/>
    <w:rsid w:val="00906B13"/>
    <w:rsid w:val="00906CE8"/>
    <w:rsid w:val="0090767E"/>
    <w:rsid w:val="009079F8"/>
    <w:rsid w:val="00910AB5"/>
    <w:rsid w:val="00911E91"/>
    <w:rsid w:val="00914860"/>
    <w:rsid w:val="009212C5"/>
    <w:rsid w:val="009220F6"/>
    <w:rsid w:val="00923861"/>
    <w:rsid w:val="0092397C"/>
    <w:rsid w:val="00924234"/>
    <w:rsid w:val="00924652"/>
    <w:rsid w:val="00924753"/>
    <w:rsid w:val="0092550E"/>
    <w:rsid w:val="0092554D"/>
    <w:rsid w:val="009255C6"/>
    <w:rsid w:val="0092599B"/>
    <w:rsid w:val="0092603D"/>
    <w:rsid w:val="0093076F"/>
    <w:rsid w:val="00931F2C"/>
    <w:rsid w:val="00932748"/>
    <w:rsid w:val="00932A74"/>
    <w:rsid w:val="00932AFC"/>
    <w:rsid w:val="0093370A"/>
    <w:rsid w:val="0093498D"/>
    <w:rsid w:val="00934DA0"/>
    <w:rsid w:val="00935D33"/>
    <w:rsid w:val="00937A59"/>
    <w:rsid w:val="00940CFF"/>
    <w:rsid w:val="00942CC3"/>
    <w:rsid w:val="00943EBB"/>
    <w:rsid w:val="00944A44"/>
    <w:rsid w:val="00944E99"/>
    <w:rsid w:val="00945A84"/>
    <w:rsid w:val="00946AF5"/>
    <w:rsid w:val="009479D9"/>
    <w:rsid w:val="00947BC9"/>
    <w:rsid w:val="00947F1D"/>
    <w:rsid w:val="00947F5F"/>
    <w:rsid w:val="0095187E"/>
    <w:rsid w:val="00951D9D"/>
    <w:rsid w:val="00951DFB"/>
    <w:rsid w:val="00953603"/>
    <w:rsid w:val="00953663"/>
    <w:rsid w:val="00953808"/>
    <w:rsid w:val="009544BF"/>
    <w:rsid w:val="0095619B"/>
    <w:rsid w:val="00956A06"/>
    <w:rsid w:val="00956EC0"/>
    <w:rsid w:val="00961136"/>
    <w:rsid w:val="00962D5A"/>
    <w:rsid w:val="009630F7"/>
    <w:rsid w:val="00963598"/>
    <w:rsid w:val="009659CD"/>
    <w:rsid w:val="00970C98"/>
    <w:rsid w:val="0097108B"/>
    <w:rsid w:val="00973BBE"/>
    <w:rsid w:val="00974045"/>
    <w:rsid w:val="00974C39"/>
    <w:rsid w:val="00974F18"/>
    <w:rsid w:val="00974F5F"/>
    <w:rsid w:val="0097510A"/>
    <w:rsid w:val="00975D97"/>
    <w:rsid w:val="00976953"/>
    <w:rsid w:val="009773C6"/>
    <w:rsid w:val="009773C8"/>
    <w:rsid w:val="0097775D"/>
    <w:rsid w:val="00980117"/>
    <w:rsid w:val="00980524"/>
    <w:rsid w:val="00980E1B"/>
    <w:rsid w:val="009814C8"/>
    <w:rsid w:val="00981F85"/>
    <w:rsid w:val="009825C0"/>
    <w:rsid w:val="0098412D"/>
    <w:rsid w:val="00984948"/>
    <w:rsid w:val="00985433"/>
    <w:rsid w:val="0099081C"/>
    <w:rsid w:val="009928DD"/>
    <w:rsid w:val="00993077"/>
    <w:rsid w:val="00993876"/>
    <w:rsid w:val="00994286"/>
    <w:rsid w:val="009943C0"/>
    <w:rsid w:val="00994CDE"/>
    <w:rsid w:val="00995542"/>
    <w:rsid w:val="00996D2C"/>
    <w:rsid w:val="00997783"/>
    <w:rsid w:val="009A01D0"/>
    <w:rsid w:val="009A0417"/>
    <w:rsid w:val="009A0894"/>
    <w:rsid w:val="009A244E"/>
    <w:rsid w:val="009A3AFF"/>
    <w:rsid w:val="009A5102"/>
    <w:rsid w:val="009A71F0"/>
    <w:rsid w:val="009A7D0E"/>
    <w:rsid w:val="009B07B3"/>
    <w:rsid w:val="009B0E95"/>
    <w:rsid w:val="009B256C"/>
    <w:rsid w:val="009B36B4"/>
    <w:rsid w:val="009B4484"/>
    <w:rsid w:val="009B5529"/>
    <w:rsid w:val="009B7ADD"/>
    <w:rsid w:val="009B7D9D"/>
    <w:rsid w:val="009C047F"/>
    <w:rsid w:val="009C2700"/>
    <w:rsid w:val="009C292F"/>
    <w:rsid w:val="009C4840"/>
    <w:rsid w:val="009C4C42"/>
    <w:rsid w:val="009C7DC3"/>
    <w:rsid w:val="009D09F7"/>
    <w:rsid w:val="009D0B9B"/>
    <w:rsid w:val="009D0E0E"/>
    <w:rsid w:val="009D1EAA"/>
    <w:rsid w:val="009D2856"/>
    <w:rsid w:val="009D320A"/>
    <w:rsid w:val="009D38D4"/>
    <w:rsid w:val="009D3992"/>
    <w:rsid w:val="009D471F"/>
    <w:rsid w:val="009D53E9"/>
    <w:rsid w:val="009D5641"/>
    <w:rsid w:val="009D685E"/>
    <w:rsid w:val="009D6B85"/>
    <w:rsid w:val="009E1C6C"/>
    <w:rsid w:val="009E1D25"/>
    <w:rsid w:val="009E3036"/>
    <w:rsid w:val="009E4E14"/>
    <w:rsid w:val="009E59D2"/>
    <w:rsid w:val="009E61D2"/>
    <w:rsid w:val="009F071D"/>
    <w:rsid w:val="009F0AC9"/>
    <w:rsid w:val="009F1718"/>
    <w:rsid w:val="009F3518"/>
    <w:rsid w:val="009F62BD"/>
    <w:rsid w:val="009F7D5C"/>
    <w:rsid w:val="00A00DB1"/>
    <w:rsid w:val="00A02135"/>
    <w:rsid w:val="00A02621"/>
    <w:rsid w:val="00A04118"/>
    <w:rsid w:val="00A0427E"/>
    <w:rsid w:val="00A05A52"/>
    <w:rsid w:val="00A06B84"/>
    <w:rsid w:val="00A07B93"/>
    <w:rsid w:val="00A07C0C"/>
    <w:rsid w:val="00A10456"/>
    <w:rsid w:val="00A1392D"/>
    <w:rsid w:val="00A141D4"/>
    <w:rsid w:val="00A14728"/>
    <w:rsid w:val="00A1491D"/>
    <w:rsid w:val="00A14A74"/>
    <w:rsid w:val="00A14BB6"/>
    <w:rsid w:val="00A14BCD"/>
    <w:rsid w:val="00A157FB"/>
    <w:rsid w:val="00A15DFA"/>
    <w:rsid w:val="00A1621C"/>
    <w:rsid w:val="00A16AAB"/>
    <w:rsid w:val="00A16AF9"/>
    <w:rsid w:val="00A2035F"/>
    <w:rsid w:val="00A21540"/>
    <w:rsid w:val="00A23505"/>
    <w:rsid w:val="00A236DE"/>
    <w:rsid w:val="00A2439F"/>
    <w:rsid w:val="00A25439"/>
    <w:rsid w:val="00A25CB7"/>
    <w:rsid w:val="00A2655C"/>
    <w:rsid w:val="00A26651"/>
    <w:rsid w:val="00A26AB9"/>
    <w:rsid w:val="00A27933"/>
    <w:rsid w:val="00A30DD5"/>
    <w:rsid w:val="00A312EA"/>
    <w:rsid w:val="00A32176"/>
    <w:rsid w:val="00A323B3"/>
    <w:rsid w:val="00A33692"/>
    <w:rsid w:val="00A35A18"/>
    <w:rsid w:val="00A36666"/>
    <w:rsid w:val="00A36A14"/>
    <w:rsid w:val="00A3777B"/>
    <w:rsid w:val="00A42FC9"/>
    <w:rsid w:val="00A445B7"/>
    <w:rsid w:val="00A46D13"/>
    <w:rsid w:val="00A50390"/>
    <w:rsid w:val="00A51DE9"/>
    <w:rsid w:val="00A52110"/>
    <w:rsid w:val="00A527CF"/>
    <w:rsid w:val="00A52DB1"/>
    <w:rsid w:val="00A5363A"/>
    <w:rsid w:val="00A53ADC"/>
    <w:rsid w:val="00A53C6D"/>
    <w:rsid w:val="00A54380"/>
    <w:rsid w:val="00A54A40"/>
    <w:rsid w:val="00A5584C"/>
    <w:rsid w:val="00A55D19"/>
    <w:rsid w:val="00A616EF"/>
    <w:rsid w:val="00A62B8C"/>
    <w:rsid w:val="00A6503E"/>
    <w:rsid w:val="00A65969"/>
    <w:rsid w:val="00A665E8"/>
    <w:rsid w:val="00A667E4"/>
    <w:rsid w:val="00A6703B"/>
    <w:rsid w:val="00A6783E"/>
    <w:rsid w:val="00A67A47"/>
    <w:rsid w:val="00A7035E"/>
    <w:rsid w:val="00A70748"/>
    <w:rsid w:val="00A70C72"/>
    <w:rsid w:val="00A71F05"/>
    <w:rsid w:val="00A72F25"/>
    <w:rsid w:val="00A735CD"/>
    <w:rsid w:val="00A73E33"/>
    <w:rsid w:val="00A73E8B"/>
    <w:rsid w:val="00A7439E"/>
    <w:rsid w:val="00A76648"/>
    <w:rsid w:val="00A77105"/>
    <w:rsid w:val="00A778ED"/>
    <w:rsid w:val="00A80836"/>
    <w:rsid w:val="00A810FA"/>
    <w:rsid w:val="00A81205"/>
    <w:rsid w:val="00A81B4E"/>
    <w:rsid w:val="00A824E5"/>
    <w:rsid w:val="00A8260B"/>
    <w:rsid w:val="00A82D8A"/>
    <w:rsid w:val="00A836BC"/>
    <w:rsid w:val="00A83AB2"/>
    <w:rsid w:val="00A83E81"/>
    <w:rsid w:val="00A85BAC"/>
    <w:rsid w:val="00A876D6"/>
    <w:rsid w:val="00A901B8"/>
    <w:rsid w:val="00A91BD6"/>
    <w:rsid w:val="00A91D8F"/>
    <w:rsid w:val="00A92965"/>
    <w:rsid w:val="00A929B0"/>
    <w:rsid w:val="00A92AB9"/>
    <w:rsid w:val="00A9301D"/>
    <w:rsid w:val="00A9426A"/>
    <w:rsid w:val="00A9427B"/>
    <w:rsid w:val="00A95D38"/>
    <w:rsid w:val="00A9668B"/>
    <w:rsid w:val="00A96BFB"/>
    <w:rsid w:val="00A97C80"/>
    <w:rsid w:val="00A97F2D"/>
    <w:rsid w:val="00AA0B04"/>
    <w:rsid w:val="00AA1381"/>
    <w:rsid w:val="00AA1595"/>
    <w:rsid w:val="00AA4173"/>
    <w:rsid w:val="00AA45BF"/>
    <w:rsid w:val="00AA4B1A"/>
    <w:rsid w:val="00AA5D9B"/>
    <w:rsid w:val="00AA5EF0"/>
    <w:rsid w:val="00AB037A"/>
    <w:rsid w:val="00AB1880"/>
    <w:rsid w:val="00AB19BA"/>
    <w:rsid w:val="00AB1CA9"/>
    <w:rsid w:val="00AB1D6A"/>
    <w:rsid w:val="00AB24AE"/>
    <w:rsid w:val="00AB3DBB"/>
    <w:rsid w:val="00AB4058"/>
    <w:rsid w:val="00AB4576"/>
    <w:rsid w:val="00AB620F"/>
    <w:rsid w:val="00AB6A15"/>
    <w:rsid w:val="00AB6AFA"/>
    <w:rsid w:val="00AB7814"/>
    <w:rsid w:val="00AB7F2D"/>
    <w:rsid w:val="00AC03EB"/>
    <w:rsid w:val="00AC122A"/>
    <w:rsid w:val="00AC195F"/>
    <w:rsid w:val="00AC2329"/>
    <w:rsid w:val="00AC3928"/>
    <w:rsid w:val="00AC3BD2"/>
    <w:rsid w:val="00AC406A"/>
    <w:rsid w:val="00AC40D6"/>
    <w:rsid w:val="00AC413C"/>
    <w:rsid w:val="00AC44C3"/>
    <w:rsid w:val="00AC4E1D"/>
    <w:rsid w:val="00AC511F"/>
    <w:rsid w:val="00AC547C"/>
    <w:rsid w:val="00AC5679"/>
    <w:rsid w:val="00AC7D8F"/>
    <w:rsid w:val="00AC7E2E"/>
    <w:rsid w:val="00AD04AA"/>
    <w:rsid w:val="00AD1265"/>
    <w:rsid w:val="00AD1D47"/>
    <w:rsid w:val="00AD25B9"/>
    <w:rsid w:val="00AD2BBC"/>
    <w:rsid w:val="00AD7BDC"/>
    <w:rsid w:val="00AD7EF4"/>
    <w:rsid w:val="00AE1BD6"/>
    <w:rsid w:val="00AE1D46"/>
    <w:rsid w:val="00AE282F"/>
    <w:rsid w:val="00AE294D"/>
    <w:rsid w:val="00AE6003"/>
    <w:rsid w:val="00AE624F"/>
    <w:rsid w:val="00AE6B99"/>
    <w:rsid w:val="00AE6BEC"/>
    <w:rsid w:val="00AE7040"/>
    <w:rsid w:val="00AE7847"/>
    <w:rsid w:val="00AE7ED2"/>
    <w:rsid w:val="00AF0AA5"/>
    <w:rsid w:val="00AF0EBE"/>
    <w:rsid w:val="00AF0EFB"/>
    <w:rsid w:val="00AF13E6"/>
    <w:rsid w:val="00AF2458"/>
    <w:rsid w:val="00AF2C5F"/>
    <w:rsid w:val="00AF43F3"/>
    <w:rsid w:val="00AF5A98"/>
    <w:rsid w:val="00AF75BE"/>
    <w:rsid w:val="00AF79C9"/>
    <w:rsid w:val="00AF7E41"/>
    <w:rsid w:val="00AF7F79"/>
    <w:rsid w:val="00B0168B"/>
    <w:rsid w:val="00B02A47"/>
    <w:rsid w:val="00B038D8"/>
    <w:rsid w:val="00B052E0"/>
    <w:rsid w:val="00B07CB8"/>
    <w:rsid w:val="00B10102"/>
    <w:rsid w:val="00B1176B"/>
    <w:rsid w:val="00B11D18"/>
    <w:rsid w:val="00B122C1"/>
    <w:rsid w:val="00B127B0"/>
    <w:rsid w:val="00B132E0"/>
    <w:rsid w:val="00B13407"/>
    <w:rsid w:val="00B13F02"/>
    <w:rsid w:val="00B13F7B"/>
    <w:rsid w:val="00B14629"/>
    <w:rsid w:val="00B151B5"/>
    <w:rsid w:val="00B151D8"/>
    <w:rsid w:val="00B15C8E"/>
    <w:rsid w:val="00B166DE"/>
    <w:rsid w:val="00B16E80"/>
    <w:rsid w:val="00B1780E"/>
    <w:rsid w:val="00B1781D"/>
    <w:rsid w:val="00B2243A"/>
    <w:rsid w:val="00B228FE"/>
    <w:rsid w:val="00B230E1"/>
    <w:rsid w:val="00B2339A"/>
    <w:rsid w:val="00B23940"/>
    <w:rsid w:val="00B23A24"/>
    <w:rsid w:val="00B240C6"/>
    <w:rsid w:val="00B25609"/>
    <w:rsid w:val="00B25A51"/>
    <w:rsid w:val="00B26E42"/>
    <w:rsid w:val="00B274DC"/>
    <w:rsid w:val="00B27829"/>
    <w:rsid w:val="00B33DDE"/>
    <w:rsid w:val="00B33FB0"/>
    <w:rsid w:val="00B34C23"/>
    <w:rsid w:val="00B34E48"/>
    <w:rsid w:val="00B369FD"/>
    <w:rsid w:val="00B36D23"/>
    <w:rsid w:val="00B377DE"/>
    <w:rsid w:val="00B37991"/>
    <w:rsid w:val="00B40580"/>
    <w:rsid w:val="00B40F7E"/>
    <w:rsid w:val="00B4180E"/>
    <w:rsid w:val="00B4291A"/>
    <w:rsid w:val="00B44562"/>
    <w:rsid w:val="00B45327"/>
    <w:rsid w:val="00B45A2B"/>
    <w:rsid w:val="00B46269"/>
    <w:rsid w:val="00B50639"/>
    <w:rsid w:val="00B51B73"/>
    <w:rsid w:val="00B5299E"/>
    <w:rsid w:val="00B53074"/>
    <w:rsid w:val="00B571AD"/>
    <w:rsid w:val="00B60EF2"/>
    <w:rsid w:val="00B6105C"/>
    <w:rsid w:val="00B61FFB"/>
    <w:rsid w:val="00B67D0C"/>
    <w:rsid w:val="00B7059C"/>
    <w:rsid w:val="00B70BAD"/>
    <w:rsid w:val="00B72011"/>
    <w:rsid w:val="00B72294"/>
    <w:rsid w:val="00B72356"/>
    <w:rsid w:val="00B7236D"/>
    <w:rsid w:val="00B73808"/>
    <w:rsid w:val="00B73F58"/>
    <w:rsid w:val="00B74D31"/>
    <w:rsid w:val="00B751A1"/>
    <w:rsid w:val="00B778BE"/>
    <w:rsid w:val="00B81584"/>
    <w:rsid w:val="00B815D5"/>
    <w:rsid w:val="00B84CE8"/>
    <w:rsid w:val="00B86F89"/>
    <w:rsid w:val="00B87F33"/>
    <w:rsid w:val="00B90070"/>
    <w:rsid w:val="00B91320"/>
    <w:rsid w:val="00B9274D"/>
    <w:rsid w:val="00B92F62"/>
    <w:rsid w:val="00B95152"/>
    <w:rsid w:val="00B952FB"/>
    <w:rsid w:val="00B971FD"/>
    <w:rsid w:val="00BA1DE6"/>
    <w:rsid w:val="00BA1EBC"/>
    <w:rsid w:val="00BA328A"/>
    <w:rsid w:val="00BA3328"/>
    <w:rsid w:val="00BA374C"/>
    <w:rsid w:val="00BA47A1"/>
    <w:rsid w:val="00BA5659"/>
    <w:rsid w:val="00BA5BAD"/>
    <w:rsid w:val="00BA6299"/>
    <w:rsid w:val="00BA649A"/>
    <w:rsid w:val="00BA6D34"/>
    <w:rsid w:val="00BB0418"/>
    <w:rsid w:val="00BB08D9"/>
    <w:rsid w:val="00BB1A99"/>
    <w:rsid w:val="00BB2F7F"/>
    <w:rsid w:val="00BB3E9A"/>
    <w:rsid w:val="00BB4D76"/>
    <w:rsid w:val="00BB674F"/>
    <w:rsid w:val="00BB6764"/>
    <w:rsid w:val="00BB69AD"/>
    <w:rsid w:val="00BB6E1C"/>
    <w:rsid w:val="00BB739E"/>
    <w:rsid w:val="00BC019B"/>
    <w:rsid w:val="00BC100F"/>
    <w:rsid w:val="00BC2D79"/>
    <w:rsid w:val="00BC3629"/>
    <w:rsid w:val="00BC5ABD"/>
    <w:rsid w:val="00BC6BDA"/>
    <w:rsid w:val="00BC6DAD"/>
    <w:rsid w:val="00BD16E8"/>
    <w:rsid w:val="00BD2C6A"/>
    <w:rsid w:val="00BD6E0C"/>
    <w:rsid w:val="00BD7AC5"/>
    <w:rsid w:val="00BD7F4D"/>
    <w:rsid w:val="00BE037A"/>
    <w:rsid w:val="00BE19B8"/>
    <w:rsid w:val="00BE2B7F"/>
    <w:rsid w:val="00BE2C75"/>
    <w:rsid w:val="00BE369D"/>
    <w:rsid w:val="00BE3B36"/>
    <w:rsid w:val="00BE4D03"/>
    <w:rsid w:val="00BE5725"/>
    <w:rsid w:val="00BE7017"/>
    <w:rsid w:val="00BE7906"/>
    <w:rsid w:val="00BE798B"/>
    <w:rsid w:val="00BF0969"/>
    <w:rsid w:val="00BF108E"/>
    <w:rsid w:val="00BF15F0"/>
    <w:rsid w:val="00BF1BD6"/>
    <w:rsid w:val="00BF2EDB"/>
    <w:rsid w:val="00BF3658"/>
    <w:rsid w:val="00BF49B0"/>
    <w:rsid w:val="00BF6C41"/>
    <w:rsid w:val="00C00996"/>
    <w:rsid w:val="00C00A93"/>
    <w:rsid w:val="00C00BB2"/>
    <w:rsid w:val="00C00F72"/>
    <w:rsid w:val="00C01D3E"/>
    <w:rsid w:val="00C01DDE"/>
    <w:rsid w:val="00C03FFD"/>
    <w:rsid w:val="00C04D10"/>
    <w:rsid w:val="00C04EAA"/>
    <w:rsid w:val="00C04F4F"/>
    <w:rsid w:val="00C0506A"/>
    <w:rsid w:val="00C0606C"/>
    <w:rsid w:val="00C066B2"/>
    <w:rsid w:val="00C11BE8"/>
    <w:rsid w:val="00C141C9"/>
    <w:rsid w:val="00C15BA8"/>
    <w:rsid w:val="00C17123"/>
    <w:rsid w:val="00C1777B"/>
    <w:rsid w:val="00C17781"/>
    <w:rsid w:val="00C20A27"/>
    <w:rsid w:val="00C21349"/>
    <w:rsid w:val="00C21E75"/>
    <w:rsid w:val="00C22D7A"/>
    <w:rsid w:val="00C24009"/>
    <w:rsid w:val="00C25FD4"/>
    <w:rsid w:val="00C26A0B"/>
    <w:rsid w:val="00C26B45"/>
    <w:rsid w:val="00C26C41"/>
    <w:rsid w:val="00C26CA2"/>
    <w:rsid w:val="00C30062"/>
    <w:rsid w:val="00C3162E"/>
    <w:rsid w:val="00C3247C"/>
    <w:rsid w:val="00C32603"/>
    <w:rsid w:val="00C330BA"/>
    <w:rsid w:val="00C3343D"/>
    <w:rsid w:val="00C34CDE"/>
    <w:rsid w:val="00C35711"/>
    <w:rsid w:val="00C36C10"/>
    <w:rsid w:val="00C41977"/>
    <w:rsid w:val="00C41D81"/>
    <w:rsid w:val="00C445A9"/>
    <w:rsid w:val="00C4672B"/>
    <w:rsid w:val="00C468E9"/>
    <w:rsid w:val="00C4747B"/>
    <w:rsid w:val="00C50917"/>
    <w:rsid w:val="00C50971"/>
    <w:rsid w:val="00C52BC8"/>
    <w:rsid w:val="00C52E2C"/>
    <w:rsid w:val="00C536B8"/>
    <w:rsid w:val="00C54612"/>
    <w:rsid w:val="00C55F54"/>
    <w:rsid w:val="00C560D6"/>
    <w:rsid w:val="00C565EB"/>
    <w:rsid w:val="00C5752D"/>
    <w:rsid w:val="00C57B19"/>
    <w:rsid w:val="00C6150A"/>
    <w:rsid w:val="00C620D3"/>
    <w:rsid w:val="00C63087"/>
    <w:rsid w:val="00C63338"/>
    <w:rsid w:val="00C6410B"/>
    <w:rsid w:val="00C64265"/>
    <w:rsid w:val="00C6448D"/>
    <w:rsid w:val="00C66CBE"/>
    <w:rsid w:val="00C67342"/>
    <w:rsid w:val="00C67743"/>
    <w:rsid w:val="00C6774A"/>
    <w:rsid w:val="00C7227F"/>
    <w:rsid w:val="00C7284E"/>
    <w:rsid w:val="00C7417D"/>
    <w:rsid w:val="00C76859"/>
    <w:rsid w:val="00C76C16"/>
    <w:rsid w:val="00C80F89"/>
    <w:rsid w:val="00C813DE"/>
    <w:rsid w:val="00C8241F"/>
    <w:rsid w:val="00C83623"/>
    <w:rsid w:val="00C842A2"/>
    <w:rsid w:val="00C84BA9"/>
    <w:rsid w:val="00C86BA3"/>
    <w:rsid w:val="00C90674"/>
    <w:rsid w:val="00C93A92"/>
    <w:rsid w:val="00C93C59"/>
    <w:rsid w:val="00C95C76"/>
    <w:rsid w:val="00C95F1D"/>
    <w:rsid w:val="00C9765D"/>
    <w:rsid w:val="00C976B2"/>
    <w:rsid w:val="00CA05E1"/>
    <w:rsid w:val="00CA1CD7"/>
    <w:rsid w:val="00CA34C2"/>
    <w:rsid w:val="00CA3920"/>
    <w:rsid w:val="00CA40F7"/>
    <w:rsid w:val="00CA58F5"/>
    <w:rsid w:val="00CA66C7"/>
    <w:rsid w:val="00CA7F42"/>
    <w:rsid w:val="00CB01EE"/>
    <w:rsid w:val="00CB0364"/>
    <w:rsid w:val="00CB054E"/>
    <w:rsid w:val="00CB0980"/>
    <w:rsid w:val="00CB1C0A"/>
    <w:rsid w:val="00CB2977"/>
    <w:rsid w:val="00CB3948"/>
    <w:rsid w:val="00CB4B18"/>
    <w:rsid w:val="00CB4C95"/>
    <w:rsid w:val="00CB7D30"/>
    <w:rsid w:val="00CC05D4"/>
    <w:rsid w:val="00CC1078"/>
    <w:rsid w:val="00CC300F"/>
    <w:rsid w:val="00CC494D"/>
    <w:rsid w:val="00CC5012"/>
    <w:rsid w:val="00CC54C1"/>
    <w:rsid w:val="00CC5653"/>
    <w:rsid w:val="00CC5A0C"/>
    <w:rsid w:val="00CC5E7D"/>
    <w:rsid w:val="00CC6800"/>
    <w:rsid w:val="00CD0C1A"/>
    <w:rsid w:val="00CD1356"/>
    <w:rsid w:val="00CD1698"/>
    <w:rsid w:val="00CD1F31"/>
    <w:rsid w:val="00CD25EE"/>
    <w:rsid w:val="00CD2D01"/>
    <w:rsid w:val="00CD2DE7"/>
    <w:rsid w:val="00CD51E0"/>
    <w:rsid w:val="00CD51E7"/>
    <w:rsid w:val="00CD71C8"/>
    <w:rsid w:val="00CE1191"/>
    <w:rsid w:val="00CE177A"/>
    <w:rsid w:val="00CE2279"/>
    <w:rsid w:val="00CE2C00"/>
    <w:rsid w:val="00CE2D60"/>
    <w:rsid w:val="00CE390F"/>
    <w:rsid w:val="00CE3C9A"/>
    <w:rsid w:val="00CE4CD5"/>
    <w:rsid w:val="00CE6AC0"/>
    <w:rsid w:val="00CF0656"/>
    <w:rsid w:val="00CF1CEF"/>
    <w:rsid w:val="00CF2569"/>
    <w:rsid w:val="00CF350E"/>
    <w:rsid w:val="00CF3F70"/>
    <w:rsid w:val="00CF69AC"/>
    <w:rsid w:val="00CF723C"/>
    <w:rsid w:val="00CF7693"/>
    <w:rsid w:val="00D017BE"/>
    <w:rsid w:val="00D01B03"/>
    <w:rsid w:val="00D035A9"/>
    <w:rsid w:val="00D047F3"/>
    <w:rsid w:val="00D04B61"/>
    <w:rsid w:val="00D05CAD"/>
    <w:rsid w:val="00D063A9"/>
    <w:rsid w:val="00D1144F"/>
    <w:rsid w:val="00D11C81"/>
    <w:rsid w:val="00D1208F"/>
    <w:rsid w:val="00D12687"/>
    <w:rsid w:val="00D133EA"/>
    <w:rsid w:val="00D13706"/>
    <w:rsid w:val="00D15E6E"/>
    <w:rsid w:val="00D20B0D"/>
    <w:rsid w:val="00D20F14"/>
    <w:rsid w:val="00D24153"/>
    <w:rsid w:val="00D24548"/>
    <w:rsid w:val="00D26E98"/>
    <w:rsid w:val="00D27718"/>
    <w:rsid w:val="00D301DB"/>
    <w:rsid w:val="00D30C4A"/>
    <w:rsid w:val="00D31A29"/>
    <w:rsid w:val="00D31AC2"/>
    <w:rsid w:val="00D33C1E"/>
    <w:rsid w:val="00D34881"/>
    <w:rsid w:val="00D35DA5"/>
    <w:rsid w:val="00D36981"/>
    <w:rsid w:val="00D41B5E"/>
    <w:rsid w:val="00D41E2F"/>
    <w:rsid w:val="00D41E3F"/>
    <w:rsid w:val="00D4301D"/>
    <w:rsid w:val="00D4450E"/>
    <w:rsid w:val="00D44E62"/>
    <w:rsid w:val="00D457F1"/>
    <w:rsid w:val="00D45CE3"/>
    <w:rsid w:val="00D47FA2"/>
    <w:rsid w:val="00D504AF"/>
    <w:rsid w:val="00D508AD"/>
    <w:rsid w:val="00D53FF7"/>
    <w:rsid w:val="00D54A7A"/>
    <w:rsid w:val="00D553ED"/>
    <w:rsid w:val="00D55AC1"/>
    <w:rsid w:val="00D56886"/>
    <w:rsid w:val="00D57009"/>
    <w:rsid w:val="00D57625"/>
    <w:rsid w:val="00D60528"/>
    <w:rsid w:val="00D60849"/>
    <w:rsid w:val="00D610CB"/>
    <w:rsid w:val="00D61297"/>
    <w:rsid w:val="00D6182B"/>
    <w:rsid w:val="00D62B0C"/>
    <w:rsid w:val="00D63197"/>
    <w:rsid w:val="00D65FAC"/>
    <w:rsid w:val="00D66C2A"/>
    <w:rsid w:val="00D67FAC"/>
    <w:rsid w:val="00D70C7C"/>
    <w:rsid w:val="00D71451"/>
    <w:rsid w:val="00D72441"/>
    <w:rsid w:val="00D72ADC"/>
    <w:rsid w:val="00D72BA6"/>
    <w:rsid w:val="00D7397C"/>
    <w:rsid w:val="00D74B2C"/>
    <w:rsid w:val="00D75150"/>
    <w:rsid w:val="00D753F1"/>
    <w:rsid w:val="00D75B04"/>
    <w:rsid w:val="00D81445"/>
    <w:rsid w:val="00D8163E"/>
    <w:rsid w:val="00D81CB6"/>
    <w:rsid w:val="00D83CC6"/>
    <w:rsid w:val="00D83F66"/>
    <w:rsid w:val="00D84D51"/>
    <w:rsid w:val="00D84F5C"/>
    <w:rsid w:val="00D8698C"/>
    <w:rsid w:val="00D86CE5"/>
    <w:rsid w:val="00D8746E"/>
    <w:rsid w:val="00D87AF6"/>
    <w:rsid w:val="00D90740"/>
    <w:rsid w:val="00D907DA"/>
    <w:rsid w:val="00D948A0"/>
    <w:rsid w:val="00D951D2"/>
    <w:rsid w:val="00D9781D"/>
    <w:rsid w:val="00D978A4"/>
    <w:rsid w:val="00D97BFF"/>
    <w:rsid w:val="00DA0037"/>
    <w:rsid w:val="00DA00ED"/>
    <w:rsid w:val="00DA0497"/>
    <w:rsid w:val="00DA0A2F"/>
    <w:rsid w:val="00DA11D1"/>
    <w:rsid w:val="00DA1E64"/>
    <w:rsid w:val="00DA23DC"/>
    <w:rsid w:val="00DA33BB"/>
    <w:rsid w:val="00DA3650"/>
    <w:rsid w:val="00DA51AD"/>
    <w:rsid w:val="00DA621E"/>
    <w:rsid w:val="00DA7373"/>
    <w:rsid w:val="00DB25C8"/>
    <w:rsid w:val="00DB483F"/>
    <w:rsid w:val="00DB5075"/>
    <w:rsid w:val="00DB6A00"/>
    <w:rsid w:val="00DB733D"/>
    <w:rsid w:val="00DC0027"/>
    <w:rsid w:val="00DC046E"/>
    <w:rsid w:val="00DC0616"/>
    <w:rsid w:val="00DC0B7E"/>
    <w:rsid w:val="00DC1A0D"/>
    <w:rsid w:val="00DC2136"/>
    <w:rsid w:val="00DC255F"/>
    <w:rsid w:val="00DC4563"/>
    <w:rsid w:val="00DC56D0"/>
    <w:rsid w:val="00DC6EDC"/>
    <w:rsid w:val="00DD0768"/>
    <w:rsid w:val="00DD0A5B"/>
    <w:rsid w:val="00DD1BAB"/>
    <w:rsid w:val="00DD1DDF"/>
    <w:rsid w:val="00DD2076"/>
    <w:rsid w:val="00DD209E"/>
    <w:rsid w:val="00DD249B"/>
    <w:rsid w:val="00DD2680"/>
    <w:rsid w:val="00DD2E59"/>
    <w:rsid w:val="00DD442C"/>
    <w:rsid w:val="00DD487F"/>
    <w:rsid w:val="00DD521D"/>
    <w:rsid w:val="00DD746E"/>
    <w:rsid w:val="00DD7742"/>
    <w:rsid w:val="00DD7CEA"/>
    <w:rsid w:val="00DD7EF3"/>
    <w:rsid w:val="00DE1D2C"/>
    <w:rsid w:val="00DE2B6B"/>
    <w:rsid w:val="00DE2DFD"/>
    <w:rsid w:val="00DE4BCD"/>
    <w:rsid w:val="00DE6595"/>
    <w:rsid w:val="00DF03BB"/>
    <w:rsid w:val="00DF03D5"/>
    <w:rsid w:val="00DF0CFA"/>
    <w:rsid w:val="00DF0FD7"/>
    <w:rsid w:val="00DF0FEA"/>
    <w:rsid w:val="00DF12E3"/>
    <w:rsid w:val="00DF1964"/>
    <w:rsid w:val="00DF1E3E"/>
    <w:rsid w:val="00DF1FBB"/>
    <w:rsid w:val="00DF4111"/>
    <w:rsid w:val="00DF430D"/>
    <w:rsid w:val="00DF5B87"/>
    <w:rsid w:val="00DF799F"/>
    <w:rsid w:val="00DF7A05"/>
    <w:rsid w:val="00E006B6"/>
    <w:rsid w:val="00E0080F"/>
    <w:rsid w:val="00E01469"/>
    <w:rsid w:val="00E02269"/>
    <w:rsid w:val="00E03EB4"/>
    <w:rsid w:val="00E03F23"/>
    <w:rsid w:val="00E04D76"/>
    <w:rsid w:val="00E06A26"/>
    <w:rsid w:val="00E07AAE"/>
    <w:rsid w:val="00E07E09"/>
    <w:rsid w:val="00E1233C"/>
    <w:rsid w:val="00E12E54"/>
    <w:rsid w:val="00E13009"/>
    <w:rsid w:val="00E13393"/>
    <w:rsid w:val="00E13B6F"/>
    <w:rsid w:val="00E16371"/>
    <w:rsid w:val="00E16A02"/>
    <w:rsid w:val="00E16BBA"/>
    <w:rsid w:val="00E17B96"/>
    <w:rsid w:val="00E22500"/>
    <w:rsid w:val="00E22CC3"/>
    <w:rsid w:val="00E22F68"/>
    <w:rsid w:val="00E23819"/>
    <w:rsid w:val="00E24FB3"/>
    <w:rsid w:val="00E25068"/>
    <w:rsid w:val="00E2557A"/>
    <w:rsid w:val="00E25613"/>
    <w:rsid w:val="00E26AF2"/>
    <w:rsid w:val="00E2762E"/>
    <w:rsid w:val="00E30408"/>
    <w:rsid w:val="00E3319D"/>
    <w:rsid w:val="00E33548"/>
    <w:rsid w:val="00E33AC2"/>
    <w:rsid w:val="00E33F8E"/>
    <w:rsid w:val="00E34D4A"/>
    <w:rsid w:val="00E34E6C"/>
    <w:rsid w:val="00E3580C"/>
    <w:rsid w:val="00E3615D"/>
    <w:rsid w:val="00E36583"/>
    <w:rsid w:val="00E37F77"/>
    <w:rsid w:val="00E404DA"/>
    <w:rsid w:val="00E40516"/>
    <w:rsid w:val="00E405F5"/>
    <w:rsid w:val="00E4083F"/>
    <w:rsid w:val="00E40CC0"/>
    <w:rsid w:val="00E41521"/>
    <w:rsid w:val="00E4240A"/>
    <w:rsid w:val="00E42B00"/>
    <w:rsid w:val="00E44698"/>
    <w:rsid w:val="00E44F0D"/>
    <w:rsid w:val="00E456A8"/>
    <w:rsid w:val="00E465F9"/>
    <w:rsid w:val="00E46A97"/>
    <w:rsid w:val="00E47B79"/>
    <w:rsid w:val="00E5006C"/>
    <w:rsid w:val="00E52AC3"/>
    <w:rsid w:val="00E5309B"/>
    <w:rsid w:val="00E53849"/>
    <w:rsid w:val="00E538D9"/>
    <w:rsid w:val="00E53D0E"/>
    <w:rsid w:val="00E54270"/>
    <w:rsid w:val="00E550A3"/>
    <w:rsid w:val="00E554A9"/>
    <w:rsid w:val="00E56850"/>
    <w:rsid w:val="00E60AB6"/>
    <w:rsid w:val="00E60CAE"/>
    <w:rsid w:val="00E617C1"/>
    <w:rsid w:val="00E61935"/>
    <w:rsid w:val="00E61C1E"/>
    <w:rsid w:val="00E6358A"/>
    <w:rsid w:val="00E63CB4"/>
    <w:rsid w:val="00E6495B"/>
    <w:rsid w:val="00E666FB"/>
    <w:rsid w:val="00E6695E"/>
    <w:rsid w:val="00E66A42"/>
    <w:rsid w:val="00E66C0C"/>
    <w:rsid w:val="00E71B13"/>
    <w:rsid w:val="00E71DC2"/>
    <w:rsid w:val="00E72564"/>
    <w:rsid w:val="00E72646"/>
    <w:rsid w:val="00E73425"/>
    <w:rsid w:val="00E7376C"/>
    <w:rsid w:val="00E77E0E"/>
    <w:rsid w:val="00E814EB"/>
    <w:rsid w:val="00E821D7"/>
    <w:rsid w:val="00E82802"/>
    <w:rsid w:val="00E851CF"/>
    <w:rsid w:val="00E86723"/>
    <w:rsid w:val="00E874B2"/>
    <w:rsid w:val="00E87A9C"/>
    <w:rsid w:val="00E87B7D"/>
    <w:rsid w:val="00E920C5"/>
    <w:rsid w:val="00E93C2B"/>
    <w:rsid w:val="00E97011"/>
    <w:rsid w:val="00E97303"/>
    <w:rsid w:val="00E97C10"/>
    <w:rsid w:val="00E97D98"/>
    <w:rsid w:val="00EA0048"/>
    <w:rsid w:val="00EA0096"/>
    <w:rsid w:val="00EA0692"/>
    <w:rsid w:val="00EA1466"/>
    <w:rsid w:val="00EA20BE"/>
    <w:rsid w:val="00EA34B8"/>
    <w:rsid w:val="00EA3E7A"/>
    <w:rsid w:val="00EA3FD8"/>
    <w:rsid w:val="00EA432B"/>
    <w:rsid w:val="00EA4330"/>
    <w:rsid w:val="00EA5EB5"/>
    <w:rsid w:val="00EA5EFF"/>
    <w:rsid w:val="00EA63F4"/>
    <w:rsid w:val="00EA74CD"/>
    <w:rsid w:val="00EA7908"/>
    <w:rsid w:val="00EB196C"/>
    <w:rsid w:val="00EB2541"/>
    <w:rsid w:val="00EB2A4D"/>
    <w:rsid w:val="00EB574C"/>
    <w:rsid w:val="00EB5D91"/>
    <w:rsid w:val="00EB5EF0"/>
    <w:rsid w:val="00EB7BE3"/>
    <w:rsid w:val="00EC2129"/>
    <w:rsid w:val="00EC24FD"/>
    <w:rsid w:val="00EC2961"/>
    <w:rsid w:val="00EC2B12"/>
    <w:rsid w:val="00EC57DE"/>
    <w:rsid w:val="00EC66F2"/>
    <w:rsid w:val="00ED086F"/>
    <w:rsid w:val="00ED0DBE"/>
    <w:rsid w:val="00ED12BE"/>
    <w:rsid w:val="00ED1B26"/>
    <w:rsid w:val="00ED3597"/>
    <w:rsid w:val="00ED3F6D"/>
    <w:rsid w:val="00ED5598"/>
    <w:rsid w:val="00ED5AF8"/>
    <w:rsid w:val="00ED5EA1"/>
    <w:rsid w:val="00ED6B1B"/>
    <w:rsid w:val="00ED6D73"/>
    <w:rsid w:val="00EE02CF"/>
    <w:rsid w:val="00EE0AAC"/>
    <w:rsid w:val="00EE11DA"/>
    <w:rsid w:val="00EE2345"/>
    <w:rsid w:val="00EE2B66"/>
    <w:rsid w:val="00EE2C08"/>
    <w:rsid w:val="00EE470A"/>
    <w:rsid w:val="00EE47E7"/>
    <w:rsid w:val="00EE564A"/>
    <w:rsid w:val="00EE58BF"/>
    <w:rsid w:val="00EE6DBC"/>
    <w:rsid w:val="00EF132F"/>
    <w:rsid w:val="00EF1652"/>
    <w:rsid w:val="00EF204D"/>
    <w:rsid w:val="00EF22A6"/>
    <w:rsid w:val="00EF2C0A"/>
    <w:rsid w:val="00EF5884"/>
    <w:rsid w:val="00EF5A30"/>
    <w:rsid w:val="00EF6155"/>
    <w:rsid w:val="00EF636C"/>
    <w:rsid w:val="00F00E12"/>
    <w:rsid w:val="00F012B1"/>
    <w:rsid w:val="00F01C52"/>
    <w:rsid w:val="00F01E55"/>
    <w:rsid w:val="00F0291D"/>
    <w:rsid w:val="00F029D8"/>
    <w:rsid w:val="00F044F7"/>
    <w:rsid w:val="00F0706C"/>
    <w:rsid w:val="00F07277"/>
    <w:rsid w:val="00F110BC"/>
    <w:rsid w:val="00F1181C"/>
    <w:rsid w:val="00F11C98"/>
    <w:rsid w:val="00F14514"/>
    <w:rsid w:val="00F154E5"/>
    <w:rsid w:val="00F15C6C"/>
    <w:rsid w:val="00F16673"/>
    <w:rsid w:val="00F16E54"/>
    <w:rsid w:val="00F1780A"/>
    <w:rsid w:val="00F17D5E"/>
    <w:rsid w:val="00F17FDA"/>
    <w:rsid w:val="00F21131"/>
    <w:rsid w:val="00F2136C"/>
    <w:rsid w:val="00F22455"/>
    <w:rsid w:val="00F238E5"/>
    <w:rsid w:val="00F23E53"/>
    <w:rsid w:val="00F23E72"/>
    <w:rsid w:val="00F24237"/>
    <w:rsid w:val="00F24AED"/>
    <w:rsid w:val="00F2523B"/>
    <w:rsid w:val="00F264CE"/>
    <w:rsid w:val="00F26AC7"/>
    <w:rsid w:val="00F27082"/>
    <w:rsid w:val="00F271C9"/>
    <w:rsid w:val="00F27246"/>
    <w:rsid w:val="00F274BF"/>
    <w:rsid w:val="00F27A32"/>
    <w:rsid w:val="00F27D23"/>
    <w:rsid w:val="00F314A9"/>
    <w:rsid w:val="00F31782"/>
    <w:rsid w:val="00F327CC"/>
    <w:rsid w:val="00F33539"/>
    <w:rsid w:val="00F345F1"/>
    <w:rsid w:val="00F3462E"/>
    <w:rsid w:val="00F34A8B"/>
    <w:rsid w:val="00F35F9A"/>
    <w:rsid w:val="00F36453"/>
    <w:rsid w:val="00F3693E"/>
    <w:rsid w:val="00F403A2"/>
    <w:rsid w:val="00F40CF0"/>
    <w:rsid w:val="00F41FA4"/>
    <w:rsid w:val="00F42046"/>
    <w:rsid w:val="00F456DC"/>
    <w:rsid w:val="00F46641"/>
    <w:rsid w:val="00F503BA"/>
    <w:rsid w:val="00F50E37"/>
    <w:rsid w:val="00F5182F"/>
    <w:rsid w:val="00F531FC"/>
    <w:rsid w:val="00F53E8B"/>
    <w:rsid w:val="00F54A4A"/>
    <w:rsid w:val="00F55A54"/>
    <w:rsid w:val="00F56EAB"/>
    <w:rsid w:val="00F5753F"/>
    <w:rsid w:val="00F57559"/>
    <w:rsid w:val="00F57D43"/>
    <w:rsid w:val="00F57FC1"/>
    <w:rsid w:val="00F60D93"/>
    <w:rsid w:val="00F64156"/>
    <w:rsid w:val="00F6431A"/>
    <w:rsid w:val="00F64953"/>
    <w:rsid w:val="00F64B7F"/>
    <w:rsid w:val="00F66424"/>
    <w:rsid w:val="00F679DA"/>
    <w:rsid w:val="00F70979"/>
    <w:rsid w:val="00F70FCE"/>
    <w:rsid w:val="00F71951"/>
    <w:rsid w:val="00F71B35"/>
    <w:rsid w:val="00F71B43"/>
    <w:rsid w:val="00F71F72"/>
    <w:rsid w:val="00F7637F"/>
    <w:rsid w:val="00F763C2"/>
    <w:rsid w:val="00F77BA2"/>
    <w:rsid w:val="00F8053B"/>
    <w:rsid w:val="00F81F7D"/>
    <w:rsid w:val="00F83154"/>
    <w:rsid w:val="00F84107"/>
    <w:rsid w:val="00F8683C"/>
    <w:rsid w:val="00F87A0D"/>
    <w:rsid w:val="00F91F7F"/>
    <w:rsid w:val="00F923E9"/>
    <w:rsid w:val="00F9259A"/>
    <w:rsid w:val="00F92688"/>
    <w:rsid w:val="00F92C6E"/>
    <w:rsid w:val="00F92DC1"/>
    <w:rsid w:val="00F93287"/>
    <w:rsid w:val="00F943FD"/>
    <w:rsid w:val="00F9586A"/>
    <w:rsid w:val="00F95C6D"/>
    <w:rsid w:val="00F9738A"/>
    <w:rsid w:val="00FA1842"/>
    <w:rsid w:val="00FA1B34"/>
    <w:rsid w:val="00FA43C2"/>
    <w:rsid w:val="00FA4890"/>
    <w:rsid w:val="00FA4F5E"/>
    <w:rsid w:val="00FA57ED"/>
    <w:rsid w:val="00FA6A77"/>
    <w:rsid w:val="00FA7309"/>
    <w:rsid w:val="00FB03BD"/>
    <w:rsid w:val="00FB3FE6"/>
    <w:rsid w:val="00FB41D0"/>
    <w:rsid w:val="00FB4C94"/>
    <w:rsid w:val="00FB5CF8"/>
    <w:rsid w:val="00FB6B6B"/>
    <w:rsid w:val="00FC00F2"/>
    <w:rsid w:val="00FC0949"/>
    <w:rsid w:val="00FC3488"/>
    <w:rsid w:val="00FC4494"/>
    <w:rsid w:val="00FC5CC7"/>
    <w:rsid w:val="00FD0974"/>
    <w:rsid w:val="00FD0A83"/>
    <w:rsid w:val="00FD12E6"/>
    <w:rsid w:val="00FD188A"/>
    <w:rsid w:val="00FD1905"/>
    <w:rsid w:val="00FD1C7E"/>
    <w:rsid w:val="00FD3F9D"/>
    <w:rsid w:val="00FD4E6D"/>
    <w:rsid w:val="00FD58B0"/>
    <w:rsid w:val="00FD5F8B"/>
    <w:rsid w:val="00FD71D1"/>
    <w:rsid w:val="00FE03A0"/>
    <w:rsid w:val="00FE12B4"/>
    <w:rsid w:val="00FE1AD5"/>
    <w:rsid w:val="00FE1E56"/>
    <w:rsid w:val="00FE211E"/>
    <w:rsid w:val="00FE2603"/>
    <w:rsid w:val="00FE3B6E"/>
    <w:rsid w:val="00FE5345"/>
    <w:rsid w:val="00FE5DEF"/>
    <w:rsid w:val="00FE6685"/>
    <w:rsid w:val="00FE6E07"/>
    <w:rsid w:val="00FE7213"/>
    <w:rsid w:val="00FF0154"/>
    <w:rsid w:val="00FF0603"/>
    <w:rsid w:val="00FF113B"/>
    <w:rsid w:val="00FF20A4"/>
    <w:rsid w:val="00FF2234"/>
    <w:rsid w:val="00FF23A5"/>
    <w:rsid w:val="00FF3136"/>
    <w:rsid w:val="00FF425C"/>
    <w:rsid w:val="00FF68DD"/>
    <w:rsid w:val="00FF7858"/>
    <w:rsid w:val="01174C80"/>
    <w:rsid w:val="0132316E"/>
    <w:rsid w:val="013A1130"/>
    <w:rsid w:val="02236824"/>
    <w:rsid w:val="02783539"/>
    <w:rsid w:val="02DD6885"/>
    <w:rsid w:val="03DE7C51"/>
    <w:rsid w:val="041B5894"/>
    <w:rsid w:val="04210F16"/>
    <w:rsid w:val="0431382D"/>
    <w:rsid w:val="04500C13"/>
    <w:rsid w:val="04CA2A65"/>
    <w:rsid w:val="04EF3F91"/>
    <w:rsid w:val="05166466"/>
    <w:rsid w:val="051B128D"/>
    <w:rsid w:val="053A6065"/>
    <w:rsid w:val="059B3AAE"/>
    <w:rsid w:val="05CC10A3"/>
    <w:rsid w:val="05CE58E5"/>
    <w:rsid w:val="05F603F2"/>
    <w:rsid w:val="06833BD2"/>
    <w:rsid w:val="06DA32D9"/>
    <w:rsid w:val="07483C37"/>
    <w:rsid w:val="074C774E"/>
    <w:rsid w:val="07CB5671"/>
    <w:rsid w:val="080B7C0E"/>
    <w:rsid w:val="084E3529"/>
    <w:rsid w:val="08732BE6"/>
    <w:rsid w:val="089B45A8"/>
    <w:rsid w:val="096B180A"/>
    <w:rsid w:val="09D544F7"/>
    <w:rsid w:val="09F304B2"/>
    <w:rsid w:val="09FF14CE"/>
    <w:rsid w:val="0AEC7889"/>
    <w:rsid w:val="0AEF0754"/>
    <w:rsid w:val="0B4654C4"/>
    <w:rsid w:val="0B505B9B"/>
    <w:rsid w:val="0B677869"/>
    <w:rsid w:val="0B762F8C"/>
    <w:rsid w:val="0B7C4CD0"/>
    <w:rsid w:val="0B8970C0"/>
    <w:rsid w:val="0BA7711A"/>
    <w:rsid w:val="0BCF050F"/>
    <w:rsid w:val="0C1F3C3C"/>
    <w:rsid w:val="0C2333E1"/>
    <w:rsid w:val="0C86134A"/>
    <w:rsid w:val="0CC66731"/>
    <w:rsid w:val="0D0A5D09"/>
    <w:rsid w:val="0DA37B2A"/>
    <w:rsid w:val="0DEF1ED0"/>
    <w:rsid w:val="0E0647AD"/>
    <w:rsid w:val="0E3436CA"/>
    <w:rsid w:val="0E632E24"/>
    <w:rsid w:val="0E8261AD"/>
    <w:rsid w:val="0ED84F6A"/>
    <w:rsid w:val="0F34788B"/>
    <w:rsid w:val="0FAA29E7"/>
    <w:rsid w:val="0FB26A4C"/>
    <w:rsid w:val="0FE17B3C"/>
    <w:rsid w:val="10092E35"/>
    <w:rsid w:val="103C07C9"/>
    <w:rsid w:val="113355BE"/>
    <w:rsid w:val="120124AB"/>
    <w:rsid w:val="12D00679"/>
    <w:rsid w:val="130A06A1"/>
    <w:rsid w:val="13194281"/>
    <w:rsid w:val="132D5116"/>
    <w:rsid w:val="133E369B"/>
    <w:rsid w:val="14C1315A"/>
    <w:rsid w:val="14F14A2B"/>
    <w:rsid w:val="152B3DC1"/>
    <w:rsid w:val="158C2100"/>
    <w:rsid w:val="15D71513"/>
    <w:rsid w:val="16393CDF"/>
    <w:rsid w:val="16501FA9"/>
    <w:rsid w:val="16664FED"/>
    <w:rsid w:val="16D05439"/>
    <w:rsid w:val="16D704B9"/>
    <w:rsid w:val="16DA589A"/>
    <w:rsid w:val="16DF3580"/>
    <w:rsid w:val="17214898"/>
    <w:rsid w:val="17536D47"/>
    <w:rsid w:val="17D9549A"/>
    <w:rsid w:val="18424699"/>
    <w:rsid w:val="195B65E5"/>
    <w:rsid w:val="1AA34806"/>
    <w:rsid w:val="1B3D3845"/>
    <w:rsid w:val="1B663B2E"/>
    <w:rsid w:val="1BD969D1"/>
    <w:rsid w:val="1C171F7D"/>
    <w:rsid w:val="1C2703A5"/>
    <w:rsid w:val="1C805AB6"/>
    <w:rsid w:val="1C857C15"/>
    <w:rsid w:val="1D776EC5"/>
    <w:rsid w:val="1DAB010F"/>
    <w:rsid w:val="1E5604A6"/>
    <w:rsid w:val="1E7A25D0"/>
    <w:rsid w:val="1EC835CB"/>
    <w:rsid w:val="1EDA248C"/>
    <w:rsid w:val="1F294152"/>
    <w:rsid w:val="1F332B58"/>
    <w:rsid w:val="1F444131"/>
    <w:rsid w:val="1FF3495E"/>
    <w:rsid w:val="20870629"/>
    <w:rsid w:val="20922E5E"/>
    <w:rsid w:val="20F952A8"/>
    <w:rsid w:val="2127654D"/>
    <w:rsid w:val="217C21B5"/>
    <w:rsid w:val="21FB29C4"/>
    <w:rsid w:val="229C30C2"/>
    <w:rsid w:val="22E91128"/>
    <w:rsid w:val="22EE450C"/>
    <w:rsid w:val="23127729"/>
    <w:rsid w:val="231D77B9"/>
    <w:rsid w:val="2353380A"/>
    <w:rsid w:val="236E3B3A"/>
    <w:rsid w:val="23E4105C"/>
    <w:rsid w:val="240E45D2"/>
    <w:rsid w:val="24287BD3"/>
    <w:rsid w:val="2439606F"/>
    <w:rsid w:val="246227C9"/>
    <w:rsid w:val="24983B90"/>
    <w:rsid w:val="24E21EE4"/>
    <w:rsid w:val="24E500EC"/>
    <w:rsid w:val="255F6C5D"/>
    <w:rsid w:val="259E0C6A"/>
    <w:rsid w:val="25EF1823"/>
    <w:rsid w:val="265B0866"/>
    <w:rsid w:val="26655095"/>
    <w:rsid w:val="26A26ECF"/>
    <w:rsid w:val="26E40A04"/>
    <w:rsid w:val="27083E58"/>
    <w:rsid w:val="27410CCA"/>
    <w:rsid w:val="27501229"/>
    <w:rsid w:val="275D0A7F"/>
    <w:rsid w:val="27A55152"/>
    <w:rsid w:val="27B045C5"/>
    <w:rsid w:val="281313DD"/>
    <w:rsid w:val="28463993"/>
    <w:rsid w:val="29042498"/>
    <w:rsid w:val="29446AB7"/>
    <w:rsid w:val="294A5A4D"/>
    <w:rsid w:val="297D22B8"/>
    <w:rsid w:val="2A576B0E"/>
    <w:rsid w:val="2A59481B"/>
    <w:rsid w:val="2A813655"/>
    <w:rsid w:val="2A930A12"/>
    <w:rsid w:val="2AE95EBF"/>
    <w:rsid w:val="2AF979C2"/>
    <w:rsid w:val="2AFD3C60"/>
    <w:rsid w:val="2B0C371E"/>
    <w:rsid w:val="2B743395"/>
    <w:rsid w:val="2B9A336D"/>
    <w:rsid w:val="2BD860B6"/>
    <w:rsid w:val="2C0F4C44"/>
    <w:rsid w:val="2CA169F7"/>
    <w:rsid w:val="2CEC6272"/>
    <w:rsid w:val="2D3938B4"/>
    <w:rsid w:val="2D8E78CE"/>
    <w:rsid w:val="2DA0625B"/>
    <w:rsid w:val="2DCD3E28"/>
    <w:rsid w:val="2E7837E5"/>
    <w:rsid w:val="2E7F4673"/>
    <w:rsid w:val="2E8B0993"/>
    <w:rsid w:val="2EE12E83"/>
    <w:rsid w:val="2F920DEB"/>
    <w:rsid w:val="2F981423"/>
    <w:rsid w:val="2FCA6682"/>
    <w:rsid w:val="3016370F"/>
    <w:rsid w:val="31626EEC"/>
    <w:rsid w:val="31A433BC"/>
    <w:rsid w:val="31D502D7"/>
    <w:rsid w:val="327568D8"/>
    <w:rsid w:val="32FD3BE5"/>
    <w:rsid w:val="334453CF"/>
    <w:rsid w:val="340772C2"/>
    <w:rsid w:val="343D54B3"/>
    <w:rsid w:val="3441444E"/>
    <w:rsid w:val="34767CF9"/>
    <w:rsid w:val="34D74C20"/>
    <w:rsid w:val="34DA604A"/>
    <w:rsid w:val="350D1AC4"/>
    <w:rsid w:val="35281CB9"/>
    <w:rsid w:val="36BA3301"/>
    <w:rsid w:val="36C6080B"/>
    <w:rsid w:val="37365EB5"/>
    <w:rsid w:val="37877A73"/>
    <w:rsid w:val="37A10767"/>
    <w:rsid w:val="37F879AB"/>
    <w:rsid w:val="382F5281"/>
    <w:rsid w:val="385100C7"/>
    <w:rsid w:val="38DC548C"/>
    <w:rsid w:val="395066F1"/>
    <w:rsid w:val="39EA6ECB"/>
    <w:rsid w:val="3A14216C"/>
    <w:rsid w:val="3A4E0637"/>
    <w:rsid w:val="3AB02844"/>
    <w:rsid w:val="3AC35398"/>
    <w:rsid w:val="3B054818"/>
    <w:rsid w:val="3BA32EAB"/>
    <w:rsid w:val="3C022718"/>
    <w:rsid w:val="3C485AA7"/>
    <w:rsid w:val="3C824CFC"/>
    <w:rsid w:val="3D3C78B9"/>
    <w:rsid w:val="3DC12EEA"/>
    <w:rsid w:val="3DCD7D26"/>
    <w:rsid w:val="3E463BD2"/>
    <w:rsid w:val="3E7E11CD"/>
    <w:rsid w:val="3E8A7D0A"/>
    <w:rsid w:val="3EA96D35"/>
    <w:rsid w:val="3F356805"/>
    <w:rsid w:val="3F9F114C"/>
    <w:rsid w:val="3FBE237E"/>
    <w:rsid w:val="3FD008F7"/>
    <w:rsid w:val="3FEE332F"/>
    <w:rsid w:val="4008026E"/>
    <w:rsid w:val="400F065B"/>
    <w:rsid w:val="41122B16"/>
    <w:rsid w:val="4170031A"/>
    <w:rsid w:val="417D7A48"/>
    <w:rsid w:val="41823B99"/>
    <w:rsid w:val="42355F51"/>
    <w:rsid w:val="42A0345F"/>
    <w:rsid w:val="42A56EBA"/>
    <w:rsid w:val="42CE0D35"/>
    <w:rsid w:val="432B09D4"/>
    <w:rsid w:val="434542A3"/>
    <w:rsid w:val="43473C40"/>
    <w:rsid w:val="43661115"/>
    <w:rsid w:val="44BE65E0"/>
    <w:rsid w:val="44F1033F"/>
    <w:rsid w:val="45045AC7"/>
    <w:rsid w:val="45470CB6"/>
    <w:rsid w:val="4568788B"/>
    <w:rsid w:val="458E64E3"/>
    <w:rsid w:val="45B401D3"/>
    <w:rsid w:val="46331C53"/>
    <w:rsid w:val="46DF59D7"/>
    <w:rsid w:val="471D5D1F"/>
    <w:rsid w:val="472A4DB0"/>
    <w:rsid w:val="4738342D"/>
    <w:rsid w:val="475372B8"/>
    <w:rsid w:val="475D536A"/>
    <w:rsid w:val="477F6967"/>
    <w:rsid w:val="47911341"/>
    <w:rsid w:val="481A5F60"/>
    <w:rsid w:val="481C4B95"/>
    <w:rsid w:val="48844863"/>
    <w:rsid w:val="49436A4D"/>
    <w:rsid w:val="4987571E"/>
    <w:rsid w:val="49936DA3"/>
    <w:rsid w:val="4A7B6C99"/>
    <w:rsid w:val="4A8C4473"/>
    <w:rsid w:val="4AA05F70"/>
    <w:rsid w:val="4AB33D29"/>
    <w:rsid w:val="4AEB6B00"/>
    <w:rsid w:val="4B1F647F"/>
    <w:rsid w:val="4B3D43D3"/>
    <w:rsid w:val="4BBC4B8F"/>
    <w:rsid w:val="4BBF2F37"/>
    <w:rsid w:val="4C1C3E7F"/>
    <w:rsid w:val="4C233239"/>
    <w:rsid w:val="4C3B6727"/>
    <w:rsid w:val="4CAB6713"/>
    <w:rsid w:val="4CD62800"/>
    <w:rsid w:val="4D202F62"/>
    <w:rsid w:val="4D9D4DE5"/>
    <w:rsid w:val="4DBC38F5"/>
    <w:rsid w:val="4DBD1A4F"/>
    <w:rsid w:val="4DCB2E58"/>
    <w:rsid w:val="4DE139A6"/>
    <w:rsid w:val="4E3B4E99"/>
    <w:rsid w:val="4EC45334"/>
    <w:rsid w:val="4F5867B1"/>
    <w:rsid w:val="4FA47FEB"/>
    <w:rsid w:val="503912EB"/>
    <w:rsid w:val="503C4167"/>
    <w:rsid w:val="506757DA"/>
    <w:rsid w:val="50AD58E9"/>
    <w:rsid w:val="50F22391"/>
    <w:rsid w:val="5105698F"/>
    <w:rsid w:val="523D1809"/>
    <w:rsid w:val="52721476"/>
    <w:rsid w:val="52E94119"/>
    <w:rsid w:val="53394DEF"/>
    <w:rsid w:val="53FB1E20"/>
    <w:rsid w:val="54230EF3"/>
    <w:rsid w:val="54345D59"/>
    <w:rsid w:val="543B7DDF"/>
    <w:rsid w:val="54622723"/>
    <w:rsid w:val="54F24A86"/>
    <w:rsid w:val="55B2291D"/>
    <w:rsid w:val="55BA535C"/>
    <w:rsid w:val="56B57908"/>
    <w:rsid w:val="56CB53DD"/>
    <w:rsid w:val="56CE1EBF"/>
    <w:rsid w:val="56FE2233"/>
    <w:rsid w:val="57B727E0"/>
    <w:rsid w:val="57C51437"/>
    <w:rsid w:val="587B4050"/>
    <w:rsid w:val="59300AFE"/>
    <w:rsid w:val="59BA696D"/>
    <w:rsid w:val="5A3E4A45"/>
    <w:rsid w:val="5B4F3C48"/>
    <w:rsid w:val="5B842A2E"/>
    <w:rsid w:val="5BE905BF"/>
    <w:rsid w:val="5C077BF3"/>
    <w:rsid w:val="5C22790C"/>
    <w:rsid w:val="5CC008F9"/>
    <w:rsid w:val="5CD8382E"/>
    <w:rsid w:val="5CE97ABF"/>
    <w:rsid w:val="5CF97198"/>
    <w:rsid w:val="5D113D9C"/>
    <w:rsid w:val="5D237C33"/>
    <w:rsid w:val="5D2733A9"/>
    <w:rsid w:val="5DAD294E"/>
    <w:rsid w:val="5DC73479"/>
    <w:rsid w:val="5E0E3D5D"/>
    <w:rsid w:val="5E732FE7"/>
    <w:rsid w:val="5E917A29"/>
    <w:rsid w:val="5EA165A4"/>
    <w:rsid w:val="5EB52965"/>
    <w:rsid w:val="5F0D3D8E"/>
    <w:rsid w:val="5F706A73"/>
    <w:rsid w:val="5F726888"/>
    <w:rsid w:val="5FD70600"/>
    <w:rsid w:val="60042E28"/>
    <w:rsid w:val="60370D9C"/>
    <w:rsid w:val="60834791"/>
    <w:rsid w:val="60CC72D7"/>
    <w:rsid w:val="61106291"/>
    <w:rsid w:val="6153519E"/>
    <w:rsid w:val="620B22C0"/>
    <w:rsid w:val="623E7551"/>
    <w:rsid w:val="623F48ED"/>
    <w:rsid w:val="628A0D56"/>
    <w:rsid w:val="632D793D"/>
    <w:rsid w:val="63E6687D"/>
    <w:rsid w:val="63F50756"/>
    <w:rsid w:val="64AB0495"/>
    <w:rsid w:val="64C3075A"/>
    <w:rsid w:val="650E3F83"/>
    <w:rsid w:val="653C271D"/>
    <w:rsid w:val="65964E5D"/>
    <w:rsid w:val="65A72B32"/>
    <w:rsid w:val="65E83D1F"/>
    <w:rsid w:val="663B6125"/>
    <w:rsid w:val="66745F3D"/>
    <w:rsid w:val="66AD6293"/>
    <w:rsid w:val="66DE539A"/>
    <w:rsid w:val="670B0904"/>
    <w:rsid w:val="679720DB"/>
    <w:rsid w:val="679B3DAE"/>
    <w:rsid w:val="67FA3ADA"/>
    <w:rsid w:val="682723E8"/>
    <w:rsid w:val="688450B6"/>
    <w:rsid w:val="696624E9"/>
    <w:rsid w:val="69A306CC"/>
    <w:rsid w:val="69AC3AA8"/>
    <w:rsid w:val="69DA6A8E"/>
    <w:rsid w:val="6A101101"/>
    <w:rsid w:val="6A1335F4"/>
    <w:rsid w:val="6A1B2679"/>
    <w:rsid w:val="6A6E291A"/>
    <w:rsid w:val="6A945A9B"/>
    <w:rsid w:val="6AFD006E"/>
    <w:rsid w:val="6BAB19C6"/>
    <w:rsid w:val="6C27472A"/>
    <w:rsid w:val="6C490484"/>
    <w:rsid w:val="6CF55FCB"/>
    <w:rsid w:val="6D2F76A6"/>
    <w:rsid w:val="6D5A5F6B"/>
    <w:rsid w:val="6D5E161A"/>
    <w:rsid w:val="6D9739BE"/>
    <w:rsid w:val="6E033242"/>
    <w:rsid w:val="6E425DEE"/>
    <w:rsid w:val="6EFA310F"/>
    <w:rsid w:val="6F4F5167"/>
    <w:rsid w:val="6F6B7FEB"/>
    <w:rsid w:val="701F0BE2"/>
    <w:rsid w:val="702B4173"/>
    <w:rsid w:val="70412B82"/>
    <w:rsid w:val="709D5B46"/>
    <w:rsid w:val="70AC3247"/>
    <w:rsid w:val="70B25325"/>
    <w:rsid w:val="71272202"/>
    <w:rsid w:val="71286EED"/>
    <w:rsid w:val="716E1A14"/>
    <w:rsid w:val="71D91954"/>
    <w:rsid w:val="71FA03D2"/>
    <w:rsid w:val="7214068D"/>
    <w:rsid w:val="72202835"/>
    <w:rsid w:val="72664FD3"/>
    <w:rsid w:val="727033D1"/>
    <w:rsid w:val="72940077"/>
    <w:rsid w:val="72A9539D"/>
    <w:rsid w:val="72C82DDB"/>
    <w:rsid w:val="73982572"/>
    <w:rsid w:val="746369B9"/>
    <w:rsid w:val="751F1A4B"/>
    <w:rsid w:val="75773F15"/>
    <w:rsid w:val="75F45CE7"/>
    <w:rsid w:val="76134352"/>
    <w:rsid w:val="76207FA8"/>
    <w:rsid w:val="76250B47"/>
    <w:rsid w:val="76513577"/>
    <w:rsid w:val="76C032FA"/>
    <w:rsid w:val="76FE0CDA"/>
    <w:rsid w:val="77264757"/>
    <w:rsid w:val="77520979"/>
    <w:rsid w:val="777271B3"/>
    <w:rsid w:val="77842BBD"/>
    <w:rsid w:val="77BB41FE"/>
    <w:rsid w:val="7872717E"/>
    <w:rsid w:val="78987255"/>
    <w:rsid w:val="789A7C15"/>
    <w:rsid w:val="7910745F"/>
    <w:rsid w:val="791F21A9"/>
    <w:rsid w:val="79D638B4"/>
    <w:rsid w:val="7A6811A8"/>
    <w:rsid w:val="7AA4793F"/>
    <w:rsid w:val="7ACE2EFE"/>
    <w:rsid w:val="7ADB78BC"/>
    <w:rsid w:val="7AFD495C"/>
    <w:rsid w:val="7B422A4A"/>
    <w:rsid w:val="7B8B4159"/>
    <w:rsid w:val="7BA01856"/>
    <w:rsid w:val="7BB27003"/>
    <w:rsid w:val="7BB84E72"/>
    <w:rsid w:val="7BE5029A"/>
    <w:rsid w:val="7C5A782B"/>
    <w:rsid w:val="7C851FC2"/>
    <w:rsid w:val="7CAB1C8C"/>
    <w:rsid w:val="7CF07CC8"/>
    <w:rsid w:val="7D213682"/>
    <w:rsid w:val="7DA01C15"/>
    <w:rsid w:val="7DD341AE"/>
    <w:rsid w:val="7DE50D8D"/>
    <w:rsid w:val="7E25518C"/>
    <w:rsid w:val="7E2C6900"/>
    <w:rsid w:val="7E392334"/>
    <w:rsid w:val="7E3D0E63"/>
    <w:rsid w:val="7EE001F0"/>
    <w:rsid w:val="7F217D45"/>
    <w:rsid w:val="7F6136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4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1"/>
    <w:qFormat/>
    <w:uiPriority w:val="9"/>
    <w:pPr>
      <w:keepNext/>
      <w:keepLines/>
      <w:spacing w:before="260" w:after="260" w:line="416" w:lineRule="auto"/>
      <w:outlineLvl w:val="1"/>
    </w:pPr>
    <w:rPr>
      <w:rFonts w:ascii="Cambria" w:hAnsi="Cambria"/>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5">
    <w:name w:val="Normal Indent"/>
    <w:basedOn w:val="1"/>
    <w:link w:val="28"/>
    <w:qFormat/>
    <w:uiPriority w:val="0"/>
    <w:pPr>
      <w:ind w:firstLine="420"/>
    </w:pPr>
    <w:rPr>
      <w:sz w:val="21"/>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Document Map"/>
    <w:basedOn w:val="1"/>
    <w:link w:val="70"/>
    <w:semiHidden/>
    <w:unhideWhenUsed/>
    <w:qFormat/>
    <w:uiPriority w:val="99"/>
    <w:rPr>
      <w:rFonts w:ascii="宋体"/>
      <w:sz w:val="18"/>
      <w:szCs w:val="18"/>
    </w:rPr>
  </w:style>
  <w:style w:type="paragraph" w:styleId="8">
    <w:name w:val="annotation text"/>
    <w:basedOn w:val="1"/>
    <w:link w:val="32"/>
    <w:unhideWhenUsed/>
    <w:qFormat/>
    <w:uiPriority w:val="99"/>
    <w:pPr>
      <w:jc w:val="left"/>
    </w:pPr>
  </w:style>
  <w:style w:type="paragraph" w:styleId="9">
    <w:name w:val="Body Text"/>
    <w:basedOn w:val="1"/>
    <w:unhideWhenUsed/>
    <w:qFormat/>
    <w:uiPriority w:val="99"/>
    <w:pPr>
      <w:spacing w:after="120"/>
    </w:pPr>
  </w:style>
  <w:style w:type="paragraph" w:styleId="10">
    <w:name w:val="Body Text Indent"/>
    <w:basedOn w:val="1"/>
    <w:link w:val="33"/>
    <w:qFormat/>
    <w:uiPriority w:val="0"/>
    <w:pPr>
      <w:spacing w:line="200" w:lineRule="atLeast"/>
      <w:ind w:firstLine="301"/>
    </w:pPr>
    <w:rPr>
      <w:rFonts w:ascii="宋体" w:hAnsi="Courier New"/>
      <w:spacing w:val="-4"/>
      <w:sz w:val="18"/>
      <w:szCs w:val="20"/>
    </w:rPr>
  </w:style>
  <w:style w:type="paragraph" w:styleId="11">
    <w:name w:val="List 2"/>
    <w:basedOn w:val="1"/>
    <w:unhideWhenUsed/>
    <w:qFormat/>
    <w:uiPriority w:val="99"/>
    <w:pPr>
      <w:ind w:left="100" w:leftChars="200" w:hanging="200" w:hangingChars="200"/>
      <w:contextualSpacing/>
    </w:pPr>
  </w:style>
  <w:style w:type="paragraph" w:styleId="12">
    <w:name w:val="Plain Text"/>
    <w:basedOn w:val="1"/>
    <w:link w:val="52"/>
    <w:qFormat/>
    <w:uiPriority w:val="99"/>
    <w:pPr>
      <w:spacing w:beforeLines="50" w:afterLines="50" w:line="400" w:lineRule="atLeast"/>
    </w:pPr>
    <w:rPr>
      <w:rFonts w:ascii="宋体" w:hAnsi="Courier New"/>
      <w:sz w:val="24"/>
    </w:rPr>
  </w:style>
  <w:style w:type="paragraph" w:styleId="13">
    <w:name w:val="Date"/>
    <w:basedOn w:val="1"/>
    <w:next w:val="1"/>
    <w:qFormat/>
    <w:uiPriority w:val="0"/>
    <w:pPr>
      <w:ind w:left="2500" w:leftChars="2500"/>
    </w:pPr>
    <w:rPr>
      <w:rFonts w:eastAsia="楷体_GB2312"/>
      <w:sz w:val="32"/>
      <w:szCs w:val="20"/>
    </w:rPr>
  </w:style>
  <w:style w:type="paragraph" w:styleId="14">
    <w:name w:val="Balloon Text"/>
    <w:basedOn w:val="1"/>
    <w:qFormat/>
    <w:uiPriority w:val="0"/>
    <w:rPr>
      <w:sz w:val="18"/>
      <w:szCs w:val="18"/>
    </w:rPr>
  </w:style>
  <w:style w:type="paragraph" w:styleId="15">
    <w:name w:val="footer"/>
    <w:basedOn w:val="1"/>
    <w:link w:val="40"/>
    <w:qFormat/>
    <w:uiPriority w:val="99"/>
    <w:pPr>
      <w:tabs>
        <w:tab w:val="center" w:pos="4153"/>
        <w:tab w:val="right" w:pos="8306"/>
      </w:tabs>
      <w:snapToGrid w:val="0"/>
      <w:jc w:val="left"/>
    </w:pPr>
    <w:rPr>
      <w:sz w:val="18"/>
      <w:szCs w:val="18"/>
    </w:rPr>
  </w:style>
  <w:style w:type="paragraph" w:styleId="16">
    <w:name w:val="header"/>
    <w:basedOn w:val="1"/>
    <w:link w:val="31"/>
    <w:qFormat/>
    <w:uiPriority w:val="99"/>
    <w:pPr>
      <w:tabs>
        <w:tab w:val="center" w:pos="4153"/>
        <w:tab w:val="right" w:pos="8306"/>
      </w:tabs>
      <w:snapToGrid w:val="0"/>
      <w:jc w:val="center"/>
    </w:pPr>
    <w:rPr>
      <w:sz w:val="18"/>
      <w:szCs w:val="18"/>
    </w:rPr>
  </w:style>
  <w:style w:type="paragraph" w:styleId="17">
    <w:name w:val="List"/>
    <w:basedOn w:val="1"/>
    <w:qFormat/>
    <w:uiPriority w:val="0"/>
    <w:pPr>
      <w:ind w:left="200" w:hanging="200" w:hangingChars="200"/>
    </w:pPr>
  </w:style>
  <w:style w:type="paragraph" w:styleId="18">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19">
    <w:name w:val="Normal (Web)"/>
    <w:basedOn w:val="1"/>
    <w:qFormat/>
    <w:uiPriority w:val="0"/>
    <w:pPr>
      <w:widowControl/>
      <w:spacing w:before="100" w:beforeAutospacing="1" w:after="100" w:afterAutospacing="1"/>
      <w:ind w:firstLine="420"/>
      <w:jc w:val="left"/>
    </w:pPr>
    <w:rPr>
      <w:rFonts w:ascii="宋体" w:hAnsi="宋体"/>
      <w:kern w:val="0"/>
      <w:sz w:val="20"/>
      <w:szCs w:val="20"/>
    </w:rPr>
  </w:style>
  <w:style w:type="paragraph" w:styleId="20">
    <w:name w:val="annotation subject"/>
    <w:basedOn w:val="8"/>
    <w:next w:val="8"/>
    <w:link w:val="29"/>
    <w:unhideWhenUsed/>
    <w:qFormat/>
    <w:uiPriority w:val="99"/>
    <w:rPr>
      <w:b/>
      <w:bCs/>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page number"/>
    <w:basedOn w:val="23"/>
    <w:qFormat/>
    <w:uiPriority w:val="0"/>
  </w:style>
  <w:style w:type="character" w:styleId="26">
    <w:name w:val="Hyperlink"/>
    <w:qFormat/>
    <w:uiPriority w:val="0"/>
    <w:rPr>
      <w:color w:val="0000FF"/>
      <w:u w:val="single"/>
    </w:rPr>
  </w:style>
  <w:style w:type="character" w:styleId="27">
    <w:name w:val="annotation reference"/>
    <w:unhideWhenUsed/>
    <w:qFormat/>
    <w:uiPriority w:val="99"/>
    <w:rPr>
      <w:sz w:val="21"/>
      <w:szCs w:val="21"/>
    </w:rPr>
  </w:style>
  <w:style w:type="character" w:customStyle="1" w:styleId="28">
    <w:name w:val="正文缩进 Char"/>
    <w:link w:val="5"/>
    <w:qFormat/>
    <w:uiPriority w:val="0"/>
    <w:rPr>
      <w:rFonts w:eastAsia="宋体"/>
      <w:kern w:val="2"/>
      <w:sz w:val="21"/>
      <w:lang w:val="en-US" w:eastAsia="zh-CN" w:bidi="ar-SA"/>
    </w:rPr>
  </w:style>
  <w:style w:type="character" w:customStyle="1" w:styleId="29">
    <w:name w:val="批注主题 Char"/>
    <w:link w:val="20"/>
    <w:semiHidden/>
    <w:qFormat/>
    <w:uiPriority w:val="99"/>
    <w:rPr>
      <w:b/>
      <w:bCs/>
      <w:kern w:val="2"/>
      <w:sz w:val="28"/>
      <w:szCs w:val="24"/>
    </w:rPr>
  </w:style>
  <w:style w:type="character" w:customStyle="1" w:styleId="30">
    <w:name w:val="访问过的超链接1"/>
    <w:unhideWhenUsed/>
    <w:qFormat/>
    <w:uiPriority w:val="99"/>
    <w:rPr>
      <w:color w:val="800080"/>
      <w:u w:val="single"/>
    </w:rPr>
  </w:style>
  <w:style w:type="character" w:customStyle="1" w:styleId="31">
    <w:name w:val="页眉 Char"/>
    <w:link w:val="16"/>
    <w:qFormat/>
    <w:uiPriority w:val="99"/>
    <w:rPr>
      <w:kern w:val="2"/>
      <w:sz w:val="18"/>
      <w:szCs w:val="18"/>
    </w:rPr>
  </w:style>
  <w:style w:type="character" w:customStyle="1" w:styleId="32">
    <w:name w:val="批注文字 Char2"/>
    <w:link w:val="8"/>
    <w:semiHidden/>
    <w:qFormat/>
    <w:uiPriority w:val="99"/>
    <w:rPr>
      <w:kern w:val="2"/>
      <w:sz w:val="28"/>
      <w:szCs w:val="24"/>
    </w:rPr>
  </w:style>
  <w:style w:type="character" w:customStyle="1" w:styleId="33">
    <w:name w:val="正文文本缩进 Char1"/>
    <w:link w:val="10"/>
    <w:qFormat/>
    <w:uiPriority w:val="0"/>
    <w:rPr>
      <w:rFonts w:ascii="宋体" w:hAnsi="Courier New"/>
      <w:spacing w:val="-4"/>
      <w:kern w:val="2"/>
      <w:sz w:val="18"/>
    </w:rPr>
  </w:style>
  <w:style w:type="character" w:customStyle="1" w:styleId="34">
    <w:name w:val="z-窗体顶端 Char"/>
    <w:link w:val="35"/>
    <w:semiHidden/>
    <w:qFormat/>
    <w:uiPriority w:val="99"/>
    <w:rPr>
      <w:rFonts w:ascii="Arial" w:hAnsi="Arial"/>
      <w:vanish/>
      <w:sz w:val="16"/>
      <w:szCs w:val="16"/>
    </w:rPr>
  </w:style>
  <w:style w:type="paragraph" w:customStyle="1" w:styleId="35">
    <w:name w:val="z-窗体顶端1"/>
    <w:basedOn w:val="1"/>
    <w:next w:val="1"/>
    <w:link w:val="34"/>
    <w:unhideWhenUsed/>
    <w:qFormat/>
    <w:uiPriority w:val="99"/>
    <w:pPr>
      <w:widowControl/>
      <w:pBdr>
        <w:bottom w:val="single" w:color="auto" w:sz="6" w:space="1"/>
      </w:pBdr>
      <w:jc w:val="center"/>
    </w:pPr>
    <w:rPr>
      <w:rFonts w:ascii="Arial" w:hAnsi="Arial"/>
      <w:vanish/>
      <w:kern w:val="0"/>
      <w:sz w:val="16"/>
      <w:szCs w:val="16"/>
    </w:rPr>
  </w:style>
  <w:style w:type="character" w:customStyle="1" w:styleId="36">
    <w:name w:val="正方框图 Char Char Char"/>
    <w:link w:val="37"/>
    <w:qFormat/>
    <w:uiPriority w:val="0"/>
    <w:rPr>
      <w:kern w:val="2"/>
      <w:sz w:val="21"/>
      <w:szCs w:val="21"/>
    </w:rPr>
  </w:style>
  <w:style w:type="paragraph" w:customStyle="1" w:styleId="37">
    <w:name w:val="正方框图 Char Char"/>
    <w:basedOn w:val="1"/>
    <w:link w:val="36"/>
    <w:qFormat/>
    <w:uiPriority w:val="0"/>
    <w:pPr>
      <w:snapToGrid w:val="0"/>
      <w:jc w:val="center"/>
    </w:pPr>
    <w:rPr>
      <w:sz w:val="21"/>
      <w:szCs w:val="21"/>
    </w:rPr>
  </w:style>
  <w:style w:type="character" w:customStyle="1" w:styleId="38">
    <w:name w:val="正文文本缩进 字符"/>
    <w:qFormat/>
    <w:uiPriority w:val="0"/>
    <w:rPr>
      <w:rFonts w:ascii="宋体" w:hAnsi="Courier New"/>
      <w:spacing w:val="-4"/>
      <w:kern w:val="2"/>
      <w:sz w:val="18"/>
    </w:rPr>
  </w:style>
  <w:style w:type="character" w:customStyle="1" w:styleId="39">
    <w:name w:val="标题 1 Char Char"/>
    <w:qFormat/>
    <w:uiPriority w:val="0"/>
    <w:rPr>
      <w:rFonts w:eastAsia="宋体"/>
      <w:b/>
      <w:spacing w:val="-2"/>
      <w:sz w:val="24"/>
      <w:lang w:val="en-US" w:eastAsia="zh-CN" w:bidi="ar-SA"/>
    </w:rPr>
  </w:style>
  <w:style w:type="character" w:customStyle="1" w:styleId="40">
    <w:name w:val="页脚 Char"/>
    <w:link w:val="15"/>
    <w:qFormat/>
    <w:uiPriority w:val="99"/>
    <w:rPr>
      <w:kern w:val="2"/>
      <w:sz w:val="18"/>
      <w:szCs w:val="18"/>
    </w:rPr>
  </w:style>
  <w:style w:type="character" w:customStyle="1" w:styleId="41">
    <w:name w:val="标题 2 Char"/>
    <w:link w:val="3"/>
    <w:semiHidden/>
    <w:qFormat/>
    <w:uiPriority w:val="9"/>
    <w:rPr>
      <w:rFonts w:ascii="Cambria" w:hAnsi="Cambria" w:eastAsia="宋体" w:cs="Times New Roman"/>
      <w:b/>
      <w:bCs/>
      <w:kern w:val="2"/>
      <w:sz w:val="32"/>
      <w:szCs w:val="32"/>
    </w:rPr>
  </w:style>
  <w:style w:type="character" w:customStyle="1" w:styleId="42">
    <w:name w:val="标题 1 Char"/>
    <w:link w:val="2"/>
    <w:qFormat/>
    <w:uiPriority w:val="9"/>
    <w:rPr>
      <w:b/>
      <w:bCs/>
      <w:kern w:val="44"/>
      <w:sz w:val="44"/>
      <w:szCs w:val="44"/>
    </w:rPr>
  </w:style>
  <w:style w:type="character" w:customStyle="1" w:styleId="43">
    <w:name w:val="纯文本 字符"/>
    <w:qFormat/>
    <w:uiPriority w:val="0"/>
    <w:rPr>
      <w:rFonts w:ascii="宋体" w:hAnsi="Courier New"/>
      <w:kern w:val="2"/>
      <w:sz w:val="24"/>
      <w:szCs w:val="24"/>
    </w:rPr>
  </w:style>
  <w:style w:type="character" w:customStyle="1" w:styleId="44">
    <w:name w:val="页脚 字符"/>
    <w:qFormat/>
    <w:uiPriority w:val="99"/>
  </w:style>
  <w:style w:type="character" w:customStyle="1" w:styleId="45">
    <w:name w:val="maywed421"/>
    <w:qFormat/>
    <w:uiPriority w:val="0"/>
    <w:rPr>
      <w:color w:val="366FB6"/>
      <w:u w:val="none"/>
    </w:rPr>
  </w:style>
  <w:style w:type="character" w:customStyle="1" w:styleId="46">
    <w:name w:val="Plain Text Char Char"/>
    <w:link w:val="47"/>
    <w:qFormat/>
    <w:uiPriority w:val="0"/>
    <w:rPr>
      <w:rFonts w:ascii="宋体" w:hAnsi="Courier New" w:cs="宋体"/>
    </w:rPr>
  </w:style>
  <w:style w:type="paragraph" w:customStyle="1" w:styleId="47">
    <w:name w:val="纯文本1"/>
    <w:basedOn w:val="1"/>
    <w:link w:val="46"/>
    <w:qFormat/>
    <w:uiPriority w:val="0"/>
    <w:rPr>
      <w:rFonts w:ascii="宋体" w:hAnsi="Courier New"/>
      <w:kern w:val="0"/>
      <w:sz w:val="20"/>
      <w:szCs w:val="20"/>
    </w:rPr>
  </w:style>
  <w:style w:type="character" w:customStyle="1" w:styleId="48">
    <w:name w:val="纯文本 Char1"/>
    <w:qFormat/>
    <w:uiPriority w:val="0"/>
    <w:rPr>
      <w:rFonts w:ascii="宋体" w:hAnsi="Courier New"/>
      <w:kern w:val="2"/>
      <w:sz w:val="21"/>
    </w:rPr>
  </w:style>
  <w:style w:type="character" w:customStyle="1" w:styleId="49">
    <w:name w:val="black601"/>
    <w:qFormat/>
    <w:uiPriority w:val="0"/>
    <w:rPr>
      <w:color w:val="666666"/>
    </w:rPr>
  </w:style>
  <w:style w:type="character" w:customStyle="1" w:styleId="50">
    <w:name w:val="z-窗体底端 Char"/>
    <w:link w:val="51"/>
    <w:semiHidden/>
    <w:qFormat/>
    <w:uiPriority w:val="99"/>
    <w:rPr>
      <w:rFonts w:ascii="Arial" w:hAnsi="Arial"/>
      <w:vanish/>
      <w:sz w:val="16"/>
      <w:szCs w:val="16"/>
    </w:rPr>
  </w:style>
  <w:style w:type="paragraph" w:customStyle="1" w:styleId="51">
    <w:name w:val="z-窗体底端1"/>
    <w:basedOn w:val="1"/>
    <w:next w:val="1"/>
    <w:link w:val="50"/>
    <w:unhideWhenUsed/>
    <w:qFormat/>
    <w:uiPriority w:val="99"/>
    <w:pPr>
      <w:widowControl/>
      <w:pBdr>
        <w:top w:val="single" w:color="auto" w:sz="6" w:space="1"/>
      </w:pBdr>
      <w:jc w:val="center"/>
    </w:pPr>
    <w:rPr>
      <w:rFonts w:ascii="Arial" w:hAnsi="Arial"/>
      <w:vanish/>
      <w:kern w:val="0"/>
      <w:sz w:val="16"/>
      <w:szCs w:val="16"/>
    </w:rPr>
  </w:style>
  <w:style w:type="character" w:customStyle="1" w:styleId="52">
    <w:name w:val="纯文本 Char"/>
    <w:link w:val="12"/>
    <w:qFormat/>
    <w:uiPriority w:val="99"/>
    <w:rPr>
      <w:rFonts w:ascii="宋体" w:hAnsi="Courier New"/>
      <w:kern w:val="2"/>
      <w:sz w:val="24"/>
      <w:szCs w:val="24"/>
    </w:rPr>
  </w:style>
  <w:style w:type="character" w:customStyle="1" w:styleId="53">
    <w:name w:val="页眉 字符"/>
    <w:qFormat/>
    <w:uiPriority w:val="99"/>
  </w:style>
  <w:style w:type="paragraph" w:styleId="5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5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7">
    <w:name w:val="默认段落字体 Para Char Char Char Char Char Char Char Char Char1 Char Char Char Char"/>
    <w:basedOn w:val="1"/>
    <w:qFormat/>
    <w:uiPriority w:val="0"/>
    <w:rPr>
      <w:rFonts w:ascii="Tahoma" w:hAnsi="Tahoma"/>
      <w:sz w:val="24"/>
      <w:szCs w:val="20"/>
    </w:rPr>
  </w:style>
  <w:style w:type="paragraph" w:customStyle="1" w:styleId="58">
    <w:name w:val="List Paragraph1"/>
    <w:basedOn w:val="1"/>
    <w:qFormat/>
    <w:uiPriority w:val="99"/>
    <w:pPr>
      <w:ind w:firstLine="420" w:firstLineChars="200"/>
    </w:pPr>
    <w:rPr>
      <w:sz w:val="21"/>
    </w:rPr>
  </w:style>
  <w:style w:type="paragraph" w:customStyle="1" w:styleId="59">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61">
    <w:name w:val="列出段落1"/>
    <w:basedOn w:val="1"/>
    <w:qFormat/>
    <w:uiPriority w:val="0"/>
    <w:pPr>
      <w:ind w:firstLine="420" w:firstLineChars="200"/>
    </w:pPr>
    <w:rPr>
      <w:rFonts w:ascii="Calibri" w:hAnsi="Calibri"/>
      <w:sz w:val="21"/>
    </w:rPr>
  </w:style>
  <w:style w:type="paragraph" w:customStyle="1" w:styleId="62">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styleId="63">
    <w:name w:val="List Paragraph"/>
    <w:basedOn w:val="1"/>
    <w:qFormat/>
    <w:uiPriority w:val="34"/>
    <w:pPr>
      <w:ind w:firstLine="420" w:firstLineChars="200"/>
    </w:pPr>
    <w:rPr>
      <w:rFonts w:ascii="Calibri" w:hAnsi="Calibri"/>
      <w:sz w:val="21"/>
      <w:szCs w:val="22"/>
    </w:rPr>
  </w:style>
  <w:style w:type="paragraph" w:customStyle="1" w:styleId="64">
    <w:name w:val="正文段"/>
    <w:basedOn w:val="1"/>
    <w:qFormat/>
    <w:uiPriority w:val="0"/>
    <w:pPr>
      <w:widowControl/>
      <w:snapToGrid w:val="0"/>
      <w:spacing w:afterLines="50"/>
      <w:ind w:firstLine="200" w:firstLineChars="200"/>
    </w:pPr>
    <w:rPr>
      <w:kern w:val="0"/>
      <w:sz w:val="24"/>
      <w:szCs w:val="20"/>
    </w:rPr>
  </w:style>
  <w:style w:type="character" w:customStyle="1" w:styleId="65">
    <w:name w:val="正文文本缩进 Char"/>
    <w:qFormat/>
    <w:uiPriority w:val="0"/>
    <w:rPr>
      <w:rFonts w:ascii="宋体" w:hAnsi="Courier New"/>
      <w:spacing w:val="-4"/>
      <w:kern w:val="2"/>
      <w:sz w:val="18"/>
    </w:rPr>
  </w:style>
  <w:style w:type="character" w:customStyle="1" w:styleId="66">
    <w:name w:val="批注文字 Char"/>
    <w:qFormat/>
    <w:uiPriority w:val="99"/>
    <w:rPr>
      <w:kern w:val="2"/>
      <w:sz w:val="28"/>
      <w:szCs w:val="24"/>
    </w:rPr>
  </w:style>
  <w:style w:type="paragraph" w:customStyle="1" w:styleId="67">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character" w:customStyle="1" w:styleId="68">
    <w:name w:val="纯文本 Char2"/>
    <w:qFormat/>
    <w:uiPriority w:val="99"/>
    <w:rPr>
      <w:rFonts w:ascii="宋体" w:hAnsi="Courier New"/>
      <w:kern w:val="2"/>
      <w:sz w:val="24"/>
      <w:szCs w:val="24"/>
    </w:rPr>
  </w:style>
  <w:style w:type="character" w:customStyle="1" w:styleId="69">
    <w:name w:val="批注文字 Char1"/>
    <w:semiHidden/>
    <w:qFormat/>
    <w:locked/>
    <w:uiPriority w:val="99"/>
    <w:rPr>
      <w:kern w:val="2"/>
      <w:sz w:val="28"/>
      <w:szCs w:val="24"/>
    </w:rPr>
  </w:style>
  <w:style w:type="character" w:customStyle="1" w:styleId="70">
    <w:name w:val="文档结构图 Char"/>
    <w:basedOn w:val="23"/>
    <w:link w:val="7"/>
    <w:semiHidden/>
    <w:qFormat/>
    <w:uiPriority w:val="99"/>
    <w:rPr>
      <w:rFonts w:ascii="宋体"/>
      <w:kern w:val="2"/>
      <w:sz w:val="18"/>
      <w:szCs w:val="18"/>
    </w:rPr>
  </w:style>
  <w:style w:type="character" w:customStyle="1" w:styleId="71">
    <w:name w:val="批注文字 字符"/>
    <w:qFormat/>
    <w:uiPriority w:val="99"/>
    <w:rPr>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4678</Words>
  <Characters>26670</Characters>
  <Lines>222</Lines>
  <Paragraphs>62</Paragraphs>
  <TotalTime>66</TotalTime>
  <ScaleCrop>false</ScaleCrop>
  <LinksUpToDate>false</LinksUpToDate>
  <CharactersWithSpaces>31286</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2019-05-27T03:19:00Z</dcterms:created>
  <dc:creator>jj</dc:creator>
  <cp:lastModifiedBy>Administrator</cp:lastModifiedBy>
  <cp:lastPrinted>2016-03-21T00:55:00Z</cp:lastPrinted>
  <dcterms:modified xsi:type="dcterms:W3CDTF">2019-11-12T08:08:36Z</dcterms:modified>
  <dc:title>求是招标代理有限公司</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