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06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浙江拟联信息技术有限公司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杭州市文一西路726号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网信办标准化运维服务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697480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bookmarkStart w:id="0" w:name="_GoBack"/>
      <w:r>
        <w:rPr>
          <w:rFonts w:hint="eastAsia"/>
          <w:sz w:val="24"/>
          <w:szCs w:val="28"/>
          <w:lang w:val="en-US" w:eastAsia="zh-CN"/>
        </w:rPr>
        <w:t>服务费：8369元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bookmarkEnd w:id="0"/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0E934F7A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3515A0F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0810C43"/>
    <w:rsid w:val="528F5406"/>
    <w:rsid w:val="52BD6E57"/>
    <w:rsid w:val="549F4D59"/>
    <w:rsid w:val="58AB3463"/>
    <w:rsid w:val="611B6344"/>
    <w:rsid w:val="613E161B"/>
    <w:rsid w:val="62243F24"/>
    <w:rsid w:val="62615ED7"/>
    <w:rsid w:val="631D37E6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2019-11-15T02:34:15Z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