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420" w:firstLine="420"/>
        <w:jc w:val="center"/>
        <w:rPr>
          <w:rFonts w:hint="eastAsia"/>
          <w:b/>
          <w:sz w:val="52"/>
          <w:szCs w:val="52"/>
        </w:rPr>
      </w:pPr>
    </w:p>
    <w:p>
      <w:pPr>
        <w:widowControl/>
        <w:ind w:firstLine="442" w:firstLineChars="100"/>
        <w:jc w:val="left"/>
        <w:outlineLvl w:val="0"/>
        <w:rPr>
          <w:rFonts w:hint="eastAsia" w:ascii="宋体" w:hAnsi="宋体" w:cs="宋体"/>
          <w:b/>
          <w:bCs/>
          <w:kern w:val="0"/>
          <w:sz w:val="24"/>
          <w:lang w:bidi="ar"/>
        </w:rPr>
      </w:pPr>
      <w:bookmarkStart w:id="0" w:name="_Toc24430"/>
      <w:r>
        <w:rPr>
          <w:rFonts w:hint="eastAsia" w:ascii="宋体" w:hAnsi="宋体" w:cs="宋体"/>
          <w:b/>
          <w:bCs/>
          <w:kern w:val="0"/>
          <w:sz w:val="44"/>
          <w:szCs w:val="44"/>
          <w:lang w:eastAsia="zh-CN"/>
        </w:rPr>
        <w:t>长兴县交通运输行政执法队无人机库采购服务</w:t>
      </w:r>
      <w:bookmarkEnd w:id="0"/>
    </w:p>
    <w:p>
      <w:pPr>
        <w:widowControl/>
        <w:jc w:val="left"/>
        <w:rPr>
          <w:rFonts w:hint="eastAsia" w:ascii="宋体" w:hAnsi="宋体" w:cs="宋体"/>
          <w:b/>
          <w:bCs/>
          <w:kern w:val="0"/>
          <w:sz w:val="24"/>
          <w:lang w:bidi="ar"/>
        </w:rPr>
      </w:pPr>
    </w:p>
    <w:p>
      <w:pPr>
        <w:snapToGrid w:val="0"/>
        <w:spacing w:line="460" w:lineRule="exact"/>
        <w:ind w:firstLine="422" w:firstLineChars="200"/>
        <w:rPr>
          <w:rFonts w:hint="eastAsia" w:ascii="宋体" w:hAnsi="宋体" w:cs="宋体"/>
          <w:b/>
          <w:bCs/>
          <w:szCs w:val="21"/>
        </w:rPr>
      </w:pPr>
    </w:p>
    <w:p>
      <w:pPr>
        <w:snapToGrid w:val="0"/>
        <w:spacing w:line="460" w:lineRule="exact"/>
        <w:ind w:firstLine="422" w:firstLineChars="200"/>
        <w:rPr>
          <w:rFonts w:hint="eastAsia" w:ascii="宋体" w:hAnsi="宋体" w:cs="宋体"/>
          <w:b/>
          <w:bCs/>
          <w:szCs w:val="21"/>
        </w:rPr>
      </w:pPr>
    </w:p>
    <w:p>
      <w:pPr>
        <w:spacing w:before="120" w:beforeLines="50"/>
        <w:jc w:val="center"/>
        <w:rPr>
          <w:rFonts w:hint="eastAsia" w:ascii="宋体" w:hAnsi="宋体" w:cs="宋体"/>
          <w:b/>
          <w:bCs/>
          <w:szCs w:val="21"/>
        </w:rPr>
      </w:pPr>
    </w:p>
    <w:p>
      <w:pPr>
        <w:spacing w:before="120" w:beforeLines="50"/>
        <w:rPr>
          <w:rFonts w:hint="eastAsia" w:ascii="宋体" w:hAnsi="宋体" w:cs="宋体"/>
          <w:b/>
          <w:bCs/>
          <w:sz w:val="48"/>
          <w:szCs w:val="48"/>
        </w:rPr>
      </w:pPr>
    </w:p>
    <w:p>
      <w:pPr>
        <w:pStyle w:val="19"/>
        <w:rPr>
          <w:rFonts w:hint="eastAsia" w:ascii="宋体" w:hAnsi="宋体" w:cs="宋体"/>
          <w:b/>
          <w:bCs/>
          <w:sz w:val="48"/>
          <w:szCs w:val="48"/>
        </w:rPr>
      </w:pPr>
    </w:p>
    <w:p>
      <w:pPr>
        <w:pStyle w:val="19"/>
        <w:rPr>
          <w:rFonts w:hint="eastAsia" w:ascii="宋体" w:hAnsi="宋体" w:cs="宋体"/>
          <w:b/>
          <w:bCs/>
          <w:sz w:val="48"/>
          <w:szCs w:val="48"/>
        </w:rPr>
      </w:pPr>
    </w:p>
    <w:p>
      <w:pPr>
        <w:widowControl/>
        <w:tabs>
          <w:tab w:val="center" w:pos="4590"/>
          <w:tab w:val="left" w:pos="8246"/>
        </w:tabs>
        <w:snapToGrid w:val="0"/>
        <w:spacing w:line="940" w:lineRule="exact"/>
        <w:jc w:val="center"/>
        <w:outlineLvl w:val="0"/>
        <w:rPr>
          <w:rFonts w:hint="eastAsia" w:ascii="黑体" w:hAnsi="宋体" w:eastAsia="黑体" w:cs="宋体"/>
          <w:b/>
          <w:bCs/>
          <w:kern w:val="0"/>
          <w:sz w:val="72"/>
          <w:szCs w:val="72"/>
        </w:rPr>
      </w:pPr>
      <w:bookmarkStart w:id="1" w:name="_Toc18462"/>
      <w:r>
        <w:rPr>
          <w:rFonts w:hint="eastAsia" w:ascii="黑体" w:hAnsi="宋体" w:eastAsia="黑体" w:cs="宋体"/>
          <w:b/>
          <w:bCs/>
          <w:kern w:val="0"/>
          <w:sz w:val="72"/>
          <w:szCs w:val="72"/>
        </w:rPr>
        <w:t>竞争性磋商文件</w:t>
      </w:r>
      <w:bookmarkEnd w:id="1"/>
    </w:p>
    <w:p>
      <w:pPr>
        <w:widowControl/>
        <w:tabs>
          <w:tab w:val="center" w:pos="4590"/>
          <w:tab w:val="left" w:pos="8246"/>
        </w:tabs>
        <w:snapToGrid w:val="0"/>
        <w:spacing w:line="940" w:lineRule="exact"/>
        <w:jc w:val="center"/>
        <w:rPr>
          <w:rFonts w:hint="eastAsia" w:ascii="宋体" w:hAnsi="宋体" w:cs="宋体"/>
          <w:b/>
          <w:bCs/>
          <w:kern w:val="0"/>
          <w:sz w:val="30"/>
          <w:szCs w:val="30"/>
        </w:rPr>
      </w:pPr>
    </w:p>
    <w:p>
      <w:pPr>
        <w:pStyle w:val="19"/>
        <w:rPr>
          <w:rFonts w:hint="eastAsia" w:ascii="宋体" w:hAnsi="宋体" w:cs="宋体"/>
          <w:b/>
          <w:bCs/>
          <w:kern w:val="0"/>
          <w:sz w:val="30"/>
          <w:szCs w:val="30"/>
        </w:rPr>
      </w:pPr>
    </w:p>
    <w:p>
      <w:pPr>
        <w:pStyle w:val="19"/>
        <w:rPr>
          <w:rFonts w:hint="eastAsia" w:ascii="宋体" w:hAnsi="宋体" w:cs="宋体"/>
          <w:b/>
          <w:bCs/>
          <w:kern w:val="0"/>
          <w:sz w:val="30"/>
          <w:szCs w:val="30"/>
        </w:rPr>
      </w:pPr>
    </w:p>
    <w:p>
      <w:pPr>
        <w:snapToGrid w:val="0"/>
        <w:spacing w:before="120" w:beforeLines="50" w:line="360" w:lineRule="auto"/>
        <w:rPr>
          <w:rFonts w:hint="eastAsia" w:ascii="宋体" w:hAnsi="宋体" w:cs="宋体"/>
          <w:b/>
          <w:bCs/>
          <w:sz w:val="30"/>
          <w:szCs w:val="72"/>
        </w:rPr>
      </w:pPr>
    </w:p>
    <w:p>
      <w:pPr>
        <w:snapToGrid w:val="0"/>
        <w:spacing w:before="120" w:beforeLines="50" w:line="360" w:lineRule="auto"/>
        <w:rPr>
          <w:rFonts w:hint="eastAsia" w:ascii="宋体" w:hAnsi="宋体" w:cs="宋体"/>
          <w:b/>
          <w:bCs/>
          <w:sz w:val="30"/>
          <w:szCs w:val="72"/>
        </w:rPr>
      </w:pPr>
    </w:p>
    <w:p>
      <w:pPr>
        <w:spacing w:line="360" w:lineRule="auto"/>
        <w:outlineLvl w:val="0"/>
        <w:rPr>
          <w:rFonts w:hint="default" w:ascii="宋体" w:hAnsi="宋体" w:eastAsia="宋体" w:cs="宋体"/>
          <w:b/>
          <w:bCs/>
          <w:color w:val="000000"/>
          <w:sz w:val="32"/>
          <w:szCs w:val="32"/>
          <w:lang w:val="en-US" w:eastAsia="zh-CN"/>
        </w:rPr>
      </w:pPr>
      <w:bookmarkStart w:id="2" w:name="_Toc29140"/>
      <w:r>
        <w:rPr>
          <w:rFonts w:hint="eastAsia" w:ascii="宋体" w:hAnsi="宋体" w:eastAsia="宋体" w:cs="宋体"/>
          <w:b/>
          <w:bCs/>
          <w:color w:val="000000"/>
          <w:sz w:val="32"/>
          <w:szCs w:val="32"/>
        </w:rPr>
        <w:t>项目编号：</w:t>
      </w:r>
      <w:r>
        <w:rPr>
          <w:rFonts w:hint="eastAsia" w:ascii="宋体" w:hAnsi="宋体" w:cs="宋体"/>
          <w:b/>
          <w:bCs/>
          <w:color w:val="000000"/>
          <w:sz w:val="32"/>
          <w:szCs w:val="32"/>
          <w:lang w:val="en-US" w:eastAsia="zh-CN"/>
        </w:rPr>
        <w:t>HJZXCG-2024010</w:t>
      </w:r>
      <w:bookmarkEnd w:id="2"/>
      <w:r>
        <w:rPr>
          <w:rFonts w:hint="eastAsia" w:ascii="宋体" w:hAnsi="宋体" w:cs="宋体"/>
          <w:b/>
          <w:bCs/>
          <w:color w:val="000000"/>
          <w:sz w:val="32"/>
          <w:szCs w:val="32"/>
          <w:lang w:val="en-US" w:eastAsia="zh-CN"/>
        </w:rPr>
        <w:t xml:space="preserve"> </w:t>
      </w:r>
    </w:p>
    <w:p>
      <w:pPr>
        <w:spacing w:line="360" w:lineRule="auto"/>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rPr>
        <w:t>项目名称：</w:t>
      </w:r>
      <w:r>
        <w:rPr>
          <w:rFonts w:hint="eastAsia" w:ascii="宋体" w:hAnsi="宋体" w:cs="宋体"/>
          <w:b/>
          <w:bCs/>
          <w:color w:val="000000"/>
          <w:sz w:val="32"/>
          <w:szCs w:val="32"/>
          <w:lang w:eastAsia="zh-CN"/>
        </w:rPr>
        <w:t>长兴县交通运输行政执法队无人机库采购服务</w:t>
      </w:r>
    </w:p>
    <w:p>
      <w:pPr>
        <w:spacing w:line="360" w:lineRule="auto"/>
        <w:outlineLvl w:val="0"/>
        <w:rPr>
          <w:rFonts w:hint="eastAsia" w:ascii="宋体" w:hAnsi="宋体" w:eastAsia="宋体" w:cs="宋体"/>
          <w:b/>
          <w:bCs/>
          <w:color w:val="000000"/>
          <w:sz w:val="32"/>
          <w:szCs w:val="32"/>
          <w:lang w:eastAsia="zh-CN"/>
        </w:rPr>
      </w:pPr>
      <w:bookmarkStart w:id="3" w:name="_Toc14868"/>
      <w:r>
        <w:rPr>
          <w:rFonts w:hint="eastAsia" w:ascii="宋体" w:hAnsi="宋体" w:eastAsia="宋体" w:cs="宋体"/>
          <w:b/>
          <w:bCs/>
          <w:color w:val="000000"/>
          <w:sz w:val="32"/>
          <w:szCs w:val="32"/>
        </w:rPr>
        <w:t>采购单位：</w:t>
      </w:r>
      <w:r>
        <w:rPr>
          <w:rFonts w:hint="eastAsia" w:ascii="宋体" w:hAnsi="宋体" w:cs="宋体"/>
          <w:b/>
          <w:bCs/>
          <w:color w:val="000000"/>
          <w:sz w:val="32"/>
          <w:szCs w:val="32"/>
          <w:lang w:eastAsia="zh-CN"/>
        </w:rPr>
        <w:t>长兴县交通运输行政执法队</w:t>
      </w:r>
      <w:bookmarkEnd w:id="3"/>
    </w:p>
    <w:p>
      <w:pPr>
        <w:spacing w:line="360" w:lineRule="auto"/>
        <w:outlineLvl w:val="0"/>
        <w:rPr>
          <w:rFonts w:hint="eastAsia" w:ascii="宋体" w:hAnsi="宋体" w:eastAsia="宋体" w:cs="宋体"/>
          <w:b/>
          <w:bCs/>
          <w:color w:val="000000"/>
          <w:sz w:val="32"/>
          <w:szCs w:val="32"/>
          <w:lang w:eastAsia="zh-CN"/>
        </w:rPr>
      </w:pPr>
      <w:bookmarkStart w:id="4" w:name="_Toc32539"/>
      <w:r>
        <w:rPr>
          <w:rFonts w:hint="eastAsia" w:ascii="宋体" w:hAnsi="宋体" w:eastAsia="宋体" w:cs="宋体"/>
          <w:b/>
          <w:bCs/>
          <w:color w:val="000000"/>
          <w:sz w:val="32"/>
          <w:szCs w:val="32"/>
        </w:rPr>
        <w:t>代理机构：</w:t>
      </w:r>
      <w:r>
        <w:rPr>
          <w:rFonts w:hint="eastAsia" w:ascii="宋体" w:hAnsi="宋体" w:eastAsia="宋体" w:cs="宋体"/>
          <w:b/>
          <w:bCs/>
          <w:color w:val="000000"/>
          <w:sz w:val="32"/>
          <w:szCs w:val="32"/>
          <w:lang w:eastAsia="zh-CN"/>
        </w:rPr>
        <w:t>杭州建设工程造价咨询有限公司</w:t>
      </w:r>
      <w:bookmarkEnd w:id="4"/>
    </w:p>
    <w:p>
      <w:pPr>
        <w:spacing w:line="360" w:lineRule="auto"/>
        <w:jc w:val="center"/>
        <w:rPr>
          <w:rFonts w:hint="eastAsia" w:ascii="宋体" w:hAnsi="宋体" w:eastAsia="宋体" w:cs="宋体"/>
          <w:b/>
          <w:bCs/>
          <w:color w:val="000000"/>
          <w:sz w:val="32"/>
          <w:szCs w:val="32"/>
          <w:lang w:eastAsia="zh-CN"/>
        </w:rPr>
      </w:pPr>
    </w:p>
    <w:p>
      <w:pPr>
        <w:spacing w:line="360" w:lineRule="auto"/>
        <w:jc w:val="center"/>
        <w:rPr>
          <w:rFonts w:hint="eastAsia" w:ascii="宋体" w:hAnsi="宋体" w:eastAsia="宋体" w:cs="宋体"/>
          <w:color w:val="000000"/>
          <w:sz w:val="32"/>
          <w:szCs w:val="32"/>
          <w:lang w:eastAsia="zh-CN"/>
        </w:rPr>
      </w:pPr>
      <w:r>
        <w:rPr>
          <w:rFonts w:hint="eastAsia" w:ascii="宋体" w:hAnsi="宋体" w:eastAsia="宋体" w:cs="宋体"/>
          <w:b/>
          <w:bCs/>
          <w:color w:val="000000"/>
          <w:sz w:val="32"/>
          <w:szCs w:val="32"/>
          <w:lang w:eastAsia="zh-CN"/>
        </w:rPr>
        <w:t>二〇二</w:t>
      </w:r>
      <w:r>
        <w:rPr>
          <w:rFonts w:hint="eastAsia" w:ascii="宋体" w:hAnsi="宋体" w:cs="宋体"/>
          <w:b/>
          <w:bCs/>
          <w:color w:val="000000"/>
          <w:sz w:val="32"/>
          <w:szCs w:val="32"/>
          <w:lang w:eastAsia="zh-CN"/>
        </w:rPr>
        <w:t>四</w:t>
      </w:r>
      <w:r>
        <w:rPr>
          <w:rFonts w:hint="eastAsia" w:ascii="宋体" w:hAnsi="宋体" w:eastAsia="宋体" w:cs="宋体"/>
          <w:b/>
          <w:bCs/>
          <w:color w:val="000000"/>
          <w:sz w:val="32"/>
          <w:szCs w:val="32"/>
          <w:lang w:eastAsia="zh-CN"/>
        </w:rPr>
        <w:t>年</w:t>
      </w:r>
      <w:r>
        <w:rPr>
          <w:rFonts w:hint="eastAsia" w:ascii="宋体" w:hAnsi="宋体" w:cs="宋体"/>
          <w:b/>
          <w:bCs/>
          <w:color w:val="000000"/>
          <w:sz w:val="32"/>
          <w:szCs w:val="32"/>
          <w:lang w:eastAsia="zh-CN"/>
        </w:rPr>
        <w:t>三</w:t>
      </w:r>
      <w:r>
        <w:rPr>
          <w:rFonts w:hint="eastAsia" w:ascii="宋体" w:hAnsi="宋体" w:eastAsia="宋体" w:cs="宋体"/>
          <w:b/>
          <w:bCs/>
          <w:color w:val="000000"/>
          <w:sz w:val="32"/>
          <w:szCs w:val="32"/>
          <w:lang w:eastAsia="zh-CN"/>
        </w:rPr>
        <w:t>月</w:t>
      </w:r>
    </w:p>
    <w:p>
      <w:pPr>
        <w:spacing w:line="360" w:lineRule="auto"/>
        <w:rPr>
          <w:rFonts w:hint="eastAsia" w:ascii="宋体" w:hAnsi="宋体" w:cs="黑体"/>
          <w:b/>
          <w:bCs/>
          <w:sz w:val="32"/>
          <w:szCs w:val="32"/>
        </w:rPr>
      </w:pPr>
    </w:p>
    <w:p>
      <w:pPr>
        <w:adjustRightInd w:val="0"/>
        <w:snapToGrid w:val="0"/>
        <w:spacing w:line="600" w:lineRule="exact"/>
        <w:jc w:val="center"/>
        <w:rPr>
          <w:rFonts w:hint="eastAsia"/>
          <w:b/>
          <w:sz w:val="52"/>
          <w:szCs w:val="52"/>
        </w:rPr>
      </w:pPr>
    </w:p>
    <w:p>
      <w:pPr>
        <w:pStyle w:val="19"/>
        <w:ind w:left="0" w:leftChars="0" w:firstLine="0" w:firstLineChars="0"/>
        <w:rPr>
          <w:rFonts w:hint="eastAsia"/>
          <w:b/>
          <w:sz w:val="52"/>
          <w:szCs w:val="52"/>
        </w:rPr>
        <w:sectPr>
          <w:footerReference r:id="rId3" w:type="default"/>
          <w:pgSz w:w="11906" w:h="16838"/>
          <w:pgMar w:top="1134" w:right="1134" w:bottom="1134" w:left="1417" w:header="850" w:footer="850" w:gutter="0"/>
          <w:pgNumType w:start="1"/>
          <w:cols w:space="720" w:num="1"/>
          <w:docGrid w:linePitch="312" w:charSpace="0"/>
        </w:sectPr>
      </w:pPr>
    </w:p>
    <w:p>
      <w:pPr>
        <w:rPr>
          <w:rFonts w:hint="eastAsia"/>
        </w:rPr>
      </w:pPr>
    </w:p>
    <w:p>
      <w:pPr>
        <w:pStyle w:val="9"/>
        <w:rPr>
          <w:rFonts w:hint="eastAsia"/>
        </w:rPr>
      </w:pPr>
    </w:p>
    <w:p>
      <w:pPr>
        <w:adjustRightInd w:val="0"/>
        <w:snapToGrid w:val="0"/>
        <w:spacing w:line="600" w:lineRule="exact"/>
        <w:jc w:val="center"/>
        <w:outlineLvl w:val="0"/>
        <w:rPr>
          <w:rFonts w:hint="eastAsia"/>
          <w:b/>
          <w:sz w:val="52"/>
          <w:szCs w:val="52"/>
        </w:rPr>
      </w:pPr>
      <w:bookmarkStart w:id="5" w:name="_Toc19679"/>
      <w:r>
        <w:rPr>
          <w:rFonts w:hint="eastAsia"/>
          <w:b/>
          <w:sz w:val="52"/>
          <w:szCs w:val="52"/>
        </w:rPr>
        <w:t>目    录</w:t>
      </w:r>
      <w:bookmarkEnd w:id="5"/>
    </w:p>
    <w:p>
      <w:pPr>
        <w:adjustRightInd w:val="0"/>
        <w:snapToGrid w:val="0"/>
        <w:spacing w:line="400" w:lineRule="exact"/>
        <w:rPr>
          <w:rFonts w:hint="eastAsia"/>
          <w:b/>
          <w:sz w:val="28"/>
          <w:szCs w:val="28"/>
        </w:rPr>
      </w:pPr>
    </w:p>
    <w:p>
      <w:pPr>
        <w:pStyle w:val="15"/>
        <w:tabs>
          <w:tab w:val="right" w:leader="dot" w:pos="8799"/>
          <w:tab w:val="clear" w:pos="9628"/>
        </w:tabs>
      </w:pPr>
      <w:bookmarkStart w:id="6" w:name="_Toc267064626"/>
      <w:r>
        <w:fldChar w:fldCharType="begin"/>
      </w:r>
      <w:r>
        <w:instrText xml:space="preserve"> TOC \o "1-3" \h \z \u </w:instrText>
      </w:r>
      <w:r>
        <w:fldChar w:fldCharType="separate"/>
      </w:r>
    </w:p>
    <w:sdt>
      <w:sdtPr>
        <w:rPr>
          <w:rFonts w:ascii="宋体" w:hAnsi="宋体" w:eastAsia="宋体" w:cs="Times New Roman"/>
          <w:kern w:val="2"/>
          <w:sz w:val="21"/>
          <w:szCs w:val="24"/>
          <w:lang w:val="en-US" w:eastAsia="zh-CN" w:bidi="ar-SA"/>
        </w:rPr>
        <w:id w:val="147483380"/>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62"/>
            <w:tabs>
              <w:tab w:val="right" w:leader="dot" w:pos="9746"/>
            </w:tabs>
          </w:pPr>
          <w:r>
            <w:rPr>
              <w:rFonts w:hint="eastAsia"/>
              <w:lang w:val="en-US" w:eastAsia="zh-CN"/>
            </w:rPr>
            <w:fldChar w:fldCharType="begin"/>
          </w:r>
          <w:r>
            <w:rPr>
              <w:rFonts w:hint="eastAsia"/>
              <w:lang w:val="en-US" w:eastAsia="zh-CN"/>
            </w:rPr>
            <w:instrText xml:space="preserve">TOC \o "1-1" \h \u </w:instrText>
          </w:r>
          <w:r>
            <w:rPr>
              <w:rFonts w:hint="eastAsia"/>
              <w:lang w:val="en-US" w:eastAsia="zh-CN"/>
            </w:rPr>
            <w:fldChar w:fldCharType="separate"/>
          </w:r>
        </w:p>
        <w:p>
          <w:pPr>
            <w:pStyle w:val="62"/>
            <w:tabs>
              <w:tab w:val="right" w:leader="dot" w:pos="9746"/>
            </w:tabs>
            <w:rPr>
              <w:b/>
              <w:bCs/>
              <w:sz w:val="28"/>
              <w:szCs w:val="28"/>
            </w:rPr>
          </w:pPr>
          <w:r>
            <w:rPr>
              <w:rFonts w:hint="eastAsia"/>
              <w:b/>
              <w:bCs/>
              <w:sz w:val="28"/>
              <w:szCs w:val="28"/>
              <w:lang w:val="en-US" w:eastAsia="zh-CN"/>
            </w:rPr>
            <w:fldChar w:fldCharType="begin"/>
          </w:r>
          <w:r>
            <w:rPr>
              <w:rFonts w:hint="eastAsia"/>
              <w:b/>
              <w:bCs/>
              <w:sz w:val="28"/>
              <w:szCs w:val="28"/>
              <w:lang w:val="en-US" w:eastAsia="zh-CN"/>
            </w:rPr>
            <w:instrText xml:space="preserve"> HYPERLINK \l _Toc27257 </w:instrText>
          </w:r>
          <w:r>
            <w:rPr>
              <w:rFonts w:hint="eastAsia"/>
              <w:b/>
              <w:bCs/>
              <w:sz w:val="28"/>
              <w:szCs w:val="28"/>
              <w:lang w:val="en-US" w:eastAsia="zh-CN"/>
            </w:rPr>
            <w:fldChar w:fldCharType="separate"/>
          </w:r>
          <w:r>
            <w:rPr>
              <w:rFonts w:hint="eastAsia" w:ascii="宋体" w:hAnsi="宋体" w:eastAsia="宋体" w:cs="宋体"/>
              <w:b/>
              <w:bCs/>
              <w:kern w:val="2"/>
              <w:sz w:val="28"/>
              <w:szCs w:val="28"/>
            </w:rPr>
            <w:t xml:space="preserve">第一章 </w:t>
          </w: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竞争性磋商公告</w:t>
          </w:r>
          <w:r>
            <w:rPr>
              <w:b/>
              <w:bCs/>
              <w:sz w:val="28"/>
              <w:szCs w:val="28"/>
            </w:rPr>
            <w:tab/>
          </w:r>
          <w:r>
            <w:rPr>
              <w:b/>
              <w:bCs/>
              <w:sz w:val="28"/>
              <w:szCs w:val="28"/>
            </w:rPr>
            <w:fldChar w:fldCharType="begin"/>
          </w:r>
          <w:r>
            <w:rPr>
              <w:b/>
              <w:bCs/>
              <w:sz w:val="28"/>
              <w:szCs w:val="28"/>
            </w:rPr>
            <w:instrText xml:space="preserve"> PAGEREF _Toc27257 \h </w:instrText>
          </w:r>
          <w:r>
            <w:rPr>
              <w:b/>
              <w:bCs/>
              <w:sz w:val="28"/>
              <w:szCs w:val="28"/>
            </w:rPr>
            <w:fldChar w:fldCharType="separate"/>
          </w:r>
          <w:r>
            <w:rPr>
              <w:b/>
              <w:bCs/>
              <w:sz w:val="28"/>
              <w:szCs w:val="28"/>
            </w:rPr>
            <w:t>2</w:t>
          </w:r>
          <w:r>
            <w:rPr>
              <w:b/>
              <w:bCs/>
              <w:sz w:val="28"/>
              <w:szCs w:val="28"/>
            </w:rPr>
            <w:fldChar w:fldCharType="end"/>
          </w:r>
          <w:r>
            <w:rPr>
              <w:rFonts w:hint="eastAsia"/>
              <w:b/>
              <w:bCs/>
              <w:sz w:val="28"/>
              <w:szCs w:val="28"/>
              <w:lang w:val="en-US" w:eastAsia="zh-CN"/>
            </w:rPr>
            <w:fldChar w:fldCharType="end"/>
          </w:r>
        </w:p>
        <w:p>
          <w:pPr>
            <w:pStyle w:val="62"/>
            <w:tabs>
              <w:tab w:val="right" w:leader="dot" w:pos="9746"/>
            </w:tabs>
            <w:rPr>
              <w:b/>
              <w:bCs/>
              <w:sz w:val="28"/>
              <w:szCs w:val="28"/>
            </w:rPr>
          </w:pPr>
          <w:r>
            <w:rPr>
              <w:rFonts w:hint="eastAsia"/>
              <w:b/>
              <w:bCs/>
              <w:sz w:val="28"/>
              <w:szCs w:val="28"/>
              <w:lang w:val="en-US" w:eastAsia="zh-CN"/>
            </w:rPr>
            <w:fldChar w:fldCharType="begin"/>
          </w:r>
          <w:r>
            <w:rPr>
              <w:rFonts w:hint="eastAsia"/>
              <w:b/>
              <w:bCs/>
              <w:sz w:val="28"/>
              <w:szCs w:val="28"/>
              <w:lang w:val="en-US" w:eastAsia="zh-CN"/>
            </w:rPr>
            <w:instrText xml:space="preserve"> HYPERLINK \l _Toc9386 </w:instrText>
          </w:r>
          <w:r>
            <w:rPr>
              <w:rFonts w:hint="eastAsia"/>
              <w:b/>
              <w:bCs/>
              <w:sz w:val="28"/>
              <w:szCs w:val="28"/>
              <w:lang w:val="en-US" w:eastAsia="zh-CN"/>
            </w:rPr>
            <w:fldChar w:fldCharType="separate"/>
          </w:r>
          <w:r>
            <w:rPr>
              <w:rFonts w:hint="eastAsia" w:ascii="宋体" w:hAnsi="宋体" w:eastAsia="宋体" w:cs="宋体"/>
              <w:b/>
              <w:bCs/>
              <w:kern w:val="2"/>
              <w:sz w:val="28"/>
              <w:szCs w:val="28"/>
            </w:rPr>
            <w:t>第二章  磋商需求</w:t>
          </w:r>
          <w:r>
            <w:rPr>
              <w:b/>
              <w:bCs/>
              <w:sz w:val="28"/>
              <w:szCs w:val="28"/>
            </w:rPr>
            <w:tab/>
          </w:r>
          <w:r>
            <w:rPr>
              <w:b/>
              <w:bCs/>
              <w:sz w:val="28"/>
              <w:szCs w:val="28"/>
            </w:rPr>
            <w:fldChar w:fldCharType="begin"/>
          </w:r>
          <w:r>
            <w:rPr>
              <w:b/>
              <w:bCs/>
              <w:sz w:val="28"/>
              <w:szCs w:val="28"/>
            </w:rPr>
            <w:instrText xml:space="preserve"> PAGEREF _Toc9386 \h </w:instrText>
          </w:r>
          <w:r>
            <w:rPr>
              <w:b/>
              <w:bCs/>
              <w:sz w:val="28"/>
              <w:szCs w:val="28"/>
            </w:rPr>
            <w:fldChar w:fldCharType="separate"/>
          </w:r>
          <w:r>
            <w:rPr>
              <w:b/>
              <w:bCs/>
              <w:sz w:val="28"/>
              <w:szCs w:val="28"/>
            </w:rPr>
            <w:t>7</w:t>
          </w:r>
          <w:r>
            <w:rPr>
              <w:b/>
              <w:bCs/>
              <w:sz w:val="28"/>
              <w:szCs w:val="28"/>
            </w:rPr>
            <w:fldChar w:fldCharType="end"/>
          </w:r>
          <w:r>
            <w:rPr>
              <w:rFonts w:hint="eastAsia"/>
              <w:b/>
              <w:bCs/>
              <w:sz w:val="28"/>
              <w:szCs w:val="28"/>
              <w:lang w:val="en-US" w:eastAsia="zh-CN"/>
            </w:rPr>
            <w:fldChar w:fldCharType="end"/>
          </w:r>
        </w:p>
        <w:p>
          <w:pPr>
            <w:pStyle w:val="62"/>
            <w:tabs>
              <w:tab w:val="right" w:leader="dot" w:pos="9746"/>
            </w:tabs>
            <w:rPr>
              <w:b/>
              <w:bCs/>
              <w:sz w:val="28"/>
              <w:szCs w:val="28"/>
            </w:rPr>
          </w:pPr>
          <w:r>
            <w:rPr>
              <w:rFonts w:hint="eastAsia"/>
              <w:b/>
              <w:bCs/>
              <w:sz w:val="28"/>
              <w:szCs w:val="28"/>
              <w:lang w:val="en-US" w:eastAsia="zh-CN"/>
            </w:rPr>
            <w:fldChar w:fldCharType="begin"/>
          </w:r>
          <w:r>
            <w:rPr>
              <w:rFonts w:hint="eastAsia"/>
              <w:b/>
              <w:bCs/>
              <w:sz w:val="28"/>
              <w:szCs w:val="28"/>
              <w:lang w:val="en-US" w:eastAsia="zh-CN"/>
            </w:rPr>
            <w:instrText xml:space="preserve"> HYPERLINK \l _Toc21598 </w:instrText>
          </w:r>
          <w:r>
            <w:rPr>
              <w:rFonts w:hint="eastAsia"/>
              <w:b/>
              <w:bCs/>
              <w:sz w:val="28"/>
              <w:szCs w:val="28"/>
              <w:lang w:val="en-US" w:eastAsia="zh-CN"/>
            </w:rPr>
            <w:fldChar w:fldCharType="separate"/>
          </w:r>
          <w:r>
            <w:rPr>
              <w:rFonts w:hint="eastAsia" w:ascii="宋体" w:hAnsi="宋体" w:eastAsia="宋体" w:cs="宋体"/>
              <w:b/>
              <w:bCs/>
              <w:sz w:val="28"/>
              <w:szCs w:val="28"/>
            </w:rPr>
            <w:t xml:space="preserve">第三章  </w:t>
          </w:r>
          <w:r>
            <w:rPr>
              <w:rFonts w:hint="eastAsia" w:ascii="宋体" w:hAnsi="宋体" w:eastAsia="宋体" w:cs="宋体"/>
              <w:b/>
              <w:bCs/>
              <w:sz w:val="28"/>
              <w:szCs w:val="28"/>
              <w:lang w:eastAsia="zh-CN"/>
            </w:rPr>
            <w:t>磋商须知</w:t>
          </w:r>
          <w:r>
            <w:rPr>
              <w:b/>
              <w:bCs/>
              <w:sz w:val="28"/>
              <w:szCs w:val="28"/>
            </w:rPr>
            <w:tab/>
          </w:r>
          <w:r>
            <w:rPr>
              <w:b/>
              <w:bCs/>
              <w:sz w:val="28"/>
              <w:szCs w:val="28"/>
            </w:rPr>
            <w:fldChar w:fldCharType="begin"/>
          </w:r>
          <w:r>
            <w:rPr>
              <w:b/>
              <w:bCs/>
              <w:sz w:val="28"/>
              <w:szCs w:val="28"/>
            </w:rPr>
            <w:instrText xml:space="preserve"> PAGEREF _Toc21598 \h </w:instrText>
          </w:r>
          <w:r>
            <w:rPr>
              <w:b/>
              <w:bCs/>
              <w:sz w:val="28"/>
              <w:szCs w:val="28"/>
            </w:rPr>
            <w:fldChar w:fldCharType="separate"/>
          </w:r>
          <w:r>
            <w:rPr>
              <w:b/>
              <w:bCs/>
              <w:sz w:val="28"/>
              <w:szCs w:val="28"/>
            </w:rPr>
            <w:t>30</w:t>
          </w:r>
          <w:r>
            <w:rPr>
              <w:b/>
              <w:bCs/>
              <w:sz w:val="28"/>
              <w:szCs w:val="28"/>
            </w:rPr>
            <w:fldChar w:fldCharType="end"/>
          </w:r>
          <w:r>
            <w:rPr>
              <w:rFonts w:hint="eastAsia"/>
              <w:b/>
              <w:bCs/>
              <w:sz w:val="28"/>
              <w:szCs w:val="28"/>
              <w:lang w:val="en-US" w:eastAsia="zh-CN"/>
            </w:rPr>
            <w:fldChar w:fldCharType="end"/>
          </w:r>
        </w:p>
        <w:p>
          <w:pPr>
            <w:pStyle w:val="62"/>
            <w:tabs>
              <w:tab w:val="right" w:leader="dot" w:pos="9746"/>
            </w:tabs>
            <w:rPr>
              <w:b/>
              <w:bCs/>
              <w:sz w:val="28"/>
              <w:szCs w:val="28"/>
            </w:rPr>
          </w:pPr>
          <w:r>
            <w:rPr>
              <w:rFonts w:hint="eastAsia"/>
              <w:b/>
              <w:bCs/>
              <w:sz w:val="28"/>
              <w:szCs w:val="28"/>
              <w:lang w:val="en-US" w:eastAsia="zh-CN"/>
            </w:rPr>
            <w:fldChar w:fldCharType="begin"/>
          </w:r>
          <w:r>
            <w:rPr>
              <w:rFonts w:hint="eastAsia"/>
              <w:b/>
              <w:bCs/>
              <w:sz w:val="28"/>
              <w:szCs w:val="28"/>
              <w:lang w:val="en-US" w:eastAsia="zh-CN"/>
            </w:rPr>
            <w:instrText xml:space="preserve"> HYPERLINK \l _Toc17972 </w:instrText>
          </w:r>
          <w:r>
            <w:rPr>
              <w:rFonts w:hint="eastAsia"/>
              <w:b/>
              <w:bCs/>
              <w:sz w:val="28"/>
              <w:szCs w:val="28"/>
              <w:lang w:val="en-US" w:eastAsia="zh-CN"/>
            </w:rPr>
            <w:fldChar w:fldCharType="separate"/>
          </w:r>
          <w:r>
            <w:rPr>
              <w:rFonts w:hint="eastAsia" w:ascii="宋体" w:hAnsi="宋体" w:eastAsia="宋体" w:cs="宋体"/>
              <w:b/>
              <w:bCs/>
              <w:kern w:val="2"/>
              <w:sz w:val="28"/>
              <w:szCs w:val="28"/>
            </w:rPr>
            <w:t>第四章  评标办法及评分标准</w:t>
          </w:r>
          <w:r>
            <w:rPr>
              <w:b/>
              <w:bCs/>
              <w:sz w:val="28"/>
              <w:szCs w:val="28"/>
            </w:rPr>
            <w:tab/>
          </w:r>
          <w:r>
            <w:rPr>
              <w:b/>
              <w:bCs/>
              <w:sz w:val="28"/>
              <w:szCs w:val="28"/>
            </w:rPr>
            <w:fldChar w:fldCharType="begin"/>
          </w:r>
          <w:r>
            <w:rPr>
              <w:b/>
              <w:bCs/>
              <w:sz w:val="28"/>
              <w:szCs w:val="28"/>
            </w:rPr>
            <w:instrText xml:space="preserve"> PAGEREF _Toc17972 \h </w:instrText>
          </w:r>
          <w:r>
            <w:rPr>
              <w:b/>
              <w:bCs/>
              <w:sz w:val="28"/>
              <w:szCs w:val="28"/>
            </w:rPr>
            <w:fldChar w:fldCharType="separate"/>
          </w:r>
          <w:r>
            <w:rPr>
              <w:b/>
              <w:bCs/>
              <w:sz w:val="28"/>
              <w:szCs w:val="28"/>
            </w:rPr>
            <w:t>45</w:t>
          </w:r>
          <w:r>
            <w:rPr>
              <w:b/>
              <w:bCs/>
              <w:sz w:val="28"/>
              <w:szCs w:val="28"/>
            </w:rPr>
            <w:fldChar w:fldCharType="end"/>
          </w:r>
          <w:r>
            <w:rPr>
              <w:rFonts w:hint="eastAsia"/>
              <w:b/>
              <w:bCs/>
              <w:sz w:val="28"/>
              <w:szCs w:val="28"/>
              <w:lang w:val="en-US" w:eastAsia="zh-CN"/>
            </w:rPr>
            <w:fldChar w:fldCharType="end"/>
          </w:r>
        </w:p>
        <w:p>
          <w:pPr>
            <w:pStyle w:val="62"/>
            <w:tabs>
              <w:tab w:val="right" w:leader="dot" w:pos="9746"/>
            </w:tabs>
            <w:rPr>
              <w:b/>
              <w:bCs/>
              <w:sz w:val="28"/>
              <w:szCs w:val="28"/>
            </w:rPr>
          </w:pPr>
          <w:r>
            <w:rPr>
              <w:rFonts w:hint="eastAsia"/>
              <w:b/>
              <w:bCs/>
              <w:sz w:val="28"/>
              <w:szCs w:val="28"/>
              <w:lang w:val="en-US" w:eastAsia="zh-CN"/>
            </w:rPr>
            <w:fldChar w:fldCharType="begin"/>
          </w:r>
          <w:r>
            <w:rPr>
              <w:rFonts w:hint="eastAsia"/>
              <w:b/>
              <w:bCs/>
              <w:sz w:val="28"/>
              <w:szCs w:val="28"/>
              <w:lang w:val="en-US" w:eastAsia="zh-CN"/>
            </w:rPr>
            <w:instrText xml:space="preserve"> HYPERLINK \l _Toc29161 </w:instrText>
          </w:r>
          <w:r>
            <w:rPr>
              <w:rFonts w:hint="eastAsia"/>
              <w:b/>
              <w:bCs/>
              <w:sz w:val="28"/>
              <w:szCs w:val="28"/>
              <w:lang w:val="en-US" w:eastAsia="zh-CN"/>
            </w:rPr>
            <w:fldChar w:fldCharType="separate"/>
          </w:r>
          <w:r>
            <w:rPr>
              <w:rFonts w:hint="eastAsia" w:ascii="宋体" w:hAnsi="宋体" w:eastAsia="宋体" w:cs="宋体"/>
              <w:b/>
              <w:bCs/>
              <w:kern w:val="2"/>
              <w:sz w:val="28"/>
              <w:szCs w:val="28"/>
              <w:highlight w:val="none"/>
              <w:lang w:val="en-US" w:eastAsia="zh-CN" w:bidi="ar-SA"/>
            </w:rPr>
            <w:t>第五章  合同主要条款</w:t>
          </w:r>
          <w:r>
            <w:rPr>
              <w:b/>
              <w:bCs/>
              <w:sz w:val="28"/>
              <w:szCs w:val="28"/>
            </w:rPr>
            <w:tab/>
          </w:r>
          <w:r>
            <w:rPr>
              <w:b/>
              <w:bCs/>
              <w:sz w:val="28"/>
              <w:szCs w:val="28"/>
            </w:rPr>
            <w:fldChar w:fldCharType="begin"/>
          </w:r>
          <w:r>
            <w:rPr>
              <w:b/>
              <w:bCs/>
              <w:sz w:val="28"/>
              <w:szCs w:val="28"/>
            </w:rPr>
            <w:instrText xml:space="preserve"> PAGEREF _Toc29161 \h </w:instrText>
          </w:r>
          <w:r>
            <w:rPr>
              <w:b/>
              <w:bCs/>
              <w:sz w:val="28"/>
              <w:szCs w:val="28"/>
            </w:rPr>
            <w:fldChar w:fldCharType="separate"/>
          </w:r>
          <w:r>
            <w:rPr>
              <w:b/>
              <w:bCs/>
              <w:sz w:val="28"/>
              <w:szCs w:val="28"/>
            </w:rPr>
            <w:t>49</w:t>
          </w:r>
          <w:r>
            <w:rPr>
              <w:b/>
              <w:bCs/>
              <w:sz w:val="28"/>
              <w:szCs w:val="28"/>
            </w:rPr>
            <w:fldChar w:fldCharType="end"/>
          </w:r>
          <w:r>
            <w:rPr>
              <w:rFonts w:hint="eastAsia"/>
              <w:b/>
              <w:bCs/>
              <w:sz w:val="28"/>
              <w:szCs w:val="28"/>
              <w:lang w:val="en-US" w:eastAsia="zh-CN"/>
            </w:rPr>
            <w:fldChar w:fldCharType="end"/>
          </w:r>
        </w:p>
        <w:p>
          <w:pPr>
            <w:pStyle w:val="62"/>
            <w:tabs>
              <w:tab w:val="right" w:leader="dot" w:pos="9746"/>
            </w:tabs>
            <w:rPr>
              <w:b/>
              <w:bCs/>
              <w:sz w:val="28"/>
              <w:szCs w:val="28"/>
            </w:rPr>
          </w:pPr>
          <w:r>
            <w:rPr>
              <w:rFonts w:hint="eastAsia"/>
              <w:b/>
              <w:bCs/>
              <w:sz w:val="28"/>
              <w:szCs w:val="28"/>
              <w:lang w:val="en-US" w:eastAsia="zh-CN"/>
            </w:rPr>
            <w:fldChar w:fldCharType="begin"/>
          </w:r>
          <w:r>
            <w:rPr>
              <w:rFonts w:hint="eastAsia"/>
              <w:b/>
              <w:bCs/>
              <w:sz w:val="28"/>
              <w:szCs w:val="28"/>
              <w:lang w:val="en-US" w:eastAsia="zh-CN"/>
            </w:rPr>
            <w:instrText xml:space="preserve"> HYPERLINK \l _Toc14974 </w:instrText>
          </w:r>
          <w:r>
            <w:rPr>
              <w:rFonts w:hint="eastAsia"/>
              <w:b/>
              <w:bCs/>
              <w:sz w:val="28"/>
              <w:szCs w:val="28"/>
              <w:lang w:val="en-US" w:eastAsia="zh-CN"/>
            </w:rPr>
            <w:fldChar w:fldCharType="separate"/>
          </w:r>
          <w:r>
            <w:rPr>
              <w:rFonts w:hint="eastAsia" w:ascii="宋体" w:hAnsi="宋体" w:eastAsia="宋体" w:cs="宋体"/>
              <w:b/>
              <w:bCs/>
              <w:sz w:val="28"/>
              <w:szCs w:val="28"/>
            </w:rPr>
            <w:t xml:space="preserve">第六章  </w:t>
          </w:r>
          <w:r>
            <w:rPr>
              <w:rFonts w:hint="eastAsia" w:ascii="宋体" w:hAnsi="宋体" w:eastAsia="宋体" w:cs="宋体"/>
              <w:b/>
              <w:bCs/>
              <w:sz w:val="28"/>
              <w:szCs w:val="28"/>
              <w:lang w:eastAsia="zh-CN"/>
            </w:rPr>
            <w:t>磋商响应文件</w:t>
          </w:r>
          <w:r>
            <w:rPr>
              <w:rFonts w:hint="eastAsia" w:ascii="宋体" w:hAnsi="宋体" w:eastAsia="宋体" w:cs="宋体"/>
              <w:b/>
              <w:bCs/>
              <w:sz w:val="28"/>
              <w:szCs w:val="28"/>
            </w:rPr>
            <w:t>格式</w:t>
          </w:r>
          <w:r>
            <w:rPr>
              <w:b/>
              <w:bCs/>
              <w:sz w:val="28"/>
              <w:szCs w:val="28"/>
            </w:rPr>
            <w:tab/>
          </w:r>
          <w:r>
            <w:rPr>
              <w:b/>
              <w:bCs/>
              <w:sz w:val="28"/>
              <w:szCs w:val="28"/>
            </w:rPr>
            <w:fldChar w:fldCharType="begin"/>
          </w:r>
          <w:r>
            <w:rPr>
              <w:b/>
              <w:bCs/>
              <w:sz w:val="28"/>
              <w:szCs w:val="28"/>
            </w:rPr>
            <w:instrText xml:space="preserve"> PAGEREF _Toc14974 \h </w:instrText>
          </w:r>
          <w:r>
            <w:rPr>
              <w:b/>
              <w:bCs/>
              <w:sz w:val="28"/>
              <w:szCs w:val="28"/>
            </w:rPr>
            <w:fldChar w:fldCharType="separate"/>
          </w:r>
          <w:r>
            <w:rPr>
              <w:b/>
              <w:bCs/>
              <w:sz w:val="28"/>
              <w:szCs w:val="28"/>
            </w:rPr>
            <w:t>53</w:t>
          </w:r>
          <w:r>
            <w:rPr>
              <w:b/>
              <w:bCs/>
              <w:sz w:val="28"/>
              <w:szCs w:val="28"/>
            </w:rPr>
            <w:fldChar w:fldCharType="end"/>
          </w:r>
          <w:r>
            <w:rPr>
              <w:rFonts w:hint="eastAsia"/>
              <w:b/>
              <w:bCs/>
              <w:sz w:val="28"/>
              <w:szCs w:val="28"/>
              <w:lang w:val="en-US" w:eastAsia="zh-CN"/>
            </w:rPr>
            <w:fldChar w:fldCharType="end"/>
          </w:r>
        </w:p>
        <w:p>
          <w:pPr>
            <w:rPr>
              <w:rFonts w:hint="eastAsia"/>
              <w:lang w:val="en-US" w:eastAsia="zh-CN"/>
            </w:rPr>
          </w:pPr>
          <w:r>
            <w:rPr>
              <w:rFonts w:hint="eastAsia"/>
              <w:lang w:val="en-US" w:eastAsia="zh-CN"/>
            </w:rPr>
            <w:fldChar w:fldCharType="end"/>
          </w:r>
        </w:p>
      </w:sdtContent>
    </w:sdt>
    <w:p>
      <w:pPr>
        <w:pStyle w:val="15"/>
        <w:tabs>
          <w:tab w:val="right" w:leader="dot" w:pos="8799"/>
          <w:tab w:val="clear" w:pos="9628"/>
        </w:tabs>
        <w:rPr>
          <w:rFonts w:hint="eastAsia" w:ascii="宋体" w:hAnsi="宋体" w:eastAsia="宋体" w:cs="宋体"/>
          <w:sz w:val="30"/>
          <w:szCs w:val="30"/>
          <w:lang w:val="en-US" w:eastAsia="zh-CN"/>
        </w:rPr>
      </w:pPr>
    </w:p>
    <w:p>
      <w:pPr>
        <w:pStyle w:val="15"/>
        <w:tabs>
          <w:tab w:val="right" w:leader="dot" w:pos="8799"/>
          <w:tab w:val="clear" w:pos="9628"/>
        </w:tabs>
      </w:pPr>
    </w:p>
    <w:p>
      <w:pPr>
        <w:rPr>
          <w:rFonts w:hint="eastAsia"/>
        </w:rPr>
      </w:pPr>
      <w:r>
        <w:rPr>
          <w:rFonts w:cs="宋体"/>
          <w:kern w:val="0"/>
          <w:szCs w:val="28"/>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0"/>
        <w:rPr>
          <w:rFonts w:hint="eastAsia"/>
        </w:rPr>
      </w:pPr>
    </w:p>
    <w:p>
      <w:pPr>
        <w:pStyle w:val="2"/>
        <w:spacing w:line="240" w:lineRule="auto"/>
        <w:jc w:val="center"/>
        <w:rPr>
          <w:rFonts w:hint="eastAsia" w:ascii="宋体" w:hAnsi="宋体" w:eastAsia="宋体" w:cs="宋体"/>
          <w:bCs w:val="0"/>
          <w:kern w:val="2"/>
          <w:sz w:val="30"/>
          <w:szCs w:val="30"/>
        </w:rPr>
      </w:pPr>
      <w:bookmarkStart w:id="7" w:name="_Toc456078612"/>
      <w:bookmarkStart w:id="8" w:name="_Toc2952"/>
      <w:r>
        <w:rPr>
          <w:rFonts w:hint="eastAsia" w:ascii="宋体" w:hAnsi="宋体" w:cs="宋体"/>
          <w:bCs w:val="0"/>
          <w:kern w:val="2"/>
          <w:sz w:val="30"/>
          <w:szCs w:val="30"/>
          <w:lang w:val="en-US" w:eastAsia="zh-CN"/>
        </w:rPr>
        <w:t xml:space="preserve"> </w:t>
      </w:r>
      <w:bookmarkStart w:id="9" w:name="_Toc27257"/>
      <w:r>
        <w:rPr>
          <w:rFonts w:hint="eastAsia" w:ascii="宋体" w:hAnsi="宋体" w:eastAsia="宋体" w:cs="宋体"/>
          <w:bCs w:val="0"/>
          <w:kern w:val="2"/>
          <w:sz w:val="30"/>
          <w:szCs w:val="30"/>
        </w:rPr>
        <w:t xml:space="preserve">第一章 </w:t>
      </w:r>
      <w:bookmarkEnd w:id="6"/>
      <w:bookmarkStart w:id="10" w:name="_Toc172338033"/>
      <w:bookmarkStart w:id="11" w:name="_Toc269397666"/>
      <w:bookmarkStart w:id="12" w:name="_Toc172337883"/>
      <w:bookmarkStart w:id="13" w:name="_Toc182125894"/>
      <w:bookmarkStart w:id="14" w:name="_Toc182125817"/>
      <w:bookmarkStart w:id="15" w:name="_Toc174767467"/>
      <w:r>
        <w:rPr>
          <w:rFonts w:hint="eastAsia" w:ascii="宋体" w:hAnsi="宋体" w:eastAsia="宋体" w:cs="宋体"/>
          <w:bCs w:val="0"/>
          <w:kern w:val="2"/>
          <w:sz w:val="30"/>
          <w:szCs w:val="30"/>
        </w:rPr>
        <w:t>竞争性磋商公告</w:t>
      </w:r>
      <w:bookmarkEnd w:id="7"/>
      <w:bookmarkEnd w:id="8"/>
      <w:bookmarkEnd w:id="9"/>
    </w:p>
    <w:p>
      <w:pPr>
        <w:pStyle w:val="17"/>
        <w:keepNext w:val="0"/>
        <w:keepLines w:val="0"/>
        <w:widowControl/>
        <w:suppressLineNumbers w:val="0"/>
        <w:spacing w:before="256" w:beforeAutospacing="0" w:after="256" w:afterAutospacing="0" w:line="450" w:lineRule="atLeast"/>
        <w:ind w:left="0" w:right="0"/>
        <w:jc w:val="both"/>
        <w:rPr>
          <w:rStyle w:val="24"/>
          <w:rFonts w:hint="eastAsia" w:ascii="宋体" w:hAnsi="宋体" w:eastAsia="宋体" w:cs="宋体"/>
          <w:color w:val="000000"/>
          <w:sz w:val="21"/>
          <w:szCs w:val="21"/>
        </w:rPr>
      </w:pPr>
      <w:r>
        <w:rPr>
          <w:rStyle w:val="24"/>
          <w:rFonts w:hint="eastAsia" w:ascii="宋体" w:hAnsi="宋体" w:eastAsia="宋体" w:cs="宋体"/>
          <w:color w:val="000000"/>
          <w:sz w:val="21"/>
          <w:szCs w:val="21"/>
        </w:rPr>
        <w:t>一、项目基本情况</w:t>
      </w:r>
    </w:p>
    <w:p>
      <w:pPr>
        <w:widowControl/>
        <w:spacing w:line="360" w:lineRule="auto"/>
        <w:ind w:firstLine="420" w:firstLineChars="200"/>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项目编号：</w:t>
      </w:r>
      <w:r>
        <w:rPr>
          <w:rFonts w:hint="eastAsia" w:ascii="宋体" w:hAnsi="宋体" w:eastAsia="宋体" w:cs="宋体"/>
          <w:b w:val="0"/>
          <w:bCs w:val="0"/>
          <w:snapToGrid/>
          <w:color w:val="auto"/>
          <w:kern w:val="0"/>
          <w:sz w:val="21"/>
          <w:szCs w:val="21"/>
          <w:u w:val="none"/>
          <w:lang w:val="en-US" w:eastAsia="zh-CN" w:bidi="ar"/>
        </w:rPr>
        <w:t xml:space="preserve"> </w:t>
      </w:r>
      <w:r>
        <w:rPr>
          <w:rFonts w:hint="eastAsia" w:ascii="宋体" w:hAnsi="宋体" w:cs="宋体"/>
          <w:b w:val="0"/>
          <w:bCs w:val="0"/>
          <w:color w:val="auto"/>
          <w:kern w:val="0"/>
          <w:sz w:val="21"/>
          <w:szCs w:val="21"/>
          <w:lang w:val="en-US" w:eastAsia="zh-CN" w:bidi="ar"/>
        </w:rPr>
        <w:t>HJZXCG-2024010</w:t>
      </w:r>
      <w:r>
        <w:rPr>
          <w:rFonts w:hint="eastAsia" w:ascii="宋体" w:hAnsi="宋体" w:eastAsia="宋体" w:cs="宋体"/>
          <w:b w:val="0"/>
          <w:bCs w:val="0"/>
          <w:snapToGrid/>
          <w:color w:val="auto"/>
          <w:kern w:val="0"/>
          <w:sz w:val="21"/>
          <w:szCs w:val="21"/>
          <w:u w:val="none"/>
          <w:lang w:val="en-US" w:eastAsia="zh-CN" w:bidi="ar"/>
        </w:rPr>
        <w:t xml:space="preserve"> </w:t>
      </w:r>
    </w:p>
    <w:p>
      <w:pPr>
        <w:widowControl/>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项目名称：长兴县交通运输行政执法队无人机库采购服务</w:t>
      </w:r>
    </w:p>
    <w:p>
      <w:pPr>
        <w:widowControl/>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采购方式：竞争性磋商</w:t>
      </w:r>
    </w:p>
    <w:p>
      <w:pPr>
        <w:widowControl/>
        <w:spacing w:line="360" w:lineRule="auto"/>
        <w:ind w:firstLine="420" w:firstLineChars="200"/>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预算金额（元）：829800</w:t>
      </w:r>
    </w:p>
    <w:p>
      <w:pPr>
        <w:widowControl/>
        <w:spacing w:line="360" w:lineRule="auto"/>
        <w:ind w:firstLine="420" w:firstLineChars="200"/>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最高限价（元）：</w:t>
      </w:r>
      <w:r>
        <w:rPr>
          <w:rFonts w:hint="eastAsia" w:ascii="宋体" w:hAnsi="宋体" w:cs="宋体"/>
          <w:color w:val="auto"/>
          <w:kern w:val="0"/>
          <w:sz w:val="21"/>
          <w:szCs w:val="21"/>
          <w:lang w:val="en-US" w:eastAsia="zh-CN" w:bidi="ar"/>
        </w:rPr>
        <w:t>829800</w:t>
      </w:r>
      <w:r>
        <w:rPr>
          <w:rFonts w:hint="eastAsia" w:ascii="宋体" w:hAnsi="Times New Roman" w:eastAsia="宋体" w:cs="Times New Roman"/>
          <w:kern w:val="0"/>
          <w:sz w:val="21"/>
          <w:szCs w:val="21"/>
          <w:lang w:val="en-US" w:eastAsia="zh-CN" w:bidi="ar-SA"/>
        </w:rPr>
        <w:t xml:space="preserve">   </w:t>
      </w:r>
    </w:p>
    <w:p>
      <w:pPr>
        <w:spacing w:line="520" w:lineRule="exact"/>
        <w:ind w:firstLine="420" w:firstLineChars="20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采购需求：详见磋商文件第二章</w:t>
      </w:r>
    </w:p>
    <w:p>
      <w:pPr>
        <w:widowControl/>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数量：1</w:t>
      </w:r>
    </w:p>
    <w:p>
      <w:pPr>
        <w:widowControl/>
        <w:spacing w:line="360" w:lineRule="auto"/>
        <w:ind w:firstLine="420" w:firstLineChars="200"/>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预算金额（元）：</w:t>
      </w:r>
      <w:r>
        <w:rPr>
          <w:rFonts w:hint="eastAsia" w:ascii="宋体" w:hAnsi="宋体" w:cs="宋体"/>
          <w:color w:val="auto"/>
          <w:kern w:val="0"/>
          <w:sz w:val="21"/>
          <w:szCs w:val="21"/>
          <w:lang w:val="en-US" w:eastAsia="zh-CN" w:bidi="ar"/>
        </w:rPr>
        <w:t>829800</w:t>
      </w:r>
    </w:p>
    <w:p>
      <w:pPr>
        <w:spacing w:line="520" w:lineRule="exact"/>
        <w:ind w:firstLine="420" w:firstLineChars="20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简要规格描述或项目基本概况介绍、用途：</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auto"/>
          <w:lang w:bidi="ar"/>
        </w:rPr>
        <w:t>主要</w:t>
      </w:r>
      <w:r>
        <w:rPr>
          <w:rFonts w:hint="eastAsia" w:ascii="宋体" w:hAnsi="宋体" w:cs="宋体"/>
          <w:i w:val="0"/>
          <w:iCs w:val="0"/>
          <w:caps w:val="0"/>
          <w:color w:val="auto"/>
          <w:spacing w:val="0"/>
          <w:kern w:val="0"/>
          <w:sz w:val="21"/>
          <w:szCs w:val="21"/>
          <w:shd w:val="clear"/>
          <w:lang w:eastAsia="zh-CN" w:bidi="ar"/>
        </w:rPr>
        <w:t>包括</w:t>
      </w:r>
      <w:r>
        <w:rPr>
          <w:rFonts w:hint="eastAsia" w:ascii="宋体" w:hAnsi="宋体" w:eastAsia="宋体" w:cs="宋体"/>
          <w:i w:val="0"/>
          <w:iCs w:val="0"/>
          <w:caps w:val="0"/>
          <w:color w:val="auto"/>
          <w:spacing w:val="0"/>
          <w:kern w:val="0"/>
          <w:sz w:val="21"/>
          <w:szCs w:val="21"/>
          <w:shd w:val="clear" w:fill="auto"/>
          <w:lang w:bidi="ar"/>
        </w:rPr>
        <w:t>长兴县交通运输行政执法队无人</w:t>
      </w:r>
      <w:r>
        <w:rPr>
          <w:rFonts w:hint="eastAsia" w:ascii="宋体" w:hAnsi="宋体" w:cs="宋体"/>
          <w:i w:val="0"/>
          <w:iCs w:val="0"/>
          <w:caps w:val="0"/>
          <w:color w:val="auto"/>
          <w:spacing w:val="0"/>
          <w:kern w:val="0"/>
          <w:sz w:val="21"/>
          <w:szCs w:val="21"/>
          <w:shd w:val="clear"/>
          <w:lang w:eastAsia="zh-CN" w:bidi="ar"/>
        </w:rPr>
        <w:t>机库的</w:t>
      </w:r>
      <w:r>
        <w:rPr>
          <w:rFonts w:hint="eastAsia" w:ascii="宋体" w:hAnsi="宋体" w:eastAsia="宋体" w:cs="宋体"/>
          <w:i w:val="0"/>
          <w:iCs w:val="0"/>
          <w:caps w:val="0"/>
          <w:color w:val="auto"/>
          <w:spacing w:val="0"/>
          <w:kern w:val="0"/>
          <w:sz w:val="21"/>
          <w:szCs w:val="21"/>
          <w:shd w:val="clear" w:fill="auto"/>
          <w:lang w:bidi="ar"/>
        </w:rPr>
        <w:t>采购，具体详见竞争性磋商文件</w:t>
      </w:r>
      <w:r>
        <w:rPr>
          <w:rFonts w:hint="eastAsia" w:ascii="宋体" w:hAnsi="宋体" w:eastAsia="宋体" w:cs="宋体"/>
          <w:color w:val="auto"/>
          <w:kern w:val="0"/>
          <w:sz w:val="21"/>
          <w:szCs w:val="21"/>
          <w:lang w:val="en-US" w:eastAsia="zh-CN" w:bidi="ar"/>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备注： /</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合同履行期限：</w:t>
      </w:r>
    </w:p>
    <w:p>
      <w:pPr>
        <w:keepNext w:val="0"/>
        <w:keepLines w:val="0"/>
        <w:pageBreakBefore w:val="0"/>
        <w:widowControl/>
        <w:kinsoku/>
        <w:wordWrap/>
        <w:overflowPunct/>
        <w:topLinePunct w:val="0"/>
        <w:autoSpaceDE/>
        <w:autoSpaceDN/>
        <w:bidi w:val="0"/>
        <w:adjustRightInd/>
        <w:snapToGrid/>
        <w:spacing w:line="520" w:lineRule="exact"/>
        <w:ind w:firstLine="422" w:firstLineChars="200"/>
        <w:jc w:val="left"/>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合同签订后30日历天内完成设备采购、安装调试并经验收合格。</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本项目（否）接受联合体磋商。</w:t>
      </w:r>
      <w:bookmarkStart w:id="16" w:name="_Toc11970"/>
      <w:bookmarkStart w:id="17" w:name="_Toc9404"/>
      <w:bookmarkStart w:id="18" w:name="_Toc30974"/>
      <w:bookmarkStart w:id="19" w:name="_Toc11186"/>
      <w:bookmarkStart w:id="20" w:name="_Toc12917"/>
      <w:bookmarkStart w:id="21" w:name="_Toc9637"/>
      <w:bookmarkStart w:id="22" w:name="_Toc11212"/>
      <w:bookmarkStart w:id="23" w:name="_Toc24708"/>
      <w:bookmarkStart w:id="24" w:name="_Toc24861"/>
      <w:bookmarkStart w:id="25" w:name="_Toc1764"/>
      <w:bookmarkStart w:id="26" w:name="_Toc28515"/>
    </w:p>
    <w:p>
      <w:pPr>
        <w:keepNext w:val="0"/>
        <w:keepLines w:val="0"/>
        <w:pageBreakBefore w:val="0"/>
        <w:widowControl/>
        <w:kinsoku/>
        <w:wordWrap/>
        <w:overflowPunct/>
        <w:topLinePunct w:val="0"/>
        <w:autoSpaceDE/>
        <w:autoSpaceDN/>
        <w:bidi w:val="0"/>
        <w:adjustRightInd/>
        <w:snapToGrid/>
        <w:spacing w:line="520" w:lineRule="exact"/>
        <w:jc w:val="left"/>
        <w:textAlignment w:val="auto"/>
        <w:rPr>
          <w:rStyle w:val="24"/>
          <w:rFonts w:hint="eastAsia" w:ascii="宋体" w:hAnsi="宋体" w:eastAsia="宋体" w:cs="宋体"/>
          <w:color w:val="auto"/>
          <w:sz w:val="21"/>
          <w:szCs w:val="21"/>
        </w:rPr>
      </w:pPr>
      <w:r>
        <w:rPr>
          <w:rStyle w:val="24"/>
          <w:rFonts w:hint="eastAsia" w:ascii="宋体" w:hAnsi="宋体" w:eastAsia="宋体" w:cs="宋体"/>
          <w:color w:val="auto"/>
          <w:sz w:val="21"/>
          <w:szCs w:val="21"/>
        </w:rPr>
        <w:t>二、申请人的资格要求：</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宋体" w:hAnsi="Times New Roman" w:eastAsia="宋体" w:cs="Times New Roman"/>
          <w:kern w:val="0"/>
          <w:sz w:val="21"/>
          <w:szCs w:val="21"/>
          <w:lang w:val="zh-CN" w:eastAsia="zh-CN" w:bidi="ar-SA"/>
        </w:rPr>
      </w:pPr>
      <w:r>
        <w:rPr>
          <w:rFonts w:hint="eastAsia" w:ascii="宋体" w:hAnsi="Times New Roman" w:eastAsia="宋体" w:cs="Times New Roman"/>
          <w:kern w:val="0"/>
          <w:sz w:val="21"/>
          <w:szCs w:val="21"/>
          <w:lang w:val="zh-CN" w:eastAsia="zh-CN" w:bidi="ar-SA"/>
        </w:rPr>
        <w:t>1.满足《中华人民共和国政府采购法》第二十二条规定；未被“信用中国”（www.creditchina.gov.cn)、中国政府采购网（www.ccgp.gov.cn）列入失信被执行人、重大税收违法失信主体、政府采购严重违法失信行为记录名单。</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宋体" w:hAnsi="Times New Roman" w:eastAsia="宋体" w:cs="Times New Roman"/>
          <w:kern w:val="0"/>
          <w:sz w:val="21"/>
          <w:szCs w:val="21"/>
          <w:lang w:val="zh-CN" w:eastAsia="zh-CN" w:bidi="ar-SA"/>
        </w:rPr>
      </w:pPr>
      <w:r>
        <w:rPr>
          <w:rFonts w:hint="eastAsia" w:ascii="宋体" w:hAnsi="Times New Roman" w:eastAsia="宋体" w:cs="Times New Roman"/>
          <w:kern w:val="0"/>
          <w:sz w:val="21"/>
          <w:szCs w:val="21"/>
          <w:lang w:val="zh-CN" w:eastAsia="zh-CN" w:bidi="ar-SA"/>
        </w:rPr>
        <w:t>2.落实政府采购政策需满足的资格要求：</w:t>
      </w:r>
      <w:r>
        <w:rPr>
          <w:rFonts w:hint="eastAsia" w:ascii="宋体" w:hAnsi="Times New Roman" w:eastAsia="宋体" w:cs="Times New Roman"/>
          <w:kern w:val="0"/>
          <w:sz w:val="21"/>
          <w:szCs w:val="21"/>
          <w:lang w:val="en-US" w:eastAsia="zh-CN" w:bidi="ar-SA"/>
        </w:rPr>
        <w:t>/</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宋体" w:hAnsi="Times New Roman" w:eastAsia="宋体" w:cs="Times New Roman"/>
          <w:kern w:val="0"/>
          <w:sz w:val="21"/>
          <w:szCs w:val="21"/>
          <w:lang w:val="zh-CN" w:eastAsia="zh-CN" w:bidi="ar-SA"/>
        </w:rPr>
      </w:pPr>
      <w:r>
        <w:rPr>
          <w:rFonts w:hint="eastAsia" w:ascii="宋体" w:hAnsi="Times New Roman" w:eastAsia="宋体" w:cs="Times New Roman"/>
          <w:kern w:val="0"/>
          <w:sz w:val="21"/>
          <w:szCs w:val="21"/>
          <w:lang w:val="zh-CN" w:eastAsia="zh-CN" w:bidi="ar-SA"/>
        </w:rPr>
        <w:t>3.本项目的特定资格要求：无。</w:t>
      </w:r>
    </w:p>
    <w:p>
      <w:pPr>
        <w:pStyle w:val="17"/>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520" w:lineRule="exact"/>
        <w:ind w:left="0" w:right="0"/>
        <w:jc w:val="both"/>
        <w:textAlignment w:val="auto"/>
        <w:rPr>
          <w:rStyle w:val="24"/>
          <w:rFonts w:hint="eastAsia" w:ascii="宋体" w:hAnsi="宋体" w:eastAsia="宋体" w:cs="宋体"/>
          <w:color w:val="000000"/>
          <w:sz w:val="21"/>
          <w:szCs w:val="21"/>
          <w:lang w:eastAsia="zh-CN"/>
        </w:rPr>
      </w:pPr>
      <w:r>
        <w:rPr>
          <w:rStyle w:val="24"/>
          <w:rFonts w:hint="eastAsia" w:ascii="宋体" w:hAnsi="宋体" w:eastAsia="宋体" w:cs="宋体"/>
          <w:color w:val="000000"/>
          <w:sz w:val="21"/>
          <w:szCs w:val="21"/>
        </w:rPr>
        <w:t>三、</w:t>
      </w:r>
      <w:r>
        <w:rPr>
          <w:rStyle w:val="24"/>
          <w:rFonts w:hint="eastAsia" w:eastAsia="宋体" w:cs="宋体"/>
          <w:color w:val="000000"/>
          <w:sz w:val="21"/>
          <w:szCs w:val="21"/>
          <w:lang w:eastAsia="zh-CN"/>
        </w:rPr>
        <w:t>获取（下载）磋商文件</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时间：/至2024年04月10日，每天上午00:00至12:00，下午12:00至23:59（北京时间，线上获取法定节假日均可，线下获取文件法定节假日除外）</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地点（网址）：政采云平台线上获取（http://zfcg.czt.zj.gov.cn）。</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方式：（1）本项目磋商文件实行“政府采购云平台”在线获取，不提供磋商文件纸质版。供应商获取磋商文件前应先完成“政府采购云平台”的账号注册。</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潜在供应商登陆政采云平台，进入“项目采购”应用在“项目文件获取”菜单中选择项目，在线获取磋商文件，本项目磋商文件不收取工本费。仅需浏览文件的可点击“游客，浏览文件”直接下载文件浏览。</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磋商文件同时以本公告附件形式发布，该磋商文件仅供阅览使用，供应商只有在“政府采购云平台”完成注册并下载了磋商文件后才视作依法获取磋商文件，未在政采云平台上获取磋商文件的潜在供应商均无资格参加本次磋商。已依法获取磋商文件的供应商不代表已通过资格审查，资格审查由采购人代表根据供应商提交的磋商响应文件认定。</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售价（元）：0 </w:t>
      </w:r>
    </w:p>
    <w:p>
      <w:pPr>
        <w:pStyle w:val="17"/>
        <w:keepNext w:val="0"/>
        <w:keepLines w:val="0"/>
        <w:widowControl/>
        <w:suppressLineNumbers w:val="0"/>
        <w:spacing w:before="256" w:beforeAutospacing="0" w:after="256" w:afterAutospacing="0" w:line="450" w:lineRule="atLeast"/>
        <w:ind w:left="0" w:right="0"/>
        <w:jc w:val="both"/>
        <w:rPr>
          <w:rStyle w:val="24"/>
          <w:rFonts w:hint="eastAsia" w:ascii="宋体" w:hAnsi="宋体" w:eastAsia="宋体" w:cs="宋体"/>
          <w:color w:val="000000"/>
          <w:sz w:val="21"/>
          <w:szCs w:val="21"/>
        </w:rPr>
      </w:pPr>
      <w:r>
        <w:rPr>
          <w:rStyle w:val="24"/>
          <w:rFonts w:hint="eastAsia" w:ascii="宋体" w:hAnsi="宋体" w:eastAsia="宋体" w:cs="宋体"/>
          <w:color w:val="000000"/>
          <w:sz w:val="21"/>
          <w:szCs w:val="21"/>
        </w:rPr>
        <w:t>四、响应文件提交（上传）</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截止时间：2024年04月10日9:00（北京时间）</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地点（网址）：政府采购云平台在线电子投标（http://zfcg.czt.zj.gov.cn）</w:t>
      </w:r>
    </w:p>
    <w:p>
      <w:pPr>
        <w:pStyle w:val="17"/>
        <w:keepNext w:val="0"/>
        <w:keepLines w:val="0"/>
        <w:widowControl/>
        <w:suppressLineNumbers w:val="0"/>
        <w:spacing w:before="256" w:beforeAutospacing="0" w:after="256" w:afterAutospacing="0" w:line="450" w:lineRule="atLeast"/>
        <w:ind w:left="0" w:right="0"/>
        <w:jc w:val="both"/>
        <w:rPr>
          <w:rStyle w:val="24"/>
          <w:rFonts w:hint="eastAsia" w:ascii="宋体" w:hAnsi="宋体" w:eastAsia="宋体" w:cs="宋体"/>
          <w:color w:val="000000"/>
          <w:sz w:val="21"/>
          <w:szCs w:val="21"/>
        </w:rPr>
      </w:pPr>
      <w:r>
        <w:rPr>
          <w:rStyle w:val="24"/>
          <w:rFonts w:hint="eastAsia" w:ascii="宋体" w:hAnsi="宋体" w:eastAsia="宋体" w:cs="宋体"/>
          <w:color w:val="000000"/>
          <w:sz w:val="21"/>
          <w:szCs w:val="21"/>
          <w:lang w:eastAsia="zh-CN"/>
        </w:rPr>
        <w:t>五</w:t>
      </w:r>
      <w:r>
        <w:rPr>
          <w:rStyle w:val="24"/>
          <w:rFonts w:hint="eastAsia" w:ascii="宋体" w:hAnsi="宋体" w:eastAsia="宋体" w:cs="宋体"/>
          <w:color w:val="000000"/>
          <w:sz w:val="21"/>
          <w:szCs w:val="21"/>
        </w:rPr>
        <w:t>、响应文件开启</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开启时间：2024年04月10日9:00</w:t>
      </w:r>
    </w:p>
    <w:p>
      <w:pPr>
        <w:widowControl/>
        <w:spacing w:line="360" w:lineRule="auto"/>
        <w:ind w:firstLine="420" w:firstLineChars="200"/>
        <w:jc w:val="left"/>
        <w:rPr>
          <w:rFonts w:hint="eastAsia" w:ascii="宋体" w:hAnsi="宋体" w:eastAsia="宋体" w:cs="宋体"/>
          <w:b/>
          <w:bCs/>
          <w:color w:val="auto"/>
          <w:kern w:val="0"/>
          <w:sz w:val="21"/>
          <w:szCs w:val="21"/>
        </w:rPr>
      </w:pPr>
      <w:r>
        <w:rPr>
          <w:rFonts w:hint="eastAsia" w:ascii="宋体" w:hAnsi="宋体" w:eastAsia="宋体" w:cs="宋体"/>
          <w:color w:val="000000"/>
          <w:kern w:val="0"/>
          <w:sz w:val="21"/>
          <w:szCs w:val="21"/>
          <w:lang w:val="en-US" w:eastAsia="zh-CN" w:bidi="ar"/>
        </w:rPr>
        <w:t>地点（网址）：长兴县锦绣路8号长兴县公共资源交易中心，政府采购云平台在线电子开标（http://zfcg.czt.zj.gov.cn）</w:t>
      </w:r>
    </w:p>
    <w:p>
      <w:pPr>
        <w:pStyle w:val="17"/>
        <w:keepNext w:val="0"/>
        <w:keepLines w:val="0"/>
        <w:widowControl/>
        <w:suppressLineNumbers w:val="0"/>
        <w:spacing w:before="256" w:beforeAutospacing="0" w:after="256" w:afterAutospacing="0" w:line="450" w:lineRule="atLeast"/>
        <w:ind w:left="0" w:right="0"/>
        <w:jc w:val="both"/>
        <w:rPr>
          <w:rStyle w:val="24"/>
          <w:rFonts w:hint="eastAsia" w:ascii="宋体" w:hAnsi="宋体" w:eastAsia="宋体" w:cs="宋体"/>
          <w:color w:val="000000"/>
          <w:sz w:val="21"/>
          <w:szCs w:val="21"/>
        </w:rPr>
      </w:pPr>
      <w:r>
        <w:rPr>
          <w:rStyle w:val="24"/>
          <w:rFonts w:hint="eastAsia" w:eastAsia="宋体" w:cs="宋体"/>
          <w:color w:val="000000"/>
          <w:sz w:val="21"/>
          <w:szCs w:val="21"/>
          <w:lang w:eastAsia="zh-CN"/>
        </w:rPr>
        <w:t>六</w:t>
      </w:r>
      <w:r>
        <w:rPr>
          <w:rStyle w:val="24"/>
          <w:rFonts w:hint="eastAsia" w:ascii="宋体" w:hAnsi="宋体" w:eastAsia="宋体" w:cs="宋体"/>
          <w:color w:val="000000"/>
          <w:sz w:val="21"/>
          <w:szCs w:val="21"/>
        </w:rPr>
        <w:t>、公告期限</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自本公告发布之日起3个工作日。</w:t>
      </w:r>
    </w:p>
    <w:p>
      <w:pPr>
        <w:pStyle w:val="17"/>
        <w:keepNext w:val="0"/>
        <w:keepLines w:val="0"/>
        <w:widowControl/>
        <w:suppressLineNumbers w:val="0"/>
        <w:spacing w:before="256" w:beforeAutospacing="0" w:after="256" w:afterAutospacing="0" w:line="450" w:lineRule="atLeast"/>
        <w:ind w:left="0" w:right="0"/>
        <w:jc w:val="both"/>
        <w:rPr>
          <w:rStyle w:val="24"/>
          <w:rFonts w:hint="eastAsia" w:ascii="宋体" w:hAnsi="宋体" w:eastAsia="宋体" w:cs="宋体"/>
          <w:color w:val="000000"/>
          <w:sz w:val="21"/>
          <w:szCs w:val="21"/>
          <w:lang w:eastAsia="zh-CN"/>
        </w:rPr>
      </w:pPr>
      <w:r>
        <w:rPr>
          <w:rStyle w:val="24"/>
          <w:rFonts w:hint="eastAsia" w:eastAsia="宋体" w:cs="宋体"/>
          <w:color w:val="000000"/>
          <w:sz w:val="21"/>
          <w:szCs w:val="21"/>
          <w:lang w:eastAsia="zh-CN"/>
        </w:rPr>
        <w:t>七</w:t>
      </w:r>
      <w:r>
        <w:rPr>
          <w:rStyle w:val="24"/>
          <w:rFonts w:hint="eastAsia" w:ascii="宋体" w:hAnsi="宋体" w:eastAsia="宋体" w:cs="宋体"/>
          <w:color w:val="000000"/>
          <w:sz w:val="21"/>
          <w:szCs w:val="21"/>
          <w:lang w:eastAsia="zh-CN"/>
        </w:rPr>
        <w:t>、其他补充事宜</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供应商认为磋商文件使自己的权益受到损害的，可以自获取磋商文件之日或者磋商文件公告期限届满之日（公告期限届满后获取磋商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2.其他事项：</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2.1本项目无需缴纳磋商保证金。</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2.2电子交易说明：</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本项目实行电子交易，应按照本项目磋商文件和政采云平台的要求编制、加密并递交磋商响应文件（使用政采云平台专用编制工具）。供应商在使用系统的过程中遇到涉及平台使用的任何问题，可致电政采云平台技术支持热线咨询，联系方式：400-881-7190。</w:t>
      </w:r>
    </w:p>
    <w:p>
      <w:pPr>
        <w:keepNext/>
        <w:keepLines/>
        <w:widowControl/>
        <w:wordWrap w:val="0"/>
        <w:spacing w:line="360" w:lineRule="auto"/>
        <w:ind w:firstLine="420" w:firstLineChars="20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（2）潜在供应商应在磋商响应截止时间前完成CA数字证书办理。办理流程详见http://www.zjzfcg.gov.cn/bidClientTemplate/2019-05-27/12945.html。完成CA数字证书办理预计一周左右，建议各潜在供应商抓紧时间办理。</w:t>
      </w:r>
    </w:p>
    <w:p>
      <w:pPr>
        <w:keepNext/>
        <w:keepLines/>
        <w:widowControl/>
        <w:wordWrap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潜在供应商通过政采云平台电子投标工具制作磋商响应文件，电子投标工具请潜在供应商自行前往浙江省政府采购网下载并安装（下载网址：http://www.zjzfcg.gov.cn/bidClientTemplate/2019-05-27/12946.html），电子交易具体流程详见“政采云平台项目采购-电子招投标操作指南”（请潜在供应商点击链接https://help.zcygov.cn/web/site_2/2018/12-28/2573.html）以获取最新操作指南。</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2.3响应文件提交（上传）说明</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供应商应当在磋商响应截止时间前完成电子磋商响应文件的传输递交，并可以补充、修改或者撤回电子磋商响应文件。补充或者修改电子磋商响应文件的，应当先行撤回原文件，补充、修改后重新传输递交。磋商响应截止时间前未完成传输递交的，视为撤回磋商响应文件。磋商响应截止时间后递交的磋商响应文件，将被政采云平台拒收。</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磋商响应截止时间前，除政采云上传的电子磋商响应文件外，供应商如认为需要可以递交以介质存储的数据电文形式的U盘或光盘备份磋商响应文件一份和制作纸质备份磋商响应文件一份。U盘或光盘备份磋商响应文件和纸质备份磋商响应文件可以通过邮寄快递方式送达（建议顺丰优先，包裹外包装上请注明单位名称、项目名称、联系电话等信息，以便代理机构接收登记，寄出后请电话告知代理机构工作人员），邮寄地址为：杭州建设工程造价咨询有限公司（长兴县格兰国际A座20楼2001室），联系电话：15067279196 （严工）。由采购代理机构统一负责接收，到付件拒收。</w:t>
      </w:r>
    </w:p>
    <w:p>
      <w:pPr>
        <w:widowControl/>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w:t>
      </w:r>
      <w:r>
        <w:rPr>
          <w:rFonts w:hint="eastAsia" w:ascii="宋体" w:hAnsi="宋体" w:eastAsia="宋体" w:cs="宋体"/>
          <w:b/>
          <w:bCs/>
          <w:color w:val="auto"/>
          <w:kern w:val="0"/>
          <w:sz w:val="21"/>
          <w:szCs w:val="21"/>
          <w:lang w:val="en-US" w:eastAsia="zh-CN" w:bidi="ar"/>
        </w:rPr>
        <w:t>备份磋商响应文件非强制性要求。</w:t>
      </w:r>
      <w:r>
        <w:rPr>
          <w:rFonts w:hint="eastAsia" w:ascii="宋体" w:hAnsi="宋体" w:eastAsia="宋体" w:cs="宋体"/>
          <w:color w:val="auto"/>
          <w:kern w:val="0"/>
          <w:sz w:val="21"/>
          <w:szCs w:val="21"/>
          <w:lang w:val="en-US" w:eastAsia="zh-CN" w:bidi="ar"/>
        </w:rPr>
        <w:t>通过邮寄备份文件的供应商，邮寄接收截止时间（以签收时间为准）为磋商响应截止时间</w:t>
      </w:r>
      <w:r>
        <w:rPr>
          <w:rFonts w:hint="eastAsia" w:ascii="宋体" w:hAnsi="宋体" w:eastAsia="宋体" w:cs="宋体"/>
          <w:b w:val="0"/>
          <w:bCs w:val="0"/>
          <w:color w:val="auto"/>
          <w:kern w:val="0"/>
          <w:szCs w:val="21"/>
          <w:lang w:val="en-US" w:eastAsia="zh-CN"/>
        </w:rPr>
        <w:t>前一天</w:t>
      </w:r>
      <w:r>
        <w:rPr>
          <w:rFonts w:hint="eastAsia" w:ascii="宋体" w:hAnsi="宋体" w:eastAsia="宋体" w:cs="宋体"/>
          <w:color w:val="auto"/>
          <w:kern w:val="0"/>
          <w:sz w:val="21"/>
          <w:szCs w:val="21"/>
          <w:lang w:val="en-US" w:eastAsia="zh-CN" w:bidi="ar"/>
        </w:rPr>
        <w:t>。供应商需留足邮寄时间，确保备份磋商响应文件于接收截止时间前送达指定地点，逾期送达或未按规定密封将被拒收。供应商自行承担所有风险和由此带来的后果。</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2.4政府采购金融服务</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为有效破解当前中小企业面临的“融资难、融资贵”困局，充分发挥好政府采购扶持中小企业发展的政策功能，本项目成交供应商可凭政府采购合同或成交通知书等材料至政采云平台申请相关融资产品。</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办理流程：政采云平台线上发起申请——银行审批给出额度利率——贷款发放。</w:t>
      </w:r>
    </w:p>
    <w:p>
      <w:pPr>
        <w:keepNext/>
        <w:keepLines/>
        <w:widowControl/>
        <w:wordWrap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操作方式：登录政采云平台（https://www.zcygov.cn/）——点击右上角金融服务（https://jinrong.zcygov.cn/）——选择融资服务——选择银行及产品——线上直接申请。</w:t>
      </w:r>
    </w:p>
    <w:p>
      <w:pPr>
        <w:widowControl/>
        <w:spacing w:line="360" w:lineRule="auto"/>
        <w:rPr>
          <w:rFonts w:hint="eastAsia" w:ascii="宋体" w:hAnsi="宋体" w:eastAsia="宋体" w:cs="宋体"/>
          <w:b/>
          <w:bCs/>
          <w:kern w:val="0"/>
          <w:sz w:val="21"/>
          <w:szCs w:val="21"/>
        </w:rPr>
      </w:pPr>
    </w:p>
    <w:p>
      <w:pPr>
        <w:widowControl/>
        <w:spacing w:line="360" w:lineRule="auto"/>
        <w:rPr>
          <w:rFonts w:hint="eastAsia" w:ascii="宋体" w:hAnsi="宋体" w:eastAsia="宋体" w:cs="宋体"/>
          <w:kern w:val="0"/>
          <w:sz w:val="21"/>
          <w:szCs w:val="21"/>
        </w:rPr>
      </w:pPr>
      <w:r>
        <w:rPr>
          <w:rStyle w:val="24"/>
          <w:rFonts w:hint="eastAsia" w:ascii="宋体" w:hAnsi="宋体" w:eastAsia="宋体" w:cs="宋体"/>
          <w:color w:val="000000"/>
          <w:kern w:val="0"/>
          <w:sz w:val="21"/>
          <w:szCs w:val="21"/>
          <w:lang w:val="en-US" w:eastAsia="zh-CN" w:bidi="ar"/>
        </w:rPr>
        <w:t>八、凡对本次招标提出询问、质疑、投诉，请按以下方式联系</w:t>
      </w:r>
      <w:r>
        <w:rPr>
          <w:rFonts w:hint="eastAsia" w:ascii="宋体" w:hAnsi="宋体" w:eastAsia="宋体" w:cs="宋体"/>
          <w:b/>
          <w:bCs/>
          <w:kern w:val="0"/>
          <w:sz w:val="21"/>
          <w:szCs w:val="21"/>
        </w:rPr>
        <w:t>　　</w:t>
      </w:r>
      <w:r>
        <w:rPr>
          <w:rFonts w:hint="eastAsia" w:ascii="宋体" w:hAnsi="宋体" w:eastAsia="宋体" w:cs="宋体"/>
          <w:kern w:val="0"/>
          <w:sz w:val="21"/>
          <w:szCs w:val="21"/>
        </w:rPr>
        <w:t>　　　　　　　</w:t>
      </w:r>
    </w:p>
    <w:bookmarkEnd w:id="16"/>
    <w:bookmarkEnd w:id="17"/>
    <w:bookmarkEnd w:id="18"/>
    <w:bookmarkEnd w:id="19"/>
    <w:bookmarkEnd w:id="20"/>
    <w:bookmarkEnd w:id="21"/>
    <w:bookmarkEnd w:id="22"/>
    <w:bookmarkEnd w:id="23"/>
    <w:bookmarkEnd w:id="24"/>
    <w:bookmarkEnd w:id="25"/>
    <w:bookmarkEnd w:id="26"/>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1、采购人信息</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名 称：长兴县交通运输行政执法队</w:t>
      </w:r>
    </w:p>
    <w:p>
      <w:pPr>
        <w:widowControl/>
        <w:spacing w:line="360" w:lineRule="auto"/>
        <w:ind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地 址：浙江省湖州市长兴县明珠路141号 </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项目联系人（询问）：</w:t>
      </w:r>
      <w:r>
        <w:rPr>
          <w:rFonts w:hint="eastAsia" w:ascii="宋体" w:hAnsi="宋体" w:cs="宋体"/>
          <w:color w:val="000000"/>
          <w:kern w:val="0"/>
          <w:sz w:val="21"/>
          <w:szCs w:val="21"/>
          <w:lang w:val="en-US" w:eastAsia="zh-CN" w:bidi="ar"/>
        </w:rPr>
        <w:t xml:space="preserve">赵工 </w:t>
      </w:r>
      <w:r>
        <w:rPr>
          <w:rFonts w:hint="eastAsia" w:ascii="宋体" w:hAnsi="宋体" w:eastAsia="宋体" w:cs="宋体"/>
          <w:color w:val="000000"/>
          <w:kern w:val="0"/>
          <w:sz w:val="21"/>
          <w:szCs w:val="21"/>
          <w:lang w:val="en-US" w:eastAsia="zh-CN" w:bidi="ar"/>
        </w:rPr>
        <w:t xml:space="preserve">   </w:t>
      </w:r>
    </w:p>
    <w:p>
      <w:pPr>
        <w:widowControl/>
        <w:spacing w:line="360" w:lineRule="auto"/>
        <w:ind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项目联系方式（询问）：0572-6251082</w:t>
      </w:r>
      <w:r>
        <w:rPr>
          <w:rFonts w:hint="eastAsia" w:ascii="宋体" w:hAnsi="宋体" w:cs="宋体"/>
          <w:color w:val="000000"/>
          <w:kern w:val="0"/>
          <w:sz w:val="21"/>
          <w:szCs w:val="21"/>
          <w:lang w:val="en-US" w:eastAsia="zh-CN" w:bidi="ar"/>
        </w:rPr>
        <w:t xml:space="preserve"> </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质疑联系人：</w:t>
      </w:r>
      <w:r>
        <w:rPr>
          <w:rFonts w:hint="eastAsia" w:ascii="宋体" w:hAnsi="宋体" w:cs="宋体"/>
          <w:color w:val="000000"/>
          <w:kern w:val="0"/>
          <w:sz w:val="21"/>
          <w:szCs w:val="21"/>
          <w:lang w:val="en-US" w:eastAsia="zh-CN" w:bidi="ar"/>
        </w:rPr>
        <w:t>赵工</w:t>
      </w:r>
      <w:r>
        <w:rPr>
          <w:rFonts w:hint="eastAsia" w:ascii="宋体" w:hAnsi="宋体" w:eastAsia="宋体" w:cs="宋体"/>
          <w:color w:val="000000"/>
          <w:kern w:val="0"/>
          <w:sz w:val="21"/>
          <w:szCs w:val="21"/>
          <w:lang w:val="en-US" w:eastAsia="zh-CN" w:bidi="ar"/>
        </w:rPr>
        <w:t xml:space="preserve"> </w:t>
      </w:r>
      <w:r>
        <w:rPr>
          <w:rFonts w:hint="eastAsia" w:ascii="宋体" w:hAnsi="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            </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质疑联系方式：0572-6251082</w:t>
      </w:r>
      <w:r>
        <w:rPr>
          <w:rFonts w:hint="eastAsia" w:ascii="宋体" w:hAnsi="宋体" w:cs="宋体"/>
          <w:color w:val="000000"/>
          <w:kern w:val="0"/>
          <w:sz w:val="21"/>
          <w:szCs w:val="21"/>
          <w:lang w:val="en-US" w:eastAsia="zh-CN" w:bidi="ar"/>
        </w:rPr>
        <w:t xml:space="preserve"> </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2、采购代理机构信息</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名 称：杭州建设工程造价咨询有限公司</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地 址：长兴县格兰国际A座20楼2001室</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项目联系人（询问）：严工    </w:t>
      </w:r>
    </w:p>
    <w:p>
      <w:pPr>
        <w:widowControl/>
        <w:spacing w:line="360" w:lineRule="auto"/>
        <w:ind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项目联系方式（询问）：15067279196</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质疑联系人：</w:t>
      </w:r>
      <w:r>
        <w:rPr>
          <w:rFonts w:hint="eastAsia" w:ascii="宋体" w:hAnsi="宋体" w:cs="宋体"/>
          <w:color w:val="000000"/>
          <w:kern w:val="0"/>
          <w:sz w:val="21"/>
          <w:szCs w:val="21"/>
          <w:lang w:val="en-US" w:eastAsia="zh-CN" w:bidi="ar"/>
        </w:rPr>
        <w:t>吴</w:t>
      </w:r>
      <w:r>
        <w:rPr>
          <w:rFonts w:hint="eastAsia" w:ascii="宋体" w:hAnsi="宋体" w:eastAsia="宋体" w:cs="宋体"/>
          <w:color w:val="000000"/>
          <w:kern w:val="0"/>
          <w:sz w:val="21"/>
          <w:szCs w:val="21"/>
          <w:lang w:val="en-US" w:eastAsia="zh-CN" w:bidi="ar"/>
        </w:rPr>
        <w:t xml:space="preserve">工    </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质疑联系方式：0572-6778801</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3、同级政府采购监督管理部门</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名 称：长兴县财政局</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地 址：浙江省长兴县龙山街道锦绣路6号兴国商务楼1号楼1305室</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联系人 ：佘科</w:t>
      </w:r>
    </w:p>
    <w:p>
      <w:pPr>
        <w:widowControl/>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监督投诉电话：0572-6027789</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Times New Roman" w:eastAsia="宋体" w:cs="Times New Roman"/>
          <w:kern w:val="0"/>
          <w:sz w:val="21"/>
          <w:szCs w:val="21"/>
          <w:lang w:val="zh-CN" w:eastAsia="zh-CN" w:bidi="ar-SA"/>
        </w:rPr>
      </w:pP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若对项目采购电子交易系统操作有疑问，可登录政采云（https://www.zcygov.cn/），点击右侧咨询小采，获取采小蜜智能服务管家帮助，或拨打政采云服务热线400-881-7190获取热线服务帮助。 CA问题联系电话（人工）：汇信CA 400-888-4636；天谷CA 400-087-8198</w:t>
      </w:r>
      <w:bookmarkStart w:id="27" w:name="_Toc456078613"/>
      <w:bookmarkStart w:id="28" w:name="_Toc14845"/>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19"/>
        <w:rPr>
          <w:rFonts w:hint="eastAsia" w:ascii="宋体" w:hAnsi="宋体" w:eastAsia="宋体" w:cs="宋体"/>
          <w:kern w:val="0"/>
          <w:sz w:val="21"/>
          <w:szCs w:val="21"/>
          <w:lang w:val="en-US" w:eastAsia="zh-CN"/>
        </w:rPr>
      </w:pPr>
    </w:p>
    <w:p>
      <w:pPr>
        <w:pStyle w:val="2"/>
        <w:spacing w:line="240" w:lineRule="auto"/>
        <w:jc w:val="center"/>
        <w:rPr>
          <w:rFonts w:hint="eastAsia" w:ascii="宋体" w:hAnsi="宋体" w:eastAsia="宋体" w:cs="宋体"/>
          <w:bCs w:val="0"/>
          <w:kern w:val="2"/>
          <w:sz w:val="28"/>
          <w:szCs w:val="28"/>
        </w:rPr>
      </w:pPr>
      <w:bookmarkStart w:id="29" w:name="_Toc9386"/>
      <w:r>
        <w:rPr>
          <w:rFonts w:hint="eastAsia" w:ascii="宋体" w:hAnsi="宋体" w:eastAsia="宋体" w:cs="宋体"/>
          <w:bCs w:val="0"/>
          <w:kern w:val="2"/>
          <w:sz w:val="28"/>
          <w:szCs w:val="28"/>
        </w:rPr>
        <w:t>第二章  磋商需求</w:t>
      </w:r>
      <w:bookmarkEnd w:id="29"/>
    </w:p>
    <w:bookmarkEnd w:id="27"/>
    <w:bookmarkEnd w:id="28"/>
    <w:p>
      <w:pPr>
        <w:autoSpaceDE w:val="0"/>
        <w:autoSpaceDN w:val="0"/>
        <w:spacing w:line="360" w:lineRule="auto"/>
        <w:ind w:firstLine="0" w:firstLineChars="0"/>
        <w:outlineLvl w:val="0"/>
        <w:rPr>
          <w:rFonts w:hint="eastAsia" w:ascii="宋体" w:hAnsi="宋体"/>
          <w:b/>
          <w:color w:val="auto"/>
          <w:szCs w:val="21"/>
          <w:highlight w:val="none"/>
        </w:rPr>
      </w:pPr>
      <w:bookmarkStart w:id="30" w:name="_Toc1549"/>
      <w:r>
        <w:rPr>
          <w:rFonts w:hint="eastAsia" w:ascii="宋体" w:hAnsi="宋体"/>
          <w:b/>
          <w:color w:val="auto"/>
          <w:szCs w:val="21"/>
          <w:highlight w:val="none"/>
        </w:rPr>
        <w:t>一、总则</w:t>
      </w:r>
      <w:bookmarkEnd w:id="30"/>
    </w:p>
    <w:p>
      <w:pPr>
        <w:pStyle w:val="11"/>
        <w:spacing w:line="360" w:lineRule="auto"/>
        <w:ind w:firstLine="482"/>
        <w:rPr>
          <w:rFonts w:hint="eastAsia" w:hAnsi="宋体"/>
          <w:color w:val="auto"/>
          <w:szCs w:val="21"/>
          <w:highlight w:val="none"/>
        </w:rPr>
      </w:pPr>
      <w:r>
        <w:rPr>
          <w:rFonts w:hint="eastAsia" w:hAnsi="宋体"/>
          <w:color w:val="auto"/>
          <w:szCs w:val="21"/>
          <w:highlight w:val="none"/>
        </w:rPr>
        <w:t>1.本技术规范要求提出的是最低限度的基本技术要求，并未对所有技术细节作出规定，供应商应提供符合本技术要求和国家标准、行业标准的优质产品。</w:t>
      </w:r>
    </w:p>
    <w:p>
      <w:pPr>
        <w:pStyle w:val="11"/>
        <w:spacing w:line="360" w:lineRule="auto"/>
        <w:ind w:firstLine="482"/>
        <w:rPr>
          <w:rFonts w:hint="eastAsia" w:hAnsi="宋体"/>
          <w:color w:val="auto"/>
          <w:szCs w:val="21"/>
          <w:highlight w:val="none"/>
        </w:rPr>
      </w:pPr>
      <w:r>
        <w:rPr>
          <w:rFonts w:hint="eastAsia" w:hAnsi="宋体"/>
          <w:color w:val="auto"/>
          <w:szCs w:val="21"/>
          <w:highlight w:val="none"/>
        </w:rPr>
        <w:t>2.供应商产品与本技术要求不一致时，供应商应在响应文件中予以说明，并由磋商小组鉴定供应商产品能否达到要求。如供应商没有在响应文件中提出异议，则视为供应商提供的产品完全按照本磋商文件要求。</w:t>
      </w:r>
    </w:p>
    <w:p>
      <w:pPr>
        <w:pStyle w:val="11"/>
        <w:spacing w:line="360" w:lineRule="auto"/>
        <w:ind w:firstLine="482"/>
        <w:rPr>
          <w:rFonts w:hint="eastAsia" w:hAnsi="宋体"/>
          <w:color w:val="auto"/>
          <w:szCs w:val="21"/>
          <w:highlight w:val="none"/>
        </w:rPr>
      </w:pPr>
      <w:r>
        <w:rPr>
          <w:rFonts w:hint="eastAsia" w:hAnsi="宋体"/>
          <w:color w:val="auto"/>
          <w:szCs w:val="21"/>
          <w:highlight w:val="none"/>
        </w:rPr>
        <w:t>3.技术要求及标准的执行</w:t>
      </w:r>
    </w:p>
    <w:p>
      <w:pPr>
        <w:pStyle w:val="11"/>
        <w:spacing w:line="360" w:lineRule="auto"/>
        <w:ind w:firstLine="482"/>
        <w:rPr>
          <w:rFonts w:hint="eastAsia" w:hAnsi="宋体"/>
          <w:color w:val="auto"/>
          <w:szCs w:val="21"/>
          <w:highlight w:val="none"/>
        </w:rPr>
      </w:pPr>
      <w:r>
        <w:rPr>
          <w:rFonts w:hint="eastAsia" w:hAnsi="宋体"/>
          <w:color w:val="auto"/>
          <w:szCs w:val="21"/>
          <w:highlight w:val="none"/>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spacing w:line="360" w:lineRule="auto"/>
        <w:ind w:firstLine="420" w:firstLineChars="200"/>
        <w:outlineLvl w:val="0"/>
        <w:rPr>
          <w:rFonts w:hint="eastAsia" w:ascii="宋体" w:hAnsi="宋体"/>
          <w:b/>
          <w:szCs w:val="21"/>
          <w:highlight w:val="none"/>
        </w:rPr>
      </w:pPr>
      <w:bookmarkStart w:id="31" w:name="_Toc5934"/>
      <w:r>
        <w:rPr>
          <w:rFonts w:hint="eastAsia" w:hAnsi="宋体"/>
          <w:color w:val="auto"/>
          <w:szCs w:val="21"/>
          <w:highlight w:val="none"/>
        </w:rPr>
        <w:t>供应商须按国家有关规定及标准完成本项目的供货、安装、调试、技术培训、检验、通过有关部门验收、维保期服务、产品终身维修、系统集成等各项工作，并保证投标产品使用的安全性能与检测结果的可靠性。如成交，成交供应商及制造商对成交产品使用的安全性能与可靠性负全部责任。成交供应商须随产品提供使用说明书与维保卡。供应商提供相关数据与说明，响应文件须对下列要求作出实质性回应。</w:t>
      </w:r>
      <w:bookmarkEnd w:id="31"/>
      <w:bookmarkStart w:id="32" w:name="_Toc456078614"/>
      <w:bookmarkStart w:id="33" w:name="_Toc7680"/>
    </w:p>
    <w:tbl>
      <w:tblPr>
        <w:tblStyle w:val="21"/>
        <w:tblW w:w="9885" w:type="dxa"/>
        <w:tblInd w:w="-3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0"/>
        <w:gridCol w:w="2240"/>
        <w:gridCol w:w="3647"/>
        <w:gridCol w:w="1013"/>
        <w:gridCol w:w="1050"/>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0"/>
                <w:szCs w:val="20"/>
                <w:u w:val="none"/>
                <w:lang w:val="en-US" w:eastAsia="zh-CN" w:bidi="ar"/>
              </w:rPr>
              <w:t>设</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备</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清</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服务终端</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六核</w:t>
            </w:r>
            <w:r>
              <w:rPr>
                <w:rFonts w:hint="eastAsia" w:ascii="宋体" w:hAnsi="宋体" w:cs="宋体"/>
                <w:i w:val="0"/>
                <w:iCs w:val="0"/>
                <w:color w:val="000000"/>
                <w:kern w:val="0"/>
                <w:sz w:val="20"/>
                <w:szCs w:val="20"/>
                <w:u w:val="none"/>
                <w:lang w:val="en-US" w:eastAsia="zh-CN" w:bidi="ar"/>
              </w:rPr>
              <w:t>以上CPU</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不低于21.5寸显示系统、联动无人机软件系统、实时操控及查看数据，固态硬盘不低于</w:t>
            </w:r>
            <w:r>
              <w:rPr>
                <w:rFonts w:hint="eastAsia" w:ascii="宋体" w:hAnsi="宋体" w:eastAsia="宋体" w:cs="宋体"/>
                <w:i w:val="0"/>
                <w:iCs w:val="0"/>
                <w:color w:val="000000"/>
                <w:kern w:val="0"/>
                <w:sz w:val="20"/>
                <w:szCs w:val="20"/>
                <w:u w:val="none"/>
                <w:lang w:val="en-US" w:eastAsia="zh-CN" w:bidi="ar"/>
              </w:rPr>
              <w:t>256G</w:t>
            </w:r>
            <w:r>
              <w:rPr>
                <w:rFonts w:hint="eastAsia" w:ascii="宋体" w:hAnsi="宋体" w:cs="宋体"/>
                <w:i w:val="0"/>
                <w:iCs w:val="0"/>
                <w:color w:val="000000"/>
                <w:kern w:val="0"/>
                <w:sz w:val="20"/>
                <w:szCs w:val="20"/>
                <w:u w:val="none"/>
                <w:lang w:val="en-US" w:eastAsia="zh-CN" w:bidi="ar"/>
              </w:rPr>
              <w:t>*2，为数据存储给与一主一备，防止数据遗失。网口：板载2个千兆电口;  支持选配10GbE、25GbE SFP+等多种网络接口</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其他接口：1个RJ45管理接口，后置2个USB 3.0接口，前置2个USB2.0接口，1个VGA接口</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400万全彩POE枪机</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具有400万像素 CMOS传感器。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★具有不小于1/1.8"靶面尺寸</w:t>
            </w:r>
            <w:r>
              <w:rPr>
                <w:rFonts w:hint="eastAsia" w:ascii="宋体" w:hAnsi="宋体" w:eastAsia="宋体" w:cs="宋体"/>
                <w:i w:val="0"/>
                <w:iCs w:val="0"/>
                <w:color w:val="000000"/>
                <w:kern w:val="0"/>
                <w:sz w:val="20"/>
                <w:szCs w:val="20"/>
                <w:highlight w:val="yellow"/>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★最低照度彩色：0.0005 lx。（公安部检验报告证明）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★内置暖白光补光灯。（公安部检验报告证明）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补光距离不小于60米。（公安部检验报告证明）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动态范围不小于106dB。（公安部检验报告证明）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信噪比不小于62dB。（公安部检验报告证明）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需支持IP67防尘防水。（公安部检验报告证明）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需支持DC12V供电，且在不小于DC12V±30%范围内变化时可以正常工作。（公安部检验报告证明）</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37"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400万臻全彩双眸球机</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视频输出支持2560×1440@25fps，分辨力不小于1500TVL，红外距离可达300米（以公安部检验报告为准）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设备细节通道不低于24倍光学变倍，最大焦距可达到108mm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支持最低照度可达彩色0.0002Lux，黑白0.0001Lux（以公安部检验报告为准）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支持水平手控速度不小于160°/S，垂直速度不小于120°/S，云台定位精度为±0.1°（以公安部检验报告为准）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水平旋转范围为360°连续旋转，垂直旋转范围为-15°~90°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★支持对镜头前盖玻璃加热，去除玻璃上的冰状和水状附着物。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在IE浏览器下，具有视频输出模式设置。单路模式下，设备双镜头可实现单通道倍率拼接；在双路模式下，设备全景通道和细节通道可单独预览监控画面（公安部检验报告证明）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★设置支持双镜头从最小倍率至最大倍率或最大倍率至最小倍率的变倍过程中视频图像不间断（公安部检验报告证明）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★在单路和双路模式下，设备水平视场角均应≥90°（公安部检验报告证明）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球机应具备本机存储功能，支持SD卡热插拔，最大支持256GB（以公安部检验报告为准）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具备较好的防护性能环境适应性，支持IP67，6kV防浪涌，工作温度范围可达-40℃-70℃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具备较好的电源适应性，电压在AC24V±30%范围内变化时，设备可正常工作（以公安部检验报告为准）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网络硬盘录像机</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★具有2个HDMI接口、2个VGA接口、2个RJ45网络接口、2个USB2.0接口、1个USB3.0接口、1个RS232接口、1个RS485接口、1个eSata接口、1路音频输入接口、2路音频输出接口；16路报警输入接口、9路报警输出接口、具有2路直流DC 12V输出接口（其中1路为Ctrl报警输出口）；可内置9个SATA接口硬盘（以公安部检测报告为准）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可接入1T、2T、3T、4T、6T、8T、10T、12TB、14TB、16TB、18TB容量的SATA接口硬盘（以公安部检测报告为准）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可接入32路分辨率为1920×1080的视频图像；支持最大接入带宽 256Mbps，最大存储带宽 256Mbps，最大转发带宽160Mbps，最大回放带宽160Mbps，开启视频流智能分析后NVR网络带宽不应降低（以公安部检测报告为准）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预览分辨率支持：8160×3616、8208×3072、8160×2304、6912×2800、5760×1696、5520×2400、4096×2160、4000×3000、3072×3072、4096×2160、3840×2160、2560×2560、2560×1440、1920×1080 、1280×960、1280×720、704×576；帧率均为25帧/秒（以公安部检测报告为准）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支持16个人脸库，库容5万张人脸图片（以公安部检测报告为准）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★支持2路视频流人脸识别，支持8路图片流人脸识别。支持10张/秒人脸比对报警，比对结果显示包括人脸比对成功、人脸比对失败和陌生人报警（以公安部检测报告为准）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人脸库建模成功率不低于99.99%（以公安部检测报告为准）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★采用单人戴口罩正脸依次循环通行进行试验，试验人员数量不小于5人，通过速度不小于1m/s，人员通过间隔时间不大于1s，戴口罩人脸检出率不低于99%（以公安部检测报告为准）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★人脸正对相机、人脸无遮挡等干扰情况，人脸识别准确率≥99%（以公安部检测报告为准）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★支持周界报警过滤功能，对IPC上报的越界侦测报警和区域入侵报警进行去误报，可去除由树叶、灯光、车辆、阴影以及小动物引起的误报；最大支持32路（以公安部检测报告为准）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支持接入高级移动侦测的相机，移动侦测报警能够区分是人、车还是其它目标产生，可录像和记录报警信息（以公安部检测报告为准）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可接入32路支持高空抛物行为检测的IPC，可联动录像、抓图、蜂鸣报警、预置点、邮件、本地报警输出、IPC报警输出以及日志记录；支持按通道、日期对高空抛物行为进行录像检索，以及关联录像回放，并导出图片（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接入带有人体测温功能的IPC，支持在预览界面以卡片形式实时展示体温信息，体温正常为绿色，体温异常为红色，支持根据体温状态联动语音输出，语音支持“体温正常”、“体温异常”。支持按体温状态、温度范围检索人脸图片（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接入警戒摄像机，支持对IPC的声音和闪光参数进行配置， 支持通过移动侦测、区域入侵、越界侦测、进入区域和离开区域事件联动一个或多个IPC的声光报警，可以对声光联动一键撤防（以公安部检测报告为准）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★企业技术要求：支持导入不同的语音文件，支持播报语音文件；支持人脸、周界、车辆检测、视频结构化的报警触发时联动语音播报（以公安部检测报告为准）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具有存储安全保障功能，当存储压力过高或硬盘出现性能不足时，可优先录像业务存储（以公安部检测报告为准）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支持从其他设备导入录像文件，并对录像文件进行人脸检测和识别，显示识别结果（以公安部检测报告为准）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活动目标与实时预览同屏显示。实时预览的同时可以提取视频画面中的活动目标，可显示人脸、人体、车辆等目标图片，点击图片可即时回放相关录像；配合车辆抓拍摄像机，可显示车辆抓拍图、抓拍时间、车牌号码、车辆品牌、车型、车辆颜色、车牌颜色信息；配合人脸抓拍摄像机，可显示人脸抓拍图、抓拍时间信息；可显示人体抓拍图、性别、上衣颜色、下装颜色、是否戴眼镜、是否背包信息、是否拎东西、是否戴帽子、是否戴口罩（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支持过车记录导出表格功能，表格包含通道、时间、车牌号、车型、车牌颜色、车身颜色、车辆品牌、车辆抓拍图片信息（以公安部检测报告为准）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支持以IPv6方式接入IPC进行预览、参数配置、报警接收和展现、语音对讲、IPC列表导入、IP地址冲突检测等功能（以公安部检测报告为准）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硬盘</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基本参数 尺寸：3.5寸 容量：8000GB 接口：SATA3/串口 缓存：256MB 转速：7200转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适合：监控NVR DVR 台式机，移动硬盘座，NAS柜，服务器，存储磁盘阵列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监控硬盘主要特点：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1,为视频录制优化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2，低功耗，低启动电流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3，4TB及以上容量增加抗旋转震动功能，有效保障多盘位运行的稳定性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4，年负载达到180TB,确保录像数据安全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5，支持64路高清同时录制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兼容各安防系统，7*24h全天候运行</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立杆</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件材质:优质Q235/Q345钢材，采用镀锌防锈防腐蚀；立杆管径：≥140MM;立杆壁厚4mm；高度：≥4000MM;挑臂尺寸：≤4000MM;*2挑臂壁厚≥3MM，横挑不小于φ70MM；基础预埋件规格：6*M24*1050/Φ270，含接地装置和接地线（扁铁40*4mm*2500/角铁 L50*5*2500mm）</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探照广播一体机</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1.总功率：探照灯功率≤35w，扬声器功率≤15w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2.灯光功率：常规模式30w，超亮模式40w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3.光通量：≥2700lm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4.照明出光角度：≥13°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★5.喊话器声压：最大音量试验≥120dB（提供首页具有CNAS标识的第三方检测报告复印件并加盖厂家公章）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6.200米处声压：≥70dB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7.供电电压：24v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8.50m处中心光照度：≥25lux，探照面积：≥100㎡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9.100m处中心光照度：≥6lux，探照面积：≥400㎡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10.控制角度：俯仰-120°~+45°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11.供电方式：无人机sdk供电接口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12.通讯链路：无人机链路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13.载荷接口：快拆接口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14.控制距离：与无人机控制距离相同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15.探照灯工作模式（包含但不局限）：常亮、超亮、爆闪，亮度调节，云台俯仰角度调节                                                                                                                                   ★16.喊话方式：应支持实时喊话、录音播放、音频文件播放、TTS(文字转语音)播放、背景音混播（提供首页具有CNAS标识的第三方检测报告复印件并加盖厂家公章）                                                                         17.工作温度：-20℃-+50℃                                                                                                                                                                                                                                          ★18.供电电压6.9V，电流4.48A时，光通量≥21001m。（提供首页具有CNAS标识的第三方检测报告复印件并加盖厂家公章）                                                                                                                                                                                        ★19.云台可控转动范围俯仰角:-120°~45°（提供首页具有CNAS标识的第三方检测报告复印件并加盖厂家公章）</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机场套装</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机场具备强大的环境适应性，无论严寒酷暑皆可 7×24 小时无人值守作业。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远程制定飞行计划、自动执行任务，解放繁复劳动。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高度一体化设计，支持快速部署。可收纳无人机数量1台                                                                                                                                                                            最大允许降落风速 12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最大运行海拔高度 4000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最大作业半径 7000 m 。                                                                                                                                                                                       风速传感器支持、雨量传感器支持、环境温度传感器支持、水浸传感器支持、舱内温度传感器 支持、舱内湿度传感器 支持、舱内湿度传感器支持。                                                                                                          ★1、UPS 续航时间测试：具备 UPS 不间断电源，断电情况下，无人机可自动返回机场，机场处于待机工作状态，待机持续时间《从断电开始计时)不小于 4 小时。（提供首页具有CEPRI标识的第三方检测报告复印件并加盖电力工业电气设备质量检验测试中心公章）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★2、天线数量测试：设备天线系统具备智能冗余设计，天线数大于等于4天线（提供首页具有CEPRI标识的第三方检测报告复印件并加盖电力工业电气设备质量检验测试中心公章）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★3、补光能力测试：设备配备监控相机具备补光能力。（提供首页具有CEPRI标识的第三方检测报告复印件并加盖电力工业电气设备质量检验测试中心公章）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★4、紧急停机功能测试：设备配备紧急停机模块，在触发时能立马停止机械结构运转。（提供首页具有CEPRI标识的第三方检测报告复印件并加盖电力工业电气设备质量检验测试中心公章）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★5、精准降落测试：具有视觉定位及 RTK 降落功能，无人机降落精度误差小于 20cm降落成功率不低千99.99%。（提供首页具有CEPRI标识的第三方检测报告复印件并加盖电力工业电气设备质量检验测试中心公章）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★6、夜间降落测试：受试设备可在夜间降落，并完成归中和舱盖关闭，降落成功率不低于 99.99%。（提供首页具有CEPRI标识的第三方检测报告复印件并加盖电力工业电气设备质量检验测试中心公章）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★7、充电时间测试：受试设备在 25 分钟内将电量充至 90%。（提供首页具有CEPRI标识的第三方检测报告复印件并加盖电力工业电气设备质量检验测试中心公章）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★8、航线管理功能测试：控制平台具备航线存储、调用、管理功能（提供首页具有CEPRI标识的第三方检测报告复印件并加盖电力工业电气设备质量检验测试中心公章）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★9、作业准备时间测试：无人机在关机状态下，从无人机下发任务到无人机起飞作业准备时间应小于 3 分钟。（提供首页具有CEPRI标识的第三方检测报告复印件并加盖电力工业电气设备质量检验测试中心公章）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★10、设备管理功能测试：机场控制平台具备设备管理功能，包括设备状态自检与信息回传(至少包括内部电源模块、舱盖模块、停机坪模块、推杆模块、RTK 模块)。（提供首页具有CEPRI标识的第三方检测报告复印件并加盖电力工业电气设备质量检验测试中心公章）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★11、边缘计算扩展接口预留测试：设备提供边缘计算接口，提供供电、数据接口以及安装空间。（提供首页具有CEPRI标识的第三方检测报告复印件并加盖电力工业电气设备质量检验测试中心公章）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★12、支持搭载可见光与热成像双光云台相机无人机，支持避障功能，能够在距离障碍物 5m 以上进行悬停。（提供首页具有CEPRI标识的第三方检测报告复印件并加盖电力工业电气设备质量检验测试中心公章）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★13、支持微气象功能，具备风速，雨量、温度、感知能力。（提供首页具有CEPRI标识的第三方检测报告复印件并加盖电力工业电气设备质量检验测试中心公章）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机巢内部以及外部视频监控功能，支持机巢顶部开合，无人机精准降落后可实现自动归中充电功能(是否具备该功能，通过无人机降落后是否可以自动充电断)。（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 UPS 供电，在外部电压中断时能够维持机巢稳定运行。（提供首页具有CEPRI标识的第三方检测报告复印件并加盖电力工业电气设备质量检验测试中心公章）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★16、支持停机坪、机械结构、飞行系统RTK、摄像头、数据链模块自检功能。（提供首页具有CEPRI标识的第三方检测报告复印件并加盖电力工业电气设备质量检验测试中心公章）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★17、兼容 GPS导航定位功能，支持纯北斗导航定位功能，精度在5cm 以内。（提供首页具有CEPRI标识的第三方检测报告复印件并加盖电力工业电气设备质量检验测试中心公章）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★18、支持远程控制功能，支持远程重启开关舱门、归中结构开合、无人机充电数据格式化等操作。（提供首页具有CEPRI标识的第三方检测报告复印件并加盖电力工业电气设备质量检验测试中心公章）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★19、低温测试测试：在-30C温度条件下能够稳定运行。（提供首页具有CEPRI标识的第三方检测报告复印件并加盖电力工业电气设备质量检验测试中心公章）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★20、高温测试测试：在+50C温度条件下能够稳定运行。（提供首页具有CEPRI标识的第三方检测报告复印件并加盖电力工业电气设备质量检验测试中心公章）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★21、整机防尘测试：整机满足IP5X防尘要求。（提供首页具有CEPRI标识的第三方检测报告复印件并加盖电力工业电气设备质量检验测试中心公章）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★22、静电放电抗扰度测试：按标准试验，试验结果不低于A级（提供首页具有CEPRI标识的第三方检测报告复印件并加盖电力工业电气设备质量检验测试中心公章）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★23、射频电磁场辐射抗扰度测试：按标准试验，试验结果不低于B级。（提供首页具有CEPRI标识的第三方检测报告复印件并加盖电力工业电气设备质量检验测试中心公章）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★24、工磁场抗扰度测试：按标准试验，试验结果不低于A级（提供首页具有CEPRI标识的第三方检测报告复印件并加盖电力工业电气设备质量检验测试中心公章）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★25、脉冲磁场抗扰度测试：按标准试验，试验结果不低于A级（提供首页具有CEPRI标识的第三方检测报告复印件并加盖电力工业电气设备质量检验测试中心公章）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26、舱盖开启状态下尺寸不小于1600mmx850mmx700mm，舱盖关闭状态下尺寸不小于800mmx850mmx1050mm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27、机场配套无人机尺寸不小于450mmx550mmx200mm(LxWxH)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28、无人机变焦相机需具备不小于15倍光学变焦，180倍混合变焦的能力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29、无人机需具备激光测距功能30、无人机载重不小于250克飞行器 最大起飞重量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3998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GHz；5.725-5.850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发射功率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GHz：&lt;33 dBm（FCC）；&lt;20 dBm（CE/SRRC/MIC）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 GHz： &lt;33 dBm（FCC/SRRC）；&lt;14 dBm（CE）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悬停精度（无风或微风环境）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 m（视觉定位正常工作时）；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±0.5 m（GPS正常工作时）；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 m（RTK定位正常工作时）；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±0.3 m（视觉定位正常工作时）；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m（GPS正常工作时）；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 m（RTK定位正常工作时）；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RTK 位置精度（在 RTK FIX 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cm + 1 ppm（水平）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cm + 1 ppm（垂直）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最大旋转角速度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俯仰轴：150° /s，航向轴：100°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最大俯仰角度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35°（N挡且前视视觉系统启用：25°）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最大上升/下降速度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m/s，5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最大倾斜下降速度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最大水平飞行速度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最大飞行海拔高度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5000 m（1671桨叶）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7000 m（1676高原桨叶）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最大可承受风速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m/s（七级风）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起飞降落阶段最大可承受风速为12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最大悬停时间[2]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36 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最大飞行时间[2]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 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电机型号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螺旋桨型号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1671；1676（高原桨-选配）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GNSS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GPS+Galileo+BeiDou+GLONASS（仅在RTK模块开启时支持GLONASS）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云台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角度抖动量飞机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可控转动范围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平移：±90°，俯仰：-120°至+45°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结构设计范围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平移：±105°，俯仰：-135°至+60°，横滚：±45°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变焦相机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影像传感器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CMOS，有效像素4800 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焦距：21-75 mm（等效焦距：113-405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光圈：f/2.8-f/4.2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对焦距离：5 m至无穷远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曝光补偿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ev（以1/3 ev为步长）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电子快门速度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Auto挡：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拍照模式：1/8000-1/2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M挡：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拍照模式：1/8000-8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录像模式：1/8000 -1/30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ISO范围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100-25600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最大视频分辨率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3840×2160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最大照片尺寸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8000×6000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广角相机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影像传感器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CMOS，有效像素1200万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DFOV：84°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焦距：4.5 mm（等效焦距：24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光圈：f/2.8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对焦距离：1 m至无穷远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曝光补偿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ev（以1/3 ev为步长）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电子快门速度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Auto挡：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拍照模式：1/8000-1/2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M挡：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拍照模式：1/8000-8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ISO范围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100-25600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最大视频分辨率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3840×2160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照片尺寸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4000×3000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热成像传感器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非制冷氧化钒（VOx）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DFOV：61°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焦距：9.1 mm（等效焦距：40mm）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光圈：f/1.0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对焦距离：5m 至无穷远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 mk@F1.1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红外测温精度[4]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±2℃或±2%，取较大值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超分模式：1280×1024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普通模式：640×512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照片尺寸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超分模式：1280×1024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普通模式：640×512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像元间距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um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测温方式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点测温、区域测温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测温范围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高增益模式：-20°至150°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低增益模式：0°至500°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高温警报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调色盘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白热/黑热/描红/铁红/热铁/北极/医疗/熔岩/彩虹1/彩虹2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飞行相机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1920 × 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DFOV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帧率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 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激光模块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905 nm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最大激光功率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 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单脉冲宽度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ns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(0.2 m + D×0.15%)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其中 D 表示与垂直反射面之间的距离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3-1200 m（0.5×12 m、20%反射率的垂直反射面）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视觉系统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障碍物感知范围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前：0.6-38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上下后左右：0.5-33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FOV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65°(H)，50°(V)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表面有丰富纹理，光照条件充足(&gt;15 lux，室内 日光灯正常照射环境)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红外感知系统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障碍物感知范围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0.1-10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FOV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漫反射，大尺寸，高反射率（反射率&gt;10%）障碍物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智能飞行电池（TB30）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5880 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26.1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Li-ion 6S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131.6 Wh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电池整体重量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约685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理想存放环境温度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-20℃至40℃（当电池温度低于10℃时，电池会启动自加热功能，在低温环境下充电有可能会降低电池使用寿命）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镍钴锰酸锂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LED 补光灯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有效照明距离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照明方式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60Hz，常亮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遥控器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7.02 英寸触控液晶显示屏，分辨率1920×1200，最大亮度1200 cd/m2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类型:Li-ion(6500 mAh @ 7.2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充电方式:电池箱或最大功率 65W(最大电压为 20V)的 USB-C 快充充电器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充电时间:2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化学体系:镍钴铝酸锂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外置电池（WB37智能电池）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容量:4920 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电压:7.6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能量:37.39 Wh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化学体系:钴酸锂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续航时间[5]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内置电池：约3.3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内置电池+外置电池：约6小时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GNSS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GPS+Galileo+BeiDou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O3 图传行业版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GHz；5.725-5.850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最大信号有效距离（无干扰、无遮挡）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km（FCC）；8 km（CE/SRRC/MIC）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最大信号有效距离（有干扰）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强干扰（密集楼宇、居民区等）：1.5-3 km（FCC/CE/SRRC/MIC）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中干扰（城郊县城、城市公园等）：3-9 km（FCC）；3-6 km（CE/SRRC/MIC）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弱干扰（远郊野外、开阔农田等）：9-15 km（FCC）；6-8 km（CE/SRRC/MIC）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等效全向辐射功率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GHz:&lt;33 dBm(FCC);&lt;20 dBm(CE/SRRC/MIC)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 GHz:&lt;33 dBm(FCC);&lt;14 dBm(CE);&lt;23 dBm(SRRC)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Wi-Fi 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GHz；5.150-5.250 GHz；5.725-5.850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等效全向辐射功率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GHz：&lt;26 dBm（FCC）；&lt;20 dBm（CE/SRRC/MIC）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5.1 GHz：&lt;26 dBm (FCC)；&lt;23 dBm (CE/SRRC/MIC)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 GHz：&lt;26 dBm（FCC/SRRC）；&lt;14 dBm（CE）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 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等效全向辐射功率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&lt;10 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智能电池箱(BS30)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353×267×148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空箱重量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3.95 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TB30 智能飞行电池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WB37 智能电池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100-240 VAC，50/60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TB30 电池接口：26.1 V，8.9 A（最多可同时支持两个接口输出）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WB37 电池接口：8.7 V，6 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525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USB-C 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最大输出功率65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USB-A 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最大输出功率10 W（5 V，2 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空载功耗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8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低温加热电池输出功率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 30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IP55（电池箱盖子需合上）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充电时间[6]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约30分钟（两块TB30电池由20%充至90%）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约50分钟（两块TB30电池由0%充至100%）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防倒灌保护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短路保护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过压保护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过流保护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过温保护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部分地区不支持 5.8 GHz 频段，详情请参考当地法律法规。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最大悬停时间和飞行时间为实验室环境下(零海拔无风情况下)测得，仅供参考。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防护能力并非永久有效，可能会因长期使用导致老化磨损而下降。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红外测温精度为实验环境下测得，仅供参考。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续航时间为实验环境下测得，仅供参考。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充电时间为实验室环境下（温度为室温）测得，仅供参考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词语 HDMI、HDMI High-Definition Multimedia Interface（高清晰度多媒体接 口）、HDMI 商业外观和 HDMI 徽标均为 HDMI Licensing Administrator, Inc. 的商 标或注册商标。</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遥控器</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 英寸触控液晶显示屏，分辨率1920×1200，最大亮度1200 cd/m2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类型:Li-ion(6500 mAh @ 7.2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充电方式:电池箱或最大功率 65W(最大电压为 20V)的 USB-C 快充充电器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充电时间:2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化学体系:镍钴铝酸锂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外置电池（WB37智能电池）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容量:4920 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电压:7.6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能量:37.39 Wh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化学体系:钴酸锂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续航时间[5]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内置电池：约3.3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内置电池+外置电池：约6小时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GNSS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GPS+Galileo+BeiDou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遥控器电池</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容量：4920 毫安时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电压：7.6 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电池类型：LiPo</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能量：37.39 瓦时</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128G高速内存卡</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128GB大容量，更长的4K视频录制时间。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通过官方兼容性测试，适配 DJI 大疆飞行器。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读取速度高达160MB/秒，写入速度高达90MB/秒。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U3视频等级，4K视频画质有保障。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防水、防震、耐冷耐热、抗X光。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享受有限终身质保服务。</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4k高清电视机98寸</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4k高清电视机98寸（含支架）屏幕尺寸98英寸 屏幕分辨率4k 屏幕比例：16:9 扫描频率：60HZ 最大可视角 178°  响应时间：＞8ms 玻璃类别 RGB 4K cpu架构：CA75*2+A55*2 色域值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（CIE1976 DCI-P3)：90% 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（sRGB CIE1976)：110% Min</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视频终端（模块）</w:t>
            </w:r>
          </w:p>
        </w:tc>
        <w:tc>
          <w:tcPr>
            <w:tcW w:w="3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ARM八核2.0Hz处理器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★设备支持安卓 11.0 操作系统（提供首页具有CNAS标识的第三方检测报告复印件并加盖厂家公章）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 8GB；存储 256GB，支持扩展存储卡（提供首页具有CNAS标识的第三方检测报告复印件并加盖厂家公章）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前置1600万像素相机，后置主摄像机4800万像素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★设备应具备功能扩展接口，可集成二代身份证阅读器设备（提供首页具有CNAS标识的第三方检测报告复印件并加盖厂家公章）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★设备支持 5G 网络制式（提供首页具有CNAS标识的第三方检测报告复印件并加盖厂家公章）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支持4K高清录像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内置高灵敏度卫星定位模块，支持北斗，GPS定位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三防设计，IP68防护等级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支持无线充电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屏幕显示分辨率2300*1080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★连续摄录时间应在 11小时以上（提供首页具有CNAS标识的第三方检测报告复印件并加盖厂家公章）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★设备在55℃（ ±2℃）高温下，稳定时间≥1h，工作时间≥2h（提供首页具有CNAS标识的第三方检测报告复印件并加盖厂家公章）</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bl>
    <w:p>
      <w:pPr>
        <w:pStyle w:val="19"/>
        <w:rPr>
          <w:rFonts w:hint="eastAsia"/>
        </w:rPr>
        <w:sectPr>
          <w:headerReference r:id="rId4" w:type="default"/>
          <w:footerReference r:id="rId5" w:type="default"/>
          <w:pgSz w:w="11906" w:h="16838"/>
          <w:pgMar w:top="1440" w:right="1080" w:bottom="1440" w:left="1080" w:header="851" w:footer="992" w:gutter="0"/>
          <w:pgNumType w:start="1"/>
          <w:cols w:space="720" w:num="1"/>
          <w:docGrid w:type="lines" w:linePitch="312" w:charSpace="0"/>
        </w:sectPr>
      </w:pPr>
    </w:p>
    <w:p>
      <w:pPr>
        <w:spacing w:line="360" w:lineRule="auto"/>
        <w:rPr>
          <w:rFonts w:ascii="宋体" w:hAnsi="宋体"/>
          <w:b/>
          <w:szCs w:val="21"/>
          <w:highlight w:val="none"/>
        </w:rPr>
      </w:pPr>
      <w:r>
        <w:rPr>
          <w:rFonts w:hint="eastAsia" w:ascii="宋体" w:hAnsi="宋体"/>
          <w:b/>
          <w:szCs w:val="21"/>
          <w:highlight w:val="none"/>
        </w:rPr>
        <w:t>四 、磋商报价</w:t>
      </w:r>
    </w:p>
    <w:p>
      <w:pPr>
        <w:spacing w:line="360" w:lineRule="auto"/>
        <w:rPr>
          <w:rFonts w:hint="eastAsia" w:ascii="宋体" w:hAnsi="宋体"/>
          <w:szCs w:val="21"/>
          <w:highlight w:val="none"/>
        </w:rPr>
      </w:pPr>
      <w:r>
        <w:rPr>
          <w:rFonts w:hint="eastAsia" w:ascii="宋体" w:hAnsi="宋体"/>
          <w:szCs w:val="21"/>
          <w:highlight w:val="none"/>
        </w:rPr>
        <w:t>1. 所投产品的技术参数应按照清单中的要求。</w:t>
      </w:r>
    </w:p>
    <w:p>
      <w:pPr>
        <w:spacing w:line="360" w:lineRule="auto"/>
        <w:rPr>
          <w:rFonts w:hint="eastAsia" w:ascii="宋体" w:hAnsi="宋体"/>
          <w:szCs w:val="21"/>
          <w:highlight w:val="none"/>
        </w:rPr>
      </w:pPr>
      <w:r>
        <w:rPr>
          <w:rFonts w:hint="eastAsia" w:ascii="宋体" w:hAnsi="宋体"/>
          <w:szCs w:val="21"/>
          <w:highlight w:val="none"/>
        </w:rPr>
        <w:t>2、磋商报价应是响应文件确定范围内的全部工作内容的价格表现，费用包括所投货物及其备品备件和专用工具费用、税费及包装、运至最终目的地的运输、保险、现场装卸、检测验收、售后服务、维保及相关劳务支出等工作所发生的全部费用以及供应商企业利润、税金和政策性文件规定及合同包含的所有风险、责任等各项应有费用及招标代理费。如在实施期间有需要实施而未列入报价的费用，将被视为均已包含在报价中。</w:t>
      </w:r>
    </w:p>
    <w:p>
      <w:pPr>
        <w:spacing w:line="440" w:lineRule="exact"/>
        <w:rPr>
          <w:rFonts w:hint="eastAsia" w:ascii="宋体" w:hAnsi="宋体"/>
          <w:b/>
          <w:szCs w:val="21"/>
          <w:highlight w:val="none"/>
        </w:rPr>
      </w:pPr>
      <w:r>
        <w:rPr>
          <w:rFonts w:hint="eastAsia" w:ascii="宋体" w:hAnsi="宋体"/>
          <w:b/>
          <w:szCs w:val="21"/>
          <w:highlight w:val="none"/>
        </w:rPr>
        <w:t xml:space="preserve">五 、质量保障 </w:t>
      </w:r>
    </w:p>
    <w:p>
      <w:pPr>
        <w:spacing w:line="440" w:lineRule="exact"/>
        <w:rPr>
          <w:rFonts w:hint="eastAsia" w:ascii="宋体" w:hAnsi="宋体"/>
          <w:bCs/>
          <w:szCs w:val="21"/>
          <w:highlight w:val="none"/>
        </w:rPr>
      </w:pPr>
      <w:r>
        <w:rPr>
          <w:rFonts w:hint="eastAsia" w:ascii="宋体" w:hAnsi="宋体"/>
          <w:bCs/>
          <w:szCs w:val="21"/>
          <w:highlight w:val="none"/>
        </w:rPr>
        <w:t>1.所有货物都必须全新、原装，符合国家质量检测标准；</w:t>
      </w:r>
    </w:p>
    <w:p>
      <w:pPr>
        <w:spacing w:line="440" w:lineRule="exact"/>
        <w:rPr>
          <w:rFonts w:hint="eastAsia" w:ascii="宋体" w:hAnsi="宋体"/>
          <w:bCs/>
          <w:szCs w:val="21"/>
          <w:highlight w:val="none"/>
        </w:rPr>
      </w:pPr>
      <w:r>
        <w:rPr>
          <w:rFonts w:hint="eastAsia" w:ascii="宋体" w:hAnsi="宋体"/>
          <w:bCs/>
          <w:szCs w:val="21"/>
          <w:highlight w:val="none"/>
        </w:rPr>
        <w:t>2.提供的货物需按国家有关标准包装，且必须为制造商原厂包装，均应有良好的防湿、防锈、防潮、防雨、防腐及防碰撞的保护；</w:t>
      </w:r>
    </w:p>
    <w:p>
      <w:pPr>
        <w:spacing w:line="440" w:lineRule="exact"/>
        <w:rPr>
          <w:rFonts w:hint="eastAsia" w:ascii="宋体" w:hAnsi="宋体"/>
          <w:bCs/>
          <w:szCs w:val="21"/>
          <w:highlight w:val="none"/>
        </w:rPr>
      </w:pPr>
      <w:r>
        <w:rPr>
          <w:rFonts w:hint="eastAsia" w:ascii="宋体" w:hAnsi="宋体"/>
          <w:bCs/>
          <w:szCs w:val="21"/>
          <w:highlight w:val="none"/>
        </w:rPr>
        <w:t>3.货物包装箱内需附详细装箱清单及质量合格证；</w:t>
      </w:r>
    </w:p>
    <w:p>
      <w:pPr>
        <w:spacing w:line="440" w:lineRule="exact"/>
        <w:rPr>
          <w:rFonts w:hint="eastAsia" w:ascii="宋体" w:hAnsi="宋体"/>
          <w:bCs/>
          <w:szCs w:val="21"/>
          <w:highlight w:val="none"/>
        </w:rPr>
      </w:pPr>
      <w:r>
        <w:rPr>
          <w:rFonts w:hint="eastAsia" w:ascii="宋体" w:hAnsi="宋体"/>
          <w:bCs/>
          <w:szCs w:val="21"/>
          <w:highlight w:val="none"/>
        </w:rPr>
        <w:t>4.成交供应商应保证采购人在使用设备或设备的任何一部分，都不受第三方关于侵犯其所有权、专利权的指控。</w:t>
      </w:r>
    </w:p>
    <w:p>
      <w:pPr>
        <w:spacing w:line="360" w:lineRule="auto"/>
        <w:rPr>
          <w:rFonts w:hint="eastAsia" w:ascii="宋体" w:hAnsi="宋体"/>
          <w:b/>
          <w:szCs w:val="21"/>
          <w:highlight w:val="none"/>
        </w:rPr>
      </w:pPr>
      <w:r>
        <w:rPr>
          <w:rFonts w:hint="eastAsia" w:ascii="宋体" w:hAnsi="宋体"/>
          <w:b/>
          <w:szCs w:val="21"/>
          <w:highlight w:val="none"/>
        </w:rPr>
        <w:t xml:space="preserve">六、验收 </w:t>
      </w:r>
    </w:p>
    <w:p>
      <w:pPr>
        <w:spacing w:line="360" w:lineRule="auto"/>
        <w:rPr>
          <w:rFonts w:hint="eastAsia" w:ascii="宋体" w:hAnsi="宋体"/>
          <w:bCs/>
          <w:szCs w:val="21"/>
          <w:highlight w:val="none"/>
        </w:rPr>
      </w:pPr>
      <w:r>
        <w:rPr>
          <w:rFonts w:hint="eastAsia" w:ascii="宋体" w:hAnsi="宋体"/>
          <w:bCs/>
          <w:szCs w:val="21"/>
          <w:highlight w:val="none"/>
        </w:rPr>
        <w:t>1.成交供应商必须保证所提供的货物质量符合磋商文件的要求，且技术质量和品牌经采购人现场人员核定质量情况，若经采购人核定为不合格，则对该批次设备无条件进行退货，由此而产生的一切费用由成交供应商承担。</w:t>
      </w:r>
    </w:p>
    <w:p>
      <w:pPr>
        <w:spacing w:line="360" w:lineRule="auto"/>
        <w:rPr>
          <w:rFonts w:hint="eastAsia" w:ascii="宋体" w:hAnsi="宋体"/>
          <w:bCs/>
          <w:szCs w:val="21"/>
          <w:highlight w:val="none"/>
        </w:rPr>
      </w:pPr>
      <w:r>
        <w:rPr>
          <w:rFonts w:hint="eastAsia" w:ascii="宋体" w:hAnsi="宋体"/>
          <w:bCs/>
          <w:szCs w:val="21"/>
          <w:highlight w:val="none"/>
        </w:rPr>
        <w:t xml:space="preserve">2.因以上条款因素导致工期延误的，采购人有权有权追究其违约责任。 </w:t>
      </w:r>
    </w:p>
    <w:p>
      <w:pPr>
        <w:widowControl/>
        <w:spacing w:line="440" w:lineRule="exact"/>
        <w:rPr>
          <w:rFonts w:hint="eastAsia" w:ascii="宋体" w:hAnsi="宋体"/>
          <w:b/>
          <w:szCs w:val="21"/>
          <w:highlight w:val="none"/>
        </w:rPr>
      </w:pPr>
      <w:r>
        <w:rPr>
          <w:rFonts w:hint="eastAsia" w:ascii="宋体" w:hAnsi="宋体"/>
          <w:bCs/>
          <w:szCs w:val="21"/>
          <w:highlight w:val="none"/>
        </w:rPr>
        <w:t>3.验收费用由成交供应商负担。</w:t>
      </w:r>
    </w:p>
    <w:p>
      <w:pPr>
        <w:spacing w:line="360" w:lineRule="auto"/>
        <w:rPr>
          <w:rFonts w:hint="eastAsia" w:ascii="宋体" w:hAnsi="宋体"/>
          <w:b/>
          <w:szCs w:val="21"/>
          <w:highlight w:val="none"/>
        </w:rPr>
      </w:pPr>
      <w:r>
        <w:rPr>
          <w:rFonts w:ascii="宋体" w:hAnsi="宋体" w:cs="宋体"/>
          <w:szCs w:val="21"/>
          <w:highlight w:val="none"/>
          <w:lang w:val="zh-CN"/>
        </w:rPr>
        <w:t>▲</w:t>
      </w:r>
      <w:r>
        <w:rPr>
          <w:rFonts w:hint="eastAsia" w:ascii="宋体" w:hAnsi="宋体"/>
          <w:b/>
          <w:szCs w:val="21"/>
          <w:highlight w:val="none"/>
        </w:rPr>
        <w:t>七、其他技术、服务等要求：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hAnsi="宋体" w:cs="宋体"/>
          <w:szCs w:val="21"/>
          <w:highlight w:val="none"/>
        </w:rPr>
      </w:pPr>
      <w:r>
        <w:rPr>
          <w:rFonts w:hint="eastAsia" w:hAnsi="宋体" w:cs="宋体"/>
          <w:szCs w:val="21"/>
          <w:highlight w:val="none"/>
        </w:rPr>
        <w:t>1. 标注“★”参数中要求提供检测报告的，成交供应商应在合同签订前递交检测报告原件供采购单位核验，</w:t>
      </w:r>
      <w:r>
        <w:rPr>
          <w:rFonts w:hint="eastAsia" w:hAnsi="宋体" w:cs="宋体"/>
          <w:szCs w:val="21"/>
          <w:highlight w:val="none"/>
        </w:rPr>
        <w:t>若在规定时间内未能提供全部检测报告原件的，则视为不能诚信履约。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hAnsi="宋体" w:cs="宋体"/>
          <w:b/>
          <w:bCs/>
          <w:szCs w:val="21"/>
          <w:highlight w:val="none"/>
          <w:lang w:val="en-US" w:eastAsia="zh-CN"/>
        </w:rPr>
      </w:pPr>
      <w:r>
        <w:rPr>
          <w:rFonts w:hint="eastAsia" w:hAnsi="宋体" w:cs="宋体"/>
          <w:b/>
          <w:bCs/>
          <w:szCs w:val="21"/>
          <w:highlight w:val="none"/>
          <w:lang w:val="en-US" w:eastAsia="zh-CN"/>
        </w:rPr>
        <w:t>2.成交供应商</w:t>
      </w:r>
      <w:r>
        <w:rPr>
          <w:rFonts w:hint="eastAsia" w:hAnsi="宋体" w:cs="宋体"/>
          <w:b/>
          <w:bCs/>
          <w:szCs w:val="21"/>
          <w:highlight w:val="none"/>
        </w:rPr>
        <w:t>必须</w:t>
      </w:r>
      <w:r>
        <w:rPr>
          <w:rFonts w:hint="eastAsia" w:hAnsi="宋体" w:cs="宋体"/>
          <w:b/>
          <w:bCs/>
          <w:szCs w:val="21"/>
          <w:highlight w:val="none"/>
          <w:lang w:eastAsia="zh-CN"/>
        </w:rPr>
        <w:t>在合同签订后提供</w:t>
      </w:r>
      <w:r>
        <w:rPr>
          <w:rFonts w:hint="eastAsia" w:hAnsi="宋体" w:cs="宋体"/>
          <w:b/>
          <w:bCs/>
          <w:szCs w:val="21"/>
          <w:highlight w:val="none"/>
          <w:lang w:val="en-US" w:eastAsia="zh-CN"/>
        </w:rPr>
        <w:t>2</w:t>
      </w:r>
      <w:r>
        <w:rPr>
          <w:rFonts w:hint="eastAsia" w:hAnsi="宋体" w:cs="宋体"/>
          <w:b/>
          <w:bCs/>
          <w:szCs w:val="21"/>
          <w:highlight w:val="none"/>
          <w:lang w:eastAsia="zh-CN"/>
        </w:rPr>
        <w:t>份无人机的</w:t>
      </w:r>
      <w:r>
        <w:rPr>
          <w:rFonts w:hint="eastAsia" w:hAnsi="宋体" w:cs="宋体"/>
          <w:b/>
          <w:bCs/>
          <w:szCs w:val="21"/>
          <w:highlight w:val="none"/>
          <w:lang w:val="en-US" w:eastAsia="zh-CN"/>
        </w:rPr>
        <w:t>一年内20</w:t>
      </w:r>
      <w:r>
        <w:rPr>
          <w:rFonts w:hint="eastAsia" w:hAnsi="宋体" w:cs="宋体"/>
          <w:b/>
          <w:bCs/>
          <w:szCs w:val="21"/>
          <w:highlight w:val="none"/>
          <w:lang w:val="en-US" w:eastAsia="zh-CN"/>
        </w:rPr>
        <w:t>0万第三方责任险保额的保单</w:t>
      </w:r>
      <w:r>
        <w:rPr>
          <w:rFonts w:hint="eastAsia" w:hAnsi="宋体" w:cs="宋体"/>
          <w:b/>
          <w:bCs/>
          <w:szCs w:val="21"/>
          <w:highlight w:val="none"/>
          <w:lang w:val="en-US" w:eastAsia="zh-CN"/>
        </w:rPr>
        <w:t>及机场套装</w:t>
      </w:r>
      <w:r>
        <w:rPr>
          <w:rFonts w:hint="eastAsia" w:hAnsi="宋体" w:cs="宋体"/>
          <w:b/>
          <w:bCs/>
          <w:szCs w:val="21"/>
          <w:highlight w:val="none"/>
          <w:lang w:val="en-US" w:eastAsia="zh-CN"/>
        </w:rPr>
        <w:t>保险意外损坏服务2份（机场：保障额度范围内免费上门维修。飞机：保障额度内的免费置换，支持极速换新。保障范围：机场整机全保；飞机除电池外全保（机身配套云台桨叶）），所有</w:t>
      </w:r>
      <w:r>
        <w:rPr>
          <w:rFonts w:hint="eastAsia" w:ascii="宋体" w:hAnsi="宋体" w:cs="宋体"/>
          <w:b/>
          <w:bCs/>
          <w:i w:val="0"/>
          <w:iCs w:val="0"/>
          <w:color w:val="000000"/>
          <w:kern w:val="0"/>
          <w:sz w:val="20"/>
          <w:szCs w:val="20"/>
          <w:highlight w:val="none"/>
          <w:u w:val="none"/>
          <w:lang w:val="en-US" w:eastAsia="zh-CN" w:bidi="ar"/>
        </w:rPr>
        <w:t>保险费用均包含在磋商报价中。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hAnsi="宋体" w:cs="宋体"/>
          <w:b/>
          <w:bCs/>
          <w:szCs w:val="21"/>
          <w:highlight w:val="none"/>
          <w:lang w:val="en-US" w:eastAsia="zh-CN"/>
        </w:rPr>
      </w:pPr>
      <w:r>
        <w:rPr>
          <w:rFonts w:hint="eastAsia" w:hAnsi="宋体" w:cs="宋体"/>
          <w:b/>
          <w:bCs/>
          <w:szCs w:val="21"/>
          <w:highlight w:val="none"/>
          <w:lang w:val="en-US" w:eastAsia="zh-CN"/>
        </w:rPr>
        <w:t>3.本项目在实施过程中产生的配套建设服务2项</w:t>
      </w:r>
      <w:r>
        <w:rPr>
          <w:rFonts w:hint="eastAsia" w:hAnsi="宋体" w:cs="宋体"/>
          <w:b/>
          <w:bCs/>
          <w:szCs w:val="21"/>
          <w:highlight w:val="none"/>
          <w:lang w:val="en-US" w:eastAsia="zh-CN"/>
        </w:rPr>
        <w:t>（含机场基础建设，安装调试工作，视频基础建设，安装调试工作）、高空机库建设</w:t>
      </w:r>
      <w:r>
        <w:rPr>
          <w:rFonts w:hint="eastAsia" w:hAnsi="宋体" w:cs="宋体"/>
          <w:b/>
          <w:bCs/>
          <w:szCs w:val="21"/>
          <w:highlight w:val="none"/>
          <w:lang w:val="en-US" w:eastAsia="zh-CN"/>
        </w:rPr>
        <w:t>1项（含高空15米上方定制，主管8*8/副6*6方管钢架、塑钢栏杆1.5米高、防锈处理、地毯、吊车、脚手架搭建等人工及材料）等，全部配套费用均包含在磋商报价中。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hAnsi="宋体" w:cs="宋体"/>
          <w:b/>
          <w:bCs/>
          <w:szCs w:val="21"/>
          <w:highlight w:val="none"/>
          <w:lang w:val="en-US" w:eastAsia="zh-CN"/>
        </w:rPr>
      </w:pPr>
      <w:r>
        <w:rPr>
          <w:rFonts w:hint="eastAsia" w:hAnsi="宋体" w:cs="宋体"/>
          <w:b/>
          <w:bCs/>
          <w:szCs w:val="21"/>
          <w:highlight w:val="none"/>
          <w:lang w:val="en-US" w:eastAsia="zh-CN"/>
        </w:rPr>
        <w:t>4.成交供应商须为采购人提供软件</w:t>
      </w:r>
      <w:r>
        <w:rPr>
          <w:rFonts w:hint="eastAsia" w:hAnsi="宋体" w:cs="宋体"/>
          <w:b/>
          <w:bCs/>
          <w:szCs w:val="21"/>
          <w:highlight w:val="none"/>
          <w:lang w:val="en-US" w:eastAsia="zh-CN"/>
        </w:rPr>
        <w:t>系统，全面掌握现场动态打破信息壁垒，团队高效协作规划三维航线，所见即所得一站式人员、设备、成果管理，相关费用包含在磋商报价中。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宋体" w:hAnsi="宋体" w:eastAsia="宋体" w:cs="宋体"/>
          <w:szCs w:val="21"/>
          <w:highlight w:val="none"/>
          <w:lang w:val="en-US" w:eastAsia="zh-CN"/>
        </w:rPr>
      </w:pPr>
      <w:r>
        <w:rPr>
          <w:rFonts w:hint="eastAsia" w:ascii="宋体" w:hAnsi="宋体" w:cs="宋体"/>
          <w:b/>
          <w:bCs/>
          <w:szCs w:val="21"/>
          <w:highlight w:val="none"/>
          <w:lang w:val="en-US" w:eastAsia="zh-CN"/>
        </w:rPr>
        <w:t>5.</w:t>
      </w:r>
      <w:r>
        <w:rPr>
          <w:rFonts w:hint="eastAsia" w:hAnsi="宋体" w:cs="宋体"/>
          <w:b/>
          <w:bCs/>
          <w:szCs w:val="21"/>
          <w:highlight w:val="none"/>
          <w:lang w:val="en-US" w:eastAsia="zh-CN"/>
        </w:rPr>
        <w:t>成</w:t>
      </w:r>
      <w:r>
        <w:rPr>
          <w:rFonts w:hint="eastAsia" w:hAnsi="宋体" w:cs="宋体"/>
          <w:b/>
          <w:bCs/>
          <w:szCs w:val="21"/>
          <w:highlight w:val="none"/>
          <w:lang w:val="en-US" w:eastAsia="zh-CN"/>
        </w:rPr>
        <w:t>交供应商须为采购人提供视频实时在线监测网络服务5项</w:t>
      </w:r>
      <w:r>
        <w:rPr>
          <w:rFonts w:hint="eastAsia" w:hAnsi="宋体" w:cs="宋体"/>
          <w:b/>
          <w:bCs/>
          <w:szCs w:val="21"/>
          <w:highlight w:val="none"/>
          <w:lang w:val="en-US" w:eastAsia="zh-CN"/>
        </w:rPr>
        <w:t>（保障机库监测视频实时在线，对接长兴县交通运输应急指挥中心指挥平台）、机库图传系统5项（</w:t>
      </w:r>
      <w:r>
        <w:rPr>
          <w:rFonts w:hint="eastAsia" w:hAnsi="宋体" w:cs="宋体"/>
          <w:b/>
          <w:bCs/>
          <w:szCs w:val="21"/>
          <w:highlight w:val="none"/>
          <w:lang w:val="en-US" w:eastAsia="zh-CN"/>
        </w:rPr>
        <w:t>提供网络图传服务，保证飞机图传服务器平台）等，相关费用包含在磋商报价中。</w:t>
      </w:r>
    </w:p>
    <w:p>
      <w:pPr>
        <w:spacing w:line="360" w:lineRule="exact"/>
        <w:outlineLvl w:val="1"/>
        <w:rPr>
          <w:rFonts w:ascii="宋体" w:hAnsi="宋体" w:cs="宋体"/>
          <w:b/>
          <w:bCs/>
          <w:szCs w:val="21"/>
          <w:highlight w:val="none"/>
        </w:rPr>
      </w:pPr>
      <w:r>
        <w:rPr>
          <w:rFonts w:ascii="宋体" w:hAnsi="宋体" w:cs="宋体"/>
          <w:szCs w:val="21"/>
          <w:highlight w:val="none"/>
          <w:lang w:val="zh-CN"/>
        </w:rPr>
        <w:t>▲</w:t>
      </w:r>
      <w:r>
        <w:rPr>
          <w:rFonts w:hint="eastAsia" w:ascii="宋体" w:hAnsi="宋体" w:cs="宋体"/>
          <w:b/>
          <w:bCs/>
          <w:szCs w:val="21"/>
          <w:highlight w:val="none"/>
        </w:rPr>
        <w:t>八</w:t>
      </w:r>
      <w:r>
        <w:rPr>
          <w:rFonts w:ascii="宋体" w:hAnsi="宋体" w:cs="宋体"/>
          <w:b/>
          <w:bCs/>
          <w:szCs w:val="21"/>
          <w:highlight w:val="none"/>
        </w:rPr>
        <w:t>、商务响应表</w:t>
      </w:r>
    </w:p>
    <w:tbl>
      <w:tblPr>
        <w:tblStyle w:val="21"/>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47"/>
        <w:gridCol w:w="83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82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Cs w:val="21"/>
                <w:highlight w:val="none"/>
              </w:rPr>
            </w:pPr>
            <w:r>
              <w:rPr>
                <w:rFonts w:ascii="宋体" w:hAnsi="宋体"/>
                <w:b/>
                <w:szCs w:val="21"/>
                <w:highlight w:val="none"/>
              </w:rPr>
              <w:t>质保期</w:t>
            </w:r>
          </w:p>
        </w:tc>
        <w:tc>
          <w:tcPr>
            <w:tcW w:w="417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highlight w:val="none"/>
              </w:rPr>
            </w:pPr>
            <w:r>
              <w:rPr>
                <w:rFonts w:hint="eastAsia" w:ascii="宋体" w:hAnsi="宋体" w:cs="宋体"/>
                <w:b/>
                <w:bCs/>
                <w:szCs w:val="21"/>
                <w:highlight w:val="none"/>
                <w:lang w:val="zh-CN"/>
              </w:rPr>
              <w:t>设备验收合格后，提供2年免费保修服务、技术支持及咨询服务。并负责终身修理和维护。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82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Cs w:val="21"/>
                <w:highlight w:val="none"/>
              </w:rPr>
            </w:pPr>
            <w:r>
              <w:rPr>
                <w:rFonts w:hint="eastAsia" w:ascii="宋体" w:hAnsi="宋体"/>
                <w:b/>
                <w:szCs w:val="21"/>
                <w:highlight w:val="none"/>
              </w:rPr>
              <w:t>售后服务及培训</w:t>
            </w:r>
          </w:p>
        </w:tc>
        <w:tc>
          <w:tcPr>
            <w:tcW w:w="41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highlight w:val="none"/>
              </w:rPr>
            </w:pPr>
            <w:r>
              <w:rPr>
                <w:rFonts w:hint="eastAsia" w:ascii="宋体" w:hAnsi="宋体"/>
                <w:szCs w:val="21"/>
                <w:highlight w:val="none"/>
              </w:rPr>
              <w:t>1.在质保期内成交供应商免费提供设备正常使用情况下的维修及保养服务，在非人为因素情况下，一切维护费用均由成交供应商负责。质保期内设备本身质量出现问题或由于设备本身质量原因造成的任何损伤或损坏，成交供应商须及时给予免费维修或免费更换，由此引起的人工费、材料费等其它一切费用由成交供应商负责。如成交供应商不按采购人要求更换有缺陷货物，在质保期内未响应或未按时修复，采购人可自行采购同等或者同类货物替代或另请单位维修，所需费用（包括拆卸、安装费用）由成交供应商承担。</w:t>
            </w:r>
          </w:p>
          <w:p>
            <w:pPr>
              <w:spacing w:line="360" w:lineRule="exact"/>
              <w:rPr>
                <w:rFonts w:hint="eastAsia" w:ascii="宋体" w:hAnsi="宋体"/>
                <w:szCs w:val="21"/>
                <w:highlight w:val="none"/>
              </w:rPr>
            </w:pPr>
            <w:r>
              <w:rPr>
                <w:rFonts w:hint="eastAsia" w:ascii="宋体" w:hAnsi="宋体"/>
                <w:szCs w:val="21"/>
                <w:highlight w:val="none"/>
              </w:rPr>
              <w:t>2.在产品寿命期内，保证其附件的备件供应，及时响应维修需求；在保修期内由成交供应商负责保修，排除故障，无偿提供非操作不当及非外部原因造成的部件、配件的更换。</w:t>
            </w:r>
          </w:p>
          <w:p>
            <w:pPr>
              <w:spacing w:line="360" w:lineRule="exact"/>
              <w:rPr>
                <w:rFonts w:hint="eastAsia" w:ascii="宋体" w:hAnsi="宋体"/>
                <w:szCs w:val="21"/>
                <w:highlight w:val="none"/>
              </w:rPr>
            </w:pPr>
            <w:r>
              <w:rPr>
                <w:rFonts w:hint="eastAsia" w:ascii="宋体" w:hAnsi="宋体"/>
                <w:szCs w:val="21"/>
                <w:highlight w:val="none"/>
              </w:rPr>
              <w:t>3.出现故障后 1 小时内服务响应、12小时内现场服务到位、24小时内解决问题。</w:t>
            </w:r>
          </w:p>
          <w:p>
            <w:pPr>
              <w:spacing w:line="360" w:lineRule="exact"/>
              <w:rPr>
                <w:rFonts w:hint="eastAsia" w:ascii="宋体" w:hAnsi="宋体" w:eastAsia="宋体"/>
                <w:szCs w:val="21"/>
                <w:highlight w:val="none"/>
              </w:rPr>
            </w:pPr>
            <w:r>
              <w:rPr>
                <w:rFonts w:hint="eastAsia" w:ascii="宋体" w:hAnsi="宋体" w:eastAsia="宋体"/>
                <w:szCs w:val="21"/>
                <w:highlight w:val="none"/>
              </w:rPr>
              <w:t>4.成交供应商必须提供免费的技术培训辅导以及相关设备的安装、维护、日常操作等业务培训，并提供硬件故障判断指南、相关的培训文档和使用手册等资料，确保操作人员能够熟练掌握设备使用方法。</w:t>
            </w:r>
          </w:p>
          <w:p>
            <w:pPr>
              <w:spacing w:line="360" w:lineRule="exact"/>
              <w:rPr>
                <w:rFonts w:hint="eastAsia" w:ascii="宋体" w:hAnsi="宋体" w:eastAsia="宋体"/>
                <w:szCs w:val="21"/>
                <w:highlight w:val="none"/>
              </w:rPr>
            </w:pPr>
            <w:r>
              <w:rPr>
                <w:rFonts w:hint="eastAsia" w:ascii="宋体" w:hAnsi="宋体" w:eastAsia="宋体"/>
                <w:szCs w:val="21"/>
                <w:highlight w:val="none"/>
              </w:rPr>
              <w:t>5.成交后每架无人机提供4名人员无人机培训，并参加UTC认证考试（认证考试）。</w:t>
            </w:r>
          </w:p>
          <w:p>
            <w:pPr>
              <w:spacing w:line="360" w:lineRule="exact"/>
              <w:rPr>
                <w:rFonts w:hint="eastAsia" w:ascii="宋体" w:hAnsi="宋体"/>
                <w:szCs w:val="21"/>
                <w:highlight w:val="none"/>
              </w:rPr>
            </w:pPr>
            <w:r>
              <w:rPr>
                <w:rFonts w:hint="eastAsia" w:ascii="宋体" w:hAnsi="宋体" w:eastAsia="宋体"/>
                <w:szCs w:val="21"/>
                <w:highlight w:val="none"/>
              </w:rPr>
              <w:t>6.磋商时有其它服务承诺的，一并履行。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3" w:hRule="atLeast"/>
          <w:jc w:val="center"/>
        </w:trPr>
        <w:tc>
          <w:tcPr>
            <w:tcW w:w="82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Cs w:val="21"/>
                <w:highlight w:val="none"/>
              </w:rPr>
            </w:pPr>
            <w:r>
              <w:rPr>
                <w:rFonts w:ascii="宋体" w:hAnsi="宋体"/>
                <w:b/>
                <w:szCs w:val="21"/>
                <w:highlight w:val="none"/>
              </w:rPr>
              <w:t>交货时间及地点</w:t>
            </w:r>
          </w:p>
        </w:tc>
        <w:tc>
          <w:tcPr>
            <w:tcW w:w="41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highlight w:val="none"/>
              </w:rPr>
            </w:pPr>
            <w:r>
              <w:rPr>
                <w:rFonts w:ascii="宋体" w:hAnsi="宋体"/>
                <w:szCs w:val="21"/>
                <w:highlight w:val="none"/>
              </w:rPr>
              <w:t>交货时间：</w:t>
            </w:r>
            <w:r>
              <w:rPr>
                <w:rFonts w:hint="eastAsia" w:ascii="宋体" w:hAnsi="宋体"/>
                <w:szCs w:val="21"/>
                <w:highlight w:val="none"/>
              </w:rPr>
              <w:t>合同签订后</w:t>
            </w:r>
            <w:r>
              <w:rPr>
                <w:rFonts w:hint="eastAsia" w:ascii="宋体" w:hAnsi="宋体"/>
                <w:szCs w:val="21"/>
                <w:highlight w:val="none"/>
                <w:lang w:val="en-US" w:eastAsia="zh-CN"/>
              </w:rPr>
              <w:t>3</w:t>
            </w:r>
            <w:r>
              <w:rPr>
                <w:rFonts w:hint="eastAsia" w:ascii="宋体" w:hAnsi="宋体"/>
                <w:szCs w:val="21"/>
                <w:highlight w:val="none"/>
                <w:u w:val="single"/>
              </w:rPr>
              <w:t>0日历天</w:t>
            </w:r>
            <w:r>
              <w:rPr>
                <w:rFonts w:hint="eastAsia" w:ascii="宋体" w:hAnsi="宋体"/>
                <w:szCs w:val="21"/>
                <w:highlight w:val="none"/>
              </w:rPr>
              <w:t>内完成设备采购、安装调试并经验收合格。</w:t>
            </w:r>
          </w:p>
          <w:p>
            <w:pPr>
              <w:spacing w:line="360" w:lineRule="exact"/>
              <w:rPr>
                <w:rFonts w:ascii="宋体" w:hAnsi="宋体"/>
                <w:szCs w:val="21"/>
                <w:highlight w:val="none"/>
              </w:rPr>
            </w:pPr>
            <w:r>
              <w:rPr>
                <w:rFonts w:ascii="宋体" w:hAnsi="宋体"/>
                <w:szCs w:val="21"/>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82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Cs w:val="21"/>
                <w:highlight w:val="none"/>
              </w:rPr>
            </w:pPr>
            <w:r>
              <w:rPr>
                <w:rFonts w:ascii="宋体" w:hAnsi="宋体"/>
                <w:b/>
                <w:szCs w:val="21"/>
                <w:highlight w:val="none"/>
              </w:rPr>
              <w:t>付款方式</w:t>
            </w:r>
          </w:p>
        </w:tc>
        <w:tc>
          <w:tcPr>
            <w:tcW w:w="4172" w:type="pct"/>
            <w:tcBorders>
              <w:top w:val="single" w:color="auto" w:sz="4" w:space="0"/>
              <w:left w:val="single" w:color="auto" w:sz="4" w:space="0"/>
              <w:bottom w:val="single" w:color="auto" w:sz="4" w:space="0"/>
              <w:right w:val="single" w:color="auto" w:sz="4" w:space="0"/>
            </w:tcBorders>
            <w:noWrap w:val="0"/>
            <w:vAlign w:val="center"/>
          </w:tcPr>
          <w:p>
            <w:pPr>
              <w:pStyle w:val="11"/>
              <w:snapToGrid w:val="0"/>
              <w:spacing w:before="120" w:after="120" w:line="360" w:lineRule="auto"/>
              <w:rPr>
                <w:rFonts w:hAnsi="宋体" w:cs="宋体"/>
                <w:szCs w:val="21"/>
                <w:highlight w:val="none"/>
              </w:rPr>
            </w:pPr>
            <w:r>
              <w:rPr>
                <w:rFonts w:hAnsi="宋体"/>
                <w:szCs w:val="21"/>
                <w:highlight w:val="none"/>
              </w:rPr>
              <w:t>合同签订后，甲方支付</w:t>
            </w:r>
            <w:r>
              <w:rPr>
                <w:rFonts w:hint="eastAsia" w:hAnsi="宋体"/>
                <w:szCs w:val="21"/>
                <w:highlight w:val="none"/>
              </w:rPr>
              <w:t>合同价</w:t>
            </w:r>
            <w:r>
              <w:rPr>
                <w:rFonts w:hAnsi="宋体"/>
                <w:szCs w:val="21"/>
                <w:highlight w:val="none"/>
              </w:rPr>
              <w:t>的</w:t>
            </w:r>
            <w:r>
              <w:rPr>
                <w:rFonts w:hint="eastAsia" w:hAnsi="宋体"/>
                <w:szCs w:val="21"/>
                <w:highlight w:val="none"/>
              </w:rPr>
              <w:t>4</w:t>
            </w:r>
            <w:r>
              <w:rPr>
                <w:rFonts w:hAnsi="宋体"/>
                <w:szCs w:val="21"/>
                <w:highlight w:val="none"/>
              </w:rPr>
              <w:t>0%作为预付款</w:t>
            </w:r>
            <w:r>
              <w:rPr>
                <w:rFonts w:hint="eastAsia" w:hAnsi="宋体"/>
                <w:szCs w:val="21"/>
                <w:highlight w:val="none"/>
              </w:rPr>
              <w:t>；</w:t>
            </w:r>
            <w:r>
              <w:rPr>
                <w:rFonts w:hAnsi="宋体"/>
                <w:szCs w:val="21"/>
                <w:highlight w:val="none"/>
              </w:rPr>
              <w:t>项目完</w:t>
            </w:r>
            <w:r>
              <w:rPr>
                <w:rFonts w:hint="eastAsia" w:hAnsi="宋体"/>
                <w:szCs w:val="21"/>
                <w:highlight w:val="none"/>
              </w:rPr>
              <w:t>成</w:t>
            </w:r>
            <w:r>
              <w:rPr>
                <w:rFonts w:hAnsi="宋体"/>
                <w:szCs w:val="21"/>
                <w:highlight w:val="none"/>
              </w:rPr>
              <w:t>后支付至合同价的</w:t>
            </w:r>
            <w:r>
              <w:rPr>
                <w:rFonts w:hint="eastAsia" w:hAnsi="宋体"/>
                <w:szCs w:val="21"/>
                <w:highlight w:val="none"/>
                <w:lang w:val="en-US" w:eastAsia="zh-CN"/>
              </w:rPr>
              <w:t>70</w:t>
            </w:r>
            <w:r>
              <w:rPr>
                <w:rFonts w:hAnsi="宋体"/>
                <w:szCs w:val="21"/>
                <w:highlight w:val="none"/>
              </w:rPr>
              <w:t>%，</w:t>
            </w:r>
            <w:r>
              <w:rPr>
                <w:rFonts w:hint="eastAsia" w:hAnsi="宋体"/>
                <w:szCs w:val="21"/>
                <w:highlight w:val="none"/>
              </w:rPr>
              <w:t>验收</w:t>
            </w:r>
            <w:r>
              <w:rPr>
                <w:rFonts w:hAnsi="宋体"/>
                <w:szCs w:val="21"/>
                <w:highlight w:val="none"/>
              </w:rPr>
              <w:t>合格后</w:t>
            </w:r>
            <w:r>
              <w:rPr>
                <w:rFonts w:hint="eastAsia" w:hAnsi="宋体" w:cs="宋体"/>
                <w:szCs w:val="21"/>
                <w:highlight w:val="none"/>
              </w:rPr>
              <w:t>一次性</w:t>
            </w:r>
            <w:r>
              <w:rPr>
                <w:rFonts w:hAnsi="宋体"/>
                <w:szCs w:val="21"/>
                <w:highlight w:val="none"/>
              </w:rPr>
              <w:t>付清余款。</w:t>
            </w:r>
          </w:p>
        </w:tc>
      </w:tr>
    </w:tbl>
    <w:p>
      <w:pPr>
        <w:spacing w:line="360" w:lineRule="exact"/>
        <w:ind w:firstLine="422" w:firstLineChars="200"/>
        <w:outlineLvl w:val="1"/>
        <w:rPr>
          <w:rFonts w:hint="eastAsia" w:ascii="宋体" w:hAnsi="宋体" w:cs="宋体"/>
          <w:b/>
          <w:bCs/>
          <w:szCs w:val="21"/>
          <w:highlight w:val="none"/>
          <w:lang w:val="zh-CN"/>
        </w:rPr>
      </w:pPr>
      <w:bookmarkStart w:id="34" w:name="_Toc16547"/>
      <w:r>
        <w:rPr>
          <w:rFonts w:hint="eastAsia" w:ascii="宋体" w:hAnsi="宋体" w:cs="宋体"/>
          <w:b/>
          <w:bCs/>
          <w:szCs w:val="21"/>
          <w:highlight w:val="none"/>
          <w:lang w:val="zh-CN"/>
        </w:rPr>
        <w:t>七、其他要求</w:t>
      </w:r>
      <w:bookmarkEnd w:id="34"/>
    </w:p>
    <w:p>
      <w:pPr>
        <w:spacing w:line="360" w:lineRule="exact"/>
        <w:ind w:firstLine="420" w:firstLineChars="200"/>
        <w:jc w:val="left"/>
        <w:rPr>
          <w:rFonts w:ascii="宋体" w:hAnsi="宋体" w:cs="宋体"/>
          <w:szCs w:val="21"/>
          <w:highlight w:val="none"/>
        </w:rPr>
      </w:pPr>
      <w:r>
        <w:rPr>
          <w:rFonts w:ascii="宋体" w:hAnsi="宋体" w:cs="宋体"/>
          <w:szCs w:val="21"/>
          <w:highlight w:val="none"/>
        </w:rPr>
        <w:t>1.供应商必须承诺</w:t>
      </w:r>
      <w:r>
        <w:rPr>
          <w:rFonts w:hint="eastAsia" w:ascii="宋体" w:hAnsi="宋体" w:cs="宋体"/>
          <w:szCs w:val="21"/>
          <w:highlight w:val="none"/>
        </w:rPr>
        <w:t>磋商响应文件</w:t>
      </w:r>
      <w:r>
        <w:rPr>
          <w:rFonts w:ascii="宋体" w:hAnsi="宋体" w:cs="宋体"/>
          <w:szCs w:val="21"/>
          <w:highlight w:val="none"/>
        </w:rPr>
        <w:t>中提出的全部技术规格与要求，如果其中某些条款不响应时，应在文件中逐条列出，未列出的视同响应。</w:t>
      </w:r>
    </w:p>
    <w:p>
      <w:pPr>
        <w:spacing w:line="360" w:lineRule="exact"/>
        <w:ind w:firstLine="420" w:firstLineChars="200"/>
        <w:jc w:val="left"/>
        <w:rPr>
          <w:rFonts w:ascii="宋体" w:hAnsi="宋体" w:cs="宋体"/>
          <w:szCs w:val="21"/>
          <w:highlight w:val="none"/>
        </w:rPr>
      </w:pPr>
      <w:r>
        <w:rPr>
          <w:rFonts w:ascii="宋体" w:hAnsi="宋体" w:cs="宋体"/>
          <w:szCs w:val="21"/>
          <w:highlight w:val="none"/>
        </w:rPr>
        <w:t>3.供应商应按照</w:t>
      </w:r>
      <w:r>
        <w:rPr>
          <w:rFonts w:hint="eastAsia" w:ascii="宋体" w:hAnsi="宋体" w:cs="宋体"/>
          <w:szCs w:val="21"/>
          <w:highlight w:val="none"/>
        </w:rPr>
        <w:t>磋商响应文件</w:t>
      </w:r>
      <w:r>
        <w:rPr>
          <w:rFonts w:ascii="宋体" w:hAnsi="宋体" w:cs="宋体"/>
          <w:szCs w:val="21"/>
          <w:highlight w:val="none"/>
        </w:rPr>
        <w:t>中规定的技术参数、技术规格、技术规范、技术要求、责任范围、合同条款以及本项目要求以固定综合单价方式进行报价。</w:t>
      </w:r>
    </w:p>
    <w:p>
      <w:pPr>
        <w:spacing w:line="360" w:lineRule="exact"/>
        <w:ind w:firstLine="420" w:firstLineChars="200"/>
        <w:jc w:val="left"/>
        <w:rPr>
          <w:rFonts w:hint="eastAsia" w:ascii="宋体" w:hAnsi="宋体" w:cs="宋体"/>
          <w:b/>
          <w:bCs/>
          <w:sz w:val="36"/>
          <w:szCs w:val="36"/>
          <w:highlight w:val="none"/>
        </w:rPr>
        <w:sectPr>
          <w:footerReference r:id="rId6" w:type="default"/>
          <w:pgSz w:w="11906" w:h="16838"/>
          <w:pgMar w:top="1440" w:right="1080" w:bottom="1440" w:left="1080" w:header="851" w:footer="992" w:gutter="0"/>
          <w:pgNumType w:start="28"/>
          <w:cols w:space="720" w:num="1"/>
          <w:docGrid w:type="lines" w:linePitch="312" w:charSpace="0"/>
        </w:sectPr>
      </w:pPr>
      <w:r>
        <w:rPr>
          <w:rFonts w:ascii="宋体" w:hAnsi="宋体" w:cs="宋体"/>
          <w:szCs w:val="21"/>
          <w:highlight w:val="none"/>
        </w:rPr>
        <w:t>4.</w:t>
      </w:r>
      <w:r>
        <w:rPr>
          <w:rFonts w:hint="eastAsia" w:ascii="宋体" w:hAnsi="宋体" w:cs="宋体"/>
          <w:highlight w:val="none"/>
        </w:rPr>
        <w:t>本磋商文件中带“▲”的条款内容，为本次磋商的实质性内容，供应商必须全部响应，否则将作无效标处理。“★”的条款内容为重要性条款</w:t>
      </w:r>
      <w:r>
        <w:rPr>
          <w:rFonts w:ascii="宋体" w:hAnsi="宋体" w:cs="宋体"/>
          <w:szCs w:val="21"/>
          <w:highlight w:val="none"/>
        </w:rPr>
        <w:t>。</w:t>
      </w:r>
    </w:p>
    <w:p>
      <w:pPr>
        <w:jc w:val="center"/>
        <w:outlineLvl w:val="0"/>
        <w:rPr>
          <w:rFonts w:hint="eastAsia"/>
        </w:rPr>
      </w:pPr>
      <w:bookmarkStart w:id="35" w:name="_Toc21598"/>
      <w:r>
        <w:rPr>
          <w:rFonts w:hint="eastAsia" w:ascii="宋体" w:hAnsi="宋体" w:eastAsia="宋体" w:cs="宋体"/>
          <w:b/>
          <w:bCs/>
          <w:color w:val="auto"/>
          <w:sz w:val="32"/>
          <w:szCs w:val="48"/>
        </w:rPr>
        <w:t xml:space="preserve">第三章  </w:t>
      </w:r>
      <w:r>
        <w:rPr>
          <w:rFonts w:hint="eastAsia" w:ascii="宋体" w:hAnsi="宋体" w:eastAsia="宋体" w:cs="宋体"/>
          <w:b/>
          <w:bCs/>
          <w:color w:val="auto"/>
          <w:sz w:val="32"/>
          <w:szCs w:val="48"/>
          <w:lang w:eastAsia="zh-CN"/>
        </w:rPr>
        <w:t>磋商须知</w:t>
      </w:r>
      <w:bookmarkEnd w:id="35"/>
    </w:p>
    <w:p>
      <w:pPr>
        <w:pStyle w:val="9"/>
        <w:rPr>
          <w:rFonts w:hint="eastAsia"/>
        </w:rPr>
      </w:pPr>
    </w:p>
    <w:bookmarkEnd w:id="10"/>
    <w:bookmarkEnd w:id="11"/>
    <w:bookmarkEnd w:id="12"/>
    <w:bookmarkEnd w:id="13"/>
    <w:bookmarkEnd w:id="14"/>
    <w:bookmarkEnd w:id="15"/>
    <w:bookmarkEnd w:id="32"/>
    <w:bookmarkEnd w:id="33"/>
    <w:p>
      <w:pPr>
        <w:jc w:val="center"/>
        <w:rPr>
          <w:rFonts w:hint="eastAsia" w:ascii="宋体" w:hAnsi="宋体" w:eastAsia="宋体" w:cs="宋体"/>
          <w:b/>
          <w:sz w:val="32"/>
          <w:szCs w:val="32"/>
        </w:rPr>
      </w:pPr>
      <w:bookmarkStart w:id="36" w:name="_Toc224533939"/>
      <w:bookmarkStart w:id="37" w:name="_Toc269397667"/>
      <w:bookmarkStart w:id="38" w:name="_Toc226603378"/>
      <w:r>
        <w:rPr>
          <w:rFonts w:hint="eastAsia" w:ascii="宋体" w:hAnsi="宋体" w:eastAsia="宋体" w:cs="宋体"/>
          <w:b/>
          <w:sz w:val="32"/>
          <w:szCs w:val="32"/>
        </w:rPr>
        <w:t>前附表</w:t>
      </w:r>
      <w:bookmarkEnd w:id="36"/>
      <w:bookmarkEnd w:id="37"/>
      <w:bookmarkEnd w:id="38"/>
    </w:p>
    <w:tbl>
      <w:tblPr>
        <w:tblStyle w:val="21"/>
        <w:tblpPr w:leftFromText="180" w:rightFromText="180" w:vertAnchor="text" w:horzAnchor="page" w:tblpX="1308" w:tblpY="649"/>
        <w:tblOverlap w:val="never"/>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8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bookmarkStart w:id="39" w:name="_Toc182125818"/>
            <w:bookmarkStart w:id="40" w:name="_Toc182125895"/>
            <w:bookmarkStart w:id="41" w:name="_Toc174767468"/>
            <w:bookmarkStart w:id="42" w:name="_Toc269397668"/>
            <w:bookmarkStart w:id="43" w:name="_Toc172338034"/>
            <w:bookmarkStart w:id="44" w:name="_Toc172337884"/>
            <w:r>
              <w:rPr>
                <w:rFonts w:hint="eastAsia" w:ascii="宋体" w:hAnsi="宋体" w:eastAsia="宋体" w:cs="宋体"/>
                <w:szCs w:val="21"/>
              </w:rPr>
              <w:t>序号</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宋体"/>
                <w:szCs w:val="21"/>
              </w:rPr>
            </w:pPr>
            <w:r>
              <w:rPr>
                <w:rFonts w:hint="eastAsia" w:ascii="宋体" w:hAnsi="宋体" w:eastAsia="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项目名称：</w:t>
            </w:r>
            <w:r>
              <w:rPr>
                <w:rFonts w:hint="eastAsia" w:ascii="宋体" w:hAnsi="宋体" w:cs="宋体"/>
                <w:szCs w:val="21"/>
                <w:lang w:eastAsia="zh-CN"/>
              </w:rPr>
              <w:t>长兴县交通运输行政执法队无人机库采购服务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2</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Cs w:val="21"/>
                <w:lang w:eastAsia="zh-CN"/>
              </w:rPr>
            </w:pPr>
            <w:r>
              <w:rPr>
                <w:rFonts w:hint="eastAsia" w:ascii="宋体" w:hAnsi="宋体" w:eastAsia="宋体" w:cs="宋体"/>
                <w:szCs w:val="21"/>
              </w:rPr>
              <w:t>采购单位：</w:t>
            </w:r>
            <w:r>
              <w:rPr>
                <w:rFonts w:hint="eastAsia" w:ascii="宋体" w:hAnsi="宋体" w:cs="宋体"/>
                <w:szCs w:val="21"/>
                <w:lang w:eastAsia="zh-CN"/>
              </w:rPr>
              <w:t>长兴县交通运输行政执法队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3</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磋商报价及费用：1.本项目磋商应以</w:t>
            </w:r>
            <w:r>
              <w:rPr>
                <w:rFonts w:hint="eastAsia" w:ascii="宋体" w:hAnsi="宋体" w:cs="宋体"/>
                <w:szCs w:val="21"/>
                <w:lang w:eastAsia="zh-CN"/>
              </w:rPr>
              <w:t>人民币</w:t>
            </w:r>
            <w:r>
              <w:rPr>
                <w:rFonts w:hint="eastAsia" w:ascii="宋体" w:hAnsi="宋体" w:eastAsia="宋体" w:cs="宋体"/>
                <w:szCs w:val="21"/>
              </w:rPr>
              <w:t>报价；2.不论磋商结果如何，供应商均应自行承担所有与磋商有关的全部费用；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4</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磋商保证金：</w:t>
            </w:r>
            <w:r>
              <w:rPr>
                <w:rFonts w:hint="eastAsia" w:ascii="宋体" w:hAnsi="宋体" w:eastAsia="宋体" w:cs="宋体"/>
                <w:b/>
                <w:bCs/>
                <w:kern w:val="0"/>
                <w:szCs w:val="21"/>
              </w:rPr>
              <w:t>无</w:t>
            </w:r>
            <w:r>
              <w:rPr>
                <w:rFonts w:hint="eastAsia" w:ascii="宋体" w:hAnsi="宋体" w:eastAsia="宋体" w:cs="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5</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textAlignment w:val="bottom"/>
              <w:rPr>
                <w:rFonts w:ascii="宋体" w:hAnsi="宋体" w:eastAsia="宋体" w:cs="宋体"/>
                <w:b/>
                <w:bCs/>
                <w:szCs w:val="21"/>
              </w:rPr>
            </w:pPr>
            <w:r>
              <w:rPr>
                <w:rFonts w:hint="eastAsia" w:ascii="宋体" w:hAnsi="宋体" w:eastAsia="宋体" w:cs="宋体"/>
                <w:szCs w:val="21"/>
              </w:rPr>
              <w:t>现场踏勘：</w:t>
            </w:r>
            <w:r>
              <w:rPr>
                <w:rFonts w:hint="eastAsia" w:ascii="宋体" w:hAnsi="宋体" w:eastAsia="宋体" w:cs="宋体"/>
                <w:bCs/>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0" w:hRule="atLeast"/>
        </w:trPr>
        <w:tc>
          <w:tcPr>
            <w:tcW w:w="738" w:type="dxa"/>
            <w:tcBorders>
              <w:top w:val="single" w:color="auto" w:sz="4" w:space="0"/>
              <w:left w:val="single" w:color="auto" w:sz="4" w:space="0"/>
              <w:bottom w:val="single" w:color="auto" w:sz="4" w:space="0"/>
              <w:right w:val="single" w:color="auto" w:sz="4" w:space="0"/>
            </w:tcBorders>
            <w:noWrap w:val="0"/>
            <w:vAlign w:val="bottom"/>
          </w:tcPr>
          <w:p>
            <w:pPr>
              <w:snapToGrid w:val="0"/>
              <w:spacing w:line="300" w:lineRule="exact"/>
              <w:jc w:val="center"/>
              <w:rPr>
                <w:rFonts w:ascii="宋体" w:hAnsi="宋体" w:eastAsia="宋体" w:cs="宋体"/>
                <w:szCs w:val="21"/>
              </w:rPr>
            </w:pP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答疑与澄清：1.供应商应认真阅读本磋商文件，发现其中有误或有不合理要求的，供应商必须在</w:t>
            </w:r>
            <w:r>
              <w:rPr>
                <w:rFonts w:hint="eastAsia" w:ascii="宋体" w:hAnsi="宋体" w:eastAsia="宋体" w:cs="宋体"/>
                <w:szCs w:val="21"/>
                <w:lang w:eastAsia="zh-CN"/>
              </w:rPr>
              <w:t>202</w:t>
            </w:r>
            <w:r>
              <w:rPr>
                <w:rFonts w:hint="eastAsia" w:ascii="宋体" w:hAnsi="宋体" w:cs="宋体"/>
                <w:szCs w:val="21"/>
                <w:lang w:val="en-US" w:eastAsia="zh-CN"/>
              </w:rPr>
              <w:t>4</w:t>
            </w:r>
            <w:r>
              <w:rPr>
                <w:rFonts w:hint="eastAsia" w:ascii="宋体" w:hAnsi="宋体" w:eastAsia="宋体" w:cs="宋体"/>
                <w:szCs w:val="21"/>
              </w:rPr>
              <w:t>年</w:t>
            </w:r>
            <w:r>
              <w:rPr>
                <w:rFonts w:hint="eastAsia" w:ascii="宋体" w:hAnsi="宋体" w:cs="宋体"/>
                <w:szCs w:val="21"/>
                <w:lang w:val="en-US" w:eastAsia="zh-CN"/>
              </w:rPr>
              <w:t>04</w:t>
            </w:r>
            <w:r>
              <w:rPr>
                <w:rFonts w:hint="eastAsia" w:ascii="宋体" w:hAnsi="宋体" w:eastAsia="宋体" w:cs="宋体"/>
                <w:szCs w:val="21"/>
              </w:rPr>
              <w:t>月</w:t>
            </w:r>
            <w:r>
              <w:rPr>
                <w:rFonts w:hint="eastAsia" w:ascii="宋体" w:hAnsi="宋体" w:cs="宋体"/>
                <w:szCs w:val="21"/>
                <w:lang w:val="en-US" w:eastAsia="zh-CN"/>
              </w:rPr>
              <w:t>03</w:t>
            </w:r>
            <w:r>
              <w:rPr>
                <w:rFonts w:hint="eastAsia" w:ascii="宋体" w:hAnsi="宋体" w:eastAsia="宋体" w:cs="宋体"/>
                <w:szCs w:val="21"/>
              </w:rPr>
              <w:t>日</w:t>
            </w:r>
            <w:r>
              <w:rPr>
                <w:rFonts w:hint="eastAsia" w:ascii="宋体" w:hAnsi="宋体" w:eastAsia="宋体" w:cs="宋体"/>
                <w:szCs w:val="21"/>
                <w:lang w:val="en-US" w:eastAsia="zh-CN"/>
              </w:rPr>
              <w:t>16时</w:t>
            </w:r>
            <w:r>
              <w:rPr>
                <w:rFonts w:hint="eastAsia" w:ascii="宋体" w:hAnsi="宋体" w:eastAsia="宋体" w:cs="宋体"/>
                <w:szCs w:val="21"/>
              </w:rPr>
              <w:t>前以书面形式要求采购机构澄清（供应商应把握所提疑问是否确需澄清或质疑，相关非实质性问题可以沟通解决的请及时电话联系，以免答疑后影响用户的正常采购进程），采购代理机构对已发出的磋商文件进行必要澄清、答复、修改或补充的，将在磋商文件要求提交磋商响应文件截止时间3日前，在财政部门指定的政府采购信息发布媒体上发布更正公告，</w:t>
            </w:r>
            <w:r>
              <w:rPr>
                <w:rFonts w:hint="eastAsia" w:ascii="宋体" w:hAnsi="宋体" w:eastAsia="宋体" w:cs="宋体"/>
                <w:szCs w:val="21"/>
                <w:lang w:eastAsia="zh-CN"/>
              </w:rPr>
              <w:t>请各供应商自行关注</w:t>
            </w:r>
            <w:r>
              <w:rPr>
                <w:rFonts w:hint="eastAsia" w:ascii="宋体" w:hAnsi="宋体" w:eastAsia="宋体" w:cs="宋体"/>
                <w:szCs w:val="21"/>
              </w:rPr>
              <w:t>。逾期提出的，采购代理机构可不予受理、答复，但法律法规及规范性文件有明确规定的除外。</w:t>
            </w:r>
          </w:p>
          <w:p>
            <w:pPr>
              <w:spacing w:line="320" w:lineRule="exact"/>
              <w:rPr>
                <w:rFonts w:ascii="宋体" w:hAnsi="宋体" w:eastAsia="宋体" w:cs="宋体"/>
                <w:szCs w:val="21"/>
              </w:rPr>
            </w:pPr>
            <w:r>
              <w:rPr>
                <w:rFonts w:hint="eastAsia" w:ascii="宋体" w:hAnsi="宋体" w:eastAsia="宋体" w:cs="宋体"/>
                <w:szCs w:val="21"/>
              </w:rPr>
              <w:t>2.采购代理机构将以书面形式答复供应商要求澄清的问题，并将不包含问题来源的答复书面通知所有购买磋商文件的供应商；除书面答复以外的其他澄清方式及澄清内容均无效。</w:t>
            </w:r>
          </w:p>
          <w:p>
            <w:pPr>
              <w:spacing w:line="320" w:lineRule="exact"/>
              <w:rPr>
                <w:rFonts w:ascii="宋体" w:hAnsi="宋体" w:eastAsia="宋体" w:cs="宋体"/>
                <w:szCs w:val="21"/>
              </w:rPr>
            </w:pPr>
            <w:r>
              <w:rPr>
                <w:rFonts w:hint="eastAsia" w:ascii="宋体" w:hAnsi="宋体" w:eastAsia="宋体" w:cs="宋体"/>
                <w:szCs w:val="21"/>
              </w:rPr>
              <w:t>3.磋商文件澄清、答复、修改、补充的内容为磋商文件的组成部分。当磋商文件与磋商文件的答复、澄清、修改、补充通知就同一内容的表述不一致时，以最后发出的书面文件为准。</w:t>
            </w:r>
          </w:p>
          <w:p>
            <w:pPr>
              <w:spacing w:line="320" w:lineRule="exact"/>
              <w:rPr>
                <w:rFonts w:ascii="宋体" w:hAnsi="宋体" w:eastAsia="宋体" w:cs="宋体"/>
                <w:szCs w:val="21"/>
              </w:rPr>
            </w:pPr>
            <w:r>
              <w:rPr>
                <w:rFonts w:hint="eastAsia" w:ascii="宋体" w:hAnsi="宋体" w:eastAsia="宋体" w:cs="宋体"/>
                <w:szCs w:val="21"/>
              </w:rPr>
              <w:t>4.磋商文件的澄清、答复、修改或补充都应该通过本采购代理机构以法定形式发布，采购人非通过本机构，不得擅自澄清、答复、修改或补充磋商文件。</w:t>
            </w:r>
          </w:p>
          <w:p>
            <w:pPr>
              <w:spacing w:line="320" w:lineRule="exact"/>
              <w:rPr>
                <w:rFonts w:ascii="宋体" w:hAnsi="宋体" w:eastAsia="宋体" w:cs="宋体"/>
                <w:szCs w:val="21"/>
              </w:rPr>
            </w:pPr>
            <w:r>
              <w:rPr>
                <w:rFonts w:hint="eastAsia" w:ascii="宋体" w:hAnsi="宋体" w:eastAsia="宋体" w:cs="宋体"/>
                <w:szCs w:val="21"/>
              </w:rPr>
              <w:t>5.因供应商提供联系资料错误等原因导致采购代理机构未能将有关澄清、答复、修改或补充通知送达供应商或通知供应商前来领取的，责任由供应商自负。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6</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cs="宋体"/>
                <w:szCs w:val="21"/>
              </w:rPr>
            </w:pPr>
            <w:r>
              <w:rPr>
                <w:rFonts w:hint="eastAsia" w:ascii="宋体" w:hAnsi="宋体" w:cs="Times New Roman"/>
                <w:szCs w:val="21"/>
                <w:highlight w:val="yellow"/>
                <w:lang w:val="en-US" w:eastAsia="zh-CN"/>
              </w:rPr>
              <w:t xml:space="preserve">   </w:t>
            </w:r>
            <w:r>
              <w:rPr>
                <w:rFonts w:hint="eastAsia" w:ascii="宋体" w:hAnsi="宋体" w:eastAsia="宋体" w:cs="Times New Roman"/>
                <w:b/>
                <w:bCs/>
                <w:color w:val="auto"/>
                <w:szCs w:val="21"/>
                <w:highlight w:val="yellow"/>
              </w:rPr>
              <w:t>▲</w:t>
            </w:r>
            <w:r>
              <w:rPr>
                <w:rFonts w:hint="eastAsia" w:ascii="宋体" w:hAnsi="宋体" w:cs="Times New Roman"/>
                <w:b/>
                <w:bCs/>
                <w:szCs w:val="21"/>
                <w:highlight w:val="yellow"/>
                <w:lang w:val="en-US" w:eastAsia="zh-CN"/>
              </w:rPr>
              <w:t>最高限价：829800</w:t>
            </w:r>
            <w:r>
              <w:rPr>
                <w:rFonts w:hint="eastAsia" w:ascii="宋体" w:hAnsi="宋体" w:eastAsia="宋体" w:cs="Times New Roman"/>
                <w:b/>
                <w:bCs/>
                <w:color w:val="auto"/>
                <w:szCs w:val="21"/>
                <w:highlight w:val="yellow"/>
              </w:rPr>
              <w:t>元，磋商报价超过最高限价的为无效标。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6"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cs="宋体"/>
                <w:szCs w:val="21"/>
              </w:rPr>
            </w:pPr>
            <w:r>
              <w:rPr>
                <w:rFonts w:hint="eastAsia" w:ascii="宋体" w:hAnsi="宋体" w:eastAsia="宋体" w:cs="宋体"/>
                <w:szCs w:val="21"/>
              </w:rPr>
              <w:t>磋商响应文件的形式与组成：</w:t>
            </w:r>
          </w:p>
          <w:p>
            <w:pPr>
              <w:spacing w:line="320" w:lineRule="exact"/>
              <w:jc w:val="left"/>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rPr>
              <w:t>资信及商务文件、技术文件、报价文件；其中资信及商务文件、技术文件可装订在一起，报价文件单独密封包装；</w:t>
            </w:r>
          </w:p>
          <w:p>
            <w:pPr>
              <w:spacing w:line="320" w:lineRule="exact"/>
              <w:jc w:val="left"/>
            </w:pPr>
            <w:r>
              <w:rPr>
                <w:rFonts w:hint="eastAsia" w:ascii="宋体" w:hAnsi="宋体" w:eastAsia="宋体" w:cs="宋体"/>
                <w:szCs w:val="21"/>
              </w:rPr>
              <w:t>（2）供应商应准备电子磋商响应文件、以介质存储的数据电文形式的备份磋商响应文件（U 盘或光盘）、纸质备份磋商响应文件三类。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9"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9</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b/>
                <w:bCs/>
                <w:szCs w:val="21"/>
              </w:rPr>
              <w:t>磋商响应文件的形式和效力：</w:t>
            </w:r>
            <w:r>
              <w:rPr>
                <w:rFonts w:hint="eastAsia" w:ascii="宋体" w:hAnsi="宋体" w:eastAsia="宋体" w:cs="宋体"/>
                <w:szCs w:val="21"/>
              </w:rPr>
              <w:t>磋商响应文件分为电子磋商响应文件以及备份磋商响应文件，备份文件分为以介质存储的数据电文形式的备份磋商响应文件（U 盘或光盘）和纸质备份磋商响应文件。</w:t>
            </w:r>
          </w:p>
          <w:p>
            <w:pPr>
              <w:spacing w:line="320" w:lineRule="exact"/>
              <w:rPr>
                <w:rFonts w:ascii="宋体" w:hAnsi="宋体" w:eastAsia="宋体" w:cs="宋体"/>
                <w:szCs w:val="21"/>
              </w:rPr>
            </w:pPr>
            <w:r>
              <w:rPr>
                <w:rFonts w:hint="eastAsia" w:ascii="宋体" w:hAnsi="宋体" w:eastAsia="宋体" w:cs="宋体"/>
                <w:b/>
                <w:bCs/>
                <w:szCs w:val="21"/>
              </w:rPr>
              <w:t>（1）电子磋商响应文件部分：</w:t>
            </w:r>
            <w:r>
              <w:rPr>
                <w:rFonts w:hint="eastAsia" w:ascii="宋体" w:hAnsi="宋体" w:eastAsia="宋体" w:cs="宋体"/>
                <w:szCs w:val="21"/>
              </w:rPr>
              <w:t>供应商应根据“政采云供应商项目采购-电子招投标操作指南”及本招标文件规定的格式和顺序编制，按电子磋商响应文件要求制作、加密并递交，进行关联定位。</w:t>
            </w:r>
          </w:p>
          <w:p>
            <w:pPr>
              <w:spacing w:line="320" w:lineRule="exact"/>
              <w:rPr>
                <w:rFonts w:ascii="宋体" w:hAnsi="宋体" w:eastAsia="宋体" w:cs="宋体"/>
                <w:szCs w:val="21"/>
              </w:rPr>
            </w:pPr>
            <w:r>
              <w:rPr>
                <w:rFonts w:hint="eastAsia" w:ascii="宋体" w:hAnsi="宋体" w:eastAsia="宋体" w:cs="宋体"/>
                <w:b/>
                <w:bCs/>
                <w:szCs w:val="21"/>
              </w:rPr>
              <w:t>（2）以介质存储的数据电文形式的备份磋商响应文件部分：</w:t>
            </w:r>
            <w:r>
              <w:rPr>
                <w:rFonts w:hint="eastAsia" w:ascii="宋体" w:hAnsi="宋体" w:eastAsia="宋体" w:cs="宋体"/>
                <w:szCs w:val="21"/>
              </w:rPr>
              <w:t>即电子磋商响应文件的备份文件，按“政采云供应商项目采购-电子招投标操作指南”制作的备份文件。以 U 盘或光盘形式存储，并单独密封递交。</w:t>
            </w:r>
          </w:p>
          <w:p>
            <w:pPr>
              <w:spacing w:line="320" w:lineRule="exact"/>
              <w:rPr>
                <w:rFonts w:ascii="宋体" w:hAnsi="宋体" w:eastAsia="宋体" w:cs="宋体"/>
                <w:szCs w:val="21"/>
              </w:rPr>
            </w:pPr>
            <w:r>
              <w:rPr>
                <w:rFonts w:hint="eastAsia" w:ascii="宋体" w:hAnsi="宋体" w:eastAsia="宋体" w:cs="宋体"/>
                <w:b/>
                <w:bCs/>
                <w:szCs w:val="21"/>
              </w:rPr>
              <w:t>（3）纸质备份磋商响应文件部分：</w:t>
            </w:r>
            <w:r>
              <w:rPr>
                <w:rFonts w:hint="eastAsia" w:ascii="宋体" w:hAnsi="宋体" w:eastAsia="宋体" w:cs="宋体"/>
                <w:szCs w:val="21"/>
              </w:rPr>
              <w:t>电子磋商响应文件的备份文件按“磋商响应文件的组成”编制，制作成纸质文件， 并单独密封递交。</w:t>
            </w:r>
          </w:p>
          <w:p>
            <w:pPr>
              <w:spacing w:line="320" w:lineRule="exact"/>
            </w:pPr>
            <w:r>
              <w:rPr>
                <w:rFonts w:hint="eastAsia" w:ascii="宋体" w:hAnsi="宋体" w:eastAsia="宋体" w:cs="宋体"/>
                <w:b/>
                <w:bCs/>
                <w:szCs w:val="21"/>
              </w:rPr>
              <w:t>（4）磋商响应文件的效力：</w:t>
            </w:r>
            <w:r>
              <w:rPr>
                <w:rFonts w:hint="eastAsia" w:ascii="宋体" w:hAnsi="宋体" w:eastAsia="宋体" w:cs="宋体"/>
                <w:szCs w:val="21"/>
              </w:rPr>
              <w:t>磋商响应文件的启用，按先后顺位分别为电子磋商响应文件、以介质存储的数据电文形式的备份磋商响应文件（U 盘或光盘）、纸质备份磋商响应文件。在下一顺位的磋商响应文件启用时，前一顺位的磋商响应文件自动失效。备注：（以供应商解密成功的上传电子磋商响应文件为准，除非供应商原因导致的电子磋商响应文件上传不全、无法打开、显示缺陷等才进行第二、第三效力文件的启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5"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b/>
                <w:bCs/>
                <w:szCs w:val="21"/>
              </w:rPr>
              <w:t>磋商响应文件签字或盖章要求：磋商响应文件封面（或扉页）、《投标函》及磋商响应文件格式中所要求盖章处应按要求签字、盖章（上传的电子磋商响应文件的盖章可采用CA锁电子签章进行，如办理了法人电子锁，法人签字也可以进行电子签章； 以介质存储的数据电文形式的备份磋商响应文件（U盘或光盘）、纸质备份磋商响应文件应按招标文件要求在需签字盖章的地方进行签字盖章）。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0"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b/>
                <w:bCs/>
                <w:szCs w:val="21"/>
              </w:rPr>
            </w:pPr>
            <w:r>
              <w:rPr>
                <w:rFonts w:hint="eastAsia" w:ascii="宋体" w:hAnsi="宋体" w:eastAsia="宋体" w:cs="宋体"/>
                <w:b/>
                <w:bCs/>
                <w:szCs w:val="21"/>
              </w:rPr>
              <w:t>磋商响应文件的递交要求，备份文件的外包装和密封要求：</w:t>
            </w:r>
          </w:p>
          <w:p>
            <w:pPr>
              <w:spacing w:line="320" w:lineRule="exact"/>
              <w:rPr>
                <w:rFonts w:ascii="宋体" w:hAnsi="宋体" w:eastAsia="宋体" w:cs="宋体"/>
                <w:b/>
                <w:bCs/>
                <w:szCs w:val="21"/>
              </w:rPr>
            </w:pPr>
            <w:r>
              <w:rPr>
                <w:rFonts w:hint="eastAsia" w:ascii="宋体" w:hAnsi="宋体" w:eastAsia="宋体" w:cs="宋体"/>
                <w:b/>
                <w:bCs/>
                <w:szCs w:val="21"/>
              </w:rPr>
              <w:t>（1）电子磋商响应文件，按政采云平台项目采购-电子招投标操作指南及本招标文件要求上传。</w:t>
            </w:r>
          </w:p>
          <w:p>
            <w:pPr>
              <w:spacing w:line="320" w:lineRule="exact"/>
              <w:rPr>
                <w:rFonts w:ascii="宋体" w:hAnsi="宋体" w:eastAsia="宋体" w:cs="宋体"/>
                <w:b/>
                <w:bCs/>
                <w:szCs w:val="21"/>
              </w:rPr>
            </w:pPr>
            <w:r>
              <w:rPr>
                <w:rFonts w:hint="eastAsia" w:ascii="宋体" w:hAnsi="宋体" w:eastAsia="宋体" w:cs="宋体"/>
                <w:b/>
                <w:bCs/>
                <w:szCs w:val="21"/>
              </w:rPr>
              <w:t>（2）以介质存储的数据电文形式的备份磋商响应文件，按政采云平台项目采购-电子招投标操作指南中上传的电子磋商响应文件的组成和格式，以密封的U盘或光盘形式提供。数量为1 份。</w:t>
            </w:r>
          </w:p>
          <w:p>
            <w:pPr>
              <w:spacing w:line="320" w:lineRule="exact"/>
              <w:rPr>
                <w:rFonts w:ascii="宋体" w:hAnsi="宋体" w:eastAsia="宋体" w:cs="宋体"/>
                <w:b/>
                <w:bCs/>
                <w:szCs w:val="21"/>
              </w:rPr>
            </w:pPr>
            <w:r>
              <w:rPr>
                <w:rFonts w:hint="eastAsia" w:ascii="宋体" w:hAnsi="宋体" w:eastAsia="宋体" w:cs="宋体"/>
                <w:b/>
                <w:bCs/>
                <w:szCs w:val="21"/>
              </w:rPr>
              <w:t>（3）纸质备份磋商响应文件将以密封的纸质文件的形式递交。每册装订应牢固、不易拆散和换页，不得采用活页装订。</w:t>
            </w:r>
          </w:p>
          <w:p>
            <w:pPr>
              <w:spacing w:line="32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
                <w:bCs/>
                <w:kern w:val="0"/>
                <w:sz w:val="22"/>
                <w:szCs w:val="22"/>
                <w:u w:val="single"/>
                <w:shd w:val="clear" w:color="auto" w:fill="FFFFFF"/>
                <w:lang w:val="en-US" w:eastAsia="zh-CN"/>
              </w:rPr>
            </w:pPr>
            <w:r>
              <w:rPr>
                <w:rFonts w:hint="eastAsia" w:ascii="宋体" w:hAnsi="宋体" w:eastAsia="宋体" w:cs="宋体"/>
                <w:szCs w:val="21"/>
              </w:rPr>
              <w:t>磋商截止时间：</w:t>
            </w:r>
            <w:r>
              <w:rPr>
                <w:rFonts w:hint="eastAsia" w:ascii="宋体" w:hAnsi="宋体" w:eastAsia="宋体" w:cs="宋体"/>
                <w:b/>
                <w:bCs/>
                <w:color w:val="0000FF"/>
                <w:kern w:val="0"/>
                <w:szCs w:val="21"/>
                <w:lang w:val="en-US" w:eastAsia="zh-CN"/>
              </w:rPr>
              <w:t>2024年04月10日</w:t>
            </w:r>
            <w:r>
              <w:rPr>
                <w:rFonts w:hint="eastAsia" w:ascii="宋体" w:hAnsi="宋体" w:eastAsia="宋体" w:cs="宋体"/>
                <w:b/>
                <w:bCs/>
                <w:color w:val="0000FF"/>
                <w:kern w:val="0"/>
                <w:szCs w:val="21"/>
                <w:lang w:eastAsia="zh-CN"/>
              </w:rPr>
              <w:t>9：00</w:t>
            </w:r>
          </w:p>
          <w:p>
            <w:pPr>
              <w:spacing w:line="320" w:lineRule="exact"/>
              <w:rPr>
                <w:rFonts w:ascii="宋体" w:hAnsi="宋体" w:eastAsia="宋体" w:cs="宋体"/>
                <w:szCs w:val="21"/>
              </w:rPr>
            </w:pPr>
            <w:r>
              <w:rPr>
                <w:rFonts w:hint="eastAsia" w:ascii="宋体" w:hAnsi="宋体" w:eastAsia="宋体" w:cs="宋体"/>
                <w:szCs w:val="21"/>
              </w:rPr>
              <w:t>磋商响应文件递交地点：</w:t>
            </w:r>
            <w:r>
              <w:rPr>
                <w:rFonts w:hint="eastAsia" w:ascii="宋体" w:hAnsi="宋体" w:cs="宋体"/>
                <w:color w:val="auto"/>
                <w:szCs w:val="21"/>
                <w:u w:val="single"/>
                <w:shd w:val="clear" w:color="FFFFFF" w:fill="D9D9D9"/>
              </w:rPr>
              <w:t>长兴县市民服务中心四楼（长兴县锦绣路8号）公共资源交易中心开标室（届时详见四楼大屏公告栏）</w:t>
            </w:r>
            <w:r>
              <w:rPr>
                <w:rFonts w:hint="eastAsia" w:ascii="宋体"/>
                <w:color w:val="auto"/>
                <w:szCs w:val="21"/>
                <w:u w:val="single"/>
              </w:rPr>
              <w:t>（网址：通过“政府采购云平台（www.zcygov.cn）”实行在线投标响应。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磋商时间及地点：同磋商截止时间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4</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eastAsia="宋体" w:cs="宋体"/>
                <w:szCs w:val="21"/>
              </w:rPr>
            </w:pPr>
            <w:r>
              <w:rPr>
                <w:rFonts w:hint="eastAsia" w:ascii="宋体" w:hAnsi="宋体" w:eastAsia="宋体" w:cs="宋体"/>
                <w:szCs w:val="21"/>
              </w:rPr>
              <w:t>成交办法：本次竞争性磋商采用符合要求和服务，综合得分最高的确定成交供应商。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5</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eastAsia="宋体" w:cs="宋体"/>
                <w:szCs w:val="21"/>
              </w:rPr>
            </w:pPr>
            <w:r>
              <w:rPr>
                <w:rFonts w:hint="eastAsia" w:ascii="宋体" w:hAnsi="宋体" w:eastAsia="宋体" w:cs="宋体"/>
                <w:szCs w:val="21"/>
              </w:rPr>
              <w:t>成交结果公告：成交供应商确定后2个工作日内，成交结果公告发布于“浙江省政府采购网”（http://www.zjzfcg.gov.cn/）、“长兴县公共资源交易中心网 ”（</w:t>
            </w:r>
            <w:r>
              <w:rPr>
                <w:rFonts w:hint="eastAsia" w:ascii="宋体" w:hAnsi="宋体" w:cs="宋体"/>
                <w:szCs w:val="21"/>
                <w:lang w:eastAsia="zh-CN"/>
              </w:rPr>
              <w:t>http://www.zjcx.gov.cn/col/col1229713478/index.html</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6</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7</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付款方式：按竞争性磋商文件规定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8</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竞争性磋商文件有效期：</w:t>
            </w:r>
            <w:r>
              <w:rPr>
                <w:rFonts w:hint="eastAsia" w:ascii="宋体" w:hAnsi="宋体" w:eastAsia="宋体" w:cs="宋体"/>
                <w:szCs w:val="21"/>
                <w:u w:val="single"/>
              </w:rPr>
              <w:t xml:space="preserve"> 60 </w:t>
            </w:r>
            <w:r>
              <w:rPr>
                <w:rFonts w:hint="eastAsia" w:ascii="宋体" w:hAnsi="宋体" w:eastAsia="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7"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9</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根据《关于在政府采购活动中查询及使用信用记录有关问题的通知》财库[2016]125号的规定：</w:t>
            </w:r>
          </w:p>
          <w:p>
            <w:pPr>
              <w:spacing w:line="320" w:lineRule="exact"/>
              <w:rPr>
                <w:rFonts w:ascii="宋体" w:hAnsi="宋体" w:eastAsia="宋体" w:cs="宋体"/>
                <w:szCs w:val="21"/>
              </w:rPr>
            </w:pPr>
            <w:r>
              <w:rPr>
                <w:rFonts w:hint="eastAsia" w:ascii="宋体" w:hAnsi="宋体" w:eastAsia="宋体" w:cs="宋体"/>
                <w:szCs w:val="21"/>
              </w:rPr>
              <w:t>1）采购代理机构将对本项目磋商供应商的信用信息进行查询和甄别。</w:t>
            </w:r>
          </w:p>
          <w:p>
            <w:pPr>
              <w:spacing w:line="320" w:lineRule="exact"/>
              <w:rPr>
                <w:rFonts w:ascii="宋体" w:hAnsi="宋体" w:eastAsia="宋体" w:cs="宋体"/>
                <w:szCs w:val="21"/>
              </w:rPr>
            </w:pPr>
            <w:r>
              <w:rPr>
                <w:rFonts w:hint="eastAsia" w:ascii="宋体" w:hAnsi="宋体" w:eastAsia="宋体" w:cs="宋体"/>
                <w:szCs w:val="21"/>
              </w:rPr>
              <w:t>2）查询渠道为信用中国网站（www.creditchina.gov.cn）、中国政府采购网（www.ccgp.gov.cn）。</w:t>
            </w:r>
          </w:p>
          <w:p>
            <w:pPr>
              <w:spacing w:line="320" w:lineRule="exact"/>
              <w:rPr>
                <w:rFonts w:ascii="宋体" w:hAnsi="宋体" w:eastAsia="宋体" w:cs="宋体"/>
                <w:szCs w:val="21"/>
              </w:rPr>
            </w:pPr>
            <w:r>
              <w:rPr>
                <w:rFonts w:hint="eastAsia" w:ascii="宋体" w:hAnsi="宋体" w:eastAsia="宋体" w:cs="宋体"/>
                <w:szCs w:val="21"/>
              </w:rPr>
              <w:t>3）信用信息查询记录和证据以网页截图方式留存，加盖单位公章制作在资信及商务文件中。</w:t>
            </w:r>
          </w:p>
          <w:p>
            <w:pPr>
              <w:spacing w:line="320" w:lineRule="exact"/>
              <w:rPr>
                <w:rFonts w:ascii="宋体" w:hAnsi="宋体" w:eastAsia="宋体" w:cs="宋体"/>
                <w:szCs w:val="21"/>
              </w:rPr>
            </w:pPr>
            <w:r>
              <w:rPr>
                <w:rFonts w:hint="eastAsia" w:ascii="宋体" w:hAnsi="宋体" w:eastAsia="宋体" w:cs="宋体"/>
                <w:szCs w:val="21"/>
              </w:rPr>
              <w:t>4）不良信用记录指：1.被列入信用中国网站</w:t>
            </w:r>
            <w:r>
              <w:rPr>
                <w:rFonts w:hint="eastAsia" w:ascii="宋体" w:hAnsi="宋体" w:eastAsia="宋体" w:cs="宋体"/>
                <w:b/>
                <w:bCs/>
                <w:szCs w:val="21"/>
              </w:rPr>
              <w:t>“失信被执行人”</w:t>
            </w:r>
            <w:r>
              <w:rPr>
                <w:rFonts w:hint="eastAsia" w:ascii="宋体" w:hAnsi="宋体" w:eastAsia="宋体" w:cs="宋体"/>
                <w:szCs w:val="21"/>
              </w:rPr>
              <w:t>、</w:t>
            </w:r>
            <w:r>
              <w:rPr>
                <w:rFonts w:hint="eastAsia" w:ascii="宋体" w:hAnsi="宋体" w:eastAsia="宋体" w:cs="宋体"/>
                <w:b/>
                <w:bCs/>
                <w:szCs w:val="21"/>
              </w:rPr>
              <w:t xml:space="preserve">“ </w:t>
            </w:r>
            <w:r>
              <w:rPr>
                <w:rFonts w:hint="eastAsia" w:ascii="宋体" w:hAnsi="Times New Roman" w:eastAsia="宋体" w:cs="Times New Roman"/>
                <w:kern w:val="0"/>
                <w:sz w:val="21"/>
                <w:szCs w:val="21"/>
                <w:lang w:val="zh-CN" w:eastAsia="zh-CN" w:bidi="ar-SA"/>
              </w:rPr>
              <w:t>重大税收违法失信主体</w:t>
            </w:r>
            <w:r>
              <w:rPr>
                <w:rFonts w:hint="eastAsia" w:ascii="宋体" w:hAnsi="宋体" w:eastAsia="宋体" w:cs="宋体"/>
                <w:b/>
                <w:bCs/>
                <w:szCs w:val="21"/>
              </w:rPr>
              <w:t xml:space="preserve">” </w:t>
            </w:r>
            <w:r>
              <w:rPr>
                <w:rFonts w:hint="eastAsia" w:ascii="宋体" w:hAnsi="宋体" w:eastAsia="宋体" w:cs="宋体"/>
                <w:szCs w:val="21"/>
              </w:rPr>
              <w:t>名单； 2.被列入中国政府采购网</w:t>
            </w:r>
            <w:r>
              <w:rPr>
                <w:rFonts w:hint="eastAsia" w:ascii="宋体" w:hAnsi="宋体" w:eastAsia="宋体" w:cs="宋体"/>
                <w:b/>
                <w:bCs/>
                <w:szCs w:val="21"/>
              </w:rPr>
              <w:t>“政府采购严重违法失信行为记录”</w:t>
            </w:r>
            <w:r>
              <w:rPr>
                <w:rFonts w:hint="eastAsia" w:ascii="宋体" w:hAnsi="宋体" w:eastAsia="宋体" w:cs="宋体"/>
                <w:szCs w:val="21"/>
              </w:rPr>
              <w:t>名单；</w:t>
            </w:r>
          </w:p>
          <w:p>
            <w:pPr>
              <w:spacing w:line="320" w:lineRule="exact"/>
              <w:rPr>
                <w:rFonts w:ascii="宋体" w:hAnsi="宋体" w:eastAsia="宋体" w:cs="宋体"/>
                <w:szCs w:val="21"/>
              </w:rPr>
            </w:pPr>
            <w:r>
              <w:rPr>
                <w:rFonts w:hint="eastAsia" w:ascii="宋体" w:hAnsi="宋体" w:eastAsia="宋体" w:cs="宋体"/>
                <w:szCs w:val="21"/>
              </w:rPr>
              <w:t>5）信用信息的使用规则：供应商存在不良信用记录的，其磋商响应文件将被拒绝。</w:t>
            </w:r>
          </w:p>
          <w:p>
            <w:pPr>
              <w:spacing w:line="320" w:lineRule="exact"/>
              <w:rPr>
                <w:rFonts w:ascii="宋体" w:hAnsi="宋体" w:eastAsia="宋体" w:cs="宋体"/>
                <w:szCs w:val="21"/>
              </w:rPr>
            </w:pPr>
            <w:r>
              <w:rPr>
                <w:rFonts w:hint="eastAsia" w:ascii="宋体" w:hAnsi="宋体" w:eastAsia="宋体" w:cs="宋体"/>
                <w:szCs w:val="21"/>
              </w:rPr>
              <w:t>6）如允许联合体磋商的，联合体成员存在不良信用记录视同联合体存在不良信用记录。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6"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宋体"/>
                <w:szCs w:val="21"/>
              </w:rPr>
            </w:pPr>
            <w:r>
              <w:rPr>
                <w:rFonts w:hint="eastAsia" w:ascii="宋体" w:hAnsi="宋体" w:eastAsia="宋体" w:cs="宋体"/>
                <w:szCs w:val="21"/>
              </w:rPr>
              <w:t>为提高采购效率，节省采购成本，获取了磋商文件的供应商，若放弃参加磋商的，请在开标前1个工作日10: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1"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Cs w:val="21"/>
                <w:lang w:val="en-US" w:eastAsia="zh-CN"/>
              </w:rPr>
            </w:pPr>
            <w:r>
              <w:rPr>
                <w:rFonts w:hint="eastAsia" w:ascii="宋体" w:hAnsi="宋体" w:eastAsia="宋体" w:cs="宋体"/>
                <w:color w:val="auto"/>
                <w:lang w:val="en-US" w:eastAsia="zh-CN"/>
              </w:rPr>
              <w:t>21</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eastAsia="宋体" w:cs="宋体"/>
                <w:color w:val="auto"/>
                <w:spacing w:val="11"/>
                <w:szCs w:val="21"/>
              </w:rPr>
            </w:pPr>
            <w:r>
              <w:rPr>
                <w:rFonts w:hint="eastAsia" w:ascii="宋体" w:hAnsi="宋体" w:eastAsia="宋体" w:cs="宋体"/>
                <w:color w:val="auto"/>
                <w:spacing w:val="11"/>
                <w:szCs w:val="21"/>
              </w:rPr>
              <w:t>政府采购政策相关说明</w:t>
            </w:r>
            <w:r>
              <w:rPr>
                <w:rFonts w:hint="eastAsia" w:ascii="宋体" w:hAnsi="宋体" w:eastAsia="宋体" w:cs="宋体"/>
                <w:b/>
                <w:bCs/>
                <w:color w:val="auto"/>
                <w:spacing w:val="11"/>
                <w:szCs w:val="21"/>
              </w:rPr>
              <w:t>（货物）</w:t>
            </w:r>
            <w:r>
              <w:rPr>
                <w:rFonts w:hint="eastAsia" w:ascii="宋体" w:hAnsi="宋体" w:eastAsia="宋体" w:cs="宋体"/>
                <w:color w:val="auto"/>
                <w:spacing w:val="11"/>
                <w:szCs w:val="21"/>
              </w:rPr>
              <w:t>：</w:t>
            </w:r>
          </w:p>
          <w:p>
            <w:p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rPr>
              <w:t>1.本项目是否属于专门面向中小企业预留采购份额的项目：</w:t>
            </w:r>
            <w:r>
              <w:rPr>
                <w:rFonts w:hint="eastAsia" w:ascii="宋体" w:hAnsi="宋体" w:eastAsia="宋体" w:cs="宋体"/>
                <w:b/>
                <w:bCs/>
                <w:color w:val="auto"/>
                <w:szCs w:val="21"/>
                <w:u w:val="single"/>
              </w:rPr>
              <w:t xml:space="preserve"> </w:t>
            </w:r>
            <w:r>
              <w:rPr>
                <w:rFonts w:hint="eastAsia" w:ascii="宋体" w:hAnsi="宋体" w:eastAsia="宋体" w:cs="宋体"/>
                <w:b/>
                <w:bCs/>
                <w:color w:val="auto"/>
                <w:szCs w:val="21"/>
                <w:u w:val="single"/>
                <w:lang w:val="en-US" w:eastAsia="zh-CN"/>
              </w:rPr>
              <w:t xml:space="preserve"> </w:t>
            </w:r>
            <w:r>
              <w:rPr>
                <w:rFonts w:hint="eastAsia" w:ascii="宋体" w:hAnsi="宋体" w:cs="宋体"/>
                <w:b/>
                <w:bCs/>
                <w:color w:val="auto"/>
                <w:szCs w:val="21"/>
                <w:u w:val="single"/>
                <w:lang w:eastAsia="zh-CN"/>
              </w:rPr>
              <w:t>否</w:t>
            </w:r>
            <w:r>
              <w:rPr>
                <w:rFonts w:hint="eastAsia" w:ascii="宋体" w:hAnsi="宋体" w:eastAsia="宋体" w:cs="宋体"/>
                <w:b/>
                <w:bCs/>
                <w:color w:val="auto"/>
                <w:szCs w:val="21"/>
                <w:u w:val="single"/>
                <w:lang w:val="en-US" w:eastAsia="zh-CN"/>
              </w:rPr>
              <w:t xml:space="preserve"> </w:t>
            </w:r>
            <w:r>
              <w:rPr>
                <w:rFonts w:hint="eastAsia" w:ascii="宋体" w:hAnsi="宋体" w:eastAsia="宋体" w:cs="宋体"/>
                <w:b/>
                <w:bCs/>
                <w:color w:val="auto"/>
                <w:szCs w:val="21"/>
                <w:u w:val="single"/>
              </w:rPr>
              <w:t xml:space="preserve"> </w:t>
            </w:r>
            <w:r>
              <w:rPr>
                <w:rFonts w:hint="eastAsia" w:ascii="宋体" w:hAnsi="宋体" w:eastAsia="宋体" w:cs="宋体"/>
                <w:color w:val="auto"/>
                <w:szCs w:val="21"/>
              </w:rPr>
              <w:t xml:space="preserve">  </w:t>
            </w:r>
          </w:p>
          <w:p>
            <w:pPr>
              <w:snapToGrid w:val="0"/>
              <w:spacing w:line="360" w:lineRule="exact"/>
              <w:rPr>
                <w:rFonts w:hint="eastAsia" w:ascii="宋体" w:hAnsi="宋体" w:eastAsia="宋体" w:cs="宋体"/>
                <w:color w:val="auto"/>
                <w:szCs w:val="21"/>
                <w:lang w:val="en-US" w:eastAsia="zh-CN"/>
              </w:rPr>
            </w:pPr>
            <w:r>
              <w:rPr>
                <w:rFonts w:hint="eastAsia" w:ascii="宋体" w:hAnsi="宋体" w:eastAsia="宋体" w:cs="宋体"/>
                <w:color w:val="auto"/>
                <w:szCs w:val="21"/>
              </w:rPr>
              <w:t>2.预留采购份额措施：</w:t>
            </w:r>
            <w:r>
              <w:rPr>
                <w:rFonts w:hint="eastAsia" w:ascii="宋体" w:hAnsi="宋体" w:eastAsia="宋体" w:cs="宋体"/>
                <w:b/>
                <w:bCs/>
                <w:color w:val="auto"/>
                <w:szCs w:val="21"/>
                <w:u w:val="single"/>
                <w:lang w:val="en-US" w:eastAsia="zh-CN"/>
              </w:rPr>
              <w:t xml:space="preserve">   /   </w:t>
            </w:r>
          </w:p>
          <w:p>
            <w:p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rPr>
              <w:t>3.是否落实小、微企业价格扣除扶持政策：</w:t>
            </w:r>
            <w:r>
              <w:rPr>
                <w:rFonts w:hint="eastAsia" w:ascii="宋体" w:hAnsi="宋体" w:eastAsia="宋体" w:cs="宋体"/>
                <w:b/>
                <w:bCs/>
                <w:color w:val="auto"/>
                <w:szCs w:val="21"/>
                <w:u w:val="single"/>
              </w:rPr>
              <w:t xml:space="preserve"> </w:t>
            </w:r>
            <w:r>
              <w:rPr>
                <w:rFonts w:hint="eastAsia" w:ascii="宋体" w:hAnsi="宋体" w:eastAsia="宋体" w:cs="宋体"/>
                <w:b/>
                <w:bCs/>
                <w:color w:val="auto"/>
                <w:szCs w:val="21"/>
                <w:u w:val="single"/>
                <w:lang w:val="en-US" w:eastAsia="zh-CN"/>
              </w:rPr>
              <w:t xml:space="preserve"> </w:t>
            </w:r>
            <w:r>
              <w:rPr>
                <w:rFonts w:hint="eastAsia" w:ascii="宋体" w:hAnsi="宋体" w:eastAsia="宋体" w:cs="宋体"/>
                <w:b/>
                <w:bCs/>
                <w:color w:val="auto"/>
                <w:szCs w:val="21"/>
                <w:u w:val="single"/>
                <w:lang w:eastAsia="zh-CN"/>
              </w:rPr>
              <w:t>是</w:t>
            </w:r>
            <w:r>
              <w:rPr>
                <w:rFonts w:hint="eastAsia" w:ascii="宋体" w:hAnsi="宋体" w:eastAsia="宋体" w:cs="宋体"/>
                <w:b/>
                <w:bCs/>
                <w:color w:val="auto"/>
                <w:szCs w:val="21"/>
                <w:u w:val="single"/>
              </w:rPr>
              <w:t xml:space="preserve">  </w:t>
            </w:r>
          </w:p>
          <w:p>
            <w:pPr>
              <w:snapToGrid w:val="0"/>
              <w:spacing w:line="360" w:lineRule="exact"/>
              <w:ind w:firstLine="0" w:firstLineChars="0"/>
              <w:rPr>
                <w:rFonts w:hint="eastAsia" w:ascii="宋体" w:hAnsi="宋体" w:eastAsia="宋体" w:cs="宋体"/>
                <w:b/>
                <w:bCs/>
                <w:color w:val="auto"/>
                <w:szCs w:val="21"/>
              </w:rPr>
            </w:pPr>
            <w:r>
              <w:rPr>
                <w:rFonts w:hint="eastAsia" w:ascii="宋体" w:hAnsi="宋体" w:eastAsia="宋体" w:cs="宋体"/>
                <w:color w:val="auto"/>
                <w:szCs w:val="21"/>
              </w:rPr>
              <w:t>4.本项目中小企业划分标准所属行业：</w:t>
            </w:r>
            <w:r>
              <w:rPr>
                <w:rFonts w:hint="eastAsia" w:ascii="宋体" w:hAnsi="宋体" w:eastAsia="宋体" w:cs="宋体"/>
                <w:b/>
                <w:bCs/>
                <w:color w:val="auto"/>
                <w:szCs w:val="21"/>
                <w:u w:val="single"/>
              </w:rPr>
              <w:t xml:space="preserve"> 其他未列明的行业</w:t>
            </w:r>
            <w:r>
              <w:rPr>
                <w:rFonts w:hint="eastAsia" w:ascii="宋体" w:hAnsi="宋体" w:eastAsia="宋体" w:cs="宋体"/>
                <w:b/>
                <w:bCs/>
                <w:color w:val="auto"/>
                <w:szCs w:val="21"/>
                <w:u w:val="single"/>
                <w:lang w:val="en-US" w:eastAsia="zh-CN"/>
              </w:rPr>
              <w:t xml:space="preserve">  </w:t>
            </w:r>
            <w:r>
              <w:rPr>
                <w:rFonts w:hint="eastAsia" w:ascii="宋体" w:hAnsi="宋体" w:eastAsia="宋体" w:cs="宋体"/>
                <w:b/>
                <w:bCs/>
                <w:color w:val="auto"/>
                <w:szCs w:val="21"/>
              </w:rPr>
              <w:t>。</w:t>
            </w:r>
          </w:p>
          <w:p>
            <w:pPr>
              <w:snapToGrid w:val="0"/>
              <w:spacing w:line="360" w:lineRule="exact"/>
              <w:rPr>
                <w:rFonts w:hint="eastAsia" w:ascii="宋体" w:hAnsi="宋体" w:eastAsia="宋体" w:cs="宋体"/>
                <w:color w:val="auto"/>
              </w:rPr>
            </w:pPr>
            <w:r>
              <w:rPr>
                <w:rFonts w:hint="eastAsia" w:ascii="宋体" w:hAnsi="宋体" w:eastAsia="宋体" w:cs="宋体"/>
                <w:color w:val="auto"/>
                <w:szCs w:val="21"/>
                <w:lang w:val="en-US" w:eastAsia="zh-CN"/>
              </w:rPr>
              <w:t>5</w:t>
            </w:r>
            <w:r>
              <w:rPr>
                <w:rFonts w:hint="eastAsia" w:ascii="宋体" w:hAnsi="宋体" w:eastAsia="宋体" w:cs="宋体"/>
                <w:color w:val="auto"/>
                <w:lang w:val="en-US" w:eastAsia="zh-CN"/>
              </w:rPr>
              <w:t>.</w:t>
            </w:r>
            <w:r>
              <w:rPr>
                <w:rFonts w:hint="eastAsia" w:ascii="宋体" w:hAnsi="宋体" w:eastAsia="宋体" w:cs="宋体"/>
                <w:color w:val="auto"/>
              </w:rPr>
              <w:t>根据《关于印发中小企业划型标准规定的通知》（工信部联企业〔2011〕300号）规定 ：未列明行业 行业从业人员300人以下的为中小微型企业。其中，从业人员100人及以上的为中型企业；从业人员10人及以上的为小型企业；从业人员10人以下的为微型企业。）</w:t>
            </w:r>
          </w:p>
          <w:p>
            <w:pPr>
              <w:snapToGrid w:val="0"/>
              <w:spacing w:line="360" w:lineRule="exact"/>
              <w:rPr>
                <w:rFonts w:hint="eastAsia" w:ascii="宋体" w:hAnsi="宋体" w:eastAsia="宋体" w:cs="宋体"/>
                <w:color w:val="auto"/>
              </w:rPr>
            </w:pPr>
            <w:r>
              <w:rPr>
                <w:rFonts w:hint="eastAsia" w:ascii="宋体" w:hAnsi="宋体" w:eastAsia="宋体" w:cs="宋体"/>
                <w:color w:val="auto"/>
              </w:rPr>
              <w:t>监狱企业、残疾人福利性单位视同小型、微型企业；符合中小企业划分标准的个体工商户，在政府采购活动中视同中小企业。</w:t>
            </w:r>
          </w:p>
          <w:p>
            <w:pPr>
              <w:snapToGrid w:val="0"/>
              <w:spacing w:line="36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rPr>
              <w:t>注：中小企业以投标供应商填写的《中小企业声明函》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5"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2</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（一）文件依据</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1.中小企业（含监狱企业、残疾人福利性单位）扶持政策</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（1）关于进一步加大政府采购支持中小企业力度的通知（ 财库〔2022〕19号）</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（2）浙江省财政厅关于进一步加大政府采购支持中小企业力度 助力扎实稳住经济的通知（浙财采监〔2022〕8号）</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（3）浙江省财政厅关于进一步发挥政府采购政策功能全力推动经济稳进提质的通知（浙财采监〔2022〕3号）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（4）关于印发《政府采购促进中小企业发展管理办法》的通知（财库〔2020〕46号）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（5）《工业和信息化部、国家统计局、国家发展和改革委员会、财政部关于印发中小企业划型标准规定的通知》（工信部联企业〔2011〕300号）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（6）浙江省财政厅、浙江省中小企业局转发财政部、工业和信息化部关于《政府采购促进中小企业发展暂行办法》的通知（浙财采监〔2012〕11号）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（7）财政部、司法部《关于政府采购支持监狱企业发展有关问题的通知》（财库〔2014〕68号）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（8）《财政部 民政部 中国残疾人联合会关于促进残疾人就业政府采购政策的通知》（财库〔2017〕 141号）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（9）浙江省财政厅 浙江省经济和信息化委员会 浙江省中小企业局关于简化中小企业类别确认流程有关事项的通知（浙财采监〔2018〕2号）</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2.节能环保政策</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（1）财政部 发展改革委 生态环境部 市场监督总局关于调整优化节能产品环境标志产品政府采购执行机制的通知（财库〔2019〕9号）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（2） 关于印发环境标志产品政府采购品目清单的通知（财库〔2019〕18号）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（3）关于印发节能产品政府采购品目清单的通知（财库〔2019〕19号）</w:t>
            </w:r>
          </w:p>
          <w:p>
            <w:pPr>
              <w:pStyle w:val="19"/>
              <w:adjustRightInd w:val="0"/>
              <w:snapToGrid w:val="0"/>
              <w:spacing w:after="0" w:line="360" w:lineRule="exact"/>
              <w:ind w:firstLine="0" w:firstLineChars="0"/>
              <w:rPr>
                <w:rFonts w:hint="eastAsia" w:ascii="宋体" w:hAnsi="宋体" w:eastAsia="宋体" w:cs="宋体"/>
                <w:color w:val="auto"/>
                <w:szCs w:val="21"/>
              </w:rPr>
            </w:pPr>
            <w:r>
              <w:rPr>
                <w:rFonts w:hint="eastAsia" w:ascii="宋体" w:hAnsi="宋体" w:eastAsia="宋体" w:cs="宋体"/>
                <w:color w:val="auto"/>
                <w:szCs w:val="21"/>
              </w:rPr>
              <w:t>（4）市场监管总局关于发布参与实施政府采购节能产品、环境标志产品认证机构名录的公告（2020年第16号）</w:t>
            </w:r>
          </w:p>
          <w:p>
            <w:pPr>
              <w:snapToGrid w:val="0"/>
              <w:spacing w:line="360" w:lineRule="exact"/>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03"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szCs w:val="21"/>
                <w:lang w:eastAsia="zh-CN"/>
              </w:rPr>
            </w:pPr>
          </w:p>
        </w:tc>
        <w:tc>
          <w:tcPr>
            <w:tcW w:w="8550" w:type="dxa"/>
            <w:tcBorders>
              <w:top w:val="single" w:color="auto" w:sz="4" w:space="0"/>
              <w:left w:val="single" w:color="auto" w:sz="4" w:space="0"/>
              <w:bottom w:val="single" w:color="auto" w:sz="4" w:space="0"/>
              <w:right w:val="single" w:color="auto" w:sz="4" w:space="0"/>
            </w:tcBorders>
            <w:noWrap w:val="0"/>
            <w:vAlign w:val="center"/>
          </w:tcPr>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（二）为落实政府采购政策需满足的要求</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1.中小企业（含监狱企业、残疾人福利性单位）扶持政策</w:t>
            </w:r>
          </w:p>
          <w:p>
            <w:pPr>
              <w:pStyle w:val="19"/>
              <w:adjustRightInd w:val="0"/>
              <w:snapToGrid w:val="0"/>
              <w:spacing w:after="0" w:line="360" w:lineRule="exact"/>
              <w:ind w:firstLine="0" w:firstLineChars="0"/>
              <w:rPr>
                <w:rFonts w:hint="eastAsia" w:ascii="宋体" w:hAnsi="宋体" w:eastAsia="宋体" w:cs="宋体"/>
                <w:color w:val="auto"/>
                <w:szCs w:val="21"/>
                <w:u w:val="single"/>
              </w:rPr>
            </w:pPr>
            <w:r>
              <w:rPr>
                <w:rFonts w:hint="eastAsia" w:ascii="宋体" w:hAnsi="宋体" w:eastAsia="宋体" w:cs="宋体"/>
                <w:color w:val="auto"/>
                <w:szCs w:val="21"/>
              </w:rPr>
              <w:t>（1）</w:t>
            </w:r>
            <w:r>
              <w:rPr>
                <w:rFonts w:hint="eastAsia" w:ascii="宋体" w:hAnsi="宋体" w:eastAsia="宋体" w:cs="宋体"/>
                <w:color w:val="auto"/>
                <w:szCs w:val="21"/>
                <w:u w:val="single"/>
              </w:rPr>
              <w:t>在政府采购活动中，供应商提供的服务符合下列情形的，享受中小企业扶持政策：在服务采购项目中，服务由中小企业承接，即提供服务的人员为中小企业依照《中华人民共和国劳动合同法》 订立劳动合同的从业人员。以联合体形式参加政府采购活动，联合体各方均为中小企业的，联合体视同中小企业。其中，联合体各方均为小微企业的，联合体视同小微企业。</w:t>
            </w:r>
          </w:p>
          <w:p>
            <w:pPr>
              <w:pStyle w:val="19"/>
              <w:adjustRightInd w:val="0"/>
              <w:snapToGrid w:val="0"/>
              <w:spacing w:after="0" w:line="360" w:lineRule="exact"/>
              <w:ind w:firstLine="0" w:firstLineChars="0"/>
              <w:rPr>
                <w:rFonts w:hint="eastAsia" w:ascii="宋体" w:hAnsi="宋体" w:eastAsia="宋体" w:cs="宋体"/>
                <w:b/>
                <w:bCs/>
                <w:color w:val="auto"/>
                <w:szCs w:val="21"/>
                <w:u w:val="single"/>
              </w:rPr>
            </w:pPr>
            <w:r>
              <w:rPr>
                <w:rFonts w:hint="eastAsia" w:ascii="宋体" w:hAnsi="宋体" w:eastAsia="宋体" w:cs="宋体"/>
                <w:color w:val="auto"/>
                <w:szCs w:val="21"/>
              </w:rPr>
              <w:t>（2）</w:t>
            </w:r>
            <w:r>
              <w:rPr>
                <w:rFonts w:hint="eastAsia" w:ascii="宋体" w:hAnsi="宋体" w:eastAsia="宋体" w:cs="宋体"/>
                <w:color w:val="auto"/>
                <w:szCs w:val="21"/>
                <w:u w:val="single"/>
              </w:rPr>
              <w:t>中小企业参加政府采购活动，应当出具符合规定的《中小企业声明函》,否则不得享受相关中小企业扶持政策。</w:t>
            </w:r>
            <w:r>
              <w:rPr>
                <w:rFonts w:hint="eastAsia" w:ascii="宋体" w:hAnsi="宋体" w:eastAsia="宋体" w:cs="宋体"/>
                <w:b/>
                <w:bCs/>
                <w:color w:val="auto"/>
                <w:szCs w:val="21"/>
                <w:u w:val="single"/>
              </w:rPr>
              <w:t>符合规定的，根据供应商须知前附表中的相关要求来执行。</w:t>
            </w:r>
          </w:p>
          <w:p>
            <w:pPr>
              <w:pStyle w:val="19"/>
              <w:adjustRightInd w:val="0"/>
              <w:snapToGrid w:val="0"/>
              <w:spacing w:after="0" w:line="360" w:lineRule="exact"/>
              <w:ind w:firstLine="0" w:firstLineChars="0"/>
              <w:rPr>
                <w:rFonts w:hint="eastAsia" w:ascii="宋体" w:hAnsi="宋体" w:eastAsia="宋体" w:cs="宋体"/>
                <w:color w:val="auto"/>
                <w:szCs w:val="21"/>
                <w:u w:val="single"/>
              </w:rPr>
            </w:pPr>
            <w:r>
              <w:rPr>
                <w:rFonts w:hint="eastAsia" w:ascii="宋体" w:hAnsi="宋体" w:eastAsia="宋体" w:cs="宋体"/>
                <w:color w:val="auto"/>
                <w:szCs w:val="21"/>
              </w:rPr>
              <w:t>（3）</w:t>
            </w:r>
            <w:r>
              <w:rPr>
                <w:rFonts w:hint="eastAsia" w:ascii="宋体" w:hAnsi="宋体" w:eastAsia="宋体" w:cs="宋体"/>
                <w:color w:val="auto"/>
                <w:szCs w:val="21"/>
                <w:u w:val="single"/>
              </w:rPr>
              <w:t>在政府采购活动中，监狱企业、残疾人福利性单位视同小型、微型企业；符合中小企业划分标准的个体工商户，在政府采购活动中视同中小企业；其均享受中小企业扶持政策。</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（4）价格扣除有关政策</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根据《政府采购促进中小企业发展管理办法》的通知（财库〔2020〕46号）、关于进一步加大政府采购支持中小企业力度的通知（ 财库〔2022〕19号）及浙江省财政厅关于进一步发挥政府采购政策功能全力推动经济稳进提质的通知（浙财采监〔2022〕3号）规定，对于经主管预算单位统筹后未预留份额专门面向中小企业采购的采购项目，以及预留份额项目中的非预留部分采购包，采购单位、采购代理机构应当对符合本办法规定的小微企业报价给予</w:t>
            </w:r>
            <w:r>
              <w:rPr>
                <w:rFonts w:hint="eastAsia" w:ascii="宋体" w:hAnsi="宋体" w:cs="宋体"/>
                <w:szCs w:val="21"/>
                <w:u w:val="single"/>
              </w:rPr>
              <w:t>10%</w:t>
            </w:r>
            <w:r>
              <w:rPr>
                <w:rFonts w:hint="eastAsia" w:ascii="宋体" w:hAnsi="宋体" w:cs="宋体"/>
                <w:szCs w:val="21"/>
              </w:rPr>
              <w:t>的扣除，用扣除后的价格参加评审。</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接受大中型企业与小微企业组成联合体或者允许大中型企业向一家或者多家小微企业分包的采购项目，对于联合协议或者分包意向协议约定小微企业的合同份额占到合同总金额 30%以上的，采购单位、采购代理机构应当对联合体或者大中型企业的报价给予</w:t>
            </w:r>
            <w:r>
              <w:rPr>
                <w:rFonts w:hint="eastAsia" w:ascii="宋体" w:hAnsi="宋体" w:cs="宋体"/>
                <w:szCs w:val="21"/>
                <w:u w:val="single"/>
              </w:rPr>
              <w:t>4%</w:t>
            </w:r>
            <w:r>
              <w:rPr>
                <w:rFonts w:hint="eastAsia" w:ascii="宋体" w:hAnsi="宋体" w:cs="宋体"/>
                <w:szCs w:val="21"/>
              </w:rPr>
              <w:t>的扣除，用扣除后的价格参加评审。</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组成联合体或者接受分包的小微企业与联合体内其他企业、分包企业之间存在直接控股、管理关系的，不享受价格扣除优惠政策。</w:t>
            </w:r>
          </w:p>
          <w:p>
            <w:pPr>
              <w:spacing w:line="32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6"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kern w:val="2"/>
                <w:sz w:val="21"/>
                <w:szCs w:val="21"/>
                <w:lang w:val="en-US" w:eastAsia="zh-CN" w:bidi="ar-SA"/>
              </w:rPr>
            </w:pPr>
          </w:p>
        </w:tc>
        <w:tc>
          <w:tcPr>
            <w:tcW w:w="8550" w:type="dxa"/>
            <w:tcBorders>
              <w:top w:val="single" w:color="auto" w:sz="4" w:space="0"/>
              <w:left w:val="single" w:color="auto" w:sz="4" w:space="0"/>
              <w:bottom w:val="single" w:color="auto" w:sz="4" w:space="0"/>
              <w:right w:val="single" w:color="auto" w:sz="4" w:space="0"/>
            </w:tcBorders>
            <w:noWrap w:val="0"/>
            <w:vAlign w:val="center"/>
          </w:tcPr>
          <w:p>
            <w:pPr>
              <w:tabs>
                <w:tab w:val="left" w:pos="1080"/>
                <w:tab w:val="left" w:pos="1436"/>
              </w:tabs>
              <w:spacing w:line="360" w:lineRule="exact"/>
              <w:rPr>
                <w:rFonts w:hint="eastAsia" w:ascii="宋体" w:hAnsi="宋体" w:cs="宋体"/>
                <w:szCs w:val="21"/>
              </w:rPr>
            </w:pPr>
            <w:r>
              <w:rPr>
                <w:rFonts w:hint="eastAsia" w:ascii="宋体" w:hAnsi="宋体" w:cs="宋体"/>
                <w:b/>
                <w:bCs/>
                <w:szCs w:val="21"/>
              </w:rPr>
              <w:t>（5）价格扣除说明</w:t>
            </w:r>
          </w:p>
          <w:p>
            <w:pPr>
              <w:tabs>
                <w:tab w:val="left" w:pos="1080"/>
                <w:tab w:val="left" w:pos="1436"/>
              </w:tabs>
              <w:spacing w:line="360" w:lineRule="exact"/>
              <w:rPr>
                <w:rFonts w:hint="eastAsia" w:ascii="宋体" w:hAnsi="宋体" w:cs="宋体"/>
                <w:b/>
                <w:bCs/>
                <w:szCs w:val="21"/>
              </w:rPr>
            </w:pPr>
            <w:r>
              <w:rPr>
                <w:rFonts w:hint="eastAsia" w:ascii="宋体" w:hAnsi="宋体" w:cs="宋体"/>
                <w:b/>
                <w:bCs/>
                <w:szCs w:val="21"/>
              </w:rPr>
              <w:t>对符合规定的小微企业报价给予</w:t>
            </w:r>
            <w:r>
              <w:rPr>
                <w:rFonts w:hint="eastAsia" w:ascii="宋体" w:hAnsi="宋体" w:cs="宋体"/>
                <w:b/>
                <w:bCs/>
                <w:szCs w:val="21"/>
                <w:u w:val="single"/>
              </w:rPr>
              <w:t xml:space="preserve"> 10% </w:t>
            </w:r>
            <w:r>
              <w:rPr>
                <w:rFonts w:hint="eastAsia" w:ascii="宋体" w:hAnsi="宋体" w:cs="宋体"/>
                <w:b/>
                <w:bCs/>
                <w:szCs w:val="21"/>
              </w:rPr>
              <w:t>的扣除，用扣除后的价格参加评审。</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①根据《政府采购促进中小企业发展管理办法》的通知（财库〔2020〕46号）、关于进一步加大政府采购支持中小企业力度的通知（ 财库〔2022〕19号）及浙江省财政厅关于进一步发挥政府采购政策功能全力推动经济稳进提质的通知（浙财采监〔2022〕3号）的规定，若服务由小型或微型企业承接的，应当在响应文件中出具此办法规定的《中小企业声明函》（格式见附件），对符合规定的小型、微型企业报价给予</w:t>
            </w:r>
            <w:r>
              <w:rPr>
                <w:rFonts w:hint="eastAsia" w:ascii="宋体" w:hAnsi="宋体" w:cs="宋体"/>
                <w:szCs w:val="21"/>
                <w:u w:val="single"/>
              </w:rPr>
              <w:t xml:space="preserve"> 10% </w:t>
            </w:r>
            <w:r>
              <w:rPr>
                <w:rFonts w:hint="eastAsia" w:ascii="宋体" w:hAnsi="宋体" w:cs="宋体"/>
                <w:szCs w:val="21"/>
              </w:rPr>
              <w:t>的扣除。</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②根据《关于政府采购支持监狱企业发展有关问题的通知》（财库〔2014〕68号）的规定，在政府采购活动中，监狱企业视同小型、微型企业，享受预留份额、评审中价格扣除等促进中小企业发展的政府采购政策，应当在响应文件中提供由省级以上监狱管理局、戒毒管理局（含新疆生产建设兵团）出具的属于监狱企业的证明文件（格式自拟），对符合规定的企业报价给予</w:t>
            </w:r>
            <w:r>
              <w:rPr>
                <w:rFonts w:hint="eastAsia" w:ascii="宋体" w:hAnsi="宋体" w:cs="宋体"/>
                <w:szCs w:val="21"/>
                <w:u w:val="single"/>
              </w:rPr>
              <w:t xml:space="preserve"> 10%  </w:t>
            </w:r>
            <w:r>
              <w:rPr>
                <w:rFonts w:hint="eastAsia" w:ascii="宋体" w:hAnsi="宋体" w:cs="宋体"/>
                <w:szCs w:val="21"/>
              </w:rPr>
              <w:t>的扣除。</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③根据《财政部、民政部、中国残疾人联合会关于促进残疾人就业政府采购政策的通知》（财库〔2017〕141号）的规定，在政府采购活动中，残疾人福利性单位视同小型、微型企业，享受预留份额、评审中价格扣除等促进中小企业发展的政府采购政策，若供应商为残疾人福利性单位且由本单位提供服务的，应当在响应文件中提供此办法规定的《残疾人福利性单位声明函》（格式见附件），对符合规定的企业报价给予</w:t>
            </w:r>
            <w:r>
              <w:rPr>
                <w:rFonts w:hint="eastAsia" w:ascii="宋体" w:hAnsi="宋体" w:cs="宋体"/>
                <w:szCs w:val="21"/>
                <w:u w:val="single"/>
              </w:rPr>
              <w:t xml:space="preserve"> 10% </w:t>
            </w:r>
            <w:r>
              <w:rPr>
                <w:rFonts w:hint="eastAsia" w:ascii="宋体" w:hAnsi="宋体" w:cs="宋体"/>
                <w:szCs w:val="21"/>
              </w:rPr>
              <w:t>的扣除。</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上述①、②、③价格扣除不重复计算，未提供以上材料的，均不给予价格扣除。</w:t>
            </w:r>
          </w:p>
          <w:p>
            <w:pPr>
              <w:tabs>
                <w:tab w:val="left" w:pos="1080"/>
                <w:tab w:val="left" w:pos="1436"/>
              </w:tabs>
              <w:spacing w:line="360" w:lineRule="exact"/>
              <w:rPr>
                <w:rFonts w:hint="eastAsia" w:ascii="宋体" w:hAnsi="宋体" w:cs="宋体"/>
                <w:szCs w:val="21"/>
              </w:rPr>
            </w:pPr>
            <w:r>
              <w:rPr>
                <w:rFonts w:hint="eastAsia" w:ascii="宋体" w:hAnsi="宋体" w:cs="宋体"/>
                <w:szCs w:val="21"/>
              </w:rPr>
              <w:t>此项由磋商小组集体核实后统一打分。</w:t>
            </w:r>
          </w:p>
          <w:p>
            <w:pPr>
              <w:pStyle w:val="19"/>
              <w:adjustRightInd w:val="0"/>
              <w:snapToGrid w:val="0"/>
              <w:spacing w:after="0" w:line="360" w:lineRule="exact"/>
              <w:ind w:firstLine="0" w:firstLineChars="0"/>
              <w:rPr>
                <w:rFonts w:hint="eastAsia" w:ascii="宋体" w:hAnsi="宋体" w:eastAsia="宋体" w:cs="宋体"/>
                <w:b/>
                <w:bCs/>
                <w:color w:val="auto"/>
                <w:szCs w:val="21"/>
              </w:rPr>
            </w:pPr>
            <w:r>
              <w:rPr>
                <w:rFonts w:hint="eastAsia" w:ascii="宋体" w:hAnsi="宋体" w:eastAsia="宋体" w:cs="宋体"/>
                <w:b/>
                <w:bCs/>
                <w:color w:val="auto"/>
                <w:szCs w:val="21"/>
              </w:rPr>
              <w:t>2.其他的国家政策支持</w:t>
            </w:r>
          </w:p>
          <w:p>
            <w:pPr>
              <w:spacing w:line="320" w:lineRule="exact"/>
              <w:rPr>
                <w:rFonts w:hint="eastAsia" w:ascii="宋体" w:hAnsi="宋体" w:eastAsia="宋体" w:cs="宋体"/>
                <w:kern w:val="2"/>
                <w:sz w:val="21"/>
                <w:szCs w:val="21"/>
                <w:lang w:val="en-US" w:eastAsia="zh-CN" w:bidi="ar-SA"/>
              </w:rPr>
            </w:pPr>
            <w:r>
              <w:rPr>
                <w:rFonts w:hint="eastAsia" w:ascii="宋体" w:hAnsi="宋体" w:cs="宋体"/>
                <w:szCs w:val="21"/>
              </w:rPr>
              <w:t>供应商享受其他国家政策支持的，需提供相关证明材料，详见评标方法，符合要求的，相应评分予以得分。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exact"/>
        </w:trPr>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w:t>
            </w:r>
            <w:r>
              <w:rPr>
                <w:rFonts w:hint="eastAsia" w:ascii="宋体" w:hAnsi="宋体" w:cs="宋体"/>
                <w:szCs w:val="21"/>
                <w:lang w:val="en-US" w:eastAsia="zh-CN"/>
              </w:rPr>
              <w:t>3</w:t>
            </w:r>
          </w:p>
        </w:tc>
        <w:tc>
          <w:tcPr>
            <w:tcW w:w="85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kern w:val="2"/>
                <w:sz w:val="21"/>
                <w:szCs w:val="21"/>
                <w:lang w:val="en-US" w:eastAsia="zh-CN" w:bidi="ar-SA"/>
              </w:rPr>
            </w:pPr>
            <w:r>
              <w:rPr>
                <w:rFonts w:hint="eastAsia" w:ascii="宋体" w:hAnsi="宋体" w:eastAsia="宋体" w:cs="宋体"/>
                <w:szCs w:val="21"/>
              </w:rPr>
              <w:t>解释：本竞争性磋商文件的解释权属于招标采购单位。</w:t>
            </w:r>
          </w:p>
        </w:tc>
      </w:tr>
      <w:bookmarkEnd w:id="39"/>
      <w:bookmarkEnd w:id="40"/>
      <w:bookmarkEnd w:id="41"/>
      <w:bookmarkEnd w:id="42"/>
      <w:bookmarkEnd w:id="43"/>
      <w:bookmarkEnd w:id="44"/>
    </w:tbl>
    <w:p>
      <w:pPr>
        <w:spacing w:beforeLines="0" w:afterLines="0" w:line="380" w:lineRule="exact"/>
        <w:rPr>
          <w:rFonts w:hint="eastAsia" w:ascii="宋体" w:hAnsi="宋体" w:eastAsia="宋体" w:cs="宋体"/>
          <w:b/>
          <w:bCs/>
          <w:color w:val="auto"/>
          <w:spacing w:val="11"/>
          <w:sz w:val="21"/>
          <w:szCs w:val="21"/>
        </w:rPr>
      </w:pPr>
      <w:bookmarkStart w:id="45" w:name="_Toc17220"/>
      <w:bookmarkStart w:id="46" w:name="_Toc456078615"/>
      <w:bookmarkStart w:id="47" w:name="_Toc182125825"/>
      <w:bookmarkStart w:id="48" w:name="_Toc172337897"/>
      <w:bookmarkStart w:id="49" w:name="_Toc269397675"/>
      <w:bookmarkStart w:id="50" w:name="_Toc182125902"/>
      <w:bookmarkStart w:id="51" w:name="_Toc172338047"/>
      <w:bookmarkStart w:id="52" w:name="_Toc171152450"/>
      <w:bookmarkStart w:id="53" w:name="_Toc174767478"/>
      <w:r>
        <w:rPr>
          <w:rFonts w:hint="eastAsia" w:ascii="宋体" w:hAnsi="宋体" w:eastAsia="宋体" w:cs="宋体"/>
          <w:b/>
          <w:bCs/>
          <w:color w:val="auto"/>
          <w:spacing w:val="11"/>
          <w:sz w:val="21"/>
          <w:szCs w:val="21"/>
        </w:rPr>
        <w:t>一、总  则</w:t>
      </w:r>
    </w:p>
    <w:p>
      <w:pPr>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（一）适用范围</w:t>
      </w:r>
    </w:p>
    <w:p>
      <w:pPr>
        <w:pStyle w:val="11"/>
        <w:spacing w:beforeLines="0" w:afterLines="0" w:line="380" w:lineRule="exact"/>
        <w:ind w:firstLine="464" w:firstLineChars="200"/>
        <w:rPr>
          <w:rFonts w:hint="eastAsia" w:ascii="宋体" w:hAnsi="宋体" w:eastAsia="宋体" w:cs="宋体"/>
          <w:color w:val="auto"/>
          <w:spacing w:val="11"/>
          <w:sz w:val="21"/>
          <w:szCs w:val="21"/>
          <w:lang w:eastAsia="zh-CN"/>
        </w:rPr>
      </w:pPr>
      <w:r>
        <w:rPr>
          <w:rFonts w:hint="eastAsia" w:ascii="宋体" w:hAnsi="宋体" w:eastAsia="宋体" w:cs="宋体"/>
          <w:color w:val="auto"/>
          <w:spacing w:val="11"/>
          <w:sz w:val="21"/>
          <w:szCs w:val="21"/>
        </w:rPr>
        <w:t>本</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适用于</w:t>
      </w:r>
      <w:r>
        <w:rPr>
          <w:rFonts w:hint="eastAsia" w:ascii="宋体" w:hAnsi="宋体" w:cs="宋体"/>
          <w:szCs w:val="21"/>
          <w:lang w:eastAsia="zh-CN"/>
        </w:rPr>
        <w:t>长兴县交通运输行政执法队无人机库采购服务</w:t>
      </w:r>
      <w:r>
        <w:rPr>
          <w:rFonts w:hint="eastAsia" w:hAnsi="宋体" w:eastAsia="宋体" w:cs="宋体"/>
          <w:color w:val="auto"/>
          <w:spacing w:val="11"/>
          <w:sz w:val="21"/>
          <w:szCs w:val="21"/>
          <w:lang w:eastAsia="zh-CN"/>
        </w:rPr>
        <w:t>。</w:t>
      </w:r>
    </w:p>
    <w:p>
      <w:pPr>
        <w:snapToGrid w:val="0"/>
        <w:spacing w:beforeLines="0" w:afterLines="0" w:line="380" w:lineRule="exact"/>
        <w:ind w:firstLine="466" w:firstLineChars="200"/>
        <w:jc w:val="left"/>
        <w:outlineLvl w:val="1"/>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（二）定义</w:t>
      </w:r>
    </w:p>
    <w:p>
      <w:pPr>
        <w:pStyle w:val="11"/>
        <w:snapToGrid w:val="0"/>
        <w:spacing w:beforeLines="0" w:afterLines="0" w:line="380" w:lineRule="exact"/>
        <w:ind w:firstLine="464" w:firstLineChars="200"/>
        <w:outlineLvl w:val="0"/>
        <w:rPr>
          <w:rFonts w:hint="eastAsia" w:ascii="宋体" w:hAnsi="宋体" w:eastAsia="宋体" w:cs="宋体"/>
          <w:color w:val="auto"/>
          <w:spacing w:val="11"/>
          <w:sz w:val="21"/>
          <w:szCs w:val="21"/>
          <w:highlight w:val="none"/>
        </w:rPr>
      </w:pPr>
      <w:bookmarkStart w:id="54" w:name="_Toc27178"/>
      <w:bookmarkStart w:id="55" w:name="_Toc22979"/>
      <w:r>
        <w:rPr>
          <w:rFonts w:hint="eastAsia" w:ascii="宋体" w:hAnsi="宋体" w:eastAsia="宋体" w:cs="宋体"/>
          <w:color w:val="auto"/>
          <w:spacing w:val="11"/>
          <w:sz w:val="21"/>
          <w:szCs w:val="21"/>
          <w:highlight w:val="none"/>
        </w:rPr>
        <w:t>1.</w:t>
      </w:r>
      <w:r>
        <w:rPr>
          <w:rFonts w:hint="eastAsia" w:hAnsi="宋体" w:eastAsia="宋体" w:cs="宋体"/>
          <w:color w:val="auto"/>
          <w:spacing w:val="11"/>
          <w:sz w:val="21"/>
          <w:szCs w:val="21"/>
          <w:highlight w:val="none"/>
          <w:lang w:eastAsia="zh-CN"/>
        </w:rPr>
        <w:t>“采购单位</w:t>
      </w:r>
      <w:r>
        <w:rPr>
          <w:rFonts w:hint="eastAsia" w:ascii="宋体" w:hAnsi="宋体" w:eastAsia="宋体" w:cs="宋体"/>
          <w:color w:val="auto"/>
          <w:spacing w:val="11"/>
          <w:sz w:val="21"/>
          <w:szCs w:val="21"/>
          <w:highlight w:val="none"/>
        </w:rPr>
        <w:t>（</w:t>
      </w:r>
      <w:r>
        <w:rPr>
          <w:rFonts w:hint="eastAsia" w:hAnsi="宋体" w:eastAsia="宋体" w:cs="宋体"/>
          <w:color w:val="auto"/>
          <w:spacing w:val="11"/>
          <w:sz w:val="21"/>
          <w:szCs w:val="21"/>
          <w:highlight w:val="none"/>
          <w:lang w:eastAsia="zh-CN"/>
        </w:rPr>
        <w:t>采购人</w:t>
      </w:r>
      <w:r>
        <w:rPr>
          <w:rFonts w:hint="eastAsia" w:ascii="宋体" w:hAnsi="宋体" w:eastAsia="宋体" w:cs="宋体"/>
          <w:color w:val="auto"/>
          <w:spacing w:val="11"/>
          <w:sz w:val="21"/>
          <w:szCs w:val="21"/>
          <w:highlight w:val="none"/>
        </w:rPr>
        <w:t>）</w:t>
      </w:r>
      <w:r>
        <w:rPr>
          <w:rFonts w:hint="eastAsia" w:hAnsi="宋体" w:eastAsia="宋体" w:cs="宋体"/>
          <w:color w:val="auto"/>
          <w:spacing w:val="11"/>
          <w:sz w:val="21"/>
          <w:szCs w:val="21"/>
          <w:highlight w:val="none"/>
          <w:lang w:eastAsia="zh-CN"/>
        </w:rPr>
        <w:t>”</w:t>
      </w:r>
      <w:r>
        <w:rPr>
          <w:rFonts w:hint="eastAsia" w:ascii="宋体" w:hAnsi="宋体" w:eastAsia="宋体" w:cs="宋体"/>
          <w:color w:val="auto"/>
          <w:spacing w:val="11"/>
          <w:sz w:val="21"/>
          <w:szCs w:val="21"/>
          <w:highlight w:val="none"/>
        </w:rPr>
        <w:t>系指</w:t>
      </w:r>
      <w:r>
        <w:rPr>
          <w:rFonts w:hint="eastAsia" w:hAnsi="宋体" w:cs="宋体"/>
          <w:color w:val="auto"/>
          <w:spacing w:val="11"/>
          <w:sz w:val="21"/>
          <w:szCs w:val="21"/>
          <w:highlight w:val="none"/>
          <w:lang w:eastAsia="zh-CN"/>
        </w:rPr>
        <w:t>长兴县交通运输行政执法队</w:t>
      </w:r>
      <w:r>
        <w:rPr>
          <w:rFonts w:hint="eastAsia" w:ascii="宋体" w:hAnsi="宋体" w:eastAsia="宋体" w:cs="宋体"/>
          <w:color w:val="auto"/>
          <w:spacing w:val="11"/>
          <w:sz w:val="21"/>
          <w:szCs w:val="21"/>
          <w:highlight w:val="none"/>
        </w:rPr>
        <w:t>。</w:t>
      </w:r>
      <w:bookmarkEnd w:id="54"/>
      <w:bookmarkEnd w:id="55"/>
    </w:p>
    <w:p>
      <w:pPr>
        <w:pStyle w:val="11"/>
        <w:snapToGrid w:val="0"/>
        <w:spacing w:beforeLines="0" w:afterLines="0" w:line="380" w:lineRule="exact"/>
        <w:ind w:firstLine="464" w:firstLineChars="200"/>
        <w:outlineLvl w:val="0"/>
        <w:rPr>
          <w:rFonts w:hint="eastAsia" w:ascii="宋体" w:hAnsi="宋体" w:eastAsia="宋体" w:cs="宋体"/>
          <w:color w:val="auto"/>
          <w:spacing w:val="11"/>
          <w:sz w:val="21"/>
          <w:szCs w:val="21"/>
        </w:rPr>
      </w:pPr>
      <w:bookmarkStart w:id="56" w:name="_Toc5064"/>
      <w:bookmarkStart w:id="57" w:name="_Toc9896"/>
      <w:r>
        <w:rPr>
          <w:rFonts w:hint="eastAsia" w:ascii="宋体" w:hAnsi="宋体" w:eastAsia="宋体" w:cs="宋体"/>
          <w:color w:val="auto"/>
          <w:spacing w:val="11"/>
          <w:sz w:val="21"/>
          <w:szCs w:val="21"/>
        </w:rPr>
        <w:t>2.</w:t>
      </w:r>
      <w:r>
        <w:rPr>
          <w:rFonts w:hint="eastAsia" w:hAnsi="宋体" w:eastAsia="宋体" w:cs="宋体"/>
          <w:color w:val="auto"/>
          <w:spacing w:val="11"/>
          <w:sz w:val="21"/>
          <w:szCs w:val="21"/>
          <w:lang w:eastAsia="zh-CN"/>
        </w:rPr>
        <w:t>“采购代理机构”</w:t>
      </w:r>
      <w:r>
        <w:rPr>
          <w:rFonts w:hint="eastAsia" w:ascii="宋体" w:hAnsi="宋体" w:eastAsia="宋体" w:cs="宋体"/>
          <w:color w:val="auto"/>
          <w:spacing w:val="11"/>
          <w:sz w:val="21"/>
          <w:szCs w:val="21"/>
        </w:rPr>
        <w:t>系指</w:t>
      </w:r>
      <w:r>
        <w:rPr>
          <w:rFonts w:hint="eastAsia" w:hAnsi="宋体" w:eastAsia="宋体" w:cs="宋体"/>
          <w:color w:val="auto"/>
          <w:spacing w:val="11"/>
          <w:sz w:val="21"/>
          <w:szCs w:val="21"/>
          <w:lang w:eastAsia="zh-CN"/>
        </w:rPr>
        <w:t>杭州建设工程造价咨询有限公司</w:t>
      </w:r>
      <w:r>
        <w:rPr>
          <w:rFonts w:hint="eastAsia" w:ascii="宋体" w:hAnsi="宋体" w:eastAsia="宋体" w:cs="宋体"/>
          <w:color w:val="auto"/>
          <w:spacing w:val="11"/>
          <w:sz w:val="21"/>
          <w:szCs w:val="21"/>
        </w:rPr>
        <w:t>。</w:t>
      </w:r>
      <w:bookmarkEnd w:id="56"/>
      <w:bookmarkEnd w:id="57"/>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”系指依法获取</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并参与项目</w:t>
      </w:r>
      <w:r>
        <w:rPr>
          <w:rFonts w:hint="eastAsia" w:hAnsi="宋体" w:eastAsia="宋体" w:cs="宋体"/>
          <w:color w:val="auto"/>
          <w:spacing w:val="11"/>
          <w:sz w:val="21"/>
          <w:szCs w:val="21"/>
          <w:lang w:eastAsia="zh-CN"/>
        </w:rPr>
        <w:t>磋商竞争</w:t>
      </w:r>
      <w:r>
        <w:rPr>
          <w:rFonts w:hint="eastAsia" w:ascii="宋体" w:hAnsi="宋体" w:eastAsia="宋体" w:cs="宋体"/>
          <w:color w:val="auto"/>
          <w:spacing w:val="11"/>
          <w:sz w:val="21"/>
          <w:szCs w:val="21"/>
        </w:rPr>
        <w:t>的法人或其他组织。</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4.“产品”系指</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按</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规定，须向</w:t>
      </w:r>
      <w:r>
        <w:rPr>
          <w:rFonts w:hint="eastAsia"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提供的一切设备、保险、税金、备品备件、工具、手册及其它有关</w:t>
      </w:r>
      <w:bookmarkStart w:id="103" w:name="_GoBack"/>
      <w:bookmarkEnd w:id="103"/>
      <w:r>
        <w:rPr>
          <w:rFonts w:hint="eastAsia" w:ascii="宋体" w:hAnsi="宋体" w:eastAsia="宋体" w:cs="宋体"/>
          <w:color w:val="auto"/>
          <w:spacing w:val="11"/>
          <w:sz w:val="21"/>
          <w:szCs w:val="21"/>
        </w:rPr>
        <w:t>技术资料和材料。</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5.“服务”系指</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规定</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须承担的相关的安装、调试、技术协助、校准、培训、技术指导以及其他类似的义务。</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6.“项目”系指</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按</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规定向</w:t>
      </w:r>
      <w:r>
        <w:rPr>
          <w:rFonts w:hint="eastAsia"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提供的产品和服务。</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7.“书面形式”包括信函、传真、电报等。</w:t>
      </w:r>
    </w:p>
    <w:p>
      <w:pPr>
        <w:pStyle w:val="11"/>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lang w:val="en-US" w:eastAsia="zh-CN"/>
        </w:rPr>
        <w:t>8.</w:t>
      </w:r>
      <w:r>
        <w:rPr>
          <w:rFonts w:hint="eastAsia" w:ascii="宋体" w:hAnsi="宋体" w:eastAsia="宋体" w:cs="宋体"/>
          <w:color w:val="auto"/>
          <w:spacing w:val="11"/>
          <w:sz w:val="21"/>
          <w:szCs w:val="21"/>
          <w:highlight w:val="none"/>
        </w:rPr>
        <w:t>“▲”系指实质性要求条款，</w:t>
      </w:r>
      <w:r>
        <w:rPr>
          <w:rFonts w:hint="eastAsia" w:hAnsi="宋体" w:eastAsia="宋体" w:cs="宋体"/>
          <w:color w:val="auto"/>
          <w:spacing w:val="11"/>
          <w:sz w:val="21"/>
          <w:szCs w:val="21"/>
          <w:highlight w:val="none"/>
          <w:lang w:eastAsia="zh-CN"/>
        </w:rPr>
        <w:t>供应商</w:t>
      </w:r>
      <w:r>
        <w:rPr>
          <w:rFonts w:hint="eastAsia" w:ascii="宋体" w:hAnsi="宋体" w:eastAsia="宋体" w:cs="宋体"/>
          <w:color w:val="auto"/>
          <w:spacing w:val="11"/>
          <w:sz w:val="21"/>
          <w:szCs w:val="21"/>
          <w:highlight w:val="none"/>
        </w:rPr>
        <w:t>必须做出实质性响应</w:t>
      </w:r>
      <w:r>
        <w:rPr>
          <w:rFonts w:hint="eastAsia" w:hAnsi="宋体" w:eastAsia="宋体" w:cs="宋体"/>
          <w:color w:val="auto"/>
          <w:spacing w:val="11"/>
          <w:sz w:val="21"/>
          <w:szCs w:val="21"/>
          <w:highlight w:val="none"/>
          <w:lang w:eastAsia="zh-CN"/>
        </w:rPr>
        <w:t>，</w:t>
      </w:r>
      <w:r>
        <w:rPr>
          <w:rFonts w:hint="eastAsia" w:ascii="宋体" w:hAnsi="宋体" w:eastAsia="宋体" w:cs="宋体"/>
          <w:color w:val="auto"/>
          <w:spacing w:val="11"/>
          <w:sz w:val="21"/>
          <w:szCs w:val="21"/>
          <w:highlight w:val="none"/>
        </w:rPr>
        <w:t>否则将作无效标处理。</w:t>
      </w:r>
      <w:bookmarkStart w:id="58" w:name="_Toc28510"/>
      <w:bookmarkStart w:id="59" w:name="_Toc12757"/>
      <w:bookmarkStart w:id="60" w:name="_Toc26129"/>
      <w:bookmarkStart w:id="61" w:name="_Toc26141"/>
    </w:p>
    <w:bookmarkEnd w:id="58"/>
    <w:bookmarkEnd w:id="59"/>
    <w:bookmarkEnd w:id="60"/>
    <w:bookmarkEnd w:id="61"/>
    <w:p>
      <w:pPr>
        <w:snapToGrid w:val="0"/>
        <w:spacing w:beforeLines="0" w:afterLines="0" w:line="380" w:lineRule="exact"/>
        <w:ind w:firstLine="466" w:firstLineChars="200"/>
        <w:jc w:val="left"/>
        <w:outlineLvl w:val="1"/>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（三）招标方式</w:t>
      </w:r>
    </w:p>
    <w:p>
      <w:pPr>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本次招标采用</w:t>
      </w:r>
      <w:r>
        <w:rPr>
          <w:rFonts w:hint="eastAsia" w:ascii="宋体" w:hAnsi="宋体" w:eastAsia="宋体" w:cs="宋体"/>
          <w:color w:val="auto"/>
          <w:spacing w:val="11"/>
          <w:sz w:val="21"/>
          <w:szCs w:val="21"/>
          <w:lang w:eastAsia="zh-CN"/>
        </w:rPr>
        <w:t>竞争性磋商</w:t>
      </w:r>
      <w:r>
        <w:rPr>
          <w:rFonts w:hint="eastAsia" w:ascii="宋体" w:hAnsi="宋体" w:eastAsia="宋体" w:cs="宋体"/>
          <w:color w:val="auto"/>
          <w:spacing w:val="11"/>
          <w:sz w:val="21"/>
          <w:szCs w:val="21"/>
        </w:rPr>
        <w:t>方式进行。</w:t>
      </w:r>
    </w:p>
    <w:p>
      <w:pPr>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（四）现场踏勘</w:t>
      </w:r>
    </w:p>
    <w:p>
      <w:pPr>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不集中组织现场踏勘。供应商可自行进行现场踏勘，费用自理。</w:t>
      </w:r>
    </w:p>
    <w:p>
      <w:pPr>
        <w:snapToGrid w:val="0"/>
        <w:spacing w:beforeLines="0" w:afterLines="0" w:line="380" w:lineRule="exact"/>
        <w:ind w:firstLine="466" w:firstLineChars="200"/>
        <w:jc w:val="left"/>
        <w:rPr>
          <w:rFonts w:hint="eastAsia" w:ascii="宋体" w:hAnsi="宋体" w:eastAsia="宋体" w:cs="宋体"/>
          <w:b/>
          <w:bCs/>
          <w:color w:val="auto"/>
          <w:spacing w:val="11"/>
          <w:sz w:val="21"/>
          <w:szCs w:val="21"/>
          <w:lang w:eastAsia="zh-CN"/>
        </w:rPr>
      </w:pPr>
      <w:r>
        <w:rPr>
          <w:rFonts w:hint="eastAsia" w:ascii="宋体" w:hAnsi="宋体" w:eastAsia="宋体" w:cs="宋体"/>
          <w:b/>
          <w:bCs/>
          <w:color w:val="auto"/>
          <w:spacing w:val="11"/>
          <w:sz w:val="21"/>
          <w:szCs w:val="21"/>
        </w:rPr>
        <w:t>（五）联合体</w:t>
      </w:r>
      <w:r>
        <w:rPr>
          <w:rFonts w:hint="eastAsia" w:ascii="宋体" w:hAnsi="宋体" w:eastAsia="宋体" w:cs="宋体"/>
          <w:b/>
          <w:bCs/>
          <w:color w:val="auto"/>
          <w:spacing w:val="11"/>
          <w:sz w:val="21"/>
          <w:szCs w:val="21"/>
          <w:lang w:eastAsia="zh-CN"/>
        </w:rPr>
        <w:t>磋商</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本项目不接受联合体</w:t>
      </w:r>
      <w:r>
        <w:rPr>
          <w:rFonts w:hint="eastAsia" w:ascii="宋体" w:hAnsi="宋体" w:eastAsia="宋体" w:cs="宋体"/>
          <w:color w:val="auto"/>
          <w:spacing w:val="11"/>
          <w:sz w:val="21"/>
          <w:szCs w:val="21"/>
          <w:lang w:eastAsia="zh-CN"/>
        </w:rPr>
        <w:t>磋商</w:t>
      </w:r>
      <w:r>
        <w:rPr>
          <w:rFonts w:hint="eastAsia" w:ascii="宋体" w:hAnsi="宋体" w:eastAsia="宋体" w:cs="宋体"/>
          <w:color w:val="auto"/>
          <w:spacing w:val="11"/>
          <w:sz w:val="21"/>
          <w:szCs w:val="21"/>
        </w:rPr>
        <w:t>。</w:t>
      </w:r>
    </w:p>
    <w:p>
      <w:pPr>
        <w:snapToGrid w:val="0"/>
        <w:spacing w:beforeLines="0" w:afterLines="0" w:line="380" w:lineRule="exact"/>
        <w:ind w:firstLine="466" w:firstLineChars="200"/>
        <w:jc w:val="left"/>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（六）转包与分包</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本项目不允许转包，也不可以分包，否则</w:t>
      </w:r>
      <w:r>
        <w:rPr>
          <w:rFonts w:hint="eastAsia" w:ascii="宋体"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有权解除合同，并追究</w:t>
      </w:r>
      <w:r>
        <w:rPr>
          <w:rFonts w:hint="eastAsia" w:ascii="宋体" w:hAnsi="宋体" w:eastAsia="宋体" w:cs="宋体"/>
          <w:color w:val="auto"/>
          <w:spacing w:val="11"/>
          <w:sz w:val="21"/>
          <w:szCs w:val="21"/>
          <w:lang w:eastAsia="zh-CN"/>
        </w:rPr>
        <w:t>成交供应商</w:t>
      </w:r>
      <w:r>
        <w:rPr>
          <w:rFonts w:hint="eastAsia" w:ascii="宋体" w:hAnsi="宋体" w:eastAsia="宋体" w:cs="宋体"/>
          <w:color w:val="auto"/>
          <w:spacing w:val="11"/>
          <w:sz w:val="21"/>
          <w:szCs w:val="21"/>
        </w:rPr>
        <w:t>的违约责任。</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▲（七）特别说明</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hAnsi="宋体" w:eastAsia="宋体" w:cs="宋体"/>
          <w:color w:val="auto"/>
          <w:spacing w:val="11"/>
          <w:sz w:val="21"/>
          <w:szCs w:val="21"/>
          <w:lang w:eastAsia="zh-CN"/>
        </w:rPr>
        <w:t>供应商磋商</w:t>
      </w:r>
      <w:r>
        <w:rPr>
          <w:rFonts w:hint="eastAsia" w:ascii="宋体" w:hAnsi="宋体" w:eastAsia="宋体" w:cs="宋体"/>
          <w:color w:val="auto"/>
          <w:spacing w:val="11"/>
          <w:sz w:val="21"/>
          <w:szCs w:val="21"/>
        </w:rPr>
        <w:t>所使用的资格、信誉、荣誉、业绩与企业认证必须为本法人所拥有。供应商磋商所使用的采购项目实施人员必须为本法人员工。</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val="en-US" w:eastAsia="zh-CN"/>
        </w:rPr>
        <w:t>2</w:t>
      </w:r>
      <w:r>
        <w:rPr>
          <w:rFonts w:hint="eastAsia" w:ascii="宋体" w:hAnsi="宋体" w:eastAsia="宋体" w:cs="宋体"/>
          <w:color w:val="auto"/>
          <w:spacing w:val="11"/>
          <w:sz w:val="21"/>
          <w:szCs w:val="21"/>
        </w:rPr>
        <w:t>.</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应仔细阅读</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的所有内容，按照</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的要求提交</w:t>
      </w:r>
      <w:r>
        <w:rPr>
          <w:rFonts w:hint="eastAsia"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并对所提供的全部资料的真实性承担法律责任。</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val="en-US" w:eastAsia="zh-CN"/>
        </w:rPr>
        <w:t>3</w:t>
      </w:r>
      <w:r>
        <w:rPr>
          <w:rFonts w:hint="eastAsia" w:ascii="宋体" w:hAnsi="宋体" w:eastAsia="宋体" w:cs="宋体"/>
          <w:color w:val="auto"/>
          <w:spacing w:val="11"/>
          <w:sz w:val="21"/>
          <w:szCs w:val="21"/>
        </w:rPr>
        <w:t>.</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在磋商活动中提供任何虚假材料或从事其他违法活动的,其响应无效，并报监管部门查处；</w:t>
      </w:r>
      <w:r>
        <w:rPr>
          <w:rFonts w:hint="eastAsia" w:hAnsi="宋体" w:eastAsia="宋体" w:cs="宋体"/>
          <w:color w:val="auto"/>
          <w:spacing w:val="11"/>
          <w:sz w:val="21"/>
          <w:szCs w:val="21"/>
          <w:lang w:eastAsia="zh-CN"/>
        </w:rPr>
        <w:t>成交</w:t>
      </w:r>
      <w:r>
        <w:rPr>
          <w:rFonts w:hint="eastAsia" w:ascii="宋体" w:hAnsi="宋体" w:eastAsia="宋体" w:cs="宋体"/>
          <w:color w:val="auto"/>
          <w:spacing w:val="11"/>
          <w:sz w:val="21"/>
          <w:szCs w:val="21"/>
        </w:rPr>
        <w:t>后发现的,</w:t>
      </w:r>
      <w:r>
        <w:rPr>
          <w:rFonts w:hint="eastAsia" w:hAnsi="宋体" w:eastAsia="宋体" w:cs="宋体"/>
          <w:color w:val="auto"/>
          <w:spacing w:val="11"/>
          <w:sz w:val="21"/>
          <w:szCs w:val="21"/>
          <w:lang w:eastAsia="zh-CN"/>
        </w:rPr>
        <w:t>成交供应商</w:t>
      </w:r>
      <w:r>
        <w:rPr>
          <w:rFonts w:hint="eastAsia" w:ascii="宋体" w:hAnsi="宋体" w:eastAsia="宋体" w:cs="宋体"/>
          <w:color w:val="auto"/>
          <w:spacing w:val="11"/>
          <w:sz w:val="21"/>
          <w:szCs w:val="21"/>
        </w:rPr>
        <w:t>须依照《中华人民共和国消费者权益保护法》相关规定赔偿</w:t>
      </w:r>
      <w:r>
        <w:rPr>
          <w:rFonts w:hint="eastAsia" w:hAnsi="宋体" w:eastAsia="宋体" w:cs="宋体"/>
          <w:color w:val="auto"/>
          <w:spacing w:val="11"/>
          <w:sz w:val="21"/>
          <w:szCs w:val="21"/>
          <w:lang w:eastAsia="zh-CN"/>
        </w:rPr>
        <w:t>采购人，</w:t>
      </w:r>
      <w:r>
        <w:rPr>
          <w:rFonts w:hint="eastAsia" w:ascii="宋体" w:hAnsi="宋体" w:eastAsia="宋体" w:cs="宋体"/>
          <w:color w:val="auto"/>
          <w:spacing w:val="11"/>
          <w:sz w:val="21"/>
          <w:szCs w:val="21"/>
        </w:rPr>
        <w:t>且民事赔偿并不免除违法</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的行政与刑事责任。</w:t>
      </w:r>
    </w:p>
    <w:p>
      <w:pPr>
        <w:pStyle w:val="11"/>
        <w:spacing w:beforeLines="0" w:afterLines="0" w:line="380" w:lineRule="exact"/>
        <w:ind w:firstLine="464" w:firstLineChars="200"/>
        <w:outlineLvl w:val="9"/>
        <w:rPr>
          <w:rFonts w:hint="eastAsia" w:ascii="宋体" w:hAnsi="宋体" w:eastAsia="宋体" w:cs="宋体"/>
          <w:color w:val="auto"/>
          <w:spacing w:val="11"/>
          <w:sz w:val="21"/>
          <w:szCs w:val="21"/>
          <w:highlight w:val="none"/>
        </w:rPr>
      </w:pPr>
      <w:r>
        <w:rPr>
          <w:rFonts w:hint="eastAsia" w:hAnsi="宋体" w:eastAsia="宋体" w:cs="宋体"/>
          <w:color w:val="auto"/>
          <w:spacing w:val="11"/>
          <w:sz w:val="21"/>
          <w:szCs w:val="21"/>
          <w:highlight w:val="none"/>
          <w:lang w:val="en-US" w:eastAsia="zh-CN"/>
        </w:rPr>
        <w:t>4</w:t>
      </w:r>
      <w:r>
        <w:rPr>
          <w:rFonts w:hint="eastAsia" w:ascii="宋体" w:hAnsi="宋体" w:eastAsia="宋体" w:cs="宋体"/>
          <w:color w:val="auto"/>
          <w:spacing w:val="11"/>
          <w:sz w:val="21"/>
          <w:szCs w:val="21"/>
          <w:highlight w:val="none"/>
        </w:rPr>
        <w:t>.单位负责人为同一人或者存在直接控股、管理关系的不同</w:t>
      </w:r>
      <w:r>
        <w:rPr>
          <w:rFonts w:hint="eastAsia" w:hAnsi="宋体" w:eastAsia="宋体" w:cs="宋体"/>
          <w:color w:val="auto"/>
          <w:spacing w:val="11"/>
          <w:sz w:val="21"/>
          <w:szCs w:val="21"/>
          <w:highlight w:val="none"/>
          <w:lang w:eastAsia="zh-CN"/>
        </w:rPr>
        <w:t>供应商</w:t>
      </w:r>
      <w:r>
        <w:rPr>
          <w:rFonts w:hint="eastAsia" w:ascii="宋体" w:hAnsi="宋体" w:eastAsia="宋体" w:cs="宋体"/>
          <w:color w:val="auto"/>
          <w:spacing w:val="11"/>
          <w:sz w:val="21"/>
          <w:szCs w:val="21"/>
          <w:highlight w:val="none"/>
        </w:rPr>
        <w:t>，不得</w:t>
      </w:r>
      <w:r>
        <w:rPr>
          <w:rFonts w:hint="eastAsia" w:hAnsi="宋体" w:eastAsia="宋体" w:cs="宋体"/>
          <w:color w:val="auto"/>
          <w:spacing w:val="11"/>
          <w:sz w:val="21"/>
          <w:szCs w:val="21"/>
          <w:highlight w:val="none"/>
          <w:lang w:eastAsia="zh-CN"/>
        </w:rPr>
        <w:t>同时</w:t>
      </w:r>
      <w:r>
        <w:rPr>
          <w:rFonts w:hint="eastAsia" w:ascii="宋体" w:hAnsi="宋体" w:eastAsia="宋体" w:cs="宋体"/>
          <w:color w:val="auto"/>
          <w:spacing w:val="11"/>
          <w:sz w:val="21"/>
          <w:szCs w:val="21"/>
          <w:highlight w:val="none"/>
        </w:rPr>
        <w:t>参加同一</w:t>
      </w:r>
      <w:r>
        <w:rPr>
          <w:rFonts w:hint="eastAsia" w:hAnsi="宋体" w:eastAsia="宋体" w:cs="宋体"/>
          <w:color w:val="auto"/>
          <w:spacing w:val="11"/>
          <w:sz w:val="21"/>
          <w:szCs w:val="21"/>
          <w:highlight w:val="none"/>
          <w:lang w:eastAsia="zh-CN"/>
        </w:rPr>
        <w:t>项目磋商活动。</w:t>
      </w:r>
    </w:p>
    <w:p>
      <w:pPr>
        <w:pStyle w:val="11"/>
        <w:spacing w:beforeLines="0" w:afterLines="0" w:line="380" w:lineRule="exact"/>
        <w:ind w:firstLine="466" w:firstLineChars="200"/>
        <w:outlineLvl w:val="1"/>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（八）质疑和投诉</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认为</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w:t>
      </w:r>
      <w:r>
        <w:rPr>
          <w:rFonts w:hint="eastAsia" w:hAnsi="宋体" w:eastAsia="宋体" w:cs="宋体"/>
          <w:color w:val="auto"/>
          <w:spacing w:val="11"/>
          <w:sz w:val="21"/>
          <w:szCs w:val="21"/>
          <w:lang w:eastAsia="zh-CN"/>
        </w:rPr>
        <w:t>磋商</w:t>
      </w:r>
      <w:r>
        <w:rPr>
          <w:rFonts w:hint="eastAsia" w:ascii="宋体" w:hAnsi="宋体" w:eastAsia="宋体" w:cs="宋体"/>
          <w:color w:val="auto"/>
          <w:spacing w:val="11"/>
          <w:sz w:val="21"/>
          <w:szCs w:val="21"/>
        </w:rPr>
        <w:t>过程或</w:t>
      </w:r>
      <w:r>
        <w:rPr>
          <w:rFonts w:hint="eastAsia" w:hAnsi="宋体" w:eastAsia="宋体" w:cs="宋体"/>
          <w:color w:val="auto"/>
          <w:spacing w:val="11"/>
          <w:sz w:val="21"/>
          <w:szCs w:val="21"/>
          <w:lang w:eastAsia="zh-CN"/>
        </w:rPr>
        <w:t>成交</w:t>
      </w:r>
      <w:r>
        <w:rPr>
          <w:rFonts w:hint="eastAsia" w:ascii="宋体" w:hAnsi="宋体" w:eastAsia="宋体" w:cs="宋体"/>
          <w:color w:val="auto"/>
          <w:spacing w:val="11"/>
          <w:sz w:val="21"/>
          <w:szCs w:val="21"/>
        </w:rPr>
        <w:t>结果使自己的合法权益受到损害的，应当在知道或者应知其权益受到损害之日起七个工作日内，以书面形式向</w:t>
      </w:r>
      <w:r>
        <w:rPr>
          <w:rFonts w:hint="eastAsia"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、代理机构提出质疑。</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对</w:t>
      </w:r>
      <w:r>
        <w:rPr>
          <w:rFonts w:hint="eastAsia" w:hAnsi="宋体" w:eastAsia="宋体" w:cs="宋体"/>
          <w:color w:val="auto"/>
          <w:spacing w:val="11"/>
          <w:sz w:val="21"/>
          <w:szCs w:val="21"/>
          <w:lang w:eastAsia="zh-CN"/>
        </w:rPr>
        <w:t>采购单位、</w:t>
      </w:r>
      <w:r>
        <w:rPr>
          <w:rFonts w:hint="eastAsia" w:hAnsi="宋体" w:eastAsia="宋体" w:cs="宋体"/>
          <w:color w:val="auto"/>
          <w:spacing w:val="11"/>
          <w:sz w:val="21"/>
          <w:szCs w:val="21"/>
          <w:lang w:val="en-US" w:eastAsia="zh-CN"/>
        </w:rPr>
        <w:t>代理机构</w:t>
      </w:r>
      <w:r>
        <w:rPr>
          <w:rFonts w:hint="eastAsia" w:ascii="宋体" w:hAnsi="宋体" w:eastAsia="宋体" w:cs="宋体"/>
          <w:color w:val="auto"/>
          <w:spacing w:val="11"/>
          <w:sz w:val="21"/>
          <w:szCs w:val="21"/>
        </w:rPr>
        <w:t>的质疑答复不满意或者</w:t>
      </w:r>
      <w:r>
        <w:rPr>
          <w:rFonts w:hint="eastAsia" w:hAnsi="宋体" w:eastAsia="宋体" w:cs="宋体"/>
          <w:color w:val="auto"/>
          <w:spacing w:val="11"/>
          <w:sz w:val="21"/>
          <w:szCs w:val="21"/>
          <w:lang w:eastAsia="zh-CN"/>
        </w:rPr>
        <w:t>采购单位、</w:t>
      </w:r>
      <w:r>
        <w:rPr>
          <w:rFonts w:hint="eastAsia" w:hAnsi="宋体" w:eastAsia="宋体" w:cs="宋体"/>
          <w:color w:val="auto"/>
          <w:spacing w:val="11"/>
          <w:sz w:val="21"/>
          <w:szCs w:val="21"/>
          <w:lang w:val="en-US" w:eastAsia="zh-CN"/>
        </w:rPr>
        <w:t>代理机构</w:t>
      </w:r>
      <w:r>
        <w:rPr>
          <w:rFonts w:hint="eastAsia" w:ascii="宋体" w:hAnsi="宋体" w:eastAsia="宋体" w:cs="宋体"/>
          <w:color w:val="auto"/>
          <w:spacing w:val="11"/>
          <w:sz w:val="21"/>
          <w:szCs w:val="21"/>
        </w:rPr>
        <w:t>未在规定时间内作出答复的，可以在答复期满后十五个工作日内向同级采购监管部门投诉。</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2.质疑、投诉应当采用书面形式，质疑书、投诉书均应明确阐述</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w:t>
      </w:r>
      <w:r>
        <w:rPr>
          <w:rFonts w:hint="eastAsia" w:hAnsi="宋体" w:eastAsia="宋体" w:cs="宋体"/>
          <w:color w:val="auto"/>
          <w:spacing w:val="11"/>
          <w:sz w:val="21"/>
          <w:szCs w:val="21"/>
          <w:lang w:eastAsia="zh-CN"/>
        </w:rPr>
        <w:t>磋商</w:t>
      </w:r>
      <w:r>
        <w:rPr>
          <w:rFonts w:hint="eastAsia" w:ascii="宋体" w:hAnsi="宋体" w:eastAsia="宋体" w:cs="宋体"/>
          <w:color w:val="auto"/>
          <w:spacing w:val="11"/>
          <w:sz w:val="21"/>
          <w:szCs w:val="21"/>
        </w:rPr>
        <w:t>过程或</w:t>
      </w:r>
      <w:r>
        <w:rPr>
          <w:rFonts w:hint="eastAsia" w:hAnsi="宋体" w:eastAsia="宋体" w:cs="宋体"/>
          <w:color w:val="auto"/>
          <w:spacing w:val="11"/>
          <w:sz w:val="21"/>
          <w:szCs w:val="21"/>
          <w:lang w:eastAsia="zh-CN"/>
        </w:rPr>
        <w:t>成交</w:t>
      </w:r>
      <w:r>
        <w:rPr>
          <w:rFonts w:hint="eastAsia" w:ascii="宋体" w:hAnsi="宋体" w:eastAsia="宋体" w:cs="宋体"/>
          <w:color w:val="auto"/>
          <w:spacing w:val="11"/>
          <w:sz w:val="21"/>
          <w:szCs w:val="21"/>
        </w:rPr>
        <w:t>结果中使自己合法权益受到损害的实质性内容，提供相关事实、依据和证据及其来源或线索，便于有关单位调查、答复和处理。</w:t>
      </w:r>
    </w:p>
    <w:p>
      <w:pPr>
        <w:spacing w:beforeLines="0" w:afterLines="0" w:line="380" w:lineRule="exact"/>
        <w:ind w:firstLine="466" w:firstLineChars="200"/>
        <w:rPr>
          <w:rFonts w:hint="eastAsia" w:ascii="宋体" w:hAnsi="宋体" w:eastAsia="宋体" w:cs="宋体"/>
          <w:b/>
          <w:color w:val="auto"/>
          <w:spacing w:val="11"/>
          <w:sz w:val="21"/>
          <w:szCs w:val="21"/>
          <w:lang w:eastAsia="zh-CN"/>
        </w:rPr>
      </w:pPr>
      <w:r>
        <w:rPr>
          <w:rFonts w:hint="eastAsia" w:ascii="宋体" w:hAnsi="宋体" w:eastAsia="宋体" w:cs="宋体"/>
          <w:b/>
          <w:color w:val="auto"/>
          <w:spacing w:val="11"/>
          <w:sz w:val="21"/>
          <w:szCs w:val="21"/>
        </w:rPr>
        <w:t>二、</w:t>
      </w:r>
      <w:r>
        <w:rPr>
          <w:rFonts w:hint="eastAsia" w:ascii="宋体" w:hAnsi="宋体" w:eastAsia="宋体" w:cs="宋体"/>
          <w:b/>
          <w:color w:val="auto"/>
          <w:spacing w:val="11"/>
          <w:sz w:val="21"/>
          <w:szCs w:val="21"/>
          <w:lang w:eastAsia="zh-CN"/>
        </w:rPr>
        <w:t>磋商文件</w:t>
      </w:r>
    </w:p>
    <w:p>
      <w:pPr>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（一）</w:t>
      </w:r>
      <w:r>
        <w:rPr>
          <w:rFonts w:hint="eastAsia" w:ascii="宋体" w:hAnsi="宋体" w:eastAsia="宋体" w:cs="宋体"/>
          <w:b/>
          <w:bCs/>
          <w:color w:val="auto"/>
          <w:spacing w:val="11"/>
          <w:sz w:val="21"/>
          <w:szCs w:val="21"/>
          <w:lang w:eastAsia="zh-CN"/>
        </w:rPr>
        <w:t>磋商文件</w:t>
      </w:r>
      <w:r>
        <w:rPr>
          <w:rFonts w:hint="eastAsia" w:ascii="宋体" w:hAnsi="宋体" w:eastAsia="宋体" w:cs="宋体"/>
          <w:b/>
          <w:bCs/>
          <w:color w:val="auto"/>
          <w:spacing w:val="11"/>
          <w:sz w:val="21"/>
          <w:szCs w:val="21"/>
        </w:rPr>
        <w:t>的组成</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lang w:eastAsia="zh-CN"/>
        </w:rPr>
      </w:pPr>
      <w:r>
        <w:rPr>
          <w:rFonts w:hint="eastAsia" w:ascii="宋体" w:hAnsi="宋体" w:eastAsia="宋体" w:cs="宋体"/>
          <w:color w:val="auto"/>
          <w:spacing w:val="11"/>
          <w:sz w:val="21"/>
          <w:szCs w:val="21"/>
        </w:rPr>
        <w:t>1.</w:t>
      </w:r>
      <w:r>
        <w:rPr>
          <w:rFonts w:hint="eastAsia" w:ascii="宋体" w:hAnsi="宋体" w:eastAsia="宋体" w:cs="宋体"/>
          <w:color w:val="auto"/>
          <w:spacing w:val="11"/>
          <w:sz w:val="21"/>
          <w:szCs w:val="21"/>
          <w:lang w:eastAsia="zh-CN"/>
        </w:rPr>
        <w:t>竞争性磋商公告</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lang w:eastAsia="zh-CN"/>
        </w:rPr>
      </w:pPr>
      <w:r>
        <w:rPr>
          <w:rFonts w:hint="eastAsia" w:ascii="宋体" w:hAnsi="宋体" w:eastAsia="宋体" w:cs="宋体"/>
          <w:color w:val="auto"/>
          <w:spacing w:val="11"/>
          <w:sz w:val="21"/>
          <w:szCs w:val="21"/>
        </w:rPr>
        <w:t>2.</w:t>
      </w:r>
      <w:r>
        <w:rPr>
          <w:rFonts w:hint="eastAsia" w:ascii="宋体" w:hAnsi="宋体" w:eastAsia="宋体" w:cs="宋体"/>
          <w:color w:val="auto"/>
          <w:spacing w:val="11"/>
          <w:sz w:val="21"/>
          <w:szCs w:val="21"/>
          <w:lang w:eastAsia="zh-CN"/>
        </w:rPr>
        <w:t>磋商需求</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w:t>
      </w:r>
      <w:r>
        <w:rPr>
          <w:rFonts w:hint="eastAsia" w:ascii="宋体" w:hAnsi="宋体" w:eastAsia="宋体" w:cs="宋体"/>
          <w:color w:val="auto"/>
          <w:spacing w:val="11"/>
          <w:sz w:val="21"/>
          <w:szCs w:val="21"/>
          <w:lang w:eastAsia="zh-CN"/>
        </w:rPr>
        <w:t>磋商须知</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lang w:eastAsia="zh-CN"/>
        </w:rPr>
      </w:pPr>
      <w:r>
        <w:rPr>
          <w:rFonts w:hint="eastAsia" w:ascii="宋体" w:hAnsi="宋体" w:eastAsia="宋体" w:cs="宋体"/>
          <w:color w:val="auto"/>
          <w:spacing w:val="11"/>
          <w:sz w:val="21"/>
          <w:szCs w:val="21"/>
        </w:rPr>
        <w:t>4.</w:t>
      </w:r>
      <w:r>
        <w:rPr>
          <w:rFonts w:hint="eastAsia" w:ascii="宋体" w:hAnsi="宋体" w:eastAsia="宋体" w:cs="宋体"/>
          <w:color w:val="auto"/>
          <w:spacing w:val="11"/>
          <w:sz w:val="21"/>
          <w:szCs w:val="21"/>
          <w:lang w:eastAsia="zh-CN"/>
        </w:rPr>
        <w:t>磋商办法及评分标准</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5.合同主要条款</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6.</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格式</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7.本项目</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的澄清、答复、修改、补充的内容</w:t>
      </w:r>
    </w:p>
    <w:p>
      <w:pPr>
        <w:snapToGrid w:val="0"/>
        <w:spacing w:beforeLines="0" w:afterLines="0" w:line="380" w:lineRule="exact"/>
        <w:ind w:firstLine="466" w:firstLineChars="200"/>
        <w:jc w:val="left"/>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（二）</w:t>
      </w:r>
      <w:r>
        <w:rPr>
          <w:rFonts w:hint="eastAsia" w:ascii="宋体" w:hAnsi="宋体" w:eastAsia="宋体" w:cs="宋体"/>
          <w:b/>
          <w:bCs/>
          <w:color w:val="auto"/>
          <w:spacing w:val="11"/>
          <w:sz w:val="21"/>
          <w:szCs w:val="21"/>
          <w:lang w:eastAsia="zh-CN"/>
        </w:rPr>
        <w:t>供应商</w:t>
      </w:r>
      <w:r>
        <w:rPr>
          <w:rFonts w:hint="eastAsia" w:ascii="宋体" w:hAnsi="宋体" w:eastAsia="宋体" w:cs="宋体"/>
          <w:b/>
          <w:bCs/>
          <w:color w:val="auto"/>
          <w:spacing w:val="11"/>
          <w:sz w:val="21"/>
          <w:szCs w:val="21"/>
        </w:rPr>
        <w:t>的风险</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没有按照</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要求提供全部资料，或者</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没有对</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在各方面作出实质性响应是</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的风险，并可能导致其磋商被拒绝。</w:t>
      </w:r>
    </w:p>
    <w:p>
      <w:pPr>
        <w:pStyle w:val="6"/>
        <w:widowControl w:val="0"/>
        <w:tabs>
          <w:tab w:val="left" w:pos="420"/>
          <w:tab w:val="left" w:pos="720"/>
          <w:tab w:val="left" w:pos="900"/>
        </w:tabs>
        <w:snapToGrid w:val="0"/>
        <w:spacing w:beforeLines="0" w:after="0" w:afterLines="0" w:line="380" w:lineRule="exact"/>
        <w:ind w:left="0" w:firstLine="466" w:firstLineChars="200"/>
        <w:rPr>
          <w:rFonts w:hint="eastAsia" w:ascii="宋体" w:hAnsi="宋体" w:eastAsia="宋体" w:cs="宋体"/>
          <w:b/>
          <w:bCs/>
          <w:color w:val="auto"/>
          <w:spacing w:val="11"/>
          <w:kern w:val="2"/>
          <w:sz w:val="21"/>
          <w:szCs w:val="21"/>
        </w:rPr>
      </w:pPr>
      <w:r>
        <w:rPr>
          <w:rFonts w:hint="eastAsia" w:ascii="宋体" w:hAnsi="宋体" w:eastAsia="宋体" w:cs="宋体"/>
          <w:b/>
          <w:bCs/>
          <w:color w:val="auto"/>
          <w:spacing w:val="11"/>
          <w:kern w:val="2"/>
          <w:sz w:val="21"/>
          <w:szCs w:val="21"/>
        </w:rPr>
        <w:t>（三）</w:t>
      </w:r>
      <w:r>
        <w:rPr>
          <w:rFonts w:hint="eastAsia" w:ascii="宋体" w:hAnsi="宋体" w:eastAsia="宋体" w:cs="宋体"/>
          <w:b/>
          <w:bCs/>
          <w:color w:val="auto"/>
          <w:spacing w:val="11"/>
          <w:kern w:val="2"/>
          <w:sz w:val="21"/>
          <w:szCs w:val="21"/>
          <w:lang w:eastAsia="zh-CN"/>
        </w:rPr>
        <w:t>磋商文件</w:t>
      </w:r>
      <w:r>
        <w:rPr>
          <w:rFonts w:hint="eastAsia" w:ascii="宋体" w:hAnsi="宋体" w:eastAsia="宋体" w:cs="宋体"/>
          <w:b/>
          <w:bCs/>
          <w:color w:val="auto"/>
          <w:spacing w:val="11"/>
          <w:kern w:val="2"/>
          <w:sz w:val="21"/>
          <w:szCs w:val="21"/>
        </w:rPr>
        <w:t xml:space="preserve">的澄清与修改 </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应认真阅读本</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，发现其中有误或</w:t>
      </w:r>
      <w:r>
        <w:rPr>
          <w:rFonts w:hint="eastAsia" w:ascii="宋体" w:hAnsi="宋体" w:eastAsia="宋体" w:cs="宋体"/>
          <w:color w:val="auto"/>
          <w:spacing w:val="11"/>
          <w:szCs w:val="21"/>
        </w:rPr>
        <w:t>有异议</w:t>
      </w:r>
      <w:r>
        <w:rPr>
          <w:rFonts w:hint="eastAsia" w:ascii="宋体" w:hAnsi="宋体" w:eastAsia="宋体" w:cs="宋体"/>
          <w:color w:val="auto"/>
          <w:spacing w:val="11"/>
          <w:sz w:val="21"/>
          <w:szCs w:val="21"/>
        </w:rPr>
        <w:t>的，</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须在前附表规定的时间内以书面形式要求</w:t>
      </w:r>
      <w:r>
        <w:rPr>
          <w:rFonts w:hint="eastAsia" w:hAnsi="宋体" w:eastAsia="宋体" w:cs="宋体"/>
          <w:color w:val="auto"/>
          <w:spacing w:val="11"/>
          <w:sz w:val="21"/>
          <w:szCs w:val="21"/>
          <w:lang w:eastAsia="zh-CN"/>
        </w:rPr>
        <w:t>采购人</w:t>
      </w:r>
      <w:r>
        <w:rPr>
          <w:rFonts w:hint="eastAsia" w:ascii="宋体" w:hAnsi="宋体" w:eastAsia="宋体" w:cs="宋体"/>
          <w:color w:val="auto"/>
          <w:spacing w:val="11"/>
          <w:sz w:val="21"/>
          <w:szCs w:val="21"/>
        </w:rPr>
        <w:t>澄清。</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未按规定要求提出的，则视同认可</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，但法律法规及规范性文件有明确规定的除外。</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w:t>
      </w:r>
      <w:r>
        <w:rPr>
          <w:rFonts w:hint="eastAsia"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对已发出的</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进行必要澄清或者修改</w:t>
      </w:r>
      <w:r>
        <w:rPr>
          <w:rFonts w:hint="eastAsia" w:hAnsi="宋体" w:eastAsia="宋体" w:cs="宋体"/>
          <w:color w:val="auto"/>
          <w:spacing w:val="11"/>
          <w:sz w:val="21"/>
          <w:szCs w:val="21"/>
          <w:lang w:eastAsia="zh-CN"/>
        </w:rPr>
        <w:t>的内容</w:t>
      </w:r>
      <w:r>
        <w:rPr>
          <w:rFonts w:hint="eastAsia" w:ascii="宋体" w:hAnsi="宋体" w:eastAsia="宋体" w:cs="宋体"/>
          <w:color w:val="auto"/>
          <w:spacing w:val="11"/>
          <w:sz w:val="21"/>
          <w:szCs w:val="21"/>
        </w:rPr>
        <w:t>影响</w:t>
      </w:r>
      <w:r>
        <w:rPr>
          <w:rFonts w:hint="eastAsia"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编制的，将在</w:t>
      </w:r>
      <w:r>
        <w:rPr>
          <w:rFonts w:hint="eastAsia" w:hAnsi="宋体" w:eastAsia="宋体" w:cs="宋体"/>
          <w:color w:val="auto"/>
          <w:spacing w:val="11"/>
          <w:sz w:val="21"/>
          <w:szCs w:val="21"/>
          <w:lang w:eastAsia="zh-CN"/>
        </w:rPr>
        <w:t>磋商响应截止时间</w:t>
      </w:r>
      <w:r>
        <w:rPr>
          <w:rFonts w:hint="eastAsia" w:hAnsi="宋体" w:eastAsia="宋体" w:cs="宋体"/>
          <w:color w:val="auto"/>
          <w:spacing w:val="11"/>
          <w:sz w:val="21"/>
          <w:szCs w:val="21"/>
          <w:lang w:val="en-US" w:eastAsia="zh-CN"/>
        </w:rPr>
        <w:t>5</w:t>
      </w:r>
      <w:r>
        <w:rPr>
          <w:rFonts w:hint="eastAsia" w:ascii="宋体" w:hAnsi="宋体" w:eastAsia="宋体" w:cs="宋体"/>
          <w:color w:val="auto"/>
          <w:spacing w:val="11"/>
          <w:sz w:val="21"/>
          <w:szCs w:val="21"/>
        </w:rPr>
        <w:t>日前依法在财政部门指定的政府采购信息发布媒体上发布更正公告，不足</w:t>
      </w:r>
      <w:r>
        <w:rPr>
          <w:rFonts w:hint="eastAsia" w:hAnsi="宋体" w:eastAsia="宋体" w:cs="宋体"/>
          <w:color w:val="auto"/>
          <w:spacing w:val="11"/>
          <w:sz w:val="21"/>
          <w:szCs w:val="21"/>
          <w:lang w:val="en-US" w:eastAsia="zh-CN"/>
        </w:rPr>
        <w:t>5</w:t>
      </w:r>
      <w:r>
        <w:rPr>
          <w:rFonts w:hint="eastAsia" w:ascii="宋体" w:hAnsi="宋体" w:eastAsia="宋体" w:cs="宋体"/>
          <w:color w:val="auto"/>
          <w:spacing w:val="11"/>
          <w:sz w:val="21"/>
          <w:szCs w:val="21"/>
        </w:rPr>
        <w:t>日的将顺延</w:t>
      </w:r>
      <w:r>
        <w:rPr>
          <w:rFonts w:hint="eastAsia" w:hAnsi="宋体" w:eastAsia="宋体" w:cs="宋体"/>
          <w:color w:val="auto"/>
          <w:spacing w:val="11"/>
          <w:sz w:val="21"/>
          <w:szCs w:val="21"/>
          <w:lang w:eastAsia="zh-CN"/>
        </w:rPr>
        <w:t>磋商响应截止时间；</w:t>
      </w:r>
      <w:r>
        <w:rPr>
          <w:rFonts w:hint="eastAsia" w:ascii="宋体" w:hAnsi="宋体" w:eastAsia="宋体" w:cs="宋体"/>
          <w:color w:val="auto"/>
          <w:spacing w:val="11"/>
          <w:sz w:val="21"/>
          <w:szCs w:val="21"/>
        </w:rPr>
        <w:t>澄清或者修改</w:t>
      </w:r>
      <w:r>
        <w:rPr>
          <w:rFonts w:hint="eastAsia" w:hAnsi="宋体" w:eastAsia="宋体" w:cs="宋体"/>
          <w:color w:val="auto"/>
          <w:spacing w:val="11"/>
          <w:sz w:val="21"/>
          <w:szCs w:val="21"/>
          <w:lang w:eastAsia="zh-CN"/>
        </w:rPr>
        <w:t>的内容不</w:t>
      </w:r>
      <w:r>
        <w:rPr>
          <w:rFonts w:hint="eastAsia" w:ascii="宋体" w:hAnsi="宋体" w:eastAsia="宋体" w:cs="宋体"/>
          <w:color w:val="auto"/>
          <w:spacing w:val="11"/>
          <w:sz w:val="21"/>
          <w:szCs w:val="21"/>
        </w:rPr>
        <w:t>影响</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编制的</w:t>
      </w:r>
      <w:r>
        <w:rPr>
          <w:rFonts w:hint="eastAsia" w:ascii="宋体" w:hAnsi="宋体" w:eastAsia="宋体" w:cs="宋体"/>
          <w:color w:val="auto"/>
          <w:spacing w:val="11"/>
          <w:sz w:val="21"/>
          <w:szCs w:val="21"/>
          <w:lang w:eastAsia="zh-CN"/>
        </w:rPr>
        <w:t>，将在磋商响应截止时间</w:t>
      </w:r>
      <w:r>
        <w:rPr>
          <w:rFonts w:hint="eastAsia" w:ascii="宋体" w:hAnsi="宋体" w:eastAsia="宋体" w:cs="宋体"/>
          <w:color w:val="auto"/>
          <w:spacing w:val="11"/>
          <w:sz w:val="21"/>
          <w:szCs w:val="21"/>
          <w:lang w:val="en-US" w:eastAsia="zh-CN"/>
        </w:rPr>
        <w:t>3</w:t>
      </w:r>
      <w:r>
        <w:rPr>
          <w:rFonts w:hint="eastAsia" w:ascii="宋体" w:hAnsi="宋体" w:eastAsia="宋体" w:cs="宋体"/>
          <w:color w:val="auto"/>
          <w:spacing w:val="11"/>
          <w:sz w:val="21"/>
          <w:szCs w:val="21"/>
          <w:lang w:eastAsia="zh-CN"/>
        </w:rPr>
        <w:t>日前，以上款相同的形式发布。</w:t>
      </w:r>
      <w:r>
        <w:rPr>
          <w:rFonts w:hint="eastAsia" w:hAnsi="宋体" w:eastAsia="宋体" w:cs="宋体"/>
          <w:color w:val="auto"/>
          <w:spacing w:val="11"/>
          <w:sz w:val="21"/>
          <w:szCs w:val="21"/>
          <w:lang w:val="en-US" w:eastAsia="zh-CN"/>
        </w:rPr>
        <w:t>磋商文件</w:t>
      </w:r>
      <w:r>
        <w:rPr>
          <w:rFonts w:hint="eastAsia" w:ascii="宋体" w:hAnsi="宋体" w:eastAsia="宋体" w:cs="宋体"/>
          <w:color w:val="auto"/>
          <w:spacing w:val="11"/>
          <w:sz w:val="21"/>
          <w:szCs w:val="21"/>
        </w:rPr>
        <w:t>澄清或者修改的内容为</w:t>
      </w:r>
      <w:r>
        <w:rPr>
          <w:rFonts w:hint="eastAsia"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的组成部分，对所有</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有约束力。</w:t>
      </w:r>
    </w:p>
    <w:p>
      <w:pPr>
        <w:pStyle w:val="11"/>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hAnsi="宋体" w:eastAsia="宋体" w:cs="宋体"/>
          <w:b/>
          <w:bCs/>
          <w:color w:val="auto"/>
          <w:spacing w:val="11"/>
          <w:sz w:val="21"/>
          <w:szCs w:val="21"/>
          <w:lang w:val="en-US" w:eastAsia="zh-CN"/>
        </w:rPr>
        <w:t>3</w:t>
      </w:r>
      <w:r>
        <w:rPr>
          <w:rFonts w:hint="eastAsia" w:ascii="宋体" w:hAnsi="宋体" w:eastAsia="宋体" w:cs="宋体"/>
          <w:b/>
          <w:bCs/>
          <w:color w:val="auto"/>
          <w:spacing w:val="11"/>
          <w:sz w:val="21"/>
          <w:szCs w:val="21"/>
        </w:rPr>
        <w:t>.因</w:t>
      </w:r>
      <w:r>
        <w:rPr>
          <w:rFonts w:hint="eastAsia" w:hAnsi="宋体" w:eastAsia="宋体" w:cs="宋体"/>
          <w:b/>
          <w:bCs/>
          <w:color w:val="auto"/>
          <w:spacing w:val="11"/>
          <w:sz w:val="21"/>
          <w:szCs w:val="21"/>
          <w:lang w:eastAsia="zh-CN"/>
        </w:rPr>
        <w:t>供应商</w:t>
      </w:r>
      <w:r>
        <w:rPr>
          <w:rFonts w:hint="eastAsia" w:ascii="宋体" w:hAnsi="宋体" w:eastAsia="宋体" w:cs="宋体"/>
          <w:b/>
          <w:bCs/>
          <w:color w:val="auto"/>
          <w:spacing w:val="11"/>
          <w:sz w:val="21"/>
          <w:szCs w:val="21"/>
        </w:rPr>
        <w:t>提供联系资料错误或遗漏等原因导致采购代理机构未能将有关澄清、答复、修改或补充通知送达</w:t>
      </w:r>
      <w:r>
        <w:rPr>
          <w:rFonts w:hint="eastAsia" w:hAnsi="宋体" w:eastAsia="宋体" w:cs="宋体"/>
          <w:b/>
          <w:bCs/>
          <w:color w:val="auto"/>
          <w:spacing w:val="11"/>
          <w:sz w:val="21"/>
          <w:szCs w:val="21"/>
          <w:lang w:eastAsia="zh-CN"/>
        </w:rPr>
        <w:t>供应商</w:t>
      </w:r>
      <w:r>
        <w:rPr>
          <w:rFonts w:hint="eastAsia" w:ascii="宋体" w:hAnsi="宋体" w:eastAsia="宋体" w:cs="宋体"/>
          <w:b/>
          <w:bCs/>
          <w:color w:val="auto"/>
          <w:spacing w:val="11"/>
          <w:sz w:val="21"/>
          <w:szCs w:val="21"/>
        </w:rPr>
        <w:t>的，责任由</w:t>
      </w:r>
      <w:r>
        <w:rPr>
          <w:rFonts w:hint="eastAsia" w:hAnsi="宋体" w:eastAsia="宋体" w:cs="宋体"/>
          <w:b/>
          <w:bCs/>
          <w:color w:val="auto"/>
          <w:spacing w:val="11"/>
          <w:sz w:val="21"/>
          <w:szCs w:val="21"/>
          <w:lang w:eastAsia="zh-CN"/>
        </w:rPr>
        <w:t>供应商</w:t>
      </w:r>
      <w:r>
        <w:rPr>
          <w:rFonts w:hint="eastAsia" w:ascii="宋体" w:hAnsi="宋体" w:eastAsia="宋体" w:cs="宋体"/>
          <w:b/>
          <w:bCs/>
          <w:color w:val="auto"/>
          <w:spacing w:val="11"/>
          <w:sz w:val="21"/>
          <w:szCs w:val="21"/>
        </w:rPr>
        <w:t>自负。</w:t>
      </w:r>
    </w:p>
    <w:p>
      <w:pPr>
        <w:spacing w:beforeLines="0" w:afterLines="0" w:line="380" w:lineRule="exact"/>
        <w:ind w:firstLine="466" w:firstLineChars="200"/>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三、</w:t>
      </w:r>
      <w:r>
        <w:rPr>
          <w:rFonts w:hint="eastAsia" w:ascii="宋体" w:hAnsi="宋体" w:eastAsia="宋体" w:cs="宋体"/>
          <w:b/>
          <w:color w:val="auto"/>
          <w:spacing w:val="11"/>
          <w:sz w:val="21"/>
          <w:szCs w:val="21"/>
          <w:lang w:eastAsia="zh-CN"/>
        </w:rPr>
        <w:t>磋商响应文件</w:t>
      </w:r>
      <w:r>
        <w:rPr>
          <w:rFonts w:hint="eastAsia" w:ascii="宋体" w:hAnsi="宋体" w:eastAsia="宋体" w:cs="宋体"/>
          <w:b/>
          <w:color w:val="auto"/>
          <w:spacing w:val="11"/>
          <w:sz w:val="21"/>
          <w:szCs w:val="21"/>
        </w:rPr>
        <w:t>的编制要求</w:t>
      </w:r>
    </w:p>
    <w:p>
      <w:pPr>
        <w:snapToGrid w:val="0"/>
        <w:spacing w:beforeLines="0" w:afterLines="0" w:line="380" w:lineRule="exact"/>
        <w:ind w:firstLine="466" w:firstLineChars="200"/>
        <w:jc w:val="left"/>
        <w:outlineLvl w:val="0"/>
        <w:rPr>
          <w:rFonts w:hint="eastAsia" w:ascii="宋体" w:hAnsi="宋体" w:eastAsia="宋体" w:cs="宋体"/>
          <w:b/>
          <w:color w:val="auto"/>
          <w:spacing w:val="11"/>
          <w:sz w:val="21"/>
          <w:szCs w:val="21"/>
        </w:rPr>
      </w:pPr>
      <w:bookmarkStart w:id="62" w:name="_Toc3836"/>
      <w:bookmarkStart w:id="63" w:name="_Toc11503"/>
      <w:r>
        <w:rPr>
          <w:rFonts w:hint="eastAsia" w:ascii="宋体" w:hAnsi="宋体" w:eastAsia="宋体" w:cs="宋体"/>
          <w:b/>
          <w:color w:val="auto"/>
          <w:spacing w:val="11"/>
          <w:sz w:val="21"/>
          <w:szCs w:val="21"/>
        </w:rPr>
        <w:t>（一）</w:t>
      </w:r>
      <w:r>
        <w:rPr>
          <w:rFonts w:hint="eastAsia" w:ascii="宋体" w:hAnsi="宋体" w:eastAsia="宋体" w:cs="宋体"/>
          <w:b/>
          <w:color w:val="auto"/>
          <w:spacing w:val="11"/>
          <w:sz w:val="21"/>
          <w:szCs w:val="21"/>
          <w:lang w:eastAsia="zh-CN"/>
        </w:rPr>
        <w:t>磋商响应文件</w:t>
      </w:r>
      <w:r>
        <w:rPr>
          <w:rFonts w:hint="eastAsia" w:ascii="宋体" w:hAnsi="宋体" w:eastAsia="宋体" w:cs="宋体"/>
          <w:b/>
          <w:color w:val="auto"/>
          <w:spacing w:val="11"/>
          <w:sz w:val="21"/>
          <w:szCs w:val="21"/>
        </w:rPr>
        <w:t>的组成</w:t>
      </w:r>
      <w:bookmarkEnd w:id="62"/>
      <w:bookmarkEnd w:id="63"/>
    </w:p>
    <w:p>
      <w:pPr>
        <w:snapToGrid w:val="0"/>
        <w:spacing w:beforeLines="0" w:afterLines="0" w:line="380" w:lineRule="exact"/>
        <w:ind w:firstLine="466" w:firstLineChars="200"/>
        <w:jc w:val="left"/>
        <w:outlineLvl w:val="0"/>
        <w:rPr>
          <w:rFonts w:hint="eastAsia" w:ascii="宋体" w:hAnsi="宋体" w:eastAsia="宋体" w:cs="宋体"/>
          <w:b/>
          <w:color w:val="auto"/>
          <w:spacing w:val="11"/>
          <w:sz w:val="21"/>
          <w:szCs w:val="21"/>
          <w:u w:val="single"/>
        </w:rPr>
      </w:pPr>
      <w:bookmarkStart w:id="64" w:name="_Toc5865"/>
      <w:bookmarkStart w:id="65" w:name="_Toc1705"/>
      <w:r>
        <w:rPr>
          <w:rFonts w:hint="eastAsia" w:ascii="宋体" w:hAnsi="宋体" w:eastAsia="宋体" w:cs="宋体"/>
          <w:b/>
          <w:bCs/>
          <w:color w:val="auto"/>
          <w:spacing w:val="11"/>
          <w:sz w:val="21"/>
          <w:szCs w:val="21"/>
          <w:u w:val="single"/>
          <w:lang w:eastAsia="zh-CN"/>
        </w:rPr>
        <w:t>磋商响应文件由“资格文件”“商务资信及技术文件</w:t>
      </w:r>
      <w:r>
        <w:rPr>
          <w:rFonts w:hint="eastAsia" w:ascii="宋体" w:hAnsi="宋体" w:eastAsia="宋体" w:cs="宋体"/>
          <w:b/>
          <w:bCs/>
          <w:color w:val="auto"/>
          <w:spacing w:val="11"/>
          <w:sz w:val="21"/>
          <w:szCs w:val="21"/>
          <w:u w:val="single"/>
        </w:rPr>
        <w:t>”、“报价文件”组成。</w:t>
      </w:r>
      <w:bookmarkEnd w:id="64"/>
      <w:bookmarkEnd w:id="65"/>
    </w:p>
    <w:p>
      <w:pPr>
        <w:snapToGrid w:val="0"/>
        <w:spacing w:beforeLines="0" w:afterLines="0" w:line="380" w:lineRule="exact"/>
        <w:jc w:val="left"/>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1.资格文件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（1）磋商声明书</w:t>
      </w:r>
      <w:r>
        <w:rPr>
          <w:rFonts w:hint="eastAsia" w:ascii="宋体" w:hAnsi="宋体" w:eastAsia="宋体" w:cs="宋体"/>
          <w:b w:val="0"/>
          <w:bCs/>
          <w:color w:val="auto"/>
          <w:spacing w:val="11"/>
          <w:sz w:val="21"/>
          <w:szCs w:val="21"/>
        </w:rPr>
        <w:t>（格式见附件）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w:t>
      </w:r>
      <w:r>
        <w:rPr>
          <w:rFonts w:hint="eastAsia" w:ascii="宋体" w:hAnsi="宋体" w:eastAsia="宋体" w:cs="宋体"/>
          <w:bCs/>
          <w:szCs w:val="21"/>
          <w:lang w:val="en-US" w:eastAsia="zh-CN"/>
        </w:rPr>
        <w:t>2</w:t>
      </w:r>
      <w:r>
        <w:rPr>
          <w:rFonts w:hint="eastAsia" w:ascii="宋体" w:hAnsi="宋体" w:eastAsia="宋体" w:cs="宋体"/>
          <w:bCs/>
          <w:szCs w:val="21"/>
          <w:lang w:val="zh-CN"/>
        </w:rPr>
        <w:t>）</w:t>
      </w:r>
      <w:r>
        <w:rPr>
          <w:rFonts w:hint="eastAsia" w:ascii="宋体" w:hAnsi="宋体" w:eastAsia="宋体" w:cs="宋体"/>
          <w:bCs/>
          <w:szCs w:val="21"/>
          <w:lang w:val="en-US" w:eastAsia="zh-CN"/>
        </w:rPr>
        <w:t>法定代表人身份证明书</w:t>
      </w:r>
      <w:r>
        <w:rPr>
          <w:rFonts w:hint="eastAsia" w:ascii="宋体" w:hAnsi="宋体" w:eastAsia="宋体" w:cs="宋体"/>
          <w:b w:val="0"/>
          <w:bCs/>
          <w:color w:val="auto"/>
          <w:spacing w:val="11"/>
          <w:sz w:val="21"/>
          <w:szCs w:val="21"/>
        </w:rPr>
        <w:t>（格式见附件）</w:t>
      </w:r>
    </w:p>
    <w:p>
      <w:pPr>
        <w:spacing w:beforeLines="0" w:afterLines="0" w:line="380" w:lineRule="exact"/>
        <w:ind w:firstLine="420" w:firstLineChars="200"/>
        <w:rPr>
          <w:rFonts w:hint="eastAsia" w:ascii="宋体" w:hAnsi="宋体" w:eastAsia="宋体" w:cs="宋体"/>
          <w:b w:val="0"/>
          <w:bCs/>
          <w:color w:val="auto"/>
          <w:spacing w:val="11"/>
          <w:sz w:val="21"/>
          <w:szCs w:val="21"/>
        </w:rPr>
      </w:pPr>
      <w:r>
        <w:rPr>
          <w:rFonts w:hint="eastAsia" w:ascii="宋体" w:hAnsi="宋体" w:eastAsia="宋体" w:cs="宋体"/>
          <w:bCs/>
          <w:szCs w:val="21"/>
          <w:lang w:val="zh-CN"/>
        </w:rPr>
        <w:t>（</w:t>
      </w:r>
      <w:r>
        <w:rPr>
          <w:rFonts w:hint="eastAsia" w:ascii="宋体" w:hAnsi="宋体" w:eastAsia="宋体" w:cs="宋体"/>
          <w:bCs/>
          <w:szCs w:val="21"/>
          <w:lang w:val="en-US" w:eastAsia="zh-CN"/>
        </w:rPr>
        <w:t>3</w:t>
      </w:r>
      <w:r>
        <w:rPr>
          <w:rFonts w:hint="eastAsia" w:ascii="宋体" w:hAnsi="宋体" w:eastAsia="宋体" w:cs="宋体"/>
          <w:bCs/>
          <w:szCs w:val="21"/>
          <w:lang w:val="zh-CN"/>
        </w:rPr>
        <w:t>）</w:t>
      </w:r>
      <w:r>
        <w:rPr>
          <w:rFonts w:hint="eastAsia" w:ascii="宋体" w:hAnsi="宋体" w:eastAsia="宋体" w:cs="宋体"/>
          <w:bCs/>
          <w:szCs w:val="21"/>
          <w:lang w:val="en-US" w:eastAsia="zh-CN"/>
        </w:rPr>
        <w:t>法定代表人授权委托书</w:t>
      </w:r>
      <w:r>
        <w:rPr>
          <w:rFonts w:hint="eastAsia" w:ascii="宋体" w:hAnsi="宋体" w:eastAsia="宋体" w:cs="宋体"/>
          <w:b w:val="0"/>
          <w:bCs/>
          <w:color w:val="auto"/>
          <w:spacing w:val="11"/>
          <w:sz w:val="21"/>
          <w:szCs w:val="21"/>
        </w:rPr>
        <w:t>（格式见附件）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w:t>
      </w:r>
      <w:r>
        <w:rPr>
          <w:rFonts w:hint="eastAsia" w:ascii="宋体" w:hAnsi="宋体" w:eastAsia="宋体" w:cs="宋体"/>
          <w:bCs/>
          <w:szCs w:val="21"/>
          <w:lang w:val="en-US" w:eastAsia="zh-CN"/>
        </w:rPr>
        <w:t>4</w:t>
      </w:r>
      <w:r>
        <w:rPr>
          <w:rFonts w:hint="eastAsia" w:ascii="宋体" w:hAnsi="宋体" w:eastAsia="宋体" w:cs="宋体"/>
          <w:bCs/>
          <w:szCs w:val="21"/>
          <w:lang w:val="zh-CN"/>
        </w:rPr>
        <w:t>）</w:t>
      </w:r>
      <w:r>
        <w:rPr>
          <w:rFonts w:hint="eastAsia" w:ascii="宋体" w:hAnsi="宋体" w:eastAsia="宋体" w:cs="宋体"/>
          <w:bCs/>
          <w:szCs w:val="21"/>
          <w:lang w:val="en-US"/>
        </w:rPr>
        <w:t>资格审查</w:t>
      </w:r>
      <w:r>
        <w:rPr>
          <w:rFonts w:hint="eastAsia" w:ascii="宋体" w:hAnsi="宋体" w:eastAsia="宋体" w:cs="宋体"/>
          <w:bCs/>
          <w:szCs w:val="21"/>
          <w:lang w:val="en-US" w:eastAsia="zh-CN"/>
        </w:rPr>
        <w:t>资料</w:t>
      </w:r>
      <w:r>
        <w:rPr>
          <w:rFonts w:hint="eastAsia" w:ascii="宋体" w:hAnsi="宋体" w:eastAsia="宋体" w:cs="宋体"/>
          <w:bCs/>
          <w:szCs w:val="21"/>
          <w:lang w:eastAsia="zh-CN"/>
        </w:rPr>
        <w:t>（格式自拟）</w:t>
      </w:r>
    </w:p>
    <w:p>
      <w:pPr>
        <w:snapToGrid w:val="0"/>
        <w:spacing w:beforeLines="0" w:afterLines="0" w:line="380" w:lineRule="exact"/>
        <w:jc w:val="left"/>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2.</w:t>
      </w:r>
      <w:r>
        <w:rPr>
          <w:rFonts w:hint="eastAsia" w:ascii="宋体" w:hAnsi="宋体" w:eastAsia="宋体" w:cs="宋体"/>
          <w:b/>
          <w:color w:val="auto"/>
          <w:spacing w:val="11"/>
          <w:sz w:val="21"/>
          <w:szCs w:val="21"/>
          <w:lang w:val="en-US" w:eastAsia="zh-CN"/>
        </w:rPr>
        <w:t>技术/资信/商务文件</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en-US" w:eastAsia="zh-CN"/>
        </w:rPr>
        <w:t>（1）评分规则中涉及的所需提交的材料（参考对应评分项）（格式自拟）；</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en-US" w:eastAsia="zh-CN"/>
        </w:rPr>
        <w:t>（2）供应商需要说明的其他文件和说明（格式自拟）。</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zh-CN" w:eastAsia="zh-CN"/>
        </w:rPr>
        <w:t>（</w:t>
      </w:r>
      <w:r>
        <w:rPr>
          <w:rFonts w:hint="eastAsia" w:ascii="宋体" w:hAnsi="宋体" w:eastAsia="宋体" w:cs="宋体"/>
          <w:color w:val="auto"/>
          <w:spacing w:val="11"/>
          <w:sz w:val="21"/>
          <w:szCs w:val="21"/>
          <w:lang w:val="en-US" w:eastAsia="zh-CN"/>
        </w:rPr>
        <w:t>3</w:t>
      </w:r>
      <w:r>
        <w:rPr>
          <w:rFonts w:hint="eastAsia" w:ascii="宋体" w:hAnsi="宋体" w:eastAsia="宋体" w:cs="宋体"/>
          <w:color w:val="auto"/>
          <w:spacing w:val="11"/>
          <w:sz w:val="21"/>
          <w:szCs w:val="21"/>
          <w:lang w:val="zh-CN" w:eastAsia="zh-CN"/>
        </w:rPr>
        <w:t>）技术偏离表（格式见附件）</w:t>
      </w:r>
    </w:p>
    <w:p>
      <w:pPr>
        <w:snapToGrid w:val="0"/>
        <w:spacing w:beforeLines="0" w:afterLines="0" w:line="380" w:lineRule="exact"/>
        <w:jc w:val="left"/>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lang w:val="en-US" w:eastAsia="zh-CN"/>
        </w:rPr>
        <w:t>3.</w:t>
      </w:r>
      <w:r>
        <w:rPr>
          <w:rFonts w:hint="eastAsia" w:ascii="宋体" w:hAnsi="宋体" w:eastAsia="宋体" w:cs="宋体"/>
          <w:b/>
          <w:color w:val="auto"/>
          <w:spacing w:val="11"/>
          <w:sz w:val="21"/>
          <w:szCs w:val="21"/>
        </w:rPr>
        <w:t>报价文件：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（1）磋商函（格式见附件）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（2）小微企业声明函（格式见附件）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 xml:space="preserve">（3）残疾人福利企业声明函（格式见附件） </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（4）属于监狱企业的证明文件（格式自拟）</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w:t>
      </w:r>
      <w:r>
        <w:rPr>
          <w:rFonts w:hint="eastAsia" w:ascii="宋体" w:hAnsi="宋体" w:cs="宋体"/>
          <w:bCs/>
          <w:szCs w:val="21"/>
          <w:lang w:val="en-US" w:eastAsia="zh-CN"/>
        </w:rPr>
        <w:t>5</w:t>
      </w:r>
      <w:r>
        <w:rPr>
          <w:rFonts w:hint="eastAsia" w:ascii="宋体" w:hAnsi="宋体" w:eastAsia="宋体" w:cs="宋体"/>
          <w:bCs/>
          <w:szCs w:val="21"/>
          <w:lang w:val="zh-CN"/>
        </w:rPr>
        <w:t>）磋商报价一览表（格式见附件）</w:t>
      </w:r>
    </w:p>
    <w:p>
      <w:pPr>
        <w:spacing w:beforeLines="0" w:afterLines="0" w:line="380" w:lineRule="exact"/>
        <w:ind w:firstLine="420" w:firstLineChars="200"/>
        <w:rPr>
          <w:rFonts w:hint="eastAsia" w:ascii="宋体" w:hAnsi="宋体" w:eastAsia="宋体" w:cs="宋体"/>
          <w:bCs/>
          <w:szCs w:val="21"/>
          <w:lang w:val="zh-CN" w:eastAsia="zh-CN"/>
        </w:rPr>
      </w:pPr>
      <w:r>
        <w:rPr>
          <w:rFonts w:hint="eastAsia" w:ascii="宋体" w:hAnsi="宋体" w:eastAsia="宋体" w:cs="宋体"/>
          <w:bCs/>
          <w:szCs w:val="21"/>
          <w:lang w:val="zh-CN"/>
        </w:rPr>
        <w:t>（</w:t>
      </w:r>
      <w:r>
        <w:rPr>
          <w:rFonts w:hint="eastAsia" w:ascii="宋体" w:hAnsi="宋体" w:cs="宋体"/>
          <w:bCs/>
          <w:szCs w:val="21"/>
          <w:lang w:val="en-US" w:eastAsia="zh-CN"/>
        </w:rPr>
        <w:t>6</w:t>
      </w:r>
      <w:r>
        <w:rPr>
          <w:rFonts w:hint="eastAsia" w:ascii="宋体" w:hAnsi="宋体" w:eastAsia="宋体" w:cs="宋体"/>
          <w:bCs/>
          <w:szCs w:val="21"/>
          <w:lang w:val="zh-CN"/>
        </w:rPr>
        <w:t>）</w:t>
      </w:r>
      <w:r>
        <w:rPr>
          <w:rFonts w:hint="eastAsia" w:ascii="宋体" w:hAnsi="宋体" w:eastAsia="宋体" w:cs="宋体"/>
          <w:bCs/>
          <w:szCs w:val="21"/>
          <w:lang w:val="en-US" w:eastAsia="zh-CN"/>
        </w:rPr>
        <w:t>报价明细表</w:t>
      </w:r>
      <w:r>
        <w:rPr>
          <w:rFonts w:hint="eastAsia" w:ascii="宋体" w:hAnsi="宋体" w:eastAsia="宋体" w:cs="宋体"/>
          <w:bCs/>
          <w:szCs w:val="21"/>
          <w:lang w:val="zh-CN"/>
        </w:rPr>
        <w:t>（格式见附件）</w:t>
      </w:r>
    </w:p>
    <w:p>
      <w:pPr>
        <w:spacing w:beforeLines="0" w:afterLines="0" w:line="380" w:lineRule="exact"/>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zh-CN"/>
        </w:rPr>
        <w:t>（</w:t>
      </w:r>
      <w:r>
        <w:rPr>
          <w:rFonts w:hint="eastAsia" w:ascii="宋体" w:hAnsi="宋体" w:cs="宋体"/>
          <w:bCs/>
          <w:szCs w:val="21"/>
          <w:lang w:val="en-US" w:eastAsia="zh-CN"/>
        </w:rPr>
        <w:t>7</w:t>
      </w:r>
      <w:r>
        <w:rPr>
          <w:rFonts w:hint="eastAsia" w:ascii="宋体" w:hAnsi="宋体" w:eastAsia="宋体" w:cs="宋体"/>
          <w:bCs/>
          <w:szCs w:val="21"/>
          <w:lang w:val="zh-CN"/>
        </w:rPr>
        <w:t>）供应商针对报价需要说明的其他文件和说明</w:t>
      </w:r>
      <w:r>
        <w:rPr>
          <w:rFonts w:hint="eastAsia" w:ascii="宋体" w:hAnsi="宋体" w:eastAsia="宋体" w:cs="宋体"/>
          <w:bCs/>
          <w:szCs w:val="21"/>
          <w:lang w:val="zh-CN" w:eastAsia="zh-CN"/>
        </w:rPr>
        <w:t>（格式自拟）</w:t>
      </w:r>
    </w:p>
    <w:p>
      <w:pPr>
        <w:spacing w:beforeLines="0" w:afterLines="0" w:line="380" w:lineRule="exact"/>
        <w:ind w:firstLine="466" w:firstLineChars="200"/>
        <w:rPr>
          <w:rFonts w:hint="eastAsia" w:ascii="宋体" w:hAnsi="宋体" w:eastAsia="宋体" w:cs="宋体"/>
          <w:b/>
          <w:color w:val="auto"/>
          <w:spacing w:val="11"/>
          <w:sz w:val="21"/>
          <w:szCs w:val="21"/>
        </w:rPr>
      </w:pPr>
      <w:r>
        <w:rPr>
          <w:rFonts w:hint="eastAsia" w:ascii="宋体" w:hAnsi="宋体" w:eastAsia="宋体" w:cs="宋体"/>
          <w:b/>
          <w:bCs/>
          <w:color w:val="auto"/>
          <w:spacing w:val="11"/>
          <w:sz w:val="21"/>
          <w:szCs w:val="21"/>
        </w:rPr>
        <w:t>注：</w:t>
      </w:r>
      <w:r>
        <w:rPr>
          <w:rFonts w:hint="eastAsia" w:ascii="宋体" w:hAnsi="宋体" w:eastAsia="宋体" w:cs="宋体"/>
          <w:b/>
          <w:bCs/>
          <w:color w:val="auto"/>
          <w:spacing w:val="11"/>
          <w:sz w:val="21"/>
          <w:szCs w:val="21"/>
          <w:lang w:eastAsia="zh-CN"/>
        </w:rPr>
        <w:t>供应商</w:t>
      </w:r>
      <w:r>
        <w:rPr>
          <w:rFonts w:hint="eastAsia" w:ascii="宋体" w:hAnsi="宋体" w:eastAsia="宋体" w:cs="宋体"/>
          <w:b/>
          <w:bCs/>
          <w:color w:val="auto"/>
          <w:spacing w:val="11"/>
          <w:sz w:val="21"/>
          <w:szCs w:val="21"/>
        </w:rPr>
        <w:t>应根据</w:t>
      </w:r>
      <w:r>
        <w:rPr>
          <w:rFonts w:hint="eastAsia" w:ascii="宋体" w:hAnsi="宋体" w:eastAsia="宋体" w:cs="宋体"/>
          <w:b/>
          <w:bCs/>
          <w:color w:val="auto"/>
          <w:spacing w:val="11"/>
          <w:sz w:val="21"/>
          <w:szCs w:val="21"/>
          <w:lang w:eastAsia="zh-CN"/>
        </w:rPr>
        <w:t>磋商文件</w:t>
      </w:r>
      <w:r>
        <w:rPr>
          <w:rFonts w:hint="eastAsia" w:ascii="宋体" w:hAnsi="宋体" w:eastAsia="宋体" w:cs="宋体"/>
          <w:b/>
          <w:bCs/>
          <w:color w:val="auto"/>
          <w:spacing w:val="11"/>
          <w:sz w:val="21"/>
          <w:szCs w:val="21"/>
        </w:rPr>
        <w:t>中所提供的格式编制</w:t>
      </w:r>
      <w:r>
        <w:rPr>
          <w:rFonts w:hint="eastAsia" w:ascii="宋体" w:hAnsi="宋体" w:eastAsia="宋体" w:cs="宋体"/>
          <w:b/>
          <w:bCs/>
          <w:color w:val="auto"/>
          <w:spacing w:val="11"/>
          <w:sz w:val="21"/>
          <w:szCs w:val="21"/>
          <w:lang w:eastAsia="zh-CN"/>
        </w:rPr>
        <w:t>磋商响应文件</w:t>
      </w:r>
      <w:r>
        <w:rPr>
          <w:rFonts w:hint="eastAsia" w:ascii="宋体" w:hAnsi="宋体" w:eastAsia="宋体" w:cs="宋体"/>
          <w:b/>
          <w:bCs/>
          <w:color w:val="auto"/>
          <w:spacing w:val="11"/>
          <w:sz w:val="21"/>
          <w:szCs w:val="21"/>
        </w:rPr>
        <w:t>，对于未提供格式的可自行确定，复印件均须加盖</w:t>
      </w:r>
      <w:r>
        <w:rPr>
          <w:rFonts w:hint="eastAsia" w:ascii="宋体" w:hAnsi="宋体" w:eastAsia="宋体" w:cs="宋体"/>
          <w:b/>
          <w:bCs/>
          <w:color w:val="auto"/>
          <w:spacing w:val="11"/>
          <w:sz w:val="21"/>
          <w:szCs w:val="21"/>
          <w:lang w:eastAsia="zh-CN"/>
        </w:rPr>
        <w:t>供应商</w:t>
      </w:r>
      <w:r>
        <w:rPr>
          <w:rFonts w:hint="eastAsia" w:ascii="宋体" w:hAnsi="宋体" w:eastAsia="宋体" w:cs="宋体"/>
          <w:b/>
          <w:bCs/>
          <w:color w:val="auto"/>
          <w:spacing w:val="11"/>
          <w:sz w:val="21"/>
          <w:szCs w:val="21"/>
        </w:rPr>
        <w:t>公章，复印件应清晰可辨认（建议采用原件的扫描件）。</w:t>
      </w:r>
    </w:p>
    <w:p>
      <w:pPr>
        <w:snapToGrid w:val="0"/>
        <w:spacing w:beforeLines="0" w:afterLines="0" w:line="380" w:lineRule="exact"/>
        <w:ind w:firstLine="466" w:firstLineChars="200"/>
        <w:jc w:val="left"/>
        <w:outlineLvl w:val="0"/>
        <w:rPr>
          <w:rFonts w:hint="eastAsia" w:ascii="宋体" w:hAnsi="宋体" w:eastAsia="宋体" w:cs="宋体"/>
          <w:b/>
          <w:color w:val="auto"/>
          <w:spacing w:val="11"/>
          <w:sz w:val="21"/>
          <w:szCs w:val="21"/>
        </w:rPr>
      </w:pPr>
      <w:bookmarkStart w:id="66" w:name="_Toc11637"/>
      <w:bookmarkStart w:id="67" w:name="_Toc22914"/>
      <w:r>
        <w:rPr>
          <w:rFonts w:hint="eastAsia" w:ascii="宋体" w:hAnsi="宋体" w:eastAsia="宋体" w:cs="宋体"/>
          <w:b/>
          <w:color w:val="auto"/>
          <w:spacing w:val="11"/>
          <w:sz w:val="21"/>
          <w:szCs w:val="21"/>
        </w:rPr>
        <w:t>（二）</w:t>
      </w:r>
      <w:r>
        <w:rPr>
          <w:rFonts w:hint="eastAsia" w:ascii="宋体" w:hAnsi="宋体" w:eastAsia="宋体" w:cs="宋体"/>
          <w:b/>
          <w:color w:val="auto"/>
          <w:spacing w:val="11"/>
          <w:sz w:val="21"/>
          <w:szCs w:val="21"/>
          <w:lang w:eastAsia="zh-CN"/>
        </w:rPr>
        <w:t>磋商响应文件</w:t>
      </w:r>
      <w:r>
        <w:rPr>
          <w:rFonts w:hint="eastAsia" w:ascii="宋体" w:hAnsi="宋体" w:eastAsia="宋体" w:cs="宋体"/>
          <w:b/>
          <w:color w:val="auto"/>
          <w:spacing w:val="11"/>
          <w:sz w:val="21"/>
          <w:szCs w:val="21"/>
        </w:rPr>
        <w:t>的语言及计量</w:t>
      </w:r>
      <w:bookmarkEnd w:id="66"/>
      <w:bookmarkEnd w:id="67"/>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以及就有关磋商事宜的所有来往函电，均应以中文汉语书写。除签名、盖章、专用名称等特殊情形外，以中文汉语以外的文字表述的</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视同未提供。</w:t>
      </w:r>
    </w:p>
    <w:p>
      <w:pPr>
        <w:snapToGrid w:val="0"/>
        <w:spacing w:beforeLines="0" w:afterLines="0" w:line="380" w:lineRule="exact"/>
        <w:ind w:firstLine="464" w:firstLineChars="200"/>
        <w:jc w:val="lef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已有明确规定的，使用</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规定的计量单位；</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没有规定的，应采用中华人民共和国法定计量单位（货币单位：人民币元），否则视同未响应。</w:t>
      </w:r>
    </w:p>
    <w:p>
      <w:pPr>
        <w:snapToGrid w:val="0"/>
        <w:spacing w:beforeLines="0" w:afterLines="0" w:line="380" w:lineRule="exact"/>
        <w:ind w:firstLine="466" w:firstLineChars="200"/>
        <w:jc w:val="left"/>
        <w:outlineLvl w:val="0"/>
        <w:rPr>
          <w:rFonts w:hint="eastAsia" w:ascii="宋体" w:hAnsi="宋体" w:eastAsia="宋体" w:cs="宋体"/>
          <w:b/>
          <w:color w:val="auto"/>
          <w:spacing w:val="11"/>
          <w:sz w:val="21"/>
          <w:szCs w:val="21"/>
          <w:lang w:eastAsia="zh-CN"/>
        </w:rPr>
      </w:pPr>
      <w:bookmarkStart w:id="68" w:name="_Toc19977"/>
      <w:bookmarkStart w:id="69" w:name="_Toc4050"/>
      <w:r>
        <w:rPr>
          <w:rFonts w:hint="eastAsia" w:ascii="宋体" w:hAnsi="宋体" w:eastAsia="宋体" w:cs="宋体"/>
          <w:b/>
          <w:color w:val="auto"/>
          <w:spacing w:val="11"/>
          <w:sz w:val="21"/>
          <w:szCs w:val="21"/>
        </w:rPr>
        <w:t>（三）</w:t>
      </w:r>
      <w:r>
        <w:rPr>
          <w:rFonts w:hint="eastAsia" w:ascii="宋体" w:hAnsi="宋体" w:eastAsia="宋体" w:cs="宋体"/>
          <w:b/>
          <w:color w:val="auto"/>
          <w:spacing w:val="11"/>
          <w:sz w:val="21"/>
          <w:szCs w:val="21"/>
          <w:lang w:eastAsia="zh-CN"/>
        </w:rPr>
        <w:t>磋商报价</w:t>
      </w:r>
      <w:bookmarkEnd w:id="68"/>
      <w:bookmarkEnd w:id="69"/>
    </w:p>
    <w:p>
      <w:pPr>
        <w:snapToGrid w:val="0"/>
        <w:spacing w:line="380" w:lineRule="exact"/>
        <w:ind w:firstLine="464" w:firstLineChars="200"/>
        <w:jc w:val="left"/>
        <w:outlineLvl w:val="0"/>
        <w:rPr>
          <w:rFonts w:hint="eastAsia" w:ascii="宋体" w:hAnsi="宋体" w:cs="宋体"/>
          <w:bCs/>
          <w:spacing w:val="11"/>
          <w:szCs w:val="21"/>
        </w:rPr>
      </w:pPr>
      <w:bookmarkStart w:id="70" w:name="_Toc12816"/>
      <w:bookmarkStart w:id="71" w:name="_Toc13184"/>
      <w:bookmarkStart w:id="72" w:name="_Toc27296"/>
      <w:r>
        <w:rPr>
          <w:rFonts w:hint="eastAsia" w:ascii="宋体" w:hAnsi="宋体" w:cs="宋体"/>
          <w:bCs/>
          <w:spacing w:val="11"/>
          <w:szCs w:val="21"/>
        </w:rPr>
        <w:t>1.磋商报价应按磋商文件中相关附表格式填写。</w:t>
      </w:r>
      <w:bookmarkEnd w:id="70"/>
      <w:bookmarkEnd w:id="71"/>
    </w:p>
    <w:p>
      <w:pPr>
        <w:snapToGrid w:val="0"/>
        <w:spacing w:line="380" w:lineRule="exact"/>
        <w:ind w:firstLine="464" w:firstLineChars="200"/>
        <w:jc w:val="left"/>
        <w:outlineLvl w:val="0"/>
        <w:rPr>
          <w:rFonts w:hint="eastAsia" w:ascii="宋体" w:hAnsi="宋体" w:cs="宋体"/>
          <w:bCs/>
          <w:spacing w:val="11"/>
          <w:szCs w:val="21"/>
        </w:rPr>
      </w:pPr>
      <w:bookmarkStart w:id="73" w:name="_Toc7524"/>
      <w:bookmarkStart w:id="74" w:name="_Toc15111"/>
      <w:r>
        <w:rPr>
          <w:rFonts w:hint="eastAsia" w:ascii="宋体" w:hAnsi="宋体" w:cs="宋体"/>
          <w:spacing w:val="11"/>
          <w:szCs w:val="21"/>
        </w:rPr>
        <w:t>▲</w:t>
      </w:r>
      <w:r>
        <w:rPr>
          <w:rFonts w:hint="eastAsia" w:ascii="宋体" w:hAnsi="宋体" w:cs="宋体"/>
          <w:bCs/>
          <w:spacing w:val="11"/>
          <w:szCs w:val="21"/>
        </w:rPr>
        <w:t>2.磋商响应文件只允许有一个报价，有选择的或有条件的报价将不予接受。</w:t>
      </w:r>
      <w:bookmarkEnd w:id="73"/>
      <w:bookmarkEnd w:id="74"/>
    </w:p>
    <w:p>
      <w:pPr>
        <w:snapToGrid w:val="0"/>
        <w:spacing w:line="380" w:lineRule="exact"/>
        <w:ind w:firstLine="464" w:firstLineChars="200"/>
        <w:jc w:val="left"/>
        <w:outlineLvl w:val="0"/>
        <w:rPr>
          <w:rFonts w:hint="eastAsia" w:ascii="宋体" w:hAnsi="宋体" w:cs="宋体"/>
          <w:bCs/>
          <w:spacing w:val="11"/>
          <w:szCs w:val="21"/>
        </w:rPr>
      </w:pPr>
      <w:bookmarkStart w:id="75" w:name="_Toc6942"/>
      <w:bookmarkStart w:id="76" w:name="_Toc14696"/>
      <w:r>
        <w:rPr>
          <w:rFonts w:hint="eastAsia" w:ascii="宋体" w:hAnsi="宋体" w:cs="宋体"/>
          <w:bCs/>
          <w:spacing w:val="11"/>
          <w:szCs w:val="21"/>
        </w:rPr>
        <w:t>3.磋商分二轮进行，首次报价在响应文件中体现；最终报价由各实质性响应的供应商在规定的时间内在政采云平台在线完成；政采云平台在线报价操作失败的，供应商应及时联系采购代理机构，通过指定的电子邮箱提供（格式见附件，指定邮箱号574267983@qq.com）。各供应商事先应做好充足准备，如未能在规定的时间内提供最终报价（在线报价操作失败的除外），作自动放弃处理，按首次报价进入报价评审。</w:t>
      </w:r>
      <w:bookmarkEnd w:id="75"/>
      <w:r>
        <w:rPr>
          <w:rFonts w:hint="eastAsia" w:ascii="宋体" w:hAnsi="宋体" w:cs="宋体"/>
          <w:b/>
          <w:bCs w:val="0"/>
          <w:spacing w:val="11"/>
          <w:szCs w:val="21"/>
        </w:rPr>
        <w:t>因本项目采用竞争性磋商方式，成交价是在首次磋商报价的基础上整体下浮，单价按最后报价与首次报价同比例下浮。</w:t>
      </w:r>
      <w:bookmarkEnd w:id="76"/>
    </w:p>
    <w:p>
      <w:pPr>
        <w:snapToGrid w:val="0"/>
        <w:spacing w:line="380" w:lineRule="exact"/>
        <w:ind w:firstLine="464" w:firstLineChars="200"/>
        <w:jc w:val="left"/>
        <w:outlineLvl w:val="0"/>
        <w:rPr>
          <w:rFonts w:hint="eastAsia" w:ascii="宋体" w:hAnsi="宋体" w:cs="宋体"/>
          <w:bCs/>
          <w:spacing w:val="11"/>
          <w:szCs w:val="21"/>
        </w:rPr>
      </w:pPr>
      <w:bookmarkStart w:id="77" w:name="_Toc31060"/>
      <w:bookmarkStart w:id="78" w:name="_Toc4351"/>
      <w:r>
        <w:rPr>
          <w:rFonts w:hint="eastAsia" w:ascii="宋体" w:hAnsi="宋体" w:cs="宋体"/>
          <w:bCs/>
          <w:spacing w:val="11"/>
          <w:szCs w:val="21"/>
        </w:rPr>
        <w:t>4.供应商的最后报价由供应商自担全部风险责任；</w:t>
      </w:r>
      <w:bookmarkEnd w:id="77"/>
    </w:p>
    <w:p>
      <w:pPr>
        <w:snapToGrid w:val="0"/>
        <w:spacing w:line="380" w:lineRule="exact"/>
        <w:ind w:firstLine="464" w:firstLineChars="200"/>
        <w:jc w:val="left"/>
        <w:outlineLvl w:val="0"/>
        <w:rPr>
          <w:rFonts w:hint="eastAsia" w:ascii="宋体" w:hAnsi="宋体" w:cs="宋体"/>
          <w:bCs/>
          <w:spacing w:val="11"/>
          <w:szCs w:val="21"/>
        </w:rPr>
      </w:pPr>
      <w:bookmarkStart w:id="79" w:name="_Toc23188"/>
      <w:r>
        <w:rPr>
          <w:rFonts w:hint="eastAsia" w:ascii="宋体" w:hAnsi="宋体" w:cs="宋体"/>
          <w:bCs/>
          <w:spacing w:val="11"/>
          <w:szCs w:val="21"/>
        </w:rPr>
        <w:t>5.各供应商拟采取的竞争措施和提供给采购人的优惠条件应在磋商响应文件中列明；</w:t>
      </w:r>
      <w:bookmarkEnd w:id="79"/>
    </w:p>
    <w:p>
      <w:pPr>
        <w:snapToGrid w:val="0"/>
        <w:spacing w:line="380" w:lineRule="exact"/>
        <w:ind w:firstLine="464" w:firstLineChars="200"/>
        <w:jc w:val="left"/>
        <w:outlineLvl w:val="0"/>
        <w:rPr>
          <w:rFonts w:hint="eastAsia" w:ascii="宋体" w:hAnsi="宋体" w:cs="宋体"/>
          <w:bCs/>
          <w:spacing w:val="11"/>
          <w:szCs w:val="21"/>
        </w:rPr>
      </w:pPr>
      <w:bookmarkStart w:id="80" w:name="_Toc7481"/>
      <w:r>
        <w:rPr>
          <w:rFonts w:hint="eastAsia" w:ascii="宋体" w:hAnsi="宋体" w:cs="宋体"/>
          <w:bCs/>
          <w:spacing w:val="11"/>
          <w:szCs w:val="21"/>
        </w:rPr>
        <w:t>6.供应商所有优惠条件和优惠费用不得降低和影响本项目质量；</w:t>
      </w:r>
      <w:bookmarkEnd w:id="80"/>
    </w:p>
    <w:p>
      <w:pPr>
        <w:snapToGrid w:val="0"/>
        <w:spacing w:line="380" w:lineRule="exact"/>
        <w:ind w:firstLine="464" w:firstLineChars="200"/>
        <w:jc w:val="left"/>
        <w:outlineLvl w:val="0"/>
        <w:rPr>
          <w:rFonts w:hint="eastAsia" w:ascii="宋体" w:hAnsi="宋体" w:cs="宋体"/>
          <w:bCs/>
          <w:spacing w:val="11"/>
          <w:szCs w:val="21"/>
        </w:rPr>
      </w:pPr>
      <w:bookmarkStart w:id="81" w:name="_Toc1483"/>
      <w:r>
        <w:rPr>
          <w:rFonts w:hint="eastAsia" w:ascii="宋体" w:hAnsi="宋体" w:cs="宋体"/>
          <w:bCs/>
          <w:spacing w:val="11"/>
          <w:szCs w:val="21"/>
        </w:rPr>
        <w:t>7.报价大写与小写不符时</w:t>
      </w:r>
      <w:r>
        <w:rPr>
          <w:rFonts w:hint="eastAsia" w:ascii="宋体" w:hAnsi="宋体" w:cs="宋体"/>
          <w:bCs/>
          <w:spacing w:val="11"/>
          <w:szCs w:val="21"/>
          <w:lang w:eastAsia="zh-CN"/>
        </w:rPr>
        <w:t>，</w:t>
      </w:r>
      <w:r>
        <w:rPr>
          <w:rFonts w:hint="eastAsia" w:ascii="宋体" w:hAnsi="宋体" w:cs="宋体"/>
          <w:bCs/>
          <w:spacing w:val="11"/>
          <w:szCs w:val="21"/>
        </w:rPr>
        <w:t>以大写为准；</w:t>
      </w:r>
      <w:bookmarkEnd w:id="81"/>
    </w:p>
    <w:p>
      <w:pPr>
        <w:snapToGrid w:val="0"/>
        <w:spacing w:line="380" w:lineRule="exact"/>
        <w:ind w:firstLine="464" w:firstLineChars="200"/>
        <w:jc w:val="left"/>
        <w:outlineLvl w:val="0"/>
        <w:rPr>
          <w:rFonts w:hint="eastAsia" w:ascii="宋体" w:hAnsi="宋体" w:cs="宋体"/>
          <w:bCs/>
          <w:spacing w:val="11"/>
          <w:szCs w:val="21"/>
        </w:rPr>
      </w:pPr>
      <w:bookmarkStart w:id="82" w:name="_Toc20355"/>
      <w:r>
        <w:rPr>
          <w:rFonts w:hint="eastAsia" w:ascii="宋体" w:hAnsi="宋体" w:cs="宋体"/>
          <w:bCs/>
          <w:spacing w:val="11"/>
          <w:szCs w:val="21"/>
        </w:rPr>
        <w:t>8.供应商对磋商响应文件里有关磋商报价的全部内容应仔细确认，若有个别异议，应在开标前提出修改意见，否则视同全部确认。</w:t>
      </w:r>
      <w:bookmarkEnd w:id="82"/>
    </w:p>
    <w:bookmarkEnd w:id="78"/>
    <w:p>
      <w:pPr>
        <w:snapToGrid w:val="0"/>
        <w:spacing w:beforeLines="0" w:afterLines="0" w:line="380" w:lineRule="exact"/>
        <w:ind w:firstLine="464" w:firstLineChars="200"/>
        <w:jc w:val="left"/>
        <w:outlineLvl w:val="0"/>
        <w:rPr>
          <w:rFonts w:hint="eastAsia" w:ascii="宋体" w:hAnsi="宋体" w:eastAsia="宋体" w:cs="宋体"/>
          <w:bCs/>
          <w:color w:val="auto"/>
          <w:spacing w:val="11"/>
          <w:sz w:val="21"/>
          <w:szCs w:val="21"/>
        </w:rPr>
      </w:pPr>
      <w:bookmarkStart w:id="83" w:name="_Toc26943"/>
      <w:r>
        <w:rPr>
          <w:rFonts w:hint="eastAsia" w:ascii="宋体" w:hAnsi="宋体" w:eastAsia="宋体" w:cs="宋体"/>
          <w:bCs/>
          <w:color w:val="auto"/>
          <w:spacing w:val="11"/>
          <w:sz w:val="21"/>
          <w:szCs w:val="21"/>
          <w:lang w:val="en-US" w:eastAsia="zh-CN"/>
        </w:rPr>
        <w:t>9</w:t>
      </w:r>
      <w:r>
        <w:rPr>
          <w:rFonts w:hint="eastAsia" w:ascii="宋体" w:hAnsi="宋体" w:eastAsia="宋体" w:cs="宋体"/>
          <w:bCs/>
          <w:color w:val="auto"/>
          <w:spacing w:val="11"/>
          <w:sz w:val="21"/>
          <w:szCs w:val="21"/>
          <w:lang w:eastAsia="zh-CN"/>
        </w:rPr>
        <w:t>.</w:t>
      </w:r>
      <w:bookmarkEnd w:id="72"/>
      <w:r>
        <w:rPr>
          <w:rFonts w:hint="eastAsia" w:ascii="宋体" w:hAnsi="宋体" w:cs="宋体"/>
          <w:bCs/>
          <w:spacing w:val="11"/>
          <w:szCs w:val="21"/>
          <w:highlight w:val="none"/>
        </w:rPr>
        <w:t>磋商报价应是响应文件确定范围内的全部工作内容的价格表现，费用包括所投货物及其备品备件和专用工具费用、税费及包装、运至最终目的地的运输、保险、现场装卸、检测验收、售后服务、维保及相关劳务支出等工作所发生的全部费用以及供应商企业利润、税金和政策性文件规定及合同包含的所有风险、责任等各项应有费用及招标代理费。如在实施期间有需要实施而未列入报价的费用，将被视为均已包含在报价中。</w:t>
      </w:r>
      <w:bookmarkEnd w:id="83"/>
    </w:p>
    <w:p>
      <w:pPr>
        <w:pStyle w:val="6"/>
        <w:widowControl w:val="0"/>
        <w:tabs>
          <w:tab w:val="left" w:pos="720"/>
        </w:tabs>
        <w:snapToGrid w:val="0"/>
        <w:spacing w:beforeLines="0" w:after="0" w:afterLines="0" w:line="380" w:lineRule="exact"/>
        <w:ind w:left="0" w:firstLine="466" w:firstLineChars="200"/>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（四）</w:t>
      </w:r>
      <w:r>
        <w:rPr>
          <w:rFonts w:hint="eastAsia" w:ascii="宋体" w:hAnsi="宋体" w:eastAsia="宋体" w:cs="宋体"/>
          <w:b/>
          <w:color w:val="auto"/>
          <w:spacing w:val="11"/>
          <w:sz w:val="21"/>
          <w:szCs w:val="21"/>
          <w:lang w:eastAsia="zh-CN"/>
        </w:rPr>
        <w:t>磋商响应文件</w:t>
      </w:r>
      <w:r>
        <w:rPr>
          <w:rFonts w:hint="eastAsia" w:ascii="宋体" w:hAnsi="宋体" w:eastAsia="宋体" w:cs="宋体"/>
          <w:b/>
          <w:color w:val="auto"/>
          <w:spacing w:val="11"/>
          <w:sz w:val="21"/>
          <w:szCs w:val="21"/>
        </w:rPr>
        <w:t>的有效期</w:t>
      </w:r>
    </w:p>
    <w:p>
      <w:pPr>
        <w:pStyle w:val="6"/>
        <w:widowControl w:val="0"/>
        <w:tabs>
          <w:tab w:val="left" w:pos="720"/>
        </w:tabs>
        <w:snapToGrid w:val="0"/>
        <w:spacing w:beforeLines="0" w:after="0" w:afterLines="0" w:line="380" w:lineRule="exact"/>
        <w:ind w:left="0"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▲1.自</w:t>
      </w:r>
      <w:r>
        <w:rPr>
          <w:rFonts w:hint="eastAsia" w:ascii="宋体" w:hAnsi="宋体" w:eastAsia="宋体" w:cs="宋体"/>
          <w:color w:val="auto"/>
          <w:spacing w:val="11"/>
          <w:sz w:val="21"/>
          <w:szCs w:val="21"/>
          <w:highlight w:val="none"/>
          <w:lang w:eastAsia="zh-CN"/>
        </w:rPr>
        <w:t>磋商响应截止日</w:t>
      </w:r>
      <w:r>
        <w:rPr>
          <w:rFonts w:hint="eastAsia" w:ascii="宋体" w:hAnsi="宋体" w:eastAsia="宋体" w:cs="宋体"/>
          <w:color w:val="auto"/>
          <w:spacing w:val="11"/>
          <w:sz w:val="21"/>
          <w:szCs w:val="21"/>
          <w:highlight w:val="none"/>
        </w:rPr>
        <w:t>起</w:t>
      </w:r>
      <w:r>
        <w:rPr>
          <w:rFonts w:hint="eastAsia" w:ascii="宋体" w:hAnsi="宋体" w:eastAsia="宋体" w:cs="宋体"/>
          <w:color w:val="auto"/>
          <w:spacing w:val="11"/>
          <w:sz w:val="21"/>
          <w:szCs w:val="21"/>
          <w:highlight w:val="none"/>
          <w:u w:val="single"/>
        </w:rPr>
        <w:t>60</w:t>
      </w:r>
      <w:r>
        <w:rPr>
          <w:rFonts w:hint="eastAsia" w:ascii="宋体" w:hAnsi="宋体" w:eastAsia="宋体" w:cs="宋体"/>
          <w:color w:val="auto"/>
          <w:spacing w:val="11"/>
          <w:sz w:val="21"/>
          <w:szCs w:val="21"/>
          <w:highlight w:val="none"/>
        </w:rPr>
        <w:t>天</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应保持有效。有效期不足的</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将被拒绝。</w:t>
      </w:r>
    </w:p>
    <w:p>
      <w:pPr>
        <w:pStyle w:val="6"/>
        <w:widowControl w:val="0"/>
        <w:tabs>
          <w:tab w:val="left" w:pos="720"/>
        </w:tabs>
        <w:snapToGrid w:val="0"/>
        <w:spacing w:beforeLines="0" w:after="0" w:afterLines="0" w:line="380" w:lineRule="exact"/>
        <w:ind w:left="0"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2.在特殊情况下，</w:t>
      </w:r>
      <w:r>
        <w:rPr>
          <w:rFonts w:hint="eastAsia" w:ascii="宋体"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可与</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协商延长有效期，这种要求和答复均以书面形式进行。</w:t>
      </w:r>
    </w:p>
    <w:p>
      <w:pPr>
        <w:snapToGrid w:val="0"/>
        <w:spacing w:beforeLines="0" w:afterLines="0" w:line="380" w:lineRule="exact"/>
        <w:ind w:firstLine="464" w:firstLineChars="200"/>
        <w:jc w:val="left"/>
        <w:outlineLvl w:val="0"/>
        <w:rPr>
          <w:rFonts w:hint="eastAsia" w:ascii="宋体" w:hAnsi="宋体" w:eastAsia="宋体" w:cs="宋体"/>
          <w:b/>
          <w:color w:val="auto"/>
          <w:spacing w:val="11"/>
          <w:sz w:val="21"/>
          <w:szCs w:val="21"/>
        </w:rPr>
      </w:pPr>
      <w:bookmarkStart w:id="84" w:name="_Toc7653"/>
      <w:bookmarkStart w:id="85" w:name="_Toc29648"/>
      <w:r>
        <w:rPr>
          <w:rFonts w:hint="eastAsia" w:ascii="宋体" w:hAnsi="宋体" w:eastAsia="宋体" w:cs="宋体"/>
          <w:color w:val="auto"/>
          <w:spacing w:val="11"/>
          <w:sz w:val="21"/>
          <w:szCs w:val="21"/>
        </w:rPr>
        <w:t>3.</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可拒绝接受延期要求。同意延长有效期的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不能修改或撤回</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w:t>
      </w:r>
      <w:bookmarkEnd w:id="84"/>
      <w:bookmarkEnd w:id="85"/>
      <w:r>
        <w:rPr>
          <w:rFonts w:hint="eastAsia" w:ascii="宋体" w:hAnsi="宋体" w:eastAsia="宋体" w:cs="宋体"/>
          <w:b/>
          <w:color w:val="auto"/>
          <w:spacing w:val="11"/>
          <w:sz w:val="21"/>
          <w:szCs w:val="21"/>
        </w:rPr>
        <w:t xml:space="preserve"> </w:t>
      </w:r>
    </w:p>
    <w:p>
      <w:pPr>
        <w:snapToGrid w:val="0"/>
        <w:spacing w:beforeLines="0" w:afterLines="0" w:line="380" w:lineRule="exact"/>
        <w:ind w:firstLine="464" w:firstLineChars="200"/>
        <w:jc w:val="left"/>
        <w:outlineLvl w:val="0"/>
        <w:rPr>
          <w:rFonts w:hint="eastAsia" w:ascii="宋体" w:hAnsi="宋体" w:eastAsia="宋体" w:cs="宋体"/>
          <w:color w:val="auto"/>
          <w:spacing w:val="11"/>
          <w:sz w:val="21"/>
          <w:szCs w:val="21"/>
        </w:rPr>
      </w:pPr>
      <w:bookmarkStart w:id="86" w:name="_Toc7287"/>
      <w:bookmarkStart w:id="87" w:name="_Toc22404"/>
      <w:r>
        <w:rPr>
          <w:rFonts w:hint="eastAsia" w:ascii="宋体" w:hAnsi="宋体" w:eastAsia="宋体" w:cs="宋体"/>
          <w:color w:val="auto"/>
          <w:spacing w:val="11"/>
          <w:sz w:val="21"/>
          <w:szCs w:val="21"/>
        </w:rPr>
        <w:t>4.</w:t>
      </w:r>
      <w:r>
        <w:rPr>
          <w:rFonts w:hint="eastAsia" w:ascii="宋体" w:hAnsi="宋体" w:eastAsia="宋体" w:cs="宋体"/>
          <w:color w:val="auto"/>
          <w:spacing w:val="11"/>
          <w:sz w:val="21"/>
          <w:szCs w:val="21"/>
          <w:lang w:eastAsia="zh-CN"/>
        </w:rPr>
        <w:t>成交供应商</w:t>
      </w:r>
      <w:r>
        <w:rPr>
          <w:rFonts w:hint="eastAsia" w:ascii="宋体" w:hAnsi="宋体" w:eastAsia="宋体" w:cs="宋体"/>
          <w:color w:val="auto"/>
          <w:spacing w:val="11"/>
          <w:sz w:val="21"/>
          <w:szCs w:val="21"/>
        </w:rPr>
        <w:t>的</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自磋商响应截止之日起至合同履行完毕止均应保持有效。</w:t>
      </w:r>
      <w:bookmarkEnd w:id="86"/>
      <w:bookmarkEnd w:id="87"/>
    </w:p>
    <w:p>
      <w:pPr>
        <w:snapToGrid w:val="0"/>
        <w:spacing w:beforeLines="0" w:afterLines="0" w:line="380" w:lineRule="exact"/>
        <w:ind w:firstLine="466" w:firstLineChars="200"/>
        <w:jc w:val="left"/>
        <w:outlineLvl w:val="0"/>
        <w:rPr>
          <w:rFonts w:hint="eastAsia" w:ascii="宋体" w:hAnsi="宋体" w:eastAsia="宋体" w:cs="宋体"/>
          <w:b/>
          <w:color w:val="auto"/>
          <w:spacing w:val="11"/>
          <w:sz w:val="21"/>
          <w:szCs w:val="21"/>
        </w:rPr>
      </w:pPr>
      <w:bookmarkStart w:id="88" w:name="_Toc16403"/>
      <w:bookmarkStart w:id="89" w:name="_Toc16929"/>
      <w:r>
        <w:rPr>
          <w:rFonts w:hint="eastAsia" w:ascii="宋体" w:hAnsi="宋体" w:eastAsia="宋体" w:cs="宋体"/>
          <w:b/>
          <w:color w:val="auto"/>
          <w:spacing w:val="11"/>
          <w:sz w:val="21"/>
          <w:szCs w:val="21"/>
        </w:rPr>
        <w:t>（五）</w:t>
      </w:r>
      <w:r>
        <w:rPr>
          <w:rFonts w:hint="eastAsia" w:ascii="宋体" w:hAnsi="宋体" w:eastAsia="宋体" w:cs="宋体"/>
          <w:b/>
          <w:color w:val="auto"/>
          <w:spacing w:val="11"/>
          <w:sz w:val="21"/>
          <w:szCs w:val="21"/>
          <w:lang w:eastAsia="zh-CN"/>
        </w:rPr>
        <w:t>磋商保证金：</w:t>
      </w:r>
      <w:r>
        <w:rPr>
          <w:rFonts w:hint="eastAsia" w:ascii="宋体" w:hAnsi="宋体" w:eastAsia="宋体" w:cs="宋体"/>
          <w:color w:val="auto"/>
          <w:spacing w:val="11"/>
          <w:sz w:val="21"/>
          <w:szCs w:val="21"/>
          <w:lang w:eastAsia="zh-CN"/>
        </w:rPr>
        <w:t>无</w:t>
      </w:r>
      <w:bookmarkEnd w:id="88"/>
      <w:bookmarkEnd w:id="89"/>
    </w:p>
    <w:p>
      <w:pPr>
        <w:snapToGrid w:val="0"/>
        <w:spacing w:beforeLines="0" w:afterLines="0" w:line="380" w:lineRule="exact"/>
        <w:ind w:firstLine="466" w:firstLineChars="200"/>
        <w:jc w:val="left"/>
        <w:outlineLvl w:val="0"/>
        <w:rPr>
          <w:rFonts w:hint="eastAsia" w:ascii="宋体" w:hAnsi="宋体" w:eastAsia="宋体" w:cs="宋体"/>
          <w:b/>
          <w:color w:val="auto"/>
          <w:spacing w:val="11"/>
          <w:sz w:val="21"/>
          <w:szCs w:val="21"/>
        </w:rPr>
      </w:pPr>
      <w:bookmarkStart w:id="90" w:name="_Toc32249"/>
      <w:bookmarkStart w:id="91" w:name="_Toc8525"/>
      <w:r>
        <w:rPr>
          <w:rFonts w:hint="eastAsia" w:ascii="宋体" w:hAnsi="宋体" w:eastAsia="宋体" w:cs="宋体"/>
          <w:b/>
          <w:color w:val="auto"/>
          <w:spacing w:val="11"/>
          <w:sz w:val="21"/>
          <w:szCs w:val="21"/>
        </w:rPr>
        <w:t>（六）</w:t>
      </w:r>
      <w:r>
        <w:rPr>
          <w:rFonts w:hint="eastAsia" w:ascii="宋体" w:hAnsi="宋体" w:eastAsia="宋体" w:cs="宋体"/>
          <w:b/>
          <w:color w:val="auto"/>
          <w:spacing w:val="11"/>
          <w:sz w:val="21"/>
          <w:szCs w:val="21"/>
          <w:lang w:eastAsia="zh-CN"/>
        </w:rPr>
        <w:t>磋商响应文件</w:t>
      </w:r>
      <w:r>
        <w:rPr>
          <w:rFonts w:hint="eastAsia" w:ascii="宋体" w:hAnsi="宋体" w:eastAsia="宋体" w:cs="宋体"/>
          <w:b/>
          <w:color w:val="auto"/>
          <w:spacing w:val="11"/>
          <w:sz w:val="21"/>
          <w:szCs w:val="21"/>
        </w:rPr>
        <w:t>的签署及相关规定</w:t>
      </w:r>
      <w:bookmarkEnd w:id="90"/>
      <w:bookmarkEnd w:id="91"/>
    </w:p>
    <w:p>
      <w:pPr>
        <w:snapToGrid w:val="0"/>
        <w:spacing w:line="380" w:lineRule="exact"/>
        <w:ind w:firstLine="422" w:firstLineChars="200"/>
        <w:jc w:val="left"/>
        <w:rPr>
          <w:rFonts w:hint="eastAsia" w:ascii="宋体" w:hAnsi="宋体" w:cs="宋体"/>
          <w:b/>
          <w:bCs/>
          <w:color w:val="auto"/>
          <w:spacing w:val="11"/>
          <w:sz w:val="21"/>
          <w:szCs w:val="21"/>
          <w:u w:val="single"/>
        </w:rPr>
      </w:pPr>
      <w:r>
        <w:rPr>
          <w:rFonts w:hint="eastAsia" w:ascii="宋体" w:hAnsi="宋体" w:cs="宋体"/>
          <w:b/>
          <w:bCs/>
          <w:color w:val="auto"/>
          <w:szCs w:val="21"/>
          <w:u w:val="single"/>
        </w:rPr>
        <w:t>▲</w:t>
      </w:r>
      <w:r>
        <w:rPr>
          <w:rFonts w:hint="eastAsia" w:ascii="宋体" w:hAnsi="宋体" w:cs="宋体"/>
          <w:b/>
          <w:bCs/>
          <w:color w:val="auto"/>
          <w:spacing w:val="11"/>
          <w:sz w:val="21"/>
          <w:szCs w:val="21"/>
          <w:u w:val="single"/>
        </w:rPr>
        <w:t xml:space="preserve">1. </w:t>
      </w:r>
      <w:r>
        <w:rPr>
          <w:rFonts w:hint="eastAsia" w:ascii="宋体" w:hAnsi="宋体" w:cs="宋体"/>
          <w:b/>
          <w:bCs/>
          <w:color w:val="auto"/>
          <w:spacing w:val="11"/>
          <w:sz w:val="21"/>
          <w:szCs w:val="21"/>
          <w:u w:val="single"/>
          <w:lang w:eastAsia="zh-CN"/>
        </w:rPr>
        <w:t>磋商响应文件</w:t>
      </w:r>
      <w:r>
        <w:rPr>
          <w:rFonts w:hint="eastAsia" w:ascii="宋体" w:hAnsi="宋体" w:cs="宋体"/>
          <w:b/>
          <w:bCs/>
          <w:color w:val="auto"/>
          <w:spacing w:val="11"/>
          <w:sz w:val="21"/>
          <w:szCs w:val="21"/>
          <w:u w:val="single"/>
        </w:rPr>
        <w:t>的形式、组成和效力详见</w:t>
      </w:r>
      <w:r>
        <w:rPr>
          <w:rFonts w:hint="eastAsia" w:ascii="宋体" w:hAnsi="宋体" w:cs="宋体"/>
          <w:b/>
          <w:bCs/>
          <w:color w:val="auto"/>
          <w:spacing w:val="11"/>
          <w:sz w:val="21"/>
          <w:szCs w:val="21"/>
          <w:u w:val="single"/>
          <w:lang w:eastAsia="zh-CN"/>
        </w:rPr>
        <w:t>磋商须知前附表</w:t>
      </w:r>
      <w:r>
        <w:rPr>
          <w:rFonts w:hint="eastAsia" w:ascii="宋体" w:hAnsi="宋体" w:cs="宋体"/>
          <w:b/>
          <w:bCs/>
          <w:color w:val="auto"/>
          <w:spacing w:val="11"/>
          <w:sz w:val="21"/>
          <w:szCs w:val="21"/>
          <w:u w:val="single"/>
        </w:rPr>
        <w:t>。</w:t>
      </w:r>
    </w:p>
    <w:p>
      <w:pPr>
        <w:snapToGrid w:val="0"/>
        <w:spacing w:line="380" w:lineRule="exact"/>
        <w:ind w:firstLine="466" w:firstLineChars="200"/>
        <w:jc w:val="left"/>
        <w:rPr>
          <w:rFonts w:ascii="宋体" w:hAnsi="宋体" w:cs="宋体"/>
          <w:b/>
          <w:bCs/>
          <w:color w:val="auto"/>
          <w:spacing w:val="11"/>
          <w:sz w:val="21"/>
          <w:szCs w:val="21"/>
          <w:u w:val="single"/>
        </w:rPr>
      </w:pPr>
      <w:r>
        <w:rPr>
          <w:rFonts w:hint="eastAsia" w:ascii="宋体" w:hAnsi="宋体" w:cs="宋体"/>
          <w:b/>
          <w:bCs/>
          <w:color w:val="auto"/>
          <w:spacing w:val="11"/>
          <w:sz w:val="21"/>
          <w:szCs w:val="21"/>
          <w:u w:val="single"/>
        </w:rPr>
        <w:t>2.</w:t>
      </w:r>
      <w:r>
        <w:rPr>
          <w:rFonts w:hint="eastAsia" w:ascii="宋体" w:hAnsi="宋体" w:cs="宋体"/>
          <w:b/>
          <w:bCs/>
          <w:color w:val="auto"/>
          <w:spacing w:val="11"/>
          <w:sz w:val="21"/>
          <w:szCs w:val="21"/>
          <w:u w:val="single"/>
          <w:lang w:eastAsia="zh-CN"/>
        </w:rPr>
        <w:t>磋商响应文件</w:t>
      </w:r>
      <w:r>
        <w:rPr>
          <w:rFonts w:hint="eastAsia" w:ascii="宋体" w:hAnsi="宋体" w:cs="宋体"/>
          <w:b/>
          <w:bCs/>
          <w:color w:val="auto"/>
          <w:spacing w:val="11"/>
          <w:sz w:val="21"/>
          <w:szCs w:val="21"/>
          <w:u w:val="single"/>
        </w:rPr>
        <w:t>签字和盖章要求详见</w:t>
      </w:r>
      <w:r>
        <w:rPr>
          <w:rFonts w:hint="eastAsia" w:ascii="宋体" w:hAnsi="宋体" w:cs="宋体"/>
          <w:b/>
          <w:bCs/>
          <w:color w:val="auto"/>
          <w:spacing w:val="11"/>
          <w:sz w:val="21"/>
          <w:szCs w:val="21"/>
          <w:u w:val="single"/>
          <w:lang w:eastAsia="zh-CN"/>
        </w:rPr>
        <w:t>磋商须知前附表</w:t>
      </w:r>
      <w:r>
        <w:rPr>
          <w:rFonts w:hint="eastAsia" w:ascii="宋体" w:hAnsi="宋体" w:cs="宋体"/>
          <w:b/>
          <w:bCs/>
          <w:color w:val="auto"/>
          <w:spacing w:val="11"/>
          <w:sz w:val="21"/>
          <w:szCs w:val="21"/>
          <w:u w:val="single"/>
        </w:rPr>
        <w:t>。</w:t>
      </w:r>
    </w:p>
    <w:p>
      <w:pPr>
        <w:snapToGrid w:val="0"/>
        <w:spacing w:line="380" w:lineRule="exact"/>
        <w:ind w:firstLine="466" w:firstLineChars="200"/>
        <w:jc w:val="left"/>
        <w:rPr>
          <w:rFonts w:ascii="宋体" w:hAnsi="宋体" w:cs="宋体"/>
          <w:b/>
          <w:bCs/>
          <w:color w:val="auto"/>
          <w:spacing w:val="11"/>
          <w:sz w:val="21"/>
          <w:szCs w:val="21"/>
          <w:u w:val="single"/>
        </w:rPr>
      </w:pPr>
      <w:r>
        <w:rPr>
          <w:rFonts w:ascii="宋体" w:hAnsi="宋体" w:cs="宋体"/>
          <w:b/>
          <w:bCs/>
          <w:color w:val="auto"/>
          <w:spacing w:val="11"/>
          <w:sz w:val="21"/>
          <w:szCs w:val="21"/>
          <w:u w:val="single"/>
        </w:rPr>
        <w:t>3.纸质备份</w:t>
      </w:r>
      <w:r>
        <w:rPr>
          <w:rFonts w:hint="eastAsia" w:ascii="宋体" w:hAnsi="宋体" w:cs="宋体"/>
          <w:b/>
          <w:bCs/>
          <w:color w:val="auto"/>
          <w:spacing w:val="11"/>
          <w:sz w:val="21"/>
          <w:szCs w:val="21"/>
          <w:u w:val="single"/>
          <w:lang w:eastAsia="zh-CN"/>
        </w:rPr>
        <w:t>磋商响应文件</w:t>
      </w:r>
      <w:r>
        <w:rPr>
          <w:rFonts w:ascii="宋体" w:hAnsi="宋体" w:cs="宋体"/>
          <w:b/>
          <w:bCs/>
          <w:color w:val="auto"/>
          <w:spacing w:val="11"/>
          <w:sz w:val="21"/>
          <w:szCs w:val="21"/>
          <w:u w:val="single"/>
        </w:rPr>
        <w:t>的分册</w:t>
      </w:r>
      <w:r>
        <w:rPr>
          <w:rFonts w:hint="eastAsia" w:ascii="宋体" w:hAnsi="宋体" w:cs="宋体"/>
          <w:b/>
          <w:bCs/>
          <w:color w:val="auto"/>
          <w:spacing w:val="11"/>
          <w:sz w:val="21"/>
          <w:szCs w:val="21"/>
          <w:u w:val="single"/>
        </w:rPr>
        <w:t>和</w:t>
      </w:r>
      <w:r>
        <w:rPr>
          <w:rFonts w:ascii="宋体" w:hAnsi="宋体" w:cs="宋体"/>
          <w:b/>
          <w:bCs/>
          <w:color w:val="auto"/>
          <w:spacing w:val="11"/>
          <w:sz w:val="21"/>
          <w:szCs w:val="21"/>
          <w:u w:val="single"/>
        </w:rPr>
        <w:t>装订要求</w:t>
      </w:r>
      <w:r>
        <w:rPr>
          <w:rFonts w:hint="eastAsia" w:ascii="宋体" w:hAnsi="宋体" w:cs="宋体"/>
          <w:b/>
          <w:bCs/>
          <w:color w:val="auto"/>
          <w:spacing w:val="11"/>
          <w:sz w:val="21"/>
          <w:szCs w:val="21"/>
          <w:u w:val="single"/>
        </w:rPr>
        <w:t>详见</w:t>
      </w:r>
      <w:r>
        <w:rPr>
          <w:rFonts w:hint="eastAsia" w:ascii="宋体" w:hAnsi="宋体" w:cs="宋体"/>
          <w:b/>
          <w:bCs/>
          <w:color w:val="auto"/>
          <w:spacing w:val="11"/>
          <w:sz w:val="21"/>
          <w:szCs w:val="21"/>
          <w:u w:val="single"/>
          <w:lang w:eastAsia="zh-CN"/>
        </w:rPr>
        <w:t>磋商须知前附表</w:t>
      </w:r>
      <w:r>
        <w:rPr>
          <w:rFonts w:hint="eastAsia" w:ascii="宋体" w:hAnsi="宋体" w:cs="宋体"/>
          <w:b/>
          <w:bCs/>
          <w:color w:val="auto"/>
          <w:spacing w:val="11"/>
          <w:sz w:val="21"/>
          <w:szCs w:val="21"/>
          <w:u w:val="single"/>
        </w:rPr>
        <w:t>。</w:t>
      </w:r>
    </w:p>
    <w:p>
      <w:pPr>
        <w:snapToGrid w:val="0"/>
        <w:spacing w:line="380" w:lineRule="exact"/>
        <w:ind w:firstLine="466" w:firstLineChars="200"/>
        <w:jc w:val="left"/>
        <w:rPr>
          <w:rFonts w:hint="eastAsia" w:ascii="宋体" w:hAnsi="宋体" w:cs="宋体"/>
          <w:color w:val="auto"/>
          <w:spacing w:val="11"/>
          <w:sz w:val="21"/>
          <w:szCs w:val="21"/>
        </w:rPr>
      </w:pPr>
      <w:r>
        <w:rPr>
          <w:rFonts w:hint="eastAsia" w:ascii="宋体" w:hAnsi="宋体" w:cs="宋体"/>
          <w:b/>
          <w:bCs/>
          <w:color w:val="auto"/>
          <w:spacing w:val="11"/>
          <w:sz w:val="21"/>
          <w:szCs w:val="21"/>
        </w:rPr>
        <w:t>4.</w:t>
      </w:r>
      <w:r>
        <w:rPr>
          <w:rFonts w:hint="eastAsia" w:ascii="宋体" w:hAnsi="宋体"/>
          <w:color w:val="auto"/>
          <w:sz w:val="21"/>
          <w:szCs w:val="21"/>
        </w:rPr>
        <w:t>纸质备份</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需打印或用不褪色墨水书写，字迹应清晰易于辨认。凡写明需由</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法定代表人或其授权代理人签字或盖章、并加盖</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公章的地方，须按要求由</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法定代表人或其授权代理人签字或盖章、并加盖</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公章。由代理</w:t>
      </w:r>
      <w:r>
        <w:rPr>
          <w:rFonts w:hint="eastAsia" w:ascii="宋体" w:hAnsi="宋体" w:cs="宋体"/>
          <w:color w:val="auto"/>
          <w:spacing w:val="11"/>
          <w:sz w:val="21"/>
          <w:szCs w:val="21"/>
          <w:lang w:eastAsia="zh-CN"/>
        </w:rPr>
        <w:t>人</w:t>
      </w:r>
      <w:r>
        <w:rPr>
          <w:rFonts w:hint="eastAsia" w:ascii="宋体" w:hAnsi="宋体" w:cs="宋体"/>
          <w:color w:val="auto"/>
          <w:spacing w:val="11"/>
          <w:sz w:val="21"/>
          <w:szCs w:val="21"/>
        </w:rPr>
        <w:t>签字或盖章的，</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应附法定代表人签署的授权委托书。</w:t>
      </w:r>
    </w:p>
    <w:p>
      <w:pPr>
        <w:snapToGrid w:val="0"/>
        <w:spacing w:line="380" w:lineRule="exact"/>
        <w:ind w:firstLine="464" w:firstLineChars="200"/>
        <w:jc w:val="left"/>
        <w:rPr>
          <w:rFonts w:hint="eastAsia" w:ascii="宋体" w:hAnsi="宋体" w:cs="宋体"/>
          <w:color w:val="auto"/>
          <w:spacing w:val="11"/>
          <w:sz w:val="21"/>
          <w:szCs w:val="21"/>
        </w:rPr>
      </w:pPr>
      <w:r>
        <w:rPr>
          <w:rFonts w:hint="eastAsia" w:ascii="宋体" w:hAnsi="宋体" w:cs="宋体"/>
          <w:color w:val="auto"/>
          <w:spacing w:val="11"/>
          <w:sz w:val="21"/>
          <w:szCs w:val="21"/>
        </w:rPr>
        <w:t>5.</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内容不完整、编排混乱、关联错误导致</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被误读、漏读或者查找不到相关内容的，是</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的责任。</w:t>
      </w:r>
    </w:p>
    <w:p>
      <w:pPr>
        <w:snapToGrid w:val="0"/>
        <w:spacing w:line="380" w:lineRule="exact"/>
        <w:ind w:firstLine="464" w:firstLineChars="200"/>
        <w:jc w:val="left"/>
        <w:rPr>
          <w:rFonts w:hint="eastAsia" w:ascii="宋体" w:hAnsi="宋体" w:cs="宋体"/>
          <w:color w:val="auto"/>
          <w:spacing w:val="11"/>
          <w:sz w:val="21"/>
          <w:szCs w:val="21"/>
        </w:rPr>
      </w:pPr>
      <w:r>
        <w:rPr>
          <w:rFonts w:hint="eastAsia" w:ascii="宋体" w:hAnsi="宋体" w:cs="宋体"/>
          <w:color w:val="auto"/>
          <w:spacing w:val="11"/>
          <w:sz w:val="21"/>
          <w:szCs w:val="21"/>
        </w:rPr>
        <w:t>6.</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不得涂改，若有修改错漏处，须加盖单位公章或者法定代表人或授权代理人签字确认。</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因字迹潦草或表达不清所引起的后果由</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负责。</w:t>
      </w:r>
    </w:p>
    <w:p>
      <w:pPr>
        <w:snapToGrid w:val="0"/>
        <w:spacing w:line="380" w:lineRule="exact"/>
        <w:ind w:firstLine="466" w:firstLineChars="200"/>
        <w:jc w:val="left"/>
        <w:rPr>
          <w:rFonts w:hint="eastAsia" w:ascii="宋体" w:hAnsi="宋体" w:cs="宋体"/>
          <w:b/>
          <w:color w:val="auto"/>
          <w:spacing w:val="11"/>
          <w:sz w:val="21"/>
          <w:szCs w:val="21"/>
        </w:rPr>
      </w:pPr>
      <w:r>
        <w:rPr>
          <w:rFonts w:hint="eastAsia" w:ascii="宋体" w:hAnsi="宋体" w:cs="宋体"/>
          <w:b/>
          <w:color w:val="auto"/>
          <w:spacing w:val="11"/>
          <w:sz w:val="21"/>
          <w:szCs w:val="21"/>
        </w:rPr>
        <w:t>（七）</w:t>
      </w:r>
      <w:r>
        <w:rPr>
          <w:rFonts w:hint="eastAsia" w:ascii="宋体" w:hAnsi="宋体" w:cs="宋体"/>
          <w:b/>
          <w:color w:val="auto"/>
          <w:spacing w:val="11"/>
          <w:sz w:val="21"/>
          <w:szCs w:val="21"/>
          <w:lang w:eastAsia="zh-CN"/>
        </w:rPr>
        <w:t>磋商响应文件</w:t>
      </w:r>
      <w:r>
        <w:rPr>
          <w:rFonts w:hint="eastAsia" w:hAnsi="宋体"/>
          <w:b/>
          <w:color w:val="auto"/>
          <w:sz w:val="21"/>
          <w:szCs w:val="20"/>
        </w:rPr>
        <w:t>的包装、密封和递交</w:t>
      </w:r>
    </w:p>
    <w:p>
      <w:pPr>
        <w:snapToGrid w:val="0"/>
        <w:spacing w:line="380" w:lineRule="exact"/>
        <w:ind w:firstLine="466" w:firstLineChars="200"/>
        <w:jc w:val="left"/>
        <w:rPr>
          <w:rFonts w:hint="eastAsia" w:ascii="宋体" w:hAnsi="宋体" w:cs="宋体"/>
          <w:b/>
          <w:bCs/>
          <w:color w:val="auto"/>
          <w:spacing w:val="11"/>
          <w:sz w:val="21"/>
          <w:szCs w:val="21"/>
          <w:u w:val="single"/>
        </w:rPr>
      </w:pPr>
      <w:r>
        <w:rPr>
          <w:rFonts w:hint="eastAsia" w:ascii="宋体" w:hAnsi="宋体" w:cs="宋体"/>
          <w:b/>
          <w:bCs/>
          <w:color w:val="auto"/>
          <w:spacing w:val="11"/>
          <w:sz w:val="21"/>
          <w:szCs w:val="21"/>
          <w:u w:val="single"/>
        </w:rPr>
        <w:t>1.</w:t>
      </w:r>
      <w:r>
        <w:rPr>
          <w:rFonts w:hint="eastAsia" w:ascii="宋体" w:hAnsi="宋体" w:cs="宋体"/>
          <w:b/>
          <w:bCs/>
          <w:color w:val="auto"/>
          <w:spacing w:val="11"/>
          <w:sz w:val="21"/>
          <w:szCs w:val="21"/>
          <w:u w:val="single"/>
          <w:lang w:eastAsia="zh-CN"/>
        </w:rPr>
        <w:t>磋商响应文件</w:t>
      </w:r>
      <w:r>
        <w:rPr>
          <w:rFonts w:hint="eastAsia" w:ascii="宋体" w:hAnsi="宋体" w:cs="宋体"/>
          <w:b/>
          <w:bCs/>
          <w:color w:val="auto"/>
          <w:spacing w:val="11"/>
          <w:sz w:val="21"/>
          <w:szCs w:val="21"/>
          <w:u w:val="single"/>
        </w:rPr>
        <w:t>的递交要求详见</w:t>
      </w:r>
      <w:r>
        <w:rPr>
          <w:rFonts w:hint="eastAsia" w:ascii="宋体" w:hAnsi="宋体" w:cs="宋体"/>
          <w:b/>
          <w:bCs/>
          <w:color w:val="auto"/>
          <w:spacing w:val="11"/>
          <w:sz w:val="21"/>
          <w:szCs w:val="21"/>
          <w:u w:val="single"/>
          <w:lang w:eastAsia="zh-CN"/>
        </w:rPr>
        <w:t>磋商须知前附表</w:t>
      </w:r>
      <w:r>
        <w:rPr>
          <w:rFonts w:hint="eastAsia" w:ascii="宋体" w:hAnsi="宋体" w:cs="宋体"/>
          <w:b/>
          <w:bCs/>
          <w:color w:val="auto"/>
          <w:spacing w:val="11"/>
          <w:sz w:val="21"/>
          <w:szCs w:val="21"/>
          <w:u w:val="single"/>
        </w:rPr>
        <w:t>。</w:t>
      </w:r>
    </w:p>
    <w:p>
      <w:pPr>
        <w:snapToGrid w:val="0"/>
        <w:spacing w:line="380" w:lineRule="exact"/>
        <w:ind w:firstLine="466" w:firstLineChars="200"/>
        <w:jc w:val="left"/>
        <w:rPr>
          <w:rFonts w:hint="eastAsia" w:ascii="宋体" w:hAnsi="宋体" w:cs="宋体"/>
          <w:b/>
          <w:bCs/>
          <w:color w:val="auto"/>
          <w:spacing w:val="11"/>
          <w:sz w:val="21"/>
          <w:szCs w:val="21"/>
          <w:u w:val="single"/>
        </w:rPr>
      </w:pPr>
      <w:r>
        <w:rPr>
          <w:rFonts w:hint="eastAsia" w:ascii="宋体" w:hAnsi="宋体" w:cs="宋体"/>
          <w:b/>
          <w:bCs/>
          <w:color w:val="auto"/>
          <w:spacing w:val="11"/>
          <w:sz w:val="21"/>
          <w:szCs w:val="21"/>
          <w:u w:val="single"/>
        </w:rPr>
        <w:t>2.纸质备份</w:t>
      </w:r>
      <w:r>
        <w:rPr>
          <w:rFonts w:hint="eastAsia" w:ascii="宋体" w:hAnsi="宋体" w:cs="宋体"/>
          <w:b/>
          <w:bCs/>
          <w:color w:val="auto"/>
          <w:spacing w:val="11"/>
          <w:sz w:val="21"/>
          <w:szCs w:val="21"/>
          <w:u w:val="single"/>
          <w:lang w:eastAsia="zh-CN"/>
        </w:rPr>
        <w:t>磋商响应文件</w:t>
      </w:r>
      <w:r>
        <w:rPr>
          <w:rFonts w:hint="eastAsia" w:ascii="宋体" w:hAnsi="宋体" w:cs="宋体"/>
          <w:b/>
          <w:bCs/>
          <w:color w:val="auto"/>
          <w:spacing w:val="11"/>
          <w:sz w:val="21"/>
          <w:szCs w:val="21"/>
          <w:u w:val="single"/>
        </w:rPr>
        <w:t>按“商务资信及技术文件”、“报价文件”分别包装密封</w:t>
      </w:r>
      <w:r>
        <w:rPr>
          <w:rFonts w:hint="eastAsia" w:ascii="宋体" w:hAnsi="宋体" w:cs="宋体"/>
          <w:b/>
          <w:bCs/>
          <w:color w:val="auto"/>
          <w:spacing w:val="11"/>
          <w:sz w:val="21"/>
          <w:szCs w:val="21"/>
          <w:u w:val="single"/>
          <w:lang w:eastAsia="zh-CN"/>
        </w:rPr>
        <w:t>，</w:t>
      </w:r>
      <w:r>
        <w:rPr>
          <w:rFonts w:hint="eastAsia" w:ascii="宋体" w:hAnsi="宋体" w:cs="宋体"/>
          <w:b/>
          <w:bCs/>
          <w:color w:val="auto"/>
          <w:spacing w:val="11"/>
          <w:sz w:val="21"/>
          <w:szCs w:val="21"/>
          <w:u w:val="single"/>
        </w:rPr>
        <w:t>包装封面上应注明</w:t>
      </w:r>
      <w:r>
        <w:rPr>
          <w:rFonts w:hint="eastAsia" w:ascii="宋体" w:hAnsi="宋体" w:cs="宋体"/>
          <w:b/>
          <w:bCs/>
          <w:color w:val="auto"/>
          <w:spacing w:val="11"/>
          <w:sz w:val="21"/>
          <w:szCs w:val="21"/>
          <w:u w:val="single"/>
          <w:lang w:eastAsia="zh-CN"/>
        </w:rPr>
        <w:t>供应商</w:t>
      </w:r>
      <w:r>
        <w:rPr>
          <w:rFonts w:hint="eastAsia" w:ascii="宋体" w:hAnsi="宋体" w:cs="宋体"/>
          <w:b/>
          <w:bCs/>
          <w:color w:val="auto"/>
          <w:spacing w:val="11"/>
          <w:sz w:val="21"/>
          <w:szCs w:val="21"/>
          <w:u w:val="single"/>
        </w:rPr>
        <w:t>名称、</w:t>
      </w:r>
      <w:r>
        <w:rPr>
          <w:rFonts w:hint="eastAsia" w:ascii="宋体" w:hAnsi="宋体" w:cs="宋体"/>
          <w:b/>
          <w:bCs/>
          <w:color w:val="auto"/>
          <w:spacing w:val="11"/>
          <w:sz w:val="21"/>
          <w:szCs w:val="21"/>
          <w:u w:val="single"/>
          <w:lang w:eastAsia="zh-CN"/>
        </w:rPr>
        <w:t>供应商</w:t>
      </w:r>
      <w:r>
        <w:rPr>
          <w:rFonts w:hint="eastAsia" w:ascii="宋体" w:hAnsi="宋体" w:cs="宋体"/>
          <w:b/>
          <w:bCs/>
          <w:color w:val="auto"/>
          <w:spacing w:val="11"/>
          <w:sz w:val="21"/>
          <w:szCs w:val="21"/>
          <w:u w:val="single"/>
        </w:rPr>
        <w:t>地址、</w:t>
      </w:r>
      <w:r>
        <w:rPr>
          <w:rFonts w:hint="eastAsia" w:ascii="宋体" w:hAnsi="宋体" w:cs="宋体"/>
          <w:b/>
          <w:bCs/>
          <w:color w:val="auto"/>
          <w:spacing w:val="11"/>
          <w:sz w:val="21"/>
          <w:szCs w:val="21"/>
          <w:u w:val="single"/>
          <w:lang w:eastAsia="zh-CN"/>
        </w:rPr>
        <w:t>磋商响应文件</w:t>
      </w:r>
      <w:r>
        <w:rPr>
          <w:rFonts w:hint="eastAsia" w:ascii="宋体" w:hAnsi="宋体" w:cs="宋体"/>
          <w:b/>
          <w:bCs/>
          <w:color w:val="auto"/>
          <w:spacing w:val="11"/>
          <w:sz w:val="21"/>
          <w:szCs w:val="21"/>
          <w:u w:val="single"/>
        </w:rPr>
        <w:t>名称、项目名称、项目编号</w:t>
      </w:r>
      <w:r>
        <w:rPr>
          <w:rFonts w:hint="eastAsia" w:ascii="宋体" w:hAnsi="宋体" w:cs="宋体"/>
          <w:b/>
          <w:bCs/>
          <w:color w:val="auto"/>
          <w:spacing w:val="11"/>
          <w:sz w:val="21"/>
          <w:szCs w:val="21"/>
          <w:u w:val="single"/>
          <w:lang w:eastAsia="zh-CN"/>
        </w:rPr>
        <w:t>等</w:t>
      </w:r>
      <w:r>
        <w:rPr>
          <w:rFonts w:hint="eastAsia" w:ascii="宋体" w:hAnsi="宋体" w:cs="宋体"/>
          <w:b/>
          <w:bCs/>
          <w:color w:val="auto"/>
          <w:spacing w:val="11"/>
          <w:sz w:val="21"/>
          <w:szCs w:val="21"/>
          <w:u w:val="single"/>
        </w:rPr>
        <w:t>字样，并加盖</w:t>
      </w:r>
      <w:r>
        <w:rPr>
          <w:rFonts w:hint="eastAsia" w:ascii="宋体" w:hAnsi="宋体" w:cs="宋体"/>
          <w:b/>
          <w:bCs/>
          <w:color w:val="auto"/>
          <w:spacing w:val="11"/>
          <w:sz w:val="21"/>
          <w:szCs w:val="21"/>
          <w:u w:val="single"/>
          <w:lang w:eastAsia="zh-CN"/>
        </w:rPr>
        <w:t>供应商</w:t>
      </w:r>
      <w:r>
        <w:rPr>
          <w:rFonts w:hint="eastAsia" w:ascii="宋体" w:hAnsi="宋体" w:cs="宋体"/>
          <w:b/>
          <w:bCs/>
          <w:color w:val="auto"/>
          <w:spacing w:val="11"/>
          <w:sz w:val="21"/>
          <w:szCs w:val="21"/>
          <w:u w:val="single"/>
        </w:rPr>
        <w:t>公章。</w:t>
      </w:r>
    </w:p>
    <w:p>
      <w:pPr>
        <w:snapToGrid w:val="0"/>
        <w:spacing w:line="380" w:lineRule="exact"/>
        <w:ind w:firstLine="466" w:firstLineChars="200"/>
        <w:jc w:val="left"/>
        <w:rPr>
          <w:rFonts w:hint="eastAsia" w:ascii="宋体" w:hAnsi="宋体" w:cs="宋体"/>
          <w:b/>
          <w:bCs/>
          <w:color w:val="auto"/>
          <w:spacing w:val="11"/>
          <w:sz w:val="21"/>
          <w:szCs w:val="21"/>
          <w:u w:val="single"/>
        </w:rPr>
      </w:pPr>
      <w:r>
        <w:rPr>
          <w:rFonts w:hint="eastAsia" w:ascii="宋体" w:hAnsi="宋体" w:cs="宋体"/>
          <w:b/>
          <w:bCs/>
          <w:color w:val="auto"/>
          <w:spacing w:val="11"/>
          <w:sz w:val="21"/>
          <w:szCs w:val="21"/>
          <w:u w:val="single"/>
        </w:rPr>
        <w:t>3.以介质存储的数据电文形式的U盘或光盘备份</w:t>
      </w:r>
      <w:r>
        <w:rPr>
          <w:rFonts w:hint="eastAsia" w:ascii="宋体" w:hAnsi="宋体" w:cs="宋体"/>
          <w:b/>
          <w:bCs/>
          <w:color w:val="auto"/>
          <w:spacing w:val="11"/>
          <w:sz w:val="21"/>
          <w:szCs w:val="21"/>
          <w:u w:val="single"/>
          <w:lang w:eastAsia="zh-CN"/>
        </w:rPr>
        <w:t>磋商响应文件</w:t>
      </w:r>
      <w:r>
        <w:rPr>
          <w:rFonts w:hint="eastAsia" w:ascii="宋体" w:hAnsi="宋体" w:cs="宋体"/>
          <w:b/>
          <w:bCs/>
          <w:color w:val="auto"/>
          <w:spacing w:val="11"/>
          <w:sz w:val="21"/>
          <w:szCs w:val="21"/>
          <w:u w:val="single"/>
        </w:rPr>
        <w:t>单独放入一个密封袋中</w:t>
      </w:r>
      <w:r>
        <w:rPr>
          <w:rFonts w:hint="eastAsia" w:ascii="宋体" w:hAnsi="宋体" w:cs="宋体"/>
          <w:b/>
          <w:bCs/>
          <w:color w:val="auto"/>
          <w:spacing w:val="11"/>
          <w:sz w:val="21"/>
          <w:szCs w:val="21"/>
          <w:u w:val="single"/>
          <w:lang w:eastAsia="zh-CN"/>
        </w:rPr>
        <w:t>。</w:t>
      </w:r>
    </w:p>
    <w:p>
      <w:pPr>
        <w:snapToGrid w:val="0"/>
        <w:spacing w:line="380" w:lineRule="exact"/>
        <w:ind w:firstLine="464" w:firstLineChars="200"/>
        <w:rPr>
          <w:rFonts w:hint="eastAsia" w:ascii="宋体" w:hAnsi="宋体" w:cs="宋体"/>
          <w:color w:val="auto"/>
          <w:spacing w:val="11"/>
          <w:sz w:val="21"/>
          <w:szCs w:val="21"/>
        </w:rPr>
      </w:pPr>
      <w:r>
        <w:rPr>
          <w:rFonts w:hint="eastAsia" w:ascii="宋体" w:hAnsi="宋体" w:cs="宋体"/>
          <w:color w:val="auto"/>
          <w:spacing w:val="11"/>
          <w:sz w:val="21"/>
          <w:szCs w:val="21"/>
        </w:rPr>
        <w:t>4.未按规定密封或标记的</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将被拒绝，由此造成</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被误投或提前拆封的风险由</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承担。</w:t>
      </w:r>
    </w:p>
    <w:p>
      <w:pPr>
        <w:spacing w:line="380" w:lineRule="exact"/>
        <w:ind w:firstLine="464" w:firstLineChars="200"/>
        <w:rPr>
          <w:rFonts w:hint="eastAsia" w:ascii="宋体" w:hAnsi="宋体" w:cs="宋体"/>
          <w:color w:val="auto"/>
          <w:spacing w:val="11"/>
          <w:sz w:val="21"/>
          <w:szCs w:val="21"/>
        </w:rPr>
      </w:pPr>
      <w:r>
        <w:rPr>
          <w:rFonts w:hint="eastAsia" w:ascii="宋体" w:hAnsi="宋体" w:cs="宋体"/>
          <w:color w:val="auto"/>
          <w:spacing w:val="11"/>
          <w:sz w:val="21"/>
          <w:szCs w:val="21"/>
        </w:rPr>
        <w:t>5.</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在</w:t>
      </w:r>
      <w:r>
        <w:rPr>
          <w:rFonts w:hint="eastAsia" w:ascii="宋体" w:hAnsi="宋体" w:cs="宋体"/>
          <w:color w:val="auto"/>
          <w:spacing w:val="11"/>
          <w:sz w:val="21"/>
          <w:szCs w:val="21"/>
          <w:lang w:eastAsia="zh-CN"/>
        </w:rPr>
        <w:t>磋商响应截止时间</w:t>
      </w:r>
      <w:r>
        <w:rPr>
          <w:rFonts w:hint="eastAsia" w:ascii="宋体" w:hAnsi="宋体" w:cs="宋体"/>
          <w:color w:val="auto"/>
          <w:spacing w:val="11"/>
          <w:sz w:val="21"/>
          <w:szCs w:val="21"/>
        </w:rPr>
        <w:t>之前，可以对已提交的</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进行修改或撤回；</w:t>
      </w:r>
      <w:r>
        <w:rPr>
          <w:rFonts w:hint="eastAsia" w:ascii="宋体" w:hAnsi="宋体" w:cs="宋体"/>
          <w:color w:val="auto"/>
          <w:spacing w:val="11"/>
          <w:sz w:val="21"/>
          <w:szCs w:val="21"/>
          <w:lang w:eastAsia="zh-CN"/>
        </w:rPr>
        <w:t>磋商响应截止时间</w:t>
      </w:r>
      <w:r>
        <w:rPr>
          <w:rFonts w:hint="eastAsia" w:ascii="宋体" w:hAnsi="宋体" w:cs="宋体"/>
          <w:color w:val="auto"/>
          <w:spacing w:val="11"/>
          <w:sz w:val="21"/>
          <w:szCs w:val="21"/>
        </w:rPr>
        <w:t>后，</w:t>
      </w:r>
      <w:r>
        <w:rPr>
          <w:rFonts w:hint="eastAsia" w:ascii="宋体" w:hAnsi="宋体" w:cs="宋体"/>
          <w:color w:val="auto"/>
          <w:spacing w:val="11"/>
          <w:sz w:val="21"/>
          <w:szCs w:val="21"/>
          <w:lang w:eastAsia="zh-CN"/>
        </w:rPr>
        <w:t>供应商</w:t>
      </w:r>
      <w:r>
        <w:rPr>
          <w:rFonts w:hint="eastAsia" w:ascii="宋体" w:hAnsi="宋体" w:cs="宋体"/>
          <w:color w:val="auto"/>
          <w:spacing w:val="11"/>
          <w:sz w:val="21"/>
          <w:szCs w:val="21"/>
        </w:rPr>
        <w:t>不得撤回、修改</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。修改后重新递交的</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应当按本</w:t>
      </w:r>
      <w:r>
        <w:rPr>
          <w:rFonts w:hint="eastAsia" w:ascii="宋体" w:hAnsi="宋体" w:cs="宋体"/>
          <w:color w:val="auto"/>
          <w:spacing w:val="11"/>
          <w:sz w:val="21"/>
          <w:szCs w:val="21"/>
          <w:lang w:eastAsia="zh-CN"/>
        </w:rPr>
        <w:t>磋商文件</w:t>
      </w:r>
      <w:r>
        <w:rPr>
          <w:rFonts w:hint="eastAsia" w:ascii="宋体" w:hAnsi="宋体" w:cs="宋体"/>
          <w:color w:val="auto"/>
          <w:spacing w:val="11"/>
          <w:sz w:val="21"/>
          <w:szCs w:val="21"/>
        </w:rPr>
        <w:t>的要求签署、盖章和密封。</w:t>
      </w:r>
    </w:p>
    <w:p>
      <w:pPr>
        <w:spacing w:line="380" w:lineRule="exact"/>
        <w:ind w:firstLine="464" w:firstLineChars="200"/>
        <w:rPr>
          <w:rFonts w:hint="eastAsia" w:ascii="宋体" w:hAnsi="宋体" w:cs="宋体"/>
          <w:color w:val="auto"/>
          <w:spacing w:val="11"/>
          <w:sz w:val="21"/>
          <w:szCs w:val="21"/>
        </w:rPr>
      </w:pPr>
      <w:r>
        <w:rPr>
          <w:rFonts w:hint="eastAsia" w:ascii="宋体" w:hAnsi="宋体" w:cs="宋体"/>
          <w:color w:val="auto"/>
          <w:spacing w:val="11"/>
          <w:sz w:val="21"/>
          <w:szCs w:val="21"/>
        </w:rPr>
        <w:t>6.采购代理机构对</w:t>
      </w:r>
      <w:r>
        <w:rPr>
          <w:rFonts w:hint="eastAsia" w:ascii="宋体" w:hAnsi="宋体" w:cs="宋体"/>
          <w:color w:val="auto"/>
          <w:spacing w:val="11"/>
          <w:sz w:val="21"/>
          <w:szCs w:val="21"/>
          <w:lang w:eastAsia="zh-CN"/>
        </w:rPr>
        <w:t>磋商响应文件</w:t>
      </w:r>
      <w:r>
        <w:rPr>
          <w:rFonts w:hint="eastAsia" w:ascii="宋体" w:hAnsi="宋体" w:cs="宋体"/>
          <w:color w:val="auto"/>
          <w:spacing w:val="11"/>
          <w:sz w:val="21"/>
          <w:szCs w:val="21"/>
        </w:rPr>
        <w:t>送达过程中的遗失或损坏不负责任。</w:t>
      </w:r>
    </w:p>
    <w:p>
      <w:pPr>
        <w:spacing w:line="380" w:lineRule="exact"/>
        <w:ind w:firstLine="464" w:firstLineChars="200"/>
        <w:rPr>
          <w:rFonts w:hint="eastAsia" w:ascii="宋体" w:hAnsi="宋体" w:cs="宋体"/>
          <w:b/>
          <w:color w:val="auto"/>
          <w:spacing w:val="11"/>
          <w:sz w:val="21"/>
          <w:szCs w:val="21"/>
          <w:highlight w:val="none"/>
        </w:rPr>
      </w:pPr>
      <w:r>
        <w:rPr>
          <w:rFonts w:hint="eastAsia" w:ascii="宋体" w:hAnsi="宋体" w:cs="宋体"/>
          <w:color w:val="auto"/>
          <w:spacing w:val="11"/>
          <w:sz w:val="21"/>
          <w:szCs w:val="21"/>
          <w:highlight w:val="none"/>
        </w:rPr>
        <w:t>7.供应商应在磋商响应截止时间前将电子加密磋商响应文件成功上传递交至政采云平台，否则响应无效。</w:t>
      </w:r>
    </w:p>
    <w:p>
      <w:pPr>
        <w:spacing w:beforeLines="0" w:afterLines="0" w:line="380" w:lineRule="exact"/>
        <w:ind w:firstLine="466" w:firstLineChars="200"/>
        <w:rPr>
          <w:rFonts w:hint="eastAsia" w:ascii="宋体" w:hAnsi="宋体" w:eastAsia="宋体" w:cs="宋体"/>
          <w:b/>
          <w:bCs w:val="0"/>
          <w:color w:val="auto"/>
          <w:spacing w:val="11"/>
          <w:sz w:val="21"/>
          <w:szCs w:val="21"/>
          <w:lang w:eastAsia="zh-CN"/>
        </w:rPr>
      </w:pPr>
      <w:r>
        <w:rPr>
          <w:rFonts w:hint="eastAsia" w:ascii="宋体" w:hAnsi="宋体" w:eastAsia="宋体" w:cs="宋体"/>
          <w:b/>
          <w:bCs w:val="0"/>
          <w:color w:val="auto"/>
          <w:spacing w:val="11"/>
          <w:sz w:val="21"/>
          <w:szCs w:val="21"/>
        </w:rPr>
        <w:t>（</w:t>
      </w:r>
      <w:r>
        <w:rPr>
          <w:rFonts w:hint="eastAsia" w:ascii="宋体" w:hAnsi="宋体" w:eastAsia="宋体" w:cs="宋体"/>
          <w:b/>
          <w:bCs w:val="0"/>
          <w:color w:val="auto"/>
          <w:spacing w:val="11"/>
          <w:sz w:val="21"/>
          <w:szCs w:val="21"/>
          <w:lang w:eastAsia="zh-CN"/>
        </w:rPr>
        <w:t>八</w:t>
      </w:r>
      <w:r>
        <w:rPr>
          <w:rFonts w:hint="eastAsia" w:ascii="宋体" w:hAnsi="宋体" w:eastAsia="宋体" w:cs="宋体"/>
          <w:b/>
          <w:bCs w:val="0"/>
          <w:color w:val="auto"/>
          <w:spacing w:val="11"/>
          <w:sz w:val="21"/>
          <w:szCs w:val="21"/>
        </w:rPr>
        <w:t>）迟交的</w:t>
      </w:r>
      <w:r>
        <w:rPr>
          <w:rFonts w:hint="eastAsia" w:ascii="宋体" w:hAnsi="宋体" w:eastAsia="宋体" w:cs="宋体"/>
          <w:b/>
          <w:bCs w:val="0"/>
          <w:color w:val="auto"/>
          <w:spacing w:val="11"/>
          <w:sz w:val="21"/>
          <w:szCs w:val="21"/>
          <w:lang w:eastAsia="zh-CN"/>
        </w:rPr>
        <w:t>磋商响应文件</w:t>
      </w:r>
    </w:p>
    <w:p>
      <w:pPr>
        <w:snapToGrid/>
        <w:spacing w:beforeLines="0" w:afterLines="0" w:line="380" w:lineRule="exact"/>
        <w:ind w:firstLine="464" w:firstLineChars="200"/>
        <w:outlineLvl w:val="9"/>
        <w:rPr>
          <w:rFonts w:hint="eastAsia" w:ascii="宋体" w:hAnsi="宋体" w:eastAsia="宋体" w:cs="宋体"/>
          <w:b/>
          <w:color w:val="auto"/>
          <w:spacing w:val="11"/>
          <w:sz w:val="21"/>
          <w:szCs w:val="21"/>
        </w:rPr>
      </w:pPr>
      <w:r>
        <w:rPr>
          <w:rFonts w:hint="eastAsia" w:ascii="宋体" w:hAnsi="宋体" w:eastAsia="宋体" w:cs="宋体"/>
          <w:color w:val="auto"/>
          <w:spacing w:val="11"/>
          <w:sz w:val="21"/>
          <w:szCs w:val="21"/>
        </w:rPr>
        <w:t>采购人将拒绝并原封退回在规定的截止期后收到的任何</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w:t>
      </w:r>
    </w:p>
    <w:p>
      <w:pPr>
        <w:snapToGrid w:val="0"/>
        <w:spacing w:beforeLines="0" w:afterLines="0" w:line="380" w:lineRule="exact"/>
        <w:ind w:firstLine="466" w:firstLineChars="200"/>
        <w:outlineLvl w:val="2"/>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四、磋商规则、程序</w:t>
      </w:r>
    </w:p>
    <w:p>
      <w:pPr>
        <w:snapToGrid w:val="0"/>
        <w:spacing w:beforeLines="0" w:afterLines="0" w:line="380" w:lineRule="exact"/>
        <w:ind w:firstLine="466" w:firstLineChars="200"/>
        <w:outlineLvl w:val="2"/>
        <w:rPr>
          <w:rFonts w:hint="eastAsia" w:ascii="宋体" w:hAnsi="宋体" w:eastAsia="宋体" w:cs="宋体"/>
          <w:b/>
          <w:color w:val="auto"/>
          <w:spacing w:val="11"/>
          <w:sz w:val="21"/>
          <w:szCs w:val="21"/>
          <w:u w:val="single"/>
        </w:rPr>
      </w:pPr>
      <w:r>
        <w:rPr>
          <w:rFonts w:hint="eastAsia" w:ascii="宋体" w:hAnsi="宋体" w:eastAsia="宋体" w:cs="宋体"/>
          <w:b/>
          <w:color w:val="auto"/>
          <w:spacing w:val="11"/>
          <w:sz w:val="21"/>
          <w:szCs w:val="21"/>
          <w:u w:val="single"/>
        </w:rPr>
        <w:t>本项目采用电子交易化，供应商均应当准时在线参加，否则产生的风险由供应商自行承担。</w:t>
      </w:r>
    </w:p>
    <w:p>
      <w:pPr>
        <w:snapToGrid w:val="0"/>
        <w:spacing w:beforeLines="0" w:afterLines="0" w:line="380" w:lineRule="exact"/>
        <w:ind w:firstLine="466" w:firstLineChars="200"/>
        <w:outlineLvl w:val="2"/>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（一）磋商小组与磋商原则</w:t>
      </w:r>
    </w:p>
    <w:p>
      <w:pPr>
        <w:snapToGrid w:val="0"/>
        <w:spacing w:beforeLines="0" w:afterLines="0" w:line="380" w:lineRule="exact"/>
        <w:ind w:firstLine="464" w:firstLineChars="200"/>
        <w:outlineLvl w:val="2"/>
        <w:rPr>
          <w:rFonts w:hint="eastAsia" w:ascii="宋体" w:hAnsi="宋体" w:eastAsia="宋体" w:cs="宋体"/>
          <w:b w:val="0"/>
          <w:bCs/>
          <w:color w:val="auto"/>
          <w:spacing w:val="11"/>
          <w:sz w:val="21"/>
          <w:szCs w:val="21"/>
        </w:rPr>
      </w:pPr>
      <w:r>
        <w:rPr>
          <w:rFonts w:hint="eastAsia" w:ascii="宋体" w:hAnsi="宋体" w:eastAsia="宋体" w:cs="宋体"/>
          <w:b w:val="0"/>
          <w:bCs/>
          <w:color w:val="auto"/>
          <w:spacing w:val="11"/>
          <w:sz w:val="21"/>
          <w:szCs w:val="21"/>
        </w:rPr>
        <w:t>1.磋商小组由采购人代表和评审专家共3人及以上单数组成，其中评审专家人数不得少于磋商小组成员总数的2/3。</w:t>
      </w:r>
    </w:p>
    <w:p>
      <w:pPr>
        <w:snapToGrid w:val="0"/>
        <w:spacing w:beforeLines="0" w:afterLines="0" w:line="380" w:lineRule="exact"/>
        <w:ind w:firstLine="464" w:firstLineChars="200"/>
        <w:outlineLvl w:val="2"/>
        <w:rPr>
          <w:rFonts w:hint="eastAsia" w:ascii="宋体" w:hAnsi="宋体" w:eastAsia="宋体" w:cs="宋体"/>
          <w:b w:val="0"/>
          <w:bCs/>
          <w:color w:val="auto"/>
          <w:spacing w:val="11"/>
          <w:sz w:val="21"/>
          <w:szCs w:val="21"/>
        </w:rPr>
      </w:pPr>
      <w:r>
        <w:rPr>
          <w:rFonts w:hint="eastAsia" w:ascii="宋体" w:hAnsi="宋体" w:eastAsia="宋体" w:cs="宋体"/>
          <w:b w:val="0"/>
          <w:bCs/>
          <w:color w:val="auto"/>
          <w:spacing w:val="11"/>
          <w:sz w:val="21"/>
          <w:szCs w:val="21"/>
        </w:rPr>
        <w:t>2.磋商小组负责磋商活动，遵循公开、公平、公正、科学合理，竞争择优的原则。</w:t>
      </w:r>
    </w:p>
    <w:p>
      <w:pPr>
        <w:snapToGrid w:val="0"/>
        <w:spacing w:beforeLines="0" w:afterLines="0" w:line="380" w:lineRule="exact"/>
        <w:ind w:firstLine="466" w:firstLineChars="200"/>
        <w:outlineLvl w:val="2"/>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（二）磋商响应文件的无效情形</w:t>
      </w:r>
    </w:p>
    <w:p>
      <w:pPr>
        <w:snapToGrid w:val="0"/>
        <w:spacing w:beforeLines="0" w:afterLines="0" w:line="380" w:lineRule="exact"/>
        <w:ind w:firstLine="466" w:firstLineChars="200"/>
        <w:rPr>
          <w:rFonts w:hint="eastAsia" w:ascii="宋体" w:hAnsi="宋体" w:eastAsia="宋体" w:cs="宋体"/>
          <w:color w:val="auto"/>
          <w:spacing w:val="11"/>
          <w:sz w:val="21"/>
          <w:szCs w:val="21"/>
        </w:rPr>
      </w:pPr>
      <w:r>
        <w:rPr>
          <w:rFonts w:hint="eastAsia" w:ascii="宋体" w:hAnsi="宋体" w:eastAsia="宋体" w:cs="宋体"/>
          <w:b/>
          <w:bCs/>
          <w:color w:val="auto"/>
          <w:spacing w:val="11"/>
          <w:sz w:val="21"/>
          <w:szCs w:val="21"/>
        </w:rPr>
        <w:t>1</w:t>
      </w:r>
      <w:r>
        <w:rPr>
          <w:rFonts w:hint="eastAsia" w:ascii="宋体" w:hAnsi="宋体" w:eastAsia="宋体" w:cs="宋体"/>
          <w:b/>
          <w:bCs/>
          <w:color w:val="auto"/>
          <w:spacing w:val="11"/>
          <w:sz w:val="21"/>
          <w:szCs w:val="21"/>
          <w:lang w:val="en-US" w:eastAsia="zh-CN"/>
        </w:rPr>
        <w:t>.</w:t>
      </w:r>
      <w:r>
        <w:rPr>
          <w:rFonts w:hint="eastAsia" w:ascii="宋体" w:hAnsi="宋体" w:eastAsia="宋体" w:cs="宋体"/>
          <w:b/>
          <w:bCs/>
          <w:color w:val="auto"/>
          <w:spacing w:val="11"/>
          <w:sz w:val="21"/>
          <w:szCs w:val="21"/>
        </w:rPr>
        <w:t>在资格审查时，如发现下列情形之一的，</w:t>
      </w:r>
      <w:r>
        <w:rPr>
          <w:rFonts w:hint="eastAsia" w:ascii="宋体" w:hAnsi="宋体" w:eastAsia="宋体" w:cs="宋体"/>
          <w:b/>
          <w:bCs/>
          <w:color w:val="auto"/>
          <w:spacing w:val="11"/>
          <w:sz w:val="21"/>
          <w:szCs w:val="21"/>
          <w:lang w:eastAsia="zh-CN"/>
        </w:rPr>
        <w:t>磋商响应文件</w:t>
      </w:r>
      <w:r>
        <w:rPr>
          <w:rFonts w:hint="eastAsia" w:ascii="宋体" w:hAnsi="宋体" w:eastAsia="宋体" w:cs="宋体"/>
          <w:b/>
          <w:bCs/>
          <w:color w:val="auto"/>
          <w:spacing w:val="11"/>
          <w:sz w:val="21"/>
          <w:szCs w:val="21"/>
        </w:rPr>
        <w:t>将被视为无效：</w:t>
      </w:r>
    </w:p>
    <w:p>
      <w:pPr>
        <w:snapToGrid w:val="0"/>
        <w:spacing w:beforeLines="0" w:afterLines="0" w:line="380" w:lineRule="exact"/>
        <w:ind w:firstLine="464" w:firstLineChars="200"/>
        <w:rPr>
          <w:rFonts w:hint="eastAsia" w:ascii="宋体" w:hAnsi="宋体" w:eastAsia="宋体" w:cs="宋体"/>
          <w:color w:val="auto"/>
          <w:spacing w:val="11"/>
          <w:sz w:val="21"/>
          <w:szCs w:val="21"/>
          <w:lang w:eastAsia="zh-CN"/>
        </w:rPr>
      </w:pPr>
      <w:r>
        <w:rPr>
          <w:rFonts w:hint="eastAsia" w:ascii="宋体" w:hAnsi="宋体" w:eastAsia="宋体" w:cs="宋体"/>
          <w:color w:val="auto"/>
          <w:spacing w:val="11"/>
          <w:sz w:val="21"/>
          <w:szCs w:val="21"/>
        </w:rPr>
        <w:t>（1）资格证明文件不全的，或者不符合</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标明的资格要求的</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见资格审查资料要求</w:t>
      </w:r>
      <w:r>
        <w:rPr>
          <w:rFonts w:hint="eastAsia" w:ascii="宋体" w:hAnsi="宋体" w:eastAsia="宋体" w:cs="宋体"/>
          <w:color w:val="auto"/>
          <w:spacing w:val="11"/>
          <w:sz w:val="21"/>
          <w:szCs w:val="21"/>
          <w:lang w:eastAsia="zh-CN"/>
        </w:rPr>
        <w:t>）；</w:t>
      </w:r>
    </w:p>
    <w:p>
      <w:pPr>
        <w:snapToGrid w:val="0"/>
        <w:spacing w:beforeLines="0" w:afterLines="0" w:line="380" w:lineRule="exact"/>
        <w:ind w:firstLine="464" w:firstLineChars="200"/>
        <w:rPr>
          <w:rFonts w:hint="eastAsia" w:ascii="宋体" w:hAnsi="宋体" w:eastAsia="宋体" w:cs="宋体"/>
          <w:color w:val="auto"/>
          <w:spacing w:val="11"/>
          <w:sz w:val="21"/>
          <w:szCs w:val="21"/>
          <w:lang w:eastAsia="zh-CN"/>
        </w:rPr>
      </w:pP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val="en-US" w:eastAsia="zh-CN"/>
        </w:rPr>
        <w:t>2</w:t>
      </w:r>
      <w:r>
        <w:rPr>
          <w:rFonts w:hint="eastAsia" w:ascii="宋体" w:hAnsi="宋体" w:eastAsia="宋体" w:cs="宋体"/>
          <w:color w:val="auto"/>
          <w:spacing w:val="11"/>
          <w:sz w:val="21"/>
          <w:szCs w:val="21"/>
        </w:rPr>
        <w:t>）自公告发布之日起至</w:t>
      </w:r>
      <w:r>
        <w:rPr>
          <w:rFonts w:hint="eastAsia" w:ascii="宋体" w:hAnsi="宋体" w:eastAsia="宋体" w:cs="宋体"/>
          <w:color w:val="auto"/>
          <w:spacing w:val="11"/>
          <w:sz w:val="21"/>
          <w:szCs w:val="21"/>
          <w:lang w:eastAsia="zh-CN"/>
        </w:rPr>
        <w:t>磋商响应截止日</w:t>
      </w:r>
      <w:r>
        <w:rPr>
          <w:rFonts w:hint="eastAsia" w:ascii="宋体" w:hAnsi="宋体" w:eastAsia="宋体" w:cs="宋体"/>
          <w:color w:val="auto"/>
          <w:spacing w:val="11"/>
          <w:sz w:val="21"/>
          <w:szCs w:val="21"/>
        </w:rPr>
        <w:t>内在“信用中国网” (www.creditchina.gov.cn)被列入失信被执行人、重大税收违法当事人名单的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，资格审查时不予以通过</w:t>
      </w:r>
      <w:r>
        <w:rPr>
          <w:rFonts w:hint="eastAsia" w:ascii="宋体" w:hAnsi="宋体" w:eastAsia="宋体" w:cs="宋体"/>
          <w:color w:val="auto"/>
          <w:spacing w:val="11"/>
          <w:sz w:val="21"/>
          <w:szCs w:val="21"/>
          <w:lang w:eastAsia="zh-CN"/>
        </w:rPr>
        <w:t>；</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3</w:t>
      </w:r>
      <w:r>
        <w:rPr>
          <w:rFonts w:hint="eastAsia" w:ascii="宋体" w:hAnsi="宋体" w:eastAsia="宋体" w:cs="宋体"/>
          <w:color w:val="auto"/>
          <w:spacing w:val="11"/>
          <w:sz w:val="21"/>
          <w:szCs w:val="21"/>
          <w:highlight w:val="none"/>
        </w:rPr>
        <w:t>）自公告发布之日起至</w:t>
      </w:r>
      <w:r>
        <w:rPr>
          <w:rFonts w:hint="eastAsia" w:ascii="宋体" w:hAnsi="宋体" w:eastAsia="宋体" w:cs="宋体"/>
          <w:color w:val="auto"/>
          <w:spacing w:val="11"/>
          <w:sz w:val="21"/>
          <w:szCs w:val="21"/>
          <w:highlight w:val="none"/>
          <w:lang w:eastAsia="zh-CN"/>
        </w:rPr>
        <w:t>磋商响应截止日</w:t>
      </w:r>
      <w:r>
        <w:rPr>
          <w:rFonts w:hint="eastAsia" w:ascii="宋体" w:hAnsi="宋体" w:eastAsia="宋体" w:cs="宋体"/>
          <w:color w:val="auto"/>
          <w:spacing w:val="11"/>
          <w:sz w:val="21"/>
          <w:szCs w:val="21"/>
          <w:highlight w:val="none"/>
        </w:rPr>
        <w:t>内在“中国政府采购网”(www.ccgp.gov.cn)被列入政府采购严重违法失信行为记录名单的</w:t>
      </w:r>
      <w:r>
        <w:rPr>
          <w:rFonts w:hint="eastAsia" w:ascii="宋体" w:hAnsi="宋体" w:eastAsia="宋体" w:cs="宋体"/>
          <w:color w:val="auto"/>
          <w:spacing w:val="11"/>
          <w:sz w:val="21"/>
          <w:szCs w:val="21"/>
          <w:highlight w:val="none"/>
          <w:lang w:eastAsia="zh-CN"/>
        </w:rPr>
        <w:t>供应商</w:t>
      </w:r>
      <w:r>
        <w:rPr>
          <w:rFonts w:hint="eastAsia" w:ascii="宋体" w:hAnsi="宋体" w:eastAsia="宋体" w:cs="宋体"/>
          <w:color w:val="auto"/>
          <w:spacing w:val="11"/>
          <w:sz w:val="21"/>
          <w:szCs w:val="21"/>
          <w:highlight w:val="none"/>
        </w:rPr>
        <w:t>，资格审查时不予以通过。</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lang w:val="en-US" w:eastAsia="zh-CN"/>
        </w:rPr>
        <w:t>2</w:t>
      </w:r>
      <w:r>
        <w:rPr>
          <w:rFonts w:hint="eastAsia" w:ascii="宋体" w:hAnsi="宋体" w:eastAsia="宋体" w:cs="宋体"/>
          <w:b/>
          <w:bCs/>
          <w:color w:val="auto"/>
          <w:spacing w:val="11"/>
          <w:sz w:val="21"/>
          <w:szCs w:val="21"/>
        </w:rPr>
        <w:t>.在商务资信评审时，如发现下列情形之一的，</w:t>
      </w:r>
      <w:r>
        <w:rPr>
          <w:rFonts w:hint="eastAsia" w:ascii="宋体" w:hAnsi="宋体" w:eastAsia="宋体" w:cs="宋体"/>
          <w:b/>
          <w:bCs/>
          <w:color w:val="auto"/>
          <w:spacing w:val="11"/>
          <w:sz w:val="21"/>
          <w:szCs w:val="21"/>
          <w:lang w:eastAsia="zh-CN"/>
        </w:rPr>
        <w:t>磋商响应文件</w:t>
      </w:r>
      <w:r>
        <w:rPr>
          <w:rFonts w:hint="eastAsia" w:ascii="宋体" w:hAnsi="宋体" w:eastAsia="宋体" w:cs="宋体"/>
          <w:b/>
          <w:bCs/>
          <w:color w:val="auto"/>
          <w:spacing w:val="11"/>
          <w:sz w:val="21"/>
          <w:szCs w:val="21"/>
        </w:rPr>
        <w:t>将被视为无效：</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由授权委托人签署但无有效的授权委托书的；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val="en-US" w:eastAsia="zh-CN"/>
        </w:rPr>
        <w:t>2</w:t>
      </w: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的签署、盖章不符合</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要求的；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val="en-US" w:eastAsia="zh-CN"/>
        </w:rPr>
        <w:t>3</w:t>
      </w: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的实质性内容未使用中文表述、意思表述不明确、前后矛盾或者使用计量单位不符合</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要求的（经</w:t>
      </w:r>
      <w:r>
        <w:rPr>
          <w:rFonts w:hint="eastAsia" w:ascii="宋体" w:hAnsi="宋体" w:eastAsia="宋体" w:cs="宋体"/>
          <w:color w:val="auto"/>
          <w:spacing w:val="11"/>
          <w:sz w:val="21"/>
          <w:szCs w:val="21"/>
          <w:lang w:eastAsia="zh-CN"/>
        </w:rPr>
        <w:t>磋商小组</w:t>
      </w:r>
      <w:r>
        <w:rPr>
          <w:rFonts w:hint="eastAsia" w:ascii="宋体" w:hAnsi="宋体" w:eastAsia="宋体" w:cs="宋体"/>
          <w:color w:val="auto"/>
          <w:spacing w:val="11"/>
          <w:sz w:val="21"/>
          <w:szCs w:val="21"/>
        </w:rPr>
        <w:t>认定并允许其当场更正的笔误除外）；</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val="en-US" w:eastAsia="zh-CN"/>
        </w:rPr>
        <w:t>4</w:t>
      </w: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的关键内容字迹模糊，无法辨认的（</w:t>
      </w:r>
      <w:r>
        <w:rPr>
          <w:rFonts w:hint="eastAsia" w:ascii="宋体" w:hAnsi="宋体" w:eastAsia="宋体" w:cs="宋体"/>
          <w:color w:val="auto"/>
          <w:spacing w:val="11"/>
          <w:sz w:val="21"/>
          <w:szCs w:val="21"/>
          <w:lang w:eastAsia="zh-CN"/>
        </w:rPr>
        <w:t>磋商小组</w:t>
      </w:r>
      <w:r>
        <w:rPr>
          <w:rFonts w:hint="eastAsia" w:ascii="宋体" w:hAnsi="宋体" w:eastAsia="宋体" w:cs="宋体"/>
          <w:color w:val="auto"/>
          <w:spacing w:val="11"/>
          <w:sz w:val="21"/>
          <w:szCs w:val="21"/>
        </w:rPr>
        <w:t>成员一致认为的）；</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5</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eastAsia="zh-CN"/>
        </w:rPr>
        <w:t>磋商响应文件有效期</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eastAsia="zh-CN"/>
        </w:rPr>
        <w:t>付款方式、</w:t>
      </w:r>
      <w:r>
        <w:rPr>
          <w:rFonts w:hint="eastAsia" w:ascii="宋体" w:hAnsi="宋体" w:eastAsia="宋体" w:cs="宋体"/>
          <w:color w:val="auto"/>
          <w:spacing w:val="11"/>
          <w:sz w:val="21"/>
          <w:szCs w:val="21"/>
          <w:highlight w:val="none"/>
          <w:lang w:val="en-US" w:eastAsia="zh-CN"/>
        </w:rPr>
        <w:t>服务期等商务条款</w:t>
      </w:r>
      <w:r>
        <w:rPr>
          <w:rFonts w:hint="eastAsia" w:ascii="宋体" w:hAnsi="宋体" w:eastAsia="宋体" w:cs="宋体"/>
          <w:color w:val="auto"/>
          <w:spacing w:val="11"/>
          <w:sz w:val="21"/>
          <w:szCs w:val="21"/>
          <w:highlight w:val="none"/>
        </w:rPr>
        <w:t>不能满足</w:t>
      </w:r>
      <w:r>
        <w:rPr>
          <w:rFonts w:hint="eastAsia" w:ascii="宋体" w:hAnsi="宋体" w:eastAsia="宋体" w:cs="宋体"/>
          <w:color w:val="auto"/>
          <w:spacing w:val="11"/>
          <w:sz w:val="21"/>
          <w:szCs w:val="21"/>
          <w:highlight w:val="none"/>
          <w:lang w:eastAsia="zh-CN"/>
        </w:rPr>
        <w:t>磋商文件</w:t>
      </w:r>
      <w:r>
        <w:rPr>
          <w:rFonts w:hint="eastAsia" w:ascii="宋体" w:hAnsi="宋体" w:eastAsia="宋体" w:cs="宋体"/>
          <w:color w:val="auto"/>
          <w:spacing w:val="11"/>
          <w:sz w:val="21"/>
          <w:szCs w:val="21"/>
          <w:highlight w:val="none"/>
        </w:rPr>
        <w:t>要求的；</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6</w:t>
      </w:r>
      <w:r>
        <w:rPr>
          <w:rFonts w:hint="eastAsia" w:ascii="宋体" w:hAnsi="宋体" w:eastAsia="宋体" w:cs="宋体"/>
          <w:color w:val="auto"/>
          <w:spacing w:val="11"/>
          <w:sz w:val="21"/>
          <w:szCs w:val="21"/>
          <w:highlight w:val="none"/>
        </w:rPr>
        <w:t>）未响应</w:t>
      </w:r>
      <w:r>
        <w:rPr>
          <w:rFonts w:hint="eastAsia" w:ascii="宋体" w:hAnsi="宋体" w:eastAsia="宋体" w:cs="宋体"/>
          <w:color w:val="auto"/>
          <w:spacing w:val="11"/>
          <w:sz w:val="21"/>
          <w:szCs w:val="21"/>
          <w:highlight w:val="none"/>
          <w:lang w:eastAsia="zh-CN"/>
        </w:rPr>
        <w:t>磋商文件</w:t>
      </w:r>
      <w:r>
        <w:rPr>
          <w:rFonts w:hint="eastAsia" w:ascii="宋体" w:hAnsi="宋体" w:eastAsia="宋体" w:cs="宋体"/>
          <w:color w:val="auto"/>
          <w:spacing w:val="11"/>
          <w:sz w:val="21"/>
          <w:szCs w:val="21"/>
          <w:highlight w:val="none"/>
        </w:rPr>
        <w:t>实质性要求或者</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有</w:t>
      </w:r>
      <w:r>
        <w:rPr>
          <w:rFonts w:hint="eastAsia" w:ascii="宋体" w:hAnsi="宋体" w:eastAsia="宋体" w:cs="宋体"/>
          <w:color w:val="auto"/>
          <w:spacing w:val="11"/>
          <w:sz w:val="21"/>
          <w:szCs w:val="21"/>
          <w:highlight w:val="none"/>
          <w:lang w:val="en-US" w:eastAsia="zh-CN"/>
        </w:rPr>
        <w:t>采购人</w:t>
      </w:r>
      <w:r>
        <w:rPr>
          <w:rFonts w:hint="eastAsia" w:ascii="宋体" w:hAnsi="宋体" w:eastAsia="宋体" w:cs="宋体"/>
          <w:color w:val="auto"/>
          <w:spacing w:val="11"/>
          <w:sz w:val="21"/>
          <w:szCs w:val="21"/>
          <w:highlight w:val="none"/>
        </w:rPr>
        <w:t>不能接受的附加条件的；</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7</w:t>
      </w:r>
      <w:r>
        <w:rPr>
          <w:rFonts w:hint="eastAsia" w:ascii="宋体" w:hAnsi="宋体" w:eastAsia="宋体" w:cs="宋体"/>
          <w:color w:val="auto"/>
          <w:spacing w:val="11"/>
          <w:sz w:val="21"/>
          <w:szCs w:val="21"/>
          <w:highlight w:val="none"/>
        </w:rPr>
        <w:t>）提供虚假资料的；</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8</w:t>
      </w:r>
      <w:r>
        <w:rPr>
          <w:rFonts w:hint="eastAsia" w:ascii="宋体" w:hAnsi="宋体" w:eastAsia="宋体" w:cs="宋体"/>
          <w:color w:val="auto"/>
          <w:spacing w:val="11"/>
          <w:sz w:val="21"/>
          <w:szCs w:val="21"/>
          <w:highlight w:val="none"/>
        </w:rPr>
        <w:t>）存在法律、法规、规章规定的其它无效情况的。</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lang w:val="en-US" w:eastAsia="zh-CN"/>
        </w:rPr>
        <w:t>3</w:t>
      </w:r>
      <w:r>
        <w:rPr>
          <w:rFonts w:hint="eastAsia" w:ascii="宋体" w:hAnsi="宋体" w:eastAsia="宋体" w:cs="宋体"/>
          <w:b/>
          <w:bCs/>
          <w:color w:val="auto"/>
          <w:spacing w:val="11"/>
          <w:sz w:val="21"/>
          <w:szCs w:val="21"/>
        </w:rPr>
        <w:t>.在技术评审时，如发现下列情形之一的，</w:t>
      </w:r>
      <w:r>
        <w:rPr>
          <w:rFonts w:hint="eastAsia" w:ascii="宋体" w:hAnsi="宋体" w:eastAsia="宋体" w:cs="宋体"/>
          <w:b/>
          <w:bCs/>
          <w:color w:val="auto"/>
          <w:spacing w:val="11"/>
          <w:sz w:val="21"/>
          <w:szCs w:val="21"/>
          <w:lang w:eastAsia="zh-CN"/>
        </w:rPr>
        <w:t>磋商响应文件</w:t>
      </w:r>
      <w:r>
        <w:rPr>
          <w:rFonts w:hint="eastAsia" w:ascii="宋体" w:hAnsi="宋体" w:eastAsia="宋体" w:cs="宋体"/>
          <w:b/>
          <w:bCs/>
          <w:color w:val="auto"/>
          <w:spacing w:val="11"/>
          <w:sz w:val="21"/>
          <w:szCs w:val="21"/>
        </w:rPr>
        <w:t>将被视为无效：</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（1）</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标明的响应或偏离与事实不符或虚假</w:t>
      </w:r>
      <w:r>
        <w:rPr>
          <w:rFonts w:hint="eastAsia" w:ascii="宋体" w:hAnsi="宋体" w:eastAsia="宋体" w:cs="宋体"/>
          <w:color w:val="auto"/>
          <w:spacing w:val="11"/>
          <w:sz w:val="21"/>
          <w:szCs w:val="21"/>
          <w:highlight w:val="none"/>
          <w:lang w:eastAsia="zh-CN"/>
        </w:rPr>
        <w:t>承诺</w:t>
      </w:r>
      <w:r>
        <w:rPr>
          <w:rFonts w:hint="eastAsia" w:ascii="宋体" w:hAnsi="宋体" w:eastAsia="宋体" w:cs="宋体"/>
          <w:color w:val="auto"/>
          <w:spacing w:val="11"/>
          <w:sz w:val="21"/>
          <w:szCs w:val="21"/>
          <w:highlight w:val="none"/>
        </w:rPr>
        <w:t>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（2）明显不符合</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中服务标准、服务要求或发生实质性偏离的；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（3）技术方案不明确，存在一个或一个以上替代</w:t>
      </w:r>
      <w:r>
        <w:rPr>
          <w:rFonts w:hint="eastAsia" w:ascii="宋体" w:hAnsi="宋体" w:eastAsia="宋体" w:cs="宋体"/>
          <w:color w:val="auto"/>
          <w:spacing w:val="11"/>
          <w:sz w:val="21"/>
          <w:szCs w:val="21"/>
          <w:lang w:eastAsia="zh-CN"/>
        </w:rPr>
        <w:t>技术</w:t>
      </w:r>
      <w:r>
        <w:rPr>
          <w:rFonts w:hint="eastAsia" w:ascii="宋体" w:hAnsi="宋体" w:eastAsia="宋体" w:cs="宋体"/>
          <w:color w:val="auto"/>
          <w:spacing w:val="11"/>
          <w:sz w:val="21"/>
          <w:szCs w:val="21"/>
        </w:rPr>
        <w:t>方案的</w:t>
      </w:r>
      <w:r>
        <w:rPr>
          <w:rFonts w:hint="eastAsia" w:ascii="宋体" w:hAnsi="宋体" w:eastAsia="宋体" w:cs="宋体"/>
          <w:color w:val="auto"/>
          <w:spacing w:val="11"/>
          <w:sz w:val="21"/>
          <w:szCs w:val="21"/>
          <w:lang w:eastAsia="zh-CN"/>
        </w:rPr>
        <w:t>。</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lang w:val="en-US" w:eastAsia="zh-CN"/>
        </w:rPr>
        <w:t>4</w:t>
      </w:r>
      <w:r>
        <w:rPr>
          <w:rFonts w:hint="eastAsia" w:ascii="宋体" w:hAnsi="宋体" w:eastAsia="宋体" w:cs="宋体"/>
          <w:b/>
          <w:bCs/>
          <w:color w:val="auto"/>
          <w:spacing w:val="11"/>
          <w:sz w:val="21"/>
          <w:szCs w:val="21"/>
        </w:rPr>
        <w:t>.在报价评审时，如发现下列情形之一的，</w:t>
      </w:r>
      <w:r>
        <w:rPr>
          <w:rFonts w:hint="eastAsia" w:ascii="宋体" w:hAnsi="宋体" w:eastAsia="宋体" w:cs="宋体"/>
          <w:b/>
          <w:bCs/>
          <w:color w:val="auto"/>
          <w:spacing w:val="11"/>
          <w:sz w:val="21"/>
          <w:szCs w:val="21"/>
          <w:lang w:eastAsia="zh-CN"/>
        </w:rPr>
        <w:t>磋商响应文件</w:t>
      </w:r>
      <w:r>
        <w:rPr>
          <w:rFonts w:hint="eastAsia" w:ascii="宋体" w:hAnsi="宋体" w:eastAsia="宋体" w:cs="宋体"/>
          <w:b/>
          <w:bCs/>
          <w:color w:val="auto"/>
          <w:spacing w:val="11"/>
          <w:sz w:val="21"/>
          <w:szCs w:val="21"/>
        </w:rPr>
        <w:t>将被视为无效：</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（1）未按照</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标明的</w:t>
      </w:r>
      <w:r>
        <w:rPr>
          <w:rFonts w:hint="eastAsia" w:ascii="宋体" w:hAnsi="宋体" w:eastAsia="宋体" w:cs="宋体"/>
          <w:color w:val="auto"/>
          <w:spacing w:val="11"/>
          <w:sz w:val="21"/>
          <w:szCs w:val="21"/>
          <w:lang w:eastAsia="zh-CN"/>
        </w:rPr>
        <w:t>方式</w:t>
      </w:r>
      <w:r>
        <w:rPr>
          <w:rFonts w:hint="eastAsia" w:ascii="宋体" w:hAnsi="宋体" w:eastAsia="宋体" w:cs="宋体"/>
          <w:color w:val="auto"/>
          <w:spacing w:val="11"/>
          <w:sz w:val="21"/>
          <w:szCs w:val="21"/>
        </w:rPr>
        <w:t>报价的；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（2）报价超出</w:t>
      </w:r>
      <w:r>
        <w:rPr>
          <w:rFonts w:hint="eastAsia" w:ascii="宋体" w:hAnsi="宋体" w:eastAsia="宋体" w:cs="宋体"/>
          <w:color w:val="auto"/>
          <w:spacing w:val="11"/>
          <w:sz w:val="21"/>
          <w:szCs w:val="21"/>
          <w:lang w:eastAsia="zh-CN"/>
        </w:rPr>
        <w:t>设定的区间范围</w:t>
      </w:r>
      <w:r>
        <w:rPr>
          <w:rFonts w:hint="eastAsia" w:ascii="宋体" w:hAnsi="宋体" w:eastAsia="宋体" w:cs="宋体"/>
          <w:color w:val="auto"/>
          <w:spacing w:val="11"/>
          <w:sz w:val="21"/>
          <w:szCs w:val="21"/>
        </w:rPr>
        <w:t>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w:t>
      </w:r>
      <w:r>
        <w:rPr>
          <w:rFonts w:hint="eastAsia" w:ascii="宋体" w:hAnsi="宋体" w:eastAsia="宋体" w:cs="宋体"/>
          <w:color w:val="auto"/>
          <w:spacing w:val="11"/>
          <w:sz w:val="21"/>
          <w:szCs w:val="21"/>
          <w:lang w:eastAsia="zh-CN"/>
        </w:rPr>
        <w:t>磋商报价</w:t>
      </w:r>
      <w:r>
        <w:rPr>
          <w:rFonts w:hint="eastAsia" w:ascii="宋体" w:hAnsi="宋体" w:eastAsia="宋体" w:cs="宋体"/>
          <w:color w:val="auto"/>
          <w:spacing w:val="11"/>
          <w:sz w:val="21"/>
          <w:szCs w:val="21"/>
        </w:rPr>
        <w:t>具有选择性或同一</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提交两个以上不同的报价文件或者</w:t>
      </w:r>
      <w:r>
        <w:rPr>
          <w:rFonts w:hint="eastAsia" w:ascii="宋体" w:hAnsi="宋体" w:eastAsia="宋体" w:cs="宋体"/>
          <w:color w:val="auto"/>
          <w:spacing w:val="11"/>
          <w:sz w:val="21"/>
          <w:szCs w:val="21"/>
          <w:lang w:eastAsia="zh-CN"/>
        </w:rPr>
        <w:t>磋商报价</w:t>
      </w:r>
      <w:r>
        <w:rPr>
          <w:rFonts w:hint="eastAsia" w:ascii="宋体" w:hAnsi="宋体" w:eastAsia="宋体" w:cs="宋体"/>
          <w:color w:val="auto"/>
          <w:spacing w:val="11"/>
          <w:sz w:val="21"/>
          <w:szCs w:val="21"/>
        </w:rPr>
        <w:t>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val="en-US" w:eastAsia="zh-CN"/>
        </w:rPr>
        <w:t>4</w:t>
      </w: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拒绝修正不平衡报价，或拒绝提供报价分析说明和证明资料的</w:t>
      </w:r>
      <w:r>
        <w:rPr>
          <w:rFonts w:hint="eastAsia" w:ascii="宋体" w:hAnsi="宋体" w:eastAsia="宋体" w:cs="宋体"/>
          <w:color w:val="auto"/>
          <w:spacing w:val="11"/>
          <w:sz w:val="21"/>
          <w:szCs w:val="21"/>
          <w:lang w:eastAsia="zh-CN"/>
        </w:rPr>
        <w:t>；</w:t>
      </w:r>
    </w:p>
    <w:p>
      <w:pPr>
        <w:snapToGrid w:val="0"/>
        <w:spacing w:beforeLines="0" w:afterLines="0" w:line="380" w:lineRule="exact"/>
        <w:ind w:firstLine="464" w:firstLineChars="200"/>
        <w:rPr>
          <w:rFonts w:hint="eastAsia" w:ascii="宋体" w:hAnsi="宋体" w:eastAsia="宋体" w:cs="宋体"/>
          <w:b w:val="0"/>
          <w:bCs w:val="0"/>
          <w:color w:val="auto"/>
          <w:spacing w:val="11"/>
          <w:sz w:val="21"/>
          <w:szCs w:val="21"/>
          <w:lang w:val="en-US" w:eastAsia="zh-CN"/>
        </w:rPr>
      </w:pP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val="en-US" w:eastAsia="zh-CN"/>
        </w:rPr>
        <w:t>5</w:t>
      </w:r>
      <w:r>
        <w:rPr>
          <w:rFonts w:hint="eastAsia" w:ascii="宋体" w:hAnsi="宋体" w:eastAsia="宋体" w:cs="宋体"/>
          <w:color w:val="auto"/>
          <w:spacing w:val="11"/>
          <w:sz w:val="21"/>
          <w:szCs w:val="21"/>
        </w:rPr>
        <w:t>）</w:t>
      </w:r>
      <w:r>
        <w:rPr>
          <w:rFonts w:hint="eastAsia" w:ascii="宋体" w:hAnsi="宋体" w:eastAsia="宋体" w:cs="宋体"/>
          <w:b w:val="0"/>
          <w:bCs w:val="0"/>
          <w:color w:val="auto"/>
          <w:spacing w:val="11"/>
          <w:sz w:val="21"/>
          <w:szCs w:val="21"/>
          <w:lang w:val="en-US" w:eastAsia="zh-CN"/>
        </w:rPr>
        <w:t>供应商的报价明显低于其他通过符合性审查供应商的报价，有可能影响产品质量或者不能诚信履约的，将要求供应商在合理的时间内提供书面说明，必要时提交相关证明材料；供应商不能证明其报价合理性的。</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lang w:val="en-US" w:eastAsia="zh-CN"/>
        </w:rPr>
        <w:t>5</w:t>
      </w:r>
      <w:r>
        <w:rPr>
          <w:rFonts w:hint="eastAsia" w:ascii="宋体" w:hAnsi="宋体" w:eastAsia="宋体" w:cs="宋体"/>
          <w:b/>
          <w:bCs/>
          <w:color w:val="auto"/>
          <w:spacing w:val="11"/>
          <w:sz w:val="21"/>
          <w:szCs w:val="21"/>
        </w:rPr>
        <w:t>.被拒绝的</w:t>
      </w:r>
      <w:r>
        <w:rPr>
          <w:rFonts w:hint="eastAsia" w:ascii="宋体" w:hAnsi="宋体" w:eastAsia="宋体" w:cs="宋体"/>
          <w:b/>
          <w:bCs/>
          <w:color w:val="auto"/>
          <w:spacing w:val="11"/>
          <w:sz w:val="21"/>
          <w:szCs w:val="21"/>
          <w:lang w:eastAsia="zh-CN"/>
        </w:rPr>
        <w:t>磋商响应文件</w:t>
      </w:r>
      <w:r>
        <w:rPr>
          <w:rFonts w:hint="eastAsia" w:ascii="宋体" w:hAnsi="宋体" w:eastAsia="宋体" w:cs="宋体"/>
          <w:b/>
          <w:bCs/>
          <w:color w:val="auto"/>
          <w:spacing w:val="11"/>
          <w:sz w:val="21"/>
          <w:szCs w:val="21"/>
        </w:rPr>
        <w:t>为无效。</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lang w:val="en-US" w:eastAsia="zh-CN"/>
        </w:rPr>
        <w:t>6.</w:t>
      </w:r>
      <w:r>
        <w:rPr>
          <w:rFonts w:hint="eastAsia" w:ascii="宋体" w:hAnsi="宋体" w:eastAsia="宋体" w:cs="宋体"/>
          <w:b/>
          <w:bCs/>
          <w:color w:val="auto"/>
          <w:spacing w:val="11"/>
          <w:sz w:val="21"/>
          <w:szCs w:val="21"/>
        </w:rPr>
        <w:t>出现下列情形之一的，磋商小组可以宣布磋商失败：</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1</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符合条件的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或者对</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实质性条款完全响应的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不足三家的（特殊情况经审批同意的除外</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2</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出现影响采购公正的违法、违规行为的；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3</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的报价均超过了采购预算，</w:t>
      </w:r>
      <w:r>
        <w:rPr>
          <w:rFonts w:hint="eastAsia" w:ascii="宋体" w:hAnsi="宋体" w:eastAsia="宋体" w:cs="宋体"/>
          <w:color w:val="auto"/>
          <w:spacing w:val="11"/>
          <w:sz w:val="21"/>
          <w:szCs w:val="21"/>
          <w:lang w:eastAsia="zh-CN"/>
        </w:rPr>
        <w:t>采购人</w:t>
      </w:r>
      <w:r>
        <w:rPr>
          <w:rFonts w:hint="eastAsia" w:ascii="宋体" w:hAnsi="宋体" w:eastAsia="宋体" w:cs="宋体"/>
          <w:color w:val="auto"/>
          <w:spacing w:val="11"/>
          <w:sz w:val="21"/>
          <w:szCs w:val="21"/>
        </w:rPr>
        <w:t>不能支付的；</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4</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因重大变故，采购任务取消的</w:t>
      </w:r>
      <w:r>
        <w:rPr>
          <w:rFonts w:hint="eastAsia" w:ascii="宋体" w:hAnsi="宋体" w:eastAsia="宋体" w:cs="宋体"/>
          <w:color w:val="auto"/>
          <w:spacing w:val="11"/>
          <w:sz w:val="21"/>
          <w:szCs w:val="21"/>
          <w:lang w:eastAsia="zh-CN"/>
        </w:rPr>
        <w:t>；</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（5）法律、法规、规章等规定的其他情形。</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w:t>
      </w:r>
      <w:r>
        <w:rPr>
          <w:rFonts w:hint="eastAsia" w:ascii="宋体" w:hAnsi="宋体" w:eastAsia="宋体" w:cs="宋体"/>
          <w:b/>
          <w:bCs/>
          <w:color w:val="auto"/>
          <w:spacing w:val="11"/>
          <w:sz w:val="21"/>
          <w:szCs w:val="21"/>
          <w:lang w:val="en-US" w:eastAsia="zh-CN"/>
        </w:rPr>
        <w:t>7.</w:t>
      </w:r>
      <w:r>
        <w:rPr>
          <w:rFonts w:hint="eastAsia" w:ascii="宋体" w:hAnsi="宋体" w:eastAsia="宋体" w:cs="宋体"/>
          <w:b/>
          <w:bCs/>
          <w:color w:val="auto"/>
          <w:spacing w:val="11"/>
          <w:sz w:val="21"/>
          <w:szCs w:val="21"/>
        </w:rPr>
        <w:t>违法磋商响应行为</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lang w:eastAsia="zh-CN"/>
        </w:rPr>
        <w:t>磋商小组</w:t>
      </w:r>
      <w:r>
        <w:rPr>
          <w:rFonts w:hint="eastAsia" w:ascii="宋体" w:hAnsi="宋体" w:eastAsia="宋体" w:cs="宋体"/>
          <w:color w:val="auto"/>
          <w:spacing w:val="11"/>
          <w:sz w:val="21"/>
          <w:szCs w:val="21"/>
          <w:highlight w:val="none"/>
        </w:rPr>
        <w:t>发现</w:t>
      </w:r>
      <w:r>
        <w:rPr>
          <w:rFonts w:hint="eastAsia" w:ascii="宋体" w:hAnsi="宋体" w:eastAsia="宋体" w:cs="宋体"/>
          <w:color w:val="auto"/>
          <w:spacing w:val="11"/>
          <w:sz w:val="21"/>
          <w:szCs w:val="21"/>
          <w:highlight w:val="none"/>
          <w:lang w:eastAsia="zh-CN"/>
        </w:rPr>
        <w:t>供应商</w:t>
      </w:r>
      <w:r>
        <w:rPr>
          <w:rFonts w:hint="eastAsia" w:ascii="宋体" w:hAnsi="宋体" w:eastAsia="宋体" w:cs="宋体"/>
          <w:color w:val="auto"/>
          <w:spacing w:val="11"/>
          <w:sz w:val="21"/>
          <w:szCs w:val="21"/>
          <w:highlight w:val="none"/>
        </w:rPr>
        <w:t>有下列情形之一的，</w:t>
      </w:r>
      <w:r>
        <w:rPr>
          <w:rFonts w:hint="eastAsia" w:ascii="宋体" w:hAnsi="宋体" w:eastAsia="宋体" w:cs="宋体"/>
          <w:color w:val="auto"/>
          <w:spacing w:val="11"/>
          <w:sz w:val="21"/>
          <w:szCs w:val="21"/>
          <w:highlight w:val="none"/>
          <w:lang w:eastAsia="zh-CN"/>
        </w:rPr>
        <w:t>响应无效，</w:t>
      </w:r>
      <w:r>
        <w:rPr>
          <w:rFonts w:hint="eastAsia" w:ascii="宋体" w:hAnsi="宋体" w:eastAsia="宋体" w:cs="宋体"/>
          <w:color w:val="auto"/>
          <w:spacing w:val="11"/>
          <w:sz w:val="21"/>
          <w:szCs w:val="21"/>
          <w:highlight w:val="none"/>
        </w:rPr>
        <w:t>并由财政监管部门根据相关规定处理：</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（1）属于同一集团、协会、商会等组织成员的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按照该组织要求协同磋商；</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（2）不同</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由同一单位或者个人编制；</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（3）不同</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委托同一单位或者个人办理磋商事宜；</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（4）不同</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载明的项目管理成员为同一人；</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（5）不同</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异常一致或者</w:t>
      </w:r>
      <w:r>
        <w:rPr>
          <w:rFonts w:hint="eastAsia" w:ascii="宋体" w:hAnsi="宋体" w:eastAsia="宋体" w:cs="宋体"/>
          <w:color w:val="auto"/>
          <w:spacing w:val="11"/>
          <w:sz w:val="21"/>
          <w:szCs w:val="21"/>
          <w:lang w:eastAsia="zh-CN"/>
        </w:rPr>
        <w:t>磋商报价</w:t>
      </w:r>
      <w:r>
        <w:rPr>
          <w:rFonts w:hint="eastAsia" w:ascii="宋体" w:hAnsi="宋体" w:eastAsia="宋体" w:cs="宋体"/>
          <w:color w:val="auto"/>
          <w:spacing w:val="11"/>
          <w:sz w:val="21"/>
          <w:szCs w:val="21"/>
        </w:rPr>
        <w:t>呈规律性差异；</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（6）不同</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的</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相互混装；</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（7）使用伪造、变造的行政许可证件；</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（8）提供虚假的财务状况或者业绩；</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（9）提供虚假的项目负责人或者主要技术人员简历、劳动关系证明；</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（10）提供虚假的信用状况；</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（11）其他弄虚作假的行为。</w:t>
      </w:r>
    </w:p>
    <w:p>
      <w:pPr>
        <w:pStyle w:val="11"/>
        <w:spacing w:beforeLines="0" w:afterLines="0" w:line="380" w:lineRule="exact"/>
        <w:ind w:firstLine="466" w:firstLineChars="200"/>
        <w:outlineLvl w:val="1"/>
        <w:rPr>
          <w:rFonts w:hint="eastAsia" w:ascii="宋体" w:hAnsi="宋体" w:eastAsia="宋体" w:cs="宋体"/>
          <w:b/>
          <w:bCs w:val="0"/>
          <w:color w:val="auto"/>
          <w:spacing w:val="11"/>
          <w:sz w:val="21"/>
          <w:szCs w:val="21"/>
          <w:highlight w:val="none"/>
        </w:rPr>
      </w:pPr>
      <w:r>
        <w:rPr>
          <w:rFonts w:hint="eastAsia" w:hAnsi="宋体" w:eastAsia="宋体" w:cs="宋体"/>
          <w:b/>
          <w:bCs w:val="0"/>
          <w:color w:val="auto"/>
          <w:spacing w:val="11"/>
          <w:sz w:val="21"/>
          <w:szCs w:val="21"/>
          <w:highlight w:val="none"/>
          <w:lang w:val="en-US" w:eastAsia="zh-CN"/>
        </w:rPr>
        <w:t>8.供应商</w:t>
      </w:r>
      <w:r>
        <w:rPr>
          <w:rFonts w:hint="eastAsia" w:ascii="宋体" w:hAnsi="宋体" w:eastAsia="宋体" w:cs="宋体"/>
          <w:b/>
          <w:bCs w:val="0"/>
          <w:color w:val="auto"/>
          <w:spacing w:val="11"/>
          <w:sz w:val="21"/>
          <w:szCs w:val="21"/>
          <w:highlight w:val="none"/>
        </w:rPr>
        <w:t>出现下列情形之一的，采购人不予受理</w:t>
      </w:r>
      <w:r>
        <w:rPr>
          <w:rFonts w:hint="eastAsia" w:hAnsi="宋体" w:eastAsia="宋体" w:cs="宋体"/>
          <w:b/>
          <w:bCs w:val="0"/>
          <w:color w:val="auto"/>
          <w:spacing w:val="11"/>
          <w:sz w:val="21"/>
          <w:szCs w:val="21"/>
          <w:highlight w:val="none"/>
          <w:lang w:eastAsia="zh-CN"/>
        </w:rPr>
        <w:t>或</w:t>
      </w:r>
      <w:r>
        <w:rPr>
          <w:rFonts w:hint="eastAsia" w:ascii="宋体" w:hAnsi="宋体" w:eastAsia="宋体" w:cs="宋体"/>
          <w:b/>
          <w:bCs w:val="0"/>
          <w:color w:val="auto"/>
          <w:spacing w:val="11"/>
          <w:sz w:val="21"/>
          <w:szCs w:val="21"/>
          <w:highlight w:val="none"/>
        </w:rPr>
        <w:t xml:space="preserve">拒收： </w:t>
      </w:r>
    </w:p>
    <w:p>
      <w:pPr>
        <w:pStyle w:val="11"/>
        <w:spacing w:beforeLines="0" w:afterLines="0" w:line="380" w:lineRule="exact"/>
        <w:ind w:firstLine="466"/>
        <w:rPr>
          <w:rFonts w:hint="eastAsia" w:ascii="宋体" w:hAnsi="宋体" w:eastAsia="宋体" w:cs="宋体"/>
          <w:bCs w:val="0"/>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hAnsi="宋体" w:eastAsia="宋体" w:cs="宋体"/>
          <w:color w:val="auto"/>
          <w:spacing w:val="11"/>
          <w:sz w:val="21"/>
          <w:szCs w:val="21"/>
          <w:highlight w:val="none"/>
          <w:lang w:val="en-US" w:eastAsia="zh-CN"/>
        </w:rPr>
        <w:t>1</w:t>
      </w:r>
      <w:r>
        <w:rPr>
          <w:rFonts w:hint="eastAsia" w:ascii="宋体" w:hAnsi="宋体" w:eastAsia="宋体" w:cs="宋体"/>
          <w:color w:val="auto"/>
          <w:spacing w:val="11"/>
          <w:sz w:val="21"/>
          <w:szCs w:val="21"/>
          <w:highlight w:val="none"/>
        </w:rPr>
        <w:t>）电子</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未按</w:t>
      </w:r>
      <w:r>
        <w:rPr>
          <w:rFonts w:hint="eastAsia" w:ascii="宋体" w:hAnsi="宋体" w:eastAsia="宋体" w:cs="宋体"/>
          <w:color w:val="auto"/>
          <w:spacing w:val="11"/>
          <w:sz w:val="21"/>
          <w:szCs w:val="21"/>
          <w:highlight w:val="none"/>
          <w:lang w:eastAsia="zh-CN"/>
        </w:rPr>
        <w:t>磋商文件</w:t>
      </w:r>
      <w:r>
        <w:rPr>
          <w:rFonts w:hint="eastAsia" w:ascii="宋体" w:hAnsi="宋体" w:eastAsia="宋体" w:cs="宋体"/>
          <w:color w:val="auto"/>
          <w:spacing w:val="11"/>
          <w:sz w:val="21"/>
          <w:szCs w:val="21"/>
          <w:highlight w:val="none"/>
        </w:rPr>
        <w:t xml:space="preserve">要求上传的； </w:t>
      </w:r>
    </w:p>
    <w:p>
      <w:pPr>
        <w:pStyle w:val="11"/>
        <w:spacing w:beforeLines="0" w:afterLines="0" w:line="380" w:lineRule="exact"/>
        <w:ind w:firstLine="464" w:firstLineChars="200"/>
        <w:outlineLvl w:val="1"/>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hAnsi="宋体" w:eastAsia="宋体" w:cs="宋体"/>
          <w:color w:val="auto"/>
          <w:spacing w:val="11"/>
          <w:sz w:val="21"/>
          <w:szCs w:val="21"/>
          <w:highlight w:val="none"/>
          <w:lang w:val="en-US" w:eastAsia="zh-CN"/>
        </w:rPr>
        <w:t>2</w:t>
      </w:r>
      <w:r>
        <w:rPr>
          <w:rFonts w:hint="eastAsia" w:ascii="宋体" w:hAnsi="宋体" w:eastAsia="宋体" w:cs="宋体"/>
          <w:color w:val="auto"/>
          <w:spacing w:val="11"/>
          <w:sz w:val="21"/>
          <w:szCs w:val="21"/>
          <w:highlight w:val="none"/>
        </w:rPr>
        <w:t>）仅提供备份</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的</w:t>
      </w:r>
      <w:r>
        <w:rPr>
          <w:rFonts w:hint="eastAsia" w:hAnsi="宋体" w:eastAsia="宋体" w:cs="宋体"/>
          <w:color w:val="auto"/>
          <w:spacing w:val="11"/>
          <w:sz w:val="21"/>
          <w:szCs w:val="21"/>
          <w:highlight w:val="none"/>
          <w:lang w:eastAsia="zh-CN"/>
        </w:rPr>
        <w:t>；</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3</w:t>
      </w:r>
      <w:r>
        <w:rPr>
          <w:rFonts w:hint="eastAsia" w:ascii="宋体" w:hAnsi="宋体" w:eastAsia="宋体" w:cs="宋体"/>
          <w:color w:val="auto"/>
          <w:spacing w:val="11"/>
          <w:sz w:val="21"/>
          <w:szCs w:val="21"/>
          <w:highlight w:val="none"/>
        </w:rPr>
        <w:t>）电子</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解密失败，且未在规定时间内提交备份</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的；</w:t>
      </w:r>
    </w:p>
    <w:p>
      <w:pPr>
        <w:snapToGrid w:val="0"/>
        <w:spacing w:beforeLines="0" w:afterLines="0"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val="en-US" w:eastAsia="zh-CN"/>
        </w:rPr>
        <w:t>4</w:t>
      </w:r>
      <w:r>
        <w:rPr>
          <w:rFonts w:hint="eastAsia" w:ascii="宋体" w:hAnsi="宋体" w:eastAsia="宋体" w:cs="宋体"/>
          <w:color w:val="auto"/>
          <w:spacing w:val="11"/>
          <w:sz w:val="21"/>
          <w:szCs w:val="21"/>
          <w:highlight w:val="none"/>
        </w:rPr>
        <w:t>）电子</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解密失败，虽然在规定时间内提交了备份</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，但是备份</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无法导入或者无法读取或者不符合本</w:t>
      </w:r>
      <w:r>
        <w:rPr>
          <w:rFonts w:hint="eastAsia" w:ascii="宋体" w:hAnsi="宋体" w:eastAsia="宋体" w:cs="宋体"/>
          <w:color w:val="auto"/>
          <w:spacing w:val="11"/>
          <w:sz w:val="21"/>
          <w:szCs w:val="21"/>
          <w:highlight w:val="none"/>
          <w:lang w:eastAsia="zh-CN"/>
        </w:rPr>
        <w:t>磋商文件</w:t>
      </w:r>
      <w:r>
        <w:rPr>
          <w:rFonts w:hint="eastAsia" w:ascii="宋体" w:hAnsi="宋体" w:eastAsia="宋体" w:cs="宋体"/>
          <w:color w:val="auto"/>
          <w:spacing w:val="11"/>
          <w:sz w:val="21"/>
          <w:szCs w:val="21"/>
          <w:highlight w:val="none"/>
        </w:rPr>
        <w:t>和</w:t>
      </w:r>
      <w:r>
        <w:rPr>
          <w:rFonts w:hint="eastAsia" w:ascii="宋体" w:hAnsi="宋体" w:eastAsia="宋体" w:cs="宋体"/>
          <w:color w:val="auto"/>
          <w:spacing w:val="11"/>
          <w:sz w:val="21"/>
          <w:szCs w:val="21"/>
          <w:highlight w:val="none"/>
          <w:lang w:eastAsia="zh-CN"/>
        </w:rPr>
        <w:t>政采云系统</w:t>
      </w:r>
      <w:r>
        <w:rPr>
          <w:rFonts w:hint="eastAsia" w:ascii="宋体" w:hAnsi="宋体" w:eastAsia="宋体" w:cs="宋体"/>
          <w:color w:val="auto"/>
          <w:spacing w:val="11"/>
          <w:sz w:val="21"/>
          <w:szCs w:val="21"/>
          <w:highlight w:val="none"/>
        </w:rPr>
        <w:t>平台要求的；</w:t>
      </w:r>
    </w:p>
    <w:p>
      <w:pPr>
        <w:pStyle w:val="11"/>
        <w:spacing w:beforeLines="0" w:afterLines="0" w:line="380" w:lineRule="exact"/>
        <w:ind w:firstLine="464" w:firstLineChars="200"/>
        <w:outlineLvl w:val="1"/>
        <w:rPr>
          <w:rFonts w:hint="eastAsia" w:ascii="宋体" w:hAnsi="宋体" w:eastAsia="宋体" w:cs="宋体"/>
          <w:bCs w:val="0"/>
          <w:color w:val="auto"/>
          <w:spacing w:val="11"/>
          <w:sz w:val="21"/>
          <w:szCs w:val="21"/>
          <w:highlight w:val="none"/>
        </w:rPr>
      </w:pPr>
      <w:r>
        <w:rPr>
          <w:rFonts w:hint="eastAsia" w:ascii="宋体" w:hAnsi="宋体" w:eastAsia="宋体" w:cs="宋体"/>
          <w:b w:val="0"/>
          <w:bCs w:val="0"/>
          <w:color w:val="auto"/>
          <w:spacing w:val="11"/>
          <w:sz w:val="21"/>
          <w:szCs w:val="21"/>
          <w:highlight w:val="none"/>
        </w:rPr>
        <w:t>（</w:t>
      </w:r>
      <w:r>
        <w:rPr>
          <w:rFonts w:hint="eastAsia" w:hAnsi="宋体" w:eastAsia="宋体" w:cs="宋体"/>
          <w:b w:val="0"/>
          <w:bCs w:val="0"/>
          <w:color w:val="auto"/>
          <w:spacing w:val="11"/>
          <w:sz w:val="21"/>
          <w:szCs w:val="21"/>
          <w:highlight w:val="none"/>
          <w:lang w:val="en-US" w:eastAsia="zh-CN"/>
        </w:rPr>
        <w:t>5</w:t>
      </w:r>
      <w:r>
        <w:rPr>
          <w:rFonts w:hint="eastAsia" w:ascii="宋体" w:hAnsi="宋体" w:eastAsia="宋体" w:cs="宋体"/>
          <w:b w:val="0"/>
          <w:bCs w:val="0"/>
          <w:color w:val="auto"/>
          <w:spacing w:val="11"/>
          <w:sz w:val="21"/>
          <w:szCs w:val="21"/>
          <w:highlight w:val="none"/>
        </w:rPr>
        <w:t>）其它违反法律、法规的情形。</w:t>
      </w:r>
    </w:p>
    <w:p>
      <w:pPr>
        <w:pStyle w:val="11"/>
        <w:spacing w:beforeLines="0" w:afterLines="0" w:line="380" w:lineRule="exact"/>
        <w:ind w:firstLine="466" w:firstLineChars="200"/>
        <w:rPr>
          <w:rFonts w:hint="eastAsia" w:ascii="宋体" w:hAnsi="宋体" w:eastAsia="宋体" w:cs="宋体"/>
          <w:b/>
          <w:color w:val="auto"/>
          <w:spacing w:val="11"/>
          <w:sz w:val="21"/>
          <w:szCs w:val="21"/>
        </w:rPr>
      </w:pPr>
      <w:r>
        <w:rPr>
          <w:rFonts w:hint="eastAsia" w:ascii="宋体" w:hAnsi="宋体" w:eastAsia="宋体" w:cs="宋体"/>
          <w:b/>
          <w:color w:val="auto"/>
          <w:spacing w:val="11"/>
          <w:sz w:val="21"/>
          <w:szCs w:val="21"/>
        </w:rPr>
        <w:t>（三）磋商过程的保密</w:t>
      </w:r>
    </w:p>
    <w:p>
      <w:pPr>
        <w:pStyle w:val="11"/>
        <w:spacing w:beforeLines="0" w:afterLines="0" w:line="380" w:lineRule="exact"/>
        <w:ind w:firstLine="464" w:firstLineChars="200"/>
        <w:rPr>
          <w:rFonts w:hint="eastAsia" w:ascii="宋体" w:hAnsi="宋体" w:eastAsia="宋体" w:cs="宋体"/>
          <w:b w:val="0"/>
          <w:bCs/>
          <w:color w:val="auto"/>
          <w:spacing w:val="11"/>
          <w:sz w:val="21"/>
          <w:szCs w:val="21"/>
        </w:rPr>
      </w:pPr>
      <w:r>
        <w:rPr>
          <w:rFonts w:hint="eastAsia" w:ascii="宋体" w:hAnsi="宋体" w:eastAsia="宋体" w:cs="宋体"/>
          <w:b w:val="0"/>
          <w:bCs/>
          <w:color w:val="auto"/>
          <w:spacing w:val="11"/>
          <w:sz w:val="21"/>
          <w:szCs w:val="21"/>
        </w:rPr>
        <w:t>1.凡属于对磋商响应文件的审查、澄清、评判和比较的有关资料、成交候选供应商的推荐情况及与磋商有关的其他任何情况信息，磋商小组成员、采购人和采购代理机构工作人员、相关监督人员等与磋商有关的人员均应当予以保密。</w:t>
      </w:r>
    </w:p>
    <w:p>
      <w:pPr>
        <w:pStyle w:val="11"/>
        <w:spacing w:beforeLines="0" w:afterLines="0" w:line="380" w:lineRule="exact"/>
        <w:ind w:firstLine="464" w:firstLineChars="200"/>
        <w:rPr>
          <w:rFonts w:hint="eastAsia" w:ascii="宋体" w:hAnsi="宋体" w:eastAsia="宋体" w:cs="宋体"/>
          <w:b w:val="0"/>
          <w:bCs/>
          <w:color w:val="auto"/>
          <w:spacing w:val="11"/>
          <w:sz w:val="21"/>
          <w:szCs w:val="21"/>
        </w:rPr>
      </w:pPr>
      <w:r>
        <w:rPr>
          <w:rFonts w:hint="eastAsia" w:ascii="宋体" w:hAnsi="宋体" w:eastAsia="宋体" w:cs="宋体"/>
          <w:b w:val="0"/>
          <w:bCs/>
          <w:color w:val="auto"/>
          <w:spacing w:val="11"/>
          <w:sz w:val="21"/>
          <w:szCs w:val="21"/>
        </w:rPr>
        <w:t>2.在磋商响应文件的评判和比较、成交候选供应商推荐以及授予合同的过程中，供应商向采购人、采购代理机构和磋商小组施加影响的任何行为，都将会导致其磋商被拒绝。</w:t>
      </w:r>
    </w:p>
    <w:p>
      <w:pPr>
        <w:pStyle w:val="11"/>
        <w:spacing w:beforeLines="0" w:afterLines="0" w:line="380" w:lineRule="exact"/>
        <w:ind w:firstLine="464" w:firstLineChars="200"/>
        <w:rPr>
          <w:rFonts w:hint="eastAsia" w:ascii="宋体" w:hAnsi="宋体" w:eastAsia="宋体" w:cs="宋体"/>
          <w:b w:val="0"/>
          <w:bCs/>
          <w:color w:val="auto"/>
          <w:spacing w:val="11"/>
          <w:sz w:val="21"/>
          <w:szCs w:val="21"/>
        </w:rPr>
      </w:pPr>
      <w:r>
        <w:rPr>
          <w:rFonts w:hint="eastAsia" w:ascii="宋体" w:hAnsi="宋体" w:eastAsia="宋体" w:cs="宋体"/>
          <w:b w:val="0"/>
          <w:bCs/>
          <w:color w:val="auto"/>
          <w:spacing w:val="11"/>
          <w:sz w:val="21"/>
          <w:szCs w:val="21"/>
        </w:rPr>
        <w:t>3.在磋商过程中，磋商小组成员不得透露其他供应商的磋商信息，严守商业秘密。</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w:t>
      </w:r>
      <w:r>
        <w:rPr>
          <w:rFonts w:hint="eastAsia" w:ascii="宋体" w:hAnsi="宋体" w:eastAsia="宋体" w:cs="宋体"/>
          <w:b/>
          <w:bCs/>
          <w:color w:val="auto"/>
          <w:spacing w:val="11"/>
          <w:sz w:val="21"/>
          <w:szCs w:val="21"/>
          <w:lang w:eastAsia="zh-CN"/>
        </w:rPr>
        <w:t>四</w:t>
      </w:r>
      <w:r>
        <w:rPr>
          <w:rFonts w:hint="eastAsia" w:ascii="宋体" w:hAnsi="宋体" w:eastAsia="宋体" w:cs="宋体"/>
          <w:b/>
          <w:bCs/>
          <w:color w:val="auto"/>
          <w:spacing w:val="11"/>
          <w:sz w:val="21"/>
          <w:szCs w:val="21"/>
        </w:rPr>
        <w:t>）磋商办法及标准</w:t>
      </w:r>
    </w:p>
    <w:p>
      <w:pPr>
        <w:snapToGrid w:val="0"/>
        <w:spacing w:beforeLines="0" w:afterLines="0" w:line="380" w:lineRule="exact"/>
        <w:ind w:firstLine="464" w:firstLineChars="200"/>
        <w:rPr>
          <w:rFonts w:hint="eastAsia" w:ascii="宋体" w:hAnsi="宋体" w:eastAsia="宋体" w:cs="宋体"/>
          <w:b w:val="0"/>
          <w:bCs w:val="0"/>
          <w:color w:val="auto"/>
          <w:spacing w:val="11"/>
          <w:sz w:val="21"/>
          <w:szCs w:val="21"/>
        </w:rPr>
      </w:pPr>
      <w:r>
        <w:rPr>
          <w:rFonts w:hint="eastAsia" w:ascii="宋体" w:hAnsi="宋体" w:eastAsia="宋体" w:cs="宋体"/>
          <w:b w:val="0"/>
          <w:bCs w:val="0"/>
          <w:color w:val="auto"/>
          <w:spacing w:val="11"/>
          <w:sz w:val="21"/>
          <w:szCs w:val="21"/>
        </w:rPr>
        <w:t>1.资格审查</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1</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采购人代表依据磋商文件规定，对磋商响应文件中的资格证明等进行审查，以确定供应商是否具备磋商资格。对于资格审查不合格的供应商，不进入后续评审。</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（2）采购人在进行资格审查时，不得改变</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中已载明的资格条件、标准和办法。</w:t>
      </w:r>
    </w:p>
    <w:p>
      <w:pPr>
        <w:snapToGrid w:val="0"/>
        <w:spacing w:beforeLines="0" w:afterLines="0" w:line="380" w:lineRule="exact"/>
        <w:ind w:firstLine="464" w:firstLineChars="200"/>
        <w:rPr>
          <w:rFonts w:hint="eastAsia" w:ascii="宋体" w:hAnsi="宋体" w:eastAsia="宋体" w:cs="宋体"/>
          <w:b w:val="0"/>
          <w:bCs w:val="0"/>
          <w:color w:val="auto"/>
          <w:spacing w:val="11"/>
          <w:sz w:val="21"/>
          <w:szCs w:val="21"/>
        </w:rPr>
      </w:pPr>
      <w:r>
        <w:rPr>
          <w:rFonts w:hint="eastAsia" w:ascii="宋体" w:hAnsi="宋体" w:eastAsia="宋体" w:cs="宋体"/>
          <w:b w:val="0"/>
          <w:bCs w:val="0"/>
          <w:color w:val="auto"/>
          <w:spacing w:val="11"/>
          <w:sz w:val="21"/>
          <w:szCs w:val="21"/>
          <w:lang w:val="en-US" w:eastAsia="zh-CN"/>
        </w:rPr>
        <w:t>2</w:t>
      </w:r>
      <w:r>
        <w:rPr>
          <w:rFonts w:hint="eastAsia" w:ascii="宋体" w:hAnsi="宋体" w:eastAsia="宋体" w:cs="宋体"/>
          <w:b w:val="0"/>
          <w:bCs w:val="0"/>
          <w:color w:val="auto"/>
          <w:spacing w:val="11"/>
          <w:sz w:val="21"/>
          <w:szCs w:val="21"/>
        </w:rPr>
        <w:t>.符合性审查（包括商务资信、技术及报价审查）</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磋商小组</w:t>
      </w:r>
      <w:r>
        <w:rPr>
          <w:rFonts w:hint="eastAsia" w:ascii="宋体" w:hAnsi="宋体" w:eastAsia="宋体" w:cs="宋体"/>
          <w:color w:val="auto"/>
          <w:spacing w:val="11"/>
          <w:sz w:val="21"/>
          <w:szCs w:val="21"/>
        </w:rPr>
        <w:t>对通过资格审查的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进行符合性审查。依据</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的规定，从</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的有效性、完整性和对</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的响应程度进行符合性审查，以确定是否对</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的实质性要求作出响应。符合性审查未通过的</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，不进入后续评审。</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3.评审过程中磋商供应商有义务对磋商小组提出就磋商响应文件中含义不明确、同类问题表述不一致或者有明显的文字和计算错误的内容进行澄清、说明或者纠正</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但不得改变磋商响应文件的实质性内容。供应商的澄清、说明或者纠正应当由法定代表人或其授权代表签字或者加盖公章，并作为磋商响应文件的补充。由授权代表签字的，应当附法定代表人授权书。</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4.经澄清后，若偏差仍存在，且不可接受，磋商供应商则被认为是“没有实质性响应磋商文件要求”，不进入下一步评审。</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5.磋商小组按磋商文件规定的评分标准</w:t>
      </w:r>
      <w:r>
        <w:rPr>
          <w:rFonts w:hint="eastAsia" w:ascii="宋体" w:hAnsi="宋体" w:eastAsia="宋体" w:cs="宋体"/>
          <w:color w:val="auto"/>
          <w:spacing w:val="11"/>
          <w:sz w:val="21"/>
          <w:szCs w:val="21"/>
          <w:lang w:eastAsia="zh-CN"/>
        </w:rPr>
        <w:t>进行</w:t>
      </w:r>
      <w:r>
        <w:rPr>
          <w:rFonts w:hint="eastAsia" w:ascii="宋体" w:hAnsi="宋体" w:eastAsia="宋体" w:cs="宋体"/>
          <w:color w:val="auto"/>
          <w:spacing w:val="11"/>
          <w:sz w:val="21"/>
          <w:szCs w:val="21"/>
        </w:rPr>
        <w:t>商务资信及技术评审</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rPr>
        <w:t>商务资信及技术评审结束后，进行报价磋商。磋商小组将要求所有实质性响应的供应商在规定时间内提交最终报价。在磋商内容不变的情况下，最终报价不能高于前轮报价和最高限价（磋商响应文件中的报价视为</w:t>
      </w:r>
      <w:r>
        <w:rPr>
          <w:rFonts w:hint="eastAsia" w:ascii="宋体" w:hAnsi="宋体" w:eastAsia="宋体" w:cs="宋体"/>
          <w:color w:val="auto"/>
          <w:spacing w:val="11"/>
          <w:sz w:val="21"/>
          <w:szCs w:val="21"/>
          <w:lang w:eastAsia="zh-CN"/>
        </w:rPr>
        <w:t>首次</w:t>
      </w:r>
      <w:r>
        <w:rPr>
          <w:rFonts w:hint="eastAsia" w:ascii="宋体" w:hAnsi="宋体" w:eastAsia="宋体" w:cs="宋体"/>
          <w:color w:val="auto"/>
          <w:spacing w:val="11"/>
          <w:sz w:val="21"/>
          <w:szCs w:val="21"/>
        </w:rPr>
        <w:t>报价），高出的报价将作无效标处理。最终报价是供应商响应文件的有效组成部分。</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6.磋商小组依据磋商文件的规定，对各供应商提交的最终报价的完整性、合理性进行审查，必要时可要求供应商对其报价做出澄清、说明；</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报价修正；</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磋商小组根据供应商的最终报价和评审标准，计算各供应商的报价得分。</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7.评审报告</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（1）评审结果汇总，供应商结果排序；</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（2）磋商小组编写评审报告，并推荐成交候选供应商；</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（3）评审报告由磋商小组成员签字确认生效，持不同意见的磋商小组成员应当在评审报告上签署不同意见及理由，否则视为同意评审报告。</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8.在磋商过程中，磋商供应商不得向磋商小组成员询问磋商情况，不得进行旨在影响磋商结果的活动，否则将取消其磋商资格。</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9.在磋商过程中，磋商小组成员不得与磋商供应商私下交换意见，不得透露与磋商有关的其他供应商的技术资料、价格和其他信息。在磋商结束后，凡与磋商情况有接触的人不得将磋商情况扩散出磋商小组成员外。</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w:t>
      </w:r>
      <w:r>
        <w:rPr>
          <w:rFonts w:hint="eastAsia" w:ascii="宋体" w:hAnsi="宋体" w:eastAsia="宋体" w:cs="宋体"/>
          <w:b/>
          <w:bCs/>
          <w:color w:val="auto"/>
          <w:spacing w:val="11"/>
          <w:sz w:val="21"/>
          <w:szCs w:val="21"/>
          <w:lang w:eastAsia="zh-CN"/>
        </w:rPr>
        <w:t>五</w:t>
      </w:r>
      <w:r>
        <w:rPr>
          <w:rFonts w:hint="eastAsia" w:ascii="宋体" w:hAnsi="宋体" w:eastAsia="宋体" w:cs="宋体"/>
          <w:b/>
          <w:bCs/>
          <w:color w:val="auto"/>
          <w:spacing w:val="11"/>
          <w:sz w:val="21"/>
          <w:szCs w:val="21"/>
        </w:rPr>
        <w:t>）澄清问题的形式</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对</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中含义不明确、同类问题表述不一致或者有明显文字和计算错误的内容，</w:t>
      </w:r>
      <w:r>
        <w:rPr>
          <w:rFonts w:hint="eastAsia" w:ascii="宋体" w:hAnsi="宋体" w:eastAsia="宋体" w:cs="宋体"/>
          <w:color w:val="auto"/>
          <w:spacing w:val="11"/>
          <w:sz w:val="21"/>
          <w:szCs w:val="21"/>
          <w:lang w:eastAsia="zh-CN"/>
        </w:rPr>
        <w:t>磋商小组</w:t>
      </w:r>
      <w:r>
        <w:rPr>
          <w:rFonts w:hint="eastAsia" w:ascii="宋体" w:hAnsi="宋体" w:eastAsia="宋体" w:cs="宋体"/>
          <w:color w:val="auto"/>
          <w:spacing w:val="11"/>
          <w:sz w:val="21"/>
          <w:szCs w:val="21"/>
        </w:rPr>
        <w:t>可要求</w:t>
      </w: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作出必要的澄清、说明或者补正。磋商小组可以发起在线询标，供应商线上电子件回复</w:t>
      </w:r>
      <w:r>
        <w:rPr>
          <w:rFonts w:hint="eastAsia" w:ascii="宋体" w:hAnsi="宋体" w:eastAsia="宋体" w:cs="宋体"/>
          <w:color w:val="auto"/>
          <w:spacing w:val="11"/>
          <w:sz w:val="21"/>
          <w:szCs w:val="21"/>
          <w:lang w:eastAsia="zh-CN"/>
        </w:rPr>
        <w:t>，但</w:t>
      </w:r>
      <w:r>
        <w:rPr>
          <w:rFonts w:hint="eastAsia" w:ascii="宋体" w:hAnsi="宋体" w:eastAsia="宋体" w:cs="宋体"/>
          <w:color w:val="auto"/>
          <w:spacing w:val="11"/>
          <w:sz w:val="21"/>
          <w:szCs w:val="21"/>
        </w:rPr>
        <w:t>不得超出</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的范围或者改变</w:t>
      </w:r>
      <w:r>
        <w:rPr>
          <w:rFonts w:hint="eastAsia" w:ascii="宋体"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的实质性内容。</w:t>
      </w:r>
    </w:p>
    <w:p>
      <w:pPr>
        <w:pStyle w:val="11"/>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w:t>
      </w:r>
      <w:r>
        <w:rPr>
          <w:rFonts w:hint="eastAsia" w:hAnsi="宋体" w:eastAsia="宋体" w:cs="宋体"/>
          <w:b/>
          <w:bCs/>
          <w:color w:val="auto"/>
          <w:spacing w:val="11"/>
          <w:sz w:val="21"/>
          <w:szCs w:val="21"/>
          <w:lang w:eastAsia="zh-CN"/>
        </w:rPr>
        <w:t>六</w:t>
      </w:r>
      <w:r>
        <w:rPr>
          <w:rFonts w:hint="eastAsia" w:ascii="宋体" w:hAnsi="宋体" w:eastAsia="宋体" w:cs="宋体"/>
          <w:b/>
          <w:bCs/>
          <w:color w:val="auto"/>
          <w:spacing w:val="11"/>
          <w:sz w:val="21"/>
          <w:szCs w:val="21"/>
        </w:rPr>
        <w:t>）错误修正</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如果出现计算或表达上的错误，修正错误的原则如下：</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val="en-US" w:eastAsia="zh-CN"/>
        </w:rPr>
        <w:t>1</w:t>
      </w:r>
      <w:r>
        <w:rPr>
          <w:rFonts w:hint="eastAsia" w:ascii="宋体" w:hAnsi="宋体" w:eastAsia="宋体" w:cs="宋体"/>
          <w:color w:val="auto"/>
          <w:spacing w:val="11"/>
          <w:sz w:val="21"/>
          <w:szCs w:val="21"/>
        </w:rPr>
        <w:t>.</w:t>
      </w:r>
      <w:r>
        <w:rPr>
          <w:rFonts w:hint="eastAsia"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的大写金额和小写金额不一致的，以大写金额为准；</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val="en-US" w:eastAsia="zh-CN"/>
        </w:rPr>
        <w:t>2</w:t>
      </w:r>
      <w:r>
        <w:rPr>
          <w:rFonts w:hint="eastAsia" w:ascii="宋体" w:hAnsi="宋体" w:eastAsia="宋体" w:cs="宋体"/>
          <w:color w:val="auto"/>
          <w:spacing w:val="11"/>
          <w:sz w:val="21"/>
          <w:szCs w:val="21"/>
        </w:rPr>
        <w:t>.总价金额与按单价汇总金额不一致的，以单价金额计算结果为准</w:t>
      </w:r>
      <w:r>
        <w:rPr>
          <w:rFonts w:hint="eastAsia" w:hAnsi="宋体" w:eastAsia="宋体" w:cs="宋体"/>
          <w:color w:val="auto"/>
          <w:spacing w:val="11"/>
          <w:sz w:val="21"/>
          <w:szCs w:val="21"/>
          <w:lang w:eastAsia="zh-CN"/>
        </w:rPr>
        <w:t>；</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val="en-US" w:eastAsia="zh-CN"/>
        </w:rPr>
        <w:t>3.</w:t>
      </w:r>
      <w:r>
        <w:rPr>
          <w:rFonts w:hint="eastAsia" w:ascii="宋体" w:hAnsi="宋体" w:eastAsia="宋体" w:cs="宋体"/>
          <w:color w:val="auto"/>
          <w:spacing w:val="11"/>
          <w:sz w:val="21"/>
          <w:szCs w:val="21"/>
        </w:rPr>
        <w:t>单价金额小数点或者百分比有明显错位的，以总价金额为准，并修改单价；</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hAnsi="宋体" w:eastAsia="宋体" w:cs="宋体"/>
          <w:color w:val="auto"/>
          <w:spacing w:val="11"/>
          <w:sz w:val="21"/>
          <w:szCs w:val="21"/>
          <w:lang w:val="en-US" w:eastAsia="zh-CN"/>
        </w:rPr>
        <w:t>4</w:t>
      </w:r>
      <w:r>
        <w:rPr>
          <w:rFonts w:hint="eastAsia" w:ascii="宋体" w:hAnsi="宋体" w:eastAsia="宋体" w:cs="宋体"/>
          <w:color w:val="auto"/>
          <w:spacing w:val="11"/>
          <w:sz w:val="21"/>
          <w:szCs w:val="21"/>
        </w:rPr>
        <w:t>.对不同文字文本</w:t>
      </w:r>
      <w:r>
        <w:rPr>
          <w:rFonts w:hint="eastAsia"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的解释发生异议的，以中文文本为准。</w:t>
      </w:r>
    </w:p>
    <w:p>
      <w:pPr>
        <w:pStyle w:val="11"/>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同时出现两种以上不一致的，按照前款规定的顺序修正。按上述修正错误的原则及方法调整或修正</w:t>
      </w:r>
      <w:r>
        <w:rPr>
          <w:rFonts w:hint="eastAsia" w:hAnsi="宋体" w:eastAsia="宋体" w:cs="宋体"/>
          <w:color w:val="auto"/>
          <w:spacing w:val="11"/>
          <w:sz w:val="21"/>
          <w:szCs w:val="21"/>
          <w:lang w:eastAsia="zh-CN"/>
        </w:rPr>
        <w:t>磋商响应文件</w:t>
      </w:r>
      <w:r>
        <w:rPr>
          <w:rFonts w:hint="eastAsia" w:ascii="宋体" w:hAnsi="宋体" w:eastAsia="宋体" w:cs="宋体"/>
          <w:color w:val="auto"/>
          <w:spacing w:val="11"/>
          <w:sz w:val="21"/>
          <w:szCs w:val="21"/>
        </w:rPr>
        <w:t>的</w:t>
      </w:r>
      <w:r>
        <w:rPr>
          <w:rFonts w:hint="eastAsia" w:hAnsi="宋体" w:eastAsia="宋体" w:cs="宋体"/>
          <w:color w:val="auto"/>
          <w:spacing w:val="11"/>
          <w:sz w:val="21"/>
          <w:szCs w:val="21"/>
          <w:lang w:eastAsia="zh-CN"/>
        </w:rPr>
        <w:t>磋商报价</w:t>
      </w:r>
      <w:r>
        <w:rPr>
          <w:rFonts w:hint="eastAsia" w:ascii="宋体" w:hAnsi="宋体" w:eastAsia="宋体" w:cs="宋体"/>
          <w:color w:val="auto"/>
          <w:spacing w:val="11"/>
          <w:sz w:val="21"/>
          <w:szCs w:val="21"/>
        </w:rPr>
        <w:t>，</w:t>
      </w:r>
      <w:r>
        <w:rPr>
          <w:rFonts w:hint="eastAsia" w:hAnsi="宋体" w:eastAsia="宋体" w:cs="宋体"/>
          <w:color w:val="auto"/>
          <w:spacing w:val="11"/>
          <w:sz w:val="21"/>
          <w:szCs w:val="21"/>
          <w:lang w:eastAsia="zh-CN"/>
        </w:rPr>
        <w:t>供应商以书面形式</w:t>
      </w:r>
      <w:r>
        <w:rPr>
          <w:rFonts w:hint="eastAsia" w:ascii="宋体" w:hAnsi="宋体" w:eastAsia="宋体" w:cs="宋体"/>
          <w:color w:val="auto"/>
          <w:spacing w:val="11"/>
          <w:sz w:val="21"/>
          <w:szCs w:val="21"/>
        </w:rPr>
        <w:t>确认后，调整后的</w:t>
      </w:r>
      <w:r>
        <w:rPr>
          <w:rFonts w:hint="eastAsia" w:hAnsi="宋体" w:eastAsia="宋体" w:cs="宋体"/>
          <w:color w:val="auto"/>
          <w:spacing w:val="11"/>
          <w:sz w:val="21"/>
          <w:szCs w:val="21"/>
          <w:lang w:eastAsia="zh-CN"/>
        </w:rPr>
        <w:t>磋商报价</w:t>
      </w:r>
      <w:r>
        <w:rPr>
          <w:rFonts w:hint="eastAsia" w:ascii="宋体" w:hAnsi="宋体" w:eastAsia="宋体" w:cs="宋体"/>
          <w:color w:val="auto"/>
          <w:spacing w:val="11"/>
          <w:sz w:val="21"/>
          <w:szCs w:val="21"/>
        </w:rPr>
        <w:t>对</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具有约束作用。如果</w:t>
      </w:r>
      <w:r>
        <w:rPr>
          <w:rFonts w:hint="eastAsia"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不接受修正后的报价，其响应无效。磋商小组不接受任何供应商主动提出的对磋商报价及分项报价的调整。</w:t>
      </w:r>
    </w:p>
    <w:p>
      <w:pPr>
        <w:pStyle w:val="11"/>
        <w:spacing w:beforeLines="0" w:afterLines="0" w:line="380" w:lineRule="exact"/>
        <w:ind w:firstLine="466" w:firstLineChars="200"/>
        <w:outlineLvl w:val="1"/>
        <w:rPr>
          <w:rFonts w:hint="eastAsia" w:ascii="宋体" w:hAnsi="宋体" w:eastAsia="宋体" w:cs="宋体"/>
          <w:b/>
          <w:color w:val="auto"/>
          <w:spacing w:val="11"/>
          <w:sz w:val="21"/>
          <w:szCs w:val="21"/>
        </w:rPr>
      </w:pPr>
      <w:r>
        <w:rPr>
          <w:rFonts w:hint="eastAsia" w:hAnsi="宋体" w:eastAsia="宋体" w:cs="宋体"/>
          <w:b/>
          <w:color w:val="auto"/>
          <w:spacing w:val="11"/>
          <w:sz w:val="21"/>
          <w:szCs w:val="21"/>
          <w:lang w:eastAsia="zh-CN"/>
        </w:rPr>
        <w:t>五</w:t>
      </w:r>
      <w:r>
        <w:rPr>
          <w:rFonts w:hint="eastAsia" w:ascii="宋体" w:hAnsi="宋体" w:eastAsia="宋体" w:cs="宋体"/>
          <w:b/>
          <w:color w:val="auto"/>
          <w:spacing w:val="11"/>
          <w:sz w:val="21"/>
          <w:szCs w:val="21"/>
        </w:rPr>
        <w:t>、定标</w:t>
      </w:r>
    </w:p>
    <w:p>
      <w:pPr>
        <w:pStyle w:val="11"/>
        <w:spacing w:beforeLines="0" w:afterLines="0" w:line="380" w:lineRule="exact"/>
        <w:ind w:firstLine="466" w:firstLineChars="200"/>
        <w:rPr>
          <w:rFonts w:hint="eastAsia" w:ascii="宋体" w:hAnsi="宋体" w:eastAsia="宋体" w:cs="宋体"/>
          <w:b/>
          <w:bCs/>
          <w:color w:val="auto"/>
          <w:spacing w:val="11"/>
          <w:sz w:val="21"/>
          <w:szCs w:val="21"/>
          <w:lang w:eastAsia="zh-CN"/>
        </w:rPr>
      </w:pPr>
      <w:r>
        <w:rPr>
          <w:rFonts w:hint="eastAsia" w:ascii="宋体" w:hAnsi="宋体" w:eastAsia="宋体" w:cs="宋体"/>
          <w:b/>
          <w:bCs/>
          <w:color w:val="auto"/>
          <w:spacing w:val="11"/>
          <w:sz w:val="21"/>
          <w:szCs w:val="21"/>
        </w:rPr>
        <w:t>（一）确定</w:t>
      </w:r>
      <w:r>
        <w:rPr>
          <w:rFonts w:hint="eastAsia" w:hAnsi="宋体" w:eastAsia="宋体" w:cs="宋体"/>
          <w:b/>
          <w:bCs/>
          <w:color w:val="auto"/>
          <w:spacing w:val="11"/>
          <w:sz w:val="21"/>
          <w:szCs w:val="21"/>
          <w:lang w:eastAsia="zh-CN"/>
        </w:rPr>
        <w:t>成交供应商</w:t>
      </w:r>
    </w:p>
    <w:p>
      <w:pPr>
        <w:snapToGrid w:val="0"/>
        <w:spacing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val="en-US" w:eastAsia="zh-CN"/>
        </w:rPr>
        <w:t>1.</w:t>
      </w:r>
      <w:r>
        <w:rPr>
          <w:rFonts w:hint="eastAsia" w:ascii="宋体" w:hAnsi="宋体" w:eastAsia="宋体" w:cs="宋体"/>
          <w:color w:val="auto"/>
          <w:spacing w:val="11"/>
          <w:sz w:val="21"/>
          <w:szCs w:val="21"/>
        </w:rPr>
        <w:t>在全部满足</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实质性要求的前提下，按综合得分高低确定成交供应商。</w:t>
      </w:r>
    </w:p>
    <w:p>
      <w:pPr>
        <w:pStyle w:val="11"/>
        <w:snapToGrid/>
        <w:spacing w:beforeLines="0" w:afterLines="0" w:line="380" w:lineRule="exact"/>
        <w:ind w:firstLine="464" w:firstLineChars="200"/>
        <w:rPr>
          <w:rFonts w:hint="eastAsia" w:ascii="宋体" w:hAnsi="宋体" w:eastAsia="宋体" w:cs="宋体"/>
          <w:color w:val="auto"/>
          <w:spacing w:val="11"/>
          <w:sz w:val="21"/>
          <w:szCs w:val="21"/>
          <w:lang w:eastAsia="zh-CN"/>
        </w:rPr>
      </w:pPr>
      <w:r>
        <w:rPr>
          <w:rFonts w:hint="eastAsia" w:hAnsi="宋体" w:eastAsia="宋体" w:cs="宋体"/>
          <w:color w:val="auto"/>
          <w:spacing w:val="11"/>
          <w:sz w:val="21"/>
          <w:szCs w:val="21"/>
          <w:lang w:val="en-US" w:eastAsia="zh-CN"/>
        </w:rPr>
        <w:t>2</w:t>
      </w:r>
      <w:r>
        <w:rPr>
          <w:rFonts w:hint="eastAsia" w:ascii="宋体" w:hAnsi="宋体" w:eastAsia="宋体" w:cs="宋体"/>
          <w:color w:val="auto"/>
          <w:spacing w:val="11"/>
          <w:sz w:val="21"/>
          <w:szCs w:val="21"/>
        </w:rPr>
        <w:t>.代理机构在评审结束后2个工作日内将</w:t>
      </w:r>
      <w:r>
        <w:rPr>
          <w:rFonts w:hint="eastAsia" w:hAnsi="宋体" w:eastAsia="宋体" w:cs="宋体"/>
          <w:color w:val="auto"/>
          <w:spacing w:val="11"/>
          <w:sz w:val="21"/>
          <w:szCs w:val="21"/>
          <w:lang w:eastAsia="zh-CN"/>
        </w:rPr>
        <w:t>评审报告</w:t>
      </w:r>
      <w:r>
        <w:rPr>
          <w:rFonts w:hint="eastAsia" w:ascii="宋体" w:hAnsi="宋体" w:eastAsia="宋体" w:cs="宋体"/>
          <w:color w:val="auto"/>
          <w:spacing w:val="11"/>
          <w:sz w:val="21"/>
          <w:szCs w:val="21"/>
        </w:rPr>
        <w:t>交</w:t>
      </w:r>
      <w:r>
        <w:rPr>
          <w:rFonts w:hint="eastAsia" w:hAnsi="宋体" w:eastAsia="宋体" w:cs="宋体"/>
          <w:color w:val="auto"/>
          <w:spacing w:val="11"/>
          <w:sz w:val="21"/>
          <w:szCs w:val="21"/>
          <w:lang w:eastAsia="zh-CN"/>
        </w:rPr>
        <w:t>采购人</w:t>
      </w:r>
      <w:r>
        <w:rPr>
          <w:rFonts w:hint="eastAsia" w:ascii="宋体" w:hAnsi="宋体" w:eastAsia="宋体" w:cs="宋体"/>
          <w:color w:val="auto"/>
          <w:spacing w:val="11"/>
          <w:sz w:val="21"/>
          <w:szCs w:val="21"/>
        </w:rPr>
        <w:t>确认</w:t>
      </w:r>
      <w:r>
        <w:rPr>
          <w:rFonts w:hint="eastAsia" w:ascii="宋体" w:hAnsi="宋体" w:eastAsia="宋体" w:cs="宋体"/>
          <w:color w:val="auto"/>
          <w:spacing w:val="11"/>
          <w:sz w:val="21"/>
          <w:szCs w:val="21"/>
          <w:lang w:eastAsia="zh-CN"/>
        </w:rPr>
        <w:t>。</w:t>
      </w:r>
    </w:p>
    <w:p>
      <w:pPr>
        <w:pStyle w:val="11"/>
        <w:snapToGrid/>
        <w:spacing w:beforeLines="0" w:afterLines="0" w:line="380" w:lineRule="exact"/>
        <w:ind w:firstLine="464" w:firstLineChars="200"/>
        <w:rPr>
          <w:rFonts w:hint="eastAsia" w:ascii="宋体" w:hAnsi="宋体" w:eastAsia="宋体" w:cs="宋体"/>
          <w:color w:val="auto"/>
          <w:spacing w:val="11"/>
          <w:sz w:val="21"/>
          <w:szCs w:val="21"/>
          <w:highlight w:val="none"/>
          <w:lang w:eastAsia="zh-CN"/>
        </w:rPr>
      </w:pPr>
      <w:r>
        <w:rPr>
          <w:rFonts w:hint="eastAsia" w:hAnsi="宋体" w:eastAsia="宋体" w:cs="宋体"/>
          <w:color w:val="auto"/>
          <w:spacing w:val="11"/>
          <w:sz w:val="21"/>
          <w:szCs w:val="21"/>
          <w:highlight w:val="none"/>
          <w:lang w:val="en-US" w:eastAsia="zh-CN"/>
        </w:rPr>
        <w:t>3</w:t>
      </w:r>
      <w:r>
        <w:rPr>
          <w:rFonts w:hint="eastAsia" w:ascii="宋体" w:hAnsi="宋体" w:eastAsia="宋体" w:cs="宋体"/>
          <w:color w:val="auto"/>
          <w:spacing w:val="11"/>
          <w:sz w:val="21"/>
          <w:szCs w:val="21"/>
          <w:highlight w:val="none"/>
          <w:lang w:eastAsia="zh-CN"/>
        </w:rPr>
        <w:t>.</w:t>
      </w:r>
      <w:r>
        <w:rPr>
          <w:rFonts w:hint="eastAsia" w:hAnsi="宋体" w:eastAsia="宋体" w:cs="宋体"/>
          <w:color w:val="auto"/>
          <w:spacing w:val="11"/>
          <w:sz w:val="21"/>
          <w:szCs w:val="21"/>
          <w:highlight w:val="none"/>
          <w:lang w:eastAsia="zh-CN"/>
        </w:rPr>
        <w:t>采购人</w:t>
      </w:r>
      <w:r>
        <w:rPr>
          <w:rFonts w:hint="eastAsia" w:ascii="宋体" w:hAnsi="宋体" w:eastAsia="宋体" w:cs="宋体"/>
          <w:color w:val="auto"/>
          <w:spacing w:val="11"/>
          <w:sz w:val="21"/>
          <w:szCs w:val="21"/>
          <w:highlight w:val="none"/>
          <w:lang w:eastAsia="zh-CN"/>
        </w:rPr>
        <w:t>应当在收到</w:t>
      </w:r>
      <w:r>
        <w:rPr>
          <w:rFonts w:hint="eastAsia" w:hAnsi="宋体" w:eastAsia="宋体" w:cs="宋体"/>
          <w:color w:val="auto"/>
          <w:spacing w:val="11"/>
          <w:sz w:val="21"/>
          <w:szCs w:val="21"/>
          <w:highlight w:val="none"/>
          <w:lang w:eastAsia="zh-CN"/>
        </w:rPr>
        <w:t>评审报告</w:t>
      </w:r>
      <w:r>
        <w:rPr>
          <w:rFonts w:hint="eastAsia" w:ascii="宋体" w:hAnsi="宋体" w:eastAsia="宋体" w:cs="宋体"/>
          <w:color w:val="auto"/>
          <w:spacing w:val="11"/>
          <w:sz w:val="21"/>
          <w:szCs w:val="21"/>
          <w:highlight w:val="none"/>
          <w:lang w:eastAsia="zh-CN"/>
        </w:rPr>
        <w:t>之日起5个工作日内，按照</w:t>
      </w:r>
      <w:r>
        <w:rPr>
          <w:rFonts w:hint="eastAsia" w:hAnsi="宋体" w:eastAsia="宋体" w:cs="宋体"/>
          <w:color w:val="auto"/>
          <w:spacing w:val="11"/>
          <w:sz w:val="21"/>
          <w:szCs w:val="21"/>
          <w:highlight w:val="none"/>
          <w:lang w:eastAsia="zh-CN"/>
        </w:rPr>
        <w:t>评审报告</w:t>
      </w:r>
      <w:r>
        <w:rPr>
          <w:rFonts w:hint="eastAsia" w:ascii="宋体" w:hAnsi="宋体" w:eastAsia="宋体" w:cs="宋体"/>
          <w:color w:val="auto"/>
          <w:spacing w:val="11"/>
          <w:sz w:val="21"/>
          <w:szCs w:val="21"/>
          <w:highlight w:val="none"/>
          <w:lang w:eastAsia="zh-CN"/>
        </w:rPr>
        <w:t>中推荐的排列顺序依法确定成交供应商。</w:t>
      </w:r>
    </w:p>
    <w:p>
      <w:pPr>
        <w:pStyle w:val="11"/>
        <w:spacing w:beforeLines="0" w:afterLines="0" w:line="380" w:lineRule="exact"/>
        <w:ind w:firstLine="464" w:firstLineChars="200"/>
        <w:rPr>
          <w:rFonts w:hint="eastAsia" w:ascii="宋体" w:hAnsi="宋体" w:eastAsia="宋体" w:cs="宋体"/>
          <w:b/>
          <w:bCs/>
          <w:color w:val="auto"/>
          <w:spacing w:val="11"/>
          <w:sz w:val="21"/>
          <w:szCs w:val="21"/>
          <w:highlight w:val="none"/>
        </w:rPr>
      </w:pPr>
      <w:r>
        <w:rPr>
          <w:rFonts w:hint="eastAsia" w:hAnsi="宋体" w:eastAsia="宋体" w:cs="宋体"/>
          <w:color w:val="auto"/>
          <w:spacing w:val="11"/>
          <w:sz w:val="21"/>
          <w:szCs w:val="21"/>
          <w:highlight w:val="none"/>
          <w:lang w:val="en-US" w:eastAsia="zh-CN"/>
        </w:rPr>
        <w:t>4.</w:t>
      </w:r>
      <w:r>
        <w:rPr>
          <w:rFonts w:hint="eastAsia" w:ascii="宋体" w:hAnsi="宋体" w:eastAsia="宋体" w:cs="宋体"/>
          <w:color w:val="auto"/>
          <w:spacing w:val="11"/>
          <w:sz w:val="21"/>
          <w:szCs w:val="21"/>
          <w:highlight w:val="none"/>
        </w:rPr>
        <w:t>第一</w:t>
      </w:r>
      <w:r>
        <w:rPr>
          <w:rFonts w:hint="eastAsia" w:hAnsi="宋体" w:eastAsia="宋体" w:cs="宋体"/>
          <w:color w:val="auto"/>
          <w:spacing w:val="11"/>
          <w:sz w:val="21"/>
          <w:szCs w:val="21"/>
          <w:highlight w:val="none"/>
          <w:lang w:eastAsia="zh-CN"/>
        </w:rPr>
        <w:t>成交候选供应商</w:t>
      </w:r>
      <w:r>
        <w:rPr>
          <w:rFonts w:hint="eastAsia" w:ascii="宋体" w:hAnsi="宋体" w:eastAsia="宋体" w:cs="宋体"/>
          <w:color w:val="auto"/>
          <w:spacing w:val="11"/>
          <w:sz w:val="21"/>
          <w:szCs w:val="21"/>
          <w:highlight w:val="none"/>
        </w:rPr>
        <w:t>放弃</w:t>
      </w:r>
      <w:r>
        <w:rPr>
          <w:rFonts w:hint="eastAsia" w:hAnsi="宋体" w:eastAsia="宋体" w:cs="宋体"/>
          <w:color w:val="auto"/>
          <w:spacing w:val="11"/>
          <w:sz w:val="21"/>
          <w:szCs w:val="21"/>
          <w:highlight w:val="none"/>
          <w:lang w:eastAsia="zh-CN"/>
        </w:rPr>
        <w:t>成交</w:t>
      </w:r>
      <w:r>
        <w:rPr>
          <w:rFonts w:hint="eastAsia" w:ascii="宋体" w:hAnsi="宋体" w:eastAsia="宋体" w:cs="宋体"/>
          <w:color w:val="auto"/>
          <w:spacing w:val="11"/>
          <w:sz w:val="21"/>
          <w:szCs w:val="21"/>
          <w:highlight w:val="none"/>
        </w:rPr>
        <w:t>或者因不可抗力提出不能履行合同</w:t>
      </w:r>
      <w:r>
        <w:rPr>
          <w:rFonts w:hint="eastAsia" w:ascii="宋体" w:hAnsi="宋体" w:eastAsia="宋体" w:cs="宋体"/>
          <w:color w:val="auto"/>
          <w:spacing w:val="11"/>
          <w:sz w:val="21"/>
          <w:szCs w:val="21"/>
          <w:highlight w:val="none"/>
          <w:lang w:eastAsia="zh-CN"/>
        </w:rPr>
        <w:t>；</w:t>
      </w:r>
      <w:r>
        <w:rPr>
          <w:rFonts w:hint="eastAsia" w:ascii="宋体" w:hAnsi="宋体" w:eastAsia="宋体" w:cs="宋体"/>
          <w:color w:val="auto"/>
          <w:spacing w:val="11"/>
          <w:sz w:val="21"/>
          <w:szCs w:val="21"/>
          <w:highlight w:val="none"/>
          <w:lang w:val="en-US" w:eastAsia="zh-CN"/>
        </w:rPr>
        <w:t>或未能在规定时间内与</w:t>
      </w:r>
      <w:r>
        <w:rPr>
          <w:rFonts w:hint="eastAsia" w:hAnsi="宋体" w:eastAsia="宋体" w:cs="宋体"/>
          <w:color w:val="auto"/>
          <w:spacing w:val="11"/>
          <w:sz w:val="21"/>
          <w:szCs w:val="21"/>
          <w:highlight w:val="none"/>
          <w:lang w:val="en-US" w:eastAsia="zh-CN"/>
        </w:rPr>
        <w:t>采购人</w:t>
      </w:r>
      <w:r>
        <w:rPr>
          <w:rFonts w:hint="eastAsia" w:ascii="宋体" w:hAnsi="宋体" w:eastAsia="宋体" w:cs="宋体"/>
          <w:color w:val="auto"/>
          <w:spacing w:val="11"/>
          <w:sz w:val="21"/>
          <w:szCs w:val="21"/>
          <w:highlight w:val="none"/>
          <w:lang w:val="en-US" w:eastAsia="zh-CN"/>
        </w:rPr>
        <w:t>签订合同的；或者经质疑，</w:t>
      </w:r>
      <w:r>
        <w:rPr>
          <w:rFonts w:hint="eastAsia" w:hAnsi="宋体" w:eastAsia="宋体" w:cs="宋体"/>
          <w:color w:val="auto"/>
          <w:spacing w:val="11"/>
          <w:sz w:val="21"/>
          <w:szCs w:val="21"/>
          <w:highlight w:val="none"/>
          <w:lang w:val="en-US" w:eastAsia="zh-CN"/>
        </w:rPr>
        <w:t>采购人</w:t>
      </w:r>
      <w:r>
        <w:rPr>
          <w:rFonts w:hint="eastAsia" w:ascii="宋体" w:hAnsi="宋体" w:eastAsia="宋体" w:cs="宋体"/>
          <w:color w:val="auto"/>
          <w:spacing w:val="11"/>
          <w:sz w:val="21"/>
          <w:szCs w:val="21"/>
          <w:highlight w:val="none"/>
          <w:lang w:val="en-US" w:eastAsia="zh-CN"/>
        </w:rPr>
        <w:t>审查后，确认因</w:t>
      </w:r>
      <w:r>
        <w:rPr>
          <w:rFonts w:hint="eastAsia" w:hAnsi="宋体" w:eastAsia="宋体" w:cs="宋体"/>
          <w:color w:val="auto"/>
          <w:spacing w:val="11"/>
          <w:sz w:val="21"/>
          <w:szCs w:val="21"/>
          <w:highlight w:val="none"/>
          <w:lang w:eastAsia="zh-CN"/>
        </w:rPr>
        <w:t>成交候选供应商</w:t>
      </w:r>
      <w:r>
        <w:rPr>
          <w:rFonts w:hint="eastAsia" w:ascii="宋体" w:hAnsi="宋体" w:eastAsia="宋体" w:cs="宋体"/>
          <w:color w:val="auto"/>
          <w:spacing w:val="11"/>
          <w:sz w:val="21"/>
          <w:szCs w:val="21"/>
          <w:highlight w:val="none"/>
          <w:lang w:val="en-US" w:eastAsia="zh-CN"/>
        </w:rPr>
        <w:t>在本次采购活动中存在违法违规行为或其他原因使质疑成立的，</w:t>
      </w:r>
      <w:r>
        <w:rPr>
          <w:rFonts w:hint="eastAsia" w:hAnsi="宋体" w:eastAsia="宋体" w:cs="宋体"/>
          <w:color w:val="auto"/>
          <w:spacing w:val="11"/>
          <w:sz w:val="21"/>
          <w:szCs w:val="21"/>
          <w:highlight w:val="none"/>
          <w:lang w:val="en-US" w:eastAsia="zh-CN"/>
        </w:rPr>
        <w:t>采购人</w:t>
      </w:r>
      <w:r>
        <w:rPr>
          <w:rFonts w:hint="eastAsia" w:ascii="宋体" w:hAnsi="宋体" w:eastAsia="宋体" w:cs="宋体"/>
          <w:color w:val="auto"/>
          <w:spacing w:val="11"/>
          <w:sz w:val="21"/>
          <w:szCs w:val="21"/>
          <w:highlight w:val="none"/>
          <w:lang w:val="en-US" w:eastAsia="zh-CN"/>
        </w:rPr>
        <w:t>重新开展政府采购活动。</w:t>
      </w:r>
    </w:p>
    <w:p>
      <w:pPr>
        <w:snapToGrid w:val="0"/>
        <w:spacing w:line="38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lang w:val="en-US" w:eastAsia="zh-CN"/>
        </w:rPr>
        <w:t>5.</w:t>
      </w:r>
      <w:r>
        <w:rPr>
          <w:rFonts w:hint="eastAsia" w:ascii="宋体" w:hAnsi="宋体" w:eastAsia="宋体" w:cs="宋体"/>
          <w:color w:val="auto"/>
          <w:spacing w:val="11"/>
          <w:sz w:val="21"/>
          <w:szCs w:val="21"/>
          <w:highlight w:val="none"/>
        </w:rPr>
        <w:t>代理机构应当在收到</w:t>
      </w:r>
      <w:r>
        <w:rPr>
          <w:rFonts w:hint="eastAsia" w:ascii="宋体" w:hAnsi="宋体" w:eastAsia="宋体" w:cs="宋体"/>
          <w:color w:val="auto"/>
          <w:spacing w:val="11"/>
          <w:sz w:val="21"/>
          <w:szCs w:val="21"/>
          <w:highlight w:val="none"/>
          <w:lang w:eastAsia="zh-CN"/>
        </w:rPr>
        <w:t>采购人</w:t>
      </w:r>
      <w:r>
        <w:rPr>
          <w:rFonts w:hint="eastAsia" w:ascii="宋体" w:hAnsi="宋体" w:eastAsia="宋体" w:cs="宋体"/>
          <w:color w:val="auto"/>
          <w:spacing w:val="11"/>
          <w:sz w:val="21"/>
          <w:szCs w:val="21"/>
          <w:highlight w:val="none"/>
        </w:rPr>
        <w:t>书面确定的</w:t>
      </w:r>
      <w:r>
        <w:rPr>
          <w:rFonts w:hint="eastAsia" w:ascii="宋体" w:hAnsi="宋体" w:eastAsia="宋体" w:cs="宋体"/>
          <w:color w:val="auto"/>
          <w:spacing w:val="11"/>
          <w:sz w:val="21"/>
          <w:szCs w:val="21"/>
          <w:highlight w:val="none"/>
          <w:lang w:eastAsia="zh-CN"/>
        </w:rPr>
        <w:t>成交供应商</w:t>
      </w:r>
      <w:r>
        <w:rPr>
          <w:rFonts w:hint="eastAsia" w:ascii="宋体" w:hAnsi="宋体" w:eastAsia="宋体" w:cs="宋体"/>
          <w:color w:val="auto"/>
          <w:spacing w:val="11"/>
          <w:sz w:val="21"/>
          <w:szCs w:val="21"/>
          <w:highlight w:val="none"/>
        </w:rPr>
        <w:t>通知后将成交结果在原发布</w:t>
      </w:r>
      <w:r>
        <w:rPr>
          <w:rFonts w:hint="eastAsia" w:ascii="宋体" w:hAnsi="宋体" w:eastAsia="宋体" w:cs="宋体"/>
          <w:color w:val="auto"/>
          <w:spacing w:val="11"/>
          <w:sz w:val="21"/>
          <w:szCs w:val="21"/>
          <w:highlight w:val="none"/>
          <w:lang w:eastAsia="zh-CN"/>
        </w:rPr>
        <w:t>磋商公告</w:t>
      </w:r>
      <w:r>
        <w:rPr>
          <w:rFonts w:hint="eastAsia" w:ascii="宋体" w:hAnsi="宋体" w:eastAsia="宋体" w:cs="宋体"/>
          <w:color w:val="auto"/>
          <w:spacing w:val="11"/>
          <w:sz w:val="21"/>
          <w:szCs w:val="21"/>
          <w:highlight w:val="none"/>
        </w:rPr>
        <w:t>的媒体上予以公告。公告期按有关规定执行。</w:t>
      </w:r>
    </w:p>
    <w:p>
      <w:pPr>
        <w:pStyle w:val="11"/>
        <w:spacing w:beforeLines="0" w:afterLines="0" w:line="380" w:lineRule="exact"/>
        <w:ind w:firstLine="466" w:firstLineChars="200"/>
        <w:rPr>
          <w:rFonts w:hint="eastAsia" w:ascii="宋体" w:hAnsi="宋体" w:eastAsia="宋体" w:cs="宋体"/>
          <w:b/>
          <w:bCs/>
          <w:color w:val="auto"/>
          <w:spacing w:val="11"/>
          <w:sz w:val="21"/>
          <w:szCs w:val="21"/>
          <w:lang w:eastAsia="zh-CN"/>
        </w:rPr>
      </w:pPr>
      <w:r>
        <w:rPr>
          <w:rFonts w:hint="eastAsia" w:ascii="宋体" w:hAnsi="宋体" w:eastAsia="宋体" w:cs="宋体"/>
          <w:b/>
          <w:bCs/>
          <w:color w:val="auto"/>
          <w:spacing w:val="11"/>
          <w:sz w:val="21"/>
          <w:szCs w:val="21"/>
        </w:rPr>
        <w:t>（二）</w:t>
      </w:r>
      <w:r>
        <w:rPr>
          <w:rFonts w:hint="eastAsia" w:hAnsi="宋体" w:eastAsia="宋体" w:cs="宋体"/>
          <w:b/>
          <w:bCs/>
          <w:color w:val="auto"/>
          <w:spacing w:val="11"/>
          <w:sz w:val="21"/>
          <w:szCs w:val="21"/>
          <w:lang w:eastAsia="zh-CN"/>
        </w:rPr>
        <w:t>成交通知书</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ascii="宋体"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将以书面形式发出</w:t>
      </w:r>
      <w:r>
        <w:rPr>
          <w:rFonts w:hint="eastAsia" w:ascii="宋体" w:hAnsi="宋体" w:eastAsia="宋体" w:cs="宋体"/>
          <w:color w:val="auto"/>
          <w:spacing w:val="11"/>
          <w:sz w:val="21"/>
          <w:szCs w:val="21"/>
          <w:lang w:eastAsia="zh-CN"/>
        </w:rPr>
        <w:t>成交通知书</w:t>
      </w:r>
      <w:r>
        <w:rPr>
          <w:rFonts w:hint="eastAsia"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成交通知书</w:t>
      </w:r>
      <w:r>
        <w:rPr>
          <w:rFonts w:hint="eastAsia" w:ascii="宋体" w:hAnsi="宋体" w:eastAsia="宋体" w:cs="宋体"/>
          <w:color w:val="auto"/>
          <w:spacing w:val="11"/>
          <w:sz w:val="21"/>
          <w:szCs w:val="21"/>
        </w:rPr>
        <w:t>为双方签订合同的依据。</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val="en-US" w:eastAsia="zh-CN"/>
        </w:rPr>
        <w:t>2</w:t>
      </w:r>
      <w:r>
        <w:rPr>
          <w:rFonts w:hint="eastAsia" w:ascii="宋体" w:hAnsi="宋体" w:eastAsia="宋体" w:cs="宋体"/>
          <w:color w:val="auto"/>
          <w:spacing w:val="11"/>
          <w:sz w:val="21"/>
          <w:szCs w:val="21"/>
        </w:rPr>
        <w:t>.成交供应商根据</w:t>
      </w:r>
      <w:r>
        <w:rPr>
          <w:rFonts w:hint="eastAsia" w:ascii="宋体" w:hAnsi="宋体" w:eastAsia="宋体" w:cs="宋体"/>
          <w:color w:val="auto"/>
          <w:spacing w:val="11"/>
          <w:sz w:val="21"/>
          <w:szCs w:val="21"/>
          <w:lang w:eastAsia="zh-CN"/>
        </w:rPr>
        <w:t>成交通知书</w:t>
      </w:r>
      <w:r>
        <w:rPr>
          <w:rFonts w:hint="eastAsia" w:ascii="宋体" w:hAnsi="宋体" w:eastAsia="宋体" w:cs="宋体"/>
          <w:color w:val="auto"/>
          <w:spacing w:val="11"/>
          <w:sz w:val="21"/>
          <w:szCs w:val="21"/>
        </w:rPr>
        <w:t>中规定的时间内，由法定代表人或其授权代理人与</w:t>
      </w:r>
      <w:r>
        <w:rPr>
          <w:rFonts w:hint="eastAsia" w:ascii="宋体"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签订</w:t>
      </w:r>
      <w:r>
        <w:rPr>
          <w:rFonts w:hint="eastAsia" w:ascii="宋体" w:hAnsi="宋体" w:eastAsia="宋体" w:cs="宋体"/>
          <w:color w:val="auto"/>
          <w:spacing w:val="11"/>
          <w:sz w:val="21"/>
          <w:szCs w:val="21"/>
          <w:lang w:eastAsia="zh-CN"/>
        </w:rPr>
        <w:t>书面</w:t>
      </w:r>
      <w:r>
        <w:rPr>
          <w:rFonts w:hint="eastAsia" w:ascii="宋体" w:hAnsi="宋体" w:eastAsia="宋体" w:cs="宋体"/>
          <w:color w:val="auto"/>
          <w:spacing w:val="11"/>
          <w:sz w:val="21"/>
          <w:szCs w:val="21"/>
        </w:rPr>
        <w:t>合同。</w:t>
      </w:r>
    </w:p>
    <w:p>
      <w:pPr>
        <w:pStyle w:val="11"/>
        <w:spacing w:beforeLines="0" w:afterLines="0" w:line="380" w:lineRule="exact"/>
        <w:ind w:firstLine="466" w:firstLineChars="200"/>
        <w:jc w:val="left"/>
        <w:outlineLvl w:val="1"/>
        <w:rPr>
          <w:rFonts w:hint="eastAsia" w:ascii="宋体" w:hAnsi="宋体" w:eastAsia="宋体" w:cs="宋体"/>
          <w:b/>
          <w:color w:val="auto"/>
          <w:spacing w:val="11"/>
          <w:sz w:val="21"/>
          <w:szCs w:val="21"/>
        </w:rPr>
      </w:pPr>
      <w:r>
        <w:rPr>
          <w:rFonts w:hint="eastAsia" w:hAnsi="宋体" w:eastAsia="宋体" w:cs="宋体"/>
          <w:b/>
          <w:color w:val="auto"/>
          <w:spacing w:val="11"/>
          <w:sz w:val="21"/>
          <w:szCs w:val="21"/>
          <w:lang w:eastAsia="zh-CN"/>
        </w:rPr>
        <w:t>六</w:t>
      </w:r>
      <w:r>
        <w:rPr>
          <w:rFonts w:hint="eastAsia" w:ascii="宋体" w:hAnsi="宋体" w:eastAsia="宋体" w:cs="宋体"/>
          <w:b/>
          <w:color w:val="auto"/>
          <w:spacing w:val="11"/>
          <w:sz w:val="21"/>
          <w:szCs w:val="21"/>
        </w:rPr>
        <w:t>、合同授予</w:t>
      </w:r>
    </w:p>
    <w:p>
      <w:pPr>
        <w:snapToGrid w:val="0"/>
        <w:spacing w:beforeLines="0" w:afterLines="0" w:line="380" w:lineRule="exact"/>
        <w:ind w:firstLine="466" w:firstLineChars="200"/>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（一）签订合同</w:t>
      </w:r>
    </w:p>
    <w:p>
      <w:pPr>
        <w:snapToGrid w:val="0"/>
        <w:spacing w:beforeLines="0" w:afterLines="0" w:line="380" w:lineRule="exact"/>
        <w:ind w:firstLine="464" w:firstLineChars="2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1.</w:t>
      </w:r>
      <w:r>
        <w:rPr>
          <w:rFonts w:hint="eastAsia" w:ascii="宋体"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与成交供应商应当在</w:t>
      </w:r>
      <w:r>
        <w:rPr>
          <w:rFonts w:hint="eastAsia" w:ascii="宋体" w:hAnsi="宋体" w:eastAsia="宋体" w:cs="宋体"/>
          <w:color w:val="auto"/>
          <w:spacing w:val="11"/>
          <w:sz w:val="21"/>
          <w:szCs w:val="21"/>
          <w:lang w:eastAsia="zh-CN"/>
        </w:rPr>
        <w:t>成交通知书</w:t>
      </w:r>
      <w:r>
        <w:rPr>
          <w:rFonts w:hint="eastAsia" w:ascii="宋体" w:hAnsi="宋体" w:eastAsia="宋体" w:cs="宋体"/>
          <w:color w:val="auto"/>
          <w:spacing w:val="11"/>
          <w:sz w:val="21"/>
          <w:szCs w:val="21"/>
        </w:rPr>
        <w:t>发出之日起</w:t>
      </w:r>
      <w:r>
        <w:rPr>
          <w:rFonts w:hint="eastAsia" w:ascii="宋体" w:hAnsi="宋体" w:eastAsia="宋体" w:cs="宋体"/>
          <w:color w:val="auto"/>
          <w:spacing w:val="11"/>
          <w:sz w:val="21"/>
          <w:szCs w:val="21"/>
          <w:u w:val="single"/>
        </w:rPr>
        <w:t>30</w:t>
      </w:r>
      <w:r>
        <w:rPr>
          <w:rFonts w:hint="eastAsia" w:ascii="宋体" w:hAnsi="宋体" w:eastAsia="宋体" w:cs="宋体"/>
          <w:color w:val="auto"/>
          <w:spacing w:val="11"/>
          <w:sz w:val="21"/>
          <w:szCs w:val="21"/>
        </w:rPr>
        <w:t>日内签订合同。同时，</w:t>
      </w:r>
      <w:r>
        <w:rPr>
          <w:rFonts w:hint="eastAsia" w:ascii="宋体" w:hAnsi="宋体" w:eastAsia="宋体" w:cs="宋体"/>
          <w:color w:val="auto"/>
          <w:spacing w:val="11"/>
          <w:sz w:val="21"/>
          <w:szCs w:val="21"/>
          <w:lang w:eastAsia="zh-CN"/>
        </w:rPr>
        <w:t>采购代理机构</w:t>
      </w:r>
      <w:r>
        <w:rPr>
          <w:rFonts w:hint="eastAsia" w:ascii="宋体" w:hAnsi="宋体" w:eastAsia="宋体" w:cs="宋体"/>
          <w:color w:val="auto"/>
          <w:spacing w:val="11"/>
          <w:sz w:val="21"/>
          <w:szCs w:val="21"/>
        </w:rPr>
        <w:t>对合同内容进行审查，如发现</w:t>
      </w:r>
      <w:r>
        <w:rPr>
          <w:rFonts w:hint="eastAsia" w:ascii="宋体" w:hAnsi="宋体" w:eastAsia="宋体" w:cs="宋体"/>
          <w:color w:val="auto"/>
          <w:spacing w:val="11"/>
          <w:sz w:val="21"/>
          <w:szCs w:val="21"/>
          <w:lang w:eastAsia="zh-CN"/>
        </w:rPr>
        <w:t>成交</w:t>
      </w:r>
      <w:r>
        <w:rPr>
          <w:rFonts w:hint="eastAsia" w:ascii="宋体" w:hAnsi="宋体" w:eastAsia="宋体" w:cs="宋体"/>
          <w:color w:val="auto"/>
          <w:spacing w:val="11"/>
          <w:sz w:val="21"/>
          <w:szCs w:val="21"/>
        </w:rPr>
        <w:t>结果和</w:t>
      </w:r>
      <w:r>
        <w:rPr>
          <w:rFonts w:hint="eastAsia" w:ascii="宋体" w:hAnsi="宋体" w:eastAsia="宋体" w:cs="宋体"/>
          <w:color w:val="auto"/>
          <w:spacing w:val="11"/>
          <w:sz w:val="21"/>
          <w:szCs w:val="21"/>
          <w:lang w:eastAsia="zh-CN"/>
        </w:rPr>
        <w:t>磋商</w:t>
      </w:r>
      <w:r>
        <w:rPr>
          <w:rFonts w:hint="eastAsia" w:ascii="宋体" w:hAnsi="宋体" w:eastAsia="宋体" w:cs="宋体"/>
          <w:color w:val="auto"/>
          <w:spacing w:val="11"/>
          <w:sz w:val="21"/>
          <w:szCs w:val="21"/>
        </w:rPr>
        <w:t>承诺内容不一致的，应予以纠正。所签订的合同不得对</w:t>
      </w:r>
      <w:r>
        <w:rPr>
          <w:rFonts w:hint="eastAsia" w:ascii="宋体" w:hAnsi="宋体" w:eastAsia="宋体" w:cs="宋体"/>
          <w:color w:val="auto"/>
          <w:spacing w:val="11"/>
          <w:sz w:val="21"/>
          <w:szCs w:val="21"/>
          <w:lang w:eastAsia="zh-CN"/>
        </w:rPr>
        <w:t>磋商文件</w:t>
      </w:r>
      <w:r>
        <w:rPr>
          <w:rFonts w:hint="eastAsia" w:ascii="宋体" w:hAnsi="宋体" w:eastAsia="宋体" w:cs="宋体"/>
          <w:color w:val="auto"/>
          <w:spacing w:val="11"/>
          <w:sz w:val="21"/>
          <w:szCs w:val="21"/>
        </w:rPr>
        <w:t>确定的事项和成交供应商</w:t>
      </w:r>
      <w:r>
        <w:rPr>
          <w:rFonts w:hint="eastAsia" w:ascii="宋体" w:hAnsi="宋体" w:eastAsia="宋体" w:cs="宋体"/>
          <w:color w:val="auto"/>
          <w:spacing w:val="11"/>
          <w:sz w:val="21"/>
          <w:szCs w:val="21"/>
          <w:lang w:eastAsia="zh-CN"/>
        </w:rPr>
        <w:t>的磋商响应文件</w:t>
      </w:r>
      <w:r>
        <w:rPr>
          <w:rFonts w:hint="eastAsia" w:ascii="宋体" w:hAnsi="宋体" w:eastAsia="宋体" w:cs="宋体"/>
          <w:color w:val="auto"/>
          <w:spacing w:val="11"/>
          <w:sz w:val="21"/>
          <w:szCs w:val="21"/>
        </w:rPr>
        <w:t>作实质性修改，也不得再行订立背离合同实质性内容的其他协议。</w:t>
      </w:r>
    </w:p>
    <w:p>
      <w:pPr>
        <w:snapToGrid w:val="0"/>
        <w:spacing w:beforeLines="0" w:afterLines="0" w:line="380" w:lineRule="exact"/>
        <w:ind w:firstLine="464" w:firstLineChars="200"/>
        <w:rPr>
          <w:rFonts w:hint="eastAsia" w:ascii="宋体" w:hAnsi="宋体" w:cs="宋体"/>
          <w:color w:val="auto"/>
          <w:szCs w:val="21"/>
          <w:lang w:bidi="ar"/>
        </w:rPr>
      </w:pPr>
      <w:r>
        <w:rPr>
          <w:rFonts w:hint="eastAsia" w:ascii="宋体" w:hAnsi="宋体" w:eastAsia="宋体" w:cs="宋体"/>
          <w:color w:val="auto"/>
          <w:spacing w:val="11"/>
          <w:sz w:val="21"/>
          <w:szCs w:val="21"/>
        </w:rPr>
        <w:t>2.成交供应商有拖延、拒签合同的或有弄虚作假情况的，将被取消</w:t>
      </w:r>
      <w:r>
        <w:rPr>
          <w:rFonts w:hint="eastAsia" w:ascii="宋体" w:hAnsi="宋体" w:eastAsia="宋体" w:cs="宋体"/>
          <w:color w:val="auto"/>
          <w:spacing w:val="11"/>
          <w:sz w:val="21"/>
          <w:szCs w:val="21"/>
          <w:lang w:eastAsia="zh-CN"/>
        </w:rPr>
        <w:t>成交</w:t>
      </w:r>
      <w:r>
        <w:rPr>
          <w:rFonts w:hint="eastAsia" w:ascii="宋体" w:hAnsi="宋体" w:eastAsia="宋体" w:cs="宋体"/>
          <w:color w:val="auto"/>
          <w:spacing w:val="11"/>
          <w:sz w:val="21"/>
          <w:szCs w:val="21"/>
        </w:rPr>
        <w:t>资格，给</w:t>
      </w:r>
      <w:r>
        <w:rPr>
          <w:rFonts w:hint="eastAsia" w:ascii="宋体" w:hAnsi="宋体" w:eastAsia="宋体" w:cs="宋体"/>
          <w:color w:val="auto"/>
          <w:spacing w:val="11"/>
          <w:sz w:val="21"/>
          <w:szCs w:val="21"/>
          <w:lang w:eastAsia="zh-CN"/>
        </w:rPr>
        <w:t>采购单位</w:t>
      </w:r>
      <w:r>
        <w:rPr>
          <w:rFonts w:hint="eastAsia" w:ascii="宋体" w:hAnsi="宋体" w:eastAsia="宋体" w:cs="宋体"/>
          <w:color w:val="auto"/>
          <w:spacing w:val="11"/>
          <w:sz w:val="21"/>
          <w:szCs w:val="21"/>
        </w:rPr>
        <w:t>造成的损失应予以赔偿</w:t>
      </w:r>
      <w:r>
        <w:rPr>
          <w:rFonts w:hint="eastAsia" w:ascii="宋体" w:hAnsi="宋体" w:eastAsia="宋体" w:cs="宋体"/>
          <w:color w:val="auto"/>
          <w:spacing w:val="11"/>
          <w:sz w:val="21"/>
          <w:szCs w:val="21"/>
          <w:lang w:eastAsia="zh-CN"/>
        </w:rPr>
        <w:t>。</w:t>
      </w:r>
    </w:p>
    <w:p>
      <w:pPr>
        <w:autoSpaceDE w:val="0"/>
        <w:autoSpaceDN w:val="0"/>
        <w:spacing w:line="318" w:lineRule="exact"/>
        <w:ind w:firstLine="422" w:firstLineChars="200"/>
        <w:rPr>
          <w:rFonts w:ascii="宋体" w:hAnsi="宋体" w:cs="宋体"/>
          <w:b/>
          <w:szCs w:val="21"/>
          <w:lang w:val="zh-CN"/>
        </w:rPr>
      </w:pPr>
      <w:r>
        <w:rPr>
          <w:rFonts w:hint="eastAsia" w:ascii="宋体" w:hAnsi="宋体" w:cs="宋体"/>
          <w:b/>
          <w:szCs w:val="21"/>
          <w:lang w:val="zh-CN"/>
        </w:rPr>
        <w:t>七</w:t>
      </w:r>
      <w:r>
        <w:rPr>
          <w:rFonts w:ascii="宋体" w:hAnsi="宋体" w:cs="宋体"/>
          <w:b/>
          <w:szCs w:val="21"/>
          <w:lang w:val="zh-CN"/>
        </w:rPr>
        <w:t>、招标代理费</w:t>
      </w:r>
    </w:p>
    <w:p>
      <w:pPr>
        <w:spacing w:line="360" w:lineRule="exact"/>
        <w:ind w:firstLine="422" w:firstLineChars="200"/>
        <w:jc w:val="left"/>
        <w:rPr>
          <w:rFonts w:ascii="黑体" w:hAnsi="黑体" w:eastAsia="黑体" w:cs="黑体"/>
          <w:b/>
          <w:bCs/>
          <w:sz w:val="30"/>
          <w:szCs w:val="30"/>
        </w:rPr>
      </w:pPr>
      <w:r>
        <w:rPr>
          <w:rFonts w:ascii="宋体" w:hAnsi="宋体" w:cs="宋体"/>
          <w:b/>
          <w:szCs w:val="21"/>
          <w:lang w:val="zh-CN"/>
        </w:rPr>
        <w:t>经</w:t>
      </w:r>
      <w:r>
        <w:rPr>
          <w:rFonts w:ascii="宋体" w:hAnsi="宋体" w:cs="宋体"/>
          <w:b/>
          <w:szCs w:val="21"/>
        </w:rPr>
        <w:t>采购人和代理公司协商，本项目招标代理服务费由中标人支付。</w:t>
      </w:r>
      <w:r>
        <w:rPr>
          <w:rFonts w:ascii="宋体" w:hAnsi="宋体" w:cs="宋体"/>
          <w:b/>
          <w:szCs w:val="21"/>
          <w:highlight w:val="none"/>
        </w:rPr>
        <w:t>本次招标代理</w:t>
      </w:r>
      <w:r>
        <w:rPr>
          <w:rFonts w:ascii="宋体" w:hAnsi="宋体" w:cs="宋体"/>
          <w:b/>
          <w:color w:val="auto"/>
          <w:szCs w:val="21"/>
          <w:highlight w:val="none"/>
        </w:rPr>
        <w:t>服务费为</w:t>
      </w:r>
      <w:r>
        <w:rPr>
          <w:rFonts w:hint="eastAsia" w:ascii="宋体" w:hAnsi="宋体" w:cs="宋体"/>
          <w:b/>
          <w:color w:val="auto"/>
          <w:szCs w:val="21"/>
          <w:highlight w:val="none"/>
          <w:u w:val="single"/>
          <w:lang w:val="en-US" w:eastAsia="zh-CN"/>
        </w:rPr>
        <w:t xml:space="preserve"> 8700元</w:t>
      </w:r>
      <w:r>
        <w:rPr>
          <w:rFonts w:ascii="宋体" w:hAnsi="宋体" w:cs="宋体"/>
          <w:b/>
          <w:szCs w:val="21"/>
          <w:highlight w:val="none"/>
          <w:u w:val="single"/>
        </w:rPr>
        <w:t>整</w:t>
      </w:r>
      <w:r>
        <w:rPr>
          <w:rFonts w:ascii="宋体" w:hAnsi="宋体" w:cs="宋体"/>
          <w:b/>
          <w:szCs w:val="21"/>
          <w:highlight w:val="none"/>
        </w:rPr>
        <w:t>，</w:t>
      </w:r>
      <w:r>
        <w:rPr>
          <w:rFonts w:ascii="宋体" w:hAnsi="宋体" w:cs="宋体"/>
          <w:b/>
          <w:szCs w:val="21"/>
        </w:rPr>
        <w:t>请各投标人综合考虑到投标报价中，由中标人在领取中标通知书时一次性支付给采购代理机构</w:t>
      </w:r>
      <w:r>
        <w:rPr>
          <w:rFonts w:hint="eastAsia" w:ascii="宋体" w:hAnsi="宋体" w:cs="宋体"/>
          <w:b/>
          <w:szCs w:val="21"/>
          <w:lang w:eastAsia="zh-CN"/>
        </w:rPr>
        <w:t>。</w:t>
      </w:r>
    </w:p>
    <w:p>
      <w:pPr>
        <w:pStyle w:val="19"/>
        <w:keepNext w:val="0"/>
        <w:keepLines w:val="0"/>
        <w:pageBreakBefore w:val="0"/>
        <w:kinsoku/>
        <w:wordWrap/>
        <w:overflowPunct/>
        <w:topLinePunct w:val="0"/>
        <w:bidi w:val="0"/>
        <w:spacing w:line="360" w:lineRule="auto"/>
        <w:ind w:left="0" w:leftChars="0" w:firstLine="0" w:firstLineChars="0"/>
        <w:textAlignment w:val="auto"/>
        <w:rPr>
          <w:rFonts w:hint="eastAsia" w:ascii="宋体" w:hAnsi="宋体" w:eastAsia="宋体" w:cs="宋体"/>
          <w:szCs w:val="21"/>
        </w:rPr>
      </w:pPr>
    </w:p>
    <w:p>
      <w:pPr>
        <w:pStyle w:val="2"/>
        <w:spacing w:line="240" w:lineRule="auto"/>
        <w:jc w:val="center"/>
        <w:outlineLvl w:val="9"/>
        <w:rPr>
          <w:rFonts w:hint="eastAsia" w:ascii="宋体" w:hAnsi="宋体" w:eastAsia="宋体" w:cs="宋体"/>
          <w:bCs w:val="0"/>
          <w:kern w:val="2"/>
          <w:sz w:val="30"/>
          <w:szCs w:val="30"/>
        </w:rPr>
      </w:pPr>
    </w:p>
    <w:p>
      <w:pPr>
        <w:rPr>
          <w:rFonts w:hint="eastAsia" w:ascii="宋体" w:hAnsi="宋体" w:eastAsia="宋体" w:cs="宋体"/>
          <w:bCs/>
          <w:kern w:val="2"/>
          <w:sz w:val="30"/>
          <w:szCs w:val="30"/>
        </w:rPr>
      </w:pPr>
    </w:p>
    <w:p>
      <w:pPr>
        <w:pStyle w:val="10"/>
        <w:rPr>
          <w:rFonts w:hint="eastAsia" w:ascii="宋体" w:hAnsi="宋体" w:eastAsia="宋体" w:cs="宋体"/>
          <w:bCs/>
          <w:kern w:val="2"/>
          <w:sz w:val="30"/>
          <w:szCs w:val="30"/>
        </w:rPr>
      </w:pPr>
    </w:p>
    <w:p>
      <w:pPr>
        <w:rPr>
          <w:rFonts w:hint="eastAsia"/>
        </w:rPr>
      </w:pPr>
    </w:p>
    <w:p>
      <w:pPr>
        <w:rPr>
          <w:rFonts w:hint="eastAsia"/>
        </w:rPr>
      </w:pPr>
    </w:p>
    <w:p>
      <w:pPr>
        <w:pStyle w:val="2"/>
        <w:spacing w:line="240" w:lineRule="auto"/>
        <w:jc w:val="center"/>
        <w:rPr>
          <w:rFonts w:hint="eastAsia" w:ascii="宋体" w:hAnsi="宋体" w:eastAsia="宋体" w:cs="宋体"/>
          <w:bCs w:val="0"/>
          <w:kern w:val="2"/>
          <w:sz w:val="30"/>
          <w:szCs w:val="30"/>
        </w:rPr>
      </w:pPr>
      <w:bookmarkStart w:id="92" w:name="_Toc17972"/>
      <w:r>
        <w:rPr>
          <w:rFonts w:hint="eastAsia" w:ascii="宋体" w:hAnsi="宋体" w:eastAsia="宋体" w:cs="宋体"/>
          <w:bCs w:val="0"/>
          <w:kern w:val="2"/>
          <w:sz w:val="30"/>
          <w:szCs w:val="30"/>
        </w:rPr>
        <w:t>第四章  评标办法及评分标准</w:t>
      </w:r>
      <w:bookmarkEnd w:id="45"/>
      <w:bookmarkEnd w:id="46"/>
      <w:bookmarkEnd w:id="92"/>
    </w:p>
    <w:p>
      <w:pPr>
        <w:spacing w:line="380" w:lineRule="exact"/>
        <w:ind w:firstLine="464" w:firstLineChars="200"/>
        <w:rPr>
          <w:rFonts w:hint="eastAsia" w:ascii="宋体" w:hAnsi="宋体" w:cs="宋体"/>
          <w:spacing w:val="11"/>
          <w:szCs w:val="21"/>
          <w:highlight w:val="none"/>
        </w:rPr>
      </w:pPr>
      <w:r>
        <w:rPr>
          <w:rFonts w:hint="eastAsia" w:ascii="宋体" w:hAnsi="宋体" w:cs="宋体"/>
          <w:spacing w:val="11"/>
          <w:szCs w:val="21"/>
          <w:highlight w:val="none"/>
        </w:rPr>
        <w:t>为公正、公平、科学地选择成交供应商，根据《中华人民共和国政府采购法》、《政府采购货物和服务招投标管理办法》等有关法律法规的规定，并结合本项目的实际，制定本办法。</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一、总则</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1.本项目原则上采用政采云电子招投标开标及评审程序，但有下情形之一的，按以下情况处理：</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①若供应商在规定时间内无法解密或解密失败，采购代理机构将开启所有供应商递交的以介质存储的数据电文形式的备份磋商响应文件，上传至政采云平台项目采购模块，以完成开标，电子磋商响应文件自动失效。</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②若因政采云平台原因无法读取或电子开评标无法正常进行，采购代理机构将开启所有供应商递交的纸质备份磋商响应文件，以完成开标，电子磋商响应文件及以介质存储的数据电文形式的备份磋商响应文件自动失效。</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2.在磋商过程中，磋商小组可以根据磋商文件和磋商情况实质性变动采购需求中的技术、服务要求以及合同草案条款，但不得变动磋商文件中的其他内容。实质性变动的内容，须经采购人代表确认。</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3.电子招投标评审过程：</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①磋商小组对商务资信、技术进行评审；</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②在系统上公开资格和商务资信、技术评审结果；</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③在系统上公开报价情况；</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④磋商小组对报价情况进行评审；</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⑤在系统上公布评审结果。</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特别说明：政采云公司如对电子化开标及评审程序有调整的，按调整后的程序操作。</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二、评标办法</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1.本次评标采用综合评估法，</w:t>
      </w:r>
      <w:r>
        <w:rPr>
          <w:rFonts w:hint="eastAsia" w:ascii="宋体" w:hAnsi="宋体" w:cs="宋体"/>
          <w:b/>
          <w:spacing w:val="11"/>
          <w:szCs w:val="21"/>
          <w:highlight w:val="none"/>
        </w:rPr>
        <w:t>总分为100分，其中价格分</w:t>
      </w:r>
      <w:r>
        <w:rPr>
          <w:rFonts w:hint="eastAsia" w:ascii="宋体" w:hAnsi="宋体" w:cs="宋体"/>
          <w:b/>
          <w:spacing w:val="11"/>
          <w:szCs w:val="21"/>
          <w:highlight w:val="none"/>
          <w:lang w:val="en-US" w:eastAsia="zh-CN"/>
        </w:rPr>
        <w:t>3</w:t>
      </w:r>
      <w:r>
        <w:rPr>
          <w:rFonts w:hint="eastAsia" w:ascii="宋体" w:hAnsi="宋体" w:cs="宋体"/>
          <w:b/>
          <w:spacing w:val="11"/>
          <w:szCs w:val="21"/>
          <w:highlight w:val="none"/>
        </w:rPr>
        <w:t>0分，资信技术</w:t>
      </w:r>
      <w:r>
        <w:rPr>
          <w:rFonts w:hint="eastAsia" w:ascii="宋体" w:hAnsi="宋体" w:cs="宋体"/>
          <w:b/>
          <w:spacing w:val="11"/>
          <w:szCs w:val="21"/>
          <w:highlight w:val="none"/>
          <w:lang w:val="en-US" w:eastAsia="zh-CN"/>
        </w:rPr>
        <w:t>7</w:t>
      </w:r>
      <w:r>
        <w:rPr>
          <w:rFonts w:hint="eastAsia" w:ascii="宋体" w:hAnsi="宋体" w:cs="宋体"/>
          <w:b/>
          <w:spacing w:val="11"/>
          <w:szCs w:val="21"/>
          <w:highlight w:val="none"/>
        </w:rPr>
        <w:t>0分。</w:t>
      </w:r>
      <w:r>
        <w:rPr>
          <w:rFonts w:hint="eastAsia" w:ascii="宋体" w:hAnsi="宋体" w:cs="宋体"/>
          <w:bCs/>
          <w:spacing w:val="11"/>
          <w:szCs w:val="21"/>
          <w:highlight w:val="none"/>
        </w:rPr>
        <w:t>合格供应商的评审得分为各项目汇总得分。磋商小组根据综合评分对进入评分范围的磋商响应文件由高到低顺序推荐</w:t>
      </w:r>
      <w:r>
        <w:rPr>
          <w:rFonts w:hint="eastAsia" w:ascii="宋体" w:hAnsi="宋体" w:cs="宋体"/>
          <w:b/>
          <w:spacing w:val="11"/>
          <w:szCs w:val="21"/>
          <w:highlight w:val="none"/>
        </w:rPr>
        <w:t>1名</w:t>
      </w:r>
      <w:r>
        <w:rPr>
          <w:rFonts w:hint="eastAsia" w:ascii="宋体" w:hAnsi="宋体" w:cs="宋体"/>
          <w:bCs/>
          <w:spacing w:val="11"/>
          <w:szCs w:val="21"/>
          <w:highlight w:val="none"/>
        </w:rPr>
        <w:t>成交候选供应商，综合评分相同的，按报价由低到高顺序排列；得分且报价相同的，按技术得分由高到低顺序排列。评分过程中采用四舍五入法，并保留小数2位。</w:t>
      </w:r>
    </w:p>
    <w:p>
      <w:pPr>
        <w:spacing w:line="380" w:lineRule="exact"/>
        <w:ind w:firstLine="464" w:firstLineChars="200"/>
        <w:rPr>
          <w:rFonts w:hint="eastAsia" w:ascii="宋体" w:hAnsi="宋体" w:cs="宋体"/>
          <w:b w:val="0"/>
          <w:bCs/>
          <w:spacing w:val="11"/>
          <w:szCs w:val="21"/>
          <w:highlight w:val="none"/>
        </w:rPr>
      </w:pPr>
      <w:r>
        <w:rPr>
          <w:rFonts w:hint="eastAsia" w:ascii="宋体" w:hAnsi="宋体" w:cs="宋体"/>
          <w:b w:val="0"/>
          <w:bCs/>
          <w:spacing w:val="11"/>
          <w:szCs w:val="21"/>
          <w:highlight w:val="none"/>
        </w:rPr>
        <w:t>各供应商综合评分=价格分得分+资信技术分得分。</w:t>
      </w:r>
    </w:p>
    <w:p>
      <w:pPr>
        <w:spacing w:line="380" w:lineRule="exact"/>
        <w:ind w:firstLine="464" w:firstLineChars="200"/>
        <w:rPr>
          <w:rFonts w:hint="eastAsia" w:ascii="宋体" w:hAnsi="宋体" w:cs="宋体"/>
          <w:bCs/>
          <w:spacing w:val="11"/>
          <w:szCs w:val="21"/>
          <w:highlight w:val="none"/>
        </w:rPr>
      </w:pPr>
      <w:r>
        <w:rPr>
          <w:rFonts w:hint="eastAsia" w:ascii="宋体" w:hAnsi="宋体" w:cs="宋体"/>
          <w:bCs/>
          <w:spacing w:val="11"/>
          <w:szCs w:val="21"/>
          <w:highlight w:val="none"/>
        </w:rPr>
        <w:t>三、评分细则及标准</w:t>
      </w:r>
    </w:p>
    <w:p>
      <w:pPr>
        <w:spacing w:line="380" w:lineRule="exact"/>
        <w:ind w:firstLine="466" w:firstLineChars="200"/>
        <w:rPr>
          <w:rFonts w:hint="eastAsia" w:ascii="宋体" w:hAnsi="宋体" w:cs="宋体"/>
          <w:b/>
          <w:bCs/>
          <w:spacing w:val="11"/>
          <w:szCs w:val="21"/>
          <w:highlight w:val="none"/>
        </w:rPr>
      </w:pPr>
      <w:r>
        <w:rPr>
          <w:rFonts w:hint="eastAsia" w:ascii="宋体" w:hAnsi="宋体" w:cs="宋体"/>
          <w:b/>
          <w:bCs/>
          <w:spacing w:val="11"/>
          <w:szCs w:val="21"/>
          <w:highlight w:val="none"/>
        </w:rPr>
        <w:t>1.价格分（</w:t>
      </w:r>
      <w:r>
        <w:rPr>
          <w:rFonts w:hint="eastAsia" w:ascii="宋体" w:hAnsi="宋体" w:cs="宋体"/>
          <w:b/>
          <w:bCs/>
          <w:spacing w:val="11"/>
          <w:szCs w:val="21"/>
          <w:highlight w:val="none"/>
          <w:lang w:val="en-US" w:eastAsia="zh-CN"/>
        </w:rPr>
        <w:t>3</w:t>
      </w:r>
      <w:r>
        <w:rPr>
          <w:rFonts w:hint="eastAsia" w:ascii="宋体" w:hAnsi="宋体" w:cs="宋体"/>
          <w:b/>
          <w:bCs/>
          <w:spacing w:val="11"/>
          <w:szCs w:val="21"/>
          <w:highlight w:val="none"/>
        </w:rPr>
        <w:t>0）</w:t>
      </w:r>
    </w:p>
    <w:p>
      <w:pPr>
        <w:spacing w:line="380" w:lineRule="exact"/>
        <w:ind w:firstLine="464" w:firstLineChars="200"/>
        <w:rPr>
          <w:rFonts w:hint="eastAsia" w:ascii="宋体" w:hAnsi="宋体" w:cs="宋体"/>
          <w:spacing w:val="11"/>
          <w:szCs w:val="21"/>
          <w:highlight w:val="none"/>
        </w:rPr>
      </w:pPr>
      <w:r>
        <w:rPr>
          <w:rFonts w:hint="eastAsia" w:ascii="宋体" w:hAnsi="宋体" w:cs="宋体"/>
          <w:spacing w:val="11"/>
          <w:szCs w:val="21"/>
          <w:highlight w:val="none"/>
        </w:rPr>
        <w:t>价格分采用低价优先法计算，取所有有效供应商中满足磋商响应文件要求且最终报价最低的供应商的价格为评标基准价，其他供应商的价格分按照下列公式计算：</w:t>
      </w:r>
    </w:p>
    <w:p>
      <w:pPr>
        <w:spacing w:line="380" w:lineRule="exact"/>
        <w:ind w:firstLine="464" w:firstLineChars="200"/>
        <w:rPr>
          <w:rFonts w:hint="eastAsia" w:ascii="宋体" w:hAnsi="宋体" w:cs="宋体"/>
          <w:spacing w:val="11"/>
          <w:szCs w:val="21"/>
          <w:highlight w:val="none"/>
        </w:rPr>
      </w:pPr>
      <w:r>
        <w:rPr>
          <w:rFonts w:hint="eastAsia" w:ascii="宋体" w:hAnsi="宋体" w:cs="宋体"/>
          <w:spacing w:val="11"/>
          <w:szCs w:val="21"/>
          <w:highlight w:val="none"/>
        </w:rPr>
        <w:t>价格分得分=（评标基准价/最终报价）×</w:t>
      </w:r>
      <w:r>
        <w:rPr>
          <w:rFonts w:hint="eastAsia" w:ascii="宋体" w:hAnsi="宋体" w:cs="宋体"/>
          <w:spacing w:val="11"/>
          <w:szCs w:val="21"/>
          <w:highlight w:val="none"/>
          <w:lang w:val="en-US" w:eastAsia="zh-CN"/>
        </w:rPr>
        <w:t>3</w:t>
      </w:r>
      <w:r>
        <w:rPr>
          <w:rFonts w:hint="eastAsia" w:ascii="宋体" w:hAnsi="宋体" w:cs="宋体"/>
          <w:spacing w:val="11"/>
          <w:szCs w:val="21"/>
          <w:highlight w:val="none"/>
        </w:rPr>
        <w:t>0%×100</w:t>
      </w:r>
    </w:p>
    <w:p>
      <w:pPr>
        <w:keepNext w:val="0"/>
        <w:keepLines w:val="0"/>
        <w:pageBreakBefore w:val="0"/>
        <w:widowControl w:val="0"/>
        <w:kinsoku/>
        <w:wordWrap/>
        <w:overflowPunct/>
        <w:topLinePunct w:val="0"/>
        <w:autoSpaceDE/>
        <w:autoSpaceDN/>
        <w:bidi w:val="0"/>
        <w:adjustRightInd/>
        <w:snapToGrid/>
        <w:spacing w:line="360" w:lineRule="auto"/>
        <w:ind w:firstLine="466" w:firstLineChars="200"/>
        <w:textAlignment w:val="auto"/>
        <w:rPr>
          <w:rFonts w:hint="eastAsia" w:ascii="宋体" w:hAnsi="宋体" w:cs="宋体"/>
          <w:b/>
          <w:bCs w:val="0"/>
          <w:spacing w:val="11"/>
          <w:szCs w:val="21"/>
          <w:highlight w:val="none"/>
        </w:rPr>
      </w:pPr>
      <w:r>
        <w:rPr>
          <w:rFonts w:hint="eastAsia" w:ascii="宋体" w:hAnsi="宋体" w:cs="宋体"/>
          <w:b/>
          <w:bCs w:val="0"/>
          <w:spacing w:val="11"/>
          <w:szCs w:val="21"/>
          <w:highlight w:val="none"/>
        </w:rPr>
        <w:t>注:价格计算扣除</w:t>
      </w:r>
    </w:p>
    <w:p>
      <w:pPr>
        <w:keepNext w:val="0"/>
        <w:keepLines w:val="0"/>
        <w:pageBreakBefore w:val="0"/>
        <w:widowControl w:val="0"/>
        <w:tabs>
          <w:tab w:val="left" w:pos="1080"/>
          <w:tab w:val="left" w:pos="1436"/>
        </w:tabs>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Cs w:val="21"/>
        </w:rPr>
      </w:pPr>
      <w:r>
        <w:rPr>
          <w:rFonts w:hint="eastAsia" w:ascii="宋体" w:hAnsi="宋体" w:cs="宋体"/>
          <w:b/>
          <w:bCs/>
          <w:szCs w:val="21"/>
        </w:rPr>
        <w:t>对符合规定的小微企业报价给予</w:t>
      </w:r>
      <w:r>
        <w:rPr>
          <w:rFonts w:hint="eastAsia" w:ascii="宋体" w:hAnsi="宋体" w:cs="宋体"/>
          <w:b/>
          <w:bCs/>
          <w:szCs w:val="21"/>
          <w:u w:val="single"/>
        </w:rPr>
        <w:t xml:space="preserve"> 10% </w:t>
      </w:r>
      <w:r>
        <w:rPr>
          <w:rFonts w:hint="eastAsia" w:ascii="宋体" w:hAnsi="宋体" w:cs="宋体"/>
          <w:b/>
          <w:bCs/>
          <w:szCs w:val="21"/>
        </w:rPr>
        <w:t>的扣除，用扣除后的价格参加评审。</w:t>
      </w:r>
    </w:p>
    <w:p>
      <w:pPr>
        <w:keepNext w:val="0"/>
        <w:keepLines w:val="0"/>
        <w:pageBreakBefore w:val="0"/>
        <w:widowControl w:val="0"/>
        <w:tabs>
          <w:tab w:val="left" w:pos="1080"/>
          <w:tab w:val="left" w:pos="1436"/>
        </w:tabs>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Cs w:val="21"/>
        </w:rPr>
      </w:pPr>
      <w:r>
        <w:rPr>
          <w:rFonts w:hint="eastAsia" w:ascii="宋体" w:hAnsi="宋体" w:cs="宋体"/>
          <w:b/>
          <w:bCs/>
          <w:szCs w:val="21"/>
        </w:rPr>
        <w:t>①根据《政府采购促进中小企业发展管理办法》的通知（财库〔2020〕46号）、关于进一步加大政府采购支持中小企业力度的通知（ 财库〔2022〕19号）及浙江省财政厅关于进一步发挥政府采购政策功能全力推动经济稳进提质的通知（浙财采监〔2022〕3号）的规定，若服务由小型或微型企业承接的，应当在响应文件中出具此办法规定的《中小企业声明函》（格式见附件），对符合规定的小型、微型企业报价给予</w:t>
      </w:r>
      <w:r>
        <w:rPr>
          <w:rFonts w:hint="eastAsia" w:ascii="宋体" w:hAnsi="宋体" w:cs="宋体"/>
          <w:b/>
          <w:bCs/>
          <w:szCs w:val="21"/>
          <w:u w:val="single"/>
        </w:rPr>
        <w:t xml:space="preserve"> 10% </w:t>
      </w:r>
      <w:r>
        <w:rPr>
          <w:rFonts w:hint="eastAsia" w:ascii="宋体" w:hAnsi="宋体" w:cs="宋体"/>
          <w:b/>
          <w:bCs/>
          <w:szCs w:val="21"/>
        </w:rPr>
        <w:t>的扣除。</w:t>
      </w:r>
    </w:p>
    <w:p>
      <w:pPr>
        <w:keepNext w:val="0"/>
        <w:keepLines w:val="0"/>
        <w:pageBreakBefore w:val="0"/>
        <w:widowControl w:val="0"/>
        <w:tabs>
          <w:tab w:val="left" w:pos="1080"/>
          <w:tab w:val="left" w:pos="1436"/>
        </w:tabs>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Cs w:val="21"/>
        </w:rPr>
      </w:pPr>
      <w:r>
        <w:rPr>
          <w:rFonts w:hint="eastAsia" w:ascii="宋体" w:hAnsi="宋体" w:cs="宋体"/>
          <w:b/>
          <w:bCs/>
          <w:szCs w:val="21"/>
        </w:rPr>
        <w:t>②根据《关于政府采购支持监狱企业发展有关问题的通知》（财库〔2014〕68号）的规定，在政府采购活动中，监狱企业视同小型、微型企业，享受预留份额、评审中价格扣除等促进中小企业发展的政府采购政策，应当在响应文件中提供由省级以上监狱管理局、戒毒管理局（含新疆生产建设兵团）出具的属于监狱企业的证明文件（格式自拟），对符合规定的企业报价给予</w:t>
      </w:r>
      <w:r>
        <w:rPr>
          <w:rFonts w:hint="eastAsia" w:ascii="宋体" w:hAnsi="宋体" w:cs="宋体"/>
          <w:b/>
          <w:bCs/>
          <w:szCs w:val="21"/>
          <w:u w:val="single"/>
        </w:rPr>
        <w:t xml:space="preserve"> 10%  </w:t>
      </w:r>
      <w:r>
        <w:rPr>
          <w:rFonts w:hint="eastAsia" w:ascii="宋体" w:hAnsi="宋体" w:cs="宋体"/>
          <w:b/>
          <w:bCs/>
          <w:szCs w:val="21"/>
        </w:rPr>
        <w:t>的扣除。</w:t>
      </w:r>
    </w:p>
    <w:p>
      <w:pPr>
        <w:keepNext w:val="0"/>
        <w:keepLines w:val="0"/>
        <w:pageBreakBefore w:val="0"/>
        <w:widowControl w:val="0"/>
        <w:tabs>
          <w:tab w:val="left" w:pos="1080"/>
          <w:tab w:val="left" w:pos="1436"/>
        </w:tabs>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Cs w:val="21"/>
        </w:rPr>
      </w:pPr>
      <w:r>
        <w:rPr>
          <w:rFonts w:hint="eastAsia" w:ascii="宋体" w:hAnsi="宋体" w:cs="宋体"/>
          <w:b/>
          <w:bCs/>
          <w:szCs w:val="21"/>
        </w:rPr>
        <w:t>③根据《财政部、民政部、中国残疾人联合会关于促进残疾人就业政府采购政策的通知》（财库〔2017〕141号）的规定，在政府采购活动中，残疾人福利性单位视同小型、微型企业，享受预留份额、评审中价格扣除等促进中小企业发展的政府采购政策，若供应商为残疾人福利性单位且由本单位提供服务的，应当在响应文件中提供此办法规定的《残疾人福利性单位声明函》（格式见附件），对符合规定的企业报价给予</w:t>
      </w:r>
      <w:r>
        <w:rPr>
          <w:rFonts w:hint="eastAsia" w:ascii="宋体" w:hAnsi="宋体" w:cs="宋体"/>
          <w:b/>
          <w:bCs/>
          <w:szCs w:val="21"/>
          <w:u w:val="single"/>
        </w:rPr>
        <w:t xml:space="preserve"> 10% </w:t>
      </w:r>
      <w:r>
        <w:rPr>
          <w:rFonts w:hint="eastAsia" w:ascii="宋体" w:hAnsi="宋体" w:cs="宋体"/>
          <w:b/>
          <w:bCs/>
          <w:szCs w:val="21"/>
        </w:rPr>
        <w:t>的扣除。</w:t>
      </w:r>
    </w:p>
    <w:p>
      <w:pPr>
        <w:keepNext w:val="0"/>
        <w:keepLines w:val="0"/>
        <w:pageBreakBefore w:val="0"/>
        <w:widowControl w:val="0"/>
        <w:tabs>
          <w:tab w:val="left" w:pos="1080"/>
          <w:tab w:val="left" w:pos="1436"/>
        </w:tabs>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Cs w:val="21"/>
        </w:rPr>
      </w:pPr>
      <w:r>
        <w:rPr>
          <w:rFonts w:hint="eastAsia" w:ascii="宋体" w:hAnsi="宋体" w:cs="宋体"/>
          <w:b/>
          <w:bCs/>
          <w:szCs w:val="21"/>
        </w:rPr>
        <w:t>上述①、②、③价格扣除不重复计算，未提供以上材料的，均不给予价格扣除。</w:t>
      </w:r>
    </w:p>
    <w:p>
      <w:pPr>
        <w:keepNext w:val="0"/>
        <w:keepLines w:val="0"/>
        <w:pageBreakBefore w:val="0"/>
        <w:widowControl w:val="0"/>
        <w:tabs>
          <w:tab w:val="left" w:pos="1080"/>
          <w:tab w:val="left" w:pos="1436"/>
        </w:tabs>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Cs w:val="21"/>
        </w:rPr>
      </w:pPr>
      <w:r>
        <w:rPr>
          <w:rFonts w:hint="eastAsia" w:ascii="宋体" w:hAnsi="宋体" w:cs="宋体"/>
          <w:b/>
          <w:bCs/>
          <w:szCs w:val="21"/>
        </w:rPr>
        <w:t>此项由磋商小组集体核实后统一打分。</w:t>
      </w:r>
    </w:p>
    <w:p>
      <w:pPr>
        <w:spacing w:line="380" w:lineRule="exact"/>
        <w:ind w:firstLine="466" w:firstLineChars="200"/>
        <w:rPr>
          <w:rFonts w:hint="eastAsia" w:ascii="宋体" w:hAnsi="宋体" w:cs="宋体"/>
          <w:b/>
          <w:bCs/>
          <w:spacing w:val="11"/>
          <w:szCs w:val="21"/>
          <w:highlight w:val="none"/>
        </w:rPr>
      </w:pPr>
      <w:r>
        <w:rPr>
          <w:rFonts w:hint="eastAsia" w:ascii="宋体" w:hAnsi="宋体" w:cs="宋体"/>
          <w:b/>
          <w:bCs/>
          <w:spacing w:val="11"/>
          <w:szCs w:val="21"/>
          <w:highlight w:val="none"/>
        </w:rPr>
        <w:t>2.资信技术分（</w:t>
      </w:r>
      <w:r>
        <w:rPr>
          <w:rFonts w:hint="eastAsia" w:ascii="宋体" w:hAnsi="宋体" w:cs="宋体"/>
          <w:b/>
          <w:bCs/>
          <w:spacing w:val="11"/>
          <w:szCs w:val="21"/>
          <w:highlight w:val="none"/>
          <w:lang w:val="en-US" w:eastAsia="zh-CN"/>
        </w:rPr>
        <w:t>70</w:t>
      </w:r>
      <w:r>
        <w:rPr>
          <w:rFonts w:hint="eastAsia" w:ascii="宋体" w:hAnsi="宋体" w:cs="宋体"/>
          <w:b/>
          <w:bCs/>
          <w:spacing w:val="11"/>
          <w:szCs w:val="21"/>
          <w:highlight w:val="none"/>
        </w:rPr>
        <w:t>分）</w:t>
      </w:r>
    </w:p>
    <w:p>
      <w:pPr>
        <w:spacing w:line="380" w:lineRule="exact"/>
        <w:ind w:firstLine="464" w:firstLineChars="200"/>
        <w:rPr>
          <w:rFonts w:hint="eastAsia" w:ascii="宋体" w:hAnsi="宋体" w:cs="宋体"/>
          <w:spacing w:val="11"/>
          <w:szCs w:val="21"/>
          <w:highlight w:val="none"/>
        </w:rPr>
      </w:pPr>
      <w:r>
        <w:rPr>
          <w:rFonts w:hint="eastAsia" w:ascii="宋体" w:hAnsi="宋体" w:cs="宋体"/>
          <w:spacing w:val="11"/>
          <w:szCs w:val="21"/>
          <w:highlight w:val="none"/>
        </w:rPr>
        <w:t>磋商小组成员按下列评分项目进行独立评审，每人一张评分表，并记名。各评委评分须一致，如不一致须寻求原因直到一致；如与供应商的自我评分不一致须向其询标（澄清）。</w:t>
      </w:r>
    </w:p>
    <w:p>
      <w:pPr>
        <w:adjustRightInd w:val="0"/>
        <w:snapToGrid w:val="0"/>
        <w:spacing w:line="160" w:lineRule="exact"/>
        <w:jc w:val="center"/>
        <w:rPr>
          <w:rFonts w:hint="eastAsia" w:ascii="宋体" w:hAnsi="宋体" w:cs="宋体"/>
          <w:b/>
          <w:bCs/>
          <w:spacing w:val="11"/>
          <w:szCs w:val="21"/>
          <w:highlight w:val="none"/>
        </w:rPr>
      </w:pPr>
    </w:p>
    <w:tbl>
      <w:tblPr>
        <w:tblStyle w:val="21"/>
        <w:tblW w:w="5460" w:type="pct"/>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243"/>
        <w:gridCol w:w="643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08"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序号</w:t>
            </w:r>
          </w:p>
        </w:tc>
        <w:tc>
          <w:tcPr>
            <w:tcW w:w="1073"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评审内容</w:t>
            </w:r>
          </w:p>
        </w:tc>
        <w:tc>
          <w:tcPr>
            <w:tcW w:w="3077"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评分标准</w:t>
            </w:r>
          </w:p>
        </w:tc>
        <w:tc>
          <w:tcPr>
            <w:tcW w:w="441"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408"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1</w:t>
            </w:r>
          </w:p>
        </w:tc>
        <w:tc>
          <w:tcPr>
            <w:tcW w:w="1073"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设备性能、技术指标及相关服务承诺要求</w:t>
            </w:r>
          </w:p>
        </w:tc>
        <w:tc>
          <w:tcPr>
            <w:tcW w:w="3077" w:type="pct"/>
            <w:noWrap w:val="0"/>
            <w:vAlign w:val="center"/>
          </w:tcPr>
          <w:p>
            <w:pPr>
              <w:spacing w:line="360" w:lineRule="exact"/>
              <w:rPr>
                <w:rFonts w:hint="eastAsia" w:ascii="宋体" w:hAnsi="宋体" w:cs="宋体"/>
                <w:szCs w:val="21"/>
                <w:highlight w:val="none"/>
              </w:rPr>
            </w:pPr>
            <w:r>
              <w:rPr>
                <w:rFonts w:hint="eastAsia" w:ascii="宋体" w:hAnsi="宋体" w:cs="宋体"/>
                <w:szCs w:val="21"/>
                <w:highlight w:val="none"/>
              </w:rPr>
              <w:t>技术参数、性能、材质、配置的符合性，投标产品完全满足采购文件的所有技术指标得</w:t>
            </w:r>
            <w:r>
              <w:rPr>
                <w:rFonts w:hint="eastAsia" w:ascii="宋体" w:hAnsi="宋体" w:cs="宋体"/>
                <w:szCs w:val="21"/>
                <w:highlight w:val="none"/>
                <w:lang w:val="en-US" w:eastAsia="zh-CN"/>
              </w:rPr>
              <w:t>20</w:t>
            </w:r>
            <w:r>
              <w:rPr>
                <w:rFonts w:hint="eastAsia" w:ascii="宋体" w:hAnsi="宋体" w:cs="宋体"/>
                <w:szCs w:val="21"/>
                <w:highlight w:val="none"/>
              </w:rPr>
              <w:t>分；</w:t>
            </w:r>
          </w:p>
          <w:p>
            <w:pPr>
              <w:spacing w:line="360" w:lineRule="exact"/>
              <w:rPr>
                <w:rFonts w:hint="eastAsia" w:ascii="宋体" w:hAnsi="宋体" w:cs="宋体"/>
                <w:szCs w:val="21"/>
                <w:highlight w:val="none"/>
              </w:rPr>
            </w:pPr>
            <w:r>
              <w:rPr>
                <w:rFonts w:hint="eastAsia" w:ascii="宋体" w:hAnsi="宋体" w:cs="宋体"/>
                <w:szCs w:val="21"/>
                <w:highlight w:val="none"/>
              </w:rPr>
              <w:t>重要条款（带★项）： 负偏离一项扣</w:t>
            </w:r>
            <w:r>
              <w:rPr>
                <w:rFonts w:hint="eastAsia" w:ascii="宋体" w:hAnsi="宋体" w:cs="宋体"/>
                <w:szCs w:val="21"/>
                <w:highlight w:val="none"/>
                <w:lang w:val="en-US" w:eastAsia="zh-CN"/>
              </w:rPr>
              <w:t>1</w:t>
            </w:r>
            <w:r>
              <w:rPr>
                <w:rFonts w:hint="eastAsia" w:ascii="宋体" w:hAnsi="宋体" w:cs="宋体"/>
                <w:szCs w:val="21"/>
                <w:highlight w:val="none"/>
              </w:rPr>
              <w:t>分，扣完为止。</w:t>
            </w:r>
          </w:p>
        </w:tc>
        <w:tc>
          <w:tcPr>
            <w:tcW w:w="441" w:type="pct"/>
            <w:noWrap w:val="0"/>
            <w:vAlign w:val="center"/>
          </w:tcPr>
          <w:p>
            <w:pPr>
              <w:spacing w:line="360" w:lineRule="exact"/>
              <w:rPr>
                <w:rFonts w:hint="eastAsia" w:ascii="宋体" w:hAnsi="宋体" w:cs="宋体"/>
                <w:szCs w:val="21"/>
                <w:highlight w:val="none"/>
              </w:rPr>
            </w:pPr>
            <w:r>
              <w:rPr>
                <w:rFonts w:hint="eastAsia" w:ascii="宋体" w:hAnsi="宋体" w:cs="宋体"/>
                <w:szCs w:val="21"/>
                <w:highlight w:val="none"/>
              </w:rPr>
              <w:t>0-</w:t>
            </w:r>
            <w:r>
              <w:rPr>
                <w:rFonts w:hint="eastAsia" w:ascii="宋体" w:hAnsi="宋体" w:cs="宋体"/>
                <w:szCs w:val="21"/>
                <w:highlight w:val="none"/>
                <w:lang w:val="en-US" w:eastAsia="zh-CN"/>
              </w:rPr>
              <w:t>20</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408"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2</w:t>
            </w:r>
          </w:p>
        </w:tc>
        <w:tc>
          <w:tcPr>
            <w:tcW w:w="1073"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项目实施方案</w:t>
            </w:r>
          </w:p>
        </w:tc>
        <w:tc>
          <w:tcPr>
            <w:tcW w:w="3077" w:type="pct"/>
            <w:noWrap w:val="0"/>
            <w:vAlign w:val="center"/>
          </w:tcPr>
          <w:p>
            <w:pPr>
              <w:spacing w:line="360" w:lineRule="exact"/>
              <w:rPr>
                <w:rFonts w:hint="eastAsia" w:ascii="宋体" w:hAnsi="宋体" w:cs="宋体"/>
                <w:szCs w:val="21"/>
                <w:highlight w:val="none"/>
              </w:rPr>
            </w:pPr>
            <w:r>
              <w:rPr>
                <w:rFonts w:hint="eastAsia" w:ascii="宋体" w:hAnsi="宋体" w:cs="宋体"/>
                <w:szCs w:val="21"/>
                <w:highlight w:val="none"/>
              </w:rPr>
              <w:t>供应商项目实施方案需自行看点勘察，并提供对应设备布局</w:t>
            </w:r>
            <w:r>
              <w:rPr>
                <w:rFonts w:hint="eastAsia" w:ascii="宋体" w:hAnsi="宋体" w:cs="宋体"/>
                <w:szCs w:val="21"/>
                <w:highlight w:val="none"/>
                <w:lang w:eastAsia="zh-CN"/>
              </w:rPr>
              <w:t>，</w:t>
            </w:r>
            <w:r>
              <w:rPr>
                <w:rFonts w:hint="eastAsia" w:ascii="宋体" w:hAnsi="宋体" w:cs="宋体"/>
                <w:szCs w:val="21"/>
                <w:highlight w:val="none"/>
                <w:lang w:val="en-US" w:eastAsia="zh-CN"/>
              </w:rPr>
              <w:t>并</w:t>
            </w:r>
            <w:r>
              <w:rPr>
                <w:rFonts w:hint="eastAsia" w:ascii="宋体" w:hAnsi="宋体" w:cs="宋体"/>
                <w:szCs w:val="21"/>
                <w:highlight w:val="none"/>
              </w:rPr>
              <w:t>进行有效详细说明，方案内容的完整性，可行性、客户认可性强的得</w:t>
            </w:r>
            <w:r>
              <w:rPr>
                <w:rFonts w:hint="eastAsia" w:ascii="宋体" w:hAnsi="宋体" w:cs="宋体"/>
                <w:szCs w:val="21"/>
                <w:highlight w:val="none"/>
                <w:lang w:val="en-US" w:eastAsia="zh-CN"/>
              </w:rPr>
              <w:t>4</w:t>
            </w: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分，有一定的 完整性、可行性、科学性的的1-</w:t>
            </w:r>
            <w:r>
              <w:rPr>
                <w:rFonts w:hint="eastAsia" w:ascii="宋体" w:hAnsi="宋体" w:cs="宋体"/>
                <w:szCs w:val="21"/>
                <w:highlight w:val="none"/>
                <w:lang w:val="en-US" w:eastAsia="zh-CN"/>
              </w:rPr>
              <w:t>3</w:t>
            </w:r>
            <w:r>
              <w:rPr>
                <w:rFonts w:hint="eastAsia" w:ascii="宋体" w:hAnsi="宋体" w:cs="宋体"/>
                <w:szCs w:val="21"/>
                <w:highlight w:val="none"/>
              </w:rPr>
              <w:t>分，内容简单，有所欠缺的得0-1分。</w:t>
            </w:r>
          </w:p>
        </w:tc>
        <w:tc>
          <w:tcPr>
            <w:tcW w:w="441" w:type="pct"/>
            <w:noWrap w:val="0"/>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8" w:hRule="atLeast"/>
        </w:trPr>
        <w:tc>
          <w:tcPr>
            <w:tcW w:w="408" w:type="pct"/>
            <w:noWrap w:val="0"/>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073" w:type="pct"/>
            <w:noWrap w:val="0"/>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olor w:val="auto"/>
                <w:kern w:val="0"/>
                <w:szCs w:val="21"/>
                <w:highlight w:val="none"/>
              </w:rPr>
              <w:t>设备性能演示（</w:t>
            </w:r>
            <w:r>
              <w:rPr>
                <w:rFonts w:hint="eastAsia" w:ascii="宋体" w:hAnsi="宋体"/>
                <w:color w:val="auto"/>
                <w:kern w:val="0"/>
                <w:szCs w:val="21"/>
                <w:highlight w:val="none"/>
                <w:lang w:val="en-US" w:eastAsia="zh-CN"/>
              </w:rPr>
              <w:t>20</w:t>
            </w:r>
            <w:r>
              <w:rPr>
                <w:rFonts w:hint="eastAsia" w:ascii="宋体" w:hAnsi="宋体"/>
                <w:color w:val="auto"/>
                <w:kern w:val="0"/>
                <w:szCs w:val="21"/>
                <w:highlight w:val="none"/>
              </w:rPr>
              <w:t>分）</w:t>
            </w:r>
          </w:p>
        </w:tc>
        <w:tc>
          <w:tcPr>
            <w:tcW w:w="3077" w:type="pct"/>
            <w:noWrap w:val="0"/>
            <w:vAlign w:val="center"/>
          </w:tcPr>
          <w:p>
            <w:pPr>
              <w:spacing w:line="360" w:lineRule="exact"/>
              <w:rPr>
                <w:rFonts w:hint="eastAsia" w:ascii="宋体" w:hAnsi="宋体"/>
                <w:szCs w:val="21"/>
                <w:highlight w:val="none"/>
              </w:rPr>
            </w:pPr>
            <w:r>
              <w:rPr>
                <w:rFonts w:hint="eastAsia" w:ascii="宋体" w:hAnsi="宋体" w:cs="宋体"/>
                <w:szCs w:val="21"/>
                <w:highlight w:val="none"/>
                <w:lang w:bidi="ar"/>
              </w:rPr>
              <w:t>通过录制演示视频（mp4格式；时间控制在15分钟以内）演示所投产品设备性能：</w:t>
            </w:r>
          </w:p>
          <w:p>
            <w:pPr>
              <w:numPr>
                <w:ilvl w:val="0"/>
                <w:numId w:val="2"/>
              </w:numPr>
              <w:spacing w:line="360" w:lineRule="auto"/>
              <w:rPr>
                <w:color w:val="000000"/>
                <w:szCs w:val="21"/>
                <w:highlight w:val="none"/>
              </w:rPr>
            </w:pPr>
            <w:r>
              <w:rPr>
                <w:rFonts w:hint="eastAsia" w:ascii="宋体" w:hAnsi="宋体" w:cs="宋体"/>
                <w:color w:val="000000"/>
                <w:szCs w:val="21"/>
                <w:highlight w:val="none"/>
                <w:lang w:bidi="ar"/>
              </w:rPr>
              <w:t>无人机航线规划化作业的得</w:t>
            </w:r>
            <w:r>
              <w:rPr>
                <w:color w:val="000000"/>
                <w:szCs w:val="21"/>
                <w:highlight w:val="none"/>
                <w:lang w:bidi="ar"/>
              </w:rPr>
              <w:t>2</w:t>
            </w:r>
            <w:r>
              <w:rPr>
                <w:rFonts w:hint="eastAsia" w:ascii="宋体" w:hAnsi="宋体" w:cs="宋体"/>
                <w:color w:val="000000"/>
                <w:szCs w:val="21"/>
                <w:highlight w:val="none"/>
                <w:lang w:bidi="ar"/>
              </w:rPr>
              <w:t>分</w:t>
            </w:r>
          </w:p>
          <w:p>
            <w:pPr>
              <w:numPr>
                <w:ilvl w:val="0"/>
                <w:numId w:val="2"/>
              </w:numPr>
              <w:spacing w:line="360" w:lineRule="auto"/>
              <w:rPr>
                <w:color w:val="000000"/>
                <w:szCs w:val="21"/>
                <w:highlight w:val="none"/>
              </w:rPr>
            </w:pPr>
            <w:r>
              <w:rPr>
                <w:rFonts w:hint="eastAsia" w:ascii="宋体" w:hAnsi="宋体" w:cs="宋体"/>
                <w:color w:val="000000"/>
                <w:szCs w:val="21"/>
                <w:highlight w:val="none"/>
                <w:lang w:bidi="ar"/>
              </w:rPr>
              <w:t>无人机航点动作规划的得</w:t>
            </w:r>
            <w:r>
              <w:rPr>
                <w:color w:val="000000"/>
                <w:szCs w:val="21"/>
                <w:highlight w:val="none"/>
                <w:lang w:bidi="ar"/>
              </w:rPr>
              <w:t>2</w:t>
            </w:r>
            <w:r>
              <w:rPr>
                <w:rFonts w:hint="eastAsia" w:ascii="宋体" w:hAnsi="宋体" w:cs="宋体"/>
                <w:color w:val="000000"/>
                <w:szCs w:val="21"/>
                <w:highlight w:val="none"/>
                <w:lang w:bidi="ar"/>
              </w:rPr>
              <w:t>分</w:t>
            </w:r>
          </w:p>
          <w:p>
            <w:pPr>
              <w:numPr>
                <w:ilvl w:val="0"/>
                <w:numId w:val="2"/>
              </w:numPr>
              <w:spacing w:line="360" w:lineRule="auto"/>
              <w:rPr>
                <w:rFonts w:hint="eastAsia" w:ascii="宋体" w:hAnsi="宋体" w:cs="宋体"/>
                <w:color w:val="000000"/>
                <w:szCs w:val="21"/>
                <w:highlight w:val="none"/>
                <w:lang w:bidi="ar"/>
              </w:rPr>
            </w:pPr>
            <w:r>
              <w:rPr>
                <w:rFonts w:hint="eastAsia" w:ascii="宋体" w:hAnsi="宋体" w:cs="宋体"/>
                <w:color w:val="000000"/>
                <w:szCs w:val="21"/>
                <w:highlight w:val="none"/>
                <w:lang w:bidi="ar"/>
              </w:rPr>
              <w:t>无人机航线航点速度及高度规划得</w:t>
            </w:r>
            <w:r>
              <w:rPr>
                <w:color w:val="000000"/>
                <w:szCs w:val="21"/>
                <w:highlight w:val="none"/>
                <w:lang w:bidi="ar"/>
              </w:rPr>
              <w:t>2</w:t>
            </w:r>
            <w:r>
              <w:rPr>
                <w:rFonts w:hint="eastAsia" w:ascii="宋体" w:hAnsi="宋体" w:cs="宋体"/>
                <w:color w:val="000000"/>
                <w:szCs w:val="21"/>
                <w:highlight w:val="none"/>
                <w:lang w:bidi="ar"/>
              </w:rPr>
              <w:t>分</w:t>
            </w:r>
          </w:p>
          <w:p>
            <w:pPr>
              <w:spacing w:line="360" w:lineRule="exact"/>
              <w:rPr>
                <w:rFonts w:hint="eastAsia" w:ascii="宋体" w:hAnsi="宋体"/>
                <w:szCs w:val="21"/>
                <w:highlight w:val="none"/>
              </w:rPr>
            </w:pPr>
            <w:r>
              <w:rPr>
                <w:rFonts w:hint="eastAsia" w:ascii="宋体" w:hAnsi="宋体" w:cs="宋体"/>
                <w:szCs w:val="21"/>
                <w:highlight w:val="none"/>
                <w:lang w:bidi="ar"/>
              </w:rPr>
              <w:t>4、机场拥有一体化气象站系统得2分</w:t>
            </w:r>
          </w:p>
          <w:p>
            <w:pPr>
              <w:spacing w:line="360" w:lineRule="exact"/>
              <w:rPr>
                <w:rFonts w:hint="eastAsia" w:ascii="宋体" w:hAnsi="宋体"/>
                <w:szCs w:val="21"/>
                <w:highlight w:val="none"/>
              </w:rPr>
            </w:pPr>
            <w:r>
              <w:rPr>
                <w:rFonts w:hint="eastAsia" w:ascii="宋体" w:hAnsi="宋体" w:cs="宋体"/>
                <w:szCs w:val="21"/>
                <w:highlight w:val="none"/>
                <w:lang w:bidi="ar"/>
              </w:rPr>
              <w:t>5、无人机超广角摄像机拥有异常反馈功能得3分</w:t>
            </w:r>
          </w:p>
          <w:p>
            <w:pPr>
              <w:spacing w:line="360" w:lineRule="exact"/>
              <w:rPr>
                <w:rFonts w:hint="eastAsia" w:ascii="宋体" w:hAnsi="宋体"/>
                <w:szCs w:val="21"/>
                <w:highlight w:val="none"/>
              </w:rPr>
            </w:pPr>
            <w:r>
              <w:rPr>
                <w:rFonts w:hint="eastAsia" w:ascii="宋体" w:hAnsi="宋体" w:cs="宋体"/>
                <w:szCs w:val="21"/>
                <w:highlight w:val="none"/>
                <w:lang w:bidi="ar"/>
              </w:rPr>
              <w:t>6、无人机拥有航点红外视频监测功能得3分</w:t>
            </w:r>
          </w:p>
          <w:p>
            <w:pPr>
              <w:spacing w:line="360" w:lineRule="exact"/>
              <w:rPr>
                <w:rFonts w:hint="eastAsia" w:ascii="宋体" w:hAnsi="宋体"/>
                <w:szCs w:val="21"/>
                <w:highlight w:val="none"/>
              </w:rPr>
            </w:pPr>
            <w:r>
              <w:rPr>
                <w:rFonts w:hint="eastAsia" w:ascii="宋体" w:hAnsi="宋体" w:cs="宋体"/>
                <w:szCs w:val="21"/>
                <w:highlight w:val="none"/>
                <w:lang w:bidi="ar"/>
              </w:rPr>
              <w:t>7、机场拥有自动修复无人机降落位置，保障无人机正常入库得2分</w:t>
            </w:r>
          </w:p>
          <w:p>
            <w:pPr>
              <w:spacing w:line="360" w:lineRule="exact"/>
              <w:rPr>
                <w:rFonts w:hint="eastAsia" w:ascii="宋体" w:hAnsi="宋体"/>
                <w:szCs w:val="21"/>
                <w:highlight w:val="none"/>
              </w:rPr>
            </w:pPr>
            <w:r>
              <w:rPr>
                <w:rFonts w:hint="eastAsia" w:ascii="宋体" w:hAnsi="宋体" w:cs="宋体"/>
                <w:szCs w:val="21"/>
                <w:highlight w:val="none"/>
                <w:lang w:bidi="ar"/>
              </w:rPr>
              <w:t>8、机场内部拥有温控系统保障无人机充电正常得2分</w:t>
            </w:r>
          </w:p>
          <w:p>
            <w:pPr>
              <w:spacing w:line="360" w:lineRule="exact"/>
              <w:rPr>
                <w:color w:val="000000"/>
                <w:szCs w:val="21"/>
                <w:highlight w:val="none"/>
              </w:rPr>
            </w:pPr>
            <w:r>
              <w:rPr>
                <w:rFonts w:hint="eastAsia" w:ascii="宋体" w:hAnsi="宋体" w:cs="宋体"/>
                <w:szCs w:val="21"/>
                <w:highlight w:val="none"/>
                <w:lang w:bidi="ar"/>
              </w:rPr>
              <w:t>9、机</w:t>
            </w:r>
            <w:r>
              <w:rPr>
                <w:rFonts w:hint="eastAsia" w:ascii="宋体" w:hAnsi="宋体" w:cs="宋体"/>
                <w:color w:val="000000"/>
                <w:szCs w:val="21"/>
                <w:highlight w:val="none"/>
                <w:lang w:bidi="ar"/>
              </w:rPr>
              <w:t>场拥有数据回传归档的得</w:t>
            </w:r>
            <w:r>
              <w:rPr>
                <w:color w:val="000000"/>
                <w:szCs w:val="21"/>
                <w:highlight w:val="none"/>
                <w:lang w:bidi="ar"/>
              </w:rPr>
              <w:t>2</w:t>
            </w:r>
            <w:r>
              <w:rPr>
                <w:rFonts w:hint="eastAsia" w:ascii="宋体" w:hAnsi="宋体" w:cs="宋体"/>
                <w:color w:val="000000"/>
                <w:szCs w:val="21"/>
                <w:highlight w:val="none"/>
                <w:lang w:bidi="ar"/>
              </w:rPr>
              <w:t>分</w:t>
            </w:r>
          </w:p>
          <w:p>
            <w:pPr>
              <w:spacing w:line="360" w:lineRule="exact"/>
              <w:rPr>
                <w:rFonts w:hint="eastAsia" w:ascii="宋体" w:hAnsi="宋体"/>
                <w:b/>
                <w:bCs/>
                <w:szCs w:val="21"/>
                <w:highlight w:val="none"/>
              </w:rPr>
            </w:pPr>
            <w:r>
              <w:rPr>
                <w:rFonts w:hint="eastAsia" w:ascii="宋体" w:hAnsi="宋体" w:cs="宋体"/>
                <w:b/>
                <w:bCs/>
                <w:szCs w:val="21"/>
                <w:highlight w:val="none"/>
                <w:lang w:bidi="ar"/>
              </w:rPr>
              <w:t>注：供应商不需指派专人参加现场演示，可以将录制好的演示视频文件用U盘拷贝，与投标备份响应文件一起邮寄。</w:t>
            </w:r>
          </w:p>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cs="宋体"/>
                <w:b/>
                <w:bCs/>
                <w:szCs w:val="21"/>
                <w:highlight w:val="none"/>
                <w:lang w:bidi="ar"/>
              </w:rPr>
              <w:t>未提供演示视频的本项不得分。供应商必须采用真实用户系统环境演示录制成视频，采用Demo和PPT的不得分</w:t>
            </w:r>
          </w:p>
        </w:tc>
        <w:tc>
          <w:tcPr>
            <w:tcW w:w="441" w:type="pct"/>
            <w:noWrap w:val="0"/>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408" w:type="pct"/>
            <w:noWrap w:val="0"/>
            <w:vAlign w:val="center"/>
          </w:tcPr>
          <w:p>
            <w:pPr>
              <w:spacing w:line="360" w:lineRule="exact"/>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c>
          <w:tcPr>
            <w:tcW w:w="1073" w:type="pct"/>
            <w:noWrap w:val="0"/>
            <w:vAlign w:val="center"/>
          </w:tcPr>
          <w:p>
            <w:pPr>
              <w:widowControl/>
              <w:spacing w:line="300" w:lineRule="exact"/>
              <w:jc w:val="center"/>
              <w:rPr>
                <w:rFonts w:hint="eastAsia" w:ascii="宋体" w:hAnsi="宋体" w:cs="宋体"/>
                <w:szCs w:val="21"/>
                <w:highlight w:val="none"/>
              </w:rPr>
            </w:pPr>
            <w:r>
              <w:rPr>
                <w:rFonts w:hint="eastAsia"/>
                <w:szCs w:val="21"/>
                <w:highlight w:val="none"/>
              </w:rPr>
              <w:t>保证项目实施的技术力量和人力资源安排</w:t>
            </w:r>
          </w:p>
        </w:tc>
        <w:tc>
          <w:tcPr>
            <w:tcW w:w="3077" w:type="pct"/>
            <w:noWrap w:val="0"/>
            <w:vAlign w:val="center"/>
          </w:tcPr>
          <w:p>
            <w:pPr>
              <w:spacing w:line="360" w:lineRule="exact"/>
              <w:rPr>
                <w:rFonts w:hint="default" w:eastAsia="宋体"/>
                <w:highlight w:val="none"/>
                <w:lang w:val="en-US" w:eastAsia="zh-CN"/>
              </w:rPr>
            </w:pPr>
            <w:r>
              <w:rPr>
                <w:rFonts w:hint="eastAsia"/>
                <w:szCs w:val="21"/>
                <w:highlight w:val="none"/>
              </w:rPr>
              <w:t>投标供应商派出</w:t>
            </w:r>
            <w:r>
              <w:rPr>
                <w:rFonts w:hint="eastAsia"/>
                <w:szCs w:val="21"/>
                <w:highlight w:val="none"/>
                <w:lang w:val="en-US" w:eastAsia="zh-CN"/>
              </w:rPr>
              <w:t>高级弱电系统集成项目经理1名、网络工程师1名、</w:t>
            </w:r>
            <w:r>
              <w:rPr>
                <w:rFonts w:hint="eastAsia" w:ascii="Times New Roman" w:hAnsi="Times New Roman" w:eastAsia="宋体" w:cs="Times New Roman"/>
                <w:szCs w:val="21"/>
                <w:highlight w:val="none"/>
                <w:lang w:val="en-US" w:eastAsia="zh-CN"/>
              </w:rPr>
              <w:t>安防监控系统工程师</w:t>
            </w:r>
            <w:r>
              <w:rPr>
                <w:rFonts w:hint="eastAsia"/>
                <w:szCs w:val="21"/>
                <w:highlight w:val="none"/>
                <w:lang w:val="en-US" w:eastAsia="zh-CN"/>
              </w:rPr>
              <w:t>1名。每名同时拥有中国民用航空局出具的轻型民用无人驾驶航空器安全操控理论培训合格证明，全部满足得6分.缺一项扣两分，扣完为止。</w:t>
            </w:r>
          </w:p>
          <w:p>
            <w:pPr>
              <w:widowControl/>
              <w:spacing w:line="300" w:lineRule="exact"/>
              <w:rPr>
                <w:rFonts w:hint="eastAsia" w:ascii="宋体" w:hAnsi="宋体" w:eastAsia="宋体" w:cs="宋体"/>
                <w:szCs w:val="21"/>
                <w:highlight w:val="none"/>
                <w:lang w:eastAsia="zh-CN"/>
              </w:rPr>
            </w:pPr>
            <w:r>
              <w:rPr>
                <w:rFonts w:hint="eastAsia"/>
                <w:b/>
                <w:bCs/>
                <w:szCs w:val="21"/>
                <w:highlight w:val="none"/>
              </w:rPr>
              <w:t>提供人员名单、</w:t>
            </w:r>
            <w:r>
              <w:rPr>
                <w:rFonts w:hint="eastAsia"/>
                <w:b/>
                <w:bCs/>
                <w:szCs w:val="21"/>
                <w:highlight w:val="none"/>
                <w:lang w:eastAsia="zh-CN"/>
              </w:rPr>
              <w:t>相关证明材料</w:t>
            </w:r>
            <w:r>
              <w:rPr>
                <w:rFonts w:hint="eastAsia"/>
                <w:b/>
                <w:bCs/>
                <w:szCs w:val="21"/>
                <w:highlight w:val="none"/>
              </w:rPr>
              <w:t>及近</w:t>
            </w:r>
            <w:r>
              <w:rPr>
                <w:rFonts w:hint="eastAsia"/>
                <w:b/>
                <w:bCs/>
                <w:szCs w:val="21"/>
                <w:highlight w:val="none"/>
                <w:lang w:val="en-US" w:eastAsia="zh-CN"/>
              </w:rPr>
              <w:t>三</w:t>
            </w:r>
            <w:r>
              <w:rPr>
                <w:rFonts w:hint="eastAsia"/>
                <w:b/>
                <w:bCs/>
                <w:szCs w:val="21"/>
                <w:highlight w:val="none"/>
              </w:rPr>
              <w:t>个月社保证明复印件加盖公章编入磋商响应文件，未提供不得分。</w:t>
            </w:r>
          </w:p>
        </w:tc>
        <w:tc>
          <w:tcPr>
            <w:tcW w:w="441" w:type="pct"/>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0-</w:t>
            </w:r>
            <w:r>
              <w:rPr>
                <w:rFonts w:hint="eastAsia" w:ascii="宋体" w:hAnsi="宋体" w:cs="宋体"/>
                <w:szCs w:val="21"/>
                <w:highlight w:val="none"/>
                <w:lang w:val="en-US" w:eastAsia="zh-CN"/>
              </w:rPr>
              <w:t>6</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408" w:type="pct"/>
            <w:noWrap w:val="0"/>
            <w:vAlign w:val="center"/>
          </w:tcPr>
          <w:p>
            <w:pPr>
              <w:spacing w:line="360" w:lineRule="exact"/>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5</w:t>
            </w:r>
          </w:p>
        </w:tc>
        <w:tc>
          <w:tcPr>
            <w:tcW w:w="1073" w:type="pct"/>
            <w:noWrap w:val="0"/>
            <w:vAlign w:val="center"/>
          </w:tcPr>
          <w:p>
            <w:pPr>
              <w:spacing w:line="360" w:lineRule="exact"/>
              <w:jc w:val="center"/>
              <w:rPr>
                <w:rFonts w:hint="eastAsia"/>
                <w:szCs w:val="21"/>
                <w:highlight w:val="none"/>
              </w:rPr>
            </w:pPr>
            <w:r>
              <w:rPr>
                <w:rFonts w:hint="eastAsia" w:ascii="宋体" w:hAnsi="宋体" w:cs="宋体"/>
                <w:szCs w:val="21"/>
                <w:highlight w:val="none"/>
                <w:lang w:val="en-US" w:eastAsia="zh-CN"/>
              </w:rPr>
              <w:t>设备培训方案</w:t>
            </w:r>
          </w:p>
        </w:tc>
        <w:tc>
          <w:tcPr>
            <w:tcW w:w="3077" w:type="pct"/>
            <w:noWrap w:val="0"/>
            <w:vAlign w:val="center"/>
          </w:tcPr>
          <w:p>
            <w:pPr>
              <w:spacing w:line="360" w:lineRule="exact"/>
              <w:rPr>
                <w:rFonts w:hint="eastAsia"/>
                <w:b/>
                <w:bCs/>
                <w:szCs w:val="21"/>
                <w:highlight w:val="none"/>
              </w:rPr>
            </w:pPr>
            <w:r>
              <w:rPr>
                <w:rFonts w:hint="eastAsia" w:ascii="宋体" w:hAnsi="宋体" w:eastAsia="宋体" w:cs="宋体"/>
                <w:color w:val="auto"/>
                <w:kern w:val="0"/>
                <w:szCs w:val="21"/>
                <w:highlight w:val="none"/>
                <w:lang w:bidi="ar"/>
              </w:rPr>
              <w:t>根据参选人提供的培训方案（包括</w:t>
            </w:r>
            <w:r>
              <w:rPr>
                <w:rFonts w:hint="eastAsia" w:ascii="宋体" w:hAnsi="宋体" w:eastAsia="宋体" w:cs="宋体"/>
                <w:color w:val="auto"/>
                <w:kern w:val="0"/>
                <w:szCs w:val="21"/>
                <w:highlight w:val="none"/>
                <w:lang w:val="en-US" w:eastAsia="zh-CN" w:bidi="ar"/>
              </w:rPr>
              <w:t>培训管理体系</w:t>
            </w:r>
            <w:r>
              <w:rPr>
                <w:rFonts w:hint="eastAsia"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val="en-US" w:eastAsia="zh-CN" w:bidi="ar"/>
              </w:rPr>
              <w:t>培训计划</w:t>
            </w:r>
            <w:r>
              <w:rPr>
                <w:rFonts w:hint="eastAsia" w:ascii="宋体" w:hAnsi="宋体" w:eastAsia="宋体" w:cs="宋体"/>
                <w:color w:val="auto"/>
                <w:kern w:val="0"/>
                <w:szCs w:val="21"/>
                <w:highlight w:val="none"/>
                <w:lang w:bidi="ar"/>
              </w:rPr>
              <w:t>、培训</w:t>
            </w:r>
            <w:r>
              <w:rPr>
                <w:rFonts w:hint="eastAsia" w:ascii="宋体" w:hAnsi="宋体" w:eastAsia="宋体" w:cs="宋体"/>
                <w:color w:val="auto"/>
                <w:kern w:val="0"/>
                <w:szCs w:val="21"/>
                <w:highlight w:val="none"/>
                <w:lang w:val="en-US" w:eastAsia="zh-CN" w:bidi="ar"/>
              </w:rPr>
              <w:t>目标</w:t>
            </w:r>
            <w:r>
              <w:rPr>
                <w:rFonts w:hint="eastAsia" w:ascii="宋体" w:hAnsi="宋体" w:eastAsia="宋体" w:cs="宋体"/>
                <w:color w:val="auto"/>
                <w:kern w:val="0"/>
                <w:szCs w:val="21"/>
                <w:highlight w:val="none"/>
                <w:lang w:bidi="ar"/>
              </w:rPr>
              <w:t>、培训内容</w:t>
            </w:r>
            <w:r>
              <w:rPr>
                <w:rFonts w:hint="eastAsia" w:ascii="宋体" w:hAnsi="宋体" w:eastAsia="宋体" w:cs="宋体"/>
                <w:color w:val="auto"/>
                <w:kern w:val="0"/>
                <w:szCs w:val="21"/>
                <w:highlight w:val="none"/>
                <w:lang w:val="en-US" w:eastAsia="zh-CN" w:bidi="ar"/>
              </w:rPr>
              <w:t>规划</w:t>
            </w:r>
            <w:r>
              <w:rPr>
                <w:rFonts w:hint="eastAsia" w:ascii="宋体" w:hAnsi="宋体" w:eastAsia="宋体" w:cs="宋体"/>
                <w:color w:val="auto"/>
                <w:kern w:val="0"/>
                <w:szCs w:val="21"/>
                <w:highlight w:val="none"/>
                <w:lang w:bidi="ar"/>
              </w:rPr>
              <w:t>等）的完整性及合理性进行打分。培训方案</w:t>
            </w:r>
            <w:r>
              <w:rPr>
                <w:rFonts w:hint="eastAsia" w:ascii="宋体" w:hAnsi="宋体" w:cs="宋体"/>
                <w:color w:val="auto"/>
                <w:kern w:val="0"/>
                <w:szCs w:val="21"/>
                <w:highlight w:val="none"/>
                <w:lang w:eastAsia="zh-CN" w:bidi="ar"/>
              </w:rPr>
              <w:t>详细可行</w:t>
            </w:r>
            <w:r>
              <w:rPr>
                <w:rFonts w:hint="eastAsia" w:ascii="宋体" w:hAnsi="宋体" w:eastAsia="宋体" w:cs="宋体"/>
                <w:color w:val="auto"/>
                <w:kern w:val="0"/>
                <w:szCs w:val="21"/>
                <w:highlight w:val="none"/>
                <w:lang w:bidi="ar"/>
              </w:rPr>
              <w:t>的得</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val="en-US" w:eastAsia="zh-CN" w:bidi="ar"/>
              </w:rPr>
              <w:t>2-4</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bidi="ar"/>
              </w:rPr>
              <w:t>分；方案</w:t>
            </w:r>
            <w:r>
              <w:rPr>
                <w:rFonts w:hint="eastAsia" w:ascii="宋体" w:hAnsi="宋体" w:cs="宋体"/>
                <w:color w:val="auto"/>
                <w:kern w:val="0"/>
                <w:szCs w:val="21"/>
                <w:highlight w:val="none"/>
                <w:lang w:eastAsia="zh-CN" w:bidi="ar"/>
              </w:rPr>
              <w:t>基本可行</w:t>
            </w:r>
            <w:r>
              <w:rPr>
                <w:rFonts w:hint="eastAsia" w:ascii="宋体" w:hAnsi="宋体" w:eastAsia="宋体" w:cs="宋体"/>
                <w:color w:val="auto"/>
                <w:kern w:val="0"/>
                <w:szCs w:val="21"/>
                <w:highlight w:val="none"/>
                <w:lang w:bidi="ar"/>
              </w:rPr>
              <w:t>的得（</w:t>
            </w:r>
            <w:r>
              <w:rPr>
                <w:rFonts w:hint="eastAsia" w:ascii="宋体" w:hAnsi="宋体" w:eastAsia="宋体" w:cs="宋体"/>
                <w:color w:val="auto"/>
                <w:kern w:val="0"/>
                <w:szCs w:val="21"/>
                <w:highlight w:val="none"/>
                <w:lang w:val="en-US" w:eastAsia="zh-CN" w:bidi="ar"/>
              </w:rPr>
              <w:t>1</w:t>
            </w:r>
            <w:r>
              <w:rPr>
                <w:rFonts w:hint="eastAsia"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val="en-US" w:eastAsia="zh-CN" w:bidi="ar"/>
              </w:rPr>
              <w:t>2</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bidi="ar"/>
              </w:rPr>
              <w:t>分；方案</w:t>
            </w:r>
            <w:r>
              <w:rPr>
                <w:rFonts w:hint="eastAsia" w:ascii="宋体" w:hAnsi="宋体" w:cs="宋体"/>
                <w:color w:val="auto"/>
                <w:kern w:val="0"/>
                <w:szCs w:val="21"/>
                <w:highlight w:val="none"/>
                <w:lang w:eastAsia="zh-CN" w:bidi="ar"/>
              </w:rPr>
              <w:t>简单，较可行</w:t>
            </w:r>
            <w:r>
              <w:rPr>
                <w:rFonts w:hint="eastAsia" w:ascii="宋体" w:hAnsi="宋体" w:eastAsia="宋体" w:cs="宋体"/>
                <w:color w:val="auto"/>
                <w:kern w:val="0"/>
                <w:szCs w:val="21"/>
                <w:highlight w:val="none"/>
                <w:lang w:bidi="ar"/>
              </w:rPr>
              <w:t>的得</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val="en-US" w:eastAsia="zh-CN" w:bidi="ar"/>
              </w:rPr>
              <w:t>0-1</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bidi="ar"/>
              </w:rPr>
              <w:t>分。</w:t>
            </w:r>
          </w:p>
        </w:tc>
        <w:tc>
          <w:tcPr>
            <w:tcW w:w="441" w:type="pct"/>
            <w:noWrap w:val="0"/>
            <w:vAlign w:val="center"/>
          </w:tcPr>
          <w:p>
            <w:pPr>
              <w:spacing w:line="360" w:lineRule="exact"/>
              <w:rPr>
                <w:rFonts w:hint="eastAsia" w:ascii="宋体" w:hAnsi="宋体" w:cs="宋体"/>
                <w:szCs w:val="21"/>
                <w:highlight w:val="none"/>
              </w:rPr>
            </w:pPr>
            <w:r>
              <w:rPr>
                <w:rFonts w:hint="eastAsia" w:ascii="宋体" w:hAnsi="宋体" w:cs="宋体"/>
                <w:szCs w:val="21"/>
                <w:highlight w:val="none"/>
              </w:rPr>
              <w:t>0-</w:t>
            </w:r>
            <w:r>
              <w:rPr>
                <w:rFonts w:hint="eastAsia" w:ascii="宋体" w:hAnsi="宋体" w:cs="宋体"/>
                <w:szCs w:val="21"/>
                <w:highlight w:val="none"/>
                <w:lang w:val="en-US" w:eastAsia="zh-CN"/>
              </w:rPr>
              <w:t>4</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408" w:type="pct"/>
            <w:noWrap w:val="0"/>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073" w:type="pct"/>
            <w:noWrap w:val="0"/>
            <w:vAlign w:val="center"/>
          </w:tcPr>
          <w:p>
            <w:pPr>
              <w:spacing w:line="360" w:lineRule="exact"/>
              <w:jc w:val="center"/>
              <w:rPr>
                <w:rFonts w:hint="eastAsia" w:ascii="宋体" w:hAnsi="宋体" w:cs="宋体"/>
                <w:color w:val="auto"/>
                <w:szCs w:val="21"/>
                <w:highlight w:val="none"/>
              </w:rPr>
            </w:pPr>
            <w:r>
              <w:rPr>
                <w:rFonts w:hint="eastAsia"/>
                <w:color w:val="auto"/>
                <w:szCs w:val="21"/>
                <w:highlight w:val="none"/>
              </w:rPr>
              <w:t>业绩案例</w:t>
            </w:r>
          </w:p>
        </w:tc>
        <w:tc>
          <w:tcPr>
            <w:tcW w:w="3077" w:type="pct"/>
            <w:noWrap w:val="0"/>
            <w:vAlign w:val="center"/>
          </w:tcPr>
          <w:p>
            <w:pPr>
              <w:spacing w:line="360" w:lineRule="exact"/>
              <w:rPr>
                <w:color w:val="auto"/>
                <w:highlight w:val="none"/>
              </w:rPr>
            </w:pPr>
            <w:r>
              <w:rPr>
                <w:rFonts w:hint="eastAsia"/>
                <w:color w:val="auto"/>
                <w:highlight w:val="none"/>
              </w:rPr>
              <w:t>投标供应商提供202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6</w:t>
            </w:r>
            <w:r>
              <w:rPr>
                <w:rFonts w:hint="eastAsia"/>
                <w:color w:val="auto"/>
                <w:highlight w:val="none"/>
              </w:rPr>
              <w:t>月1日（以合同签订时间为准）起至本项目截标时间止，完成的</w:t>
            </w:r>
            <w:r>
              <w:rPr>
                <w:rFonts w:hint="eastAsia"/>
                <w:color w:val="auto"/>
                <w:highlight w:val="none"/>
                <w:lang w:val="en-US" w:eastAsia="zh-CN"/>
              </w:rPr>
              <w:t>无人机项目</w:t>
            </w:r>
            <w:r>
              <w:rPr>
                <w:rFonts w:hint="eastAsia"/>
                <w:color w:val="auto"/>
                <w:highlight w:val="none"/>
              </w:rPr>
              <w:t>业绩的得1分，最高得</w:t>
            </w:r>
            <w:r>
              <w:rPr>
                <w:rFonts w:hint="eastAsia"/>
                <w:color w:val="auto"/>
                <w:highlight w:val="none"/>
                <w:lang w:val="en-US" w:eastAsia="zh-CN"/>
              </w:rPr>
              <w:t>2</w:t>
            </w:r>
            <w:r>
              <w:rPr>
                <w:rFonts w:hint="eastAsia"/>
                <w:color w:val="auto"/>
                <w:highlight w:val="none"/>
              </w:rPr>
              <w:t>分。</w:t>
            </w:r>
          </w:p>
          <w:p>
            <w:pPr>
              <w:rPr>
                <w:rFonts w:hint="eastAsia" w:ascii="宋体" w:hAnsi="宋体" w:cs="宋体"/>
                <w:color w:val="auto"/>
                <w:szCs w:val="21"/>
                <w:highlight w:val="none"/>
              </w:rPr>
            </w:pPr>
            <w:r>
              <w:rPr>
                <w:rFonts w:hint="eastAsia"/>
                <w:b/>
                <w:bCs/>
                <w:color w:val="auto"/>
                <w:highlight w:val="none"/>
              </w:rPr>
              <w:t>必须提供合同复印件</w:t>
            </w:r>
            <w:r>
              <w:rPr>
                <w:rFonts w:hint="eastAsia"/>
                <w:b/>
                <w:bCs/>
                <w:szCs w:val="21"/>
                <w:highlight w:val="none"/>
              </w:rPr>
              <w:t>，未提供不得分。</w:t>
            </w:r>
          </w:p>
        </w:tc>
        <w:tc>
          <w:tcPr>
            <w:tcW w:w="441" w:type="pct"/>
            <w:noWrap w:val="0"/>
            <w:vAlign w:val="center"/>
          </w:tcPr>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408" w:type="pct"/>
            <w:noWrap w:val="0"/>
            <w:vAlign w:val="center"/>
          </w:tcPr>
          <w:p>
            <w:pPr>
              <w:spacing w:line="36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7</w:t>
            </w:r>
          </w:p>
        </w:tc>
        <w:tc>
          <w:tcPr>
            <w:tcW w:w="1073" w:type="pct"/>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企业能力</w:t>
            </w:r>
          </w:p>
        </w:tc>
        <w:tc>
          <w:tcPr>
            <w:tcW w:w="3077" w:type="pct"/>
            <w:noWrap w:val="0"/>
            <w:vAlign w:val="center"/>
          </w:tcPr>
          <w:p>
            <w:pPr>
              <w:spacing w:line="360" w:lineRule="exact"/>
              <w:jc w:val="left"/>
              <w:rPr>
                <w:rFonts w:hint="default" w:ascii="宋体" w:hAnsi="宋体" w:cs="微软雅黑"/>
                <w:szCs w:val="21"/>
                <w:highlight w:val="none"/>
                <w:lang w:val="en-US" w:eastAsia="zh-CN"/>
              </w:rPr>
            </w:pPr>
            <w:r>
              <w:rPr>
                <w:rFonts w:hint="eastAsia" w:ascii="宋体" w:hAnsi="宋体" w:cs="宋体"/>
                <w:szCs w:val="21"/>
                <w:highlight w:val="none"/>
                <w:lang w:val="en-US" w:eastAsia="zh-CN"/>
              </w:rPr>
              <w:t>1、</w:t>
            </w:r>
            <w:r>
              <w:rPr>
                <w:rFonts w:hint="eastAsia" w:ascii="宋体" w:hAnsi="宋体" w:cs="宋体"/>
                <w:szCs w:val="21"/>
                <w:highlight w:val="none"/>
              </w:rPr>
              <w:t>为了保证项目整体</w:t>
            </w:r>
            <w:r>
              <w:rPr>
                <w:rFonts w:hint="eastAsia" w:ascii="宋体" w:hAnsi="宋体" w:cs="宋体"/>
                <w:szCs w:val="21"/>
                <w:highlight w:val="none"/>
                <w:lang w:val="en-US" w:eastAsia="zh-CN"/>
              </w:rPr>
              <w:t>无人机专线网络服务。</w:t>
            </w:r>
            <w:r>
              <w:rPr>
                <w:rFonts w:hint="eastAsia" w:ascii="宋体" w:hAnsi="宋体" w:cs="宋体"/>
                <w:szCs w:val="21"/>
                <w:highlight w:val="none"/>
              </w:rPr>
              <w:t>供应商需要具有有效的</w:t>
            </w:r>
            <w:r>
              <w:rPr>
                <w:rFonts w:hint="eastAsia" w:ascii="宋体" w:hAnsi="宋体" w:cs="宋体"/>
                <w:szCs w:val="21"/>
                <w:highlight w:val="none"/>
                <w:lang w:val="en-US" w:eastAsia="zh-CN"/>
              </w:rPr>
              <w:t>中华人民共和国增值电信业务经营许可证，</w:t>
            </w:r>
            <w:r>
              <w:rPr>
                <w:rFonts w:hint="eastAsia" w:ascii="宋体" w:hAnsi="宋体" w:cs="微软雅黑"/>
                <w:szCs w:val="21"/>
                <w:highlight w:val="none"/>
              </w:rPr>
              <w:t>得</w:t>
            </w:r>
            <w:r>
              <w:rPr>
                <w:rFonts w:hint="eastAsia" w:ascii="宋体" w:hAnsi="宋体" w:cs="微软雅黑"/>
                <w:szCs w:val="21"/>
                <w:highlight w:val="none"/>
                <w:lang w:val="en-US" w:eastAsia="zh-CN"/>
              </w:rPr>
              <w:t>2</w:t>
            </w:r>
            <w:r>
              <w:rPr>
                <w:rFonts w:hint="eastAsia" w:ascii="宋体" w:hAnsi="宋体" w:cs="微软雅黑"/>
                <w:szCs w:val="21"/>
                <w:highlight w:val="none"/>
              </w:rPr>
              <w:t>分，</w:t>
            </w:r>
            <w:r>
              <w:rPr>
                <w:rFonts w:hint="eastAsia" w:ascii="宋体" w:hAnsi="宋体" w:cs="微软雅黑"/>
                <w:szCs w:val="21"/>
                <w:highlight w:val="none"/>
                <w:lang w:val="en-US" w:eastAsia="zh-CN"/>
              </w:rPr>
              <w:t>没有不得分。</w:t>
            </w:r>
          </w:p>
          <w:p>
            <w:pPr>
              <w:spacing w:line="360" w:lineRule="exact"/>
              <w:rPr>
                <w:rFonts w:hint="eastAsia"/>
                <w:b/>
                <w:bCs/>
                <w:szCs w:val="21"/>
                <w:highlight w:val="none"/>
              </w:rPr>
            </w:pPr>
            <w:r>
              <w:rPr>
                <w:rFonts w:hint="eastAsia"/>
                <w:b/>
                <w:bCs/>
                <w:szCs w:val="21"/>
                <w:highlight w:val="none"/>
              </w:rPr>
              <w:t>以上认证须在国家</w:t>
            </w:r>
            <w:r>
              <w:rPr>
                <w:rFonts w:hint="eastAsia"/>
                <w:b/>
                <w:bCs/>
                <w:szCs w:val="21"/>
                <w:highlight w:val="none"/>
                <w:lang w:val="en-US" w:eastAsia="zh-CN"/>
              </w:rPr>
              <w:t>信息化部发证。</w:t>
            </w:r>
            <w:r>
              <w:rPr>
                <w:rFonts w:hint="eastAsia"/>
                <w:b/>
                <w:bCs/>
                <w:szCs w:val="21"/>
                <w:highlight w:val="none"/>
              </w:rPr>
              <w:t>且证书状态须为有效，否则不得分。</w:t>
            </w:r>
          </w:p>
          <w:p>
            <w:pPr>
              <w:spacing w:line="360" w:lineRule="exact"/>
              <w:rPr>
                <w:rFonts w:hint="eastAsia"/>
                <w:b/>
                <w:bCs/>
                <w:szCs w:val="21"/>
                <w:highlight w:val="none"/>
              </w:rPr>
            </w:pPr>
            <w:r>
              <w:rPr>
                <w:rFonts w:hint="eastAsia"/>
                <w:b/>
                <w:bCs/>
                <w:szCs w:val="21"/>
                <w:highlight w:val="none"/>
              </w:rPr>
              <w:t>注：须提供证书复印件加盖公章编入磋商响应文件，未提供不得分。</w:t>
            </w:r>
          </w:p>
          <w:p>
            <w:pPr>
              <w:numPr>
                <w:ilvl w:val="-1"/>
                <w:numId w:val="0"/>
              </w:numPr>
              <w:spacing w:line="360" w:lineRule="exact"/>
              <w:jc w:val="left"/>
              <w:rPr>
                <w:rFonts w:hint="eastAsia" w:ascii="宋体" w:hAnsi="宋体" w:cs="宋体"/>
                <w:szCs w:val="21"/>
                <w:highlight w:val="none"/>
                <w:lang w:val="en-US" w:eastAsia="zh-CN"/>
              </w:rPr>
            </w:pPr>
            <w:r>
              <w:rPr>
                <w:rFonts w:hint="eastAsia" w:ascii="宋体" w:hAnsi="宋体" w:cs="宋体"/>
                <w:szCs w:val="21"/>
                <w:highlight w:val="none"/>
                <w:lang w:val="en-US" w:eastAsia="zh-CN"/>
              </w:rPr>
              <w:t>2、为了保证整体项目安防要求，供应商需要具有有效的贰级及以上国家级安防工程企业资质证书 ，得2分，没有不得分。</w:t>
            </w:r>
          </w:p>
          <w:p>
            <w:pPr>
              <w:numPr>
                <w:ilvl w:val="-1"/>
                <w:numId w:val="0"/>
              </w:numPr>
              <w:spacing w:line="360" w:lineRule="exact"/>
              <w:jc w:val="left"/>
              <w:rPr>
                <w:rFonts w:hint="eastAsia" w:ascii="宋体" w:hAnsi="宋体" w:cs="宋体"/>
                <w:b/>
                <w:bCs/>
                <w:szCs w:val="21"/>
                <w:highlight w:val="none"/>
                <w:lang w:val="en-US" w:eastAsia="zh-CN"/>
              </w:rPr>
            </w:pPr>
            <w:r>
              <w:rPr>
                <w:rFonts w:hint="eastAsia" w:ascii="宋体" w:hAnsi="宋体" w:cs="宋体"/>
                <w:b/>
                <w:bCs/>
                <w:szCs w:val="21"/>
                <w:highlight w:val="none"/>
                <w:lang w:val="en-US" w:eastAsia="zh-CN"/>
              </w:rPr>
              <w:t>以上认证须是国家单位发证，否则不得分。</w:t>
            </w:r>
          </w:p>
          <w:p>
            <w:pPr>
              <w:spacing w:line="360" w:lineRule="exact"/>
              <w:jc w:val="left"/>
              <w:rPr>
                <w:rFonts w:hint="eastAsia"/>
                <w:b/>
                <w:bCs/>
                <w:szCs w:val="21"/>
                <w:highlight w:val="none"/>
                <w:lang w:val="en-US" w:eastAsia="zh-CN"/>
              </w:rPr>
            </w:pPr>
            <w:r>
              <w:rPr>
                <w:rFonts w:hint="eastAsia"/>
                <w:b/>
                <w:bCs/>
                <w:szCs w:val="21"/>
                <w:highlight w:val="none"/>
              </w:rPr>
              <w:t>注：须提供书复印件加盖公章编入磋商响应文件，未提供不得分。</w:t>
            </w:r>
          </w:p>
        </w:tc>
        <w:tc>
          <w:tcPr>
            <w:tcW w:w="441" w:type="pct"/>
            <w:noWrap w:val="0"/>
            <w:vAlign w:val="center"/>
          </w:tcPr>
          <w:p>
            <w:pPr>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rPr>
              <w:t>0-</w:t>
            </w:r>
            <w:r>
              <w:rPr>
                <w:rFonts w:hint="eastAsia" w:ascii="宋体" w:hAnsi="宋体" w:cs="宋体"/>
                <w:szCs w:val="21"/>
                <w:highlight w:val="none"/>
                <w:lang w:val="en-US" w:eastAsia="zh-CN"/>
              </w:rPr>
              <w:t>4</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408" w:type="pct"/>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8</w:t>
            </w:r>
          </w:p>
        </w:tc>
        <w:tc>
          <w:tcPr>
            <w:tcW w:w="1073" w:type="pct"/>
            <w:noWrap w:val="0"/>
            <w:vAlign w:val="center"/>
          </w:tcPr>
          <w:p>
            <w:pPr>
              <w:spacing w:line="360" w:lineRule="exact"/>
              <w:ind w:firstLine="420" w:firstLineChars="200"/>
              <w:jc w:val="both"/>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售后服务体系</w:t>
            </w:r>
          </w:p>
        </w:tc>
        <w:tc>
          <w:tcPr>
            <w:tcW w:w="3077" w:type="pct"/>
            <w:noWrap w:val="0"/>
            <w:vAlign w:val="center"/>
          </w:tcPr>
          <w:p>
            <w:pPr>
              <w:spacing w:line="360" w:lineRule="exac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根据供应商提供的针对</w:t>
            </w:r>
            <w:r>
              <w:rPr>
                <w:rFonts w:hint="eastAsia" w:ascii="宋体" w:hAnsi="宋体" w:eastAsia="宋体" w:cs="宋体"/>
                <w:szCs w:val="21"/>
                <w:highlight w:val="none"/>
                <w:lang w:val="en-US" w:eastAsia="zh-CN"/>
              </w:rPr>
              <w:t>无人机定期维修保障服务</w:t>
            </w:r>
            <w:r>
              <w:rPr>
                <w:rFonts w:hint="eastAsia" w:ascii="宋体" w:hAnsi="宋体" w:cs="宋体"/>
                <w:szCs w:val="21"/>
                <w:highlight w:val="none"/>
                <w:lang w:val="en-US" w:eastAsia="zh-CN"/>
              </w:rPr>
              <w:t>、</w:t>
            </w:r>
            <w:r>
              <w:rPr>
                <w:rFonts w:hint="eastAsia" w:ascii="宋体" w:hAnsi="宋体" w:eastAsia="宋体" w:cs="宋体"/>
                <w:szCs w:val="21"/>
                <w:highlight w:val="none"/>
                <w:lang w:val="en-US" w:eastAsia="zh-CN"/>
              </w:rPr>
              <w:t>无人机自主故障检测服务、无人机记录仪数据分析服务等内容进行综合评标。本项最高得</w:t>
            </w:r>
            <w:r>
              <w:rPr>
                <w:rFonts w:hint="eastAsia" w:ascii="宋体" w:hAnsi="宋体" w:cs="宋体"/>
                <w:szCs w:val="21"/>
                <w:highlight w:val="none"/>
                <w:lang w:val="en-US" w:eastAsia="zh-CN"/>
              </w:rPr>
              <w:t>9</w:t>
            </w:r>
            <w:r>
              <w:rPr>
                <w:rFonts w:hint="eastAsia" w:ascii="宋体" w:hAnsi="宋体" w:eastAsia="宋体" w:cs="宋体"/>
                <w:szCs w:val="21"/>
                <w:highlight w:val="none"/>
                <w:lang w:val="en-US" w:eastAsia="zh-CN"/>
              </w:rPr>
              <w:t>分，未提供不得分。</w:t>
            </w:r>
          </w:p>
        </w:tc>
        <w:tc>
          <w:tcPr>
            <w:tcW w:w="441" w:type="pct"/>
            <w:noWrap w:val="0"/>
            <w:vAlign w:val="center"/>
          </w:tcPr>
          <w:p>
            <w:pPr>
              <w:spacing w:line="360" w:lineRule="exac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0-9分</w:t>
            </w:r>
          </w:p>
        </w:tc>
      </w:tr>
    </w:tbl>
    <w:p>
      <w:pPr>
        <w:rPr>
          <w:rFonts w:hint="default" w:eastAsia="宋体"/>
          <w:lang w:val="en-US" w:eastAsia="zh-CN"/>
        </w:rPr>
      </w:pPr>
    </w:p>
    <w:bookmarkEnd w:id="47"/>
    <w:bookmarkEnd w:id="48"/>
    <w:bookmarkEnd w:id="49"/>
    <w:bookmarkEnd w:id="50"/>
    <w:bookmarkEnd w:id="51"/>
    <w:bookmarkEnd w:id="52"/>
    <w:bookmarkEnd w:id="53"/>
    <w:p>
      <w:pPr>
        <w:pStyle w:val="4"/>
        <w:keepNext/>
        <w:keepLines/>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sz w:val="28"/>
          <w:szCs w:val="28"/>
          <w:highlight w:val="none"/>
          <w:lang w:eastAsia="zh-CN"/>
        </w:rPr>
      </w:pPr>
    </w:p>
    <w:p>
      <w:pPr>
        <w:rPr>
          <w:rFonts w:hint="eastAsia" w:ascii="宋体" w:hAnsi="宋体" w:eastAsia="宋体" w:cs="宋体"/>
          <w:sz w:val="28"/>
          <w:szCs w:val="28"/>
          <w:highlight w:val="none"/>
          <w:lang w:eastAsia="zh-CN"/>
        </w:rPr>
      </w:pPr>
    </w:p>
    <w:p>
      <w:pPr>
        <w:pStyle w:val="19"/>
        <w:rPr>
          <w:rFonts w:hint="eastAsia"/>
          <w:lang w:eastAsia="zh-CN"/>
        </w:rPr>
      </w:pPr>
    </w:p>
    <w:p>
      <w:pPr>
        <w:pStyle w:val="19"/>
        <w:rPr>
          <w:rFonts w:hint="eastAsia"/>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4"/>
        <w:keepNext/>
        <w:keepLines/>
        <w:pageBreakBefore w:val="0"/>
        <w:widowControl w:val="0"/>
        <w:kinsoku/>
        <w:wordWrap/>
        <w:overflowPunct/>
        <w:topLinePunct w:val="0"/>
        <w:autoSpaceDE/>
        <w:autoSpaceDN/>
        <w:bidi w:val="0"/>
        <w:adjustRightInd/>
        <w:snapToGrid/>
        <w:spacing w:line="400" w:lineRule="exact"/>
        <w:ind w:firstLine="3373" w:firstLineChars="1200"/>
        <w:jc w:val="both"/>
        <w:textAlignment w:val="auto"/>
        <w:outlineLvl w:val="9"/>
        <w:rPr>
          <w:rFonts w:hint="eastAsia" w:ascii="宋体" w:hAnsi="宋体" w:eastAsia="宋体" w:cs="宋体"/>
          <w:sz w:val="28"/>
          <w:szCs w:val="28"/>
          <w:highlight w:val="none"/>
          <w:lang w:eastAsia="zh-CN"/>
        </w:rPr>
      </w:pPr>
    </w:p>
    <w:p>
      <w:pPr>
        <w:pStyle w:val="11"/>
        <w:snapToGrid w:val="0"/>
        <w:spacing w:before="120" w:after="120" w:line="360" w:lineRule="auto"/>
        <w:rPr>
          <w:rFonts w:hint="eastAsia" w:hAnsi="宋体" w:cs="宋体"/>
          <w:szCs w:val="21"/>
        </w:rPr>
      </w:pPr>
    </w:p>
    <w:p>
      <w:pPr>
        <w:pStyle w:val="11"/>
        <w:snapToGrid w:val="0"/>
        <w:spacing w:before="120" w:after="120" w:line="360" w:lineRule="auto"/>
        <w:jc w:val="center"/>
        <w:rPr>
          <w:rFonts w:hint="eastAsia" w:ascii="宋体" w:hAnsi="宋体" w:eastAsia="宋体" w:cs="宋体"/>
          <w:b/>
          <w:bCs/>
          <w:kern w:val="2"/>
          <w:sz w:val="28"/>
          <w:szCs w:val="28"/>
          <w:highlight w:val="none"/>
          <w:lang w:val="en-US" w:eastAsia="zh-CN" w:bidi="ar-SA"/>
        </w:rPr>
      </w:pPr>
    </w:p>
    <w:p>
      <w:pPr>
        <w:pStyle w:val="11"/>
        <w:snapToGrid w:val="0"/>
        <w:spacing w:before="120" w:after="120" w:line="360" w:lineRule="auto"/>
        <w:jc w:val="center"/>
        <w:outlineLvl w:val="0"/>
        <w:rPr>
          <w:rFonts w:hint="eastAsia" w:ascii="宋体" w:hAnsi="宋体" w:eastAsia="宋体" w:cs="宋体"/>
          <w:b/>
          <w:bCs/>
          <w:kern w:val="2"/>
          <w:sz w:val="28"/>
          <w:szCs w:val="28"/>
          <w:highlight w:val="none"/>
          <w:lang w:val="en-US" w:eastAsia="zh-CN" w:bidi="ar-SA"/>
        </w:rPr>
      </w:pPr>
      <w:bookmarkStart w:id="93" w:name="_Toc29161"/>
      <w:r>
        <w:rPr>
          <w:rFonts w:hint="eastAsia" w:ascii="宋体" w:hAnsi="宋体" w:eastAsia="宋体" w:cs="宋体"/>
          <w:b/>
          <w:bCs/>
          <w:kern w:val="2"/>
          <w:sz w:val="28"/>
          <w:szCs w:val="28"/>
          <w:highlight w:val="none"/>
          <w:lang w:val="en-US" w:eastAsia="zh-CN" w:bidi="ar-SA"/>
        </w:rPr>
        <w:t>第五章  合同主要条款</w:t>
      </w:r>
      <w:bookmarkEnd w:id="93"/>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项目名称：</w:t>
      </w:r>
      <w:r>
        <w:rPr>
          <w:rFonts w:hint="eastAsia" w:hAnsi="宋体" w:cs="宋体"/>
          <w:szCs w:val="21"/>
          <w:lang w:val="en-US" w:eastAsia="zh-CN"/>
        </w:rPr>
        <w:t xml:space="preserve"> </w:t>
      </w:r>
      <w:r>
        <w:rPr>
          <w:rFonts w:hint="eastAsia" w:hAnsi="宋体" w:cs="宋体"/>
          <w:szCs w:val="21"/>
        </w:rPr>
        <w:t xml:space="preserve">                            </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u w:val="single"/>
        </w:rPr>
      </w:pPr>
      <w:r>
        <w:rPr>
          <w:rFonts w:hint="eastAsia" w:hAnsi="宋体" w:cs="宋体"/>
          <w:szCs w:val="21"/>
        </w:rPr>
        <w:t>甲方：（买方）</w:t>
      </w:r>
      <w:r>
        <w:rPr>
          <w:rFonts w:hint="eastAsia" w:hAnsi="宋体" w:cs="宋体"/>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u w:val="single"/>
        </w:rPr>
      </w:pPr>
      <w:r>
        <w:rPr>
          <w:rFonts w:hint="eastAsia" w:hAnsi="宋体" w:cs="宋体"/>
          <w:szCs w:val="21"/>
        </w:rPr>
        <w:t>乙方：（卖方）</w:t>
      </w:r>
      <w:r>
        <w:rPr>
          <w:rFonts w:hint="eastAsia" w:hAnsi="宋体" w:cs="宋体"/>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hint="eastAsia" w:hAnsi="宋体" w:cs="宋体"/>
          <w:szCs w:val="21"/>
        </w:rPr>
      </w:pPr>
      <w:r>
        <w:rPr>
          <w:rFonts w:hint="eastAsia" w:hAnsi="宋体" w:cs="宋体"/>
          <w:szCs w:val="21"/>
        </w:rPr>
        <w:t>甲、乙双方根据</w:t>
      </w:r>
      <w:r>
        <w:rPr>
          <w:rFonts w:hint="eastAsia" w:hAnsi="宋体" w:cs="宋体"/>
          <w:szCs w:val="21"/>
          <w:lang w:val="en-US" w:eastAsia="zh-CN"/>
        </w:rPr>
        <w:t xml:space="preserve"> </w:t>
      </w:r>
      <w:r>
        <w:rPr>
          <w:rFonts w:hint="eastAsia" w:hAnsi="宋体" w:cs="宋体"/>
          <w:szCs w:val="21"/>
          <w:u w:val="single"/>
          <w:lang w:val="en-US" w:eastAsia="zh-CN"/>
        </w:rPr>
        <w:t xml:space="preserve">                      </w:t>
      </w:r>
      <w:r>
        <w:rPr>
          <w:rFonts w:hint="eastAsia" w:hAnsi="宋体" w:cs="宋体"/>
          <w:szCs w:val="21"/>
        </w:rPr>
        <w:t>竞争性磋商成交的结果，签署本合同。</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一、货物内容</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 货物名称：</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 型号规格：见具体技术要求</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3. 技术参数：见具体技术要求</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4. 数量（单位）：</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二、合同金额</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 xml:space="preserve"> 本合同金额为（大写）：</w:t>
      </w:r>
      <w:r>
        <w:rPr>
          <w:rFonts w:hint="eastAsia" w:hAnsi="宋体" w:cs="宋体"/>
          <w:szCs w:val="21"/>
          <w:u w:val="single"/>
        </w:rPr>
        <w:t xml:space="preserve">              </w:t>
      </w:r>
      <w:r>
        <w:rPr>
          <w:rFonts w:hint="eastAsia" w:hAnsi="宋体" w:cs="宋体"/>
          <w:szCs w:val="21"/>
        </w:rPr>
        <w:t>元（￥</w:t>
      </w:r>
      <w:r>
        <w:rPr>
          <w:rFonts w:hint="eastAsia" w:hAnsi="宋体" w:cs="宋体"/>
          <w:szCs w:val="21"/>
          <w:u w:val="single"/>
        </w:rPr>
        <w:t xml:space="preserve">         </w:t>
      </w:r>
      <w:r>
        <w:rPr>
          <w:rFonts w:hint="eastAsia" w:hAnsi="宋体" w:cs="宋体"/>
          <w:szCs w:val="21"/>
        </w:rPr>
        <w:t>元）人民币。</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三、技术资料</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1.乙方应按磋商文件规定的时间向甲方提供使用货物的有关技术资料。</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四、知识产权</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乙方应保证所提供的货物或其任何一部分均不会侵犯任何第三方的知识产权。</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五、产权担保</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乙方保证所交付的货物的所有权完全属于乙方且无任何抵押、查封等产权瑕疵。</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六、履约保证金</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hint="eastAsia" w:hAnsi="宋体" w:cs="宋体"/>
          <w:szCs w:val="21"/>
          <w:lang w:eastAsia="zh-CN"/>
        </w:rPr>
      </w:pPr>
      <w:r>
        <w:rPr>
          <w:rFonts w:hint="eastAsia" w:hAnsi="宋体" w:cs="宋体"/>
          <w:szCs w:val="21"/>
          <w:lang w:eastAsia="zh-CN"/>
        </w:rPr>
        <w:t>本项目不需要提供履约保证金。</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七、转包或分包</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1.本合同范围的货物，应由乙方直接供应，不得转让他人供应；</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2.除非得到甲方的书面同意，乙方不得将本合同范围的货物全部或部分分包给他人供应；</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3.如有转让和未经甲方同意的分包行为，甲方有权解除合同，没收履约保证金并追究乙方的违约责任。</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八、质保期</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ascii="宋体" w:hAnsi="宋体" w:cs="宋体"/>
          <w:b/>
          <w:bCs/>
          <w:szCs w:val="21"/>
          <w:highlight w:val="none"/>
          <w:lang w:val="zh-CN"/>
        </w:rPr>
      </w:pPr>
      <w:r>
        <w:rPr>
          <w:rFonts w:hint="eastAsia" w:ascii="宋体" w:hAnsi="宋体" w:cs="宋体"/>
          <w:b/>
          <w:bCs/>
          <w:szCs w:val="21"/>
          <w:highlight w:val="none"/>
          <w:lang w:val="zh-CN"/>
        </w:rPr>
        <w:t>设备验收合格后，提供2年免费保修服务、技术支持及咨询服务。并负责终身修理和维护。</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九、交货时间及地点</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1.交货时间：合同签订后30日历天内完成设备采购、安装调试并经验收合格。</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2.地点： 甲方指定地点 。</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十、货款支付</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Ansi="宋体"/>
          <w:szCs w:val="21"/>
          <w:highlight w:val="none"/>
        </w:rPr>
      </w:pPr>
      <w:r>
        <w:rPr>
          <w:rFonts w:hAnsi="宋体"/>
          <w:szCs w:val="21"/>
          <w:highlight w:val="none"/>
        </w:rPr>
        <w:t>合同签订后，甲方支付</w:t>
      </w:r>
      <w:r>
        <w:rPr>
          <w:rFonts w:hint="eastAsia" w:hAnsi="宋体"/>
          <w:szCs w:val="21"/>
          <w:highlight w:val="none"/>
        </w:rPr>
        <w:t>合同价</w:t>
      </w:r>
      <w:r>
        <w:rPr>
          <w:rFonts w:hAnsi="宋体"/>
          <w:szCs w:val="21"/>
          <w:highlight w:val="none"/>
        </w:rPr>
        <w:t>的</w:t>
      </w:r>
      <w:r>
        <w:rPr>
          <w:rFonts w:hint="eastAsia" w:hAnsi="宋体"/>
          <w:szCs w:val="21"/>
          <w:highlight w:val="none"/>
        </w:rPr>
        <w:t>4</w:t>
      </w:r>
      <w:r>
        <w:rPr>
          <w:rFonts w:hAnsi="宋体"/>
          <w:szCs w:val="21"/>
          <w:highlight w:val="none"/>
        </w:rPr>
        <w:t>0%作为预付款</w:t>
      </w:r>
      <w:r>
        <w:rPr>
          <w:rFonts w:hint="eastAsia" w:hAnsi="宋体"/>
          <w:szCs w:val="21"/>
          <w:highlight w:val="none"/>
        </w:rPr>
        <w:t>；</w:t>
      </w:r>
      <w:r>
        <w:rPr>
          <w:rFonts w:hAnsi="宋体"/>
          <w:szCs w:val="21"/>
          <w:highlight w:val="none"/>
        </w:rPr>
        <w:t>项目完</w:t>
      </w:r>
      <w:r>
        <w:rPr>
          <w:rFonts w:hint="eastAsia" w:hAnsi="宋体"/>
          <w:szCs w:val="21"/>
          <w:highlight w:val="none"/>
        </w:rPr>
        <w:t>成</w:t>
      </w:r>
      <w:r>
        <w:rPr>
          <w:rFonts w:hAnsi="宋体"/>
          <w:szCs w:val="21"/>
          <w:highlight w:val="none"/>
        </w:rPr>
        <w:t>后支付至合同价的</w:t>
      </w:r>
      <w:r>
        <w:rPr>
          <w:rFonts w:hint="eastAsia" w:hAnsi="宋体"/>
          <w:szCs w:val="21"/>
          <w:highlight w:val="none"/>
          <w:lang w:val="en-US" w:eastAsia="zh-CN"/>
        </w:rPr>
        <w:t>70</w:t>
      </w:r>
      <w:r>
        <w:rPr>
          <w:rFonts w:hAnsi="宋体"/>
          <w:szCs w:val="21"/>
          <w:highlight w:val="none"/>
        </w:rPr>
        <w:t>%，</w:t>
      </w:r>
      <w:r>
        <w:rPr>
          <w:rFonts w:hint="eastAsia" w:hAnsi="宋体"/>
          <w:szCs w:val="21"/>
          <w:highlight w:val="none"/>
        </w:rPr>
        <w:t>验收</w:t>
      </w:r>
      <w:r>
        <w:rPr>
          <w:rFonts w:hAnsi="宋体"/>
          <w:szCs w:val="21"/>
          <w:highlight w:val="none"/>
        </w:rPr>
        <w:t>合格后</w:t>
      </w:r>
      <w:r>
        <w:rPr>
          <w:rFonts w:hint="eastAsia" w:hAnsi="宋体" w:cs="宋体"/>
          <w:szCs w:val="21"/>
          <w:highlight w:val="none"/>
        </w:rPr>
        <w:t>一次性</w:t>
      </w:r>
      <w:r>
        <w:rPr>
          <w:rFonts w:hAnsi="宋体"/>
          <w:szCs w:val="21"/>
          <w:highlight w:val="none"/>
        </w:rPr>
        <w:t>付清余款。</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十一、税费</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本合同执行中相关的一切税费均由乙方负担。</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十二、质量保证及售后服务</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1.乙方应按磋商文件规定的货物性能、技术要求、质量标准向甲方提供未经使用的全新产品。</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2.乙方提供的货物在质保期内因货物本身的质量问题发生故障，乙方应负责免费更换。对达不到技</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术要求者，根据实际情况，经双方协商，可按以下办法处理：</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⑴更换：由乙方承担所发生的全部费用。</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⑵贬值处理：由甲乙双方合议定价。</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⑶退货处理：乙方应退还甲方支付的合同款，同时应承担该货物的直接费用（运输、保险、检验、货款利息及银行手续费等）。</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lang w:eastAsia="zh-CN"/>
        </w:rPr>
        <w:t>3</w:t>
      </w:r>
      <w:r>
        <w:rPr>
          <w:rFonts w:hint="eastAsia" w:hAnsi="宋体" w:cs="宋体"/>
          <w:szCs w:val="21"/>
        </w:rPr>
        <w:t>.在质保期内成交供应商免费提供设备正常使用情况下的维修及保养服务，在非人为因素情况下，一切维护费用均由成交供应商负责。质保期内设备本身质量出现问题或由于设备本身质量原因造成的任何损伤或损坏，成交供应商须及时给予免费维修或免费更换，由此引起的人工费、材料费等其它一切费用由成交供应商负责。如成交供应商不按采购人要求更换有缺陷货物，在质保期内未响应或未按时修复，采购人可自行采购同等或者同类货物替代或另请单位维修，所需费用（包括拆卸、安装费用）由成交供应商承担。</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szCs w:val="21"/>
          <w:highlight w:val="none"/>
        </w:rPr>
      </w:pPr>
      <w:r>
        <w:rPr>
          <w:rFonts w:hint="eastAsia" w:ascii="宋体" w:hAnsi="宋体" w:eastAsia="宋体" w:cs="宋体"/>
          <w:szCs w:val="21"/>
          <w:lang w:eastAsia="zh-CN"/>
        </w:rPr>
        <w:t>4</w:t>
      </w:r>
      <w:r>
        <w:rPr>
          <w:rFonts w:hint="eastAsia" w:ascii="宋体" w:hAnsi="宋体" w:eastAsia="宋体" w:cs="宋体"/>
          <w:szCs w:val="21"/>
          <w:highlight w:val="none"/>
        </w:rPr>
        <w:t>.在产品寿命期内，保证其附件的备件供应，及时响应维修需求；在保修期内由成交供应商负责保修，排除故障，无偿提供非操作不当及非外部原因造成的部件、配件的更换。</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szCs w:val="21"/>
          <w:highlight w:val="none"/>
        </w:rPr>
      </w:pPr>
      <w:r>
        <w:rPr>
          <w:rFonts w:hint="eastAsia" w:ascii="宋体" w:hAnsi="宋体" w:eastAsia="宋体" w:cs="宋体"/>
          <w:szCs w:val="21"/>
          <w:lang w:eastAsia="zh-CN"/>
        </w:rPr>
        <w:t>5</w:t>
      </w:r>
      <w:r>
        <w:rPr>
          <w:rFonts w:hint="eastAsia" w:ascii="宋体" w:hAnsi="宋体" w:eastAsia="宋体" w:cs="宋体"/>
          <w:szCs w:val="21"/>
          <w:highlight w:val="none"/>
        </w:rPr>
        <w:t>.出现故障后 1 小时内服务响应、12小时内现场服务到位、24小时内解决问题。</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szCs w:val="21"/>
          <w:highlight w:val="none"/>
        </w:rPr>
      </w:pPr>
      <w:r>
        <w:rPr>
          <w:rFonts w:hint="eastAsia" w:ascii="宋体" w:hAnsi="宋体" w:eastAsia="宋体" w:cs="宋体"/>
          <w:szCs w:val="21"/>
          <w:lang w:eastAsia="zh-CN"/>
        </w:rPr>
        <w:t>6</w:t>
      </w:r>
      <w:r>
        <w:rPr>
          <w:rFonts w:hint="eastAsia" w:ascii="宋体" w:hAnsi="宋体" w:eastAsia="宋体" w:cs="宋体"/>
          <w:szCs w:val="21"/>
          <w:highlight w:val="none"/>
        </w:rPr>
        <w:t>.成交供应商必须提供免费的技术培训辅导以及相关设备的安装、维护、日常操作等业务培训，并提供硬件故障判断指南、相关的培训文档和使用手册等资料，确保操作人员能够熟练掌握设备使用方法。</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cs="宋体"/>
          <w:szCs w:val="21"/>
          <w:highlight w:val="none"/>
        </w:rPr>
        <w:t>.磋商时有其它服务承诺的，一并履行。</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十三、调试和检测</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甲方对乙方提交的货物依据磋商文件上的技术规格要求和国家有关质量标准进行现场初步检测，外观、说明书符合磋商文件技术要求的，给予签收，初步检测不合格的不予签收。货到后，甲方需在五个工作日内检测。</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2.乙方交货前应对产品作出全面检查和对检测文件进行整理，并列出清单，作为甲方收货检测和使用的技术条件依据，检验的结果应随货物交甲方。</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3.甲方对乙方提供的货物在使用前进行调试时，乙方需负责安装并培训甲方的使用操作人员，并协助甲方一起调试，直到符合技术要求，甲方才做最终验收。</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4.对技术复杂的货物，甲方应请国家认可的专业检测机构参与初步检测及最终检测，并由其出具质量检测报告。</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5.检测时乙方必须在现场，检测完毕后作出检测结果报告；检测费用由乙方负责。</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十四、货物包装、发运及运输</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1.乙方应在货物发运前对其进行满足运输距离、防潮、防震、防锈和防破损装卸等要求包装，以保证货物安全运达甲方指定地点。</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2.使用说明书、质量检验证明书、随配附件和工具以及清单一并附于货物内。</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3.乙方在货物发运手续办理完毕后24小时内或货到甲方48小时前通知甲方，以准备接货。</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4.货物在交付甲方前发生的风险均由乙方负责。</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5.货物在规定的交付期限内由乙方送达甲方指定的地点视为交付，乙方同时需通知甲方货物已送达。</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十五、违约责任</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1.甲方无正当理由拒收货物的，甲方向乙方偿付拒收货款总值的百分之五违约金。</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2.甲方无故逾期检测和办理货款支付手续的,甲方应按逾期付款总额每日万分之五向乙方支付违约金。</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5.磋商文件采购清单中提及需要提供检测报告等的，乙方需在签订合同前递交所有证明文件原件供甲方核验。若在规定时间内未能提供全部检测报告原件的，则视为不能诚信履约，甲方有权终止合同并没收乙方全部的履约保证金，乙方自行承担由此产生的一切后果。</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十六、不可抗力事件处理</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1.在合同有效期内，任何一方因不可抗力事件导致不能履行合同，则合同履行期可延长，其延长期与不可抗力影响期相同。</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2.不可抗力事件发生后，应立即通知对方，并寄送有关权威机构出具的证明。</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3.不可抗力事件延续120天以上，双方应通过友好协商，确定是否继续履行合同。</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十七、诉讼</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双方在执行合同中所发生的一切争议，应通过协商解决。如协商不成，可向甲方所在地法院起诉。</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十八、合同生效及其它</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1. 合同经双方法定代表人或授权代表签字并加盖单位公章后生效。</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2.合同执行中涉及采购资金和采购内容修改或补充的，须经财政部门审批，方可作为主合同不可分割的一部分。</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3.本合同未尽事宜，遵照《民法典》有关条文执行。</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textAlignment w:val="auto"/>
        <w:rPr>
          <w:rFonts w:hint="eastAsia" w:hAnsi="宋体" w:cs="宋体"/>
          <w:szCs w:val="21"/>
        </w:rPr>
      </w:pPr>
      <w:r>
        <w:rPr>
          <w:rFonts w:hint="eastAsia" w:hAnsi="宋体" w:cs="宋体"/>
          <w:szCs w:val="21"/>
        </w:rPr>
        <w:t>4.本合同正本一式五份，具有同等法律效力，甲乙双方各执两份；采购代理机构一份。</w:t>
      </w:r>
    </w:p>
    <w:p>
      <w:pPr>
        <w:pStyle w:val="11"/>
        <w:snapToGrid w:val="0"/>
        <w:spacing w:before="120" w:after="120" w:line="360" w:lineRule="auto"/>
        <w:rPr>
          <w:rFonts w:hint="eastAsia" w:hAnsi="宋体" w:cs="宋体"/>
          <w:szCs w:val="21"/>
        </w:rPr>
      </w:pPr>
    </w:p>
    <w:p>
      <w:pPr>
        <w:pStyle w:val="11"/>
        <w:snapToGrid w:val="0"/>
        <w:spacing w:before="120" w:after="120" w:line="360" w:lineRule="auto"/>
        <w:rPr>
          <w:rFonts w:hint="eastAsia" w:hAnsi="宋体" w:cs="宋体"/>
          <w:szCs w:val="21"/>
        </w:rPr>
      </w:pPr>
    </w:p>
    <w:p>
      <w:pPr>
        <w:pStyle w:val="11"/>
        <w:snapToGrid w:val="0"/>
        <w:spacing w:before="120" w:after="120" w:line="360" w:lineRule="auto"/>
        <w:rPr>
          <w:rFonts w:hint="eastAsia" w:hAnsi="宋体" w:cs="宋体"/>
          <w:szCs w:val="21"/>
        </w:rPr>
      </w:pPr>
      <w:r>
        <w:rPr>
          <w:rFonts w:hint="eastAsia" w:hAnsi="宋体" w:cs="宋体"/>
          <w:szCs w:val="21"/>
        </w:rPr>
        <w:t xml:space="preserve">  甲方：                                   乙方： </w:t>
      </w:r>
    </w:p>
    <w:p>
      <w:pPr>
        <w:pStyle w:val="11"/>
        <w:snapToGrid w:val="0"/>
        <w:spacing w:before="120" w:after="120" w:line="360" w:lineRule="auto"/>
        <w:rPr>
          <w:rFonts w:hint="eastAsia" w:hAnsi="宋体" w:cs="宋体"/>
          <w:szCs w:val="21"/>
        </w:rPr>
      </w:pPr>
      <w:r>
        <w:rPr>
          <w:rFonts w:hint="eastAsia" w:hAnsi="宋体" w:cs="宋体"/>
          <w:szCs w:val="21"/>
        </w:rPr>
        <w:t xml:space="preserve">  地址：                                   地址： </w:t>
      </w:r>
    </w:p>
    <w:p>
      <w:pPr>
        <w:pStyle w:val="11"/>
        <w:snapToGrid w:val="0"/>
        <w:spacing w:before="120" w:after="120" w:line="360" w:lineRule="auto"/>
        <w:rPr>
          <w:rFonts w:hint="eastAsia" w:hAnsi="宋体" w:cs="宋体"/>
          <w:szCs w:val="21"/>
        </w:rPr>
      </w:pPr>
      <w:r>
        <w:rPr>
          <w:rFonts w:hint="eastAsia" w:hAnsi="宋体" w:cs="宋体"/>
          <w:szCs w:val="21"/>
        </w:rPr>
        <w:t xml:space="preserve">  法定（授权）代表人：                     法定（授权）代表人：</w:t>
      </w:r>
    </w:p>
    <w:p>
      <w:pPr>
        <w:spacing w:line="500" w:lineRule="exact"/>
        <w:ind w:firstLine="420" w:firstLineChars="200"/>
        <w:jc w:val="left"/>
        <w:rPr>
          <w:rFonts w:hint="eastAsia" w:ascii="宋体" w:hAnsi="宋体" w:cs="仿宋_GB2312"/>
          <w:snapToGrid w:val="0"/>
          <w:color w:val="auto"/>
          <w:sz w:val="24"/>
          <w:highlight w:val="none"/>
        </w:rPr>
      </w:pPr>
      <w:r>
        <w:rPr>
          <w:rFonts w:hint="eastAsia" w:hAnsi="宋体" w:cs="宋体"/>
          <w:szCs w:val="21"/>
        </w:rPr>
        <w:t xml:space="preserve">  签字日期：      年  月  日        </w:t>
      </w:r>
    </w:p>
    <w:p>
      <w:pPr>
        <w:pStyle w:val="17"/>
        <w:widowControl w:val="0"/>
        <w:snapToGrid w:val="0"/>
        <w:spacing w:before="120" w:beforeAutospacing="0" w:after="120" w:afterAutospacing="0"/>
        <w:jc w:val="both"/>
        <w:rPr>
          <w:rFonts w:hint="eastAsia" w:ascii="宋体" w:hAnsi="宋体" w:eastAsia="宋体" w:cs="宋体"/>
          <w:b/>
          <w:color w:val="auto"/>
          <w:kern w:val="2"/>
          <w:sz w:val="28"/>
          <w:szCs w:val="28"/>
          <w:highlight w:val="none"/>
          <w:lang w:bidi="ar"/>
        </w:rPr>
      </w:pPr>
    </w:p>
    <w:p>
      <w:pPr>
        <w:pStyle w:val="17"/>
        <w:widowControl w:val="0"/>
        <w:snapToGrid w:val="0"/>
        <w:spacing w:before="120" w:beforeAutospacing="0" w:after="120" w:afterAutospacing="0"/>
        <w:jc w:val="both"/>
        <w:rPr>
          <w:rFonts w:hint="eastAsia" w:ascii="宋体" w:hAnsi="宋体" w:eastAsia="宋体" w:cs="宋体"/>
          <w:b/>
          <w:color w:val="auto"/>
          <w:kern w:val="2"/>
          <w:sz w:val="28"/>
          <w:szCs w:val="28"/>
          <w:highlight w:val="none"/>
          <w:lang w:bidi="ar"/>
        </w:rPr>
      </w:pPr>
    </w:p>
    <w:p>
      <w:pPr>
        <w:jc w:val="center"/>
        <w:outlineLvl w:val="9"/>
        <w:rPr>
          <w:rFonts w:hint="eastAsia" w:ascii="宋体" w:hAnsi="宋体" w:eastAsia="宋体" w:cs="宋体"/>
          <w:snapToGrid w:val="0"/>
          <w:kern w:val="0"/>
          <w:sz w:val="30"/>
          <w:szCs w:val="30"/>
        </w:rPr>
      </w:pPr>
    </w:p>
    <w:p>
      <w:pPr>
        <w:jc w:val="center"/>
        <w:outlineLvl w:val="9"/>
        <w:rPr>
          <w:rFonts w:hint="eastAsia" w:ascii="宋体" w:hAnsi="宋体" w:eastAsia="宋体" w:cs="宋体"/>
          <w:snapToGrid w:val="0"/>
          <w:kern w:val="0"/>
          <w:sz w:val="30"/>
          <w:szCs w:val="30"/>
        </w:rPr>
      </w:pPr>
    </w:p>
    <w:p>
      <w:pPr>
        <w:jc w:val="center"/>
        <w:outlineLvl w:val="9"/>
        <w:rPr>
          <w:rFonts w:hint="eastAsia" w:ascii="宋体" w:hAnsi="宋体" w:eastAsia="宋体" w:cs="宋体"/>
          <w:snapToGrid w:val="0"/>
          <w:kern w:val="0"/>
          <w:sz w:val="30"/>
          <w:szCs w:val="30"/>
        </w:rPr>
      </w:pPr>
    </w:p>
    <w:p>
      <w:pPr>
        <w:jc w:val="center"/>
        <w:outlineLvl w:val="9"/>
        <w:rPr>
          <w:rFonts w:hint="eastAsia" w:ascii="宋体" w:hAnsi="宋体" w:eastAsia="宋体" w:cs="宋体"/>
          <w:snapToGrid w:val="0"/>
          <w:kern w:val="0"/>
          <w:sz w:val="30"/>
          <w:szCs w:val="30"/>
        </w:rPr>
      </w:pPr>
    </w:p>
    <w:p>
      <w:pPr>
        <w:jc w:val="center"/>
        <w:outlineLvl w:val="0"/>
        <w:rPr>
          <w:rFonts w:hint="eastAsia" w:ascii="宋体" w:hAnsi="宋体" w:eastAsia="宋体" w:cs="宋体"/>
          <w:b/>
          <w:color w:val="auto"/>
          <w:sz w:val="30"/>
          <w:szCs w:val="30"/>
        </w:rPr>
      </w:pPr>
      <w:r>
        <w:rPr>
          <w:rFonts w:hint="eastAsia" w:ascii="宋体" w:hAnsi="宋体" w:eastAsia="宋体" w:cs="宋体"/>
          <w:snapToGrid w:val="0"/>
          <w:kern w:val="0"/>
          <w:sz w:val="30"/>
          <w:szCs w:val="30"/>
        </w:rPr>
        <w:t xml:space="preserve"> </w:t>
      </w:r>
      <w:bookmarkStart w:id="94" w:name="_Toc3895"/>
      <w:bookmarkStart w:id="95" w:name="_Toc152043788"/>
      <w:bookmarkStart w:id="96" w:name="_Toc14974"/>
      <w:r>
        <w:rPr>
          <w:rFonts w:hint="eastAsia" w:ascii="宋体" w:hAnsi="宋体" w:eastAsia="宋体" w:cs="宋体"/>
          <w:b/>
          <w:color w:val="auto"/>
          <w:sz w:val="30"/>
          <w:szCs w:val="30"/>
        </w:rPr>
        <w:t xml:space="preserve">第六章  </w:t>
      </w:r>
      <w:r>
        <w:rPr>
          <w:rFonts w:hint="eastAsia" w:ascii="宋体" w:hAnsi="宋体" w:eastAsia="宋体" w:cs="宋体"/>
          <w:b/>
          <w:color w:val="auto"/>
          <w:sz w:val="30"/>
          <w:szCs w:val="30"/>
          <w:lang w:eastAsia="zh-CN"/>
        </w:rPr>
        <w:t>磋商响应文件</w:t>
      </w:r>
      <w:r>
        <w:rPr>
          <w:rFonts w:hint="eastAsia" w:ascii="宋体" w:hAnsi="宋体" w:eastAsia="宋体" w:cs="宋体"/>
          <w:b/>
          <w:color w:val="auto"/>
          <w:sz w:val="30"/>
          <w:szCs w:val="30"/>
        </w:rPr>
        <w:t>格式</w:t>
      </w:r>
      <w:bookmarkEnd w:id="94"/>
      <w:bookmarkEnd w:id="95"/>
      <w:bookmarkEnd w:id="96"/>
    </w:p>
    <w:p>
      <w:pPr>
        <w:tabs>
          <w:tab w:val="left" w:pos="6674"/>
        </w:tabs>
        <w:jc w:val="center"/>
        <w:rPr>
          <w:rFonts w:hint="eastAsia" w:ascii="宋体" w:hAnsi="宋体" w:eastAsia="宋体" w:cs="宋体"/>
          <w:color w:val="auto"/>
          <w:sz w:val="22"/>
          <w:szCs w:val="22"/>
        </w:rPr>
      </w:pPr>
    </w:p>
    <w:p>
      <w:pPr>
        <w:tabs>
          <w:tab w:val="left" w:pos="6674"/>
        </w:tabs>
        <w:jc w:val="center"/>
        <w:rPr>
          <w:rFonts w:hint="eastAsia" w:ascii="宋体" w:hAnsi="宋体" w:eastAsia="宋体" w:cs="宋体"/>
          <w:color w:val="auto"/>
          <w:sz w:val="22"/>
          <w:szCs w:val="22"/>
        </w:rPr>
      </w:pPr>
    </w:p>
    <w:p>
      <w:pPr>
        <w:tabs>
          <w:tab w:val="left" w:pos="6674"/>
        </w:tabs>
        <w:jc w:val="center"/>
        <w:rPr>
          <w:rFonts w:hint="eastAsia" w:ascii="宋体" w:hAnsi="宋体" w:eastAsia="宋体" w:cs="宋体"/>
          <w:b/>
          <w:color w:val="auto"/>
          <w:sz w:val="30"/>
          <w:szCs w:val="30"/>
        </w:rPr>
      </w:pPr>
      <w:r>
        <w:rPr>
          <w:rFonts w:hint="eastAsia" w:ascii="宋体" w:hAnsi="宋体" w:eastAsia="宋体" w:cs="宋体"/>
          <w:color w:val="auto"/>
          <w:sz w:val="22"/>
          <w:szCs w:val="22"/>
          <w:lang w:eastAsia="zh-CN"/>
        </w:rPr>
        <w:t>供应商</w:t>
      </w:r>
      <w:r>
        <w:rPr>
          <w:rFonts w:hint="eastAsia" w:ascii="宋体" w:hAnsi="宋体" w:eastAsia="宋体" w:cs="宋体"/>
          <w:color w:val="auto"/>
          <w:sz w:val="22"/>
          <w:szCs w:val="22"/>
        </w:rPr>
        <w:t>应根据</w:t>
      </w:r>
      <w:r>
        <w:rPr>
          <w:rFonts w:hint="eastAsia" w:ascii="宋体" w:hAnsi="宋体" w:eastAsia="宋体" w:cs="宋体"/>
          <w:color w:val="auto"/>
          <w:sz w:val="22"/>
          <w:szCs w:val="22"/>
          <w:lang w:eastAsia="zh-CN"/>
        </w:rPr>
        <w:t>磋商文件</w:t>
      </w:r>
      <w:r>
        <w:rPr>
          <w:rFonts w:hint="eastAsia" w:ascii="宋体" w:hAnsi="宋体" w:eastAsia="宋体" w:cs="宋体"/>
          <w:color w:val="auto"/>
          <w:sz w:val="22"/>
          <w:szCs w:val="22"/>
        </w:rPr>
        <w:t>中所提供的格式编制</w:t>
      </w:r>
      <w:r>
        <w:rPr>
          <w:rFonts w:hint="eastAsia" w:ascii="宋体" w:hAnsi="宋体" w:eastAsia="宋体" w:cs="宋体"/>
          <w:color w:val="auto"/>
          <w:sz w:val="22"/>
          <w:szCs w:val="22"/>
          <w:lang w:eastAsia="zh-CN"/>
        </w:rPr>
        <w:t>磋商响应文件</w:t>
      </w:r>
      <w:r>
        <w:rPr>
          <w:rFonts w:hint="eastAsia" w:ascii="宋体" w:hAnsi="宋体" w:eastAsia="宋体" w:cs="宋体"/>
          <w:color w:val="auto"/>
          <w:sz w:val="22"/>
          <w:szCs w:val="22"/>
        </w:rPr>
        <w:t>，对于未提供格式的可自行确定。</w:t>
      </w:r>
    </w:p>
    <w:p>
      <w:pPr>
        <w:spacing w:line="360" w:lineRule="auto"/>
        <w:outlineLvl w:val="9"/>
        <w:rPr>
          <w:rFonts w:hint="eastAsia" w:ascii="宋体" w:hAnsi="宋体" w:eastAsia="宋体" w:cs="宋体"/>
          <w:color w:val="auto"/>
          <w:szCs w:val="28"/>
        </w:rPr>
      </w:pPr>
      <w:bookmarkStart w:id="97" w:name="_Toc428279531"/>
      <w:bookmarkStart w:id="98" w:name="_Toc408862417"/>
      <w:bookmarkStart w:id="99" w:name="_Toc305965022"/>
    </w:p>
    <w:bookmarkEnd w:id="97"/>
    <w:bookmarkEnd w:id="98"/>
    <w:bookmarkEnd w:id="99"/>
    <w:p>
      <w:pPr>
        <w:snapToGrid w:val="0"/>
        <w:spacing w:line="360" w:lineRule="auto"/>
        <w:rPr>
          <w:rFonts w:ascii="宋体" w:hAnsi="宋体"/>
          <w:b/>
          <w:bCs/>
          <w:sz w:val="24"/>
        </w:rPr>
      </w:pPr>
      <w:bookmarkStart w:id="100" w:name="_Toc4220_WPSOffice_Level1"/>
      <w:bookmarkStart w:id="101" w:name="_Toc3694_WPSOffice_Level1"/>
      <w:bookmarkStart w:id="102" w:name="_Toc7761_WPSOffice_Level1"/>
      <w:r>
        <w:rPr>
          <w:rFonts w:hint="eastAsia" w:ascii="宋体" w:hAnsi="宋体" w:eastAsia="宋体"/>
          <w:sz w:val="24"/>
          <w:lang w:val="en-US" w:eastAsia="zh-CN"/>
        </w:rPr>
        <w:t>1</w:t>
      </w:r>
      <w:r>
        <w:rPr>
          <w:rFonts w:hint="eastAsia" w:ascii="宋体" w:hAnsi="宋体"/>
          <w:sz w:val="24"/>
        </w:rPr>
        <w:t>.</w:t>
      </w:r>
      <w:r>
        <w:rPr>
          <w:rFonts w:hint="eastAsia" w:ascii="宋体" w:hAnsi="宋体"/>
          <w:b/>
          <w:bCs/>
          <w:sz w:val="24"/>
        </w:rPr>
        <w:t>资格文件目录</w:t>
      </w:r>
    </w:p>
    <w:p>
      <w:pPr>
        <w:keepNext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（1）磋商声明书————————（页码）</w:t>
      </w:r>
    </w:p>
    <w:p>
      <w:pPr>
        <w:keepNext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lang w:val="en-US" w:eastAsia="zh-CN"/>
        </w:rPr>
        <w:t>法定代表人身份证明书</w:t>
      </w:r>
      <w:r>
        <w:rPr>
          <w:rFonts w:hint="eastAsia" w:ascii="宋体" w:hAnsi="宋体" w:eastAsia="宋体" w:cs="宋体"/>
          <w:b/>
          <w:bCs/>
          <w:color w:val="auto"/>
          <w:sz w:val="21"/>
          <w:szCs w:val="21"/>
          <w:highlight w:val="none"/>
          <w:lang w:val="zh-CN"/>
        </w:rPr>
        <w:t>————————</w:t>
      </w:r>
    </w:p>
    <w:p>
      <w:pPr>
        <w:keepNext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lang w:val="en-US" w:eastAsia="zh-CN"/>
        </w:rPr>
        <w:t>法定代表人授权委托书</w:t>
      </w:r>
      <w:r>
        <w:rPr>
          <w:rFonts w:hint="eastAsia" w:ascii="宋体" w:hAnsi="宋体" w:eastAsia="宋体" w:cs="宋体"/>
          <w:b/>
          <w:bCs/>
          <w:color w:val="auto"/>
          <w:sz w:val="21"/>
          <w:szCs w:val="21"/>
          <w:highlight w:val="none"/>
          <w:lang w:val="zh-CN"/>
        </w:rPr>
        <w:t>————————</w:t>
      </w:r>
    </w:p>
    <w:p>
      <w:pPr>
        <w:pStyle w:val="3"/>
        <w:keepNext w:val="0"/>
        <w:pageBreakBefore w:val="0"/>
        <w:widowControl w:val="0"/>
        <w:numPr>
          <w:ilvl w:val="0"/>
          <w:numId w:val="0"/>
        </w:numPr>
        <w:kinsoku/>
        <w:wordWrap/>
        <w:overflowPunct/>
        <w:topLinePunct w:val="0"/>
        <w:bidi w:val="0"/>
        <w:adjustRightInd/>
        <w:snapToGrid/>
        <w:spacing w:before="0" w:after="0" w:afterLines="0" w:line="360" w:lineRule="auto"/>
        <w:jc w:val="both"/>
        <w:textAlignment w:val="auto"/>
        <w:outlineLvl w:val="9"/>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lang w:val="en-US"/>
        </w:rPr>
        <w:t>资格审查</w:t>
      </w:r>
      <w:r>
        <w:rPr>
          <w:rFonts w:hint="eastAsia" w:ascii="宋体" w:hAnsi="宋体" w:eastAsia="宋体" w:cs="宋体"/>
          <w:b/>
          <w:bCs/>
          <w:color w:val="auto"/>
          <w:sz w:val="21"/>
          <w:szCs w:val="21"/>
          <w:highlight w:val="none"/>
          <w:lang w:val="en-US" w:eastAsia="zh-CN"/>
        </w:rPr>
        <w:t>资料</w:t>
      </w:r>
      <w:r>
        <w:rPr>
          <w:rFonts w:hint="eastAsia" w:ascii="宋体" w:hAnsi="宋体" w:eastAsia="宋体" w:cs="宋体"/>
          <w:b/>
          <w:bCs/>
          <w:color w:val="auto"/>
          <w:sz w:val="21"/>
          <w:szCs w:val="21"/>
          <w:highlight w:val="none"/>
          <w:lang w:val="zh-CN"/>
        </w:rPr>
        <w:t>————————</w:t>
      </w:r>
    </w:p>
    <w:p>
      <w:pPr>
        <w:autoSpaceDE w:val="0"/>
        <w:autoSpaceDN w:val="0"/>
        <w:spacing w:line="360" w:lineRule="auto"/>
        <w:jc w:val="center"/>
        <w:rPr>
          <w:rFonts w:hint="eastAsia" w:ascii="宋体" w:hAnsi="宋体" w:eastAsia="宋体" w:cs="宋体"/>
          <w:b/>
          <w:bCs/>
          <w:color w:val="auto"/>
          <w:sz w:val="21"/>
          <w:szCs w:val="21"/>
          <w:highlight w:val="none"/>
          <w:lang w:val="en-US" w:eastAsia="zh-CN"/>
        </w:rPr>
      </w:pPr>
    </w:p>
    <w:p>
      <w:pPr>
        <w:autoSpaceDE w:val="0"/>
        <w:autoSpaceDN w:val="0"/>
        <w:spacing w:line="360" w:lineRule="auto"/>
        <w:jc w:val="center"/>
        <w:rPr>
          <w:rFonts w:hint="eastAsia" w:ascii="宋体" w:hAnsi="宋体" w:eastAsia="宋体" w:cs="宋体"/>
          <w:b/>
          <w:bCs/>
          <w:color w:val="auto"/>
          <w:sz w:val="21"/>
          <w:szCs w:val="21"/>
          <w:highlight w:val="none"/>
          <w:lang w:val="en-US" w:eastAsia="zh-CN"/>
        </w:rPr>
      </w:pPr>
    </w:p>
    <w:p>
      <w:pPr>
        <w:autoSpaceDE w:val="0"/>
        <w:autoSpaceDN w:val="0"/>
        <w:spacing w:line="360" w:lineRule="auto"/>
        <w:jc w:val="center"/>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zh-CN"/>
        </w:rPr>
        <w:t>磋商声明书</w:t>
      </w:r>
    </w:p>
    <w:p>
      <w:pPr>
        <w:adjustRightInd w:val="0"/>
        <w:snapToGrid w:val="0"/>
        <w:spacing w:beforeLines="0" w:afterLines="0"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（采购单位名称）：</w:t>
      </w:r>
    </w:p>
    <w:p>
      <w:pPr>
        <w:adjustRightInd w:val="0"/>
        <w:snapToGrid w:val="0"/>
        <w:spacing w:beforeLines="0" w:afterLines="0" w:line="340" w:lineRule="exact"/>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名称）系中华人民共和国合法企业，经营地址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snapToGrid w:val="0"/>
        <w:spacing w:beforeLines="0" w:afterLines="0" w:line="340" w:lineRule="exact"/>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名称）的法定代表人，我方愿意参加贵方组织的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1"/>
          <w:sz w:val="21"/>
          <w:szCs w:val="21"/>
          <w:highlight w:val="none"/>
          <w:u w:val="single"/>
        </w:rPr>
        <w:t xml:space="preserve">     </w:t>
      </w:r>
      <w:r>
        <w:rPr>
          <w:rFonts w:hint="eastAsia" w:ascii="宋体" w:hAnsi="宋体" w:eastAsia="宋体" w:cs="宋体"/>
          <w:color w:val="auto"/>
          <w:spacing w:val="11"/>
          <w:sz w:val="21"/>
          <w:szCs w:val="21"/>
          <w:highlight w:val="none"/>
        </w:rPr>
        <w:t>项目</w:t>
      </w:r>
      <w:r>
        <w:rPr>
          <w:rFonts w:hint="eastAsia" w:ascii="宋体" w:hAnsi="宋体" w:eastAsia="宋体" w:cs="宋体"/>
          <w:color w:val="auto"/>
          <w:szCs w:val="21"/>
          <w:highlight w:val="none"/>
        </w:rPr>
        <w:t>的磋商，为便于贵方公正、择优地确定成交供应商及其服务，我方就本次磋商有关事项郑重声明如下：</w:t>
      </w:r>
    </w:p>
    <w:p>
      <w:pPr>
        <w:adjustRightInd w:val="0"/>
        <w:snapToGrid w:val="0"/>
        <w:spacing w:beforeLines="0" w:afterLines="0" w:line="3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1.我方向贵方提交的所有</w:t>
      </w:r>
      <w:r>
        <w:rPr>
          <w:rFonts w:hint="eastAsia" w:ascii="宋体" w:hAnsi="宋体" w:eastAsia="宋体" w:cs="宋体"/>
          <w:color w:val="auto"/>
          <w:szCs w:val="21"/>
          <w:highlight w:val="none"/>
          <w:lang w:eastAsia="zh-CN"/>
        </w:rPr>
        <w:t>磋商响应文件</w:t>
      </w:r>
      <w:r>
        <w:rPr>
          <w:rFonts w:hint="eastAsia" w:ascii="宋体" w:hAnsi="宋体" w:eastAsia="宋体" w:cs="宋体"/>
          <w:color w:val="auto"/>
          <w:szCs w:val="21"/>
          <w:highlight w:val="none"/>
        </w:rPr>
        <w:t>、资料都是准确的和真实的。</w:t>
      </w:r>
    </w:p>
    <w:p>
      <w:pPr>
        <w:adjustRightInd w:val="0"/>
        <w:snapToGrid w:val="0"/>
        <w:spacing w:beforeLines="0" w:afterLines="0" w:line="3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2.我方不是采购人的附属机构；在获知本项目采购信息后，与采购人聘请的为此项目提供咨询服务的公司及其附属机构没有任何联系。</w:t>
      </w:r>
    </w:p>
    <w:p>
      <w:pPr>
        <w:adjustRightInd w:val="0"/>
        <w:snapToGrid w:val="0"/>
        <w:spacing w:beforeLines="0" w:afterLines="0" w:line="3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3.我方参与本项目前3年内的经营活动中没有重大违法记录。</w:t>
      </w:r>
    </w:p>
    <w:p>
      <w:pPr>
        <w:adjustRightInd w:val="0"/>
        <w:snapToGrid w:val="0"/>
        <w:spacing w:beforeLines="0" w:afterLines="0" w:line="3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4.我方通过信用中国网站（www.creditchina.gov.cn）、中国政府采购网（www.ccgp.gov.cn）查询，未被列入失信被执行人、重大税收违法案件当事人名单、政府采购严重违法失信行为记录名单。</w:t>
      </w:r>
    </w:p>
    <w:p>
      <w:pPr>
        <w:adjustRightInd w:val="0"/>
        <w:snapToGrid w:val="0"/>
        <w:spacing w:beforeLines="0" w:afterLines="0" w:line="3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5.以上事项如有虚假或隐瞒，我方愿意承担一切后果，并不再寻求任何旨在减轻或免除法律责任的辩解。</w:t>
      </w:r>
    </w:p>
    <w:p>
      <w:pPr>
        <w:adjustRightInd w:val="0"/>
        <w:snapToGrid w:val="0"/>
        <w:spacing w:beforeLines="0" w:afterLines="0" w:line="340" w:lineRule="exact"/>
        <w:ind w:firstLine="279" w:firstLineChars="133"/>
        <w:rPr>
          <w:rFonts w:hint="eastAsia" w:ascii="宋体" w:hAnsi="宋体" w:eastAsia="宋体" w:cs="宋体"/>
          <w:color w:val="auto"/>
          <w:szCs w:val="21"/>
          <w:highlight w:val="none"/>
        </w:rPr>
      </w:pPr>
    </w:p>
    <w:p>
      <w:pPr>
        <w:adjustRightInd w:val="0"/>
        <w:snapToGrid w:val="0"/>
        <w:spacing w:beforeLines="0" w:afterLines="0" w:line="340" w:lineRule="exact"/>
        <w:ind w:firstLine="279" w:firstLineChars="133"/>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法定代表人签字：</w:t>
      </w:r>
      <w:r>
        <w:rPr>
          <w:rFonts w:hint="eastAsia" w:ascii="宋体" w:hAnsi="宋体" w:eastAsia="宋体" w:cs="宋体"/>
          <w:color w:val="auto"/>
          <w:szCs w:val="21"/>
          <w:highlight w:val="none"/>
          <w:u w:val="single"/>
        </w:rPr>
        <w:t xml:space="preserve">             </w:t>
      </w:r>
    </w:p>
    <w:p>
      <w:pPr>
        <w:adjustRightInd w:val="0"/>
        <w:snapToGrid w:val="0"/>
        <w:spacing w:beforeLines="0" w:afterLines="0" w:line="34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公章：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beforeLines="0" w:afterLines="0" w:line="340" w:lineRule="exact"/>
        <w:ind w:firstLine="5460" w:firstLineChars="26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年    月    日</w:t>
      </w:r>
    </w:p>
    <w:p>
      <w:pPr>
        <w:spacing w:beforeLines="0" w:afterLines="0" w:line="340" w:lineRule="exact"/>
        <w:rPr>
          <w:rFonts w:hint="eastAsia" w:ascii="宋体" w:hAnsi="宋体" w:eastAsia="宋体" w:cs="宋体"/>
          <w:color w:val="auto"/>
          <w:highlight w:val="none"/>
          <w:lang w:val="en-US" w:eastAsia="zh-CN"/>
        </w:rPr>
      </w:pPr>
    </w:p>
    <w:p>
      <w:pPr>
        <w:spacing w:beforeLines="0" w:afterLines="0" w:line="340" w:lineRule="exact"/>
        <w:rPr>
          <w:rFonts w:hint="eastAsia" w:ascii="宋体" w:hAnsi="宋体" w:eastAsia="宋体" w:cs="宋体"/>
          <w:color w:val="auto"/>
          <w:highlight w:val="none"/>
          <w:lang w:val="en-US" w:eastAsia="zh-CN"/>
        </w:rPr>
      </w:pPr>
    </w:p>
    <w:p>
      <w:pPr>
        <w:spacing w:beforeLines="0" w:afterLines="0" w:line="340" w:lineRule="exact"/>
        <w:rPr>
          <w:rFonts w:hint="eastAsia" w:ascii="宋体" w:hAnsi="宋体" w:eastAsia="宋体" w:cs="宋体"/>
          <w:color w:val="auto"/>
          <w:spacing w:val="0"/>
          <w:sz w:val="21"/>
          <w:szCs w:val="21"/>
          <w:highlight w:val="none"/>
        </w:rPr>
      </w:pPr>
    </w:p>
    <w:p>
      <w:pPr>
        <w:spacing w:beforeLines="0" w:afterLines="0" w:line="340" w:lineRule="exact"/>
        <w:rPr>
          <w:rFonts w:hint="eastAsia" w:ascii="宋体" w:hAnsi="宋体" w:eastAsia="宋体" w:cs="宋体"/>
          <w:color w:val="auto"/>
          <w:spacing w:val="0"/>
          <w:sz w:val="21"/>
          <w:szCs w:val="21"/>
          <w:highlight w:val="none"/>
        </w:rPr>
      </w:pPr>
    </w:p>
    <w:p>
      <w:pPr>
        <w:pStyle w:val="19"/>
        <w:rPr>
          <w:rFonts w:hint="eastAsia" w:ascii="宋体" w:hAnsi="宋体" w:eastAsia="宋体" w:cs="宋体"/>
          <w:color w:val="auto"/>
          <w:spacing w:val="0"/>
          <w:sz w:val="21"/>
          <w:szCs w:val="21"/>
          <w:highlight w:val="none"/>
        </w:rPr>
      </w:pPr>
    </w:p>
    <w:p>
      <w:pPr>
        <w:pStyle w:val="19"/>
        <w:rPr>
          <w:rFonts w:hint="eastAsia" w:ascii="宋体" w:hAnsi="宋体" w:eastAsia="宋体" w:cs="宋体"/>
          <w:color w:val="auto"/>
          <w:spacing w:val="0"/>
          <w:sz w:val="21"/>
          <w:szCs w:val="21"/>
          <w:highlight w:val="none"/>
        </w:rPr>
      </w:pPr>
    </w:p>
    <w:p>
      <w:pPr>
        <w:pStyle w:val="19"/>
        <w:rPr>
          <w:rFonts w:hint="eastAsia" w:ascii="宋体" w:hAnsi="宋体" w:eastAsia="宋体" w:cs="宋体"/>
          <w:color w:val="auto"/>
          <w:spacing w:val="0"/>
          <w:sz w:val="21"/>
          <w:szCs w:val="21"/>
          <w:highlight w:val="none"/>
        </w:rPr>
      </w:pPr>
    </w:p>
    <w:p>
      <w:pPr>
        <w:pStyle w:val="4"/>
        <w:spacing w:before="0" w:after="0" w:line="340" w:lineRule="exact"/>
        <w:jc w:val="center"/>
        <w:rPr>
          <w:rFonts w:hint="eastAsia" w:ascii="宋体" w:hAnsi="宋体" w:eastAsia="宋体" w:cs="宋体"/>
          <w:b/>
          <w:bCs w:val="0"/>
          <w:color w:val="auto"/>
          <w:spacing w:val="11"/>
          <w:kern w:val="2"/>
          <w:sz w:val="21"/>
          <w:szCs w:val="21"/>
          <w:highlight w:val="none"/>
          <w:lang w:val="en-US" w:eastAsia="zh-CN" w:bidi="ar-SA"/>
        </w:rPr>
      </w:pPr>
      <w:r>
        <w:rPr>
          <w:rFonts w:hint="eastAsia" w:ascii="宋体" w:hAnsi="宋体" w:eastAsia="宋体" w:cs="宋体"/>
          <w:b/>
          <w:bCs w:val="0"/>
          <w:color w:val="auto"/>
          <w:spacing w:val="11"/>
          <w:kern w:val="2"/>
          <w:sz w:val="21"/>
          <w:szCs w:val="21"/>
          <w:highlight w:val="none"/>
          <w:lang w:val="en-US" w:eastAsia="zh-CN" w:bidi="ar-SA"/>
        </w:rPr>
        <w:t>2.法定代表人身份证明书</w:t>
      </w:r>
    </w:p>
    <w:p>
      <w:pPr>
        <w:spacing w:beforeLines="0" w:afterLines="0" w:line="340" w:lineRule="exact"/>
        <w:jc w:val="center"/>
        <w:rPr>
          <w:rFonts w:hint="eastAsia" w:ascii="宋体" w:hAnsi="宋体" w:eastAsia="宋体" w:cs="宋体"/>
          <w:color w:val="auto"/>
          <w:spacing w:val="0"/>
          <w:sz w:val="21"/>
          <w:szCs w:val="21"/>
          <w:highlight w:val="none"/>
        </w:rPr>
      </w:pPr>
    </w:p>
    <w:p>
      <w:pPr>
        <w:spacing w:beforeLines="0" w:afterLines="0" w:line="340" w:lineRule="exact"/>
        <w:rPr>
          <w:rFonts w:hint="eastAsia" w:ascii="宋体" w:hAnsi="宋体" w:eastAsia="宋体" w:cs="宋体"/>
          <w:color w:val="auto"/>
          <w:spacing w:val="0"/>
          <w:sz w:val="21"/>
          <w:szCs w:val="21"/>
          <w:highlight w:val="none"/>
        </w:rPr>
      </w:pP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供 应 商：</w:t>
      </w:r>
      <w:r>
        <w:rPr>
          <w:rFonts w:hint="eastAsia" w:ascii="宋体" w:hAnsi="宋体" w:eastAsia="宋体" w:cs="宋体"/>
          <w:color w:val="auto"/>
          <w:spacing w:val="0"/>
          <w:sz w:val="21"/>
          <w:szCs w:val="21"/>
          <w:highlight w:val="none"/>
          <w:u w:val="single"/>
        </w:rPr>
        <w:t xml:space="preserve">                                                        </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单位性质：</w:t>
      </w:r>
      <w:r>
        <w:rPr>
          <w:rFonts w:hint="eastAsia" w:ascii="宋体" w:hAnsi="宋体" w:eastAsia="宋体" w:cs="宋体"/>
          <w:color w:val="auto"/>
          <w:spacing w:val="0"/>
          <w:sz w:val="21"/>
          <w:szCs w:val="21"/>
          <w:highlight w:val="none"/>
          <w:u w:val="single"/>
        </w:rPr>
        <w:t xml:space="preserve">                                                        </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地    址：</w:t>
      </w:r>
      <w:r>
        <w:rPr>
          <w:rFonts w:hint="eastAsia" w:ascii="宋体" w:hAnsi="宋体" w:eastAsia="宋体" w:cs="宋体"/>
          <w:color w:val="auto"/>
          <w:spacing w:val="0"/>
          <w:sz w:val="21"/>
          <w:szCs w:val="21"/>
          <w:highlight w:val="none"/>
          <w:u w:val="single"/>
        </w:rPr>
        <w:t xml:space="preserve">                                                        </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成立时间：</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日</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经营期限：</w:t>
      </w:r>
      <w:r>
        <w:rPr>
          <w:rFonts w:hint="eastAsia" w:ascii="宋体" w:hAnsi="宋体" w:eastAsia="宋体" w:cs="宋体"/>
          <w:color w:val="auto"/>
          <w:spacing w:val="0"/>
          <w:sz w:val="21"/>
          <w:szCs w:val="21"/>
          <w:highlight w:val="none"/>
          <w:u w:val="single"/>
        </w:rPr>
        <w:t xml:space="preserve">                                                        </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    名：</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性        别：</w:t>
      </w:r>
      <w:r>
        <w:rPr>
          <w:rFonts w:hint="eastAsia" w:ascii="宋体" w:hAnsi="宋体" w:eastAsia="宋体" w:cs="宋体"/>
          <w:color w:val="auto"/>
          <w:spacing w:val="0"/>
          <w:sz w:val="21"/>
          <w:szCs w:val="21"/>
          <w:highlight w:val="none"/>
          <w:u w:val="single"/>
        </w:rPr>
        <w:t xml:space="preserve">                </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年    龄：</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职        务：</w:t>
      </w:r>
      <w:r>
        <w:rPr>
          <w:rFonts w:hint="eastAsia" w:ascii="宋体" w:hAnsi="宋体" w:eastAsia="宋体" w:cs="宋体"/>
          <w:color w:val="auto"/>
          <w:spacing w:val="0"/>
          <w:sz w:val="21"/>
          <w:szCs w:val="21"/>
          <w:highlight w:val="none"/>
          <w:u w:val="single"/>
        </w:rPr>
        <w:t xml:space="preserve">                </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系</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lang w:eastAsia="zh-CN"/>
        </w:rPr>
        <w:t>供应商</w:t>
      </w:r>
      <w:r>
        <w:rPr>
          <w:rFonts w:hint="eastAsia" w:ascii="宋体" w:hAnsi="宋体" w:eastAsia="宋体" w:cs="宋体"/>
          <w:color w:val="auto"/>
          <w:spacing w:val="0"/>
          <w:sz w:val="21"/>
          <w:szCs w:val="21"/>
          <w:highlight w:val="none"/>
        </w:rPr>
        <w:t>名称）的法定代表人。</w:t>
      </w:r>
    </w:p>
    <w:p>
      <w:pPr>
        <w:spacing w:beforeLines="0" w:afterLines="0" w:line="3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特此证明。</w:t>
      </w:r>
    </w:p>
    <w:p>
      <w:pPr>
        <w:spacing w:beforeLines="0" w:afterLines="0" w:line="340" w:lineRule="exact"/>
        <w:jc w:val="righ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eastAsia="zh-CN"/>
        </w:rPr>
        <w:t>供应商</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（盖单位章）</w:t>
      </w:r>
    </w:p>
    <w:p>
      <w:pPr>
        <w:spacing w:beforeLines="0" w:afterLines="0" w:line="340" w:lineRule="exact"/>
        <w:jc w:val="right"/>
        <w:rPr>
          <w:rFonts w:hint="eastAsia" w:ascii="宋体" w:hAnsi="宋体" w:eastAsia="宋体" w:cs="宋体"/>
          <w:color w:val="auto"/>
          <w:spacing w:val="11"/>
          <w:sz w:val="21"/>
          <w:szCs w:val="21"/>
          <w:highlight w:val="none"/>
        </w:rPr>
      </w:pP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日</w:t>
      </w:r>
      <w:r>
        <w:rPr>
          <w:rFonts w:hint="eastAsia" w:ascii="宋体" w:hAnsi="宋体" w:eastAsia="宋体" w:cs="宋体"/>
          <w:color w:val="auto"/>
          <w:spacing w:val="11"/>
          <w:sz w:val="21"/>
          <w:szCs w:val="21"/>
          <w:highlight w:val="none"/>
        </w:rPr>
        <w:t xml:space="preserve">  </w:t>
      </w:r>
    </w:p>
    <w:p>
      <w:pPr>
        <w:spacing w:beforeLines="0" w:afterLines="0" w:line="340" w:lineRule="exact"/>
        <w:ind w:left="2" w:leftChars="1" w:firstLine="420"/>
        <w:jc w:val="center"/>
        <w:rPr>
          <w:rFonts w:hint="eastAsia" w:ascii="宋体" w:hAnsi="宋体" w:eastAsia="宋体" w:cs="宋体"/>
          <w:bCs/>
          <w:color w:val="auto"/>
          <w:spacing w:val="11"/>
          <w:sz w:val="21"/>
          <w:szCs w:val="21"/>
          <w:highlight w:val="none"/>
        </w:rPr>
      </w:pPr>
    </w:p>
    <w:p>
      <w:pPr>
        <w:spacing w:beforeLines="0" w:afterLines="0" w:line="340" w:lineRule="exact"/>
        <w:ind w:left="2" w:leftChars="1" w:firstLine="420"/>
        <w:jc w:val="center"/>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法定代表人身份证复印件粘贴处</w:t>
      </w:r>
    </w:p>
    <w:p>
      <w:pPr>
        <w:spacing w:beforeLines="0" w:afterLines="0" w:line="340" w:lineRule="exact"/>
        <w:ind w:firstLine="42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76200</wp:posOffset>
                </wp:positionV>
                <wp:extent cx="4686300" cy="1426845"/>
                <wp:effectExtent l="4445" t="5080" r="14605" b="15875"/>
                <wp:wrapNone/>
                <wp:docPr id="9" name="矩形 9"/>
                <wp:cNvGraphicFramePr/>
                <a:graphic xmlns:a="http://schemas.openxmlformats.org/drawingml/2006/main">
                  <a:graphicData uri="http://schemas.microsoft.com/office/word/2010/wordprocessingShape">
                    <wps:wsp>
                      <wps:cNvSpPr/>
                      <wps:spPr>
                        <a:xfrm>
                          <a:off x="0" y="0"/>
                          <a:ext cx="4686300" cy="142684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8.6pt;margin-top:6pt;height:112.35pt;width:369pt;z-index:251659264;mso-width-relative:page;mso-height-relative:page;" fillcolor="#FFFFFF" filled="t" stroked="t" coordsize="21600,21600" o:gfxdata="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vlge1wAAAAkBAAAPAAAAAAAAAAEAIAAAACIAAABkcnMvZG93&#10;bnJldi54bWxQSwECFAAUAAAACACHTuJAFMs8+gECAAAqBAAADgAAAAAAAAABACAAAAAmAQAAZHJz&#10;L2Uyb0RvYy54bWxQSwUGAAAAAAYABgBZAQAAmQUAAAAA&#10;">
                <v:fill on="t" focussize="0,0"/>
                <v:stroke color="#000000" joinstyle="miter"/>
                <v:imagedata o:title=""/>
                <o:lock v:ext="edit" aspectratio="f"/>
                <v:textbox>
                  <w:txbxContent>
                    <w:p/>
                  </w:txbxContent>
                </v:textbox>
              </v:rect>
            </w:pict>
          </mc:Fallback>
        </mc:AlternateContent>
      </w: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rPr>
          <w:rFonts w:hint="eastAsia" w:ascii="宋体" w:hAnsi="宋体" w:eastAsia="宋体" w:cs="宋体"/>
          <w:color w:val="auto"/>
          <w:highlight w:val="none"/>
          <w:lang w:val="en-US" w:eastAsia="zh-CN"/>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both"/>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spacing w:beforeLines="0" w:afterLines="0" w:line="340" w:lineRule="exact"/>
        <w:ind w:firstLine="464" w:firstLineChars="200"/>
        <w:rPr>
          <w:rFonts w:hint="eastAsia" w:ascii="宋体" w:hAnsi="宋体" w:eastAsia="宋体" w:cs="宋体"/>
          <w:color w:val="auto"/>
          <w:spacing w:val="11"/>
          <w:sz w:val="21"/>
          <w:szCs w:val="21"/>
          <w:highlight w:val="none"/>
        </w:rPr>
      </w:pPr>
    </w:p>
    <w:p>
      <w:pPr>
        <w:spacing w:beforeLines="0" w:afterLines="0" w:line="340" w:lineRule="exact"/>
        <w:ind w:firstLine="464" w:firstLineChars="200"/>
        <w:rPr>
          <w:rFonts w:hint="eastAsia" w:ascii="宋体" w:hAnsi="宋体" w:eastAsia="宋体" w:cs="宋体"/>
          <w:color w:val="auto"/>
          <w:spacing w:val="11"/>
          <w:sz w:val="21"/>
          <w:szCs w:val="21"/>
          <w:highlight w:val="none"/>
        </w:rPr>
      </w:pPr>
    </w:p>
    <w:p>
      <w:pPr>
        <w:pStyle w:val="4"/>
        <w:spacing w:before="0" w:after="0" w:line="340" w:lineRule="exact"/>
        <w:jc w:val="center"/>
        <w:rPr>
          <w:rFonts w:hint="eastAsia" w:ascii="宋体" w:hAnsi="宋体" w:eastAsia="宋体" w:cs="宋体"/>
          <w:b/>
          <w:bCs w:val="0"/>
          <w:color w:val="auto"/>
          <w:spacing w:val="11"/>
          <w:kern w:val="2"/>
          <w:sz w:val="21"/>
          <w:szCs w:val="21"/>
          <w:highlight w:val="none"/>
          <w:lang w:val="en-US" w:eastAsia="zh-CN" w:bidi="ar-SA"/>
        </w:rPr>
      </w:pPr>
      <w:r>
        <w:rPr>
          <w:rFonts w:hint="eastAsia" w:ascii="宋体" w:hAnsi="宋体" w:eastAsia="宋体" w:cs="宋体"/>
          <w:b/>
          <w:bCs w:val="0"/>
          <w:color w:val="auto"/>
          <w:spacing w:val="11"/>
          <w:kern w:val="2"/>
          <w:sz w:val="21"/>
          <w:szCs w:val="21"/>
          <w:highlight w:val="none"/>
          <w:lang w:val="en-US" w:eastAsia="zh-CN" w:bidi="ar-SA"/>
        </w:rPr>
        <w:t>3.法定代表人授权委托书</w:t>
      </w:r>
    </w:p>
    <w:p>
      <w:pPr>
        <w:spacing w:beforeLines="0" w:afterLines="0" w:line="340" w:lineRule="exact"/>
        <w:ind w:firstLine="464" w:firstLineChars="200"/>
        <w:rPr>
          <w:rFonts w:hint="eastAsia" w:ascii="宋体" w:hAnsi="宋体" w:eastAsia="宋体" w:cs="宋体"/>
          <w:color w:val="auto"/>
          <w:spacing w:val="11"/>
          <w:sz w:val="21"/>
          <w:szCs w:val="21"/>
          <w:highlight w:val="none"/>
        </w:rPr>
      </w:pPr>
    </w:p>
    <w:p>
      <w:pPr>
        <w:spacing w:beforeLines="0" w:afterLines="0" w:line="34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本人</w:t>
      </w:r>
      <w:r>
        <w:rPr>
          <w:rFonts w:hint="eastAsia" w:ascii="宋体" w:hAnsi="宋体" w:eastAsia="宋体" w:cs="宋体"/>
          <w:color w:val="auto"/>
          <w:spacing w:val="11"/>
          <w:sz w:val="21"/>
          <w:szCs w:val="21"/>
          <w:highlight w:val="none"/>
          <w:u w:val="single"/>
        </w:rPr>
        <w:t xml:space="preserve">         </w:t>
      </w:r>
      <w:r>
        <w:rPr>
          <w:rFonts w:hint="eastAsia" w:ascii="宋体" w:hAnsi="宋体" w:eastAsia="宋体" w:cs="宋体"/>
          <w:color w:val="auto"/>
          <w:spacing w:val="11"/>
          <w:sz w:val="21"/>
          <w:szCs w:val="21"/>
          <w:highlight w:val="none"/>
        </w:rPr>
        <w:t>（姓名）系</w:t>
      </w:r>
      <w:r>
        <w:rPr>
          <w:rFonts w:hint="eastAsia" w:ascii="宋体" w:hAnsi="宋体" w:eastAsia="宋体" w:cs="宋体"/>
          <w:color w:val="auto"/>
          <w:spacing w:val="11"/>
          <w:sz w:val="21"/>
          <w:szCs w:val="21"/>
          <w:highlight w:val="none"/>
          <w:u w:val="single"/>
        </w:rPr>
        <w:t xml:space="preserve">         </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1"/>
          <w:sz w:val="21"/>
          <w:szCs w:val="21"/>
          <w:highlight w:val="none"/>
          <w:lang w:eastAsia="zh-CN"/>
        </w:rPr>
        <w:t>供应商</w:t>
      </w:r>
      <w:r>
        <w:rPr>
          <w:rFonts w:hint="eastAsia" w:ascii="宋体" w:hAnsi="宋体" w:eastAsia="宋体" w:cs="宋体"/>
          <w:color w:val="auto"/>
          <w:spacing w:val="11"/>
          <w:sz w:val="21"/>
          <w:szCs w:val="21"/>
          <w:highlight w:val="none"/>
        </w:rPr>
        <w:t>名称）的法定代表人，现委托</w:t>
      </w:r>
      <w:r>
        <w:rPr>
          <w:rFonts w:hint="eastAsia" w:ascii="宋体" w:hAnsi="宋体" w:eastAsia="宋体" w:cs="宋体"/>
          <w:color w:val="auto"/>
          <w:spacing w:val="11"/>
          <w:sz w:val="21"/>
          <w:szCs w:val="21"/>
          <w:highlight w:val="none"/>
          <w:u w:val="single"/>
        </w:rPr>
        <w:t xml:space="preserve">      （姓名）</w:t>
      </w:r>
      <w:r>
        <w:rPr>
          <w:rFonts w:hint="eastAsia" w:ascii="宋体" w:hAnsi="宋体" w:eastAsia="宋体" w:cs="宋体"/>
          <w:color w:val="auto"/>
          <w:spacing w:val="11"/>
          <w:sz w:val="21"/>
          <w:szCs w:val="21"/>
          <w:highlight w:val="none"/>
        </w:rPr>
        <w:t>为我方代理人。代理人根据授权，以我方名义签署、澄清、说明、补正、递交、撤回、修改</w:t>
      </w:r>
      <w:r>
        <w:rPr>
          <w:rFonts w:hint="eastAsia" w:ascii="宋体" w:hAnsi="宋体" w:eastAsia="宋体" w:cs="宋体"/>
          <w:color w:val="auto"/>
          <w:spacing w:val="11"/>
          <w:sz w:val="21"/>
          <w:szCs w:val="21"/>
          <w:highlight w:val="none"/>
          <w:u w:val="single"/>
        </w:rPr>
        <w:t xml:space="preserve">       </w:t>
      </w:r>
      <w:r>
        <w:rPr>
          <w:rFonts w:hint="eastAsia" w:ascii="宋体" w:hAnsi="宋体" w:eastAsia="宋体" w:cs="宋体"/>
          <w:color w:val="auto"/>
          <w:spacing w:val="11"/>
          <w:sz w:val="21"/>
          <w:szCs w:val="21"/>
          <w:highlight w:val="none"/>
        </w:rPr>
        <w:t>（项目名称）</w:t>
      </w:r>
      <w:r>
        <w:rPr>
          <w:rFonts w:hint="eastAsia" w:ascii="宋体" w:hAnsi="宋体" w:eastAsia="宋体" w:cs="宋体"/>
          <w:color w:val="auto"/>
          <w:spacing w:val="11"/>
          <w:sz w:val="21"/>
          <w:szCs w:val="21"/>
          <w:highlight w:val="none"/>
          <w:lang w:eastAsia="zh-CN"/>
        </w:rPr>
        <w:t>磋商响应文件</w:t>
      </w:r>
      <w:r>
        <w:rPr>
          <w:rFonts w:hint="eastAsia" w:ascii="宋体" w:hAnsi="宋体" w:eastAsia="宋体" w:cs="宋体"/>
          <w:color w:val="auto"/>
          <w:spacing w:val="11"/>
          <w:sz w:val="21"/>
          <w:szCs w:val="21"/>
          <w:highlight w:val="none"/>
        </w:rPr>
        <w:t>、签订合同和处理有关事宜，其法律后果由我方承担。</w:t>
      </w:r>
    </w:p>
    <w:p>
      <w:pPr>
        <w:spacing w:before="0" w:beforeLines="0" w:afterLines="0" w:line="34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委托期限：</w:t>
      </w:r>
      <w:r>
        <w:rPr>
          <w:rFonts w:hint="eastAsia" w:ascii="宋体" w:hAnsi="宋体" w:eastAsia="宋体" w:cs="宋体"/>
          <w:color w:val="auto"/>
          <w:spacing w:val="11"/>
          <w:sz w:val="21"/>
          <w:szCs w:val="21"/>
          <w:highlight w:val="none"/>
          <w:u w:val="single"/>
        </w:rPr>
        <w:t xml:space="preserve">                    </w:t>
      </w:r>
      <w:r>
        <w:rPr>
          <w:rFonts w:hint="eastAsia" w:ascii="宋体" w:hAnsi="宋体" w:eastAsia="宋体" w:cs="宋体"/>
          <w:color w:val="auto"/>
          <w:spacing w:val="11"/>
          <w:sz w:val="21"/>
          <w:szCs w:val="21"/>
          <w:highlight w:val="none"/>
        </w:rPr>
        <w:t>。</w:t>
      </w:r>
    </w:p>
    <w:p>
      <w:pPr>
        <w:spacing w:before="0" w:beforeLines="0" w:afterLines="0" w:line="34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在撤销授权的书面通知以前，本授权书一直有效。代理人在授权书有效期内签署的所有文件不因授权的撤销而失效。</w:t>
      </w:r>
    </w:p>
    <w:p>
      <w:pPr>
        <w:spacing w:before="0" w:beforeLines="0" w:after="0" w:afterLines="0" w:line="340" w:lineRule="exact"/>
        <w:ind w:firstLine="464"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代理人无转委托权。</w:t>
      </w:r>
    </w:p>
    <w:p>
      <w:pPr>
        <w:spacing w:beforeLines="0" w:afterLines="0" w:line="340" w:lineRule="exact"/>
        <w:ind w:left="2" w:leftChars="1" w:firstLine="420"/>
        <w:jc w:val="center"/>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法定代表人身份证复印件粘贴处</w:t>
      </w:r>
    </w:p>
    <w:p>
      <w:pPr>
        <w:spacing w:beforeLines="0" w:afterLines="0" w:line="340" w:lineRule="exact"/>
        <w:ind w:firstLine="42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158115</wp:posOffset>
                </wp:positionV>
                <wp:extent cx="4652645" cy="1198880"/>
                <wp:effectExtent l="4445" t="5080" r="10160" b="15240"/>
                <wp:wrapNone/>
                <wp:docPr id="12" name="矩形 12"/>
                <wp:cNvGraphicFramePr/>
                <a:graphic xmlns:a="http://schemas.openxmlformats.org/drawingml/2006/main">
                  <a:graphicData uri="http://schemas.microsoft.com/office/word/2010/wordprocessingShape">
                    <wps:wsp>
                      <wps:cNvSpPr/>
                      <wps:spPr>
                        <a:xfrm>
                          <a:off x="0" y="0"/>
                          <a:ext cx="4652645" cy="119888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62.25pt;margin-top:12.45pt;height:94.4pt;width:366.35pt;z-index:251660288;mso-width-relative:page;mso-height-relative:page;" fillcolor="#FFFFFF" filled="t" stroked="t" coordsize="21600,21600" o:gfxdata="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&#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4YKO2QAAAAoBAAAPAAAAAAAAAAEAIAAAACIAAABk&#10;cnMvZG93bnJldi54bWxQSwECFAAUAAAACACHTuJAYklLrgUCAAAsBAAADgAAAAAAAAABACAAAAAo&#10;AQAAZHJzL2Uyb0RvYy54bWxQSwUGAAAAAAYABgBZAQAAnwUAAAAA&#10;">
                <v:fill on="t" focussize="0,0"/>
                <v:stroke color="#000000" joinstyle="miter"/>
                <v:imagedata o:title=""/>
                <o:lock v:ext="edit" aspectratio="f"/>
                <v:textbox>
                  <w:txbxContent>
                    <w:p/>
                  </w:txbxContent>
                </v:textbox>
              </v:rect>
            </w:pict>
          </mc:Fallback>
        </mc:AlternateContent>
      </w: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jc w:val="center"/>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firstLine="420"/>
        <w:rPr>
          <w:rFonts w:hint="eastAsia" w:ascii="宋体" w:hAnsi="宋体" w:eastAsia="宋体" w:cs="宋体"/>
          <w:color w:val="auto"/>
          <w:spacing w:val="11"/>
          <w:sz w:val="21"/>
          <w:szCs w:val="21"/>
          <w:highlight w:val="none"/>
        </w:rPr>
      </w:pPr>
    </w:p>
    <w:p>
      <w:pPr>
        <w:spacing w:beforeLines="0" w:afterLines="0" w:line="340" w:lineRule="exact"/>
        <w:ind w:left="2" w:leftChars="1" w:firstLine="420"/>
        <w:jc w:val="center"/>
        <w:rPr>
          <w:rFonts w:hint="eastAsia" w:ascii="宋体" w:hAnsi="宋体" w:eastAsia="宋体" w:cs="宋体"/>
          <w:color w:val="auto"/>
          <w:spacing w:val="11"/>
          <w:sz w:val="21"/>
          <w:szCs w:val="21"/>
          <w:highlight w:val="none"/>
        </w:rPr>
      </w:pPr>
      <w:r>
        <w:rPr>
          <w:rFonts w:hint="eastAsia" w:ascii="宋体" w:hAnsi="宋体" w:eastAsia="宋体" w:cs="宋体"/>
          <w:color w:val="auto"/>
          <w:spacing w:val="0"/>
          <w:sz w:val="21"/>
          <w:szCs w:val="21"/>
          <w:highlight w:val="none"/>
        </w:rPr>
        <w:t>委托代理人</w:t>
      </w:r>
      <w:r>
        <w:rPr>
          <w:rFonts w:hint="eastAsia" w:ascii="宋体" w:hAnsi="宋体" w:eastAsia="宋体" w:cs="宋体"/>
          <w:color w:val="auto"/>
          <w:spacing w:val="11"/>
          <w:sz w:val="21"/>
          <w:szCs w:val="21"/>
          <w:highlight w:val="none"/>
        </w:rPr>
        <w:t>身份证复印件粘贴处</w:t>
      </w:r>
    </w:p>
    <w:p>
      <w:pPr>
        <w:spacing w:beforeLines="0" w:afterLines="0" w:line="340" w:lineRule="exact"/>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106680</wp:posOffset>
                </wp:positionV>
                <wp:extent cx="4686300" cy="1299210"/>
                <wp:effectExtent l="4445" t="5080" r="14605" b="10160"/>
                <wp:wrapNone/>
                <wp:docPr id="11" name="矩形 11"/>
                <wp:cNvGraphicFramePr/>
                <a:graphic xmlns:a="http://schemas.openxmlformats.org/drawingml/2006/main">
                  <a:graphicData uri="http://schemas.microsoft.com/office/word/2010/wordprocessingShape">
                    <wps:wsp>
                      <wps:cNvSpPr/>
                      <wps:spPr>
                        <a:xfrm>
                          <a:off x="0" y="0"/>
                          <a:ext cx="4686300" cy="129921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60.75pt;margin-top:8.4pt;height:102.3pt;width:369pt;z-index:251661312;mso-width-relative:page;mso-height-relative:page;" fillcolor="#FFFFFF" filled="t" stroked="t" coordsize="21600,21600" o:gfxdata="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&#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JwJW/YAAAACgEAAA8AAAAAAAAAAQAgAAAAIgAAAGRy&#10;cy9kb3ducmV2LnhtbFBLAQIUABQAAAAIAIdO4kDCI9FgBQIAACwEAAAOAAAAAAAAAAEAIAAAACcB&#10;AABkcnMvZTJvRG9jLnhtbFBLBQYAAAAABgAGAFkBAACeBQAAAAA=&#10;">
                <v:fill on="t" focussize="0,0"/>
                <v:stroke color="#000000" joinstyle="miter"/>
                <v:imagedata o:title=""/>
                <o:lock v:ext="edit" aspectratio="f"/>
                <v:textbox>
                  <w:txbxContent>
                    <w:p/>
                  </w:txbxContent>
                </v:textbox>
              </v:rect>
            </w:pict>
          </mc:Fallback>
        </mc:AlternateContent>
      </w:r>
    </w:p>
    <w:p>
      <w:pPr>
        <w:spacing w:beforeLines="0" w:afterLines="0" w:line="340" w:lineRule="exact"/>
        <w:ind w:firstLine="3944" w:firstLineChars="1700"/>
        <w:rPr>
          <w:rFonts w:hint="eastAsia" w:ascii="宋体" w:hAnsi="宋体" w:eastAsia="宋体" w:cs="宋体"/>
          <w:color w:val="auto"/>
          <w:spacing w:val="11"/>
          <w:sz w:val="21"/>
          <w:szCs w:val="21"/>
          <w:highlight w:val="none"/>
        </w:rPr>
      </w:pPr>
    </w:p>
    <w:p>
      <w:pPr>
        <w:spacing w:beforeLines="0" w:afterLines="0" w:line="340" w:lineRule="exact"/>
        <w:ind w:firstLine="3944" w:firstLineChars="1700"/>
        <w:rPr>
          <w:rFonts w:hint="eastAsia" w:ascii="宋体" w:hAnsi="宋体" w:eastAsia="宋体" w:cs="宋体"/>
          <w:color w:val="auto"/>
          <w:spacing w:val="11"/>
          <w:sz w:val="21"/>
          <w:szCs w:val="21"/>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944" w:firstLineChars="1700"/>
        <w:textAlignment w:val="auto"/>
        <w:rPr>
          <w:rFonts w:hint="eastAsia" w:ascii="宋体" w:hAnsi="宋体" w:eastAsia="宋体" w:cs="宋体"/>
          <w:color w:val="auto"/>
          <w:spacing w:val="11"/>
          <w:sz w:val="21"/>
          <w:szCs w:val="21"/>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944" w:firstLineChars="1700"/>
        <w:textAlignment w:val="auto"/>
        <w:rPr>
          <w:rFonts w:hint="eastAsia" w:ascii="宋体" w:hAnsi="宋体" w:eastAsia="宋体" w:cs="宋体"/>
          <w:color w:val="auto"/>
          <w:spacing w:val="11"/>
          <w:sz w:val="21"/>
          <w:szCs w:val="21"/>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944" w:firstLineChars="1700"/>
        <w:textAlignment w:val="auto"/>
        <w:rPr>
          <w:rFonts w:hint="eastAsia" w:ascii="宋体" w:hAnsi="宋体" w:eastAsia="宋体" w:cs="宋体"/>
          <w:color w:val="auto"/>
          <w:spacing w:val="11"/>
          <w:sz w:val="21"/>
          <w:szCs w:val="21"/>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944" w:firstLineChars="1700"/>
        <w:textAlignment w:val="auto"/>
        <w:rPr>
          <w:rFonts w:hint="eastAsia" w:ascii="宋体" w:hAnsi="宋体" w:eastAsia="宋体" w:cs="宋体"/>
          <w:color w:val="auto"/>
          <w:spacing w:val="11"/>
          <w:sz w:val="21"/>
          <w:szCs w:val="21"/>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570" w:firstLineChars="17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 xml:space="preserve">供 应  商 </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（盖单位章）</w:t>
      </w: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570" w:firstLineChars="17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法定代表人：</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（签字）</w:t>
      </w: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570" w:firstLineChars="1700"/>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身份证号码：</w:t>
      </w:r>
      <w:r>
        <w:rPr>
          <w:rFonts w:hint="eastAsia" w:ascii="宋体" w:hAnsi="宋体" w:eastAsia="宋体" w:cs="宋体"/>
          <w:color w:val="auto"/>
          <w:spacing w:val="0"/>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570" w:firstLineChars="17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委托代理人：</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（签字）</w:t>
      </w: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3570" w:firstLineChars="17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身份证号码：</w:t>
      </w:r>
      <w:r>
        <w:rPr>
          <w:rFonts w:hint="eastAsia" w:ascii="宋体" w:hAnsi="宋体" w:eastAsia="宋体" w:cs="宋体"/>
          <w:color w:val="auto"/>
          <w:spacing w:val="0"/>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40" w:lineRule="exact"/>
        <w:ind w:firstLine="4830" w:firstLineChars="23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rPr>
        <w:t>日</w:t>
      </w:r>
    </w:p>
    <w:p>
      <w:pPr>
        <w:spacing w:beforeLines="0" w:afterLines="0" w:line="340" w:lineRule="exact"/>
        <w:jc w:val="center"/>
        <w:rPr>
          <w:rFonts w:hint="eastAsia" w:ascii="宋体" w:hAnsi="宋体" w:eastAsia="宋体" w:cs="宋体"/>
          <w:color w:val="auto"/>
          <w:szCs w:val="21"/>
          <w:highlight w:val="none"/>
          <w:lang w:val="en-US" w:eastAsia="zh-CN"/>
        </w:rPr>
      </w:pPr>
    </w:p>
    <w:p>
      <w:pPr>
        <w:spacing w:beforeLines="0" w:afterLines="0" w:line="340" w:lineRule="exact"/>
        <w:jc w:val="center"/>
        <w:rPr>
          <w:rFonts w:hint="eastAsia" w:ascii="宋体" w:hAnsi="宋体" w:eastAsia="宋体" w:cs="宋体"/>
          <w:color w:val="auto"/>
          <w:szCs w:val="21"/>
          <w:highlight w:val="none"/>
          <w:lang w:val="en-US" w:eastAsia="zh-CN"/>
        </w:rPr>
      </w:pPr>
    </w:p>
    <w:p>
      <w:pPr>
        <w:snapToGrid w:val="0"/>
        <w:spacing w:line="360" w:lineRule="auto"/>
        <w:jc w:val="both"/>
        <w:rPr>
          <w:rFonts w:hint="eastAsia" w:ascii="宋体" w:hAnsi="宋体" w:eastAsia="宋体" w:cs="宋体"/>
          <w:b/>
          <w:bCs w:val="0"/>
          <w:color w:val="auto"/>
          <w:spacing w:val="11"/>
          <w:sz w:val="21"/>
          <w:szCs w:val="21"/>
          <w:lang w:val="en-US" w:eastAsia="zh-CN"/>
        </w:rPr>
      </w:pPr>
    </w:p>
    <w:p>
      <w:pPr>
        <w:snapToGrid w:val="0"/>
        <w:spacing w:line="360" w:lineRule="auto"/>
        <w:jc w:val="center"/>
        <w:rPr>
          <w:rFonts w:hint="eastAsia" w:ascii="宋体" w:hAnsi="宋体" w:eastAsia="宋体" w:cs="宋体"/>
          <w:b/>
          <w:bCs w:val="0"/>
          <w:color w:val="auto"/>
          <w:spacing w:val="11"/>
          <w:sz w:val="21"/>
          <w:szCs w:val="21"/>
          <w:lang w:val="en-US" w:eastAsia="zh-CN"/>
        </w:rPr>
      </w:pPr>
    </w:p>
    <w:p>
      <w:pPr>
        <w:rPr>
          <w:rFonts w:hint="eastAsia"/>
          <w:lang w:val="en-US" w:eastAsia="zh-CN"/>
        </w:rPr>
      </w:pPr>
    </w:p>
    <w:p>
      <w:pPr>
        <w:pStyle w:val="19"/>
        <w:rPr>
          <w:rFonts w:hint="eastAsia"/>
          <w:lang w:val="en-US" w:eastAsia="zh-CN"/>
        </w:rPr>
      </w:pPr>
    </w:p>
    <w:p>
      <w:pPr>
        <w:pStyle w:val="19"/>
        <w:rPr>
          <w:rFonts w:hint="eastAsia"/>
          <w:lang w:val="en-US" w:eastAsia="zh-CN"/>
        </w:rPr>
      </w:pPr>
    </w:p>
    <w:p>
      <w:pPr>
        <w:rPr>
          <w:rFonts w:hint="eastAsia" w:ascii="宋体" w:hAnsi="宋体" w:eastAsia="宋体" w:cs="宋体"/>
          <w:b/>
          <w:bCs w:val="0"/>
          <w:color w:val="auto"/>
          <w:spacing w:val="11"/>
          <w:sz w:val="21"/>
          <w:szCs w:val="21"/>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keepNext w:val="0"/>
        <w:pageBreakBefore w:val="0"/>
        <w:numPr>
          <w:ilvl w:val="0"/>
          <w:numId w:val="3"/>
        </w:numPr>
        <w:kinsoku/>
        <w:wordWrap/>
        <w:overflowPunct/>
        <w:topLinePunct w:val="0"/>
        <w:autoSpaceDE/>
        <w:autoSpaceDN/>
        <w:bidi w:val="0"/>
        <w:spacing w:before="0" w:after="0" w:afterLines="0" w:line="360" w:lineRule="auto"/>
        <w:jc w:val="both"/>
        <w:textAlignment w:val="auto"/>
        <w:outlineLvl w:val="9"/>
        <w:rPr>
          <w:rFonts w:hint="eastAsia" w:ascii="宋体" w:hAnsi="宋体" w:eastAsia="宋体" w:cs="宋体"/>
          <w:b/>
          <w:color w:val="auto"/>
          <w:spacing w:val="11"/>
          <w:sz w:val="21"/>
          <w:szCs w:val="21"/>
          <w:lang w:val="en-US" w:eastAsia="zh-CN"/>
        </w:rPr>
      </w:pPr>
      <w:r>
        <w:rPr>
          <w:rFonts w:hint="eastAsia" w:ascii="宋体" w:hAnsi="宋体" w:eastAsia="宋体" w:cs="宋体"/>
          <w:b/>
          <w:color w:val="auto"/>
          <w:spacing w:val="11"/>
          <w:sz w:val="21"/>
          <w:szCs w:val="21"/>
          <w:lang w:val="en-US"/>
        </w:rPr>
        <w:t>资格审查</w:t>
      </w:r>
      <w:r>
        <w:rPr>
          <w:rFonts w:hint="eastAsia" w:ascii="宋体" w:hAnsi="宋体" w:eastAsia="宋体" w:cs="宋体"/>
          <w:b/>
          <w:color w:val="auto"/>
          <w:spacing w:val="11"/>
          <w:sz w:val="21"/>
          <w:szCs w:val="21"/>
          <w:lang w:val="en-US" w:eastAsia="zh-CN"/>
        </w:rPr>
        <w:t>资料：</w:t>
      </w:r>
    </w:p>
    <w:p>
      <w:pPr>
        <w:keepNext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val="0"/>
          <w:color w:val="auto"/>
          <w:spacing w:val="11"/>
          <w:sz w:val="21"/>
          <w:szCs w:val="21"/>
          <w:lang w:val="en-US" w:eastAsia="zh-CN"/>
        </w:rPr>
      </w:pPr>
      <w:r>
        <w:rPr>
          <w:rFonts w:hint="eastAsia" w:ascii="宋体" w:hAnsi="宋体" w:eastAsia="宋体" w:cs="宋体"/>
          <w:b/>
          <w:bCs w:val="0"/>
          <w:color w:val="auto"/>
          <w:spacing w:val="11"/>
          <w:sz w:val="21"/>
          <w:szCs w:val="21"/>
          <w:lang w:val="en-US" w:eastAsia="zh-CN"/>
        </w:rPr>
        <w:t>4.1自公告发布之日起至磋商响应截止日前任意时间的信用中国网站“失信被执行人”、“ 重大税收违法失信主体” 的查询截图以及中国政府采购网“政府采购严重违法失信行为记录”的查询截图</w:t>
      </w:r>
      <w:r>
        <w:rPr>
          <w:rFonts w:hint="eastAsia" w:ascii="宋体" w:hAnsi="宋体" w:eastAsia="宋体" w:cs="宋体"/>
          <w:b/>
          <w:bCs w:val="0"/>
          <w:color w:val="auto"/>
          <w:spacing w:val="11"/>
          <w:sz w:val="21"/>
          <w:szCs w:val="21"/>
          <w:lang w:val="zh-CN" w:eastAsia="zh-CN"/>
        </w:rPr>
        <w:t>；</w:t>
      </w:r>
      <w:r>
        <w:rPr>
          <w:rFonts w:hint="eastAsia" w:ascii="宋体" w:hAnsi="宋体" w:eastAsia="宋体" w:cs="宋体"/>
          <w:b/>
          <w:bCs w:val="0"/>
          <w:color w:val="auto"/>
          <w:spacing w:val="11"/>
          <w:sz w:val="21"/>
          <w:szCs w:val="21"/>
          <w:lang w:val="en-US" w:eastAsia="zh-CN"/>
        </w:rPr>
        <w:t xml:space="preserve">   </w:t>
      </w:r>
    </w:p>
    <w:p>
      <w:pPr>
        <w:keepNext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val="0"/>
          <w:color w:val="auto"/>
          <w:spacing w:val="11"/>
          <w:sz w:val="21"/>
          <w:szCs w:val="21"/>
          <w:lang w:val="en-US" w:eastAsia="zh-CN"/>
        </w:rPr>
      </w:pPr>
      <w:r>
        <w:rPr>
          <w:rFonts w:hint="eastAsia" w:ascii="宋体" w:hAnsi="宋体" w:eastAsia="宋体" w:cs="宋体"/>
          <w:b/>
          <w:bCs w:val="0"/>
          <w:color w:val="auto"/>
          <w:spacing w:val="11"/>
          <w:sz w:val="21"/>
          <w:szCs w:val="21"/>
          <w:lang w:val="en-US" w:eastAsia="zh-CN"/>
        </w:rPr>
        <w:t>4.</w:t>
      </w:r>
      <w:r>
        <w:rPr>
          <w:rFonts w:hint="eastAsia" w:ascii="宋体" w:hAnsi="宋体" w:cs="宋体"/>
          <w:b/>
          <w:bCs w:val="0"/>
          <w:color w:val="auto"/>
          <w:spacing w:val="11"/>
          <w:sz w:val="21"/>
          <w:szCs w:val="21"/>
          <w:lang w:val="en-US" w:eastAsia="zh-CN"/>
        </w:rPr>
        <w:t>2</w:t>
      </w:r>
      <w:r>
        <w:rPr>
          <w:rFonts w:hint="eastAsia" w:ascii="宋体" w:hAnsi="宋体" w:eastAsia="宋体" w:cs="宋体"/>
          <w:b/>
          <w:bCs w:val="0"/>
          <w:color w:val="auto"/>
          <w:spacing w:val="11"/>
          <w:sz w:val="21"/>
          <w:szCs w:val="21"/>
          <w:lang w:val="en-US"/>
        </w:rPr>
        <w:t>有效的</w:t>
      </w:r>
      <w:r>
        <w:rPr>
          <w:rFonts w:hint="eastAsia" w:ascii="宋体" w:hAnsi="宋体" w:cs="宋体"/>
          <w:b/>
          <w:bCs w:val="0"/>
          <w:color w:val="auto"/>
          <w:spacing w:val="11"/>
          <w:sz w:val="21"/>
          <w:szCs w:val="21"/>
          <w:lang w:val="en-US" w:eastAsia="zh-CN"/>
        </w:rPr>
        <w:t>营业执照</w:t>
      </w:r>
      <w:r>
        <w:rPr>
          <w:rFonts w:hint="eastAsia" w:ascii="宋体" w:hAnsi="宋体" w:eastAsia="宋体" w:cs="宋体"/>
          <w:b/>
          <w:bCs w:val="0"/>
          <w:color w:val="auto"/>
          <w:spacing w:val="11"/>
          <w:sz w:val="21"/>
          <w:szCs w:val="21"/>
          <w:lang w:val="en-US"/>
        </w:rPr>
        <w:t>复印件</w:t>
      </w:r>
      <w:r>
        <w:rPr>
          <w:rFonts w:hint="eastAsia" w:ascii="宋体" w:hAnsi="宋体" w:eastAsia="宋体" w:cs="宋体"/>
          <w:b/>
          <w:bCs w:val="0"/>
          <w:color w:val="auto"/>
          <w:spacing w:val="11"/>
          <w:sz w:val="21"/>
          <w:szCs w:val="21"/>
          <w:lang w:val="en-US" w:eastAsia="zh-CN"/>
        </w:rPr>
        <w:t>。</w:t>
      </w:r>
    </w:p>
    <w:bookmarkEnd w:id="100"/>
    <w:bookmarkEnd w:id="101"/>
    <w:bookmarkEnd w:id="102"/>
    <w:p>
      <w:pPr>
        <w:pStyle w:val="4"/>
        <w:spacing w:before="0" w:after="0"/>
        <w:jc w:val="both"/>
        <w:outlineLvl w:val="9"/>
        <w:rPr>
          <w:rFonts w:hint="eastAsia" w:ascii="宋体" w:hAnsi="宋体" w:eastAsia="宋体" w:cs="宋体"/>
          <w:b/>
          <w:bCs w:val="0"/>
          <w:color w:val="auto"/>
          <w:spacing w:val="11"/>
          <w:kern w:val="2"/>
          <w:sz w:val="21"/>
          <w:szCs w:val="21"/>
          <w:lang w:val="en-US" w:eastAsia="zh-CN" w:bidi="ar-SA"/>
        </w:rPr>
      </w:pPr>
    </w:p>
    <w:p>
      <w:pPr>
        <w:pStyle w:val="4"/>
        <w:spacing w:before="0" w:after="0"/>
        <w:jc w:val="center"/>
        <w:outlineLvl w:val="9"/>
        <w:rPr>
          <w:rFonts w:hint="eastAsia" w:ascii="宋体" w:hAnsi="宋体" w:eastAsia="宋体" w:cs="宋体"/>
          <w:b/>
          <w:bCs w:val="0"/>
          <w:color w:val="auto"/>
          <w:spacing w:val="11"/>
          <w:kern w:val="2"/>
          <w:sz w:val="21"/>
          <w:szCs w:val="21"/>
          <w:lang w:val="en-US" w:eastAsia="zh-CN" w:bidi="ar-SA"/>
        </w:rPr>
      </w:pPr>
    </w:p>
    <w:p>
      <w:pPr>
        <w:snapToGrid w:val="0"/>
        <w:spacing w:line="360" w:lineRule="auto"/>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2.技术/资信/商务文件目录</w:t>
      </w:r>
    </w:p>
    <w:p>
      <w:pPr>
        <w:snapToGrid w:val="0"/>
        <w:spacing w:beforeLines="0" w:afterLines="0" w:line="380" w:lineRule="exact"/>
        <w:jc w:val="left"/>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en-US" w:eastAsia="zh-CN"/>
        </w:rPr>
        <w:t>（1）评分规则中涉及的所需提交的材料（参考对应评分项）（格式自拟）；</w:t>
      </w:r>
    </w:p>
    <w:p>
      <w:pPr>
        <w:snapToGrid w:val="0"/>
        <w:spacing w:beforeLines="0" w:afterLines="0" w:line="380" w:lineRule="exact"/>
        <w:jc w:val="left"/>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en-US" w:eastAsia="zh-CN"/>
        </w:rPr>
        <w:t>（2）供应商需要说明的其他文件和说明（格式自拟）；</w:t>
      </w:r>
    </w:p>
    <w:p>
      <w:pPr>
        <w:snapToGrid w:val="0"/>
        <w:spacing w:beforeLines="0" w:afterLines="0" w:line="380" w:lineRule="exact"/>
        <w:jc w:val="left"/>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zh-CN" w:eastAsia="zh-CN"/>
        </w:rPr>
        <w:t>（</w:t>
      </w:r>
      <w:r>
        <w:rPr>
          <w:rFonts w:hint="eastAsia" w:ascii="宋体" w:hAnsi="宋体" w:eastAsia="宋体" w:cs="宋体"/>
          <w:color w:val="auto"/>
          <w:spacing w:val="11"/>
          <w:sz w:val="21"/>
          <w:szCs w:val="21"/>
          <w:lang w:val="en-US" w:eastAsia="zh-CN"/>
        </w:rPr>
        <w:t>3</w:t>
      </w:r>
      <w:r>
        <w:rPr>
          <w:rFonts w:hint="eastAsia" w:ascii="宋体" w:hAnsi="宋体" w:eastAsia="宋体" w:cs="宋体"/>
          <w:color w:val="auto"/>
          <w:spacing w:val="11"/>
          <w:sz w:val="21"/>
          <w:szCs w:val="21"/>
          <w:lang w:val="zh-CN" w:eastAsia="zh-CN"/>
        </w:rPr>
        <w:t>）技术偏离表（格式见附件）</w:t>
      </w:r>
    </w:p>
    <w:p>
      <w:pPr>
        <w:pStyle w:val="4"/>
        <w:jc w:val="center"/>
        <w:rPr>
          <w:rFonts w:hint="eastAsia" w:ascii="宋体" w:hAnsi="宋体" w:cs="宋体"/>
          <w:szCs w:val="21"/>
        </w:rPr>
      </w:pPr>
      <w:r>
        <w:rPr>
          <w:rFonts w:hint="eastAsia" w:ascii="宋体" w:hAnsi="宋体" w:cs="宋体"/>
          <w:bCs w:val="0"/>
          <w:spacing w:val="11"/>
        </w:rPr>
        <w:t>技术偏离表</w:t>
      </w:r>
    </w:p>
    <w:tbl>
      <w:tblPr>
        <w:tblStyle w:val="21"/>
        <w:tblpPr w:leftFromText="180" w:rightFromText="180" w:vertAnchor="text" w:horzAnchor="page" w:tblpX="1545" w:tblpY="14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6"/>
        <w:gridCol w:w="2029"/>
        <w:gridCol w:w="2173"/>
        <w:gridCol w:w="1230"/>
        <w:gridCol w:w="2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cs="宋体"/>
                <w:szCs w:val="21"/>
              </w:rPr>
            </w:pPr>
            <w:r>
              <w:rPr>
                <w:rFonts w:hint="eastAsia" w:ascii="宋体" w:hAnsi="宋体" w:cs="宋体"/>
                <w:szCs w:val="21"/>
              </w:rPr>
              <w:t>序号</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cs="宋体"/>
                <w:szCs w:val="21"/>
              </w:rPr>
            </w:pPr>
            <w:r>
              <w:rPr>
                <w:rFonts w:hint="eastAsia" w:ascii="宋体" w:hAnsi="宋体" w:cs="宋体"/>
                <w:szCs w:val="21"/>
              </w:rPr>
              <w:t>竞争性磋商文件</w:t>
            </w:r>
          </w:p>
          <w:p>
            <w:pPr>
              <w:snapToGrid w:val="0"/>
              <w:spacing w:before="156" w:beforeLines="50"/>
              <w:jc w:val="center"/>
              <w:rPr>
                <w:rFonts w:hint="eastAsia" w:ascii="宋体" w:hAnsi="宋体" w:cs="宋体"/>
                <w:szCs w:val="21"/>
              </w:rPr>
            </w:pPr>
            <w:r>
              <w:rPr>
                <w:rFonts w:hint="eastAsia" w:ascii="宋体" w:hAnsi="宋体" w:cs="宋体"/>
                <w:szCs w:val="21"/>
              </w:rPr>
              <w:t>技术条款</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cs="宋体"/>
                <w:szCs w:val="21"/>
              </w:rPr>
            </w:pPr>
            <w:r>
              <w:rPr>
                <w:rFonts w:hint="eastAsia" w:ascii="宋体" w:hAnsi="宋体" w:cs="宋体"/>
                <w:szCs w:val="21"/>
              </w:rPr>
              <w:t>磋商响应文件</w:t>
            </w:r>
          </w:p>
          <w:p>
            <w:pPr>
              <w:snapToGrid w:val="0"/>
              <w:spacing w:before="156" w:beforeLines="50"/>
              <w:jc w:val="center"/>
              <w:rPr>
                <w:rFonts w:hint="eastAsia" w:ascii="宋体" w:hAnsi="宋体" w:cs="宋体"/>
                <w:szCs w:val="21"/>
              </w:rPr>
            </w:pPr>
            <w:r>
              <w:rPr>
                <w:rFonts w:hint="eastAsia" w:ascii="宋体" w:hAnsi="宋体" w:cs="宋体"/>
                <w:szCs w:val="21"/>
              </w:rPr>
              <w:t>技术条款</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cs="宋体"/>
                <w:szCs w:val="21"/>
              </w:rPr>
            </w:pPr>
            <w:r>
              <w:rPr>
                <w:rFonts w:hint="eastAsia" w:ascii="宋体" w:hAnsi="宋体" w:cs="宋体"/>
                <w:szCs w:val="21"/>
              </w:rPr>
              <w:t>偏离情况</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cs="宋体"/>
                <w:szCs w:val="21"/>
              </w:rPr>
            </w:pPr>
          </w:p>
        </w:tc>
        <w:tc>
          <w:tcPr>
            <w:tcW w:w="2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cs="宋体"/>
                <w:szCs w:val="21"/>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cs="宋体"/>
                <w:szCs w:val="21"/>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cs="宋体"/>
                <w:szCs w:val="21"/>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cs="宋体"/>
                <w:szCs w:val="21"/>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u w:val="single"/>
              </w:rPr>
            </w:pPr>
          </w:p>
        </w:tc>
        <w:tc>
          <w:tcPr>
            <w:tcW w:w="2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cs="宋体"/>
                <w:szCs w:val="21"/>
                <w:u w:val="singl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u w:val="singl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u w:val="single"/>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460" w:lineRule="exact"/>
              <w:jc w:val="center"/>
              <w:rPr>
                <w:rFonts w:hint="eastAsia" w:ascii="宋体" w:hAnsi="宋体" w:cs="宋体"/>
                <w:szCs w:val="21"/>
                <w:u w:val="single"/>
              </w:rPr>
            </w:pPr>
          </w:p>
        </w:tc>
      </w:tr>
    </w:tbl>
    <w:p>
      <w:pPr>
        <w:spacing w:line="360" w:lineRule="auto"/>
        <w:ind w:firstLine="420" w:firstLineChars="200"/>
        <w:rPr>
          <w:rFonts w:hint="eastAsia" w:ascii="宋体" w:hAnsi="宋体" w:cs="宋体"/>
          <w:szCs w:val="21"/>
        </w:rPr>
      </w:pPr>
      <w:r>
        <w:rPr>
          <w:rFonts w:hint="eastAsia" w:ascii="宋体" w:hAnsi="宋体" w:cs="宋体"/>
          <w:szCs w:val="21"/>
        </w:rPr>
        <w:t>注1.供应商应根据文件技术要求、对照竞争性磋商文件要求在“偏离情况”栏注明“正偏离”、“负偏离”或“无偏离”。</w:t>
      </w:r>
    </w:p>
    <w:p>
      <w:pPr>
        <w:numPr>
          <w:ilvl w:val="0"/>
          <w:numId w:val="4"/>
        </w:numPr>
        <w:spacing w:line="360" w:lineRule="auto"/>
        <w:ind w:firstLine="420" w:firstLineChars="200"/>
        <w:rPr>
          <w:rFonts w:hint="eastAsia" w:ascii="宋体" w:hAnsi="宋体" w:cs="宋体"/>
          <w:szCs w:val="21"/>
        </w:rPr>
      </w:pPr>
      <w:r>
        <w:rPr>
          <w:rFonts w:hint="eastAsia" w:ascii="宋体" w:hAnsi="宋体" w:cs="宋体"/>
          <w:szCs w:val="21"/>
        </w:rPr>
        <w:t>.没有填写此表视为完全响应竞争性磋商文件要求。</w:t>
      </w:r>
    </w:p>
    <w:p>
      <w:pPr>
        <w:spacing w:line="360" w:lineRule="auto"/>
        <w:ind w:firstLine="420" w:firstLineChars="200"/>
        <w:rPr>
          <w:rFonts w:hint="eastAsia" w:ascii="宋体" w:hAnsi="宋体" w:cs="宋体"/>
          <w:szCs w:val="21"/>
        </w:rPr>
      </w:pPr>
      <w:r>
        <w:rPr>
          <w:rFonts w:hint="eastAsia" w:ascii="宋体" w:hAnsi="宋体" w:cs="宋体"/>
          <w:szCs w:val="21"/>
        </w:rPr>
        <w:t>3.如出现偏离，供应商务必如实填写此表，否则存在的风险由供应商自行承担。</w:t>
      </w:r>
    </w:p>
    <w:p>
      <w:pPr>
        <w:spacing w:line="360" w:lineRule="auto"/>
        <w:ind w:right="-21" w:rightChars="-10"/>
        <w:rPr>
          <w:rFonts w:hint="eastAsia" w:ascii="宋体" w:hAnsi="宋体" w:cs="宋体"/>
          <w:szCs w:val="21"/>
        </w:rPr>
      </w:pPr>
    </w:p>
    <w:p>
      <w:pPr>
        <w:spacing w:line="360" w:lineRule="auto"/>
        <w:ind w:right="-21" w:rightChars="-10"/>
        <w:rPr>
          <w:rFonts w:hint="eastAsia" w:ascii="宋体" w:hAnsi="宋体" w:cs="宋体"/>
          <w:szCs w:val="21"/>
        </w:rPr>
      </w:pPr>
      <w:r>
        <w:rPr>
          <w:rFonts w:hint="eastAsia" w:ascii="宋体" w:hAnsi="宋体" w:cs="宋体"/>
          <w:szCs w:val="21"/>
        </w:rPr>
        <w:t>供应商全称（公章）：</w:t>
      </w:r>
      <w:r>
        <w:rPr>
          <w:rFonts w:hint="eastAsia" w:ascii="宋体" w:hAnsi="宋体" w:cs="宋体"/>
          <w:szCs w:val="21"/>
          <w:u w:val="single"/>
        </w:rPr>
        <w:t xml:space="preserve">                      </w:t>
      </w:r>
    </w:p>
    <w:p>
      <w:pPr>
        <w:spacing w:line="360" w:lineRule="auto"/>
        <w:ind w:right="-10"/>
        <w:rPr>
          <w:rFonts w:hint="eastAsia" w:ascii="宋体" w:hAnsi="宋体" w:cs="宋体"/>
          <w:szCs w:val="21"/>
        </w:rPr>
      </w:pPr>
      <w:r>
        <w:rPr>
          <w:rFonts w:hint="eastAsia" w:ascii="宋体" w:hAnsi="宋体" w:cs="宋体"/>
          <w:szCs w:val="21"/>
        </w:rPr>
        <w:t>法定代表人或授权代表（签字或盖章）：</w:t>
      </w:r>
      <w:r>
        <w:rPr>
          <w:rFonts w:hint="eastAsia" w:ascii="宋体" w:hAnsi="宋体" w:cs="宋体"/>
          <w:szCs w:val="21"/>
          <w:u w:val="single"/>
        </w:rPr>
        <w:t xml:space="preserve">          </w:t>
      </w:r>
    </w:p>
    <w:p>
      <w:pPr>
        <w:spacing w:line="360" w:lineRule="auto"/>
        <w:ind w:right="-21" w:rightChars="-10"/>
        <w:rPr>
          <w:rFonts w:hint="eastAsia" w:ascii="宋体" w:hAnsi="宋体" w:cs="宋体"/>
          <w:sz w:val="24"/>
          <w:u w:val="single"/>
        </w:rPr>
      </w:pPr>
      <w:r>
        <w:rPr>
          <w:rFonts w:hint="eastAsia" w:ascii="宋体" w:hAnsi="宋体" w:cs="宋体"/>
          <w:szCs w:val="21"/>
        </w:rPr>
        <w:t>日期：</w:t>
      </w:r>
      <w:r>
        <w:rPr>
          <w:rFonts w:hint="eastAsia" w:ascii="宋体" w:hAnsi="宋体" w:cs="宋体"/>
          <w:szCs w:val="21"/>
          <w:u w:val="single"/>
        </w:rPr>
        <w:t xml:space="preserve">            </w:t>
      </w:r>
    </w:p>
    <w:p>
      <w:pPr>
        <w:rPr>
          <w:rFonts w:hint="eastAsia"/>
          <w:lang w:val="en-US" w:eastAsia="zh-CN"/>
        </w:rPr>
      </w:pPr>
    </w:p>
    <w:p>
      <w:pPr>
        <w:rPr>
          <w:rFonts w:hint="eastAsia"/>
          <w:lang w:val="en-US" w:eastAsia="zh-CN"/>
        </w:rPr>
      </w:pPr>
    </w:p>
    <w:p>
      <w:pPr>
        <w:rPr>
          <w:rFonts w:hint="eastAsia"/>
          <w:lang w:val="en-US" w:eastAsia="zh-CN"/>
        </w:rPr>
      </w:pPr>
    </w:p>
    <w:p>
      <w:pPr>
        <w:snapToGrid w:val="0"/>
        <w:spacing w:line="360" w:lineRule="auto"/>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3.报价文件目录</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（1）磋商函————————（页码）</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（2）小微企业声明函————————</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（3）残疾人福利企业声明函————————</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（4）属于监狱企业的证明文件————————</w:t>
      </w:r>
    </w:p>
    <w:p>
      <w:pPr>
        <w:spacing w:beforeLines="0" w:afterLines="0" w:line="380" w:lineRule="exact"/>
        <w:ind w:firstLine="420" w:firstLineChars="200"/>
        <w:rPr>
          <w:rFonts w:hint="eastAsia" w:ascii="宋体" w:hAnsi="宋体" w:eastAsia="宋体" w:cs="宋体"/>
          <w:bCs/>
          <w:szCs w:val="21"/>
          <w:lang w:val="zh-CN"/>
        </w:rPr>
      </w:pPr>
      <w:r>
        <w:rPr>
          <w:rFonts w:hint="eastAsia" w:ascii="宋体" w:hAnsi="宋体" w:eastAsia="宋体" w:cs="宋体"/>
          <w:bCs/>
          <w:szCs w:val="21"/>
          <w:lang w:val="zh-CN"/>
        </w:rPr>
        <w:t>（</w:t>
      </w:r>
      <w:r>
        <w:rPr>
          <w:rFonts w:hint="eastAsia" w:ascii="宋体" w:hAnsi="宋体" w:cs="宋体"/>
          <w:bCs/>
          <w:szCs w:val="21"/>
          <w:lang w:val="en-US" w:eastAsia="zh-CN"/>
        </w:rPr>
        <w:t>5</w:t>
      </w:r>
      <w:r>
        <w:rPr>
          <w:rFonts w:hint="eastAsia" w:ascii="宋体" w:hAnsi="宋体" w:eastAsia="宋体" w:cs="宋体"/>
          <w:bCs/>
          <w:szCs w:val="21"/>
          <w:lang w:val="zh-CN"/>
        </w:rPr>
        <w:t>）磋商报价一览表————————</w:t>
      </w:r>
    </w:p>
    <w:p>
      <w:pPr>
        <w:spacing w:beforeLines="0" w:afterLines="0" w:line="380" w:lineRule="exact"/>
        <w:ind w:firstLine="420" w:firstLineChars="200"/>
        <w:rPr>
          <w:rFonts w:hint="eastAsia" w:ascii="宋体" w:hAnsi="宋体" w:eastAsia="宋体" w:cs="宋体"/>
          <w:bCs/>
          <w:szCs w:val="21"/>
          <w:lang w:val="zh-CN" w:eastAsia="zh-CN"/>
        </w:rPr>
      </w:pPr>
      <w:r>
        <w:rPr>
          <w:rFonts w:hint="eastAsia" w:ascii="宋体" w:hAnsi="宋体" w:eastAsia="宋体" w:cs="宋体"/>
          <w:bCs/>
          <w:szCs w:val="21"/>
          <w:lang w:val="zh-CN"/>
        </w:rPr>
        <w:t>（</w:t>
      </w:r>
      <w:r>
        <w:rPr>
          <w:rFonts w:hint="eastAsia" w:ascii="宋体" w:hAnsi="宋体" w:cs="宋体"/>
          <w:bCs/>
          <w:szCs w:val="21"/>
          <w:lang w:val="en-US" w:eastAsia="zh-CN"/>
        </w:rPr>
        <w:t>6</w:t>
      </w:r>
      <w:r>
        <w:rPr>
          <w:rFonts w:hint="eastAsia" w:ascii="宋体" w:hAnsi="宋体" w:eastAsia="宋体" w:cs="宋体"/>
          <w:bCs/>
          <w:szCs w:val="21"/>
          <w:lang w:val="zh-CN"/>
        </w:rPr>
        <w:t>）</w:t>
      </w:r>
      <w:r>
        <w:rPr>
          <w:rFonts w:hint="eastAsia" w:ascii="宋体" w:hAnsi="宋体" w:eastAsia="宋体" w:cs="宋体"/>
          <w:bCs/>
          <w:szCs w:val="21"/>
          <w:lang w:val="en-US" w:eastAsia="zh-CN"/>
        </w:rPr>
        <w:t>报价明细表</w:t>
      </w:r>
      <w:r>
        <w:rPr>
          <w:rFonts w:hint="eastAsia" w:ascii="宋体" w:hAnsi="宋体" w:eastAsia="宋体" w:cs="宋体"/>
          <w:bCs/>
          <w:szCs w:val="21"/>
          <w:lang w:val="zh-CN"/>
        </w:rPr>
        <w:t>————————</w:t>
      </w:r>
    </w:p>
    <w:p>
      <w:pPr>
        <w:spacing w:beforeLines="0" w:afterLines="0" w:line="380" w:lineRule="exact"/>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zh-CN"/>
        </w:rPr>
        <w:t>（</w:t>
      </w:r>
      <w:r>
        <w:rPr>
          <w:rFonts w:hint="eastAsia" w:ascii="宋体" w:hAnsi="宋体" w:cs="宋体"/>
          <w:bCs/>
          <w:szCs w:val="21"/>
          <w:lang w:val="en-US" w:eastAsia="zh-CN"/>
        </w:rPr>
        <w:t>7</w:t>
      </w:r>
      <w:r>
        <w:rPr>
          <w:rFonts w:hint="eastAsia" w:ascii="宋体" w:hAnsi="宋体" w:eastAsia="宋体" w:cs="宋体"/>
          <w:bCs/>
          <w:szCs w:val="21"/>
          <w:lang w:val="zh-CN"/>
        </w:rPr>
        <w:t>）供应商针对报价需要说明的其他文件和说明————————</w:t>
      </w:r>
    </w:p>
    <w:p>
      <w:pPr>
        <w:pStyle w:val="4"/>
        <w:spacing w:before="0" w:after="0" w:line="340" w:lineRule="exact"/>
        <w:jc w:val="center"/>
        <w:outlineLvl w:val="9"/>
        <w:rPr>
          <w:rFonts w:hint="eastAsia" w:ascii="宋体" w:hAnsi="宋体" w:eastAsia="宋体" w:cs="宋体"/>
          <w:b/>
          <w:bCs w:val="0"/>
          <w:color w:val="auto"/>
          <w:spacing w:val="11"/>
          <w:kern w:val="2"/>
          <w:sz w:val="21"/>
          <w:szCs w:val="21"/>
          <w:highlight w:val="none"/>
          <w:lang w:val="en-US" w:eastAsia="zh-CN" w:bidi="ar-SA"/>
        </w:rPr>
      </w:pPr>
    </w:p>
    <w:p>
      <w:pPr>
        <w:pStyle w:val="7"/>
        <w:rPr>
          <w:rFonts w:hint="eastAsia" w:ascii="宋体" w:hAnsi="宋体" w:eastAsia="宋体" w:cs="宋体"/>
          <w:b/>
          <w:bCs w:val="0"/>
          <w:color w:val="auto"/>
          <w:spacing w:val="11"/>
          <w:kern w:val="2"/>
          <w:sz w:val="21"/>
          <w:szCs w:val="21"/>
          <w:highlight w:val="none"/>
          <w:lang w:val="en-US" w:eastAsia="zh-CN" w:bidi="ar-SA"/>
        </w:rPr>
      </w:pPr>
    </w:p>
    <w:p>
      <w:pPr>
        <w:pStyle w:val="7"/>
        <w:pageBreakBefore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b/>
          <w:bCs w:val="0"/>
          <w:color w:val="auto"/>
          <w:spacing w:val="11"/>
          <w:kern w:val="2"/>
          <w:sz w:val="21"/>
          <w:szCs w:val="21"/>
          <w:highlight w:val="none"/>
          <w:lang w:val="en-US" w:eastAsia="zh-CN" w:bidi="ar-SA"/>
        </w:rPr>
      </w:pPr>
    </w:p>
    <w:p>
      <w:pPr>
        <w:pStyle w:val="4"/>
        <w:pageBreakBefore w:val="0"/>
        <w:kinsoku/>
        <w:wordWrap/>
        <w:overflowPunct/>
        <w:topLinePunct w:val="0"/>
        <w:bidi w:val="0"/>
        <w:adjustRightInd/>
        <w:snapToGrid/>
        <w:spacing w:before="0" w:after="0" w:line="360" w:lineRule="auto"/>
        <w:jc w:val="center"/>
        <w:textAlignment w:val="auto"/>
        <w:rPr>
          <w:rFonts w:hint="eastAsia" w:ascii="宋体" w:hAnsi="宋体" w:eastAsia="宋体" w:cs="宋体"/>
          <w:b/>
          <w:bCs w:val="0"/>
          <w:color w:val="auto"/>
          <w:spacing w:val="11"/>
          <w:kern w:val="2"/>
          <w:sz w:val="21"/>
          <w:szCs w:val="21"/>
          <w:highlight w:val="none"/>
          <w:lang w:val="en-US" w:eastAsia="zh-CN" w:bidi="ar-SA"/>
        </w:rPr>
      </w:pPr>
      <w:r>
        <w:rPr>
          <w:rFonts w:hint="eastAsia" w:ascii="宋体" w:hAnsi="宋体" w:eastAsia="宋体" w:cs="宋体"/>
          <w:b/>
          <w:bCs w:val="0"/>
          <w:color w:val="auto"/>
          <w:spacing w:val="11"/>
          <w:kern w:val="2"/>
          <w:sz w:val="21"/>
          <w:szCs w:val="21"/>
          <w:highlight w:val="none"/>
          <w:lang w:val="zh-CN" w:eastAsia="zh-CN" w:bidi="ar-SA"/>
        </w:rPr>
        <w:t>（</w:t>
      </w:r>
      <w:r>
        <w:rPr>
          <w:rFonts w:hint="eastAsia" w:ascii="宋体" w:hAnsi="宋体" w:eastAsia="宋体" w:cs="宋体"/>
          <w:b/>
          <w:bCs w:val="0"/>
          <w:color w:val="auto"/>
          <w:spacing w:val="11"/>
          <w:kern w:val="2"/>
          <w:sz w:val="21"/>
          <w:szCs w:val="21"/>
          <w:highlight w:val="none"/>
          <w:lang w:val="en-US" w:eastAsia="zh-CN" w:bidi="ar-SA"/>
        </w:rPr>
        <w:t>1</w:t>
      </w:r>
      <w:r>
        <w:rPr>
          <w:rFonts w:hint="eastAsia" w:ascii="宋体" w:hAnsi="宋体" w:eastAsia="宋体" w:cs="宋体"/>
          <w:b/>
          <w:bCs w:val="0"/>
          <w:color w:val="auto"/>
          <w:spacing w:val="11"/>
          <w:kern w:val="2"/>
          <w:sz w:val="21"/>
          <w:szCs w:val="21"/>
          <w:highlight w:val="none"/>
          <w:lang w:val="zh-CN" w:eastAsia="zh-CN" w:bidi="ar-SA"/>
        </w:rPr>
        <w:t>）</w:t>
      </w:r>
      <w:r>
        <w:rPr>
          <w:rFonts w:hint="eastAsia" w:ascii="宋体" w:hAnsi="宋体" w:eastAsia="宋体" w:cs="宋体"/>
          <w:b/>
          <w:bCs w:val="0"/>
          <w:color w:val="auto"/>
          <w:spacing w:val="11"/>
          <w:kern w:val="2"/>
          <w:sz w:val="21"/>
          <w:szCs w:val="21"/>
          <w:highlight w:val="none"/>
          <w:lang w:val="en-US" w:eastAsia="zh-CN" w:bidi="ar-SA"/>
        </w:rPr>
        <w:t>磋商函</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致：</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（采购单位名称）：</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20" w:firstLineChars="20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根据贵方为</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zh-CN"/>
        </w:rPr>
        <w:t xml:space="preserve"> </w:t>
      </w:r>
      <w:r>
        <w:rPr>
          <w:rFonts w:hint="eastAsia" w:ascii="宋体" w:hAnsi="宋体" w:eastAsia="宋体" w:cs="宋体"/>
          <w:color w:val="auto"/>
          <w:szCs w:val="21"/>
          <w:highlight w:val="none"/>
          <w:lang w:val="zh-CN"/>
        </w:rPr>
        <w:t>的磋商公告（项目编号：</w:t>
      </w:r>
      <w:r>
        <w:rPr>
          <w:rFonts w:hint="eastAsia" w:ascii="宋体" w:hAnsi="宋体" w:eastAsia="宋体" w:cs="宋体"/>
          <w:b/>
          <w:bCs/>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，签字代表</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（全名）经正式授权并代表供应商</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（供应商名称）提交磋商响应文件，并对本项目全部内容进行报价。</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据此函，签字代表宣布同意如下：</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1.我方已详细审查全部“磋商文件”，包括修改文件（如有的话）以及全部参考资料和有关附件，已经了解我方对于磋商文件、磋商过程、成交结果有依法进行询问、质疑、投诉的权利及相关渠道和要求。</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2.我方在磋商之前已经与贵方进行了充分的沟通，完全理解并接受磋商文件的各项规定和要求，对磋商文件的合理性、合法性不再有异议。</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3.本磋商响应文件有效期自磋商响应截止时间起</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日。</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4.如成交，本磋商响应文件至本项目合同履行完毕止均保持有效，我方将按“磋商文件”及政府采购法律、法规的规定履行合同责任和义务。</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5.我方同意按照贵方要求提供与磋商有关的一切数据或资料。</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480"/>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6.与本磋商有关的一切正式往来信函请寄：</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lang w:val="zh-CN"/>
        </w:rPr>
      </w:pP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地址：</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邮编：</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电话：</w:t>
      </w:r>
      <w:r>
        <w:rPr>
          <w:rFonts w:hint="eastAsia" w:ascii="宋体" w:hAnsi="宋体" w:eastAsia="宋体" w:cs="宋体"/>
          <w:color w:val="auto"/>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u w:val="single"/>
          <w:lang w:val="zh-CN"/>
        </w:rPr>
      </w:pPr>
      <w:r>
        <w:rPr>
          <w:rFonts w:hint="eastAsia" w:ascii="宋体" w:hAnsi="宋体" w:eastAsia="宋体" w:cs="宋体"/>
          <w:color w:val="auto"/>
          <w:szCs w:val="21"/>
          <w:highlight w:val="none"/>
          <w:lang w:val="zh-CN"/>
        </w:rPr>
        <w:t>传真：</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供应商代表姓名：</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职务：</w:t>
      </w:r>
      <w:r>
        <w:rPr>
          <w:rFonts w:hint="eastAsia" w:ascii="宋体" w:hAnsi="宋体" w:eastAsia="宋体" w:cs="宋体"/>
          <w:color w:val="auto"/>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供应商名称(公章):</w:t>
      </w:r>
      <w:r>
        <w:rPr>
          <w:rFonts w:hint="eastAsia" w:ascii="宋体" w:hAnsi="宋体" w:eastAsia="宋体" w:cs="宋体"/>
          <w:color w:val="auto"/>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开户银行：</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银行帐号：</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授权代表签字:</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 xml:space="preserve">                     </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auto"/>
        <w:rPr>
          <w:rFonts w:hint="eastAsia" w:ascii="宋体" w:hAnsi="宋体" w:eastAsia="宋体" w:cs="宋体"/>
          <w:b/>
          <w:bCs w:val="0"/>
          <w:color w:val="auto"/>
          <w:spacing w:val="11"/>
          <w:kern w:val="2"/>
          <w:sz w:val="21"/>
          <w:szCs w:val="21"/>
          <w:lang w:val="en-US" w:eastAsia="zh-CN" w:bidi="ar-SA"/>
        </w:rPr>
      </w:pPr>
      <w:r>
        <w:rPr>
          <w:rFonts w:hint="eastAsia" w:ascii="宋体" w:hAnsi="宋体" w:eastAsia="宋体" w:cs="宋体"/>
          <w:color w:val="auto"/>
          <w:szCs w:val="21"/>
          <w:highlight w:val="none"/>
          <w:lang w:val="zh-CN"/>
        </w:rPr>
        <w:t>日        期:</w:t>
      </w:r>
      <w:r>
        <w:rPr>
          <w:rFonts w:hint="eastAsia" w:ascii="宋体" w:hAnsi="宋体" w:eastAsia="宋体" w:cs="宋体"/>
          <w:color w:val="auto"/>
          <w:szCs w:val="21"/>
          <w:highlight w:val="none"/>
          <w:u w:val="single"/>
          <w:lang w:val="zh-CN"/>
        </w:rPr>
        <w:t xml:space="preserve">                  </w:t>
      </w:r>
    </w:p>
    <w:p>
      <w:pPr>
        <w:pStyle w:val="4"/>
        <w:jc w:val="center"/>
        <w:rPr>
          <w:rFonts w:hint="eastAsia" w:ascii="宋体" w:hAnsi="宋体" w:cs="宋体"/>
          <w:bCs w:val="0"/>
          <w:color w:val="auto"/>
          <w:spacing w:val="11"/>
          <w:sz w:val="21"/>
          <w:szCs w:val="21"/>
        </w:rPr>
      </w:pPr>
      <w:r>
        <w:rPr>
          <w:rFonts w:hint="eastAsia" w:ascii="宋体" w:hAnsi="宋体" w:eastAsia="宋体" w:cs="宋体"/>
          <w:b/>
          <w:bCs w:val="0"/>
          <w:color w:val="auto"/>
          <w:spacing w:val="11"/>
          <w:kern w:val="2"/>
          <w:sz w:val="21"/>
          <w:szCs w:val="21"/>
          <w:lang w:val="en-US" w:eastAsia="zh-CN" w:bidi="ar-SA"/>
        </w:rPr>
        <w:t>（2）</w:t>
      </w:r>
      <w:r>
        <w:rPr>
          <w:rFonts w:hint="eastAsia" w:ascii="宋体" w:hAnsi="宋体" w:cs="宋体"/>
          <w:bCs w:val="0"/>
          <w:color w:val="auto"/>
          <w:spacing w:val="11"/>
          <w:sz w:val="21"/>
          <w:szCs w:val="21"/>
        </w:rPr>
        <w:t>中小企业声明函（货物）</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rPr>
        <w:t>本公司（联合体）郑重声明，根据《政府采购促进中小企业发展管理办法》（财库﹝2020﹞46 号）的规定，本公司（联合体）参加</w:t>
      </w:r>
      <w:r>
        <w:rPr>
          <w:rFonts w:hint="eastAsia" w:ascii="宋体" w:hAnsi="宋体" w:cs="宋体"/>
          <w:spacing w:val="11"/>
          <w:szCs w:val="21"/>
          <w:u w:val="single"/>
        </w:rPr>
        <w:t>（单位名称）</w:t>
      </w:r>
      <w:r>
        <w:rPr>
          <w:rFonts w:hint="eastAsia" w:ascii="宋体" w:hAnsi="宋体" w:cs="宋体"/>
          <w:spacing w:val="11"/>
          <w:szCs w:val="21"/>
        </w:rPr>
        <w:t>的</w:t>
      </w:r>
      <w:r>
        <w:rPr>
          <w:rFonts w:hint="eastAsia" w:ascii="宋体" w:hAnsi="宋体" w:cs="宋体"/>
          <w:spacing w:val="11"/>
          <w:szCs w:val="21"/>
          <w:u w:val="single"/>
        </w:rPr>
        <w:t>（项目名称）</w:t>
      </w:r>
      <w:r>
        <w:rPr>
          <w:rFonts w:hint="eastAsia" w:ascii="宋体" w:hAnsi="宋体" w:cs="宋体"/>
          <w:spacing w:val="11"/>
          <w:szCs w:val="21"/>
        </w:rPr>
        <w:t>采购活动，提供的货物全部由符合政策要求的中小企业制造。相关企业（含联合体中的中小企业、签订分包意向协议的中小企业） 的具体情况如下：</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rPr>
        <w:t>1.</w:t>
      </w:r>
      <w:r>
        <w:rPr>
          <w:rFonts w:hint="eastAsia" w:ascii="宋体" w:hAnsi="宋体" w:cs="宋体"/>
          <w:spacing w:val="11"/>
          <w:szCs w:val="21"/>
          <w:u w:val="single"/>
        </w:rPr>
        <w:t>（标的名称）</w:t>
      </w:r>
      <w:r>
        <w:rPr>
          <w:rFonts w:hint="eastAsia" w:ascii="宋体" w:hAnsi="宋体" w:cs="宋体"/>
          <w:spacing w:val="11"/>
          <w:szCs w:val="21"/>
        </w:rPr>
        <w:t>，属于</w:t>
      </w:r>
      <w:r>
        <w:rPr>
          <w:rFonts w:hint="eastAsia" w:ascii="宋体" w:hAnsi="宋体" w:cs="宋体"/>
          <w:spacing w:val="11"/>
          <w:szCs w:val="21"/>
          <w:u w:val="single"/>
        </w:rPr>
        <w:t xml:space="preserve">（采购文件中明确的所属行业） </w:t>
      </w:r>
      <w:r>
        <w:rPr>
          <w:rFonts w:hint="eastAsia" w:ascii="宋体" w:hAnsi="宋体" w:cs="宋体"/>
          <w:spacing w:val="11"/>
          <w:szCs w:val="21"/>
        </w:rPr>
        <w:t>行业；制造商为</w:t>
      </w:r>
      <w:r>
        <w:rPr>
          <w:rFonts w:hint="eastAsia" w:ascii="宋体" w:hAnsi="宋体" w:cs="宋体"/>
          <w:spacing w:val="11"/>
          <w:szCs w:val="21"/>
          <w:u w:val="single"/>
        </w:rPr>
        <w:t>（企业名称）</w:t>
      </w:r>
      <w:r>
        <w:rPr>
          <w:rFonts w:hint="eastAsia" w:ascii="宋体" w:hAnsi="宋体" w:cs="宋体"/>
          <w:spacing w:val="11"/>
          <w:szCs w:val="21"/>
        </w:rPr>
        <w:t>，从业人员</w:t>
      </w:r>
      <w:r>
        <w:rPr>
          <w:rFonts w:hint="eastAsia" w:ascii="宋体" w:hAnsi="宋体" w:cs="宋体"/>
          <w:spacing w:val="11"/>
          <w:szCs w:val="21"/>
          <w:u w:val="single"/>
        </w:rPr>
        <w:t xml:space="preserve">    人</w:t>
      </w:r>
      <w:r>
        <w:rPr>
          <w:rFonts w:hint="eastAsia" w:ascii="宋体" w:hAnsi="宋体" w:cs="宋体"/>
          <w:spacing w:val="11"/>
          <w:szCs w:val="21"/>
        </w:rPr>
        <w:t>，营业收入为</w:t>
      </w:r>
      <w:r>
        <w:rPr>
          <w:rFonts w:hint="eastAsia" w:ascii="宋体" w:hAnsi="宋体" w:cs="宋体"/>
          <w:spacing w:val="11"/>
          <w:szCs w:val="21"/>
          <w:u w:val="single"/>
        </w:rPr>
        <w:t xml:space="preserve">      万元</w:t>
      </w:r>
      <w:r>
        <w:rPr>
          <w:rFonts w:hint="eastAsia" w:ascii="宋体" w:hAnsi="宋体" w:cs="宋体"/>
          <w:spacing w:val="11"/>
          <w:szCs w:val="21"/>
        </w:rPr>
        <w:t>，资产总额为</w:t>
      </w:r>
      <w:r>
        <w:rPr>
          <w:rFonts w:hint="eastAsia" w:ascii="宋体" w:hAnsi="宋体" w:cs="宋体"/>
          <w:spacing w:val="11"/>
          <w:szCs w:val="21"/>
          <w:u w:val="single"/>
        </w:rPr>
        <w:t xml:space="preserve">      万元</w:t>
      </w:r>
      <w:r>
        <w:rPr>
          <w:rFonts w:hint="eastAsia" w:ascii="宋体" w:hAnsi="宋体" w:cs="宋体"/>
          <w:spacing w:val="11"/>
          <w:szCs w:val="21"/>
        </w:rPr>
        <w:t>，属于</w:t>
      </w:r>
      <w:r>
        <w:rPr>
          <w:rFonts w:hint="eastAsia" w:ascii="宋体" w:hAnsi="宋体" w:cs="宋体"/>
          <w:spacing w:val="11"/>
          <w:szCs w:val="21"/>
          <w:u w:val="single"/>
        </w:rPr>
        <w:t>（中型企业、小型企业、微型企业）</w:t>
      </w:r>
      <w:r>
        <w:rPr>
          <w:rFonts w:hint="eastAsia" w:ascii="宋体" w:hAnsi="宋体" w:cs="宋体"/>
          <w:spacing w:val="11"/>
          <w:szCs w:val="21"/>
        </w:rPr>
        <w:t>；</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u w:val="single"/>
        </w:rPr>
        <w:t>2.（标的名称）</w:t>
      </w:r>
      <w:r>
        <w:rPr>
          <w:rFonts w:hint="eastAsia" w:ascii="宋体" w:hAnsi="宋体" w:cs="宋体"/>
          <w:spacing w:val="11"/>
          <w:szCs w:val="21"/>
        </w:rPr>
        <w:t>，属于</w:t>
      </w:r>
      <w:r>
        <w:rPr>
          <w:rFonts w:hint="eastAsia" w:ascii="宋体" w:hAnsi="宋体" w:cs="宋体"/>
          <w:spacing w:val="11"/>
          <w:szCs w:val="21"/>
          <w:u w:val="single"/>
        </w:rPr>
        <w:t xml:space="preserve">（采购文件中明确的所属行业） </w:t>
      </w:r>
      <w:r>
        <w:rPr>
          <w:rFonts w:hint="eastAsia" w:ascii="宋体" w:hAnsi="宋体" w:cs="宋体"/>
          <w:spacing w:val="11"/>
          <w:szCs w:val="21"/>
        </w:rPr>
        <w:t>行业；制造商为</w:t>
      </w:r>
      <w:r>
        <w:rPr>
          <w:rFonts w:hint="eastAsia" w:ascii="宋体" w:hAnsi="宋体" w:cs="宋体"/>
          <w:spacing w:val="11"/>
          <w:szCs w:val="21"/>
          <w:u w:val="single"/>
        </w:rPr>
        <w:t>（企业名称）</w:t>
      </w:r>
      <w:r>
        <w:rPr>
          <w:rFonts w:hint="eastAsia" w:ascii="宋体" w:hAnsi="宋体" w:cs="宋体"/>
          <w:spacing w:val="11"/>
          <w:szCs w:val="21"/>
        </w:rPr>
        <w:t>，从业人员</w:t>
      </w:r>
      <w:r>
        <w:rPr>
          <w:rFonts w:hint="eastAsia" w:ascii="宋体" w:hAnsi="宋体" w:cs="宋体"/>
          <w:spacing w:val="11"/>
          <w:szCs w:val="21"/>
          <w:u w:val="single"/>
        </w:rPr>
        <w:t xml:space="preserve">    人</w:t>
      </w:r>
      <w:r>
        <w:rPr>
          <w:rFonts w:hint="eastAsia" w:ascii="宋体" w:hAnsi="宋体" w:cs="宋体"/>
          <w:spacing w:val="11"/>
          <w:szCs w:val="21"/>
        </w:rPr>
        <w:t>，营业收入为</w:t>
      </w:r>
      <w:r>
        <w:rPr>
          <w:rFonts w:hint="eastAsia" w:ascii="宋体" w:hAnsi="宋体" w:cs="宋体"/>
          <w:spacing w:val="11"/>
          <w:szCs w:val="21"/>
          <w:u w:val="single"/>
        </w:rPr>
        <w:t xml:space="preserve">      万元</w:t>
      </w:r>
      <w:r>
        <w:rPr>
          <w:rFonts w:hint="eastAsia" w:ascii="宋体" w:hAnsi="宋体" w:cs="宋体"/>
          <w:spacing w:val="11"/>
          <w:szCs w:val="21"/>
        </w:rPr>
        <w:t>，资产总额为</w:t>
      </w:r>
      <w:r>
        <w:rPr>
          <w:rFonts w:hint="eastAsia" w:ascii="宋体" w:hAnsi="宋体" w:cs="宋体"/>
          <w:spacing w:val="11"/>
          <w:szCs w:val="21"/>
          <w:u w:val="single"/>
        </w:rPr>
        <w:t xml:space="preserve">      万元</w:t>
      </w:r>
      <w:r>
        <w:rPr>
          <w:rFonts w:hint="eastAsia" w:ascii="宋体" w:hAnsi="宋体" w:cs="宋体"/>
          <w:spacing w:val="11"/>
          <w:szCs w:val="21"/>
        </w:rPr>
        <w:t>，属于</w:t>
      </w:r>
      <w:r>
        <w:rPr>
          <w:rFonts w:hint="eastAsia" w:ascii="宋体" w:hAnsi="宋体" w:cs="宋体"/>
          <w:spacing w:val="11"/>
          <w:szCs w:val="21"/>
          <w:u w:val="single"/>
        </w:rPr>
        <w:t>（中型企业、小型企业、微型企业）</w:t>
      </w:r>
      <w:r>
        <w:rPr>
          <w:rFonts w:hint="eastAsia" w:ascii="宋体" w:hAnsi="宋体" w:cs="宋体"/>
          <w:spacing w:val="11"/>
          <w:szCs w:val="21"/>
        </w:rPr>
        <w:t>；</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rPr>
        <w:t xml:space="preserve"> …… </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rPr>
        <w:t xml:space="preserve">以上企业，不属于大企业的分支机构，不存在控股股东为大企业的情形，也不存在与大企业的负责人为同一人的情形。 </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rPr>
        <w:t xml:space="preserve">本企业对上述声明内容的真实性负责。如有虚假，将依法承担相应责任。 </w:t>
      </w:r>
    </w:p>
    <w:p>
      <w:pPr>
        <w:spacing w:line="420" w:lineRule="exact"/>
        <w:ind w:firstLine="464" w:firstLineChars="200"/>
        <w:rPr>
          <w:rFonts w:hint="eastAsia" w:ascii="宋体" w:hAnsi="宋体" w:cs="宋体"/>
          <w:spacing w:val="11"/>
          <w:szCs w:val="21"/>
        </w:rPr>
      </w:pPr>
      <w:r>
        <w:rPr>
          <w:rFonts w:hint="eastAsia" w:ascii="宋体" w:hAnsi="宋体" w:cs="宋体"/>
          <w:spacing w:val="11"/>
          <w:szCs w:val="21"/>
        </w:rPr>
        <w:t xml:space="preserve">企业名称（盖章）： </w:t>
      </w:r>
    </w:p>
    <w:p>
      <w:pPr>
        <w:pStyle w:val="4"/>
        <w:ind w:firstLine="464" w:firstLineChars="200"/>
        <w:jc w:val="left"/>
        <w:rPr>
          <w:rFonts w:hint="eastAsia" w:ascii="宋体" w:hAnsi="宋体" w:eastAsia="宋体" w:cs="宋体"/>
          <w:b w:val="0"/>
          <w:bCs w:val="0"/>
          <w:spacing w:val="11"/>
          <w:kern w:val="2"/>
          <w:sz w:val="21"/>
          <w:szCs w:val="21"/>
          <w:lang w:val="en-US" w:eastAsia="zh-CN" w:bidi="ar-SA"/>
        </w:rPr>
      </w:pPr>
      <w:r>
        <w:rPr>
          <w:rFonts w:hint="eastAsia" w:ascii="宋体" w:hAnsi="宋体" w:eastAsia="宋体" w:cs="宋体"/>
          <w:b w:val="0"/>
          <w:bCs w:val="0"/>
          <w:spacing w:val="11"/>
          <w:kern w:val="2"/>
          <w:sz w:val="21"/>
          <w:szCs w:val="21"/>
          <w:lang w:val="en-US" w:eastAsia="zh-CN" w:bidi="ar-SA"/>
        </w:rPr>
        <w:t>日 期：</w:t>
      </w:r>
    </w:p>
    <w:p>
      <w:pPr>
        <w:pStyle w:val="4"/>
        <w:jc w:val="left"/>
        <w:rPr>
          <w:rFonts w:hint="eastAsia" w:ascii="宋体" w:hAnsi="宋体" w:cs="宋体"/>
          <w:b/>
          <w:bCs w:val="0"/>
          <w:color w:val="auto"/>
          <w:spacing w:val="11"/>
          <w:sz w:val="21"/>
          <w:szCs w:val="21"/>
          <w:lang w:val="en-US" w:eastAsia="zh-CN"/>
        </w:rPr>
      </w:pPr>
      <w:r>
        <w:rPr>
          <w:rFonts w:hint="eastAsia" w:ascii="宋体" w:hAnsi="宋体" w:eastAsia="宋体" w:cs="宋体"/>
          <w:b w:val="0"/>
          <w:bCs w:val="0"/>
          <w:spacing w:val="11"/>
          <w:kern w:val="2"/>
          <w:sz w:val="21"/>
          <w:szCs w:val="21"/>
          <w:lang w:val="en-US" w:eastAsia="zh-CN" w:bidi="ar-SA"/>
        </w:rPr>
        <w:t>注：从业人员、营业收入、资产总额填报上一年度数据，无上一年度数据的新成立企业可不填报。</w:t>
      </w:r>
    </w:p>
    <w:p>
      <w:pPr>
        <w:pStyle w:val="4"/>
        <w:keepNext/>
        <w:keepLines/>
        <w:spacing w:line="416" w:lineRule="auto"/>
        <w:jc w:val="both"/>
        <w:rPr>
          <w:rFonts w:hint="eastAsia" w:ascii="宋体" w:hAnsi="宋体" w:eastAsia="宋体" w:cs="宋体"/>
          <w:b/>
          <w:bCs w:val="0"/>
          <w:color w:val="auto"/>
          <w:spacing w:val="11"/>
          <w:sz w:val="21"/>
          <w:szCs w:val="21"/>
          <w:lang w:val="en-US"/>
        </w:rPr>
      </w:pPr>
      <w:r>
        <w:rPr>
          <w:rFonts w:hint="eastAsia" w:ascii="宋体" w:hAnsi="宋体" w:cs="宋体"/>
          <w:b/>
          <w:bCs w:val="0"/>
          <w:color w:val="auto"/>
          <w:spacing w:val="11"/>
          <w:sz w:val="21"/>
          <w:szCs w:val="21"/>
          <w:lang w:val="en-US" w:eastAsia="zh-CN"/>
        </w:rPr>
        <w:t>（3）</w:t>
      </w:r>
      <w:r>
        <w:rPr>
          <w:rFonts w:hint="eastAsia" w:ascii="宋体" w:hAnsi="宋体" w:eastAsia="宋体" w:cs="宋体"/>
          <w:b/>
          <w:bCs w:val="0"/>
          <w:color w:val="auto"/>
          <w:spacing w:val="11"/>
          <w:sz w:val="21"/>
          <w:szCs w:val="21"/>
          <w:lang w:val="en-US"/>
        </w:rPr>
        <w:t>残疾人福利性单位声明函（若不符合可不提供）</w:t>
      </w:r>
    </w:p>
    <w:p>
      <w:pPr>
        <w:spacing w:line="420" w:lineRule="exact"/>
        <w:ind w:firstLine="464" w:firstLineChars="200"/>
        <w:rPr>
          <w:rFonts w:hint="eastAsia" w:ascii="宋体" w:hAnsi="宋体" w:eastAsia="宋体" w:cs="宋体"/>
          <w:color w:val="auto"/>
          <w:spacing w:val="11"/>
          <w:szCs w:val="21"/>
          <w:lang w:eastAsia="zh-CN"/>
        </w:rPr>
      </w:pPr>
      <w:r>
        <w:rPr>
          <w:rFonts w:hint="eastAsia" w:ascii="宋体" w:hAnsi="宋体" w:cs="宋体"/>
          <w:color w:val="auto"/>
          <w:spacing w:val="1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r>
        <w:rPr>
          <w:rFonts w:hint="eastAsia" w:ascii="宋体" w:hAnsi="宋体" w:cs="宋体"/>
          <w:color w:val="auto"/>
          <w:spacing w:val="11"/>
          <w:szCs w:val="21"/>
          <w:lang w:eastAsia="zh-CN"/>
        </w:rPr>
        <w:t>。</w:t>
      </w:r>
    </w:p>
    <w:p>
      <w:pPr>
        <w:spacing w:line="420" w:lineRule="exact"/>
        <w:ind w:firstLine="464" w:firstLineChars="200"/>
        <w:rPr>
          <w:rFonts w:hint="eastAsia" w:ascii="宋体" w:hAnsi="宋体" w:cs="宋体"/>
          <w:color w:val="auto"/>
          <w:spacing w:val="11"/>
          <w:szCs w:val="21"/>
        </w:rPr>
      </w:pPr>
      <w:r>
        <w:rPr>
          <w:rFonts w:hint="eastAsia" w:ascii="宋体" w:hAnsi="宋体" w:cs="宋体"/>
          <w:color w:val="auto"/>
          <w:spacing w:val="11"/>
          <w:szCs w:val="21"/>
        </w:rPr>
        <w:t>本单位对上述声明的真实性负责。如有虚假，将依法承担相应责任。</w:t>
      </w:r>
    </w:p>
    <w:p>
      <w:pPr>
        <w:spacing w:line="420" w:lineRule="exact"/>
        <w:ind w:firstLine="464" w:firstLineChars="200"/>
        <w:jc w:val="center"/>
        <w:rPr>
          <w:rFonts w:hint="eastAsia" w:ascii="宋体" w:hAnsi="宋体" w:cs="宋体"/>
          <w:color w:val="auto"/>
          <w:spacing w:val="11"/>
          <w:szCs w:val="21"/>
        </w:rPr>
      </w:pPr>
    </w:p>
    <w:p>
      <w:pPr>
        <w:spacing w:line="420" w:lineRule="exact"/>
        <w:ind w:firstLine="464" w:firstLineChars="200"/>
        <w:jc w:val="center"/>
        <w:rPr>
          <w:rFonts w:hint="eastAsia" w:ascii="宋体" w:hAnsi="宋体" w:cs="宋体"/>
          <w:color w:val="auto"/>
          <w:spacing w:val="11"/>
          <w:szCs w:val="21"/>
        </w:rPr>
      </w:pPr>
      <w:r>
        <w:rPr>
          <w:rFonts w:hint="eastAsia" w:ascii="宋体" w:hAnsi="宋体" w:cs="宋体"/>
          <w:color w:val="auto"/>
          <w:spacing w:val="11"/>
          <w:szCs w:val="21"/>
        </w:rPr>
        <w:t xml:space="preserve">                   单位名称（盖章）：</w:t>
      </w:r>
    </w:p>
    <w:p>
      <w:pPr>
        <w:snapToGrid w:val="0"/>
        <w:spacing w:before="156" w:beforeLines="50"/>
        <w:ind w:firstLine="5104" w:firstLineChars="2200"/>
        <w:jc w:val="left"/>
        <w:rPr>
          <w:color w:val="auto"/>
        </w:rPr>
      </w:pPr>
      <w:r>
        <w:rPr>
          <w:rFonts w:hint="eastAsia" w:ascii="宋体" w:hAnsi="宋体" w:cs="宋体"/>
          <w:color w:val="auto"/>
          <w:spacing w:val="11"/>
          <w:szCs w:val="21"/>
        </w:rPr>
        <w:t xml:space="preserve">          日  期：</w:t>
      </w:r>
    </w:p>
    <w:p>
      <w:pPr>
        <w:pStyle w:val="19"/>
        <w:ind w:left="0" w:leftChars="0" w:firstLine="0" w:firstLineChars="0"/>
        <w:rPr>
          <w:rFonts w:hint="eastAsia" w:ascii="宋体" w:hAnsi="宋体" w:eastAsia="宋体" w:cs="宋体"/>
          <w:b/>
          <w:bCs w:val="0"/>
          <w:color w:val="auto"/>
          <w:spacing w:val="11"/>
          <w:kern w:val="2"/>
          <w:sz w:val="21"/>
          <w:szCs w:val="21"/>
          <w:lang w:val="zh-CN" w:eastAsia="zh-CN" w:bidi="ar-SA"/>
        </w:rPr>
      </w:pPr>
    </w:p>
    <w:p>
      <w:pPr>
        <w:pStyle w:val="19"/>
        <w:ind w:left="0" w:leftChars="0" w:firstLine="0" w:firstLineChars="0"/>
        <w:rPr>
          <w:rFonts w:hint="eastAsia" w:ascii="宋体" w:hAnsi="宋体" w:eastAsia="宋体" w:cs="宋体"/>
          <w:b/>
          <w:bCs w:val="0"/>
          <w:color w:val="auto"/>
          <w:spacing w:val="11"/>
          <w:kern w:val="2"/>
          <w:sz w:val="21"/>
          <w:szCs w:val="21"/>
          <w:lang w:val="en-US" w:eastAsia="zh-CN" w:bidi="ar-SA"/>
        </w:rPr>
      </w:pPr>
      <w:r>
        <w:rPr>
          <w:rFonts w:hint="eastAsia" w:ascii="宋体" w:hAnsi="宋体" w:eastAsia="宋体" w:cs="宋体"/>
          <w:b/>
          <w:bCs w:val="0"/>
          <w:color w:val="auto"/>
          <w:spacing w:val="11"/>
          <w:kern w:val="2"/>
          <w:sz w:val="21"/>
          <w:szCs w:val="21"/>
          <w:lang w:val="zh-CN" w:eastAsia="zh-CN" w:bidi="ar-SA"/>
        </w:rPr>
        <w:t>（4）属于监狱企业的证明文件（格式自拟）</w:t>
      </w:r>
    </w:p>
    <w:p>
      <w:pPr>
        <w:pStyle w:val="4"/>
        <w:jc w:val="both"/>
        <w:rPr>
          <w:rFonts w:hint="eastAsia" w:ascii="宋体" w:hAnsi="宋体" w:cs="宋体"/>
          <w:b/>
          <w:bCs w:val="0"/>
          <w:color w:val="auto"/>
          <w:spacing w:val="11"/>
          <w:kern w:val="2"/>
          <w:sz w:val="21"/>
          <w:szCs w:val="21"/>
          <w:lang w:val="en-US" w:eastAsia="zh-CN" w:bidi="ar-SA"/>
        </w:rPr>
      </w:pPr>
    </w:p>
    <w:p>
      <w:pPr>
        <w:rPr>
          <w:rFonts w:hint="eastAsia"/>
          <w:lang w:val="en-US" w:eastAsia="zh-CN"/>
        </w:rPr>
      </w:pPr>
    </w:p>
    <w:p>
      <w:pPr>
        <w:pStyle w:val="4"/>
        <w:jc w:val="both"/>
        <w:rPr>
          <w:rFonts w:hint="eastAsia" w:ascii="宋体" w:hAnsi="宋体" w:eastAsia="宋体" w:cs="宋体"/>
          <w:color w:val="auto"/>
          <w:spacing w:val="11"/>
          <w:sz w:val="21"/>
          <w:szCs w:val="21"/>
        </w:rPr>
      </w:pPr>
      <w:r>
        <w:rPr>
          <w:rFonts w:hint="eastAsia" w:ascii="宋体" w:hAnsi="宋体" w:cs="宋体"/>
          <w:b/>
          <w:bCs w:val="0"/>
          <w:color w:val="auto"/>
          <w:spacing w:val="11"/>
          <w:kern w:val="2"/>
          <w:sz w:val="21"/>
          <w:szCs w:val="21"/>
          <w:lang w:val="en-US" w:eastAsia="zh-CN" w:bidi="ar-SA"/>
        </w:rPr>
        <w:t>（5）</w:t>
      </w:r>
      <w:r>
        <w:rPr>
          <w:rFonts w:hint="eastAsia" w:ascii="宋体" w:hAnsi="宋体" w:eastAsia="宋体" w:cs="宋体"/>
          <w:b/>
          <w:bCs w:val="0"/>
          <w:color w:val="auto"/>
          <w:spacing w:val="11"/>
          <w:kern w:val="2"/>
          <w:sz w:val="21"/>
          <w:szCs w:val="21"/>
          <w:lang w:val="en-US" w:eastAsia="zh-CN" w:bidi="ar-SA"/>
        </w:rPr>
        <w:t>磋商报价一览表（首次报价）</w:t>
      </w:r>
    </w:p>
    <w:tbl>
      <w:tblPr>
        <w:tblStyle w:val="21"/>
        <w:tblW w:w="45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660"/>
        <w:gridCol w:w="2103"/>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70" w:type="pct"/>
            <w:tcBorders>
              <w:tl2br w:val="nil"/>
              <w:tr2bl w:val="nil"/>
            </w:tcBorders>
            <w:noWrap w:val="0"/>
            <w:vAlign w:val="center"/>
          </w:tcPr>
          <w:p>
            <w:pPr>
              <w:snapToGrid w:val="0"/>
              <w:spacing w:before="50" w:after="50"/>
              <w:jc w:val="center"/>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序号</w:t>
            </w:r>
          </w:p>
        </w:tc>
        <w:tc>
          <w:tcPr>
            <w:tcW w:w="1534" w:type="pct"/>
            <w:tcBorders>
              <w:tl2br w:val="nil"/>
              <w:tr2bl w:val="nil"/>
            </w:tcBorders>
            <w:noWrap w:val="0"/>
            <w:vAlign w:val="center"/>
          </w:tcPr>
          <w:p>
            <w:pPr>
              <w:snapToGrid w:val="0"/>
              <w:spacing w:before="50" w:after="50"/>
              <w:jc w:val="center"/>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项目名称</w:t>
            </w:r>
          </w:p>
        </w:tc>
        <w:tc>
          <w:tcPr>
            <w:tcW w:w="1213" w:type="pct"/>
            <w:tcBorders>
              <w:tl2br w:val="nil"/>
              <w:tr2bl w:val="nil"/>
            </w:tcBorders>
            <w:noWrap w:val="0"/>
            <w:vAlign w:val="center"/>
          </w:tcPr>
          <w:p>
            <w:pPr>
              <w:snapToGrid w:val="0"/>
              <w:spacing w:before="50" w:after="50"/>
              <w:jc w:val="center"/>
              <w:rPr>
                <w:rFonts w:hint="eastAsia" w:ascii="宋体" w:hAnsi="宋体" w:eastAsia="宋体" w:cs="宋体"/>
                <w:b w:val="0"/>
                <w:bCs w:val="0"/>
                <w:szCs w:val="21"/>
                <w:highlight w:val="none"/>
                <w:lang w:eastAsia="zh-CN"/>
              </w:rPr>
            </w:pPr>
            <w:r>
              <w:rPr>
                <w:rFonts w:hint="eastAsia" w:ascii="宋体" w:hAnsi="宋体" w:cs="宋体"/>
                <w:b w:val="0"/>
                <w:bCs w:val="0"/>
                <w:szCs w:val="21"/>
                <w:highlight w:val="none"/>
                <w:lang w:val="en-US" w:eastAsia="zh-CN"/>
              </w:rPr>
              <w:t>磋商报价</w:t>
            </w:r>
            <w:r>
              <w:rPr>
                <w:rFonts w:hint="eastAsia" w:ascii="宋体" w:hAnsi="宋体" w:cs="宋体"/>
                <w:b w:val="0"/>
                <w:bCs w:val="0"/>
                <w:szCs w:val="21"/>
                <w:highlight w:val="none"/>
                <w:lang w:eastAsia="zh-CN"/>
              </w:rPr>
              <w:t>（元）</w:t>
            </w:r>
          </w:p>
        </w:tc>
        <w:tc>
          <w:tcPr>
            <w:tcW w:w="1681" w:type="pct"/>
            <w:tcBorders>
              <w:tl2br w:val="nil"/>
              <w:tr2bl w:val="nil"/>
            </w:tcBorders>
            <w:noWrap w:val="0"/>
            <w:vAlign w:val="center"/>
          </w:tcPr>
          <w:p>
            <w:pPr>
              <w:snapToGrid w:val="0"/>
              <w:spacing w:before="50" w:after="50"/>
              <w:jc w:val="center"/>
              <w:rPr>
                <w:rFonts w:hint="eastAsia" w:ascii="宋体" w:hAnsi="宋体" w:eastAsia="宋体" w:cs="宋体"/>
                <w:b w:val="0"/>
                <w:bCs w:val="0"/>
                <w:szCs w:val="21"/>
                <w:highlight w:val="none"/>
                <w:lang w:val="zh-CN"/>
              </w:rPr>
            </w:pPr>
            <w:r>
              <w:rPr>
                <w:rFonts w:hint="eastAsia" w:ascii="宋体" w:hAnsi="宋体" w:cs="宋体"/>
                <w:b w:val="0"/>
                <w:bCs w:val="0"/>
                <w:szCs w:val="21"/>
                <w:highlight w:val="none"/>
                <w:lang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570" w:type="pct"/>
            <w:tcBorders>
              <w:tl2br w:val="nil"/>
              <w:tr2bl w:val="nil"/>
            </w:tcBorders>
            <w:noWrap w:val="0"/>
            <w:vAlign w:val="center"/>
          </w:tcPr>
          <w:p>
            <w:pPr>
              <w:snapToGrid w:val="0"/>
              <w:spacing w:before="50" w:after="50"/>
              <w:jc w:val="center"/>
              <w:rPr>
                <w:rFonts w:hint="eastAsia" w:ascii="宋体" w:hAnsi="宋体" w:eastAsia="宋体" w:cs="宋体"/>
                <w:b w:val="0"/>
                <w:bCs w:val="0"/>
                <w:szCs w:val="21"/>
              </w:rPr>
            </w:pPr>
            <w:r>
              <w:rPr>
                <w:rFonts w:hint="eastAsia" w:ascii="宋体" w:hAnsi="宋体" w:eastAsia="宋体" w:cs="宋体"/>
                <w:b w:val="0"/>
                <w:bCs w:val="0"/>
                <w:szCs w:val="21"/>
              </w:rPr>
              <w:t>1</w:t>
            </w:r>
          </w:p>
        </w:tc>
        <w:tc>
          <w:tcPr>
            <w:tcW w:w="1534" w:type="pct"/>
            <w:tcBorders>
              <w:tl2br w:val="nil"/>
              <w:tr2bl w:val="nil"/>
            </w:tcBorders>
            <w:noWrap w:val="0"/>
            <w:vAlign w:val="center"/>
          </w:tcPr>
          <w:p>
            <w:pPr>
              <w:snapToGrid w:val="0"/>
              <w:spacing w:before="50" w:after="50"/>
              <w:rPr>
                <w:rFonts w:hint="eastAsia" w:ascii="宋体" w:hAnsi="宋体" w:eastAsia="宋体" w:cs="宋体"/>
                <w:b w:val="0"/>
                <w:bCs w:val="0"/>
                <w:szCs w:val="21"/>
                <w:lang w:eastAsia="zh-CN"/>
              </w:rPr>
            </w:pPr>
          </w:p>
        </w:tc>
        <w:tc>
          <w:tcPr>
            <w:tcW w:w="1213" w:type="pct"/>
            <w:tcBorders>
              <w:tl2br w:val="nil"/>
              <w:tr2bl w:val="nil"/>
            </w:tcBorders>
            <w:noWrap w:val="0"/>
            <w:vAlign w:val="center"/>
          </w:tcPr>
          <w:p>
            <w:pPr>
              <w:snapToGrid w:val="0"/>
              <w:spacing w:before="50" w:after="50"/>
              <w:jc w:val="center"/>
              <w:rPr>
                <w:rFonts w:hint="eastAsia" w:ascii="宋体" w:hAnsi="宋体" w:eastAsia="宋体" w:cs="宋体"/>
                <w:b w:val="0"/>
                <w:bCs w:val="0"/>
                <w:szCs w:val="21"/>
              </w:rPr>
            </w:pPr>
          </w:p>
        </w:tc>
        <w:tc>
          <w:tcPr>
            <w:tcW w:w="1681" w:type="pct"/>
            <w:tcBorders>
              <w:tl2br w:val="nil"/>
              <w:tr2bl w:val="nil"/>
            </w:tcBorders>
            <w:noWrap w:val="0"/>
            <w:vAlign w:val="center"/>
          </w:tcPr>
          <w:p>
            <w:pPr>
              <w:snapToGrid w:val="0"/>
              <w:spacing w:before="50" w:after="50"/>
              <w:jc w:val="left"/>
              <w:rPr>
                <w:rFonts w:hint="eastAsia" w:ascii="宋体" w:hAnsi="宋体" w:eastAsia="宋体" w:cs="宋体"/>
                <w:b w:val="0"/>
                <w:bCs w:val="0"/>
                <w:szCs w:val="21"/>
              </w:rPr>
            </w:pPr>
            <w:r>
              <w:rPr>
                <w:rFonts w:hint="eastAsia" w:ascii="宋体" w:hAnsi="宋体"/>
                <w:szCs w:val="21"/>
                <w:highlight w:val="none"/>
                <w:u w:val="none"/>
              </w:rPr>
              <w:t>合同签订后</w:t>
            </w:r>
            <w:r>
              <w:rPr>
                <w:rFonts w:hint="eastAsia" w:ascii="宋体" w:hAnsi="宋体"/>
                <w:szCs w:val="21"/>
                <w:highlight w:val="none"/>
                <w:u w:val="none"/>
                <w:lang w:val="en-US" w:eastAsia="zh-CN"/>
              </w:rPr>
              <w:t>3</w:t>
            </w:r>
            <w:r>
              <w:rPr>
                <w:rFonts w:hint="eastAsia" w:ascii="宋体" w:hAnsi="宋体"/>
                <w:szCs w:val="21"/>
                <w:highlight w:val="none"/>
                <w:u w:val="none"/>
              </w:rPr>
              <w:t>0日历天内完成设备采购、安装调试并经验收合格。</w:t>
            </w:r>
          </w:p>
        </w:tc>
      </w:tr>
    </w:tbl>
    <w:p>
      <w:pPr>
        <w:snapToGrid w:val="0"/>
        <w:spacing w:line="360" w:lineRule="exact"/>
        <w:rPr>
          <w:rFonts w:hint="eastAsia" w:ascii="宋体" w:hAnsi="宋体" w:eastAsia="宋体" w:cs="宋体"/>
          <w:b/>
          <w:bCs/>
          <w:color w:val="auto"/>
          <w:spacing w:val="11"/>
          <w:sz w:val="21"/>
          <w:szCs w:val="21"/>
        </w:rPr>
      </w:pPr>
    </w:p>
    <w:p>
      <w:pPr>
        <w:snapToGrid w:val="0"/>
        <w:spacing w:line="360" w:lineRule="exact"/>
        <w:rPr>
          <w:rFonts w:hint="eastAsia" w:ascii="宋体" w:hAnsi="宋体" w:eastAsia="宋体" w:cs="宋体"/>
          <w:b/>
          <w:bCs/>
          <w:color w:val="auto"/>
          <w:spacing w:val="11"/>
          <w:sz w:val="21"/>
          <w:szCs w:val="21"/>
        </w:rPr>
      </w:pPr>
      <w:r>
        <w:rPr>
          <w:rFonts w:hint="eastAsia" w:ascii="宋体" w:hAnsi="宋体" w:eastAsia="宋体" w:cs="宋体"/>
          <w:b/>
          <w:bCs/>
          <w:color w:val="auto"/>
          <w:spacing w:val="11"/>
          <w:sz w:val="21"/>
          <w:szCs w:val="21"/>
        </w:rPr>
        <w:t xml:space="preserve">注: </w:t>
      </w:r>
      <w:r>
        <w:rPr>
          <w:rFonts w:hint="eastAsia" w:ascii="宋体" w:hAnsi="宋体" w:eastAsia="宋体" w:cs="宋体"/>
          <w:b/>
          <w:bCs/>
          <w:color w:val="auto"/>
          <w:spacing w:val="11"/>
          <w:sz w:val="21"/>
          <w:szCs w:val="21"/>
          <w:lang w:val="en-US" w:eastAsia="zh-CN"/>
        </w:rPr>
        <w:t>1.</w:t>
      </w:r>
      <w:r>
        <w:rPr>
          <w:rFonts w:hint="eastAsia" w:ascii="宋体" w:hAnsi="宋体" w:eastAsia="宋体" w:cs="宋体"/>
          <w:b/>
          <w:bCs/>
          <w:color w:val="auto"/>
          <w:spacing w:val="11"/>
          <w:sz w:val="21"/>
          <w:szCs w:val="21"/>
        </w:rPr>
        <w:t>不提供此表格的将视为没有实质性响应</w:t>
      </w:r>
      <w:r>
        <w:rPr>
          <w:rFonts w:hint="eastAsia" w:ascii="宋体" w:hAnsi="宋体" w:eastAsia="宋体" w:cs="宋体"/>
          <w:b/>
          <w:bCs/>
          <w:color w:val="auto"/>
          <w:spacing w:val="11"/>
          <w:sz w:val="21"/>
          <w:szCs w:val="21"/>
          <w:lang w:eastAsia="zh-CN"/>
        </w:rPr>
        <w:t>磋商文件</w:t>
      </w:r>
      <w:r>
        <w:rPr>
          <w:rFonts w:hint="eastAsia" w:ascii="宋体" w:hAnsi="宋体" w:eastAsia="宋体" w:cs="宋体"/>
          <w:b/>
          <w:bCs/>
          <w:color w:val="auto"/>
          <w:spacing w:val="11"/>
          <w:sz w:val="21"/>
          <w:szCs w:val="21"/>
        </w:rPr>
        <w:t>。</w:t>
      </w:r>
    </w:p>
    <w:p>
      <w:pPr>
        <w:numPr>
          <w:ilvl w:val="0"/>
          <w:numId w:val="5"/>
        </w:numPr>
        <w:snapToGrid w:val="0"/>
        <w:spacing w:line="360" w:lineRule="exact"/>
        <w:rPr>
          <w:rFonts w:hint="eastAsia" w:ascii="宋体" w:hAnsi="宋体" w:eastAsia="宋体" w:cs="宋体"/>
          <w:b/>
          <w:bCs/>
          <w:color w:val="auto"/>
          <w:spacing w:val="11"/>
          <w:sz w:val="21"/>
          <w:szCs w:val="21"/>
          <w:lang w:eastAsia="zh-CN"/>
        </w:rPr>
      </w:pPr>
      <w:r>
        <w:rPr>
          <w:rFonts w:hint="eastAsia" w:ascii="宋体" w:hAnsi="宋体" w:eastAsia="宋体" w:cs="宋体"/>
          <w:b/>
          <w:bCs/>
          <w:color w:val="auto"/>
          <w:spacing w:val="11"/>
          <w:sz w:val="21"/>
          <w:szCs w:val="21"/>
          <w:lang w:eastAsia="zh-CN"/>
        </w:rPr>
        <w:t>本</w:t>
      </w:r>
      <w:r>
        <w:rPr>
          <w:rFonts w:hint="eastAsia" w:ascii="宋体" w:hAnsi="宋体" w:eastAsia="宋体" w:cs="宋体"/>
          <w:b/>
          <w:bCs/>
          <w:color w:val="auto"/>
          <w:spacing w:val="11"/>
          <w:sz w:val="21"/>
          <w:szCs w:val="21"/>
          <w:lang w:val="en-US" w:eastAsia="zh-CN"/>
        </w:rPr>
        <w:t>磋商报价</w:t>
      </w:r>
      <w:r>
        <w:rPr>
          <w:rFonts w:hint="eastAsia" w:ascii="宋体" w:hAnsi="宋体" w:cs="宋体"/>
          <w:b/>
          <w:bCs/>
          <w:color w:val="auto"/>
          <w:spacing w:val="11"/>
          <w:sz w:val="21"/>
          <w:szCs w:val="21"/>
          <w:lang w:eastAsia="zh-CN"/>
        </w:rPr>
        <w:t>是</w:t>
      </w:r>
      <w:r>
        <w:rPr>
          <w:rFonts w:hint="eastAsia" w:ascii="宋体" w:hAnsi="宋体" w:eastAsia="宋体" w:cs="宋体"/>
          <w:b/>
          <w:bCs/>
          <w:color w:val="auto"/>
          <w:spacing w:val="11"/>
          <w:sz w:val="21"/>
          <w:szCs w:val="21"/>
          <w:lang w:eastAsia="zh-CN"/>
        </w:rPr>
        <w:t>响应文件确定范围内的全部工作内容的价格表现，费用包括所投货物及其备品备件和专用工具费用、税费及包装、运至最终目的地的运输、保险、现场装卸、检测验收、售后服务、维保及相关劳务支出等工作所发生的全部费用以及供应商企业利润、税金和政策性文件规定及合同包含的所有风险、责任等各项应有费用及招标代理费。如在实施期间有需要实施而未列入报价的费用，将被视为均已包含在报价中。</w:t>
      </w:r>
    </w:p>
    <w:p>
      <w:pPr>
        <w:numPr>
          <w:ilvl w:val="0"/>
          <w:numId w:val="5"/>
        </w:numPr>
        <w:snapToGrid w:val="0"/>
        <w:spacing w:line="360" w:lineRule="exact"/>
        <w:rPr>
          <w:rFonts w:hint="default" w:ascii="宋体" w:hAnsi="宋体" w:eastAsia="宋体" w:cs="宋体"/>
          <w:b/>
          <w:bCs/>
          <w:color w:val="auto"/>
          <w:spacing w:val="11"/>
          <w:sz w:val="21"/>
          <w:szCs w:val="21"/>
          <w:lang w:val="en-US" w:eastAsia="zh-CN"/>
        </w:rPr>
      </w:pPr>
      <w:r>
        <w:rPr>
          <w:rFonts w:hint="eastAsia" w:ascii="宋体" w:hAnsi="宋体" w:eastAsia="宋体" w:cs="宋体"/>
          <w:b/>
          <w:bCs/>
          <w:color w:val="auto"/>
          <w:spacing w:val="11"/>
          <w:sz w:val="21"/>
          <w:szCs w:val="21"/>
          <w:lang w:eastAsia="zh-CN"/>
        </w:rPr>
        <w:t>以上报价应与“</w:t>
      </w:r>
      <w:r>
        <w:rPr>
          <w:rFonts w:hint="eastAsia" w:ascii="宋体" w:hAnsi="宋体" w:eastAsia="宋体" w:cs="宋体"/>
          <w:b/>
          <w:bCs w:val="0"/>
          <w:color w:val="auto"/>
          <w:spacing w:val="11"/>
          <w:kern w:val="2"/>
          <w:sz w:val="21"/>
          <w:szCs w:val="21"/>
          <w:lang w:val="en-US" w:eastAsia="zh-CN" w:bidi="ar-SA"/>
        </w:rPr>
        <w:t>报价明细表</w:t>
      </w:r>
      <w:r>
        <w:rPr>
          <w:rFonts w:hint="eastAsia" w:ascii="宋体" w:hAnsi="宋体" w:eastAsia="宋体" w:cs="宋体"/>
          <w:b/>
          <w:bCs/>
          <w:color w:val="auto"/>
          <w:spacing w:val="11"/>
          <w:sz w:val="21"/>
          <w:szCs w:val="21"/>
          <w:lang w:eastAsia="zh-CN"/>
        </w:rPr>
        <w:t>”中的“</w:t>
      </w:r>
      <w:r>
        <w:rPr>
          <w:rFonts w:hint="eastAsia" w:ascii="宋体" w:hAnsi="宋体" w:eastAsia="宋体" w:cs="宋体"/>
          <w:b/>
          <w:bCs/>
          <w:color w:val="auto"/>
          <w:spacing w:val="11"/>
          <w:sz w:val="21"/>
          <w:szCs w:val="21"/>
          <w:lang w:val="en-US" w:eastAsia="zh-CN"/>
        </w:rPr>
        <w:t>磋商</w:t>
      </w:r>
      <w:r>
        <w:rPr>
          <w:rFonts w:hint="eastAsia" w:ascii="宋体" w:hAnsi="宋体" w:eastAsia="宋体" w:cs="宋体"/>
          <w:b/>
          <w:bCs/>
          <w:color w:val="auto"/>
          <w:spacing w:val="11"/>
          <w:sz w:val="21"/>
          <w:szCs w:val="21"/>
          <w:lang w:eastAsia="zh-CN"/>
        </w:rPr>
        <w:t>总价”相一致。</w:t>
      </w:r>
    </w:p>
    <w:p>
      <w:pPr>
        <w:snapToGrid w:val="0"/>
        <w:spacing w:before="156" w:beforeLines="50" w:line="360" w:lineRule="exact"/>
        <w:rPr>
          <w:rFonts w:hint="eastAsia" w:ascii="宋体" w:hAnsi="宋体" w:eastAsia="宋体" w:cs="宋体"/>
          <w:color w:val="auto"/>
          <w:spacing w:val="11"/>
          <w:sz w:val="21"/>
          <w:szCs w:val="21"/>
          <w:u w:val="single"/>
        </w:rPr>
      </w:pPr>
      <w:r>
        <w:rPr>
          <w:rFonts w:hint="eastAsia" w:ascii="宋体" w:hAnsi="宋体" w:eastAsia="宋体" w:cs="宋体"/>
          <w:color w:val="auto"/>
          <w:spacing w:val="11"/>
          <w:sz w:val="21"/>
          <w:szCs w:val="21"/>
        </w:rPr>
        <w:t>法定代表人或授权代表（签字或盖章）：</w:t>
      </w:r>
      <w:r>
        <w:rPr>
          <w:rFonts w:hint="eastAsia" w:ascii="宋体" w:hAnsi="宋体" w:eastAsia="宋体" w:cs="宋体"/>
          <w:color w:val="auto"/>
          <w:spacing w:val="11"/>
          <w:sz w:val="21"/>
          <w:szCs w:val="21"/>
          <w:u w:val="single"/>
        </w:rPr>
        <w:t xml:space="preserve">             </w:t>
      </w:r>
    </w:p>
    <w:p>
      <w:pPr>
        <w:snapToGrid w:val="0"/>
        <w:spacing w:before="156" w:beforeLines="50" w:line="360" w:lineRule="exact"/>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lang w:eastAsia="zh-CN"/>
        </w:rPr>
        <w:t>供应商</w:t>
      </w:r>
      <w:r>
        <w:rPr>
          <w:rFonts w:hint="eastAsia" w:ascii="宋体" w:hAnsi="宋体" w:eastAsia="宋体" w:cs="宋体"/>
          <w:color w:val="auto"/>
          <w:spacing w:val="11"/>
          <w:sz w:val="21"/>
          <w:szCs w:val="21"/>
        </w:rPr>
        <w:t>公章：</w:t>
      </w:r>
      <w:r>
        <w:rPr>
          <w:rFonts w:hint="eastAsia" w:ascii="宋体" w:hAnsi="宋体" w:eastAsia="宋体" w:cs="宋体"/>
          <w:color w:val="auto"/>
          <w:spacing w:val="11"/>
          <w:sz w:val="21"/>
          <w:szCs w:val="21"/>
          <w:u w:val="single"/>
        </w:rPr>
        <w:t xml:space="preserve">               </w:t>
      </w:r>
      <w:r>
        <w:rPr>
          <w:rFonts w:hint="eastAsia" w:ascii="宋体" w:hAnsi="宋体" w:eastAsia="宋体" w:cs="宋体"/>
          <w:color w:val="auto"/>
          <w:spacing w:val="11"/>
          <w:sz w:val="21"/>
          <w:szCs w:val="21"/>
        </w:rPr>
        <w:t xml:space="preserve">                      </w:t>
      </w:r>
    </w:p>
    <w:p>
      <w:pPr>
        <w:snapToGrid w:val="0"/>
        <w:spacing w:before="156" w:beforeLines="50" w:after="50" w:line="360" w:lineRule="exact"/>
        <w:ind w:firstLine="6032" w:firstLineChars="2600"/>
        <w:rPr>
          <w:rFonts w:hint="eastAsia" w:ascii="宋体" w:hAnsi="宋体" w:eastAsia="宋体" w:cs="宋体"/>
          <w:color w:val="auto"/>
          <w:spacing w:val="11"/>
          <w:sz w:val="21"/>
          <w:szCs w:val="21"/>
        </w:rPr>
      </w:pPr>
      <w:r>
        <w:rPr>
          <w:rFonts w:hint="eastAsia" w:ascii="宋体" w:hAnsi="宋体" w:eastAsia="宋体" w:cs="宋体"/>
          <w:color w:val="auto"/>
          <w:spacing w:val="11"/>
          <w:sz w:val="21"/>
          <w:szCs w:val="21"/>
        </w:rPr>
        <w:t>年    月    日</w:t>
      </w:r>
    </w:p>
    <w:p>
      <w:pPr>
        <w:spacing w:line="400" w:lineRule="exact"/>
        <w:jc w:val="center"/>
        <w:rPr>
          <w:rFonts w:hint="eastAsia" w:ascii="宋体" w:hAnsi="宋体" w:eastAsia="宋体" w:cs="宋体"/>
          <w:b/>
          <w:color w:val="auto"/>
          <w:spacing w:val="11"/>
          <w:sz w:val="21"/>
          <w:szCs w:val="21"/>
        </w:rPr>
      </w:pPr>
    </w:p>
    <w:p>
      <w:pPr>
        <w:spacing w:line="400" w:lineRule="exact"/>
        <w:jc w:val="center"/>
        <w:rPr>
          <w:rFonts w:hint="eastAsia" w:ascii="宋体" w:hAnsi="宋体" w:eastAsia="宋体" w:cs="宋体"/>
          <w:b/>
          <w:color w:val="auto"/>
          <w:spacing w:val="11"/>
          <w:szCs w:val="21"/>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r>
        <w:rPr>
          <w:rFonts w:hint="eastAsia" w:ascii="宋体" w:hAnsi="宋体" w:eastAsia="宋体" w:cs="宋体"/>
          <w:b/>
          <w:bCs w:val="0"/>
          <w:color w:val="auto"/>
          <w:spacing w:val="11"/>
          <w:kern w:val="2"/>
          <w:sz w:val="21"/>
          <w:szCs w:val="21"/>
          <w:lang w:val="en-US" w:eastAsia="zh-CN" w:bidi="ar-SA"/>
        </w:rPr>
        <w:t>（</w:t>
      </w:r>
      <w:r>
        <w:rPr>
          <w:rFonts w:hint="eastAsia" w:ascii="宋体" w:hAnsi="宋体" w:cs="宋体"/>
          <w:b/>
          <w:bCs w:val="0"/>
          <w:color w:val="auto"/>
          <w:spacing w:val="11"/>
          <w:kern w:val="2"/>
          <w:sz w:val="21"/>
          <w:szCs w:val="21"/>
          <w:lang w:val="en-US" w:eastAsia="zh-CN" w:bidi="ar-SA"/>
        </w:rPr>
        <w:t>6</w:t>
      </w:r>
      <w:r>
        <w:rPr>
          <w:rFonts w:hint="eastAsia" w:ascii="宋体" w:hAnsi="宋体" w:eastAsia="宋体" w:cs="宋体"/>
          <w:b/>
          <w:bCs w:val="0"/>
          <w:color w:val="auto"/>
          <w:spacing w:val="11"/>
          <w:kern w:val="2"/>
          <w:sz w:val="21"/>
          <w:szCs w:val="21"/>
          <w:lang w:val="en-US" w:eastAsia="zh-CN" w:bidi="ar-SA"/>
        </w:rPr>
        <w:t>）报价明细表</w:t>
      </w:r>
    </w:p>
    <w:p>
      <w:pPr>
        <w:numPr>
          <w:ilvl w:val="0"/>
          <w:numId w:val="0"/>
        </w:numPr>
        <w:jc w:val="both"/>
        <w:rPr>
          <w:rFonts w:hint="eastAsia" w:ascii="宋体" w:hAnsi="宋体" w:eastAsia="宋体" w:cs="宋体"/>
          <w:b/>
          <w:bCs w:val="0"/>
          <w:color w:val="auto"/>
          <w:spacing w:val="11"/>
          <w:kern w:val="2"/>
          <w:sz w:val="21"/>
          <w:szCs w:val="21"/>
          <w:lang w:val="en-US" w:eastAsia="zh-CN" w:bidi="ar-SA"/>
        </w:rPr>
      </w:pPr>
    </w:p>
    <w:tbl>
      <w:tblPr>
        <w:tblStyle w:val="21"/>
        <w:tblW w:w="105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6"/>
        <w:gridCol w:w="1062"/>
        <w:gridCol w:w="3650"/>
        <w:gridCol w:w="538"/>
        <w:gridCol w:w="675"/>
        <w:gridCol w:w="875"/>
        <w:gridCol w:w="862"/>
        <w:gridCol w:w="650"/>
        <w:gridCol w:w="776"/>
        <w:gridCol w:w="12"/>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94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color w:val="auto"/>
                <w:spacing w:val="11"/>
                <w:kern w:val="2"/>
                <w:sz w:val="21"/>
                <w:szCs w:val="21"/>
                <w:lang w:val="en-US" w:eastAsia="zh-CN" w:bidi="ar-SA"/>
              </w:rPr>
            </w:pPr>
            <w:r>
              <w:rPr>
                <w:rFonts w:hint="eastAsia" w:ascii="宋体" w:hAnsi="宋体" w:eastAsia="宋体" w:cs="宋体"/>
                <w:b/>
                <w:bCs w:val="0"/>
                <w:color w:val="auto"/>
                <w:spacing w:val="11"/>
                <w:kern w:val="2"/>
                <w:sz w:val="21"/>
                <w:szCs w:val="21"/>
                <w:lang w:val="en-US" w:eastAsia="zh-CN" w:bidi="ar-SA"/>
              </w:rPr>
              <w:t>报价明细表</w:t>
            </w:r>
          </w:p>
        </w:tc>
        <w:tc>
          <w:tcPr>
            <w:tcW w:w="160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宋体" w:hAnsi="宋体" w:eastAsia="宋体" w:cs="宋体"/>
                <w:b/>
                <w:bCs w:val="0"/>
                <w:color w:val="auto"/>
                <w:spacing w:val="11"/>
                <w:kern w:val="2"/>
                <w:sz w:val="21"/>
                <w:szCs w:val="21"/>
                <w:lang w:val="en-US" w:eastAsia="zh-CN" w:bidi="ar-SA"/>
              </w:rPr>
            </w:pPr>
            <w:r>
              <w:rPr>
                <w:rFonts w:hint="eastAsia" w:ascii="宋体" w:hAnsi="宋体"/>
                <w:szCs w:val="21"/>
              </w:rPr>
              <w:t>制造商情况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合价（元）</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szCs w:val="21"/>
              </w:rPr>
              <w:t>品牌</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szCs w:val="21"/>
              </w:rPr>
              <w:t>是否中小微企业</w:t>
            </w:r>
          </w:p>
        </w:tc>
        <w:tc>
          <w:tcPr>
            <w:tcW w:w="8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szCs w:val="21"/>
              </w:rPr>
              <w:t>企业全称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服务终端</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六核</w:t>
            </w:r>
            <w:r>
              <w:rPr>
                <w:rFonts w:hint="eastAsia" w:ascii="宋体" w:hAnsi="宋体" w:cs="宋体"/>
                <w:i w:val="0"/>
                <w:iCs w:val="0"/>
                <w:color w:val="000000"/>
                <w:kern w:val="0"/>
                <w:sz w:val="20"/>
                <w:szCs w:val="20"/>
                <w:u w:val="none"/>
                <w:lang w:val="en-US" w:eastAsia="zh-CN" w:bidi="ar"/>
              </w:rPr>
              <w:t>以上CPU</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不低于21.5寸显示系统、联动无人机软件系统、实时操控及查看数据，固态硬盘不低于</w:t>
            </w:r>
            <w:r>
              <w:rPr>
                <w:rFonts w:hint="eastAsia" w:ascii="宋体" w:hAnsi="宋体" w:eastAsia="宋体" w:cs="宋体"/>
                <w:i w:val="0"/>
                <w:iCs w:val="0"/>
                <w:color w:val="000000"/>
                <w:kern w:val="0"/>
                <w:sz w:val="20"/>
                <w:szCs w:val="20"/>
                <w:u w:val="none"/>
                <w:lang w:val="en-US" w:eastAsia="zh-CN" w:bidi="ar"/>
              </w:rPr>
              <w:t>256G</w:t>
            </w:r>
            <w:r>
              <w:rPr>
                <w:rFonts w:hint="eastAsia" w:ascii="宋体" w:hAnsi="宋体" w:cs="宋体"/>
                <w:i w:val="0"/>
                <w:iCs w:val="0"/>
                <w:color w:val="000000"/>
                <w:kern w:val="0"/>
                <w:sz w:val="20"/>
                <w:szCs w:val="20"/>
                <w:u w:val="none"/>
                <w:lang w:val="en-US" w:eastAsia="zh-CN" w:bidi="ar"/>
              </w:rPr>
              <w:t>*2，为数据存储给与一主一备，防止数据遗失。网口：板载2个千兆电口;  支持选配10GbE、25GbE SFP+等多种网络接口</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其他接口：1个RJ45管理接口，后置2个USB 3.0接口，前置2个USB2.0接口，1个VGA接口</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400万全彩POE枪机</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具有400万像素 CMOS传感器。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★具有不小于1/1.8"靶面尺寸</w:t>
            </w:r>
            <w:r>
              <w:rPr>
                <w:rFonts w:hint="eastAsia" w:ascii="宋体" w:hAnsi="宋体" w:eastAsia="宋体" w:cs="宋体"/>
                <w:i w:val="0"/>
                <w:iCs w:val="0"/>
                <w:color w:val="000000"/>
                <w:kern w:val="0"/>
                <w:sz w:val="20"/>
                <w:szCs w:val="20"/>
                <w:highlight w:val="yellow"/>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★最低照度彩色：0.0005 lx。（公安部检验报告证明）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★内置暖白光补光灯。（公安部检验报告证明）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补光距离不小于60米。（公安部检验报告证明）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动态范围不小于106dB。（公安部检验报告证明）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信噪比不小于62dB。（公安部检验报告证明）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需支持IP67防尘防水。（公安部检验报告证明）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需支持DC12V供电，且在不小于DC12V±30%范围内变化时可以正常工作。（公安部检验报告证明）</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4"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400万臻全彩双眸球机</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视频输出支持2560×1440@25fps，分辨力不小于1500TVL，红外距离可达300米（以公安部检验报告为准）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设备细节通道不低于24倍光学变倍，最大焦距可达到108mm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支持最低照度可达彩色0.0002Lux，黑白0.0001Lux（以公安部检验报告为准）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支持水平手控速度不小于160°/S，垂直速度不小于120°/S，云台定位精度为±0.1°（以公安部检验报告为准）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水平旋转范围为360°连续旋转，垂直旋转范围为-15°~90°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★支持对镜头前盖玻璃加热，去除玻璃上的冰状和水状附着物。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在IE浏览器下，具有视频输出模式设置。单路模式下，设备双镜头可实现单通道倍率拼接；在双路模式下，设备全景通道和细节通道可单独预览监控画面（公安部检验报告证明）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★设置支持双镜头从最小倍率至最大倍率或最大倍率至最小倍率的变倍过程中视频图像不间断（公安部检验报告证明）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★在单路和双路模式下，设备水平视场角均应≥90°（公安部检验报告证明）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球机应具备本机存储功能，支持SD卡热插拔，最大支持256GB（以公安部检验报告为准）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具备较好的防护性能环境适应性，支持IP67，6kV防浪涌，工作温度范围可达-40℃-70℃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具备较好的电源适应性，电压在AC24V±30%范围内变化时，设备可正常工作（以公安部检验报告为准）</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网络硬盘录像机</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★具有2个HDMI接口、2个VGA接口、2个RJ45网络接口、2个USB2.0接口、1个USB3.0接口、1个RS232接口、1个RS485接口、1个eSata接口、1路音频输入接口、2路音频输出接口；16路报警输入接口、9路报警输出接口、具有2路直流DC 12V输出接口（其中1路为Ctrl报警输出口）；可内置9个SATA接口硬盘（以公安部检测报告为准）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可接入1T、2T、3T、4T、6T、8T、10T、12TB、14TB、16TB、18TB容量的SATA接口硬盘（以公安部检测报告为准）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可接入32路分辨率为1920×1080的视频图像；支持最大接入带宽 256Mbps，最大存储带宽 256Mbps，最大转发带宽160Mbps，最大回放带宽160Mbps，开启视频流智能分析后NVR网络带宽不应降低（以公安部检测报告为准）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预览分辨率支持：8160×3616、8208×3072、8160×2304、6912×2800、5760×1696、5520×2400、4096×2160、4000×3000、3072×3072、4096×2160、3840×2160、2560×2560、2560×1440、1920×1080 、1280×960、1280×720、704×576；帧率均为25帧/秒（以公安部检测报告为准）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支持16个人脸库，库容5万张人脸图片（以公安部检测报告为准）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★支持2路视频流人脸识别，支持8路图片流人脸识别。支持10张/秒人脸比对报警，比对结果显示包括人脸比对成功、人脸比对失败和陌生人报警（以公安部检测报告为准）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人脸库建模成功率不低于99.99%（以公安部检测报告为准）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★采用单人戴口罩正脸依次循环通行进行试验，试验人员数量不小于5人，通过速度不小于1m/s，人员通过间隔时间不大于1s，戴口罩人脸检出率不低于99%（以公安部检测报告为准）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★人脸正对相机、人脸无遮挡等干扰情况，人脸识别准确率≥99%（以公安部检测报告为准）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★支持周界报警过滤功能，对IPC上报的越界侦测报警和区域入侵报警进行去误报，可去除由树叶、灯光、车辆、阴影以及小动物引起的误报；最大支持32路（以公安部检测报告为准）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支持接入高级移动侦测的相机，移动侦测报警能够区分是人、车还是其它目标产生，可录像和记录报警信息（以公安部检测报告为准）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可接入32路支持高空抛物行为检测的IPC，可联动录像、抓图、蜂鸣报警、预置点、邮件、本地报警输出、IPC报警输出以及日志记录；支持按通道、日期对高空抛物行为进行录像检索，以及关联录像回放，并导出图片（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接入带有人体测温功能的IPC，支持在预览界面以卡片形式实时展示体温信息，体温正常为绿色，体温异常为红色，支持根据体温状态联动语音输出，语音支持“体温正常”、“体温异常”。支持按体温状态、温度范围检索人脸图片（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接入警戒摄像机，支持对IPC的声音和闪光参数进行配置， 支持通过移动侦测、区域入侵、越界侦测、进入区域和离开区域事件联动一个或多个IPC的声光报警，可以对声光联动一键撤防（以公安部检测报告为准）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★企业技术要求：支持导入不同的语音文件，支持播报语音文件；支持人脸、周界、车辆检测、视频结构化的报警触发时联动语音播报（以公安部检测报告为准）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具有存储安全保障功能，当存储压力过高或硬盘出现性能不足时，可优先录像业务存储（以公安部检测报告为准）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支持从其他设备导入录像文件，并对录像文件进行人脸检测和识别，显示识别结果（以公安部检测报告为准）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活动目标与实时预览同屏显示。实时预览的同时可以提取视频画面中的活动目标，可显示人脸、人体、车辆等目标图片，点击图片可即时回放相关录像；配合车辆抓拍摄像机，可显示车辆抓拍图、抓拍时间、车牌号码、车辆品牌、车型、车辆颜色、车牌颜色信息；配合人脸抓拍摄像机，可显示人脸抓拍图、抓拍时间信息；可显示人体抓拍图、性别、上衣颜色、下装颜色、是否戴眼镜、是否背包信息、是否拎东西、是否戴帽子、是否戴口罩（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支持过车记录导出表格功能，表格包含通道、时间、车牌号、车型、车牌颜色、车身颜色、车辆品牌、车辆抓拍图片信息（以公安部检测报告为准）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支持以IPv6方式接入IPC进行预览、参数配置、报警接收和展现、语音对讲、IPC列表导入、IP地址冲突检测等功能（以公安部检测报告为准）</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硬盘</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基本参数 尺寸：3.5寸 容量：8000GB 接口：SATA3/串口 缓存：256MB 转速：7200转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适合：监控NVR DVR 台式机，移动硬盘座，NAS柜，服务器，存储磁盘阵列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监控硬盘主要特点：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1,为视频录制优化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2，低功耗，低启动电流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3，4TB及以上容量增加抗旋转震动功能，有效保障多盘位运行的稳定性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4，年负载达到180TB,确保录像数据安全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5，支持64路高清同时录制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兼容各安防系统，7*24h全天候运行</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立杆</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件材质:优质Q235/Q345钢材，采用镀锌防锈防腐蚀；立杆管径：≥140MM;立杆壁厚4mm；高度：≥4000MM;挑臂尺寸：≤4000MM;*2挑臂壁厚≥3MM，横挑不小于φ70MM；基础预埋件规格：6*M24*1050/Φ270，含接地装置和接地线（扁铁40*4mm*2500/角铁 L50*5*2500mm）</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探照广播一体机</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1.总功率：探照灯功率≤35w，扬声器功率≤15w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2.灯光功率：常规模式30w，超亮模式40w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3.光通量：≥2700lm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4.照明出光角度：≥13°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★5.喊话器声压：最大音量试验≥120dB（提供首页具有CNAS标识的第三方检测报告复印件并加盖厂家公章）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6.200米处声压：≥70dB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7.供电电压：24v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8.50m处中心光照度：≥25lux，探照面积：≥100㎡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9.100m处中心光照度：≥6lux，探照面积：≥400㎡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10.控制角度：俯仰-120°~+45°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11.供电方式：无人机sdk供电接口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12.通讯链路：无人机链路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13.载荷接口：快拆接口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14.控制距离：与无人机控制距离相同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15.探照灯工作模式（包含但不局限）：常亮、超亮、爆闪，亮度调节，云台俯仰角度调节                                                                                                                                   ★16.喊话方式：应支持实时喊话、录音播放、音频文件播放、TTS(文字转语音)播放、背景音混播（提供首页具有CNAS标识的第三方检测报告复印件并加盖厂家公章）                                                                         17.工作温度：-20℃-+50℃                                                                                                                                                                                                                                          ★18.供电电压6.9V，电流4.48A时，光通量≥21001m。（提供首页具有CNAS标识的第三方检测报告复印件并加盖厂家公章）                                                                                                                                                                                        ★19.云台可控转动范围俯仰角:-120°~45°（提供首页具有CNAS标识的第三方检测报告复印件并加盖厂家公章）</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机场套装</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机场具备强大的环境适应性，无论严寒酷暑皆可 7×24 小时无人值守作业。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远程制定飞行计划、自动执行任务，解放繁复劳动。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高度一体化设计，支持快速部署。可收纳无人机数量1台                                                                                                                                                                            最大允许降落风速 12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最大运行海拔高度 4000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最大作业半径 7000 m 。                                                                                                                                                                                       风速传感器支持、雨量传感器支持、环境温度传感器支持、水浸传感器支持、舱内温度传感器 支持、舱内湿度传感器 支持、舱内湿度传感器支持。                                                                                                          ★1、UPS 续航时间测试：具备 UPS 不间断电源，断电情况下，无人机可自动返回机场，机场处于待机工作状态，待机持续时间《从断电开始计时)不小于 4 小时。（提供首页具有CEPRI标识的第三方检测报告复印件并加盖电力工业电气设备质量检验测试中心公章）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★2、天线数量测试：设备天线系统具备智能冗余设计，天线数大于等于4天线（提供首页具有CEPRI标识的第三方检测报告复印件并加盖电力工业电气设备质量检验测试中心公章）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★3、补光能力测试：设备配备监控相机具备补光能力。（提供首页具有CEPRI标识的第三方检测报告复印件并加盖电力工业电气设备质量检验测试中心公章）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★4、紧急停机功能测试：设备配备紧急停机模块，在触发时能立马停止机械结构运转。（提供首页具有CEPRI标识的第三方检测报告复印件并加盖电力工业电气设备质量检验测试中心公章）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★5、精准降落测试：具有视觉定位及 RTK 降落功能，无人机降落精度误差小于 20cm降落成功率不低千99.99%。（提供首页具有CEPRI标识的第三方检测报告复印件并加盖电力工业电气设备质量检验测试中心公章）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★6、夜间降落测试：受试设备可在夜间降落，并完成归中和舱盖关闭，降落成功率不低于 99.99%。（提供首页具有CEPRI标识的第三方检测报告复印件并加盖电力工业电气设备质量检验测试中心公章）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★7、充电时间测试：受试设备在 25 分钟内将电量充至 90%。（提供首页具有CEPRI标识的第三方检测报告复印件并加盖电力工业电气设备质量检验测试中心公章）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★8、航线管理功能测试：控制平台具备航线存储、调用、管理功能（提供首页具有CEPRI标识的第三方检测报告复印件并加盖电力工业电气设备质量检验测试中心公章）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★9、作业准备时间测试：无人机在关机状态下，从无人机下发任务到无人机起飞作业准备时间应小于 3 分钟。（提供首页具有CEPRI标识的第三方检测报告复印件并加盖电力工业电气设备质量检验测试中心公章）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★10、设备管理功能测试：机场控制平台具备设备管理功能，包括设备状态自检与信息回传(至少包括内部电源模块、舱盖模块、停机坪模块、推杆模块、RTK 模块)。（提供首页具有CEPRI标识的第三方检测报告复印件并加盖电力工业电气设备质量检验测试中心公章）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★11、边缘计算扩展接口预留测试：设备提供边缘计算接口，提供供电、数据接口以及安装空间。（提供首页具有CEPRI标识的第三方检测报告复印件并加盖电力工业电气设备质量检验测试中心公章）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★12、支持搭载可见光与热成像双光云台相机无人机，支持避障功能，能够在距离障碍物 5m 以上进行悬停。（提供首页具有CEPRI标识的第三方检测报告复印件并加盖电力工业电气设备质量检验测试中心公章）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★13、支持微气象功能，具备风速，雨量、温度、感知能力。（提供首页具有CEPRI标识的第三方检测报告复印件并加盖电力工业电气设备质量检验测试中心公章）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机巢内部以及外部视频监控功能，支持机巢顶部开合，无人机精准降落后可实现自动归中充电功能(是否具备该功能，通过无人机降落后是否可以自动充电断)。（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 UPS 供电，在外部电压中断时能够维持机巢稳定运行。（提供首页具有CEPRI标识的第三方检测报告复印件并加盖电力工业电气设备质量检验测试中心公章）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★16、支持停机坪、机械结构、飞行系统RTK、摄像头、数据链模块自检功能。（提供首页具有CEPRI标识的第三方检测报告复印件并加盖电力工业电气设备质量检验测试中心公章）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★17、兼容 GPS导航定位功能，支持纯北斗导航定位功能，精度在5cm 以内。（提供首页具有CEPRI标识的第三方检测报告复印件并加盖电力工业电气设备质量检验测试中心公章）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★18、支持远程控制功能，支持远程重启开关舱门、归中结构开合、无人机充电数据格式化等操作。（提供首页具有CEPRI标识的第三方检测报告复印件并加盖电力工业电气设备质量检验测试中心公章）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★19、低温测试测试：在-30C温度条件下能够稳定运行。（提供首页具有CEPRI标识的第三方检测报告复印件并加盖电力工业电气设备质量检验测试中心公章）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★20、高温测试测试：在+50C温度条件下能够稳定运行。（提供首页具有CEPRI标识的第三方检测报告复印件并加盖电力工业电气设备质量检验测试中心公章）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★21、整机防尘测试：整机满足IP5X防尘要求。（提供首页具有CEPRI标识的第三方检测报告复印件并加盖电力工业电气设备质量检验测试中心公章）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★22、静电放电抗扰度测试：按标准试验，试验结果不低于A级（提供首页具有CEPRI标识的第三方检测报告复印件并加盖电力工业电气设备质量检验测试中心公章）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★23、射频电磁场辐射抗扰度测试：按标准试验，试验结果不低于B级。（提供首页具有CEPRI标识的第三方检测报告复印件并加盖电力工业电气设备质量检验测试中心公章）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★24、工磁场抗扰度测试：按标准试验，试验结果不低于A级（提供首页具有CEPRI标识的第三方检测报告复印件并加盖电力工业电气设备质量检验测试中心公章）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★25、脉冲磁场抗扰度测试：按标准试验，试验结果不低于A级（提供首页具有CEPRI标识的第三方检测报告复印件并加盖电力工业电气设备质量检验测试中心公章）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26、舱盖开启状态下尺寸不小于1600mmx850mmx700mm，舱盖关闭状态下尺寸不小于800mmx850mmx1050mm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27、机场配套无人机尺寸不小于450mmx550mmx200mm(LxWxH)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28、无人机变焦相机需具备不小于15倍光学变焦，180倍混合变焦的能力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29、无人机需具备激光测距功能30、无人机载重不小于250克飞行器 最大起飞重量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3998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GHz；5.725-5.850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发射功率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GHz：&lt;33 dBm（FCC）；&lt;20 dBm（CE/SRRC/MIC）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 GHz： &lt;33 dBm（FCC/SRRC）；&lt;14 dBm（CE）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悬停精度（无风或微风环境）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 m（视觉定位正常工作时）；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±0.5 m（GPS正常工作时）；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 m（RTK定位正常工作时）；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±0.3 m（视觉定位正常工作时）；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m（GPS正常工作时）；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 m（RTK定位正常工作时）；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RTK 位置精度（在 RTK FIX 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cm + 1 ppm（水平）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cm + 1 ppm（垂直）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最大旋转角速度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俯仰轴：150° /s，航向轴：100°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最大俯仰角度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35°（N挡且前视视觉系统启用：25°）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最大上升/下降速度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m/s，5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最大倾斜下降速度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最大水平飞行速度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最大飞行海拔高度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5000 m（1671桨叶）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7000 m（1676高原桨叶）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最大可承受风速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m/s（七级风）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起飞降落阶段最大可承受风速为12 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最大悬停时间[2]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36 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最大飞行时间[2]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 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电机型号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螺旋桨型号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1671；1676（高原桨-选配）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GNSS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GPS+Galileo+BeiDou+GLONASS（仅在RTK模块开启时支持GLONASS）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云台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角度抖动量飞机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可控转动范围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平移：±90°，俯仰：-120°至+45°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结构设计范围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平移：±105°，俯仰：-135°至+60°，横滚：±45°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变焦相机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影像传感器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CMOS，有效像素4800 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焦距：21-75 mm（等效焦距：113-405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光圈：f/2.8-f/4.2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对焦距离：5 m至无穷远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曝光补偿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ev（以1/3 ev为步长）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电子快门速度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Auto挡：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拍照模式：1/8000-1/2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M挡：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拍照模式：1/8000-8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录像模式：1/8000 -1/30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ISO范围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100-25600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最大视频分辨率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3840×2160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最大照片尺寸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8000×6000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广角相机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影像传感器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CMOS，有效像素1200万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DFOV：84°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焦距：4.5 mm（等效焦距：24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光圈：f/2.8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对焦距离：1 m至无穷远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曝光补偿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ev（以1/3 ev为步长）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电子快门速度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Auto挡：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拍照模式：1/8000-1/2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M挡：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拍照模式：1/8000-8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录像模式：1/8000-1/30 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ISO范围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100-25600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最大视频分辨率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3840×2160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照片尺寸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4000×3000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热成像传感器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非制冷氧化钒（VOx）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DFOV：61°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焦距：9.1 mm（等效焦距：40mm）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光圈：f/1.0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对焦距离：5m 至无穷远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 mk@F1.1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红外测温精度[4]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±2℃或±2%，取较大值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超分模式：1280×1024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普通模式：640×512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照片尺寸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超分模式：1280×1024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普通模式：640×512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像元间距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um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测温方式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点测温、区域测温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测温范围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高增益模式：-20°至150°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低增益模式：0°至500°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高温警报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调色盘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白热/黑热/描红/铁红/热铁/北极/医疗/熔岩/彩虹1/彩虹2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飞行相机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1920 × 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DFOV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帧率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 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激光模块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905 nm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最大激光功率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 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单脉冲宽度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ns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(0.2 m + D×0.15%)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其中 D 表示与垂直反射面之间的距离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3-1200 m（0.5×12 m、20%反射率的垂直反射面）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视觉系统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障碍物感知范围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前：0.6-38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上下后左右：0.5-33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FOV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65°(H)，50°(V)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表面有丰富纹理，光照条件充足(&gt;15 lux，室内 日光灯正常照射环境)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红外感知系统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障碍物感知范围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0.1-10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FOV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漫反射，大尺寸，高反射率（反射率&gt;10%）障碍物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智能飞行电池（TB30）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5880 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26.1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Li-ion 6S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131.6 Wh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电池整体重量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约685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理想存放环境温度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-20℃至40℃（当电池温度低于10℃时，电池会启动自加热功能，在低温环境下充电有可能会降低电池使用寿命）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镍钴锰酸锂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LED 补光灯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有效照明距离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照明方式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60Hz，常亮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遥控器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7.02 英寸触控液晶显示屏，分辨率1920×1200，最大亮度1200 cd/m2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类型:Li-ion(6500 mAh @ 7.2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充电方式:电池箱或最大功率 65W(最大电压为 20V)的 USB-C 快充充电器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充电时间:2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化学体系:镍钴铝酸锂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外置电池（WB37智能电池）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容量:4920 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电压:7.6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能量:37.39 Wh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化学体系:钴酸锂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续航时间[5]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内置电池：约3.3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内置电池+外置电池：约6小时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GNSS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GPS+Galileo+BeiDou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O3 图传行业版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GHz；5.725-5.850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最大信号有效距离（无干扰、无遮挡）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km（FCC）；8 km（CE/SRRC/MIC）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最大信号有效距离（有干扰）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强干扰（密集楼宇、居民区等）：1.5-3 km（FCC/CE/SRRC/MIC）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中干扰（城郊县城、城市公园等）：3-9 km（FCC）；3-6 km（CE/SRRC/MIC）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弱干扰（远郊野外、开阔农田等）：9-15 km（FCC）；6-8 km（CE/SRRC/MIC）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等效全向辐射功率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GHz:&lt;33 dBm(FCC);&lt;20 dBm(CE/SRRC/MIC)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 GHz:&lt;33 dBm(FCC);&lt;14 dBm(CE);&lt;23 dBm(SRRC)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Wi-Fi 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GHz；5.150-5.250 GHz；5.725-5.850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等效全向辐射功率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GHz：&lt;26 dBm（FCC）；&lt;20 dBm（CE/SRRC/MIC）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5.1 GHz：&lt;26 dBm (FCC)；&lt;23 dBm (CE/SRRC/MIC)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 GHz：&lt;26 dBm（FCC/SRRC）；&lt;14 dBm（CE）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 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2.4000-2.4835 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等效全向辐射功率 (EIRP)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&lt;10 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智能电池箱(BS30)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353×267×148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空箱重量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3.95 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TB30 智能飞行电池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WB37 智能电池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100-240 VAC，50/60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TB30 电池接口：26.1 V，8.9 A（最多可同时支持两个接口输出）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WB37 电池接口：8.7 V，6 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525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USB-C 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最大输出功率65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USB-A 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最大输出功率10 W（5 V，2 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空载功耗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8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低温加热电池输出功率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 30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IP55（电池箱盖子需合上）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充电时间[6]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约30分钟（两块TB30电池由20%充至90%）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约50分钟（两块TB30电池由0%充至100%）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防倒灌保护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短路保护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过压保护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过流保护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过温保护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部分地区不支持 5.8 GHz 频段，详情请参考当地法律法规。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最大悬停时间和飞行时间为实验室环境下(零海拔无风情况下)测得，仅供参考。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防护能力并非永久有效，可能会因长期使用导致老化磨损而下降。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红外测温精度为实验环境下测得，仅供参考。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续航时间为实验环境下测得，仅供参考。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充电时间为实验室环境下（温度为室温）测得，仅供参考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词语 HDMI、HDMI High-Definition Multimedia Interface（高清晰度多媒体接 口）、HDMI 商业外观和 HDMI 徽标均为 HDMI Licensing Administrator, Inc. 的商 标或注册商标。</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遥控器</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 英寸触控液晶显示屏，分辨率1920×1200，最大亮度1200 cd/m2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类型:Li-ion(6500 mAh @ 7.2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充电方式:电池箱或最大功率 65W(最大电压为 20V)的 USB-C 快充充电器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充电时间:2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化学体系:镍钴铝酸锂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外置电池（WB37智能电池）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容量:4920 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电压:7.6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类型:Li-ion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能量:37.39 Wh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化学体系:钴酸锂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续航时间[5]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内置电池：约3.3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内置电池+外置电池：约6小时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 防护等级[3]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GNSS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GPS+Galileo+BeiDou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工作环境温度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 50℃</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遥控器电池</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容量：4920 毫安时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电压：7.6 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电池类型：LiPo</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能量：37.39 瓦时</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128G高速内存卡</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128GB大容量，更长的4K视频录制时间。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通过官方兼容性测试，适配 DJI 大疆飞行器。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读取速度高达160MB/秒，写入速度高达90MB/秒。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U3视频等级，4K视频画质有保障。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防水、防震、耐冷耐热、抗X光。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享受有限终身质保服务。</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4k高清电视机98寸</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4k高清电视机98寸（含支架）屏幕尺寸98英寸 屏幕分辨率4k 屏幕比例：16:9 扫描频率：60HZ 最大可视角 178°  响应时间：＞8ms 玻璃类别 RGB 4K cpu架构：CA75*2+A55*2 色域值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（CIE1976 DCI-P3)：90% 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（sRGB CIE1976)：110% Min</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视频终端（模块）</w:t>
            </w:r>
          </w:p>
        </w:tc>
        <w:tc>
          <w:tcPr>
            <w:tcW w:w="3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ARM八核2.0Hz处理器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★设备支持安卓 11.0 操作系统（提供首页具有CNAS标识的第三方检测报告复印件并加盖厂家公章）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 8GB；存储 256GB，支持扩展存储卡（提供首页具有CNAS标识的第三方检测报告复印件并加盖厂家公章）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前置1600万像素相机，后置主摄像机4800万像素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★设备应具备功能扩展接口，可集成二代身份证阅读器设备（提供首页具有CNAS标识的第三方检测报告复印件并加盖厂家公章）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★设备支持 5G 网络制式（提供首页具有CNAS标识的第三方检测报告复印件并加盖厂家公章）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支持4K高清录像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内置高灵敏度卫星定位模块，支持北斗，GPS定位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三防设计，IP68防护等级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支持无线充电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屏幕显示分辨率2300*1080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★连续摄录时间应在 11小时以上（提供首页具有CNAS标识的第三方检测报告复印件并加盖厂家公章）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★设备在55℃（ ±2℃）高温下，稳定时间≥1h，工作时间≥2h（提供首页具有CNAS标识的第三方检测报告复印件并加盖厂家公章）</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29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eastAsia="zh-CN"/>
              </w:rPr>
              <w:t>磋商总价（元）：大写：</w:t>
            </w:r>
            <w:r>
              <w:rPr>
                <w:rFonts w:hint="eastAsia" w:ascii="宋体" w:hAnsi="宋体" w:eastAsia="宋体" w:cs="宋体"/>
                <w:b/>
                <w:bCs/>
                <w:i w:val="0"/>
                <w:iCs w:val="0"/>
                <w:color w:val="000000"/>
                <w:sz w:val="20"/>
                <w:szCs w:val="20"/>
                <w:u w:val="none"/>
                <w:lang w:val="en-US" w:eastAsia="zh-CN"/>
              </w:rPr>
              <w:t xml:space="preserve">                             小写：</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20"/>
                <w:szCs w:val="20"/>
                <w:u w:val="none"/>
                <w:lang w:eastAsia="zh-CN"/>
              </w:rPr>
            </w:pPr>
          </w:p>
        </w:tc>
        <w:tc>
          <w:tcPr>
            <w:tcW w:w="78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20"/>
                <w:szCs w:val="20"/>
                <w:u w:val="none"/>
                <w:lang w:eastAsia="zh-CN"/>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20"/>
                <w:szCs w:val="20"/>
                <w:u w:val="none"/>
                <w:lang w:eastAsia="zh-CN"/>
              </w:rPr>
            </w:pPr>
          </w:p>
        </w:tc>
      </w:tr>
    </w:tbl>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eastAsia" w:ascii="宋体" w:hAnsi="宋体" w:eastAsia="宋体" w:cs="宋体"/>
          <w:b/>
          <w:bCs w:val="0"/>
          <w:color w:val="auto"/>
          <w:spacing w:val="11"/>
          <w:kern w:val="2"/>
          <w:sz w:val="21"/>
          <w:szCs w:val="21"/>
          <w:lang w:val="en-US" w:eastAsia="zh-CN" w:bidi="ar-SA"/>
        </w:rPr>
      </w:pPr>
    </w:p>
    <w:p>
      <w:pPr>
        <w:numPr>
          <w:ilvl w:val="0"/>
          <w:numId w:val="0"/>
        </w:numPr>
        <w:jc w:val="both"/>
        <w:rPr>
          <w:rFonts w:hint="default" w:ascii="宋体" w:hAnsi="宋体" w:eastAsia="宋体" w:cs="宋体"/>
          <w:b/>
          <w:bCs w:val="0"/>
          <w:color w:val="auto"/>
          <w:spacing w:val="11"/>
          <w:kern w:val="2"/>
          <w:sz w:val="21"/>
          <w:szCs w:val="21"/>
          <w:lang w:val="en-US" w:eastAsia="zh-CN" w:bidi="ar-SA"/>
        </w:rPr>
      </w:pPr>
      <w:r>
        <w:rPr>
          <w:rFonts w:hint="eastAsia" w:ascii="宋体" w:hAnsi="宋体" w:eastAsia="宋体" w:cs="宋体"/>
          <w:b/>
          <w:bCs w:val="0"/>
          <w:color w:val="auto"/>
          <w:spacing w:val="11"/>
          <w:kern w:val="2"/>
          <w:sz w:val="21"/>
          <w:szCs w:val="21"/>
          <w:lang w:val="en-US" w:eastAsia="zh-CN" w:bidi="ar-SA"/>
        </w:rPr>
        <w:t>（</w:t>
      </w:r>
      <w:r>
        <w:rPr>
          <w:rFonts w:hint="eastAsia" w:ascii="宋体" w:hAnsi="宋体" w:cs="宋体"/>
          <w:b/>
          <w:bCs w:val="0"/>
          <w:color w:val="auto"/>
          <w:spacing w:val="11"/>
          <w:kern w:val="2"/>
          <w:sz w:val="21"/>
          <w:szCs w:val="21"/>
          <w:lang w:val="en-US" w:eastAsia="zh-CN" w:bidi="ar-SA"/>
        </w:rPr>
        <w:t>7</w:t>
      </w:r>
      <w:r>
        <w:rPr>
          <w:rFonts w:hint="eastAsia" w:ascii="宋体" w:hAnsi="宋体" w:eastAsia="宋体" w:cs="宋体"/>
          <w:b/>
          <w:bCs w:val="0"/>
          <w:color w:val="auto"/>
          <w:spacing w:val="11"/>
          <w:kern w:val="2"/>
          <w:sz w:val="21"/>
          <w:szCs w:val="21"/>
          <w:lang w:val="en-US" w:eastAsia="zh-CN" w:bidi="ar-SA"/>
        </w:rPr>
        <w:t>）供应商针对报价需要说明的其他文件和说明（格式自拟）</w:t>
      </w:r>
    </w:p>
    <w:p/>
    <w:sectPr>
      <w:headerReference r:id="rId7" w:type="default"/>
      <w:footerReference r:id="rId8" w:type="default"/>
      <w:pgSz w:w="11906" w:h="16838"/>
      <w:pgMar w:top="1440" w:right="1247" w:bottom="1440" w:left="1304"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9355"/>
        <w:tab w:val="clear" w:pos="4153"/>
      </w:tabs>
      <w:ind w:right="360"/>
      <w:rPr>
        <w:rFonts w:ascii="宋体" w:hAnsi="宋体" w:eastAsia="宋体" w:cs="宋体"/>
      </w:rPr>
    </w:pPr>
    <w:r>
      <w:rPr>
        <w:rFonts w:hint="eastAsia" w:ascii="宋体" w:hAnsi="宋体" w:eastAsia="宋体" w:cs="宋体"/>
      </w:rPr>
      <w:t>杭州建设工程造价咨询有限公司</w:t>
    </w:r>
    <w:r>
      <w:rPr>
        <w:rFonts w:hint="eastAsia" w:ascii="宋体" w:hAnsi="宋体" w:eastAsia="宋体" w:cs="宋体"/>
      </w:rPr>
      <w:tab/>
    </w:r>
    <w:r>
      <w:rPr>
        <w:rFonts w:hint="eastAsia" w:ascii="宋体" w:hAnsi="宋体" w:eastAsia="宋体" w:cs="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jc w:val="center"/>
                          </w:pPr>
                          <w:r>
                            <w:fldChar w:fldCharType="begin"/>
                          </w:r>
                          <w:r>
                            <w:rPr>
                              <w:rStyle w:val="25"/>
                            </w:rPr>
                            <w:instrText xml:space="preserve">PAGE  </w:instrText>
                          </w:r>
                          <w:r>
                            <w:fldChar w:fldCharType="separate"/>
                          </w:r>
                          <w:r>
                            <w:rPr>
                              <w:rStyle w:val="25"/>
                            </w:rPr>
                            <w:t>- 4 -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3"/>
                      <w:jc w:val="center"/>
                    </w:pPr>
                    <w:r>
                      <w:fldChar w:fldCharType="begin"/>
                    </w:r>
                    <w:r>
                      <w:rPr>
                        <w:rStyle w:val="25"/>
                      </w:rPr>
                      <w:instrText xml:space="preserve">PAGE  </w:instrText>
                    </w:r>
                    <w:r>
                      <w:fldChar w:fldCharType="separate"/>
                    </w:r>
                    <w:r>
                      <w:rPr>
                        <w:rStyle w:val="25"/>
                      </w:rPr>
                      <w:t>- 4 -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B0532"/>
    <w:multiLevelType w:val="multilevel"/>
    <w:tmpl w:val="A26B0532"/>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singleLevel"/>
    <w:tmpl w:val="00000002"/>
    <w:lvl w:ilvl="0" w:tentative="0">
      <w:start w:val="2"/>
      <w:numFmt w:val="decimal"/>
      <w:suff w:val="nothing"/>
      <w:lvlText w:val="%1."/>
      <w:lvlJc w:val="left"/>
    </w:lvl>
  </w:abstractNum>
  <w:abstractNum w:abstractNumId="2">
    <w:nsid w:val="02261B19"/>
    <w:multiLevelType w:val="singleLevel"/>
    <w:tmpl w:val="02261B19"/>
    <w:lvl w:ilvl="0" w:tentative="0">
      <w:start w:val="1"/>
      <w:numFmt w:val="decimal"/>
      <w:pStyle w:val="6"/>
      <w:lvlText w:val="%1."/>
      <w:lvlJc w:val="left"/>
      <w:pPr>
        <w:tabs>
          <w:tab w:val="left" w:pos="360"/>
        </w:tabs>
        <w:ind w:left="360" w:hanging="360"/>
      </w:pPr>
    </w:lvl>
  </w:abstractNum>
  <w:abstractNum w:abstractNumId="3">
    <w:nsid w:val="4B8CFE4C"/>
    <w:multiLevelType w:val="singleLevel"/>
    <w:tmpl w:val="4B8CFE4C"/>
    <w:lvl w:ilvl="0" w:tentative="0">
      <w:start w:val="4"/>
      <w:numFmt w:val="decimal"/>
      <w:lvlText w:val="%1."/>
      <w:lvlJc w:val="left"/>
      <w:pPr>
        <w:tabs>
          <w:tab w:val="left" w:pos="312"/>
        </w:tabs>
      </w:pPr>
    </w:lvl>
  </w:abstractNum>
  <w:abstractNum w:abstractNumId="4">
    <w:nsid w:val="62B7A406"/>
    <w:multiLevelType w:val="singleLevel"/>
    <w:tmpl w:val="62B7A406"/>
    <w:lvl w:ilvl="0" w:tentative="0">
      <w:start w:val="2"/>
      <w:numFmt w:val="decimal"/>
      <w:lvlText w:val="%1."/>
      <w:lvlJc w:val="left"/>
      <w:pPr>
        <w:tabs>
          <w:tab w:val="left" w:pos="312"/>
        </w:tabs>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MTMxOTA0ODYwMzFlMTIxZTY1M2U1NGE5NzBhZmIifQ=="/>
  </w:docVars>
  <w:rsids>
    <w:rsidRoot w:val="23100925"/>
    <w:rsid w:val="000C024B"/>
    <w:rsid w:val="000E3FC3"/>
    <w:rsid w:val="00107881"/>
    <w:rsid w:val="00237A6E"/>
    <w:rsid w:val="00773916"/>
    <w:rsid w:val="0078768E"/>
    <w:rsid w:val="00866B12"/>
    <w:rsid w:val="00A457AA"/>
    <w:rsid w:val="00CD4D75"/>
    <w:rsid w:val="00DE47E5"/>
    <w:rsid w:val="00ED5986"/>
    <w:rsid w:val="00EF5572"/>
    <w:rsid w:val="00FA2A6D"/>
    <w:rsid w:val="01050F22"/>
    <w:rsid w:val="01347C2F"/>
    <w:rsid w:val="01432543"/>
    <w:rsid w:val="014D1F33"/>
    <w:rsid w:val="019D55FE"/>
    <w:rsid w:val="019F1377"/>
    <w:rsid w:val="01A36EDD"/>
    <w:rsid w:val="01AA7D1B"/>
    <w:rsid w:val="01B34E22"/>
    <w:rsid w:val="01B97F5E"/>
    <w:rsid w:val="01D803E5"/>
    <w:rsid w:val="01FD1E69"/>
    <w:rsid w:val="02021905"/>
    <w:rsid w:val="02303DD4"/>
    <w:rsid w:val="025263E9"/>
    <w:rsid w:val="025832D1"/>
    <w:rsid w:val="025A12FC"/>
    <w:rsid w:val="028D51BD"/>
    <w:rsid w:val="02A46519"/>
    <w:rsid w:val="02C07F30"/>
    <w:rsid w:val="02E01C47"/>
    <w:rsid w:val="02EE3C38"/>
    <w:rsid w:val="03276447"/>
    <w:rsid w:val="03465822"/>
    <w:rsid w:val="035970FB"/>
    <w:rsid w:val="035E0DBD"/>
    <w:rsid w:val="036D2DAF"/>
    <w:rsid w:val="0374238F"/>
    <w:rsid w:val="03773C2D"/>
    <w:rsid w:val="03B55068"/>
    <w:rsid w:val="03EC0177"/>
    <w:rsid w:val="03F93A25"/>
    <w:rsid w:val="041130D4"/>
    <w:rsid w:val="0414541E"/>
    <w:rsid w:val="041D33F3"/>
    <w:rsid w:val="043833BC"/>
    <w:rsid w:val="04622E73"/>
    <w:rsid w:val="046917C8"/>
    <w:rsid w:val="046B3792"/>
    <w:rsid w:val="048C3708"/>
    <w:rsid w:val="04A50543"/>
    <w:rsid w:val="04AE7B23"/>
    <w:rsid w:val="04D07A99"/>
    <w:rsid w:val="04D60F61"/>
    <w:rsid w:val="05025778"/>
    <w:rsid w:val="052E52C8"/>
    <w:rsid w:val="05573D16"/>
    <w:rsid w:val="05791EDF"/>
    <w:rsid w:val="05946D18"/>
    <w:rsid w:val="059C1BA9"/>
    <w:rsid w:val="05B21BB7"/>
    <w:rsid w:val="05C869C2"/>
    <w:rsid w:val="05F94DCD"/>
    <w:rsid w:val="064E5119"/>
    <w:rsid w:val="06952D48"/>
    <w:rsid w:val="06BE24CA"/>
    <w:rsid w:val="06DC0977"/>
    <w:rsid w:val="06FC2DC7"/>
    <w:rsid w:val="07416A2C"/>
    <w:rsid w:val="07755894"/>
    <w:rsid w:val="077A1F3E"/>
    <w:rsid w:val="077A3CEC"/>
    <w:rsid w:val="07807FA7"/>
    <w:rsid w:val="078E4F0D"/>
    <w:rsid w:val="07C66F31"/>
    <w:rsid w:val="08071A24"/>
    <w:rsid w:val="0808754A"/>
    <w:rsid w:val="08114650"/>
    <w:rsid w:val="08387E2F"/>
    <w:rsid w:val="084F5179"/>
    <w:rsid w:val="088968DD"/>
    <w:rsid w:val="089D7C92"/>
    <w:rsid w:val="08A94889"/>
    <w:rsid w:val="08AE00F1"/>
    <w:rsid w:val="08E43B13"/>
    <w:rsid w:val="08E66EC0"/>
    <w:rsid w:val="092642D4"/>
    <w:rsid w:val="093F0D49"/>
    <w:rsid w:val="0960170D"/>
    <w:rsid w:val="0970184A"/>
    <w:rsid w:val="098E7095"/>
    <w:rsid w:val="0994152E"/>
    <w:rsid w:val="09976C2F"/>
    <w:rsid w:val="09A82D92"/>
    <w:rsid w:val="09D9119E"/>
    <w:rsid w:val="09D973F0"/>
    <w:rsid w:val="09F63AFE"/>
    <w:rsid w:val="0A002BCE"/>
    <w:rsid w:val="0A0427C2"/>
    <w:rsid w:val="0A60541B"/>
    <w:rsid w:val="0A724DA4"/>
    <w:rsid w:val="0A8A4A3A"/>
    <w:rsid w:val="0A960D5F"/>
    <w:rsid w:val="0AA64824"/>
    <w:rsid w:val="0AC92FC0"/>
    <w:rsid w:val="0AD57BB7"/>
    <w:rsid w:val="0AE75A47"/>
    <w:rsid w:val="0AFA5870"/>
    <w:rsid w:val="0B1C57E6"/>
    <w:rsid w:val="0B372620"/>
    <w:rsid w:val="0B582596"/>
    <w:rsid w:val="0B6D6042"/>
    <w:rsid w:val="0B927856"/>
    <w:rsid w:val="0B9C2483"/>
    <w:rsid w:val="0BA10D61"/>
    <w:rsid w:val="0BD25EA5"/>
    <w:rsid w:val="0BE36304"/>
    <w:rsid w:val="0C311318"/>
    <w:rsid w:val="0C3D2FBC"/>
    <w:rsid w:val="0C4843B9"/>
    <w:rsid w:val="0C636D1A"/>
    <w:rsid w:val="0C796C68"/>
    <w:rsid w:val="0CA519B7"/>
    <w:rsid w:val="0CE9794A"/>
    <w:rsid w:val="0CF42728"/>
    <w:rsid w:val="0D0A78C0"/>
    <w:rsid w:val="0D1D5845"/>
    <w:rsid w:val="0D907119"/>
    <w:rsid w:val="0D913B3D"/>
    <w:rsid w:val="0D9242E3"/>
    <w:rsid w:val="0DA87805"/>
    <w:rsid w:val="0DAD6BC9"/>
    <w:rsid w:val="0DB9288F"/>
    <w:rsid w:val="0DCE3CFC"/>
    <w:rsid w:val="0E113C59"/>
    <w:rsid w:val="0E175600"/>
    <w:rsid w:val="0E19600D"/>
    <w:rsid w:val="0E236E8B"/>
    <w:rsid w:val="0E534471"/>
    <w:rsid w:val="0E5434E9"/>
    <w:rsid w:val="0E741495"/>
    <w:rsid w:val="0EA64FC6"/>
    <w:rsid w:val="0EEC54CF"/>
    <w:rsid w:val="0F3078C7"/>
    <w:rsid w:val="0F7A6369"/>
    <w:rsid w:val="0F8120BC"/>
    <w:rsid w:val="0F895414"/>
    <w:rsid w:val="0FCF7BC5"/>
    <w:rsid w:val="0FEB1B4E"/>
    <w:rsid w:val="10280832"/>
    <w:rsid w:val="103E7FAD"/>
    <w:rsid w:val="106043C7"/>
    <w:rsid w:val="106D43EE"/>
    <w:rsid w:val="10AF51B1"/>
    <w:rsid w:val="10F85D60"/>
    <w:rsid w:val="10FE025B"/>
    <w:rsid w:val="11001A51"/>
    <w:rsid w:val="11020FDA"/>
    <w:rsid w:val="114A35EE"/>
    <w:rsid w:val="11823EC9"/>
    <w:rsid w:val="11A025A1"/>
    <w:rsid w:val="11AE4CBE"/>
    <w:rsid w:val="11B922D9"/>
    <w:rsid w:val="11BD13A5"/>
    <w:rsid w:val="11DB356D"/>
    <w:rsid w:val="11DD0CA2"/>
    <w:rsid w:val="12041C16"/>
    <w:rsid w:val="120F48F4"/>
    <w:rsid w:val="121C60CC"/>
    <w:rsid w:val="121E552C"/>
    <w:rsid w:val="122A7A80"/>
    <w:rsid w:val="12324D57"/>
    <w:rsid w:val="1259060C"/>
    <w:rsid w:val="129107B0"/>
    <w:rsid w:val="12975D5A"/>
    <w:rsid w:val="12A12A75"/>
    <w:rsid w:val="12CD72BD"/>
    <w:rsid w:val="12E27315"/>
    <w:rsid w:val="12F76019"/>
    <w:rsid w:val="130B7EEE"/>
    <w:rsid w:val="132D4308"/>
    <w:rsid w:val="132F62D2"/>
    <w:rsid w:val="133F7931"/>
    <w:rsid w:val="137D2B9A"/>
    <w:rsid w:val="13877EBC"/>
    <w:rsid w:val="13A10F7E"/>
    <w:rsid w:val="13A56169"/>
    <w:rsid w:val="13C74EFD"/>
    <w:rsid w:val="14276FAA"/>
    <w:rsid w:val="142D2812"/>
    <w:rsid w:val="147E4E1C"/>
    <w:rsid w:val="149139AD"/>
    <w:rsid w:val="14B00D4D"/>
    <w:rsid w:val="14C11897"/>
    <w:rsid w:val="14CB5B87"/>
    <w:rsid w:val="14E153AA"/>
    <w:rsid w:val="14ED381C"/>
    <w:rsid w:val="14F66F5D"/>
    <w:rsid w:val="15145780"/>
    <w:rsid w:val="151F3448"/>
    <w:rsid w:val="152D4AAB"/>
    <w:rsid w:val="155D0826"/>
    <w:rsid w:val="155D0ED5"/>
    <w:rsid w:val="15612CE7"/>
    <w:rsid w:val="157E7CA2"/>
    <w:rsid w:val="15D43BBF"/>
    <w:rsid w:val="15D446DD"/>
    <w:rsid w:val="15DF0590"/>
    <w:rsid w:val="15E45152"/>
    <w:rsid w:val="15F50F7D"/>
    <w:rsid w:val="161B48EC"/>
    <w:rsid w:val="164C407A"/>
    <w:rsid w:val="16582624"/>
    <w:rsid w:val="166B7621"/>
    <w:rsid w:val="16846935"/>
    <w:rsid w:val="16CF7BB0"/>
    <w:rsid w:val="16E741F8"/>
    <w:rsid w:val="16FF7D6A"/>
    <w:rsid w:val="17017F86"/>
    <w:rsid w:val="170D2487"/>
    <w:rsid w:val="17125D7E"/>
    <w:rsid w:val="171C091C"/>
    <w:rsid w:val="172B6DB1"/>
    <w:rsid w:val="172C4D4D"/>
    <w:rsid w:val="17563E2E"/>
    <w:rsid w:val="17580B4C"/>
    <w:rsid w:val="17650515"/>
    <w:rsid w:val="176F4EEF"/>
    <w:rsid w:val="17F53D7D"/>
    <w:rsid w:val="18143682"/>
    <w:rsid w:val="18320140"/>
    <w:rsid w:val="185540E5"/>
    <w:rsid w:val="18822A00"/>
    <w:rsid w:val="18C96AE1"/>
    <w:rsid w:val="18F953B8"/>
    <w:rsid w:val="19066D08"/>
    <w:rsid w:val="196B7938"/>
    <w:rsid w:val="198804EA"/>
    <w:rsid w:val="19936CDC"/>
    <w:rsid w:val="19C92FDD"/>
    <w:rsid w:val="19CF1C75"/>
    <w:rsid w:val="19DB4ABE"/>
    <w:rsid w:val="1A1B40C1"/>
    <w:rsid w:val="1A3A7A37"/>
    <w:rsid w:val="1A440C8A"/>
    <w:rsid w:val="1A8E7D82"/>
    <w:rsid w:val="1A907657"/>
    <w:rsid w:val="1A9223BA"/>
    <w:rsid w:val="1A9535F0"/>
    <w:rsid w:val="1AA05E52"/>
    <w:rsid w:val="1AD250C0"/>
    <w:rsid w:val="1B1F09DB"/>
    <w:rsid w:val="1B3F145E"/>
    <w:rsid w:val="1B586FF5"/>
    <w:rsid w:val="1B5C1C2F"/>
    <w:rsid w:val="1B6C00C4"/>
    <w:rsid w:val="1B6F4C4C"/>
    <w:rsid w:val="1B715D22"/>
    <w:rsid w:val="1B75684C"/>
    <w:rsid w:val="1B8F5B60"/>
    <w:rsid w:val="1B9273FE"/>
    <w:rsid w:val="1BB27AA1"/>
    <w:rsid w:val="1BC213D0"/>
    <w:rsid w:val="1BD16179"/>
    <w:rsid w:val="1BD6553D"/>
    <w:rsid w:val="1BD77D59"/>
    <w:rsid w:val="1BF105C9"/>
    <w:rsid w:val="1C0701FE"/>
    <w:rsid w:val="1C143327"/>
    <w:rsid w:val="1C257D5F"/>
    <w:rsid w:val="1C856F63"/>
    <w:rsid w:val="1C9208AE"/>
    <w:rsid w:val="1CA05FB4"/>
    <w:rsid w:val="1CA27B15"/>
    <w:rsid w:val="1CBA09BB"/>
    <w:rsid w:val="1D1C1235"/>
    <w:rsid w:val="1D3C3E4C"/>
    <w:rsid w:val="1D7C3EC2"/>
    <w:rsid w:val="1DA8115B"/>
    <w:rsid w:val="1DB95116"/>
    <w:rsid w:val="1E2A1C57"/>
    <w:rsid w:val="1E426EBA"/>
    <w:rsid w:val="1E4946EC"/>
    <w:rsid w:val="1E691C0A"/>
    <w:rsid w:val="1E733517"/>
    <w:rsid w:val="1EAF02C7"/>
    <w:rsid w:val="1F6F74B6"/>
    <w:rsid w:val="1FA12306"/>
    <w:rsid w:val="1FB97650"/>
    <w:rsid w:val="1FC97167"/>
    <w:rsid w:val="1FD60202"/>
    <w:rsid w:val="1FD7009C"/>
    <w:rsid w:val="1FFC753C"/>
    <w:rsid w:val="202225D7"/>
    <w:rsid w:val="20250B51"/>
    <w:rsid w:val="202D76F6"/>
    <w:rsid w:val="20415C7A"/>
    <w:rsid w:val="204804DA"/>
    <w:rsid w:val="205027DE"/>
    <w:rsid w:val="20564928"/>
    <w:rsid w:val="206A6B9C"/>
    <w:rsid w:val="206E043A"/>
    <w:rsid w:val="20765541"/>
    <w:rsid w:val="20BF07A2"/>
    <w:rsid w:val="20CA13E8"/>
    <w:rsid w:val="211034C9"/>
    <w:rsid w:val="213D7E0C"/>
    <w:rsid w:val="215B7E71"/>
    <w:rsid w:val="217A1B37"/>
    <w:rsid w:val="218E28AD"/>
    <w:rsid w:val="21915441"/>
    <w:rsid w:val="21A12149"/>
    <w:rsid w:val="21B52099"/>
    <w:rsid w:val="21DF213F"/>
    <w:rsid w:val="21FD4DBB"/>
    <w:rsid w:val="220B3A67"/>
    <w:rsid w:val="220E2AD0"/>
    <w:rsid w:val="223E5F12"/>
    <w:rsid w:val="224C14B1"/>
    <w:rsid w:val="2277734E"/>
    <w:rsid w:val="228F5D58"/>
    <w:rsid w:val="22C16EE7"/>
    <w:rsid w:val="22CD13D4"/>
    <w:rsid w:val="22E744D4"/>
    <w:rsid w:val="22EF5136"/>
    <w:rsid w:val="22F6507E"/>
    <w:rsid w:val="22FD5AA5"/>
    <w:rsid w:val="230D4584"/>
    <w:rsid w:val="23100925"/>
    <w:rsid w:val="23193676"/>
    <w:rsid w:val="231A6657"/>
    <w:rsid w:val="2335523F"/>
    <w:rsid w:val="2346744C"/>
    <w:rsid w:val="23533917"/>
    <w:rsid w:val="2358717F"/>
    <w:rsid w:val="236478D2"/>
    <w:rsid w:val="2391414D"/>
    <w:rsid w:val="239D4B92"/>
    <w:rsid w:val="23A93537"/>
    <w:rsid w:val="23B32608"/>
    <w:rsid w:val="23BE09A0"/>
    <w:rsid w:val="23DA69DE"/>
    <w:rsid w:val="23DA7B95"/>
    <w:rsid w:val="24185098"/>
    <w:rsid w:val="24390D5F"/>
    <w:rsid w:val="245C4A4D"/>
    <w:rsid w:val="245F009A"/>
    <w:rsid w:val="24771887"/>
    <w:rsid w:val="247C5BC9"/>
    <w:rsid w:val="249B64A0"/>
    <w:rsid w:val="24A02B8C"/>
    <w:rsid w:val="24A55053"/>
    <w:rsid w:val="24A92DDF"/>
    <w:rsid w:val="24B26DF1"/>
    <w:rsid w:val="24D70AA7"/>
    <w:rsid w:val="24E261BD"/>
    <w:rsid w:val="24FE78B3"/>
    <w:rsid w:val="250F386E"/>
    <w:rsid w:val="25184E18"/>
    <w:rsid w:val="252A3394"/>
    <w:rsid w:val="256C2A6E"/>
    <w:rsid w:val="257F6CDF"/>
    <w:rsid w:val="258674E4"/>
    <w:rsid w:val="25CF010B"/>
    <w:rsid w:val="25F018F1"/>
    <w:rsid w:val="25FF7D86"/>
    <w:rsid w:val="260F621B"/>
    <w:rsid w:val="26233A75"/>
    <w:rsid w:val="26334F09"/>
    <w:rsid w:val="2641214D"/>
    <w:rsid w:val="265D386C"/>
    <w:rsid w:val="266841FB"/>
    <w:rsid w:val="267C3185"/>
    <w:rsid w:val="267E0CAB"/>
    <w:rsid w:val="2687496B"/>
    <w:rsid w:val="26B446CD"/>
    <w:rsid w:val="26B97F35"/>
    <w:rsid w:val="26C568DA"/>
    <w:rsid w:val="26D20FF7"/>
    <w:rsid w:val="26E919DA"/>
    <w:rsid w:val="26F074B1"/>
    <w:rsid w:val="26F23447"/>
    <w:rsid w:val="2702368A"/>
    <w:rsid w:val="274E68CF"/>
    <w:rsid w:val="2753544B"/>
    <w:rsid w:val="27631D97"/>
    <w:rsid w:val="27BF157B"/>
    <w:rsid w:val="27C2106B"/>
    <w:rsid w:val="27C94ECA"/>
    <w:rsid w:val="27D8263D"/>
    <w:rsid w:val="288611A7"/>
    <w:rsid w:val="288F53F1"/>
    <w:rsid w:val="28B210E0"/>
    <w:rsid w:val="28BE7A85"/>
    <w:rsid w:val="28E45D4A"/>
    <w:rsid w:val="28E46268"/>
    <w:rsid w:val="28E625CC"/>
    <w:rsid w:val="28E90FAE"/>
    <w:rsid w:val="290A7832"/>
    <w:rsid w:val="292024ED"/>
    <w:rsid w:val="2920604A"/>
    <w:rsid w:val="292D0766"/>
    <w:rsid w:val="29511E17"/>
    <w:rsid w:val="295773B4"/>
    <w:rsid w:val="29624A62"/>
    <w:rsid w:val="29B80654"/>
    <w:rsid w:val="29D85AE2"/>
    <w:rsid w:val="29F574D6"/>
    <w:rsid w:val="29F86FC6"/>
    <w:rsid w:val="2A093355"/>
    <w:rsid w:val="2A630895"/>
    <w:rsid w:val="2A632BA2"/>
    <w:rsid w:val="2A8633FF"/>
    <w:rsid w:val="2A984733"/>
    <w:rsid w:val="2AB27175"/>
    <w:rsid w:val="2ABB5880"/>
    <w:rsid w:val="2AC8624F"/>
    <w:rsid w:val="2AD52E64"/>
    <w:rsid w:val="2AD76BDC"/>
    <w:rsid w:val="2AE439D3"/>
    <w:rsid w:val="2B226845"/>
    <w:rsid w:val="2B514BE0"/>
    <w:rsid w:val="2B6D7540"/>
    <w:rsid w:val="2B724B56"/>
    <w:rsid w:val="2B7663F5"/>
    <w:rsid w:val="2B785200"/>
    <w:rsid w:val="2B96473C"/>
    <w:rsid w:val="2B9C5B8C"/>
    <w:rsid w:val="2BBA09D7"/>
    <w:rsid w:val="2C1300E8"/>
    <w:rsid w:val="2C1B47E1"/>
    <w:rsid w:val="2C212633"/>
    <w:rsid w:val="2C8D7B3B"/>
    <w:rsid w:val="2CAB0320"/>
    <w:rsid w:val="2CC633AC"/>
    <w:rsid w:val="2CD23AFF"/>
    <w:rsid w:val="2CDF621C"/>
    <w:rsid w:val="2CF6241F"/>
    <w:rsid w:val="2D2A393B"/>
    <w:rsid w:val="2D3055A3"/>
    <w:rsid w:val="2D8E211C"/>
    <w:rsid w:val="2DA32DF9"/>
    <w:rsid w:val="2DB444AD"/>
    <w:rsid w:val="2DCC67A0"/>
    <w:rsid w:val="2DE03FF9"/>
    <w:rsid w:val="2DE17F00"/>
    <w:rsid w:val="2E3D6585"/>
    <w:rsid w:val="2E7E4664"/>
    <w:rsid w:val="2E921798"/>
    <w:rsid w:val="2EB05786"/>
    <w:rsid w:val="2EBA0CEE"/>
    <w:rsid w:val="2EBE4BCE"/>
    <w:rsid w:val="2ED74D25"/>
    <w:rsid w:val="2EDC0C65"/>
    <w:rsid w:val="2EEC6C4B"/>
    <w:rsid w:val="2F065CE2"/>
    <w:rsid w:val="2F066FEB"/>
    <w:rsid w:val="2F155773"/>
    <w:rsid w:val="2F2B399A"/>
    <w:rsid w:val="2F3A598B"/>
    <w:rsid w:val="2F3F11F4"/>
    <w:rsid w:val="2F513B36"/>
    <w:rsid w:val="2FDE0A0C"/>
    <w:rsid w:val="2FE53B49"/>
    <w:rsid w:val="300C5C28"/>
    <w:rsid w:val="30B55C11"/>
    <w:rsid w:val="30BF704F"/>
    <w:rsid w:val="31322DBE"/>
    <w:rsid w:val="31462D0D"/>
    <w:rsid w:val="31685C65"/>
    <w:rsid w:val="31702BB8"/>
    <w:rsid w:val="317B29B7"/>
    <w:rsid w:val="317E115D"/>
    <w:rsid w:val="318D26EA"/>
    <w:rsid w:val="31AB2B70"/>
    <w:rsid w:val="31AB491E"/>
    <w:rsid w:val="31B934DF"/>
    <w:rsid w:val="31F952A1"/>
    <w:rsid w:val="321F376C"/>
    <w:rsid w:val="32220FFF"/>
    <w:rsid w:val="324C4580"/>
    <w:rsid w:val="327411B4"/>
    <w:rsid w:val="32790B1D"/>
    <w:rsid w:val="329B78D9"/>
    <w:rsid w:val="32AB72CC"/>
    <w:rsid w:val="330263D1"/>
    <w:rsid w:val="330E1609"/>
    <w:rsid w:val="334C2057"/>
    <w:rsid w:val="335A2AA0"/>
    <w:rsid w:val="338418CB"/>
    <w:rsid w:val="33A23D18"/>
    <w:rsid w:val="33A830F7"/>
    <w:rsid w:val="33AA7583"/>
    <w:rsid w:val="33D157D2"/>
    <w:rsid w:val="33D740F0"/>
    <w:rsid w:val="33DC34B5"/>
    <w:rsid w:val="33EE5626"/>
    <w:rsid w:val="33EF2766"/>
    <w:rsid w:val="34012F1B"/>
    <w:rsid w:val="34140EA1"/>
    <w:rsid w:val="341449FD"/>
    <w:rsid w:val="342C2144"/>
    <w:rsid w:val="343E5F1E"/>
    <w:rsid w:val="35077950"/>
    <w:rsid w:val="3555351F"/>
    <w:rsid w:val="35753D88"/>
    <w:rsid w:val="35D501BC"/>
    <w:rsid w:val="35EB67D0"/>
    <w:rsid w:val="36154A5C"/>
    <w:rsid w:val="361B02C4"/>
    <w:rsid w:val="36317AE8"/>
    <w:rsid w:val="3642415B"/>
    <w:rsid w:val="364B7FFE"/>
    <w:rsid w:val="36545584"/>
    <w:rsid w:val="36721EAF"/>
    <w:rsid w:val="36877708"/>
    <w:rsid w:val="36965B9D"/>
    <w:rsid w:val="36BA4B37"/>
    <w:rsid w:val="36C26992"/>
    <w:rsid w:val="371F21B4"/>
    <w:rsid w:val="373E5C5C"/>
    <w:rsid w:val="377144C2"/>
    <w:rsid w:val="37857C22"/>
    <w:rsid w:val="379426EC"/>
    <w:rsid w:val="379F3982"/>
    <w:rsid w:val="37C91FA2"/>
    <w:rsid w:val="37DB62C5"/>
    <w:rsid w:val="3837515E"/>
    <w:rsid w:val="384314FF"/>
    <w:rsid w:val="3846368D"/>
    <w:rsid w:val="385D1F00"/>
    <w:rsid w:val="38620D00"/>
    <w:rsid w:val="38787034"/>
    <w:rsid w:val="388F0AF6"/>
    <w:rsid w:val="38EC7CF6"/>
    <w:rsid w:val="39561614"/>
    <w:rsid w:val="39761CB6"/>
    <w:rsid w:val="3988696C"/>
    <w:rsid w:val="3999069A"/>
    <w:rsid w:val="3999711F"/>
    <w:rsid w:val="39A26005"/>
    <w:rsid w:val="39C12F31"/>
    <w:rsid w:val="39C52349"/>
    <w:rsid w:val="3A52627F"/>
    <w:rsid w:val="3A5A656B"/>
    <w:rsid w:val="3A8F302F"/>
    <w:rsid w:val="3A9C669F"/>
    <w:rsid w:val="3A9F7E02"/>
    <w:rsid w:val="3B141786"/>
    <w:rsid w:val="3B292616"/>
    <w:rsid w:val="3B561D9F"/>
    <w:rsid w:val="3BAC19BF"/>
    <w:rsid w:val="3BB31551"/>
    <w:rsid w:val="3BDE79B0"/>
    <w:rsid w:val="3BFA07DD"/>
    <w:rsid w:val="3C101F4E"/>
    <w:rsid w:val="3C1F309D"/>
    <w:rsid w:val="3C2459F9"/>
    <w:rsid w:val="3C3C71E7"/>
    <w:rsid w:val="3C4936B2"/>
    <w:rsid w:val="3C526A0A"/>
    <w:rsid w:val="3C667F7A"/>
    <w:rsid w:val="3C9903F2"/>
    <w:rsid w:val="3CCE7A8F"/>
    <w:rsid w:val="3D053A7C"/>
    <w:rsid w:val="3D1666B3"/>
    <w:rsid w:val="3D45031D"/>
    <w:rsid w:val="3D69400B"/>
    <w:rsid w:val="3DDC47DD"/>
    <w:rsid w:val="3DDF42CD"/>
    <w:rsid w:val="3DE418E4"/>
    <w:rsid w:val="3DF16B75"/>
    <w:rsid w:val="3E0F70A1"/>
    <w:rsid w:val="3E2B1EE0"/>
    <w:rsid w:val="3E2D328B"/>
    <w:rsid w:val="3E3F2FBE"/>
    <w:rsid w:val="3E864749"/>
    <w:rsid w:val="3E894239"/>
    <w:rsid w:val="3EA42E21"/>
    <w:rsid w:val="3EA844D0"/>
    <w:rsid w:val="3EB91054"/>
    <w:rsid w:val="3EBF1A09"/>
    <w:rsid w:val="3ED23E32"/>
    <w:rsid w:val="3EDA6843"/>
    <w:rsid w:val="3F090614"/>
    <w:rsid w:val="3F2119CF"/>
    <w:rsid w:val="3F3E6538"/>
    <w:rsid w:val="3F8F3AD1"/>
    <w:rsid w:val="3FA806EF"/>
    <w:rsid w:val="400B2FC1"/>
    <w:rsid w:val="404026C9"/>
    <w:rsid w:val="404E21C5"/>
    <w:rsid w:val="407927B7"/>
    <w:rsid w:val="40864ED4"/>
    <w:rsid w:val="408B2337"/>
    <w:rsid w:val="409749EB"/>
    <w:rsid w:val="40A23390"/>
    <w:rsid w:val="40B97058"/>
    <w:rsid w:val="40BF03DD"/>
    <w:rsid w:val="40E1035D"/>
    <w:rsid w:val="40E74AD8"/>
    <w:rsid w:val="40F938F8"/>
    <w:rsid w:val="410D1152"/>
    <w:rsid w:val="412871E3"/>
    <w:rsid w:val="415A055F"/>
    <w:rsid w:val="41634231"/>
    <w:rsid w:val="417824A0"/>
    <w:rsid w:val="41AE6491"/>
    <w:rsid w:val="41DB46CD"/>
    <w:rsid w:val="42051E29"/>
    <w:rsid w:val="42177306"/>
    <w:rsid w:val="42497357"/>
    <w:rsid w:val="42764AD5"/>
    <w:rsid w:val="427D6365"/>
    <w:rsid w:val="429D4472"/>
    <w:rsid w:val="429F5DD9"/>
    <w:rsid w:val="42F36125"/>
    <w:rsid w:val="42FC147E"/>
    <w:rsid w:val="431E7646"/>
    <w:rsid w:val="432B58BF"/>
    <w:rsid w:val="43532D95"/>
    <w:rsid w:val="4367746E"/>
    <w:rsid w:val="43822A49"/>
    <w:rsid w:val="43AD4526"/>
    <w:rsid w:val="43DD4E0B"/>
    <w:rsid w:val="43EE7018"/>
    <w:rsid w:val="43F87E97"/>
    <w:rsid w:val="44112D07"/>
    <w:rsid w:val="443B7D84"/>
    <w:rsid w:val="443D58AA"/>
    <w:rsid w:val="445F04C3"/>
    <w:rsid w:val="449000D0"/>
    <w:rsid w:val="44AC2A30"/>
    <w:rsid w:val="44D43751"/>
    <w:rsid w:val="44DD0E3B"/>
    <w:rsid w:val="45056E81"/>
    <w:rsid w:val="453E7B2C"/>
    <w:rsid w:val="454B3FF6"/>
    <w:rsid w:val="456349FB"/>
    <w:rsid w:val="45662863"/>
    <w:rsid w:val="45AB5068"/>
    <w:rsid w:val="45B47934"/>
    <w:rsid w:val="45CA56CD"/>
    <w:rsid w:val="45D71D2E"/>
    <w:rsid w:val="46206D60"/>
    <w:rsid w:val="463A4797"/>
    <w:rsid w:val="46582E6F"/>
    <w:rsid w:val="46671304"/>
    <w:rsid w:val="46704C18"/>
    <w:rsid w:val="467F7FB4"/>
    <w:rsid w:val="46BC33FE"/>
    <w:rsid w:val="46C2478C"/>
    <w:rsid w:val="46DD15C6"/>
    <w:rsid w:val="46F65F1E"/>
    <w:rsid w:val="46FF32EA"/>
    <w:rsid w:val="470D1A76"/>
    <w:rsid w:val="4755115C"/>
    <w:rsid w:val="4757533B"/>
    <w:rsid w:val="476924D2"/>
    <w:rsid w:val="47855DC1"/>
    <w:rsid w:val="478A7058"/>
    <w:rsid w:val="47BB36B5"/>
    <w:rsid w:val="47D06A35"/>
    <w:rsid w:val="486D24D6"/>
    <w:rsid w:val="488937B4"/>
    <w:rsid w:val="48BB76E5"/>
    <w:rsid w:val="48CC011E"/>
    <w:rsid w:val="48DD7604"/>
    <w:rsid w:val="490E3CB9"/>
    <w:rsid w:val="492D2BD5"/>
    <w:rsid w:val="49584F34"/>
    <w:rsid w:val="49EF1838"/>
    <w:rsid w:val="49F17862"/>
    <w:rsid w:val="4A020216"/>
    <w:rsid w:val="4A14635E"/>
    <w:rsid w:val="4A495735"/>
    <w:rsid w:val="4A4A2ACF"/>
    <w:rsid w:val="4A4A661D"/>
    <w:rsid w:val="4A4D4F49"/>
    <w:rsid w:val="4A8E20CC"/>
    <w:rsid w:val="4AA246B9"/>
    <w:rsid w:val="4AC26B09"/>
    <w:rsid w:val="4AC42386"/>
    <w:rsid w:val="4AC6482B"/>
    <w:rsid w:val="4AC9433B"/>
    <w:rsid w:val="4AD57AA1"/>
    <w:rsid w:val="4AD85F48"/>
    <w:rsid w:val="4AE47726"/>
    <w:rsid w:val="4AE9678B"/>
    <w:rsid w:val="4AEA6060"/>
    <w:rsid w:val="4B034F67"/>
    <w:rsid w:val="4B145F1F"/>
    <w:rsid w:val="4B444EC7"/>
    <w:rsid w:val="4B4B6AFE"/>
    <w:rsid w:val="4B5517D2"/>
    <w:rsid w:val="4B8244EA"/>
    <w:rsid w:val="4BA9728F"/>
    <w:rsid w:val="4BD034A7"/>
    <w:rsid w:val="4BE42F37"/>
    <w:rsid w:val="4C0F2222"/>
    <w:rsid w:val="4C143394"/>
    <w:rsid w:val="4C327CBE"/>
    <w:rsid w:val="4C940979"/>
    <w:rsid w:val="4C944D9B"/>
    <w:rsid w:val="4CA5555F"/>
    <w:rsid w:val="4CAB4ED4"/>
    <w:rsid w:val="4CBF3282"/>
    <w:rsid w:val="4CC53FB1"/>
    <w:rsid w:val="4CD3647F"/>
    <w:rsid w:val="4CDF3C83"/>
    <w:rsid w:val="4CE94821"/>
    <w:rsid w:val="4CEA0599"/>
    <w:rsid w:val="4D0E24D9"/>
    <w:rsid w:val="4D221194"/>
    <w:rsid w:val="4D265A75"/>
    <w:rsid w:val="4D297313"/>
    <w:rsid w:val="4D341814"/>
    <w:rsid w:val="4D532D7B"/>
    <w:rsid w:val="4D785BA5"/>
    <w:rsid w:val="4D7F6F33"/>
    <w:rsid w:val="4D901140"/>
    <w:rsid w:val="4D972E01"/>
    <w:rsid w:val="4DA0113A"/>
    <w:rsid w:val="4DD50019"/>
    <w:rsid w:val="4DD70B1D"/>
    <w:rsid w:val="4E21448E"/>
    <w:rsid w:val="4E341948"/>
    <w:rsid w:val="4E375A78"/>
    <w:rsid w:val="4E3F2277"/>
    <w:rsid w:val="4E451F2B"/>
    <w:rsid w:val="4E4F6905"/>
    <w:rsid w:val="4E557C94"/>
    <w:rsid w:val="4E872A00"/>
    <w:rsid w:val="4EC804AB"/>
    <w:rsid w:val="4EE80B08"/>
    <w:rsid w:val="4F091471"/>
    <w:rsid w:val="4F2846B4"/>
    <w:rsid w:val="4F3A75B6"/>
    <w:rsid w:val="4F3B50DC"/>
    <w:rsid w:val="4F4C553B"/>
    <w:rsid w:val="4F7C6406"/>
    <w:rsid w:val="4F866916"/>
    <w:rsid w:val="4F9111A0"/>
    <w:rsid w:val="4F9D18F3"/>
    <w:rsid w:val="4FD712A8"/>
    <w:rsid w:val="502D2C76"/>
    <w:rsid w:val="5055041F"/>
    <w:rsid w:val="50642410"/>
    <w:rsid w:val="509B0528"/>
    <w:rsid w:val="50A56CB1"/>
    <w:rsid w:val="50CC6933"/>
    <w:rsid w:val="510734C7"/>
    <w:rsid w:val="514F30C0"/>
    <w:rsid w:val="51646B6C"/>
    <w:rsid w:val="519D5BDA"/>
    <w:rsid w:val="51B178D7"/>
    <w:rsid w:val="51B665DA"/>
    <w:rsid w:val="51BD44CE"/>
    <w:rsid w:val="51C15D6C"/>
    <w:rsid w:val="51E2596D"/>
    <w:rsid w:val="51F223CA"/>
    <w:rsid w:val="522307D5"/>
    <w:rsid w:val="523F4EE3"/>
    <w:rsid w:val="526F4362"/>
    <w:rsid w:val="529102F8"/>
    <w:rsid w:val="52911920"/>
    <w:rsid w:val="52952D55"/>
    <w:rsid w:val="52AC677D"/>
    <w:rsid w:val="52B458D1"/>
    <w:rsid w:val="52B61649"/>
    <w:rsid w:val="52CA20B7"/>
    <w:rsid w:val="52F61A46"/>
    <w:rsid w:val="53185E60"/>
    <w:rsid w:val="5368503E"/>
    <w:rsid w:val="538A03E0"/>
    <w:rsid w:val="538F119C"/>
    <w:rsid w:val="53A63401"/>
    <w:rsid w:val="53B048A1"/>
    <w:rsid w:val="53C1183E"/>
    <w:rsid w:val="53FE2C5D"/>
    <w:rsid w:val="54302D35"/>
    <w:rsid w:val="54626DA0"/>
    <w:rsid w:val="54A61249"/>
    <w:rsid w:val="54B4757A"/>
    <w:rsid w:val="54CF6C56"/>
    <w:rsid w:val="54D23DEC"/>
    <w:rsid w:val="54E10D99"/>
    <w:rsid w:val="54E4693E"/>
    <w:rsid w:val="550D4306"/>
    <w:rsid w:val="55377C31"/>
    <w:rsid w:val="55545149"/>
    <w:rsid w:val="55617136"/>
    <w:rsid w:val="557E23F6"/>
    <w:rsid w:val="55890F31"/>
    <w:rsid w:val="558E065B"/>
    <w:rsid w:val="558F6181"/>
    <w:rsid w:val="55992B5C"/>
    <w:rsid w:val="55D3606E"/>
    <w:rsid w:val="55F62392"/>
    <w:rsid w:val="56197F4D"/>
    <w:rsid w:val="56270168"/>
    <w:rsid w:val="564A6DC0"/>
    <w:rsid w:val="564B78BF"/>
    <w:rsid w:val="56551179"/>
    <w:rsid w:val="565C5ACE"/>
    <w:rsid w:val="56847368"/>
    <w:rsid w:val="56C403E7"/>
    <w:rsid w:val="56CD51B3"/>
    <w:rsid w:val="56D95906"/>
    <w:rsid w:val="56F42740"/>
    <w:rsid w:val="56F60AD4"/>
    <w:rsid w:val="57034731"/>
    <w:rsid w:val="57385E99"/>
    <w:rsid w:val="57452F9B"/>
    <w:rsid w:val="574A6804"/>
    <w:rsid w:val="574D2D22"/>
    <w:rsid w:val="575E5E0B"/>
    <w:rsid w:val="57914433"/>
    <w:rsid w:val="5795259B"/>
    <w:rsid w:val="57DD31D4"/>
    <w:rsid w:val="57FB5D50"/>
    <w:rsid w:val="58111A39"/>
    <w:rsid w:val="58132276"/>
    <w:rsid w:val="581806B0"/>
    <w:rsid w:val="581F1A3E"/>
    <w:rsid w:val="58346B6C"/>
    <w:rsid w:val="586438F5"/>
    <w:rsid w:val="58831FCD"/>
    <w:rsid w:val="58961E2B"/>
    <w:rsid w:val="58A261CC"/>
    <w:rsid w:val="58B33511"/>
    <w:rsid w:val="58E40592"/>
    <w:rsid w:val="58E97957"/>
    <w:rsid w:val="58EB1921"/>
    <w:rsid w:val="590D7AE9"/>
    <w:rsid w:val="59181A7A"/>
    <w:rsid w:val="59240FF8"/>
    <w:rsid w:val="592A5EA1"/>
    <w:rsid w:val="594A4899"/>
    <w:rsid w:val="5960102B"/>
    <w:rsid w:val="596D2336"/>
    <w:rsid w:val="59855AFB"/>
    <w:rsid w:val="598D4786"/>
    <w:rsid w:val="599D70BF"/>
    <w:rsid w:val="59A26483"/>
    <w:rsid w:val="59B30690"/>
    <w:rsid w:val="59BB12F3"/>
    <w:rsid w:val="59D24F7D"/>
    <w:rsid w:val="5A0E3E92"/>
    <w:rsid w:val="5A0E58C7"/>
    <w:rsid w:val="5A1D2B7E"/>
    <w:rsid w:val="5A221372"/>
    <w:rsid w:val="5A3A490E"/>
    <w:rsid w:val="5A3E01AA"/>
    <w:rsid w:val="5A405AC7"/>
    <w:rsid w:val="5A4532B2"/>
    <w:rsid w:val="5A67147B"/>
    <w:rsid w:val="5AA50C05"/>
    <w:rsid w:val="5AEA62E5"/>
    <w:rsid w:val="5AF0274C"/>
    <w:rsid w:val="5B101B12"/>
    <w:rsid w:val="5B2F01EA"/>
    <w:rsid w:val="5B321A89"/>
    <w:rsid w:val="5B3550D5"/>
    <w:rsid w:val="5B4D0671"/>
    <w:rsid w:val="5B57504B"/>
    <w:rsid w:val="5BA74225"/>
    <w:rsid w:val="5BAA5AC3"/>
    <w:rsid w:val="5BC14BBB"/>
    <w:rsid w:val="5BD963A8"/>
    <w:rsid w:val="5BED59B0"/>
    <w:rsid w:val="5C1B730A"/>
    <w:rsid w:val="5C2E69EF"/>
    <w:rsid w:val="5C98591B"/>
    <w:rsid w:val="5C9D73D6"/>
    <w:rsid w:val="5D0A6F6D"/>
    <w:rsid w:val="5D0F6460"/>
    <w:rsid w:val="5D6A0CD0"/>
    <w:rsid w:val="5D9713C1"/>
    <w:rsid w:val="5DCD2B84"/>
    <w:rsid w:val="5DED7EE9"/>
    <w:rsid w:val="5E2E29DB"/>
    <w:rsid w:val="5E3873B6"/>
    <w:rsid w:val="5E4C2E61"/>
    <w:rsid w:val="5E7158DF"/>
    <w:rsid w:val="5E7423B8"/>
    <w:rsid w:val="5E744166"/>
    <w:rsid w:val="5E940365"/>
    <w:rsid w:val="5EC56770"/>
    <w:rsid w:val="5EEB374F"/>
    <w:rsid w:val="5F103E8F"/>
    <w:rsid w:val="5F296CFF"/>
    <w:rsid w:val="5F32098F"/>
    <w:rsid w:val="5F480904"/>
    <w:rsid w:val="5F816B3B"/>
    <w:rsid w:val="5F84662B"/>
    <w:rsid w:val="5F9A7BFD"/>
    <w:rsid w:val="5FB62C5A"/>
    <w:rsid w:val="5FD0361E"/>
    <w:rsid w:val="5FE01F9F"/>
    <w:rsid w:val="5FFC590C"/>
    <w:rsid w:val="60031C46"/>
    <w:rsid w:val="60212844"/>
    <w:rsid w:val="60280EB2"/>
    <w:rsid w:val="602816AC"/>
    <w:rsid w:val="60430294"/>
    <w:rsid w:val="60CA62C0"/>
    <w:rsid w:val="60E5134B"/>
    <w:rsid w:val="60F03F78"/>
    <w:rsid w:val="6109503A"/>
    <w:rsid w:val="610C4B2A"/>
    <w:rsid w:val="611E4310"/>
    <w:rsid w:val="615D5386"/>
    <w:rsid w:val="6162474A"/>
    <w:rsid w:val="61665FE8"/>
    <w:rsid w:val="61822E4B"/>
    <w:rsid w:val="618B1EF3"/>
    <w:rsid w:val="6196137D"/>
    <w:rsid w:val="62265778"/>
    <w:rsid w:val="62434B02"/>
    <w:rsid w:val="624C1682"/>
    <w:rsid w:val="624E1E3F"/>
    <w:rsid w:val="625C73EB"/>
    <w:rsid w:val="62685E78"/>
    <w:rsid w:val="626D7CE5"/>
    <w:rsid w:val="628B1551"/>
    <w:rsid w:val="62AD7C47"/>
    <w:rsid w:val="62FB4E56"/>
    <w:rsid w:val="633137E9"/>
    <w:rsid w:val="633345F0"/>
    <w:rsid w:val="63350A13"/>
    <w:rsid w:val="635440FE"/>
    <w:rsid w:val="63BF7C32"/>
    <w:rsid w:val="63C705E7"/>
    <w:rsid w:val="64216B3E"/>
    <w:rsid w:val="644E4CE7"/>
    <w:rsid w:val="649C61C5"/>
    <w:rsid w:val="64BE25DF"/>
    <w:rsid w:val="65194AB3"/>
    <w:rsid w:val="656A1E1F"/>
    <w:rsid w:val="65E603C8"/>
    <w:rsid w:val="65FE7137"/>
    <w:rsid w:val="66384A6E"/>
    <w:rsid w:val="663D12E2"/>
    <w:rsid w:val="66D41C46"/>
    <w:rsid w:val="66FE3167"/>
    <w:rsid w:val="67032FD8"/>
    <w:rsid w:val="67057182"/>
    <w:rsid w:val="6711768A"/>
    <w:rsid w:val="67477424"/>
    <w:rsid w:val="67492634"/>
    <w:rsid w:val="679C2ADC"/>
    <w:rsid w:val="67C85D78"/>
    <w:rsid w:val="67D77C40"/>
    <w:rsid w:val="67DE6642"/>
    <w:rsid w:val="67FF7197"/>
    <w:rsid w:val="682575C3"/>
    <w:rsid w:val="683F7593"/>
    <w:rsid w:val="684A6664"/>
    <w:rsid w:val="685F19E3"/>
    <w:rsid w:val="68633281"/>
    <w:rsid w:val="68AD6BF3"/>
    <w:rsid w:val="68AF2326"/>
    <w:rsid w:val="68BD7347"/>
    <w:rsid w:val="68C61A62"/>
    <w:rsid w:val="68EC6CAB"/>
    <w:rsid w:val="68F0088D"/>
    <w:rsid w:val="69166546"/>
    <w:rsid w:val="699C7DEA"/>
    <w:rsid w:val="69A47FF6"/>
    <w:rsid w:val="69B624CF"/>
    <w:rsid w:val="69C45FA2"/>
    <w:rsid w:val="69CE72C0"/>
    <w:rsid w:val="69F30635"/>
    <w:rsid w:val="6A0B3BD1"/>
    <w:rsid w:val="6A5C442C"/>
    <w:rsid w:val="6A5C61DA"/>
    <w:rsid w:val="6A5F216E"/>
    <w:rsid w:val="6A6652AB"/>
    <w:rsid w:val="6A846320"/>
    <w:rsid w:val="6ACA6640"/>
    <w:rsid w:val="6AD94CA4"/>
    <w:rsid w:val="6ADC37BF"/>
    <w:rsid w:val="6AE0505D"/>
    <w:rsid w:val="6AF25D11"/>
    <w:rsid w:val="6B0A0D45"/>
    <w:rsid w:val="6B0A1475"/>
    <w:rsid w:val="6B1E7934"/>
    <w:rsid w:val="6B563571"/>
    <w:rsid w:val="6B601CFA"/>
    <w:rsid w:val="6B767770"/>
    <w:rsid w:val="6B7B6B34"/>
    <w:rsid w:val="6B8C6F93"/>
    <w:rsid w:val="6BA73DCD"/>
    <w:rsid w:val="6BB12556"/>
    <w:rsid w:val="6BB307E0"/>
    <w:rsid w:val="6BB7449D"/>
    <w:rsid w:val="6BB87D88"/>
    <w:rsid w:val="6C0C3C30"/>
    <w:rsid w:val="6C264CF2"/>
    <w:rsid w:val="6C2816D6"/>
    <w:rsid w:val="6C450EF0"/>
    <w:rsid w:val="6C7041BF"/>
    <w:rsid w:val="6C7C7008"/>
    <w:rsid w:val="6C9C23E5"/>
    <w:rsid w:val="6C9C4FB4"/>
    <w:rsid w:val="6CC75532"/>
    <w:rsid w:val="6CCA7D73"/>
    <w:rsid w:val="6CED1CB3"/>
    <w:rsid w:val="6D162FB8"/>
    <w:rsid w:val="6D2B2510"/>
    <w:rsid w:val="6D6F64AF"/>
    <w:rsid w:val="6D7352FB"/>
    <w:rsid w:val="6D761CA9"/>
    <w:rsid w:val="6D8A7447"/>
    <w:rsid w:val="6D940381"/>
    <w:rsid w:val="6D9B34BE"/>
    <w:rsid w:val="6DCC7B1B"/>
    <w:rsid w:val="6E0B6216"/>
    <w:rsid w:val="6E3D27C7"/>
    <w:rsid w:val="6E4A5A7E"/>
    <w:rsid w:val="6E6733A0"/>
    <w:rsid w:val="6E873A42"/>
    <w:rsid w:val="6EA60822"/>
    <w:rsid w:val="6EAE5472"/>
    <w:rsid w:val="6EB752A6"/>
    <w:rsid w:val="6ECD3B4B"/>
    <w:rsid w:val="6ED270CE"/>
    <w:rsid w:val="6F1352D6"/>
    <w:rsid w:val="6F2614AD"/>
    <w:rsid w:val="6F435BBB"/>
    <w:rsid w:val="6F7F4719"/>
    <w:rsid w:val="6FBF795E"/>
    <w:rsid w:val="6FC83359"/>
    <w:rsid w:val="6FE54EC4"/>
    <w:rsid w:val="70172CD7"/>
    <w:rsid w:val="70194B6E"/>
    <w:rsid w:val="702B65A7"/>
    <w:rsid w:val="7038498C"/>
    <w:rsid w:val="70653BA0"/>
    <w:rsid w:val="706C1141"/>
    <w:rsid w:val="7080196A"/>
    <w:rsid w:val="70812E3F"/>
    <w:rsid w:val="70C40F7D"/>
    <w:rsid w:val="70E707C8"/>
    <w:rsid w:val="71025575"/>
    <w:rsid w:val="7130216F"/>
    <w:rsid w:val="71324139"/>
    <w:rsid w:val="71597917"/>
    <w:rsid w:val="717A57AC"/>
    <w:rsid w:val="71816828"/>
    <w:rsid w:val="718D45E7"/>
    <w:rsid w:val="71997D14"/>
    <w:rsid w:val="71BC1C54"/>
    <w:rsid w:val="71FD4747"/>
    <w:rsid w:val="720C2BDC"/>
    <w:rsid w:val="7223022D"/>
    <w:rsid w:val="72473C14"/>
    <w:rsid w:val="728B1D53"/>
    <w:rsid w:val="72A11576"/>
    <w:rsid w:val="72A264E6"/>
    <w:rsid w:val="72BD5C84"/>
    <w:rsid w:val="72EF0BFA"/>
    <w:rsid w:val="72F13B80"/>
    <w:rsid w:val="736154FB"/>
    <w:rsid w:val="73685BF0"/>
    <w:rsid w:val="737F73DD"/>
    <w:rsid w:val="738549F4"/>
    <w:rsid w:val="7386076C"/>
    <w:rsid w:val="73C80941"/>
    <w:rsid w:val="73C84DFA"/>
    <w:rsid w:val="73EB05CF"/>
    <w:rsid w:val="73F230C5"/>
    <w:rsid w:val="73F531FC"/>
    <w:rsid w:val="73FF384F"/>
    <w:rsid w:val="74103151"/>
    <w:rsid w:val="742023C5"/>
    <w:rsid w:val="743F6C3D"/>
    <w:rsid w:val="74404DBF"/>
    <w:rsid w:val="74454183"/>
    <w:rsid w:val="747D6F15"/>
    <w:rsid w:val="748F53FE"/>
    <w:rsid w:val="74A470FC"/>
    <w:rsid w:val="74B66E2F"/>
    <w:rsid w:val="74CE23CA"/>
    <w:rsid w:val="74EC0DC1"/>
    <w:rsid w:val="74EE65C9"/>
    <w:rsid w:val="74F6722B"/>
    <w:rsid w:val="752913AF"/>
    <w:rsid w:val="753C5586"/>
    <w:rsid w:val="756958E5"/>
    <w:rsid w:val="75A924F0"/>
    <w:rsid w:val="75BF1D13"/>
    <w:rsid w:val="75D4756D"/>
    <w:rsid w:val="75E659CC"/>
    <w:rsid w:val="75ED062E"/>
    <w:rsid w:val="765B5EE0"/>
    <w:rsid w:val="765E32DA"/>
    <w:rsid w:val="766528BB"/>
    <w:rsid w:val="766E4E1D"/>
    <w:rsid w:val="769E5415"/>
    <w:rsid w:val="76A43FD1"/>
    <w:rsid w:val="76AA05BF"/>
    <w:rsid w:val="76B92C06"/>
    <w:rsid w:val="76C45833"/>
    <w:rsid w:val="76CF2055"/>
    <w:rsid w:val="76FB321F"/>
    <w:rsid w:val="77112A42"/>
    <w:rsid w:val="77183DD1"/>
    <w:rsid w:val="771F6F0D"/>
    <w:rsid w:val="777803CC"/>
    <w:rsid w:val="778C6933"/>
    <w:rsid w:val="779F004E"/>
    <w:rsid w:val="77B27D81"/>
    <w:rsid w:val="77CB2BF1"/>
    <w:rsid w:val="77DF5A8B"/>
    <w:rsid w:val="77E31CE9"/>
    <w:rsid w:val="77EF68E0"/>
    <w:rsid w:val="77F80F29"/>
    <w:rsid w:val="78044DD8"/>
    <w:rsid w:val="782642CC"/>
    <w:rsid w:val="78BE2756"/>
    <w:rsid w:val="78D02FC1"/>
    <w:rsid w:val="78EB7575"/>
    <w:rsid w:val="78EF290F"/>
    <w:rsid w:val="78F61EF0"/>
    <w:rsid w:val="79330A4E"/>
    <w:rsid w:val="794964C4"/>
    <w:rsid w:val="79507C6C"/>
    <w:rsid w:val="796C21B2"/>
    <w:rsid w:val="799E680F"/>
    <w:rsid w:val="79C43D9C"/>
    <w:rsid w:val="79D96B94"/>
    <w:rsid w:val="79DA536E"/>
    <w:rsid w:val="7A024CAD"/>
    <w:rsid w:val="7A0D129F"/>
    <w:rsid w:val="7A141AFC"/>
    <w:rsid w:val="7A4B626B"/>
    <w:rsid w:val="7A5A200A"/>
    <w:rsid w:val="7A74131E"/>
    <w:rsid w:val="7A777060"/>
    <w:rsid w:val="7AAC551C"/>
    <w:rsid w:val="7AAD2A82"/>
    <w:rsid w:val="7AB4163E"/>
    <w:rsid w:val="7B234AF2"/>
    <w:rsid w:val="7B2A5E81"/>
    <w:rsid w:val="7B3343CE"/>
    <w:rsid w:val="7B364826"/>
    <w:rsid w:val="7B4C1F4E"/>
    <w:rsid w:val="7B590514"/>
    <w:rsid w:val="7B6F1AE6"/>
    <w:rsid w:val="7B9A47D2"/>
    <w:rsid w:val="7BF81ADB"/>
    <w:rsid w:val="7BF87D2D"/>
    <w:rsid w:val="7C2D1C32"/>
    <w:rsid w:val="7C541413"/>
    <w:rsid w:val="7C7B08EF"/>
    <w:rsid w:val="7CB3007C"/>
    <w:rsid w:val="7CB974BC"/>
    <w:rsid w:val="7CD12A58"/>
    <w:rsid w:val="7CE16A13"/>
    <w:rsid w:val="7D24527D"/>
    <w:rsid w:val="7D2708CA"/>
    <w:rsid w:val="7D4D3730"/>
    <w:rsid w:val="7D562F5D"/>
    <w:rsid w:val="7DB859C6"/>
    <w:rsid w:val="7DCE3CD0"/>
    <w:rsid w:val="7E097FCF"/>
    <w:rsid w:val="7E2303FD"/>
    <w:rsid w:val="7E3931C4"/>
    <w:rsid w:val="7E4F532B"/>
    <w:rsid w:val="7E6A3164"/>
    <w:rsid w:val="7EA146AC"/>
    <w:rsid w:val="7EC34622"/>
    <w:rsid w:val="7EFF7677"/>
    <w:rsid w:val="7F00043A"/>
    <w:rsid w:val="7F080287"/>
    <w:rsid w:val="7F0864D9"/>
    <w:rsid w:val="7F2C666B"/>
    <w:rsid w:val="7F2D4191"/>
    <w:rsid w:val="7F512F20"/>
    <w:rsid w:val="7F543102"/>
    <w:rsid w:val="7F8B146B"/>
    <w:rsid w:val="7FA51F7A"/>
    <w:rsid w:val="7FBA18EE"/>
    <w:rsid w:val="7FC122D7"/>
    <w:rsid w:val="7FC9210C"/>
    <w:rsid w:val="7FCF6FF7"/>
    <w:rsid w:val="7FD14B1D"/>
    <w:rsid w:val="7FDA7E75"/>
    <w:rsid w:val="7FF5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autoRedefine/>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4">
    <w:name w:val="heading 3"/>
    <w:basedOn w:val="1"/>
    <w:next w:val="1"/>
    <w:autoRedefine/>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6">
    <w:name w:val="List Number"/>
    <w:basedOn w:val="1"/>
    <w:autoRedefine/>
    <w:qFormat/>
    <w:uiPriority w:val="0"/>
    <w:pPr>
      <w:numPr>
        <w:ilvl w:val="0"/>
        <w:numId w:val="1"/>
      </w:numPr>
    </w:pPr>
  </w:style>
  <w:style w:type="paragraph" w:styleId="7">
    <w:name w:val="Normal Indent"/>
    <w:basedOn w:val="1"/>
    <w:autoRedefine/>
    <w:unhideWhenUsed/>
    <w:qFormat/>
    <w:uiPriority w:val="99"/>
    <w:pPr>
      <w:widowControl/>
      <w:ind w:firstLine="420"/>
      <w:jc w:val="left"/>
    </w:pPr>
    <w:rPr>
      <w:kern w:val="0"/>
      <w:sz w:val="20"/>
      <w:szCs w:val="20"/>
    </w:rPr>
  </w:style>
  <w:style w:type="paragraph" w:styleId="8">
    <w:name w:val="annotation text"/>
    <w:basedOn w:val="1"/>
    <w:autoRedefine/>
    <w:semiHidden/>
    <w:qFormat/>
    <w:uiPriority w:val="0"/>
    <w:pPr>
      <w:jc w:val="left"/>
    </w:pPr>
  </w:style>
  <w:style w:type="paragraph" w:styleId="9">
    <w:name w:val="Body Text"/>
    <w:basedOn w:val="1"/>
    <w:autoRedefine/>
    <w:qFormat/>
    <w:uiPriority w:val="0"/>
    <w:pPr>
      <w:spacing w:after="120" w:afterLines="0"/>
    </w:pPr>
  </w:style>
  <w:style w:type="paragraph" w:styleId="10">
    <w:name w:val="Body Text Indent"/>
    <w:basedOn w:val="1"/>
    <w:autoRedefine/>
    <w:qFormat/>
    <w:uiPriority w:val="0"/>
    <w:pPr>
      <w:spacing w:after="120" w:afterLines="0"/>
      <w:ind w:left="420" w:leftChars="200"/>
    </w:pPr>
  </w:style>
  <w:style w:type="paragraph" w:styleId="11">
    <w:name w:val="Plain Text"/>
    <w:basedOn w:val="1"/>
    <w:next w:val="7"/>
    <w:autoRedefine/>
    <w:qFormat/>
    <w:uiPriority w:val="0"/>
    <w:rPr>
      <w:rFonts w:ascii="宋体" w:hAnsi="Courier New"/>
      <w:szCs w:val="20"/>
    </w:rPr>
  </w:style>
  <w:style w:type="paragraph" w:styleId="12">
    <w:name w:val="Body Text Indent 2"/>
    <w:basedOn w:val="1"/>
    <w:autoRedefine/>
    <w:qFormat/>
    <w:uiPriority w:val="0"/>
    <w:pPr>
      <w:spacing w:line="500" w:lineRule="atLeast"/>
      <w:ind w:firstLine="480"/>
    </w:pPr>
    <w:rPr>
      <w:rFonts w:ascii="楷体_GB2312" w:eastAsia="楷体_GB2312"/>
      <w:color w:val="FF0000"/>
      <w:sz w:val="24"/>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pPr>
      <w:tabs>
        <w:tab w:val="right" w:leader="dot" w:pos="9628"/>
      </w:tabs>
      <w:spacing w:before="120" w:beforeLines="0" w:after="120" w:afterLines="0" w:line="480" w:lineRule="auto"/>
      <w:jc w:val="left"/>
    </w:pPr>
    <w:rPr>
      <w:rFonts w:cs="宋体"/>
      <w:b/>
      <w:bCs/>
      <w:caps/>
      <w:kern w:val="0"/>
      <w:sz w:val="28"/>
      <w:szCs w:val="28"/>
    </w:rPr>
  </w:style>
  <w:style w:type="paragraph" w:styleId="16">
    <w:name w:val="Body Text Indent 3"/>
    <w:basedOn w:val="1"/>
    <w:autoRedefine/>
    <w:qFormat/>
    <w:uiPriority w:val="0"/>
    <w:pPr>
      <w:spacing w:after="120" w:afterLines="0"/>
      <w:ind w:left="420" w:leftChars="200"/>
    </w:pPr>
    <w:rPr>
      <w:rFonts w:ascii="Times New Roman" w:hAnsi="Times New Roman" w:eastAsia="宋体" w:cs="Times New Roman"/>
      <w:sz w:val="16"/>
      <w:szCs w:val="16"/>
    </w:rPr>
  </w:style>
  <w:style w:type="paragraph" w:styleId="17">
    <w:name w:val="Normal (Web)"/>
    <w:basedOn w:val="1"/>
    <w:autoRedefine/>
    <w:qFormat/>
    <w:uiPriority w:val="0"/>
    <w:pPr>
      <w:widowControl/>
      <w:spacing w:before="100" w:beforeLines="0" w:beforeAutospacing="1" w:after="100" w:afterLines="0" w:afterAutospacing="1"/>
      <w:jc w:val="left"/>
    </w:pPr>
    <w:rPr>
      <w:rFonts w:hint="eastAsia" w:ascii="宋体" w:hAnsi="宋体"/>
      <w:kern w:val="0"/>
      <w:sz w:val="24"/>
    </w:rPr>
  </w:style>
  <w:style w:type="paragraph" w:styleId="18">
    <w:name w:val="Title"/>
    <w:basedOn w:val="1"/>
    <w:next w:val="1"/>
    <w:autoRedefine/>
    <w:qFormat/>
    <w:uiPriority w:val="0"/>
    <w:pPr>
      <w:pBdr>
        <w:top w:val="single" w:color="A7BFDE" w:sz="8" w:space="10"/>
        <w:bottom w:val="single" w:color="9BBB59" w:sz="24" w:space="15"/>
      </w:pBdr>
      <w:jc w:val="center"/>
    </w:pPr>
    <w:rPr>
      <w:rFonts w:ascii="宋体" w:hAnsi="Courier New" w:cs="Courier New"/>
      <w:szCs w:val="21"/>
    </w:rPr>
  </w:style>
  <w:style w:type="paragraph" w:styleId="19">
    <w:name w:val="Body Text First Indent"/>
    <w:basedOn w:val="9"/>
    <w:autoRedefine/>
    <w:qFormat/>
    <w:uiPriority w:val="0"/>
    <w:pPr>
      <w:autoSpaceDE/>
      <w:autoSpaceDN/>
      <w:adjustRightInd/>
      <w:spacing w:after="120" w:line="240" w:lineRule="auto"/>
      <w:ind w:firstLine="420" w:firstLineChars="100"/>
      <w:jc w:val="both"/>
    </w:pPr>
    <w:rPr>
      <w:kern w:val="2"/>
      <w:sz w:val="21"/>
    </w:rPr>
  </w:style>
  <w:style w:type="paragraph" w:styleId="20">
    <w:name w:val="Body Text First Indent 2"/>
    <w:basedOn w:val="10"/>
    <w:autoRedefine/>
    <w:qFormat/>
    <w:uiPriority w:val="0"/>
    <w:pPr>
      <w:spacing w:after="120"/>
      <w:ind w:left="420" w:leftChars="200" w:firstLine="420"/>
    </w:pPr>
    <w:rPr>
      <w:rFonts w:cs="宋体"/>
      <w:sz w:val="21"/>
      <w:szCs w:val="21"/>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rFonts w:ascii="Tahoma" w:hAnsi="Tahoma"/>
      <w:b/>
      <w:bCs/>
      <w:sz w:val="24"/>
    </w:rPr>
  </w:style>
  <w:style w:type="character" w:styleId="25">
    <w:name w:val="page number"/>
    <w:basedOn w:val="23"/>
    <w:autoRedefine/>
    <w:qFormat/>
    <w:uiPriority w:val="0"/>
  </w:style>
  <w:style w:type="character" w:styleId="26">
    <w:name w:val="FollowedHyperlink"/>
    <w:basedOn w:val="23"/>
    <w:autoRedefine/>
    <w:qFormat/>
    <w:uiPriority w:val="0"/>
    <w:rPr>
      <w:color w:val="646464"/>
      <w:u w:val="none"/>
    </w:rPr>
  </w:style>
  <w:style w:type="character" w:styleId="27">
    <w:name w:val="Hyperlink"/>
    <w:autoRedefine/>
    <w:qFormat/>
    <w:uiPriority w:val="99"/>
    <w:rPr>
      <w:color w:val="0000FF"/>
      <w:sz w:val="21"/>
      <w:u w:val="single"/>
    </w:rPr>
  </w:style>
  <w:style w:type="paragraph" w:customStyle="1" w:styleId="28">
    <w:name w:val="reader-word-layer reader-word-s3-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_2_0_0"/>
    <w:basedOn w:val="30"/>
    <w:autoRedefine/>
    <w:qFormat/>
    <w:uiPriority w:val="0"/>
    <w:pPr>
      <w:widowControl w:val="0"/>
      <w:jc w:val="both"/>
    </w:pPr>
    <w:rPr>
      <w:kern w:val="2"/>
      <w:sz w:val="21"/>
      <w:szCs w:val="24"/>
      <w:lang w:val="en-US" w:eastAsia="zh-CN" w:bidi="ar-SA"/>
    </w:rPr>
  </w:style>
  <w:style w:type="paragraph" w:customStyle="1" w:styleId="30">
    <w:name w:val="正文_3_0"/>
    <w:basedOn w:val="3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4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正文_2"/>
    <w:next w:val="18"/>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
    <w:name w:val="正文_2_0"/>
    <w:basedOn w:val="34"/>
    <w:autoRedefine/>
    <w:qFormat/>
    <w:uiPriority w:val="0"/>
    <w:pPr>
      <w:widowControl w:val="0"/>
      <w:jc w:val="both"/>
    </w:pPr>
    <w:rPr>
      <w:kern w:val="2"/>
      <w:sz w:val="21"/>
      <w:szCs w:val="22"/>
      <w:lang w:val="en-US" w:eastAsia="zh-CN" w:bidi="ar-SA"/>
    </w:rPr>
  </w:style>
  <w:style w:type="paragraph" w:customStyle="1" w:styleId="34">
    <w:name w:val="正文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p0_0"/>
    <w:basedOn w:val="36"/>
    <w:autoRedefine/>
    <w:qFormat/>
    <w:uiPriority w:val="0"/>
    <w:pPr>
      <w:widowControl/>
    </w:pPr>
    <w:rPr>
      <w:rFonts w:ascii="Times New Roman" w:hAnsi="Times New Roman"/>
      <w:kern w:val="0"/>
      <w:szCs w:val="21"/>
    </w:rPr>
  </w:style>
  <w:style w:type="paragraph" w:customStyle="1" w:styleId="36">
    <w:name w:val="正文_2_0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2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纯文本_0"/>
    <w:basedOn w:val="39"/>
    <w:autoRedefine/>
    <w:unhideWhenUsed/>
    <w:qFormat/>
    <w:uiPriority w:val="0"/>
    <w:rPr>
      <w:rFonts w:ascii="宋体" w:hAnsi="Courier New"/>
      <w:szCs w:val="21"/>
    </w:rPr>
  </w:style>
  <w:style w:type="paragraph" w:customStyle="1" w:styleId="39">
    <w:name w:val="正文_7"/>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标题 4_2"/>
    <w:basedOn w:val="33"/>
    <w:next w:val="33"/>
    <w:autoRedefine/>
    <w:qFormat/>
    <w:uiPriority w:val="0"/>
    <w:pPr>
      <w:keepNext/>
      <w:keepLines/>
      <w:outlineLvl w:val="3"/>
    </w:pPr>
    <w:rPr>
      <w:rFonts w:ascii="Arial" w:hAnsi="Arial" w:eastAsia="黑体"/>
      <w:bCs/>
      <w:kern w:val="0"/>
      <w:sz w:val="24"/>
      <w:szCs w:val="28"/>
    </w:rPr>
  </w:style>
  <w:style w:type="character" w:customStyle="1" w:styleId="41">
    <w:name w:val="10"/>
    <w:basedOn w:val="23"/>
    <w:autoRedefine/>
    <w:qFormat/>
    <w:uiPriority w:val="0"/>
    <w:rPr>
      <w:rFonts w:hint="default" w:ascii="Times New Roman" w:hAnsi="Times New Roman" w:cs="Times New Roman"/>
      <w:lang w:val="en-US" w:eastAsia="zh-CN" w:bidi="ar-SA"/>
    </w:rPr>
  </w:style>
  <w:style w:type="paragraph" w:customStyle="1" w:styleId="42">
    <w:name w:val="正文_4_1"/>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3">
    <w:name w:val="apple-style-span"/>
    <w:basedOn w:val="23"/>
    <w:autoRedefine/>
    <w:qFormat/>
    <w:uiPriority w:val="0"/>
  </w:style>
  <w:style w:type="paragraph" w:styleId="44">
    <w:name w:val="List Paragraph"/>
    <w:basedOn w:val="1"/>
    <w:autoRedefine/>
    <w:qFormat/>
    <w:uiPriority w:val="99"/>
    <w:pPr>
      <w:ind w:left="720"/>
      <w:contextualSpacing/>
    </w:pPr>
  </w:style>
  <w:style w:type="paragraph" w:customStyle="1" w:styleId="45">
    <w:name w:val="样式 宋体 首行缩进:  0.87 厘米"/>
    <w:basedOn w:val="1"/>
    <w:autoRedefine/>
    <w:qFormat/>
    <w:uiPriority w:val="0"/>
    <w:pPr>
      <w:spacing w:line="480" w:lineRule="exact"/>
      <w:ind w:firstLine="493"/>
    </w:pPr>
    <w:rPr>
      <w:rFonts w:ascii="宋体" w:hAnsi="宋体" w:cs="宋体"/>
      <w:spacing w:val="6"/>
      <w:sz w:val="24"/>
      <w:szCs w:val="24"/>
    </w:rPr>
  </w:style>
  <w:style w:type="paragraph" w:customStyle="1" w:styleId="46">
    <w:name w:val="正文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7">
    <w:name w:val="样式 正文（首行缩进两字） + 宋体 Char"/>
    <w:basedOn w:val="23"/>
    <w:autoRedefine/>
    <w:qFormat/>
    <w:uiPriority w:val="0"/>
    <w:rPr>
      <w:rFonts w:ascii="宋体" w:hAnsi="宋体" w:eastAsia="宋体"/>
      <w:spacing w:val="6"/>
      <w:kern w:val="24"/>
      <w:sz w:val="24"/>
      <w:szCs w:val="24"/>
      <w:lang w:val="en-US" w:eastAsia="zh-CN" w:bidi="ar-SA"/>
    </w:rPr>
  </w:style>
  <w:style w:type="paragraph" w:customStyle="1" w:styleId="48">
    <w:name w:val="Char Char Char Char Char Char Char Char Char Char"/>
    <w:basedOn w:val="1"/>
    <w:autoRedefine/>
    <w:qFormat/>
    <w:uiPriority w:val="0"/>
    <w:pPr>
      <w:widowControl/>
      <w:spacing w:after="160" w:line="240" w:lineRule="exact"/>
      <w:jc w:val="left"/>
    </w:pPr>
    <w:rPr>
      <w:sz w:val="28"/>
      <w:szCs w:val="20"/>
    </w:rPr>
  </w:style>
  <w:style w:type="paragraph" w:customStyle="1" w:styleId="49">
    <w:name w:val="正文_6_0"/>
    <w:basedOn w:val="50"/>
    <w:next w:val="51"/>
    <w:autoRedefine/>
    <w:qFormat/>
    <w:uiPriority w:val="0"/>
    <w:rPr>
      <w:rFonts w:ascii="Times New Roman" w:hAnsi="Times New Roman"/>
      <w:szCs w:val="21"/>
    </w:rPr>
  </w:style>
  <w:style w:type="paragraph" w:customStyle="1" w:styleId="50">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正文首行缩进_1"/>
    <w:basedOn w:val="52"/>
    <w:autoRedefine/>
    <w:semiHidden/>
    <w:qFormat/>
    <w:uiPriority w:val="0"/>
    <w:pPr>
      <w:ind w:firstLine="420" w:firstLineChars="100"/>
    </w:pPr>
    <w:rPr>
      <w:rFonts w:ascii="Arial Unicode MS" w:hAnsi="Arial Unicode MS" w:eastAsia="Arial Unicode MS" w:cs="Arial Unicode MS"/>
      <w:sz w:val="28"/>
      <w:szCs w:val="28"/>
    </w:rPr>
  </w:style>
  <w:style w:type="paragraph" w:customStyle="1" w:styleId="52">
    <w:name w:val="正文文本_1"/>
    <w:basedOn w:val="31"/>
    <w:next w:val="49"/>
    <w:autoRedefine/>
    <w:semiHidden/>
    <w:qFormat/>
    <w:uiPriority w:val="0"/>
    <w:pPr>
      <w:spacing w:before="100" w:beforeAutospacing="1" w:after="120"/>
    </w:pPr>
    <w:rPr>
      <w:kern w:val="0"/>
      <w:sz w:val="20"/>
      <w:szCs w:val="20"/>
    </w:rPr>
  </w:style>
  <w:style w:type="character" w:customStyle="1" w:styleId="53">
    <w:name w:val="10_1"/>
    <w:autoRedefine/>
    <w:qFormat/>
    <w:uiPriority w:val="0"/>
  </w:style>
  <w:style w:type="character" w:customStyle="1" w:styleId="54">
    <w:name w:val="bookmark-item uuid-1588129097073 code-23007 addword single-line-text-input-box-cls readonly"/>
    <w:autoRedefine/>
    <w:qFormat/>
    <w:uiPriority w:val="0"/>
    <w:rPr>
      <w:rFonts w:ascii="Times New Roman" w:hAnsi="Times New Roman" w:eastAsia="宋体" w:cs="Times New Roman"/>
      <w:sz w:val="21"/>
    </w:rPr>
  </w:style>
  <w:style w:type="paragraph" w:customStyle="1" w:styleId="55">
    <w:name w:val="正文段"/>
    <w:basedOn w:val="1"/>
    <w:autoRedefine/>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56">
    <w:name w:val="NormalCharacter"/>
    <w:autoRedefine/>
    <w:semiHidden/>
    <w:qFormat/>
    <w:uiPriority w:val="0"/>
    <w:rPr>
      <w:kern w:val="2"/>
      <w:sz w:val="21"/>
      <w:szCs w:val="24"/>
      <w:lang w:val="en-US" w:eastAsia="zh-CN" w:bidi="ar-SA"/>
    </w:rPr>
  </w:style>
  <w:style w:type="paragraph" w:customStyle="1" w:styleId="57">
    <w:name w:val="Body text|1"/>
    <w:basedOn w:val="1"/>
    <w:autoRedefine/>
    <w:qFormat/>
    <w:uiPriority w:val="0"/>
    <w:pPr>
      <w:widowControl w:val="0"/>
      <w:shd w:val="clear" w:color="auto" w:fill="auto"/>
      <w:spacing w:line="408" w:lineRule="auto"/>
      <w:ind w:firstLine="400"/>
    </w:pPr>
    <w:rPr>
      <w:rFonts w:ascii="宋体" w:hAnsi="宋体" w:eastAsia="宋体" w:cs="宋体"/>
      <w:sz w:val="20"/>
      <w:szCs w:val="20"/>
      <w:u w:val="none"/>
      <w:shd w:val="clear" w:color="auto" w:fill="auto"/>
      <w:lang w:val="zh-TW" w:eastAsia="zh-TW" w:bidi="zh-TW"/>
    </w:rPr>
  </w:style>
  <w:style w:type="paragraph" w:customStyle="1" w:styleId="58">
    <w:name w:val="CR正文"/>
    <w:basedOn w:val="1"/>
    <w:autoRedefine/>
    <w:qFormat/>
    <w:uiPriority w:val="0"/>
    <w:pPr>
      <w:ind w:right="210" w:firstLine="420"/>
    </w:pPr>
    <w:rPr>
      <w:rFonts w:hint="default" w:ascii="Calibri" w:hAnsi="Calibri" w:eastAsia="微软雅黑"/>
      <w:sz w:val="24"/>
      <w:szCs w:val="21"/>
    </w:rPr>
  </w:style>
  <w:style w:type="paragraph" w:customStyle="1" w:styleId="59">
    <w:name w:val="正文1"/>
    <w:basedOn w:val="1"/>
    <w:next w:val="1"/>
    <w:autoRedefine/>
    <w:qFormat/>
    <w:uiPriority w:val="0"/>
    <w:pPr>
      <w:adjustRightInd w:val="0"/>
      <w:spacing w:line="318" w:lineRule="atLeast"/>
      <w:ind w:left="369" w:firstLine="369"/>
      <w:textAlignment w:val="baseline"/>
    </w:pPr>
    <w:rPr>
      <w:rFonts w:ascii="宋体"/>
    </w:rPr>
  </w:style>
  <w:style w:type="paragraph" w:customStyle="1" w:styleId="60">
    <w:name w:val="正文_1_0"/>
    <w:autoRedefine/>
    <w:qFormat/>
    <w:uiPriority w:val="99"/>
    <w:pPr>
      <w:widowControl w:val="0"/>
      <w:jc w:val="both"/>
    </w:pPr>
    <w:rPr>
      <w:rFonts w:ascii="Calibri" w:hAnsi="Calibri" w:eastAsia="宋体" w:cs="Times New Roman"/>
      <w:kern w:val="2"/>
      <w:sz w:val="28"/>
      <w:szCs w:val="22"/>
      <w:lang w:val="en-US" w:eastAsia="zh-CN" w:bidi="ar-SA"/>
    </w:rPr>
  </w:style>
  <w:style w:type="table" w:customStyle="1" w:styleId="61">
    <w:name w:val="Table Normal"/>
    <w:autoRedefine/>
    <w:semiHidden/>
    <w:unhideWhenUsed/>
    <w:qFormat/>
    <w:uiPriority w:val="0"/>
    <w:tblPr>
      <w:tblCellMar>
        <w:top w:w="0" w:type="dxa"/>
        <w:left w:w="0" w:type="dxa"/>
        <w:bottom w:w="0" w:type="dxa"/>
        <w:right w:w="0" w:type="dxa"/>
      </w:tblCellMar>
    </w:tblPr>
  </w:style>
  <w:style w:type="paragraph" w:customStyle="1" w:styleId="6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30207</Words>
  <Characters>31878</Characters>
  <Lines>0</Lines>
  <Paragraphs>0</Paragraphs>
  <TotalTime>0</TotalTime>
  <ScaleCrop>false</ScaleCrop>
  <LinksUpToDate>false</LinksUpToDate>
  <CharactersWithSpaces>34065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2022-07-06T08:48:00Z</dcterms:created>
  <dc:creator>NTKO</dc:creator>
  <cp:lastModifiedBy>WQQ.CHAN</cp:lastModifiedBy>
  <cp:lastPrinted>2024-03-14T06:38:00Z</cp:lastPrinted>
  <dcterms:modified xsi:type="dcterms:W3CDTF">2024-03-29T10:52:55Z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468D06142A4344569629CE6EE499C1C7_13</vt:lpwstr>
  </property>
</Properties>
</file>