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color w:val="000000" w:themeColor="text1"/>
          <w:sz w:val="48"/>
          <w:szCs w:val="48"/>
          <w14:textFill>
            <w14:solidFill>
              <w14:schemeClr w14:val="tx1"/>
            </w14:solidFill>
          </w14:textFill>
        </w:rPr>
      </w:pPr>
    </w:p>
    <w:p>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建设工程设计方案规划管理辅助技术复核服务及日照分析复核服务</w:t>
      </w:r>
    </w:p>
    <w:p>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编号:ZJXR2023090401</w:t>
      </w:r>
    </w:p>
    <w:p>
      <w:pPr>
        <w:adjustRightInd/>
        <w:spacing w:line="360" w:lineRule="auto"/>
        <w:rPr>
          <w:rFonts w:ascii="宋体" w:hAnsi="宋体" w:cs="宋体"/>
          <w:color w:val="000000" w:themeColor="text1"/>
          <w:sz w:val="28"/>
          <w:szCs w:val="20"/>
          <w14:textFill>
            <w14:solidFill>
              <w14:schemeClr w14:val="tx1"/>
            </w14:solidFill>
          </w14:textFill>
        </w:rPr>
      </w:pPr>
    </w:p>
    <w:p>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pPr>
        <w:spacing w:line="360" w:lineRule="auto"/>
        <w:jc w:val="center"/>
        <w:rPr>
          <w:rFonts w:ascii="宋体" w:hAnsi="宋体" w:cs="宋体"/>
          <w:b/>
          <w:color w:val="000000" w:themeColor="text1"/>
          <w:sz w:val="44"/>
          <w:szCs w:val="44"/>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32"/>
          <w:szCs w:val="32"/>
          <w14:textFill>
            <w14:solidFill>
              <w14:schemeClr w14:val="tx1"/>
            </w14:solidFill>
          </w14:textFill>
        </w:rPr>
      </w:pPr>
    </w:p>
    <w:p>
      <w:pPr>
        <w:snapToGrid w:val="0"/>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采购人：杭州市规划和自然资源局上城分局</w:t>
      </w:r>
    </w:p>
    <w:p>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采购代理机构：浙江鑫润工程管理有限公司</w:t>
      </w:r>
    </w:p>
    <w:p>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二〇二三年九月</w:t>
      </w:r>
      <w:r>
        <w:rPr>
          <w:rFonts w:hint="eastAsia" w:ascii="宋体" w:hAnsi="宋体" w:cs="宋体"/>
          <w:bCs/>
          <w:color w:val="000000" w:themeColor="text1"/>
          <w:sz w:val="32"/>
          <w:szCs w:val="32"/>
          <w:lang w:val="en-US" w:eastAsia="zh-CN"/>
          <w14:textFill>
            <w14:solidFill>
              <w14:schemeClr w14:val="tx1"/>
            </w14:solidFill>
          </w14:textFill>
        </w:rPr>
        <w:t>七</w:t>
      </w:r>
      <w:r>
        <w:rPr>
          <w:rFonts w:hint="eastAsia" w:ascii="宋体" w:hAnsi="宋体" w:cs="宋体"/>
          <w:bCs/>
          <w:color w:val="000000" w:themeColor="text1"/>
          <w:sz w:val="32"/>
          <w:szCs w:val="32"/>
          <w14:textFill>
            <w14:solidFill>
              <w14:schemeClr w14:val="tx1"/>
            </w14:solidFill>
          </w14:textFill>
        </w:rPr>
        <w:t>日</w:t>
      </w:r>
    </w:p>
    <w:p>
      <w:pPr>
        <w:spacing w:line="360" w:lineRule="auto"/>
        <w:jc w:val="center"/>
        <w:rPr>
          <w:rFonts w:ascii="宋体" w:hAnsi="宋体" w:cs="宋体"/>
          <w:color w:val="000000" w:themeColor="text1"/>
          <w:sz w:val="24"/>
          <w14:textFill>
            <w14:solidFill>
              <w14:schemeClr w14:val="tx1"/>
            </w14:solidFill>
          </w14:textFill>
        </w:rPr>
      </w:pPr>
      <w:bookmarkStart w:id="0" w:name="_Hlt67893495"/>
      <w:bookmarkEnd w:id="0"/>
      <w:r>
        <w:rPr>
          <w:rFonts w:hint="eastAsia" w:ascii="宋体" w:hAnsi="宋体" w:cs="宋体"/>
          <w:color w:val="000000" w:themeColor="text1"/>
          <w:sz w:val="24"/>
          <w14:textFill>
            <w14:solidFill>
              <w14:schemeClr w14:val="tx1"/>
            </w14:solidFill>
          </w14:textFill>
        </w:rPr>
        <w:br w:type="page"/>
      </w:r>
    </w:p>
    <w:p>
      <w:pPr>
        <w:pStyle w:val="635"/>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2" w:name="第一部分"/>
      <w:bookmarkEnd w:id="2"/>
      <w:bookmarkStart w:id="3" w:name="_Hlt74707423"/>
      <w:bookmarkEnd w:id="3"/>
      <w:bookmarkStart w:id="4" w:name="_Hlt74649545"/>
      <w:bookmarkEnd w:id="4"/>
      <w:bookmarkStart w:id="5" w:name="_Hlt74728647"/>
      <w:bookmarkEnd w:id="5"/>
      <w:bookmarkStart w:id="6" w:name="_Hlt74729822"/>
      <w:bookmarkEnd w:id="6"/>
      <w:r>
        <w:rPr>
          <w:rFonts w:hint="eastAsia" w:ascii="宋体" w:hAnsi="宋体" w:cs="宋体"/>
          <w:b/>
          <w:sz w:val="36"/>
          <w:szCs w:val="36"/>
        </w:rPr>
        <w:br w:type="page"/>
      </w:r>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建设工程设计方案规划管理辅助技术复核服务及日照分析复核服务招标项目的潜在投标人应在政采云平台（</w:t>
      </w:r>
      <w:r>
        <w:fldChar w:fldCharType="begin"/>
      </w:r>
      <w:r>
        <w:instrText xml:space="preserve"> HYPERLINK "https://www.zcygov.cn/）获取（下载）招标文件，并于2023年%20%20月%20%20日%209点30分00秒" </w:instrText>
      </w:r>
      <w:r>
        <w:fldChar w:fldCharType="separate"/>
      </w:r>
      <w:r>
        <w:rPr>
          <w:rStyle w:val="77"/>
          <w:rFonts w:hint="eastAsia" w:ascii="宋体" w:hAnsi="宋体" w:eastAsia="宋体" w:cs="宋体"/>
          <w:kern w:val="2"/>
          <w:sz w:val="24"/>
          <w:szCs w:val="24"/>
        </w:rPr>
        <w:t>https://www.zcygov.cn/）获取（下载）招标文件，并于2023年</w:t>
      </w:r>
      <w:r>
        <w:rPr>
          <w:rStyle w:val="77"/>
          <w:rFonts w:hint="eastAsia" w:ascii="宋体" w:hAnsi="宋体" w:cs="宋体"/>
          <w:kern w:val="2"/>
          <w:sz w:val="24"/>
          <w:szCs w:val="24"/>
          <w:lang w:val="en-US" w:eastAsia="zh-CN"/>
        </w:rPr>
        <w:t>9</w:t>
      </w:r>
      <w:r>
        <w:rPr>
          <w:rStyle w:val="77"/>
          <w:rFonts w:hint="eastAsia" w:ascii="宋体" w:hAnsi="宋体" w:eastAsia="宋体" w:cs="宋体"/>
          <w:kern w:val="2"/>
          <w:sz w:val="24"/>
          <w:szCs w:val="24"/>
        </w:rPr>
        <w:t>月</w:t>
      </w:r>
      <w:r>
        <w:rPr>
          <w:rStyle w:val="77"/>
          <w:rFonts w:hint="eastAsia" w:ascii="宋体" w:hAnsi="宋体" w:cs="宋体"/>
          <w:kern w:val="2"/>
          <w:sz w:val="24"/>
          <w:szCs w:val="24"/>
          <w:lang w:val="en-US" w:eastAsia="zh-CN"/>
        </w:rPr>
        <w:t>27</w:t>
      </w:r>
      <w:r>
        <w:rPr>
          <w:rStyle w:val="77"/>
          <w:rFonts w:hint="eastAsia" w:ascii="宋体" w:hAnsi="宋体" w:eastAsia="宋体" w:cs="宋体"/>
          <w:kern w:val="2"/>
          <w:sz w:val="24"/>
          <w:szCs w:val="24"/>
        </w:rPr>
        <w:t xml:space="preserve">日 </w:t>
      </w:r>
      <w:r>
        <w:rPr>
          <w:rStyle w:val="77"/>
          <w:rFonts w:hint="eastAsia" w:ascii="宋体" w:hAnsi="宋体" w:cs="宋体"/>
          <w:kern w:val="2"/>
          <w:sz w:val="24"/>
          <w:szCs w:val="24"/>
          <w:lang w:val="en-US" w:eastAsia="zh-CN"/>
        </w:rPr>
        <w:t>14</w:t>
      </w:r>
      <w:r>
        <w:rPr>
          <w:rStyle w:val="77"/>
          <w:rFonts w:hint="eastAsia" w:ascii="宋体" w:hAnsi="宋体" w:eastAsia="宋体" w:cs="宋体"/>
          <w:kern w:val="2"/>
          <w:sz w:val="24"/>
          <w:szCs w:val="24"/>
        </w:rPr>
        <w:t>点</w:t>
      </w:r>
      <w:r>
        <w:rPr>
          <w:rStyle w:val="77"/>
          <w:rFonts w:hint="eastAsia" w:ascii="宋体" w:hAnsi="宋体" w:cs="宋体"/>
          <w:kern w:val="2"/>
          <w:sz w:val="24"/>
          <w:szCs w:val="24"/>
          <w:lang w:val="en-US" w:eastAsia="zh-CN"/>
        </w:rPr>
        <w:t>0</w:t>
      </w:r>
      <w:r>
        <w:rPr>
          <w:rStyle w:val="77"/>
          <w:rFonts w:hint="eastAsia" w:ascii="宋体" w:hAnsi="宋体" w:cs="宋体"/>
          <w:kern w:val="2"/>
          <w:sz w:val="24"/>
          <w:szCs w:val="24"/>
        </w:rPr>
        <w:t>0</w:t>
      </w:r>
      <w:r>
        <w:rPr>
          <w:rStyle w:val="77"/>
          <w:rFonts w:hint="eastAsia" w:ascii="宋体" w:hAnsi="宋体" w:eastAsia="宋体" w:cs="宋体"/>
          <w:kern w:val="2"/>
          <w:sz w:val="24"/>
          <w:szCs w:val="24"/>
        </w:rPr>
        <w:t>分</w:t>
      </w:r>
      <w:r>
        <w:rPr>
          <w:rStyle w:val="77"/>
          <w:rFonts w:hint="eastAsia" w:ascii="宋体" w:hAnsi="宋体" w:eastAsia="宋体" w:cs="宋体"/>
          <w:bCs/>
          <w:kern w:val="2"/>
          <w:sz w:val="24"/>
          <w:szCs w:val="24"/>
        </w:rPr>
        <w:t>00秒</w:t>
      </w:r>
      <w:r>
        <w:rPr>
          <w:rStyle w:val="77"/>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000000" w:themeColor="text1"/>
          <w:sz w:val="24"/>
          <w14:textFill>
            <w14:solidFill>
              <w14:schemeClr w14:val="tx1"/>
            </w14:solidFill>
          </w14:textFill>
        </w:rPr>
        <w:t>ZJXR2023090401</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建设工程设计方案规划管理辅助技术复核服务及日照分析复核服务</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预算金额（元）：1200000</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最高限价（元）：1200000</w:t>
      </w:r>
    </w:p>
    <w:p>
      <w:pPr>
        <w:pStyle w:val="16"/>
        <w:spacing w:line="360" w:lineRule="auto"/>
        <w:ind w:firstLine="480"/>
        <w:rPr>
          <w:rFonts w:hint="eastAsia" w:asciiTheme="minorEastAsia" w:hAnsiTheme="minorEastAsia" w:eastAsiaTheme="minorEastAsia"/>
          <w:color w:val="auto"/>
          <w:kern w:val="2"/>
          <w:sz w:val="24"/>
          <w:szCs w:val="24"/>
        </w:rPr>
      </w:pPr>
      <w:r>
        <w:rPr>
          <w:rFonts w:hint="eastAsia" w:hAnsi="宋体" w:cs="宋体"/>
          <w:b/>
          <w:color w:val="000000" w:themeColor="text1"/>
          <w:sz w:val="24"/>
          <w14:textFill>
            <w14:solidFill>
              <w14:schemeClr w14:val="tx1"/>
            </w14:solidFill>
          </w14:textFill>
        </w:rPr>
        <w:t>采购需求：</w:t>
      </w:r>
      <w:r>
        <w:rPr>
          <w:rFonts w:hint="eastAsia" w:hAnsi="宋体" w:cs="宋体"/>
          <w:bCs/>
          <w:color w:val="000000" w:themeColor="text1"/>
          <w:kern w:val="2"/>
          <w:sz w:val="24"/>
          <w:szCs w:val="24"/>
          <w14:textFill>
            <w14:solidFill>
              <w14:schemeClr w14:val="tx1"/>
            </w14:solidFill>
          </w14:textFill>
        </w:rPr>
        <w:t>建设工程设计方案规划管理辅助技术复核服务及日照分析复核服务。</w:t>
      </w:r>
      <w:r>
        <w:rPr>
          <w:rFonts w:hint="eastAsia" w:asciiTheme="minorEastAsia" w:hAnsiTheme="minorEastAsia" w:eastAsiaTheme="minorEastAsia"/>
          <w:color w:val="000000" w:themeColor="text1"/>
          <w:kern w:val="2"/>
          <w:sz w:val="24"/>
          <w:szCs w:val="24"/>
          <w14:textFill>
            <w14:solidFill>
              <w14:schemeClr w14:val="tx1"/>
            </w14:solidFill>
          </w14:textFill>
        </w:rPr>
        <w:t>具体以</w:t>
      </w:r>
      <w:r>
        <w:rPr>
          <w:rFonts w:hint="eastAsia" w:asciiTheme="minorEastAsia" w:hAnsiTheme="minorEastAsia" w:eastAsiaTheme="minorEastAsia"/>
          <w:color w:val="auto"/>
          <w:kern w:val="2"/>
          <w:sz w:val="24"/>
          <w:szCs w:val="24"/>
        </w:rPr>
        <w:t>招标文件第三部分采购需求为准，供应商可点击本公告下方“浏览采购文件”查看采购需求。</w:t>
      </w:r>
    </w:p>
    <w:p>
      <w:pPr>
        <w:pStyle w:val="16"/>
        <w:spacing w:after="120" w:line="360" w:lineRule="auto"/>
        <w:ind w:firstLine="480"/>
        <w:textAlignment w:val="baseline"/>
        <w:rPr>
          <w:rFonts w:hAnsi="宋体" w:cs="宋体"/>
          <w:bCs/>
          <w:kern w:val="2"/>
          <w:sz w:val="24"/>
          <w:szCs w:val="24"/>
        </w:rPr>
      </w:pPr>
      <w:r>
        <w:rPr>
          <w:rFonts w:hint="eastAsia" w:hAnsi="宋体" w:cs="宋体"/>
          <w:bCs/>
          <w:kern w:val="2"/>
          <w:sz w:val="24"/>
          <w:szCs w:val="24"/>
        </w:rPr>
        <w:t>本项目为采购项目提供第三方技术复核服务的供应商，根据回避制度要求，为公平起见，需承诺若中标本项目则在服务期内不再承担上城区区域范围内建设工程设计方案的设计业务和日照分析业务。</w:t>
      </w:r>
    </w:p>
    <w:p>
      <w:pPr>
        <w:pStyle w:val="129"/>
        <w:ind w:firstLine="482"/>
        <w:outlineLvl w:val="2"/>
        <w:rPr>
          <w:rFonts w:ascii="宋体" w:hAnsi="宋体" w:cs="宋体" w:eastAsiaTheme="minorEastAsia"/>
          <w:highlight w:val="yellow"/>
        </w:rPr>
      </w:pPr>
      <w:r>
        <w:rPr>
          <w:rFonts w:hint="eastAsia" w:ascii="宋体" w:hAnsi="宋体" w:cs="宋体"/>
          <w:b/>
        </w:rPr>
        <w:t>合同履约期限：</w:t>
      </w:r>
      <w:r>
        <w:rPr>
          <w:rFonts w:hint="eastAsia" w:asciiTheme="minorEastAsia" w:hAnsiTheme="minorEastAsia" w:eastAsiaTheme="minorEastAsia" w:cstheme="minorEastAsia"/>
          <w:szCs w:val="24"/>
        </w:rPr>
        <w:t>2023年12月31日前完成。</w:t>
      </w:r>
    </w:p>
    <w:p>
      <w:pPr>
        <w:pStyle w:val="1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kern w:val="28"/>
          <w:sz w:val="24"/>
          <w:szCs w:val="20"/>
        </w:rPr>
      </w:pPr>
      <w:r>
        <w:rPr>
          <w:rFonts w:hint="eastAsia" w:ascii="宋体" w:hAnsi="宋体" w:cs="宋体"/>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kern w:val="28"/>
          <w:sz w:val="24"/>
          <w:szCs w:val="20"/>
        </w:rPr>
      </w:pPr>
      <w:r>
        <w:rPr>
          <w:rFonts w:hint="eastAsia" w:ascii="宋体" w:hAnsi="宋体" w:cs="宋体"/>
          <w:kern w:val="28"/>
          <w:sz w:val="24"/>
          <w:szCs w:val="20"/>
        </w:rPr>
        <w:t xml:space="preserve">    </w:t>
      </w:r>
      <w:r>
        <w:rPr>
          <w:rFonts w:ascii="宋体" w:hAnsi="宋体" w:cs="宋体"/>
          <w:kern w:val="28"/>
          <w:sz w:val="24"/>
          <w:szCs w:val="20"/>
        </w:rPr>
        <w:t>2</w:t>
      </w:r>
      <w:r>
        <w:rPr>
          <w:rFonts w:hint="eastAsia" w:ascii="宋体" w:hAnsi="宋体" w:cs="宋体"/>
          <w:kern w:val="28"/>
          <w:sz w:val="24"/>
          <w:szCs w:val="20"/>
        </w:rPr>
        <w:t>.</w:t>
      </w:r>
      <w:r>
        <w:rPr>
          <w:rFonts w:hint="eastAsia"/>
        </w:rPr>
        <w:t xml:space="preserve"> </w:t>
      </w:r>
      <w:r>
        <w:rPr>
          <w:rFonts w:hint="eastAsia" w:ascii="宋体" w:hAnsi="宋体" w:cs="宋体"/>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kern w:val="28"/>
          <w:sz w:val="24"/>
          <w:szCs w:val="20"/>
        </w:rPr>
      </w:pPr>
      <w:r>
        <w:rPr>
          <w:rFonts w:ascii="宋体" w:hAnsi="宋体" w:cs="宋体"/>
          <w:kern w:val="28"/>
          <w:sz w:val="24"/>
          <w:szCs w:val="20"/>
        </w:rPr>
        <w:t>3</w:t>
      </w:r>
      <w:r>
        <w:rPr>
          <w:rFonts w:hint="eastAsia" w:ascii="宋体" w:hAnsi="宋体" w:cs="宋体"/>
          <w:kern w:val="28"/>
          <w:sz w:val="24"/>
          <w:szCs w:val="20"/>
        </w:rPr>
        <w:t>.落实政府采购政策需满足的资格要求：</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sdtPr>
        <w:sdtEndPr>
          <w:rPr>
            <w:rFonts w:hint="eastAsia" w:ascii="宋体" w:hAnsi="宋体" w:cs="宋体"/>
            <w:color w:val="0000FF"/>
            <w:kern w:val="0"/>
            <w:sz w:val="24"/>
          </w:rPr>
        </w:sdtEndPr>
        <w:sdtContent>
          <w:sdt>
            <w:sdtPr>
              <w:rPr>
                <w:rFonts w:hint="eastAsia" w:ascii="宋体" w:hAnsi="宋体" w:cs="宋体"/>
                <w:color w:val="0000FF"/>
                <w:kern w:val="0"/>
                <w:sz w:val="24"/>
              </w:rPr>
              <w:id w:val="390400856"/>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rPr>
                <w:sym w:font="Wingdings" w:char="00FE"/>
              </w:r>
            </w:sdtContent>
          </w:sdt>
        </w:sdtContent>
      </w:sdt>
      <w:r>
        <w:rPr>
          <w:rFonts w:hint="eastAsia" w:ascii="宋体" w:hAnsi="宋体" w:cs="宋体"/>
          <w:color w:val="0000FF"/>
          <w:sz w:val="24"/>
        </w:rPr>
        <w:t>无</w:t>
      </w:r>
      <w:r>
        <w:rPr>
          <w:rFonts w:hint="eastAsia" w:ascii="宋体" w:hAnsi="宋体" w:cs="宋体"/>
          <w:color w:val="0000FF"/>
          <w:kern w:val="28"/>
          <w:sz w:val="24"/>
          <w:szCs w:val="20"/>
        </w:rPr>
        <w:t>（注：不得限制大中型企业与小微企业组成联合体参与投标）；</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024704304"/>
        </w:sdtPr>
        <w:sdtEndPr>
          <w:rPr>
            <w:rFonts w:hint="eastAsia" w:ascii="宋体" w:hAnsi="宋体" w:cs="宋体"/>
            <w:color w:val="0000FF"/>
            <w:kern w:val="0"/>
            <w:sz w:val="24"/>
          </w:rPr>
        </w:sdtEndPr>
        <w:sdtContent>
          <w:sdt>
            <w:sdtPr>
              <w:rPr>
                <w:rFonts w:hint="eastAsia" w:ascii="宋体" w:hAnsi="宋体" w:cs="宋体"/>
                <w:color w:val="0000FF"/>
                <w:kern w:val="0"/>
                <w:sz w:val="24"/>
              </w:rPr>
              <w:id w:val="791873439"/>
            </w:sdtPr>
            <w:sdtEndPr>
              <w:rPr>
                <w:rFonts w:hint="eastAsia" w:ascii="宋体" w:hAnsi="宋体" w:cs="宋体"/>
                <w:color w:val="0000FF"/>
                <w:kern w:val="0"/>
                <w:sz w:val="24"/>
              </w:rPr>
            </w:sdtEndPr>
            <w:sdtContent>
              <w:sdt>
                <w:sdtPr>
                  <w:rPr>
                    <w:rFonts w:hint="eastAsia" w:ascii="宋体" w:hAnsi="宋体" w:cs="宋体"/>
                    <w:color w:val="0000FF"/>
                    <w:kern w:val="0"/>
                    <w:sz w:val="24"/>
                  </w:rPr>
                  <w:id w:val="-320583261"/>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sdtContent>
          </w:sdt>
        </w:sdtContent>
      </w:sdt>
      <w:r>
        <w:rPr>
          <w:rFonts w:hint="eastAsia" w:ascii="宋体" w:hAnsi="宋体" w:cs="宋体"/>
          <w:color w:val="0000FF"/>
          <w:kern w:val="0"/>
          <w:sz w:val="24"/>
        </w:rPr>
        <w:t>专</w:t>
      </w:r>
      <w:r>
        <w:rPr>
          <w:rFonts w:hint="eastAsia" w:ascii="宋体" w:hAnsi="宋体" w:cs="宋体"/>
          <w:color w:val="0000FF"/>
          <w:sz w:val="24"/>
        </w:rPr>
        <w:t>门面向中小企业</w:t>
      </w:r>
    </w:p>
    <w:p>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333685401"/>
        </w:sdtPr>
        <w:sdtEndPr>
          <w:rPr>
            <w:rFonts w:hint="eastAsia" w:ascii="宋体" w:hAnsi="宋体" w:cs="宋体"/>
            <w:color w:val="0000FF"/>
            <w:kern w:val="0"/>
            <w:sz w:val="24"/>
          </w:rPr>
        </w:sdtEndPr>
        <w:sdtContent>
          <w:sdt>
            <w:sdtPr>
              <w:rPr>
                <w:rFonts w:hint="eastAsia" w:ascii="宋体" w:hAnsi="宋体" w:cs="宋体"/>
                <w:color w:val="0000FF"/>
                <w:kern w:val="0"/>
                <w:sz w:val="24"/>
              </w:rPr>
              <w:id w:val="-105503636"/>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sdtContent>
      </w:sdt>
      <w:r>
        <w:rPr>
          <w:rFonts w:hint="eastAsia" w:ascii="宋体" w:hAnsi="宋体" w:cs="宋体"/>
          <w:color w:val="0000FF"/>
          <w:sz w:val="24"/>
        </w:rPr>
        <w:t>服务全部由符合政策要求的中小企业承接，提供中小企业声明函；</w:t>
      </w:r>
    </w:p>
    <w:p>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2141025358"/>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服务全部由符合政策要求的小微企业承接，提供中小企业声明函；</w:t>
      </w:r>
    </w:p>
    <w:p>
      <w:pPr>
        <w:rPr>
          <w:rFonts w:ascii="宋体" w:hAnsi="宋体" w:cs="宋体"/>
          <w:color w:val="0000FF"/>
        </w:rPr>
      </w:pP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85607795"/>
        </w:sdtPr>
        <w:sdtEndPr>
          <w:rPr>
            <w:rFonts w:hint="eastAsia" w:ascii="宋体" w:hAnsi="宋体" w:cs="宋体"/>
            <w:color w:val="0000FF"/>
            <w:kern w:val="0"/>
            <w:sz w:val="24"/>
          </w:rPr>
        </w:sdtEndPr>
        <w:sdtContent>
          <w:sdt>
            <w:sdtPr>
              <w:rPr>
                <w:rFonts w:hint="eastAsia" w:ascii="宋体" w:hAnsi="宋体" w:cs="宋体"/>
                <w:color w:val="0000FF"/>
                <w:kern w:val="0"/>
                <w:sz w:val="24"/>
              </w:rPr>
              <w:id w:val="1146854535"/>
            </w:sdtPr>
            <w:sdtEndPr>
              <w:rPr>
                <w:rFonts w:hint="eastAsia" w:ascii="宋体" w:hAnsi="宋体" w:cs="宋体"/>
                <w:color w:val="0000FF"/>
                <w:kern w:val="0"/>
                <w:sz w:val="24"/>
              </w:rPr>
            </w:sdtEndPr>
            <w:sdtContent>
              <w:sdt>
                <w:sdtPr>
                  <w:rPr>
                    <w:rFonts w:hint="eastAsia" w:ascii="宋体" w:hAnsi="宋体" w:cs="宋体"/>
                    <w:color w:val="0000FF"/>
                    <w:kern w:val="0"/>
                    <w:sz w:val="24"/>
                  </w:rPr>
                  <w:id w:val="1790322084"/>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sdtContent>
          </w:sdt>
        </w:sdtContent>
      </w:sdt>
      <w:r>
        <w:rPr>
          <w:rFonts w:hint="eastAsia" w:ascii="宋体" w:hAnsi="宋体" w:cs="宋体"/>
          <w:color w:val="0000FF"/>
          <w:sz w:val="24"/>
        </w:rPr>
        <w:t>要求以联合体形式参加，提供联合协议和中小企业声明函，联合协议中中小企业合同金额应当达到40%，其中小微企业合同金额应当达到60%;</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  % ，其中小微企业合同金额应当达到 %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highlight w:val="none"/>
        </w:rPr>
        <w:t>/至</w:t>
      </w:r>
      <w:r>
        <w:rPr>
          <w:rFonts w:hint="eastAsia" w:ascii="宋体" w:hAnsi="宋体" w:cs="宋体"/>
          <w:color w:val="000000" w:themeColor="text1"/>
          <w:sz w:val="24"/>
          <w:highlight w:val="none"/>
          <w14:textFill>
            <w14:solidFill>
              <w14:schemeClr w14:val="tx1"/>
            </w14:solidFill>
          </w14:textFill>
        </w:rPr>
        <w:t>2023年9 月</w:t>
      </w:r>
      <w:r>
        <w:rPr>
          <w:rFonts w:hint="eastAsia" w:ascii="宋体" w:hAnsi="宋体" w:cs="宋体"/>
          <w:color w:val="000000" w:themeColor="text1"/>
          <w:sz w:val="24"/>
          <w:highlight w:val="none"/>
          <w:lang w:val="en-US" w:eastAsia="zh-CN"/>
          <w14:textFill>
            <w14:solidFill>
              <w14:schemeClr w14:val="tx1"/>
            </w14:solidFill>
          </w14:textFill>
        </w:rPr>
        <w:t>27</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000000" w:themeColor="text1"/>
          <w:sz w:val="24"/>
          <w:highlight w:val="none"/>
          <w14:textFill>
            <w14:solidFill>
              <w14:schemeClr w14:val="tx1"/>
            </w14:solidFill>
          </w14:textFill>
        </w:rPr>
        <w:t xml:space="preserve"> 2023年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27</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cs="宋体"/>
          <w:color w:val="000000" w:themeColor="text1"/>
          <w:sz w:val="24"/>
          <w:highlight w:val="none"/>
          <w14:textFill>
            <w14:solidFill>
              <w14:schemeClr w14:val="tx1"/>
            </w14:solidFill>
          </w14:textFill>
        </w:rPr>
        <w:t>点</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0分00秒</w:t>
      </w:r>
      <w:r>
        <w:rPr>
          <w:rFonts w:hint="eastAsia" w:ascii="宋体" w:hAnsi="宋体" w:cs="宋体"/>
          <w:bCs/>
          <w:color w:val="FF0000"/>
          <w:sz w:val="24"/>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rPr>
      </w:pPr>
      <w:r>
        <w:rPr>
          <w:rFonts w:hint="eastAsia" w:ascii="宋体" w:hAnsi="宋体" w:cs="宋体"/>
          <w:b/>
          <w:sz w:val="24"/>
        </w:rPr>
        <w:t>开标时间：</w:t>
      </w:r>
      <w:r>
        <w:rPr>
          <w:rFonts w:hint="eastAsia" w:ascii="宋体" w:hAnsi="宋体" w:cs="宋体"/>
          <w:color w:val="000000" w:themeColor="text1"/>
          <w:sz w:val="24"/>
          <w:highlight w:val="none"/>
          <w14:textFill>
            <w14:solidFill>
              <w14:schemeClr w14:val="tx1"/>
            </w14:solidFill>
          </w14:textFill>
        </w:rPr>
        <w:t>2023年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 xml:space="preserve"> 月 </w:t>
      </w:r>
      <w:r>
        <w:rPr>
          <w:rFonts w:hint="eastAsia" w:ascii="宋体" w:hAnsi="宋体" w:cs="宋体"/>
          <w:color w:val="000000" w:themeColor="text1"/>
          <w:sz w:val="24"/>
          <w:highlight w:val="none"/>
          <w:lang w:val="en-US" w:eastAsia="zh-CN"/>
          <w14:textFill>
            <w14:solidFill>
              <w14:schemeClr w14:val="tx1"/>
            </w14:solidFill>
          </w14:textFill>
        </w:rPr>
        <w:t>27</w:t>
      </w:r>
      <w:r>
        <w:rPr>
          <w:rFonts w:hint="eastAsia" w:ascii="宋体" w:hAnsi="宋体" w:cs="宋体"/>
          <w:color w:val="000000" w:themeColor="text1"/>
          <w:sz w:val="24"/>
          <w:highlight w:val="none"/>
          <w14:textFill>
            <w14:solidFill>
              <w14:schemeClr w14:val="tx1"/>
            </w14:solidFill>
          </w14:textFill>
        </w:rPr>
        <w:t xml:space="preserve"> 日</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cs="宋体"/>
          <w:color w:val="000000" w:themeColor="text1"/>
          <w:sz w:val="24"/>
          <w:highlight w:val="none"/>
          <w14:textFill>
            <w14:solidFill>
              <w14:schemeClr w14:val="tx1"/>
            </w14:solidFill>
          </w14:textFill>
        </w:rPr>
        <w:t>点</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0分00秒</w:t>
      </w:r>
      <w:r>
        <w:rPr>
          <w:rFonts w:hint="eastAsia" w:ascii="宋体" w:hAnsi="宋体" w:cs="宋体"/>
          <w:bCs/>
          <w:color w:val="FF0000"/>
          <w:sz w:val="24"/>
        </w:rPr>
        <w:t xml:space="preserve"> </w:t>
      </w:r>
      <w:r>
        <w:rPr>
          <w:rFonts w:hint="eastAsia" w:ascii="宋体" w:hAnsi="宋体" w:cs="宋体"/>
          <w:bCs/>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napToGrid w:val="0"/>
        <w:spacing w:line="360" w:lineRule="auto"/>
        <w:rPr>
          <w:rFonts w:ascii="宋体" w:hAnsi="宋体" w:cs="宋体"/>
          <w:sz w:val="24"/>
        </w:rPr>
      </w:pPr>
      <w:r>
        <w:rPr>
          <w:rFonts w:hint="eastAsia" w:ascii="宋体" w:hAnsi="宋体" w:cs="宋体"/>
          <w:sz w:val="24"/>
        </w:rPr>
        <w:t xml:space="preserve">    名    称：杭州市规划和自然资源局上城分局 </w:t>
      </w:r>
    </w:p>
    <w:p>
      <w:pPr>
        <w:snapToGrid w:val="0"/>
        <w:spacing w:line="360" w:lineRule="auto"/>
        <w:rPr>
          <w:rFonts w:ascii="宋体" w:hAnsi="宋体" w:cs="宋体"/>
          <w:sz w:val="24"/>
        </w:rPr>
      </w:pPr>
      <w:r>
        <w:rPr>
          <w:rFonts w:hint="eastAsia" w:ascii="宋体" w:hAnsi="宋体" w:cs="宋体"/>
          <w:sz w:val="24"/>
        </w:rPr>
        <w:t xml:space="preserve">    地    址：  杭州市望潮路77号     </w:t>
      </w:r>
    </w:p>
    <w:p>
      <w:pPr>
        <w:snapToGrid w:val="0"/>
        <w:spacing w:line="360" w:lineRule="auto"/>
        <w:ind w:firstLine="480"/>
        <w:rPr>
          <w:rFonts w:ascii="宋体" w:hAnsi="宋体" w:cs="宋体"/>
          <w:sz w:val="24"/>
        </w:rPr>
      </w:pPr>
      <w:r>
        <w:rPr>
          <w:rFonts w:hint="eastAsia" w:ascii="宋体" w:hAnsi="宋体" w:cs="宋体"/>
          <w:sz w:val="24"/>
        </w:rPr>
        <w:t>传    真： /</w:t>
      </w:r>
    </w:p>
    <w:p>
      <w:pPr>
        <w:snapToGrid w:val="0"/>
        <w:spacing w:line="360" w:lineRule="auto"/>
        <w:ind w:firstLine="480"/>
        <w:rPr>
          <w:rFonts w:ascii="宋体" w:hAnsi="宋体" w:cs="宋体"/>
          <w:sz w:val="24"/>
        </w:rPr>
      </w:pPr>
      <w:r>
        <w:rPr>
          <w:rFonts w:hint="eastAsia" w:ascii="宋体" w:hAnsi="宋体" w:cs="宋体"/>
          <w:sz w:val="24"/>
        </w:rPr>
        <w:t>项目联系人（询问）：王则平</w:t>
      </w:r>
    </w:p>
    <w:p>
      <w:pPr>
        <w:snapToGrid w:val="0"/>
        <w:spacing w:line="360" w:lineRule="auto"/>
        <w:rPr>
          <w:rFonts w:ascii="宋体" w:hAnsi="宋体" w:cs="宋体"/>
          <w:sz w:val="24"/>
        </w:rPr>
      </w:pPr>
      <w:r>
        <w:rPr>
          <w:rFonts w:hint="eastAsia" w:ascii="宋体" w:hAnsi="宋体" w:cs="宋体"/>
          <w:sz w:val="24"/>
        </w:rPr>
        <w:t xml:space="preserve">    项目联系方式（询问）：0571-87654155 </w:t>
      </w:r>
    </w:p>
    <w:p>
      <w:pPr>
        <w:snapToGrid w:val="0"/>
        <w:spacing w:line="360" w:lineRule="auto"/>
        <w:rPr>
          <w:rFonts w:ascii="宋体" w:hAnsi="宋体" w:cs="宋体"/>
          <w:sz w:val="24"/>
        </w:rPr>
      </w:pPr>
      <w:r>
        <w:rPr>
          <w:rFonts w:hint="eastAsia" w:ascii="宋体" w:hAnsi="宋体" w:cs="宋体"/>
          <w:sz w:val="24"/>
        </w:rPr>
        <w:t xml:space="preserve">    质疑联系人：陈淑颖</w:t>
      </w:r>
    </w:p>
    <w:p>
      <w:pPr>
        <w:spacing w:line="360" w:lineRule="auto"/>
        <w:rPr>
          <w:rFonts w:ascii="宋体" w:hAnsi="宋体" w:cs="宋体"/>
          <w:color w:val="0000FF"/>
          <w:sz w:val="24"/>
          <w:highlight w:val="yellow"/>
        </w:rPr>
      </w:pPr>
      <w:r>
        <w:rPr>
          <w:rFonts w:hint="eastAsia" w:ascii="宋体" w:hAnsi="宋体" w:cs="宋体"/>
          <w:sz w:val="24"/>
        </w:rPr>
        <w:t xml:space="preserve">    质疑联系方式： 0571-86930527</w:t>
      </w:r>
    </w:p>
    <w:p>
      <w:pPr>
        <w:spacing w:line="360" w:lineRule="auto"/>
        <w:rPr>
          <w:rFonts w:ascii="宋体" w:hAnsi="宋体" w:cs="宋体"/>
          <w:sz w:val="24"/>
        </w:rPr>
      </w:pPr>
      <w:r>
        <w:rPr>
          <w:rFonts w:hint="eastAsia" w:ascii="宋体" w:hAnsi="宋体" w:cs="宋体"/>
          <w:sz w:val="24"/>
        </w:rPr>
        <w:t xml:space="preserve">    2.采购代理机构信息            </w:t>
      </w:r>
    </w:p>
    <w:p>
      <w:pPr>
        <w:snapToGrid w:val="0"/>
        <w:spacing w:line="360" w:lineRule="auto"/>
        <w:ind w:firstLine="480"/>
        <w:rPr>
          <w:rFonts w:ascii="宋体" w:hAnsi="宋体" w:cs="宋体"/>
          <w:sz w:val="24"/>
        </w:rPr>
      </w:pPr>
      <w:r>
        <w:rPr>
          <w:rFonts w:hint="eastAsia" w:ascii="宋体" w:hAnsi="宋体" w:cs="宋体"/>
          <w:sz w:val="24"/>
        </w:rPr>
        <w:t>名    称：浙江鑫润工程管理有限公司</w:t>
      </w:r>
    </w:p>
    <w:p>
      <w:pPr>
        <w:snapToGrid w:val="0"/>
        <w:spacing w:line="360" w:lineRule="auto"/>
        <w:ind w:firstLine="480"/>
        <w:rPr>
          <w:rFonts w:ascii="宋体" w:hAnsi="宋体" w:cs="宋体"/>
          <w:sz w:val="24"/>
        </w:rPr>
      </w:pPr>
      <w:r>
        <w:rPr>
          <w:rFonts w:hint="eastAsia" w:ascii="宋体" w:hAnsi="宋体" w:cs="宋体"/>
          <w:sz w:val="24"/>
        </w:rPr>
        <w:t>地    址：杭州市上城区望江东路332号中豪望江国际1幢9楼</w:t>
      </w:r>
    </w:p>
    <w:p>
      <w:pPr>
        <w:snapToGrid w:val="0"/>
        <w:spacing w:line="360" w:lineRule="auto"/>
        <w:rPr>
          <w:rFonts w:ascii="宋体" w:hAnsi="宋体" w:cs="宋体"/>
          <w:sz w:val="24"/>
        </w:rPr>
      </w:pPr>
      <w:r>
        <w:rPr>
          <w:rFonts w:hint="eastAsia" w:ascii="宋体" w:hAnsi="宋体" w:cs="宋体"/>
          <w:sz w:val="24"/>
        </w:rPr>
        <w:t xml:space="preserve">    传    真：/             </w:t>
      </w:r>
    </w:p>
    <w:p>
      <w:pPr>
        <w:snapToGrid w:val="0"/>
        <w:spacing w:line="360" w:lineRule="auto"/>
        <w:rPr>
          <w:rFonts w:ascii="宋体" w:hAnsi="宋体" w:cs="宋体"/>
          <w:sz w:val="24"/>
        </w:rPr>
      </w:pPr>
      <w:r>
        <w:rPr>
          <w:rFonts w:hint="eastAsia" w:ascii="宋体" w:hAnsi="宋体" w:cs="宋体"/>
          <w:sz w:val="24"/>
        </w:rPr>
        <w:t xml:space="preserve">    项目联系人（询问）：张宗芬          </w:t>
      </w:r>
    </w:p>
    <w:p>
      <w:pPr>
        <w:snapToGrid w:val="0"/>
        <w:spacing w:line="360" w:lineRule="auto"/>
        <w:rPr>
          <w:rFonts w:ascii="宋体" w:hAnsi="宋体" w:cs="宋体"/>
          <w:sz w:val="24"/>
        </w:rPr>
      </w:pPr>
      <w:r>
        <w:rPr>
          <w:rFonts w:hint="eastAsia" w:ascii="宋体" w:hAnsi="宋体" w:cs="宋体"/>
          <w:sz w:val="24"/>
        </w:rPr>
        <w:t xml:space="preserve">    项目联系方式（询问）：13336081560</w:t>
      </w:r>
    </w:p>
    <w:p>
      <w:pPr>
        <w:snapToGrid w:val="0"/>
        <w:spacing w:line="360" w:lineRule="auto"/>
        <w:rPr>
          <w:rFonts w:ascii="宋体" w:hAnsi="宋体" w:cs="宋体"/>
          <w:sz w:val="24"/>
        </w:rPr>
      </w:pPr>
      <w:r>
        <w:rPr>
          <w:rFonts w:hint="eastAsia" w:ascii="宋体" w:hAnsi="宋体" w:cs="宋体"/>
          <w:sz w:val="24"/>
        </w:rPr>
        <w:t xml:space="preserve">    质疑联系人：谢工              </w:t>
      </w:r>
    </w:p>
    <w:p>
      <w:pPr>
        <w:spacing w:line="360" w:lineRule="auto"/>
        <w:ind w:firstLine="480"/>
        <w:rPr>
          <w:rFonts w:ascii="宋体" w:hAnsi="宋体" w:cs="宋体"/>
          <w:sz w:val="24"/>
        </w:rPr>
      </w:pPr>
      <w:r>
        <w:rPr>
          <w:rFonts w:hint="eastAsia" w:ascii="宋体" w:hAnsi="宋体" w:cs="宋体"/>
          <w:sz w:val="24"/>
        </w:rPr>
        <w:t>质疑联系方式：0571-86432028</w:t>
      </w:r>
    </w:p>
    <w:p>
      <w:pPr>
        <w:spacing w:line="360" w:lineRule="auto"/>
        <w:ind w:firstLine="240" w:firstLineChars="100"/>
        <w:rPr>
          <w:rFonts w:ascii="宋体" w:hAnsi="宋体" w:cs="宋体"/>
          <w:sz w:val="24"/>
        </w:rPr>
      </w:pPr>
      <w:r>
        <w:rPr>
          <w:rFonts w:hint="eastAsia" w:ascii="宋体" w:hAnsi="宋体" w:cs="宋体"/>
          <w:sz w:val="24"/>
        </w:rPr>
        <w:t xml:space="preserve"> 3.同级政府采购监督管理部门            </w:t>
      </w:r>
    </w:p>
    <w:p>
      <w:pPr>
        <w:snapToGrid w:val="0"/>
        <w:spacing w:line="360" w:lineRule="auto"/>
        <w:rPr>
          <w:rFonts w:ascii="宋体" w:hAnsi="宋体" w:cs="宋体"/>
          <w:sz w:val="24"/>
        </w:rPr>
      </w:pPr>
      <w:r>
        <w:rPr>
          <w:rFonts w:hint="eastAsia" w:ascii="宋体" w:hAnsi="宋体" w:cs="宋体"/>
          <w:sz w:val="24"/>
        </w:rPr>
        <w:t xml:space="preserve">   名    称：杭州市上城区财政局</w:t>
      </w:r>
    </w:p>
    <w:p>
      <w:pPr>
        <w:snapToGrid w:val="0"/>
        <w:spacing w:line="360" w:lineRule="auto"/>
        <w:rPr>
          <w:rFonts w:ascii="宋体" w:hAnsi="宋体" w:cs="宋体"/>
          <w:sz w:val="24"/>
        </w:rPr>
      </w:pPr>
      <w:r>
        <w:rPr>
          <w:rFonts w:hint="eastAsia" w:ascii="宋体" w:hAnsi="宋体" w:cs="宋体"/>
          <w:sz w:val="24"/>
        </w:rPr>
        <w:t xml:space="preserve">    地    址：杭州市上城区望潮路77号 </w:t>
      </w:r>
    </w:p>
    <w:p>
      <w:pPr>
        <w:snapToGrid w:val="0"/>
        <w:spacing w:line="360" w:lineRule="auto"/>
        <w:ind w:firstLine="240" w:firstLineChars="100"/>
        <w:rPr>
          <w:rFonts w:ascii="宋体" w:hAnsi="宋体" w:cs="宋体"/>
          <w:sz w:val="24"/>
        </w:rPr>
      </w:pPr>
      <w:r>
        <w:rPr>
          <w:rFonts w:hint="eastAsia" w:ascii="宋体" w:hAnsi="宋体" w:cs="宋体"/>
          <w:sz w:val="24"/>
        </w:rPr>
        <w:t xml:space="preserve">  传    真： /</w:t>
      </w:r>
    </w:p>
    <w:p>
      <w:pPr>
        <w:snapToGrid w:val="0"/>
        <w:spacing w:line="360" w:lineRule="auto"/>
        <w:rPr>
          <w:rFonts w:ascii="宋体" w:hAnsi="宋体" w:cs="宋体"/>
          <w:sz w:val="24"/>
        </w:rPr>
      </w:pPr>
      <w:r>
        <w:rPr>
          <w:rFonts w:hint="eastAsia" w:ascii="宋体" w:hAnsi="宋体" w:cs="宋体"/>
          <w:sz w:val="24"/>
        </w:rPr>
        <w:t xml:space="preserve">    联系人 ：余工    </w:t>
      </w:r>
    </w:p>
    <w:p>
      <w:pPr>
        <w:spacing w:line="360" w:lineRule="auto"/>
        <w:ind w:firstLine="480"/>
        <w:rPr>
          <w:rFonts w:ascii="宋体" w:hAnsi="宋体" w:cs="宋体"/>
          <w:sz w:val="24"/>
        </w:rPr>
      </w:pPr>
      <w:r>
        <w:rPr>
          <w:rFonts w:hint="eastAsia" w:ascii="宋体" w:hAnsi="宋体" w:cs="宋体"/>
          <w:sz w:val="24"/>
        </w:rPr>
        <w:t xml:space="preserve">监督投诉电话：0571-89500860  </w:t>
      </w:r>
    </w:p>
    <w:p>
      <w:pPr>
        <w:spacing w:line="360" w:lineRule="auto"/>
        <w:ind w:firstLine="480"/>
        <w:rPr>
          <w:rFonts w:ascii="宋体" w:hAnsi="宋体" w:cs="宋体"/>
          <w:sz w:val="24"/>
        </w:rPr>
      </w:pPr>
      <w:r>
        <w:rPr>
          <w:rFonts w:hint="eastAsia" w:ascii="宋体" w:hAnsi="宋体" w:cs="宋体"/>
          <w:sz w:val="24"/>
        </w:rPr>
        <w:t>政策咨询：陈先生、厉先生，0571-89580460、89580456</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 投标人须知</w:t>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color w:val="000000" w:themeColor="text1"/>
                <w:kern w:val="0"/>
                <w:sz w:val="24"/>
                <w14:textFill>
                  <w14:solidFill>
                    <w14:schemeClr w14:val="tx1"/>
                  </w14:solidFill>
                </w14:textFill>
              </w:rPr>
              <w:t>（1）标的：建设工程设计方案规划管理辅助技术复核服务及日照分析复核服务 ，属于</w:t>
            </w:r>
            <w:r>
              <w:rPr>
                <w:rFonts w:hint="eastAsia" w:ascii="宋体" w:hAnsi="宋体" w:cs="宋体"/>
                <w:color w:val="000000" w:themeColor="text1"/>
                <w:kern w:val="0"/>
                <w:sz w:val="24"/>
                <w:u w:val="single"/>
                <w14:textFill>
                  <w14:solidFill>
                    <w14:schemeClr w14:val="tx1"/>
                  </w14:solidFill>
                </w14:textFill>
              </w:rPr>
              <w:t>其他未列明行业行业</w:t>
            </w:r>
            <w:r>
              <w:rPr>
                <w:rFonts w:hint="eastAsia" w:ascii="宋体" w:hAnsi="宋体" w:cs="宋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00" w:themeColor="text1"/>
                <w:sz w:val="24"/>
                <w14:textFill>
                  <w14:solidFill>
                    <w14:schemeClr w14:val="tx1"/>
                  </w14:solidFill>
                </w14:textFill>
              </w:rPr>
              <w:t xml:space="preserve">、非关键性的 </w:t>
            </w:r>
            <w:r>
              <w:rPr>
                <w:rFonts w:hint="eastAsia" w:ascii="宋体" w:hAnsi="宋体" w:cs="宋体"/>
                <w:color w:val="000000" w:themeColor="text1"/>
                <w:kern w:val="0"/>
                <w:sz w:val="24"/>
                <w14:textFill>
                  <w14:solidFill>
                    <w14:schemeClr w14:val="tx1"/>
                  </w14:solidFill>
                </w14:textFill>
              </w:rPr>
              <w:t>建设工程设计方案规划管理辅助技术复核服务及日照分析复核服务</w:t>
            </w:r>
            <w:r>
              <w:rPr>
                <w:rFonts w:hint="eastAsia" w:ascii="宋体" w:hAnsi="宋体" w:cs="宋体"/>
                <w:color w:val="000000" w:themeColor="text1"/>
                <w:sz w:val="24"/>
                <w14:textFill>
                  <w14:solidFill>
                    <w14:schemeClr w14:val="tx1"/>
                  </w14:solidFill>
                </w14:textFill>
              </w:rPr>
              <w:t xml:space="preserve"> 工作分包。</w:t>
            </w:r>
          </w:p>
          <w:p>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 xml:space="preserve">时间：      ,地点：      ，联系人：      ，联系方式：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kern w:val="28"/>
                <w:sz w:val="24"/>
              </w:rPr>
              <w:t>样品：</w:t>
            </w:r>
            <w:r>
              <w:rPr>
                <w:rFonts w:hint="eastAsia" w:ascii="宋体" w:hAnsi="宋体" w:cs="宋体"/>
                <w:sz w:val="24"/>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kern w:val="28"/>
                <w:sz w:val="24"/>
              </w:rPr>
              <w:t>样品制作的标准和要求：</w:t>
            </w:r>
            <w:r>
              <w:rPr>
                <w:rFonts w:hint="eastAsia" w:ascii="宋体" w:hAnsi="宋体" w:cs="宋体"/>
                <w:sz w:val="24"/>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kern w:val="28"/>
                <w:sz w:val="24"/>
              </w:rPr>
              <w:t>：详见</w:t>
            </w:r>
            <w:r>
              <w:rPr>
                <w:rFonts w:hint="eastAsia" w:ascii="宋体" w:hAnsi="宋体" w:cs="宋体"/>
                <w:sz w:val="24"/>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 xml:space="preserve">：    </w:t>
            </w:r>
            <w:r>
              <w:rPr>
                <w:rFonts w:hint="eastAsia" w:ascii="宋体" w:hAnsi="宋体" w:cs="宋体"/>
                <w:kern w:val="0"/>
                <w:sz w:val="24"/>
              </w:rPr>
              <w:t>；检测内容</w:t>
            </w:r>
            <w:r>
              <w:rPr>
                <w:rFonts w:hint="eastAsia" w:ascii="宋体" w:hAnsi="宋体" w:cs="宋体"/>
                <w:sz w:val="24"/>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 xml:space="preserve">（5）提供样品的时间：    </w:t>
            </w:r>
            <w:r>
              <w:rPr>
                <w:rFonts w:hint="eastAsia" w:ascii="宋体" w:hAnsi="宋体" w:cs="宋体"/>
                <w:kern w:val="0"/>
                <w:sz w:val="24"/>
              </w:rPr>
              <w:t>；地点：</w:t>
            </w:r>
            <w:r>
              <w:rPr>
                <w:rFonts w:hint="eastAsia" w:ascii="宋体" w:hAnsi="宋体" w:cs="宋体"/>
                <w:sz w:val="24"/>
              </w:rPr>
              <w:t xml:space="preserve">    </w:t>
            </w:r>
            <w:r>
              <w:rPr>
                <w:rFonts w:hint="eastAsia" w:ascii="宋体" w:hAnsi="宋体" w:cs="宋体"/>
                <w:kern w:val="0"/>
                <w:sz w:val="24"/>
              </w:rPr>
              <w:t>；联系人</w:t>
            </w:r>
            <w:r>
              <w:rPr>
                <w:rFonts w:hint="eastAsia" w:ascii="宋体" w:hAnsi="宋体" w:cs="宋体"/>
                <w:sz w:val="24"/>
              </w:rPr>
              <w:t>：   ，</w:t>
            </w:r>
            <w:r>
              <w:rPr>
                <w:rFonts w:hint="eastAsia" w:ascii="宋体" w:hAnsi="宋体" w:cs="宋体"/>
                <w:kern w:val="28"/>
                <w:sz w:val="24"/>
              </w:rPr>
              <w:t>联系电话：</w:t>
            </w:r>
            <w:r>
              <w:rPr>
                <w:rFonts w:hint="eastAsia" w:ascii="宋体" w:hAnsi="宋体" w:cs="宋体"/>
                <w:sz w:val="24"/>
              </w:rPr>
              <w:t xml:space="preserve">    。请投标人在上述时间内提供样品并按规定位置安装完毕。超过截止时间的，采购人或采购代理机构将不予接收，并将清场并封闭样品现场。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本项目技术审查复核服务最高限价（单价）为拟建建筑0.35元/平方米；日照分析复核服务最高限价（单价）拟建建筑0.35元/平方米，周边建筑1080元/幢，超过最高限价的投标文件将做无效标处理。有关本项目实施所需的所有费用（含税费）均计入报价。</w:t>
            </w:r>
          </w:p>
          <w:p>
            <w:pPr>
              <w:snapToGrid w:val="0"/>
              <w:spacing w:line="360" w:lineRule="auto"/>
              <w:jc w:val="left"/>
              <w:rPr>
                <w:rFonts w:ascii="宋体" w:hAnsi="宋体" w:cs="宋体"/>
                <w:b/>
                <w:kern w:val="0"/>
                <w:sz w:val="24"/>
                <w:lang w:val="zh-CN"/>
              </w:rPr>
            </w:pP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83"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rPr>
              <w:t xml:space="preserve">杭州市上城区望江东路332号中豪望江国际1幢9楼（浙江鑫润工程管理有限公司） </w:t>
            </w:r>
            <w:r>
              <w:rPr>
                <w:rFonts w:hint="eastAsia" w:hAnsi="宋体" w:cs="宋体"/>
                <w:kern w:val="28"/>
                <w:sz w:val="24"/>
                <w:szCs w:val="24"/>
              </w:rPr>
              <w:t>；备份投标文件签收人员联系电话：</w:t>
            </w:r>
            <w:r>
              <w:rPr>
                <w:rFonts w:hint="eastAsia" w:hAnsi="宋体" w:cs="宋体"/>
                <w:sz w:val="24"/>
              </w:rPr>
              <w:t>13336081560</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28"/>
                <w:sz w:val="24"/>
              </w:rPr>
            </w:pPr>
            <w:r>
              <w:rPr>
                <w:rFonts w:hint="eastAsia" w:ascii="宋体" w:hAnsi="宋体" w:cs="宋体"/>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28"/>
                <w:sz w:val="24"/>
              </w:rPr>
            </w:pPr>
            <w:sdt>
              <w:sdtPr>
                <w:rPr>
                  <w:rFonts w:hint="eastAsia"/>
                </w:rPr>
                <w:id w:val="-1816336663"/>
              </w:sdtPr>
              <w:sdtEndPr>
                <w:rPr>
                  <w:rFonts w:hint="eastAsia" w:ascii="宋体" w:hAnsi="宋体" w:cs="宋体"/>
                  <w:kern w:val="28"/>
                  <w:sz w:val="24"/>
                </w:rPr>
              </w:sdtEndPr>
              <w:sdtContent>
                <w:r>
                  <w:rPr>
                    <w:rFonts w:hint="eastAsia" w:ascii="宋体" w:hAnsi="宋体" w:cs="宋体"/>
                    <w:kern w:val="28"/>
                    <w:sz w:val="24"/>
                  </w:rPr>
                  <w:t>☐</w:t>
                </w:r>
              </w:sdtContent>
            </w:sdt>
            <w:r>
              <w:rPr>
                <w:rFonts w:hint="eastAsia" w:ascii="宋体" w:hAnsi="宋体" w:cs="宋体"/>
                <w:kern w:val="28"/>
                <w:sz w:val="24"/>
              </w:rPr>
              <w:t>联合体投标的，联合体各方均需按招标文件第四部分评标标准要求提供资信证明文件，否则视为不符合相关要求。</w:t>
            </w:r>
          </w:p>
          <w:p>
            <w:pPr>
              <w:spacing w:line="360" w:lineRule="auto"/>
            </w:pPr>
            <w:sdt>
              <w:sdtPr>
                <w:rPr>
                  <w:rFonts w:hint="eastAsia" w:ascii="宋体" w:hAnsi="宋体" w:cs="宋体"/>
                  <w:kern w:val="28"/>
                  <w:sz w:val="24"/>
                </w:rPr>
                <w:id w:val="-232311894"/>
              </w:sdtPr>
              <w:sdtEndPr>
                <w:rPr>
                  <w:rFonts w:hint="eastAsia" w:ascii="宋体" w:hAnsi="宋体" w:cs="宋体"/>
                  <w:kern w:val="28"/>
                  <w:sz w:val="24"/>
                </w:rPr>
              </w:sdtEndPr>
              <w:sdtContent>
                <w:r>
                  <w:rPr>
                    <w:rFonts w:hint="eastAsia" w:ascii="宋体" w:hAnsi="宋体" w:cs="宋体"/>
                    <w:kern w:val="28"/>
                    <w:sz w:val="24"/>
                  </w:rPr>
                  <w:sym w:font="Wingdings" w:char="F0FE"/>
                </w:r>
              </w:sdtContent>
            </w:sdt>
            <w:r>
              <w:rPr>
                <w:rFonts w:hint="eastAsia" w:ascii="宋体" w:hAnsi="宋体" w:cs="宋体"/>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3"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代购代理服务费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sz w:val="24"/>
              </w:rPr>
            </w:pPr>
            <w:r>
              <w:rPr>
                <w:rFonts w:hint="eastAsia"/>
                <w:sz w:val="24"/>
              </w:rPr>
              <w:t>本项目代理服务费用根据双方协商为14400元，由中标人在领取中标通知书时一次性支付。</w:t>
            </w:r>
            <w:bookmarkStart w:id="394" w:name="_GoBack"/>
            <w:bookmarkEnd w:id="394"/>
          </w:p>
        </w:tc>
      </w:tr>
    </w:tbl>
    <w:p>
      <w:pPr>
        <w:snapToGrid w:val="0"/>
        <w:spacing w:line="360" w:lineRule="auto"/>
        <w:jc w:val="center"/>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hint="eastAsia" w:ascii="宋体" w:hAnsi="宋体" w:eastAsia="宋体" w:cs="宋体"/>
          <w:sz w:val="24"/>
          <w:lang w:eastAsia="zh-CN"/>
        </w:rPr>
      </w:pPr>
      <w:r>
        <w:rPr>
          <w:rFonts w:hint="eastAsia" w:ascii="宋体" w:hAnsi="宋体" w:cs="宋体"/>
          <w:sz w:val="24"/>
        </w:rPr>
        <w:t>3.2 支持绿色发展</w:t>
      </w:r>
      <w:r>
        <w:rPr>
          <w:rFonts w:hint="eastAsia" w:ascii="宋体" w:hAnsi="宋体" w:cs="宋体"/>
          <w:sz w:val="24"/>
          <w:lang w:eastAsia="zh-CN"/>
        </w:rPr>
        <w:t>（</w:t>
      </w:r>
      <w:r>
        <w:rPr>
          <w:rFonts w:hint="eastAsia" w:ascii="宋体" w:hAnsi="宋体" w:cs="宋体"/>
          <w:sz w:val="24"/>
          <w:lang w:val="en-US" w:eastAsia="zh-CN"/>
        </w:rPr>
        <w:t>本项目不适用</w:t>
      </w:r>
      <w:r>
        <w:rPr>
          <w:rFonts w:hint="eastAsia" w:ascii="宋体" w:hAnsi="宋体" w:cs="宋体"/>
          <w:sz w:val="24"/>
          <w:lang w:eastAsia="zh-CN"/>
        </w:rPr>
        <w:t>）</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beforeAutospacing="0"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beforeAutospacing="0" w:after="240" w:afterAutospacing="0" w:line="360" w:lineRule="auto"/>
        <w:ind w:firstLine="400"/>
        <w:contextualSpacing/>
      </w:pPr>
      <w:r>
        <w:rPr>
          <w:rFonts w:hint="eastAsia"/>
        </w:rPr>
        <w:t>质疑函范本及制作说明详见附件2。</w:t>
      </w:r>
    </w:p>
    <w:p>
      <w:pPr>
        <w:pStyle w:val="887"/>
        <w:shd w:val="clear" w:color="auto" w:fill="FFFFFF"/>
        <w:snapToGrid w:val="0"/>
        <w:spacing w:beforeAutospacing="0"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beforeAutospacing="0"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beforeAutospacing="0"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beforeAutospacing="0"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beforeAutospacing="0"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beforeAutospacing="0"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beforeAutospacing="0"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beforeAutospacing="0" w:after="240" w:afterAutospacing="0" w:line="360" w:lineRule="auto"/>
        <w:ind w:firstLine="400"/>
        <w:contextualSpacing/>
      </w:pPr>
      <w:r>
        <w:rPr>
          <w:rFonts w:hint="eastAsia"/>
        </w:rPr>
        <w:t>4.4.4以联合体形式参加政府采购活动的，其投诉应当由组成联合体的所有供应商共同提出。</w:t>
      </w:r>
    </w:p>
    <w:p>
      <w:pPr>
        <w:pStyle w:val="887"/>
        <w:shd w:val="clear" w:color="auto" w:fill="FFFFFF"/>
        <w:snapToGrid w:val="0"/>
        <w:spacing w:beforeAutospacing="0"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beforeAutospacing="0"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kern w:val="28"/>
          <w:sz w:val="24"/>
        </w:rPr>
      </w:pPr>
      <w:r>
        <w:rPr>
          <w:rFonts w:hint="eastAsia" w:ascii="宋体" w:hAnsi="宋体" w:cs="宋体"/>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kern w:val="28"/>
          <w:sz w:val="24"/>
          <w:szCs w:val="20"/>
        </w:rPr>
        <w:t>联合协议</w:t>
      </w:r>
      <w:r>
        <w:rPr>
          <w:rFonts w:hint="eastAsia" w:ascii="宋体" w:hAnsi="宋体" w:cs="宋体"/>
          <w:color w:val="FF0000"/>
          <w:kern w:val="28"/>
          <w:sz w:val="24"/>
          <w:szCs w:val="20"/>
        </w:rPr>
        <w:t>（如果有)</w:t>
      </w:r>
      <w:r>
        <w:rPr>
          <w:rFonts w:hint="eastAsia" w:ascii="宋体" w:hAnsi="宋体" w:cs="宋体"/>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bookmarkStart w:id="7" w:name="_Hlk101184471"/>
      <w:bookmarkEnd w:id="7"/>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kern w:val="28"/>
          <w:sz w:val="24"/>
        </w:rPr>
      </w:pPr>
      <w:r>
        <w:rPr>
          <w:rFonts w:hint="eastAsia" w:ascii="宋体" w:hAnsi="宋体" w:eastAsia="宋体" w:cs="宋体"/>
          <w:b w:val="0"/>
          <w:bCs w:val="0"/>
          <w:kern w:val="28"/>
          <w:sz w:val="24"/>
        </w:rPr>
        <w:t>供应商</w:t>
      </w:r>
      <w:r>
        <w:rPr>
          <w:rFonts w:hint="eastAsia" w:ascii="宋体" w:hAnsi="宋体" w:eastAsia="宋体" w:cs="宋体"/>
          <w:b w:val="0"/>
          <w:bCs w:val="0"/>
          <w:kern w:val="28"/>
          <w:sz w:val="24"/>
          <w:lang w:val="en-US"/>
        </w:rPr>
        <w:t>可</w:t>
      </w:r>
      <w:r>
        <w:rPr>
          <w:rFonts w:hint="eastAsia" w:ascii="宋体" w:hAnsi="宋体" w:eastAsia="宋体" w:cs="宋体"/>
          <w:b w:val="0"/>
          <w:bCs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bookmarkStart w:id="8" w:name="_Hlt75236011"/>
      <w:bookmarkEnd w:id="8"/>
      <w:bookmarkStart w:id="9" w:name="_Hlt74730295"/>
      <w:bookmarkEnd w:id="9"/>
      <w:bookmarkStart w:id="10" w:name="_Hlt74729768"/>
      <w:bookmarkEnd w:id="10"/>
      <w:bookmarkStart w:id="11" w:name="_Hlt74707468"/>
      <w:bookmarkEnd w:id="11"/>
      <w:bookmarkStart w:id="12" w:name="_Hlt68057669"/>
      <w:bookmarkEnd w:id="12"/>
      <w:bookmarkStart w:id="13" w:name="_Hlt75236290"/>
      <w:bookmarkEnd w:id="13"/>
      <w:bookmarkStart w:id="14" w:name="_Hlt68072998"/>
      <w:bookmarkEnd w:id="14"/>
      <w:bookmarkStart w:id="15" w:name="_Hlt74714665"/>
      <w:bookmarkEnd w:id="15"/>
      <w:bookmarkStart w:id="16" w:name="_Hlt68403820"/>
      <w:bookmarkEnd w:id="16"/>
      <w:bookmarkStart w:id="17" w:name="_Hlt75236101"/>
      <w:bookmarkEnd w:id="17"/>
      <w:bookmarkStart w:id="18" w:name="_Hlt68072990"/>
      <w:bookmarkEnd w:id="18"/>
      <w:bookmarkStart w:id="19" w:name="_Hlt68073093"/>
      <w:bookmarkEnd w:id="19"/>
    </w:p>
    <w:p>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pPr>
        <w:autoSpaceDE w:val="0"/>
        <w:spacing w:line="460" w:lineRule="atLeast"/>
        <w:jc w:val="left"/>
        <w:rPr>
          <w:rFonts w:ascii="宋体" w:hAnsi="宋体" w:cs="宋体"/>
          <w:b/>
          <w:sz w:val="24"/>
          <w:lang w:bidi="ar"/>
        </w:rPr>
      </w:pPr>
      <w:bookmarkStart w:id="20" w:name="_Toc184313299"/>
      <w:bookmarkEnd w:id="20"/>
      <w:bookmarkStart w:id="21" w:name="_Toc184313261"/>
      <w:bookmarkEnd w:id="21"/>
      <w:bookmarkStart w:id="22" w:name="_Toc184310277"/>
      <w:bookmarkEnd w:id="22"/>
      <w:bookmarkStart w:id="23" w:name="_Toc184313284"/>
      <w:bookmarkEnd w:id="23"/>
      <w:bookmarkStart w:id="24" w:name="_Toc184312120"/>
      <w:bookmarkEnd w:id="24"/>
      <w:bookmarkStart w:id="25" w:name="_Toc184314471"/>
      <w:bookmarkEnd w:id="25"/>
      <w:bookmarkStart w:id="26" w:name="_Toc184313290"/>
      <w:bookmarkEnd w:id="26"/>
      <w:bookmarkStart w:id="27" w:name="_Toc184314441"/>
      <w:bookmarkEnd w:id="27"/>
      <w:bookmarkStart w:id="28" w:name="_Toc184308099"/>
      <w:bookmarkEnd w:id="28"/>
      <w:bookmarkStart w:id="29" w:name="_Toc184308092"/>
      <w:bookmarkEnd w:id="29"/>
      <w:bookmarkStart w:id="30" w:name="_Toc184314455"/>
      <w:bookmarkEnd w:id="30"/>
      <w:bookmarkStart w:id="31" w:name="_Toc184314416"/>
      <w:bookmarkEnd w:id="31"/>
      <w:bookmarkStart w:id="32" w:name="_Toc184310338"/>
      <w:bookmarkEnd w:id="32"/>
      <w:bookmarkStart w:id="33" w:name="_Toc184310308"/>
      <w:bookmarkEnd w:id="33"/>
      <w:bookmarkStart w:id="34" w:name="_Toc184308094"/>
      <w:bookmarkEnd w:id="34"/>
      <w:bookmarkStart w:id="35" w:name="_Toc184310283"/>
      <w:bookmarkEnd w:id="35"/>
      <w:bookmarkStart w:id="36" w:name="_Toc184310290"/>
      <w:bookmarkEnd w:id="36"/>
      <w:bookmarkStart w:id="37" w:name="_Toc184308103"/>
      <w:bookmarkEnd w:id="37"/>
      <w:bookmarkStart w:id="38" w:name="_Toc184313273"/>
      <w:bookmarkEnd w:id="38"/>
      <w:bookmarkStart w:id="39" w:name="_Toc184310305"/>
      <w:bookmarkEnd w:id="39"/>
      <w:bookmarkStart w:id="40" w:name="_Toc184312116"/>
      <w:bookmarkEnd w:id="40"/>
      <w:bookmarkStart w:id="41" w:name="_Toc184308069"/>
      <w:bookmarkEnd w:id="41"/>
      <w:bookmarkStart w:id="42" w:name="_Toc184314482"/>
      <w:bookmarkEnd w:id="42"/>
      <w:bookmarkStart w:id="43" w:name="_Toc184308098"/>
      <w:bookmarkEnd w:id="43"/>
      <w:bookmarkStart w:id="44" w:name="_Toc184308067"/>
      <w:bookmarkEnd w:id="44"/>
      <w:bookmarkStart w:id="45" w:name="_Toc184313242"/>
      <w:bookmarkEnd w:id="45"/>
      <w:bookmarkStart w:id="46" w:name="_Toc184314419"/>
      <w:bookmarkEnd w:id="46"/>
      <w:bookmarkStart w:id="47" w:name="_Toc184313296"/>
      <w:bookmarkEnd w:id="47"/>
      <w:bookmarkStart w:id="48" w:name="_Toc184314449"/>
      <w:bookmarkEnd w:id="48"/>
      <w:bookmarkStart w:id="49" w:name="_Toc184308065"/>
      <w:bookmarkEnd w:id="49"/>
      <w:bookmarkStart w:id="50" w:name="_Toc184313250"/>
      <w:bookmarkEnd w:id="50"/>
      <w:bookmarkStart w:id="51" w:name="_Toc184308104"/>
      <w:bookmarkEnd w:id="51"/>
      <w:bookmarkStart w:id="52" w:name="_Toc184314414"/>
      <w:bookmarkEnd w:id="52"/>
      <w:bookmarkStart w:id="53" w:name="_Toc184313254"/>
      <w:bookmarkEnd w:id="53"/>
      <w:bookmarkStart w:id="54" w:name="_Toc184312081"/>
      <w:bookmarkEnd w:id="54"/>
      <w:bookmarkStart w:id="55" w:name="_Toc184308083"/>
      <w:bookmarkEnd w:id="55"/>
      <w:bookmarkStart w:id="56" w:name="_Toc184308075"/>
      <w:bookmarkEnd w:id="56"/>
      <w:bookmarkStart w:id="57" w:name="_Toc184308063"/>
      <w:bookmarkEnd w:id="57"/>
      <w:bookmarkStart w:id="58" w:name="_Toc184314436"/>
      <w:bookmarkEnd w:id="58"/>
      <w:bookmarkStart w:id="59" w:name="_Toc184308090"/>
      <w:bookmarkEnd w:id="59"/>
      <w:bookmarkStart w:id="60" w:name="_Toc184312067"/>
      <w:bookmarkEnd w:id="60"/>
      <w:bookmarkStart w:id="61" w:name="_Toc184312089"/>
      <w:bookmarkEnd w:id="61"/>
      <w:bookmarkStart w:id="62" w:name="_Toc184310332"/>
      <w:bookmarkEnd w:id="62"/>
      <w:bookmarkStart w:id="63" w:name="_Toc184308084"/>
      <w:bookmarkEnd w:id="63"/>
      <w:bookmarkStart w:id="64" w:name="_Toc184312114"/>
      <w:bookmarkEnd w:id="64"/>
      <w:bookmarkStart w:id="65" w:name="_Toc184308108"/>
      <w:bookmarkEnd w:id="65"/>
      <w:bookmarkStart w:id="66" w:name="_Toc184313244"/>
      <w:bookmarkEnd w:id="66"/>
      <w:bookmarkStart w:id="67" w:name="_Toc184312072"/>
      <w:bookmarkEnd w:id="67"/>
      <w:bookmarkStart w:id="68" w:name="_Toc184308106"/>
      <w:bookmarkEnd w:id="68"/>
      <w:bookmarkStart w:id="69" w:name="_Toc184312091"/>
      <w:bookmarkEnd w:id="69"/>
      <w:bookmarkStart w:id="70" w:name="_Toc184308058"/>
      <w:bookmarkEnd w:id="70"/>
      <w:bookmarkStart w:id="71" w:name="_Toc184312070"/>
      <w:bookmarkEnd w:id="71"/>
      <w:bookmarkStart w:id="72" w:name="_Toc184314462"/>
      <w:bookmarkEnd w:id="72"/>
      <w:bookmarkStart w:id="73" w:name="_Toc184310317"/>
      <w:bookmarkEnd w:id="73"/>
      <w:bookmarkStart w:id="74" w:name="_Toc184310335"/>
      <w:bookmarkEnd w:id="74"/>
      <w:bookmarkStart w:id="75" w:name="_Toc184310327"/>
      <w:bookmarkEnd w:id="75"/>
      <w:bookmarkStart w:id="76" w:name="_Toc184312127"/>
      <w:bookmarkEnd w:id="76"/>
      <w:bookmarkStart w:id="77" w:name="_Toc184312104"/>
      <w:bookmarkEnd w:id="77"/>
      <w:bookmarkStart w:id="78" w:name="_Toc184310279"/>
      <w:bookmarkEnd w:id="78"/>
      <w:bookmarkStart w:id="79" w:name="_Toc184314469"/>
      <w:bookmarkEnd w:id="79"/>
      <w:bookmarkStart w:id="80" w:name="_Toc184308047"/>
      <w:bookmarkEnd w:id="80"/>
      <w:bookmarkStart w:id="81" w:name="_Toc184313255"/>
      <w:bookmarkEnd w:id="81"/>
      <w:bookmarkStart w:id="82" w:name="_Toc184314467"/>
      <w:bookmarkEnd w:id="82"/>
      <w:bookmarkStart w:id="83" w:name="_Toc184312083"/>
      <w:bookmarkEnd w:id="83"/>
      <w:bookmarkStart w:id="84" w:name="_Toc184312068"/>
      <w:bookmarkEnd w:id="84"/>
      <w:bookmarkStart w:id="85" w:name="_Toc184308068"/>
      <w:bookmarkEnd w:id="85"/>
      <w:bookmarkStart w:id="86" w:name="_Toc184314447"/>
      <w:bookmarkEnd w:id="86"/>
      <w:bookmarkStart w:id="87" w:name="_Toc184312110"/>
      <w:bookmarkEnd w:id="87"/>
      <w:bookmarkStart w:id="88" w:name="_Toc184313267"/>
      <w:bookmarkEnd w:id="88"/>
      <w:bookmarkStart w:id="89" w:name="_Toc184314472"/>
      <w:bookmarkEnd w:id="89"/>
      <w:bookmarkStart w:id="90" w:name="_Toc184312123"/>
      <w:bookmarkEnd w:id="90"/>
      <w:bookmarkStart w:id="91" w:name="_Toc184312075"/>
      <w:bookmarkEnd w:id="91"/>
      <w:bookmarkStart w:id="92" w:name="_Toc184313283"/>
      <w:bookmarkEnd w:id="92"/>
      <w:bookmarkStart w:id="93" w:name="_Toc184313310"/>
      <w:bookmarkEnd w:id="93"/>
      <w:bookmarkStart w:id="94" w:name="_Toc184314422"/>
      <w:bookmarkEnd w:id="94"/>
      <w:bookmarkStart w:id="95" w:name="_Toc184308102"/>
      <w:bookmarkEnd w:id="95"/>
      <w:bookmarkStart w:id="96" w:name="_Toc184310300"/>
      <w:bookmarkEnd w:id="96"/>
      <w:bookmarkStart w:id="97" w:name="_Toc184314461"/>
      <w:bookmarkEnd w:id="97"/>
      <w:bookmarkStart w:id="98" w:name="_Toc184312077"/>
      <w:bookmarkEnd w:id="98"/>
      <w:bookmarkStart w:id="99" w:name="_Toc184308086"/>
      <w:bookmarkEnd w:id="99"/>
      <w:bookmarkStart w:id="100" w:name="_Toc184308100"/>
      <w:bookmarkEnd w:id="100"/>
      <w:bookmarkStart w:id="101" w:name="_Toc184313238"/>
      <w:bookmarkEnd w:id="101"/>
      <w:bookmarkStart w:id="102" w:name="_Toc184312092"/>
      <w:bookmarkEnd w:id="102"/>
      <w:bookmarkStart w:id="103" w:name="_Toc184310314"/>
      <w:bookmarkEnd w:id="103"/>
      <w:bookmarkStart w:id="104" w:name="_Toc184308046"/>
      <w:bookmarkEnd w:id="104"/>
      <w:bookmarkStart w:id="105" w:name="_Toc184313268"/>
      <w:bookmarkEnd w:id="105"/>
      <w:bookmarkStart w:id="106" w:name="_Toc184314431"/>
      <w:bookmarkEnd w:id="106"/>
      <w:bookmarkStart w:id="107" w:name="_Toc184308050"/>
      <w:bookmarkEnd w:id="107"/>
      <w:bookmarkStart w:id="108" w:name="_Toc184313289"/>
      <w:bookmarkEnd w:id="108"/>
      <w:bookmarkStart w:id="109" w:name="_Toc184308105"/>
      <w:bookmarkEnd w:id="109"/>
      <w:bookmarkStart w:id="110" w:name="_Toc184310298"/>
      <w:bookmarkEnd w:id="110"/>
      <w:bookmarkStart w:id="111" w:name="_Toc184312106"/>
      <w:bookmarkEnd w:id="111"/>
      <w:bookmarkStart w:id="112" w:name="_Toc184313239"/>
      <w:bookmarkEnd w:id="112"/>
      <w:bookmarkStart w:id="113" w:name="_Toc184314443"/>
      <w:bookmarkEnd w:id="113"/>
      <w:bookmarkStart w:id="114" w:name="_Toc184313279"/>
      <w:bookmarkEnd w:id="114"/>
      <w:bookmarkStart w:id="115" w:name="_Toc184313252"/>
      <w:bookmarkEnd w:id="115"/>
      <w:bookmarkStart w:id="116" w:name="_Toc184308061"/>
      <w:bookmarkEnd w:id="116"/>
      <w:bookmarkStart w:id="117" w:name="_Toc184313304"/>
      <w:bookmarkEnd w:id="117"/>
      <w:bookmarkStart w:id="118" w:name="_Toc184310340"/>
      <w:bookmarkEnd w:id="118"/>
      <w:bookmarkStart w:id="119" w:name="_Toc184308048"/>
      <w:bookmarkEnd w:id="119"/>
      <w:bookmarkStart w:id="120" w:name="_Toc184313308"/>
      <w:bookmarkEnd w:id="120"/>
      <w:bookmarkStart w:id="121" w:name="_Toc184312099"/>
      <w:bookmarkEnd w:id="121"/>
      <w:bookmarkStart w:id="122" w:name="_Toc184308082"/>
      <w:bookmarkEnd w:id="122"/>
      <w:bookmarkStart w:id="123" w:name="_Toc184310341"/>
      <w:bookmarkEnd w:id="123"/>
      <w:bookmarkStart w:id="124" w:name="_Toc184314413"/>
      <w:bookmarkEnd w:id="124"/>
      <w:bookmarkStart w:id="125" w:name="_Toc184308041"/>
      <w:bookmarkEnd w:id="125"/>
      <w:bookmarkStart w:id="126" w:name="_Toc184310328"/>
      <w:bookmarkEnd w:id="126"/>
      <w:bookmarkStart w:id="127" w:name="_Toc184313248"/>
      <w:bookmarkEnd w:id="127"/>
      <w:bookmarkStart w:id="128" w:name="_Toc184314430"/>
      <w:bookmarkEnd w:id="128"/>
      <w:bookmarkStart w:id="129" w:name="_Toc184312125"/>
      <w:bookmarkEnd w:id="129"/>
      <w:bookmarkStart w:id="130" w:name="_Toc184313298"/>
      <w:bookmarkEnd w:id="130"/>
      <w:bookmarkStart w:id="131" w:name="_Toc184312130"/>
      <w:bookmarkEnd w:id="131"/>
      <w:bookmarkStart w:id="132" w:name="_Toc184314464"/>
      <w:bookmarkEnd w:id="132"/>
      <w:bookmarkStart w:id="133" w:name="_Toc184312071"/>
      <w:bookmarkEnd w:id="133"/>
      <w:bookmarkStart w:id="134" w:name="_Toc184310281"/>
      <w:bookmarkEnd w:id="134"/>
      <w:bookmarkStart w:id="135" w:name="_Toc184313297"/>
      <w:bookmarkEnd w:id="135"/>
      <w:bookmarkStart w:id="136" w:name="_Toc184310309"/>
      <w:bookmarkEnd w:id="136"/>
      <w:bookmarkStart w:id="137" w:name="_Toc184314425"/>
      <w:bookmarkEnd w:id="137"/>
      <w:bookmarkStart w:id="138" w:name="_Toc184314459"/>
      <w:bookmarkEnd w:id="138"/>
      <w:bookmarkStart w:id="139" w:name="_Toc184310276"/>
      <w:bookmarkEnd w:id="139"/>
      <w:bookmarkStart w:id="140" w:name="_Toc184310311"/>
      <w:bookmarkEnd w:id="140"/>
      <w:bookmarkStart w:id="141" w:name="_Toc184313287"/>
      <w:bookmarkEnd w:id="141"/>
      <w:bookmarkStart w:id="142" w:name="_Toc184310302"/>
      <w:bookmarkEnd w:id="142"/>
      <w:bookmarkStart w:id="143" w:name="_Toc184313245"/>
      <w:bookmarkEnd w:id="143"/>
      <w:bookmarkStart w:id="144" w:name="_Toc184313300"/>
      <w:bookmarkEnd w:id="144"/>
      <w:bookmarkStart w:id="145" w:name="_Toc184313241"/>
      <w:bookmarkEnd w:id="145"/>
      <w:bookmarkStart w:id="146" w:name="_Toc184308044"/>
      <w:bookmarkEnd w:id="146"/>
      <w:bookmarkStart w:id="147" w:name="_Toc184313257"/>
      <w:bookmarkEnd w:id="147"/>
      <w:bookmarkStart w:id="148" w:name="_Toc184308043"/>
      <w:bookmarkEnd w:id="148"/>
      <w:bookmarkStart w:id="149" w:name="_Toc184313292"/>
      <w:bookmarkEnd w:id="149"/>
      <w:bookmarkStart w:id="150" w:name="_Toc184313264"/>
      <w:bookmarkEnd w:id="150"/>
      <w:bookmarkStart w:id="151" w:name="_Toc184314465"/>
      <w:bookmarkEnd w:id="151"/>
      <w:bookmarkStart w:id="152" w:name="_Toc184310291"/>
      <w:bookmarkEnd w:id="152"/>
      <w:bookmarkStart w:id="153" w:name="_Toc184312131"/>
      <w:bookmarkEnd w:id="153"/>
      <w:bookmarkStart w:id="154" w:name="_Toc184310325"/>
      <w:bookmarkEnd w:id="154"/>
      <w:bookmarkStart w:id="155" w:name="_Toc184310275"/>
      <w:bookmarkEnd w:id="155"/>
      <w:bookmarkStart w:id="156" w:name="_Toc184310342"/>
      <w:bookmarkEnd w:id="156"/>
      <w:bookmarkStart w:id="157" w:name="_Toc184310284"/>
      <w:bookmarkEnd w:id="157"/>
      <w:bookmarkStart w:id="158" w:name="_Toc184310322"/>
      <w:bookmarkEnd w:id="158"/>
      <w:bookmarkStart w:id="159" w:name="_Toc184313266"/>
      <w:bookmarkEnd w:id="159"/>
      <w:bookmarkStart w:id="160" w:name="_Toc184313276"/>
      <w:bookmarkEnd w:id="160"/>
      <w:bookmarkStart w:id="161" w:name="_Toc184308085"/>
      <w:bookmarkEnd w:id="161"/>
      <w:bookmarkStart w:id="162" w:name="_Toc184312121"/>
      <w:bookmarkEnd w:id="162"/>
      <w:bookmarkStart w:id="163" w:name="_Toc184314411"/>
      <w:bookmarkEnd w:id="163"/>
      <w:bookmarkStart w:id="164" w:name="_Toc184312069"/>
      <w:bookmarkEnd w:id="164"/>
      <w:bookmarkStart w:id="165" w:name="_Toc184314475"/>
      <w:bookmarkEnd w:id="165"/>
      <w:bookmarkStart w:id="166" w:name="_Toc184312100"/>
      <w:bookmarkEnd w:id="166"/>
      <w:bookmarkStart w:id="167" w:name="_Toc184312119"/>
      <w:bookmarkEnd w:id="167"/>
      <w:bookmarkStart w:id="168" w:name="_Toc184308087"/>
      <w:bookmarkEnd w:id="168"/>
      <w:bookmarkStart w:id="169" w:name="_Toc184308055"/>
      <w:bookmarkEnd w:id="169"/>
      <w:bookmarkStart w:id="170" w:name="_Toc184312108"/>
      <w:bookmarkEnd w:id="170"/>
      <w:bookmarkStart w:id="171" w:name="_Toc184308089"/>
      <w:bookmarkEnd w:id="171"/>
      <w:bookmarkStart w:id="172" w:name="_Toc184312076"/>
      <w:bookmarkEnd w:id="172"/>
      <w:bookmarkStart w:id="173" w:name="_Toc184314457"/>
      <w:bookmarkEnd w:id="173"/>
      <w:bookmarkStart w:id="174" w:name="_Toc184314437"/>
      <w:bookmarkEnd w:id="174"/>
      <w:bookmarkStart w:id="175" w:name="_Toc184312098"/>
      <w:bookmarkEnd w:id="175"/>
      <w:bookmarkStart w:id="176" w:name="_Toc184313282"/>
      <w:bookmarkEnd w:id="176"/>
      <w:bookmarkStart w:id="177" w:name="_Toc184310293"/>
      <w:bookmarkEnd w:id="177"/>
      <w:bookmarkStart w:id="178" w:name="_Toc184308038"/>
      <w:bookmarkEnd w:id="178"/>
      <w:bookmarkStart w:id="179" w:name="_Toc184310285"/>
      <w:bookmarkEnd w:id="179"/>
      <w:bookmarkStart w:id="180" w:name="_Toc184312128"/>
      <w:bookmarkEnd w:id="180"/>
      <w:bookmarkStart w:id="181" w:name="_Toc184310280"/>
      <w:bookmarkEnd w:id="181"/>
      <w:bookmarkStart w:id="182" w:name="_Toc184308059"/>
      <w:bookmarkEnd w:id="182"/>
      <w:bookmarkStart w:id="183" w:name="_Toc184310315"/>
      <w:bookmarkEnd w:id="183"/>
      <w:bookmarkStart w:id="184" w:name="_Toc184312096"/>
      <w:bookmarkEnd w:id="184"/>
      <w:bookmarkStart w:id="185" w:name="_Toc184314423"/>
      <w:bookmarkEnd w:id="185"/>
      <w:bookmarkStart w:id="186" w:name="_Toc184310316"/>
      <w:bookmarkEnd w:id="186"/>
      <w:bookmarkStart w:id="187" w:name="_Toc184310286"/>
      <w:bookmarkEnd w:id="187"/>
      <w:bookmarkStart w:id="188" w:name="_Toc184310318"/>
      <w:bookmarkEnd w:id="188"/>
      <w:bookmarkStart w:id="189" w:name="_Toc184314417"/>
      <w:bookmarkEnd w:id="189"/>
      <w:bookmarkStart w:id="190" w:name="_Toc184312112"/>
      <w:bookmarkEnd w:id="190"/>
      <w:bookmarkStart w:id="191" w:name="_Toc184312129"/>
      <w:bookmarkEnd w:id="191"/>
      <w:bookmarkStart w:id="192" w:name="_Toc184313293"/>
      <w:bookmarkEnd w:id="192"/>
      <w:bookmarkStart w:id="193" w:name="_Toc184312139"/>
      <w:bookmarkEnd w:id="193"/>
      <w:bookmarkStart w:id="194" w:name="_Toc184310320"/>
      <w:bookmarkEnd w:id="194"/>
      <w:bookmarkStart w:id="195" w:name="_Toc184314445"/>
      <w:bookmarkEnd w:id="195"/>
      <w:bookmarkStart w:id="196" w:name="_Toc184308079"/>
      <w:bookmarkEnd w:id="196"/>
      <w:bookmarkStart w:id="197" w:name="_Toc184314435"/>
      <w:bookmarkEnd w:id="197"/>
      <w:bookmarkStart w:id="198" w:name="_Toc184313275"/>
      <w:bookmarkEnd w:id="198"/>
      <w:bookmarkStart w:id="199" w:name="_Toc184313269"/>
      <w:bookmarkEnd w:id="199"/>
      <w:bookmarkStart w:id="200" w:name="_Toc184312085"/>
      <w:bookmarkEnd w:id="200"/>
      <w:bookmarkStart w:id="201" w:name="_Toc184308057"/>
      <w:bookmarkEnd w:id="201"/>
      <w:bookmarkStart w:id="202" w:name="_Toc184313246"/>
      <w:bookmarkEnd w:id="202"/>
      <w:bookmarkStart w:id="203" w:name="_Toc184313249"/>
      <w:bookmarkEnd w:id="203"/>
      <w:bookmarkStart w:id="204" w:name="_Toc184308036"/>
      <w:bookmarkEnd w:id="204"/>
      <w:bookmarkStart w:id="205" w:name="_Toc184308060"/>
      <w:bookmarkEnd w:id="205"/>
      <w:bookmarkStart w:id="206" w:name="_Toc184314456"/>
      <w:bookmarkEnd w:id="206"/>
      <w:bookmarkStart w:id="207" w:name="_Toc184308074"/>
      <w:bookmarkEnd w:id="207"/>
      <w:bookmarkStart w:id="208" w:name="_Toc184314478"/>
      <w:bookmarkEnd w:id="208"/>
      <w:bookmarkStart w:id="209" w:name="_Toc184308052"/>
      <w:bookmarkEnd w:id="209"/>
      <w:bookmarkStart w:id="210" w:name="_Toc184313274"/>
      <w:bookmarkEnd w:id="210"/>
      <w:bookmarkStart w:id="211" w:name="_Toc184310321"/>
      <w:bookmarkEnd w:id="211"/>
      <w:bookmarkStart w:id="212" w:name="_Toc184308097"/>
      <w:bookmarkEnd w:id="212"/>
      <w:bookmarkStart w:id="213" w:name="_Toc184310339"/>
      <w:bookmarkEnd w:id="213"/>
      <w:bookmarkStart w:id="214" w:name="_Toc184314428"/>
      <w:bookmarkEnd w:id="214"/>
      <w:bookmarkStart w:id="215" w:name="_Toc184308070"/>
      <w:bookmarkEnd w:id="215"/>
      <w:bookmarkStart w:id="216" w:name="_Toc184313309"/>
      <w:bookmarkEnd w:id="216"/>
      <w:bookmarkStart w:id="217" w:name="_Toc184313263"/>
      <w:bookmarkEnd w:id="217"/>
      <w:bookmarkStart w:id="218" w:name="_Toc184308078"/>
      <w:bookmarkEnd w:id="218"/>
      <w:bookmarkStart w:id="219" w:name="_Toc184312086"/>
      <w:bookmarkEnd w:id="219"/>
      <w:bookmarkStart w:id="220" w:name="_Toc184314458"/>
      <w:bookmarkEnd w:id="220"/>
      <w:bookmarkStart w:id="221" w:name="_Toc184313258"/>
      <w:bookmarkEnd w:id="221"/>
      <w:bookmarkStart w:id="222" w:name="_Toc184313295"/>
      <w:bookmarkEnd w:id="222"/>
      <w:bookmarkStart w:id="223" w:name="_Toc184313270"/>
      <w:bookmarkEnd w:id="223"/>
      <w:bookmarkStart w:id="224" w:name="_Toc184312082"/>
      <w:bookmarkEnd w:id="224"/>
      <w:bookmarkStart w:id="225" w:name="_Toc184313305"/>
      <w:bookmarkEnd w:id="225"/>
      <w:bookmarkStart w:id="226" w:name="_Toc184314420"/>
      <w:bookmarkEnd w:id="226"/>
      <w:bookmarkStart w:id="227" w:name="_Toc184312138"/>
      <w:bookmarkEnd w:id="227"/>
      <w:bookmarkStart w:id="228" w:name="_Toc184310294"/>
      <w:bookmarkEnd w:id="228"/>
      <w:bookmarkStart w:id="229" w:name="_Toc184310272"/>
      <w:bookmarkEnd w:id="229"/>
      <w:bookmarkStart w:id="230" w:name="_Toc184312073"/>
      <w:bookmarkEnd w:id="230"/>
      <w:bookmarkStart w:id="231" w:name="_Toc184310310"/>
      <w:bookmarkEnd w:id="231"/>
      <w:bookmarkStart w:id="232" w:name="_Toc184312113"/>
      <w:bookmarkEnd w:id="232"/>
      <w:bookmarkStart w:id="233" w:name="_Toc184314463"/>
      <w:bookmarkEnd w:id="233"/>
      <w:bookmarkStart w:id="234" w:name="_Toc184310329"/>
      <w:bookmarkEnd w:id="234"/>
      <w:bookmarkStart w:id="235" w:name="_Toc184314477"/>
      <w:bookmarkEnd w:id="235"/>
      <w:bookmarkStart w:id="236" w:name="_Toc184312102"/>
      <w:bookmarkEnd w:id="236"/>
      <w:bookmarkStart w:id="237" w:name="_Toc184312080"/>
      <w:bookmarkEnd w:id="237"/>
      <w:bookmarkStart w:id="238" w:name="_Toc184314440"/>
      <w:bookmarkEnd w:id="238"/>
      <w:bookmarkStart w:id="239" w:name="_Toc184308095"/>
      <w:bookmarkEnd w:id="239"/>
      <w:bookmarkStart w:id="240" w:name="_Toc184313294"/>
      <w:bookmarkEnd w:id="240"/>
      <w:bookmarkStart w:id="241" w:name="_Toc184308051"/>
      <w:bookmarkEnd w:id="241"/>
      <w:bookmarkStart w:id="242" w:name="_Toc184308093"/>
      <w:bookmarkEnd w:id="242"/>
      <w:bookmarkStart w:id="243" w:name="_Toc184310312"/>
      <w:bookmarkEnd w:id="243"/>
      <w:bookmarkStart w:id="244" w:name="_Toc184314452"/>
      <w:bookmarkEnd w:id="244"/>
      <w:bookmarkStart w:id="245" w:name="_Toc184312118"/>
      <w:bookmarkEnd w:id="245"/>
      <w:bookmarkStart w:id="246" w:name="_Toc184310303"/>
      <w:bookmarkEnd w:id="246"/>
      <w:bookmarkStart w:id="247" w:name="_Toc184314450"/>
      <w:bookmarkEnd w:id="247"/>
      <w:bookmarkStart w:id="248" w:name="_Toc184313280"/>
      <w:bookmarkEnd w:id="248"/>
      <w:bookmarkStart w:id="249" w:name="_Toc184308039"/>
      <w:bookmarkEnd w:id="249"/>
      <w:bookmarkStart w:id="250" w:name="_Toc184312111"/>
      <w:bookmarkEnd w:id="250"/>
      <w:bookmarkStart w:id="251" w:name="_Toc184314429"/>
      <w:bookmarkEnd w:id="251"/>
      <w:bookmarkStart w:id="252" w:name="_Toc184313262"/>
      <w:bookmarkEnd w:id="252"/>
      <w:bookmarkStart w:id="253" w:name="_Toc184310282"/>
      <w:bookmarkEnd w:id="253"/>
      <w:bookmarkStart w:id="254" w:name="_Toc184310295"/>
      <w:bookmarkEnd w:id="254"/>
      <w:bookmarkStart w:id="255" w:name="_Toc184310292"/>
      <w:bookmarkEnd w:id="255"/>
      <w:bookmarkStart w:id="256" w:name="_Toc184308107"/>
      <w:bookmarkEnd w:id="256"/>
      <w:bookmarkStart w:id="257" w:name="_Toc184313243"/>
      <w:bookmarkEnd w:id="257"/>
      <w:bookmarkStart w:id="258" w:name="_Toc184310304"/>
      <w:bookmarkEnd w:id="258"/>
      <w:bookmarkStart w:id="259" w:name="_Toc184313302"/>
      <w:bookmarkEnd w:id="259"/>
      <w:bookmarkStart w:id="260" w:name="_Toc184308064"/>
      <w:bookmarkEnd w:id="260"/>
      <w:bookmarkStart w:id="261" w:name="_Toc184314448"/>
      <w:bookmarkEnd w:id="261"/>
      <w:bookmarkStart w:id="262" w:name="_Toc184314468"/>
      <w:bookmarkEnd w:id="262"/>
      <w:bookmarkStart w:id="263" w:name="_Toc184308056"/>
      <w:bookmarkEnd w:id="263"/>
      <w:bookmarkStart w:id="264" w:name="_Toc184308042"/>
      <w:bookmarkEnd w:id="264"/>
      <w:bookmarkStart w:id="265" w:name="_Toc184312095"/>
      <w:bookmarkEnd w:id="265"/>
      <w:bookmarkStart w:id="266" w:name="_Toc184313260"/>
      <w:bookmarkEnd w:id="266"/>
      <w:bookmarkStart w:id="267" w:name="_Toc184312093"/>
      <w:bookmarkEnd w:id="267"/>
      <w:bookmarkStart w:id="268" w:name="_Toc184312126"/>
      <w:bookmarkEnd w:id="268"/>
      <w:bookmarkStart w:id="269" w:name="_Toc184314474"/>
      <w:bookmarkEnd w:id="269"/>
      <w:bookmarkStart w:id="270" w:name="_Toc184312107"/>
      <w:bookmarkEnd w:id="270"/>
      <w:bookmarkStart w:id="271" w:name="_Toc184312101"/>
      <w:bookmarkEnd w:id="271"/>
      <w:bookmarkStart w:id="272" w:name="_Toc184308054"/>
      <w:bookmarkEnd w:id="272"/>
      <w:bookmarkStart w:id="273" w:name="_Toc184310336"/>
      <w:bookmarkEnd w:id="273"/>
      <w:bookmarkStart w:id="274" w:name="_Toc184310289"/>
      <w:bookmarkEnd w:id="274"/>
      <w:bookmarkStart w:id="275" w:name="_Toc184314434"/>
      <w:bookmarkEnd w:id="275"/>
      <w:bookmarkStart w:id="276" w:name="_Toc184314410"/>
      <w:bookmarkEnd w:id="276"/>
      <w:bookmarkStart w:id="277" w:name="_Toc184314442"/>
      <w:bookmarkEnd w:id="277"/>
      <w:bookmarkStart w:id="278" w:name="_Toc184310274"/>
      <w:bookmarkEnd w:id="278"/>
      <w:bookmarkStart w:id="279" w:name="_Toc184308071"/>
      <w:bookmarkEnd w:id="279"/>
      <w:bookmarkStart w:id="280" w:name="_Toc184310299"/>
      <w:bookmarkEnd w:id="280"/>
      <w:bookmarkStart w:id="281" w:name="_Toc184310334"/>
      <w:bookmarkEnd w:id="281"/>
      <w:bookmarkStart w:id="282" w:name="_Toc184313272"/>
      <w:bookmarkEnd w:id="282"/>
      <w:bookmarkStart w:id="283" w:name="_Toc184310331"/>
      <w:bookmarkEnd w:id="283"/>
      <w:bookmarkStart w:id="284" w:name="_Toc184310278"/>
      <w:bookmarkEnd w:id="284"/>
      <w:bookmarkStart w:id="285" w:name="_Toc184308073"/>
      <w:bookmarkEnd w:id="285"/>
      <w:bookmarkStart w:id="286" w:name="_Toc184314418"/>
      <w:bookmarkEnd w:id="286"/>
      <w:bookmarkStart w:id="287" w:name="_Toc184314433"/>
      <w:bookmarkEnd w:id="287"/>
      <w:bookmarkStart w:id="288" w:name="_Toc184308096"/>
      <w:bookmarkEnd w:id="288"/>
      <w:bookmarkStart w:id="289" w:name="_Toc184312084"/>
      <w:bookmarkEnd w:id="289"/>
      <w:bookmarkStart w:id="290" w:name="_Toc184312109"/>
      <w:bookmarkEnd w:id="290"/>
      <w:bookmarkStart w:id="291" w:name="_Toc184310307"/>
      <w:bookmarkEnd w:id="291"/>
      <w:bookmarkStart w:id="292" w:name="_Toc184312088"/>
      <w:bookmarkEnd w:id="292"/>
      <w:bookmarkStart w:id="293" w:name="_Toc184312078"/>
      <w:bookmarkEnd w:id="293"/>
      <w:bookmarkStart w:id="294" w:name="_Toc184313256"/>
      <w:bookmarkEnd w:id="294"/>
      <w:bookmarkStart w:id="295" w:name="_Toc184308053"/>
      <w:bookmarkEnd w:id="295"/>
      <w:bookmarkStart w:id="296" w:name="_Toc184313301"/>
      <w:bookmarkEnd w:id="296"/>
      <w:bookmarkStart w:id="297" w:name="_Toc184308066"/>
      <w:bookmarkEnd w:id="297"/>
      <w:bookmarkStart w:id="298" w:name="_Toc184312115"/>
      <w:bookmarkEnd w:id="298"/>
      <w:bookmarkStart w:id="299" w:name="_Toc184314481"/>
      <w:bookmarkEnd w:id="299"/>
      <w:bookmarkStart w:id="300" w:name="_Toc184313247"/>
      <w:bookmarkEnd w:id="300"/>
      <w:bookmarkStart w:id="301" w:name="_Toc184314470"/>
      <w:bookmarkEnd w:id="301"/>
      <w:bookmarkStart w:id="302" w:name="_Toc184312122"/>
      <w:bookmarkEnd w:id="302"/>
      <w:bookmarkStart w:id="303" w:name="_Toc184308049"/>
      <w:bookmarkEnd w:id="303"/>
      <w:bookmarkStart w:id="304" w:name="_Toc184314473"/>
      <w:bookmarkEnd w:id="304"/>
      <w:bookmarkStart w:id="305" w:name="_Toc184313303"/>
      <w:bookmarkEnd w:id="305"/>
      <w:bookmarkStart w:id="306" w:name="_Toc184312134"/>
      <w:bookmarkEnd w:id="306"/>
      <w:bookmarkStart w:id="307" w:name="_Toc184314479"/>
      <w:bookmarkEnd w:id="307"/>
      <w:bookmarkStart w:id="308" w:name="_Toc184310288"/>
      <w:bookmarkEnd w:id="308"/>
      <w:bookmarkStart w:id="309" w:name="_Toc184313259"/>
      <w:bookmarkEnd w:id="309"/>
      <w:bookmarkStart w:id="310" w:name="_Toc184308081"/>
      <w:bookmarkEnd w:id="310"/>
      <w:bookmarkStart w:id="311" w:name="_Toc184310337"/>
      <w:bookmarkEnd w:id="311"/>
      <w:bookmarkStart w:id="312" w:name="_Toc184310324"/>
      <w:bookmarkEnd w:id="312"/>
      <w:bookmarkStart w:id="313" w:name="_Toc184312079"/>
      <w:bookmarkEnd w:id="313"/>
      <w:bookmarkStart w:id="314" w:name="_Toc184313251"/>
      <w:bookmarkEnd w:id="314"/>
      <w:bookmarkStart w:id="315" w:name="_Toc184313253"/>
      <w:bookmarkEnd w:id="315"/>
      <w:bookmarkStart w:id="316" w:name="_Toc184312117"/>
      <w:bookmarkEnd w:id="316"/>
      <w:bookmarkStart w:id="317" w:name="_Toc184312105"/>
      <w:bookmarkEnd w:id="317"/>
      <w:bookmarkStart w:id="318" w:name="_Toc184312074"/>
      <w:bookmarkEnd w:id="318"/>
      <w:bookmarkStart w:id="319" w:name="_Toc184312090"/>
      <w:bookmarkEnd w:id="319"/>
      <w:bookmarkStart w:id="320" w:name="_Toc184313277"/>
      <w:bookmarkEnd w:id="320"/>
      <w:bookmarkStart w:id="321" w:name="_Toc184312094"/>
      <w:bookmarkEnd w:id="321"/>
      <w:bookmarkStart w:id="322" w:name="_Toc184312135"/>
      <w:bookmarkEnd w:id="322"/>
      <w:bookmarkStart w:id="323" w:name="_Toc184308080"/>
      <w:bookmarkEnd w:id="323"/>
      <w:bookmarkStart w:id="324" w:name="_Toc184310343"/>
      <w:bookmarkEnd w:id="324"/>
      <w:bookmarkStart w:id="325" w:name="_Toc184313265"/>
      <w:bookmarkEnd w:id="325"/>
      <w:bookmarkStart w:id="326" w:name="_Toc184314454"/>
      <w:bookmarkEnd w:id="326"/>
      <w:bookmarkStart w:id="327" w:name="_Toc184314460"/>
      <w:bookmarkEnd w:id="327"/>
      <w:bookmarkStart w:id="328" w:name="_Toc184308040"/>
      <w:bookmarkEnd w:id="328"/>
      <w:bookmarkStart w:id="329" w:name="_Toc184313278"/>
      <w:bookmarkEnd w:id="329"/>
      <w:bookmarkStart w:id="330" w:name="_Toc184314427"/>
      <w:bookmarkEnd w:id="330"/>
      <w:bookmarkStart w:id="331" w:name="_Toc184308072"/>
      <w:bookmarkEnd w:id="331"/>
      <w:bookmarkStart w:id="332" w:name="_Toc184308045"/>
      <w:bookmarkEnd w:id="332"/>
      <w:bookmarkStart w:id="333" w:name="_Toc184313291"/>
      <w:bookmarkEnd w:id="333"/>
      <w:bookmarkStart w:id="334" w:name="_Toc184314415"/>
      <w:bookmarkEnd w:id="334"/>
      <w:bookmarkStart w:id="335" w:name="_Toc184308077"/>
      <w:bookmarkEnd w:id="335"/>
      <w:bookmarkStart w:id="336" w:name="_Toc184312097"/>
      <w:bookmarkEnd w:id="336"/>
      <w:bookmarkStart w:id="337" w:name="_Toc184314453"/>
      <w:bookmarkEnd w:id="337"/>
      <w:bookmarkStart w:id="338" w:name="_Toc184310296"/>
      <w:bookmarkEnd w:id="338"/>
      <w:bookmarkStart w:id="339" w:name="_Toc184314439"/>
      <w:bookmarkEnd w:id="339"/>
      <w:bookmarkStart w:id="340" w:name="_Toc184308091"/>
      <w:bookmarkEnd w:id="340"/>
      <w:bookmarkStart w:id="341" w:name="_Toc184314412"/>
      <w:bookmarkEnd w:id="341"/>
      <w:bookmarkStart w:id="342" w:name="_Toc184314421"/>
      <w:bookmarkEnd w:id="342"/>
      <w:bookmarkStart w:id="343" w:name="_Toc184310301"/>
      <w:bookmarkEnd w:id="343"/>
      <w:bookmarkStart w:id="344" w:name="_Toc184314451"/>
      <w:bookmarkEnd w:id="344"/>
      <w:bookmarkStart w:id="345" w:name="_Toc184312087"/>
      <w:bookmarkEnd w:id="345"/>
      <w:bookmarkStart w:id="346" w:name="_Toc184308088"/>
      <w:bookmarkEnd w:id="346"/>
      <w:bookmarkStart w:id="347" w:name="_Toc184310313"/>
      <w:bookmarkEnd w:id="347"/>
      <w:bookmarkStart w:id="348" w:name="_Toc184313285"/>
      <w:bookmarkEnd w:id="348"/>
      <w:bookmarkStart w:id="349" w:name="_Toc184314432"/>
      <w:bookmarkEnd w:id="349"/>
      <w:bookmarkStart w:id="350" w:name="_Toc184308062"/>
      <w:bookmarkEnd w:id="350"/>
      <w:bookmarkStart w:id="351" w:name="_Toc184314444"/>
      <w:bookmarkEnd w:id="351"/>
      <w:bookmarkStart w:id="352" w:name="_Toc184314424"/>
      <w:bookmarkEnd w:id="352"/>
      <w:bookmarkStart w:id="353" w:name="_Toc184314480"/>
      <w:bookmarkEnd w:id="353"/>
      <w:bookmarkStart w:id="354" w:name="_Toc184310273"/>
      <w:bookmarkEnd w:id="354"/>
      <w:bookmarkStart w:id="355" w:name="_Toc184314466"/>
      <w:bookmarkEnd w:id="355"/>
      <w:bookmarkStart w:id="356" w:name="_Toc184313288"/>
      <w:bookmarkEnd w:id="356"/>
      <w:bookmarkStart w:id="357" w:name="_Toc184313307"/>
      <w:bookmarkEnd w:id="357"/>
      <w:bookmarkStart w:id="358" w:name="_Toc184308037"/>
      <w:bookmarkEnd w:id="358"/>
      <w:bookmarkStart w:id="359" w:name="_Toc184314438"/>
      <w:bookmarkEnd w:id="359"/>
      <w:bookmarkStart w:id="360" w:name="_Toc184313240"/>
      <w:bookmarkEnd w:id="360"/>
      <w:bookmarkStart w:id="361" w:name="_Toc184312132"/>
      <w:bookmarkEnd w:id="361"/>
      <w:bookmarkStart w:id="362" w:name="_Toc184310326"/>
      <w:bookmarkEnd w:id="362"/>
      <w:bookmarkStart w:id="363" w:name="_Toc184313281"/>
      <w:bookmarkEnd w:id="363"/>
      <w:bookmarkStart w:id="364" w:name="_Toc184312133"/>
      <w:bookmarkEnd w:id="364"/>
      <w:bookmarkStart w:id="365" w:name="_Toc184308076"/>
      <w:bookmarkEnd w:id="365"/>
      <w:bookmarkStart w:id="366" w:name="_Toc184310333"/>
      <w:bookmarkEnd w:id="366"/>
      <w:bookmarkStart w:id="367" w:name="_Toc184310319"/>
      <w:bookmarkEnd w:id="367"/>
      <w:bookmarkStart w:id="368" w:name="_Toc184310297"/>
      <w:bookmarkEnd w:id="368"/>
      <w:bookmarkStart w:id="369" w:name="_Toc184312103"/>
      <w:bookmarkEnd w:id="369"/>
      <w:bookmarkStart w:id="370" w:name="_Toc184314476"/>
      <w:bookmarkEnd w:id="370"/>
      <w:bookmarkStart w:id="371" w:name="_Toc184313306"/>
      <w:bookmarkEnd w:id="371"/>
      <w:bookmarkStart w:id="372" w:name="_Toc184313286"/>
      <w:bookmarkEnd w:id="372"/>
      <w:bookmarkStart w:id="373" w:name="_Toc184310344"/>
      <w:bookmarkEnd w:id="373"/>
      <w:bookmarkStart w:id="374" w:name="_Toc184313271"/>
      <w:bookmarkEnd w:id="374"/>
      <w:bookmarkStart w:id="375" w:name="_Toc184310330"/>
      <w:bookmarkEnd w:id="375"/>
      <w:bookmarkStart w:id="376" w:name="_Toc184312124"/>
      <w:bookmarkEnd w:id="376"/>
      <w:bookmarkStart w:id="377" w:name="_Toc184310323"/>
      <w:bookmarkEnd w:id="377"/>
      <w:bookmarkStart w:id="378" w:name="_Toc184314446"/>
      <w:bookmarkEnd w:id="378"/>
      <w:bookmarkStart w:id="379" w:name="_Toc184312136"/>
      <w:bookmarkEnd w:id="379"/>
      <w:bookmarkStart w:id="380" w:name="_Toc184312137"/>
      <w:bookmarkEnd w:id="380"/>
      <w:bookmarkStart w:id="381" w:name="_Toc184310306"/>
      <w:bookmarkEnd w:id="381"/>
      <w:bookmarkStart w:id="382" w:name="_Toc184308101"/>
      <w:bookmarkEnd w:id="382"/>
      <w:bookmarkStart w:id="383" w:name="_Toc184310287"/>
      <w:bookmarkEnd w:id="383"/>
      <w:bookmarkStart w:id="384" w:name="_Toc184314426"/>
      <w:bookmarkEnd w:id="384"/>
      <w:r>
        <w:rPr>
          <w:rFonts w:hint="eastAsia" w:ascii="宋体" w:hAnsi="宋体" w:cs="宋体"/>
          <w:b/>
          <w:sz w:val="24"/>
          <w:lang w:bidi="ar"/>
        </w:rPr>
        <w:t>一、项目概况</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根据工程建设项目审批制度改革的要求，为优化审批程序，提高审批效率，市规划资源局上城分局计划组织开展规划资源行政许可审批技术审查服务工作，包括建设工程设计方案规划管理辅助技术复核和日照分析抽查复核服务。</w:t>
      </w:r>
    </w:p>
    <w:p>
      <w:pPr>
        <w:autoSpaceDE w:val="0"/>
        <w:spacing w:line="460" w:lineRule="atLeast"/>
        <w:jc w:val="left"/>
        <w:rPr>
          <w:rFonts w:ascii="宋体" w:hAnsi="宋体" w:cs="宋体"/>
          <w:b/>
          <w:sz w:val="24"/>
          <w:lang w:bidi="ar"/>
        </w:rPr>
      </w:pPr>
      <w:r>
        <w:rPr>
          <w:rFonts w:hint="eastAsia" w:ascii="宋体" w:hAnsi="宋体" w:cs="宋体"/>
          <w:b/>
          <w:sz w:val="24"/>
          <w:lang w:bidi="ar"/>
        </w:rPr>
        <w:t>二、项目目标</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推进上城区审批制度改革，完成2023年度上城区投资项目规划资源审批项目的复核和抽查，为提升我区行政审批效率和质量提供技术保障和支持。</w:t>
      </w:r>
    </w:p>
    <w:p>
      <w:pPr>
        <w:autoSpaceDE w:val="0"/>
        <w:spacing w:line="460" w:lineRule="atLeast"/>
        <w:jc w:val="left"/>
        <w:rPr>
          <w:rFonts w:ascii="宋体" w:hAnsi="宋体" w:cs="宋体"/>
          <w:b/>
          <w:sz w:val="24"/>
          <w:lang w:bidi="ar"/>
        </w:rPr>
      </w:pPr>
      <w:r>
        <w:rPr>
          <w:rFonts w:hint="eastAsia" w:ascii="宋体" w:hAnsi="宋体" w:cs="宋体"/>
          <w:b/>
          <w:sz w:val="24"/>
          <w:lang w:bidi="ar"/>
        </w:rPr>
        <w:t>三、项目主要内容</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（一）建设工程设计方案规划管理辅助技术复核</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主要包括审查上城区范围内建设项目方案阶段总平面及单体建筑图纸在制图规范、技术经济指标、配套设施设置、建筑日照和间距、建筑退让、交通组织、竖向设计、地下空间及特殊规划条件等方面是否符合控规、规划条件及相关技术规范的要求。</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（二）日照分析抽查复核</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主要包括审查上城区范围内日照分析中介机构完成的建设项目日照分析报告，对报告的资料来源、建筑建模、计算方法及报告内容等进行技术复核和校对，最终出具建设工程日照分析抽查报告。</w:t>
      </w:r>
    </w:p>
    <w:p>
      <w:pPr>
        <w:autoSpaceDE w:val="0"/>
        <w:spacing w:line="460" w:lineRule="atLeast"/>
        <w:jc w:val="left"/>
        <w:rPr>
          <w:rFonts w:ascii="宋体" w:hAnsi="宋体" w:cs="宋体"/>
          <w:b/>
          <w:sz w:val="24"/>
          <w:lang w:bidi="ar"/>
        </w:rPr>
      </w:pPr>
      <w:r>
        <w:rPr>
          <w:rFonts w:hint="eastAsia" w:ascii="宋体" w:hAnsi="宋体" w:cs="宋体"/>
          <w:b/>
          <w:sz w:val="24"/>
          <w:lang w:bidi="ar"/>
        </w:rPr>
        <w:t>四、具体工作内容和要求</w:t>
      </w:r>
    </w:p>
    <w:p>
      <w:pPr>
        <w:autoSpaceDE w:val="0"/>
        <w:spacing w:line="460" w:lineRule="atLeast"/>
        <w:ind w:firstLine="482" w:firstLineChars="200"/>
        <w:jc w:val="left"/>
        <w:rPr>
          <w:rFonts w:ascii="宋体" w:hAnsi="宋体" w:cs="宋体"/>
          <w:b/>
          <w:sz w:val="24"/>
          <w:lang w:bidi="ar"/>
        </w:rPr>
      </w:pPr>
      <w:r>
        <w:rPr>
          <w:rFonts w:hint="eastAsia" w:ascii="宋体" w:hAnsi="宋体" w:cs="宋体"/>
          <w:b/>
          <w:sz w:val="24"/>
          <w:lang w:bidi="ar"/>
        </w:rPr>
        <w:t>（一）建设工程设计方案规划管理辅助技术复核</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1、复核内容</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对上城区范围内建设工程设计方案的总图制图规范、经济技术指标、配套设施、建筑间距、建筑退让、交通组织等进行技术审查，明确是否符合相关技术标准规范和规划条件。</w:t>
      </w:r>
    </w:p>
    <w:p>
      <w:pPr>
        <w:pStyle w:val="2"/>
        <w:ind w:firstLine="480" w:firstLineChars="200"/>
        <w:rPr>
          <w:rFonts w:hAnsi="宋体" w:cs="宋体"/>
          <w:bCs/>
          <w:szCs w:val="24"/>
          <w:lang w:bidi="ar"/>
        </w:rPr>
      </w:pPr>
      <w:r>
        <w:rPr>
          <w:rFonts w:hint="eastAsia" w:hAnsi="宋体" w:cs="宋体"/>
          <w:bCs/>
          <w:szCs w:val="24"/>
          <w:lang w:bidi="ar"/>
        </w:rPr>
        <w:t>2、时限要求</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建设工程设计方案规划管理辅助技术审查时限为3-5个工作日，按项目规模，建设工程项目在5万平方米以下的，技术审查复核需在接到任务后的3个工作日内完成；建设工程项目在5万平方米以上的，技术审查需在接到任务后的5个工作日内完成。</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3、成果要求</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（1）审查报告；</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（2）业务联系单；</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（3）其他采购方要求的项目有关文档。</w:t>
      </w:r>
    </w:p>
    <w:p>
      <w:pPr>
        <w:autoSpaceDE w:val="0"/>
        <w:spacing w:line="460" w:lineRule="atLeast"/>
        <w:ind w:firstLine="482" w:firstLineChars="200"/>
        <w:jc w:val="left"/>
        <w:rPr>
          <w:rFonts w:ascii="宋体" w:hAnsi="宋体" w:cs="宋体"/>
          <w:b/>
          <w:sz w:val="24"/>
          <w:lang w:bidi="ar"/>
        </w:rPr>
      </w:pPr>
      <w:r>
        <w:rPr>
          <w:rFonts w:hint="eastAsia" w:ascii="宋体" w:hAnsi="宋体" w:cs="宋体"/>
          <w:b/>
          <w:sz w:val="24"/>
          <w:lang w:bidi="ar"/>
        </w:rPr>
        <w:t>（二）日照分析抽查复核</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1、复核内容</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复核日照分析中介机构完成的日照分析报告，对日照计算范围、建筑模型、计算基准面、计算参数设置、计算结果、分析结论等是否符合技术规范要求，最终出具建设工程日照分析复核报告。</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2、时限要求</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建设工程项目日照分析在10幢建筑以内的项目需在接到任务后的4个工作日内完成复核工作，每增10幢建筑则递增4个工作日内完成。</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3、成果要求：</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（1）日照分析技术复核报告；</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（2）日照分析复核报告原始资料电子数据；</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（3）其他采购方要求的项目有关文档。</w:t>
      </w:r>
    </w:p>
    <w:p>
      <w:pPr>
        <w:autoSpaceDE w:val="0"/>
        <w:spacing w:line="460" w:lineRule="atLeast"/>
        <w:jc w:val="left"/>
        <w:rPr>
          <w:rFonts w:ascii="宋体" w:hAnsi="宋体" w:cs="宋体"/>
          <w:b/>
          <w:sz w:val="24"/>
          <w:lang w:bidi="ar"/>
        </w:rPr>
      </w:pPr>
      <w:r>
        <w:rPr>
          <w:rFonts w:hint="eastAsia" w:ascii="宋体" w:hAnsi="宋体" w:cs="宋体"/>
          <w:b/>
          <w:sz w:val="24"/>
          <w:lang w:bidi="ar"/>
        </w:rPr>
        <w:t>五、项目须执行的标准、规范：</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《中华人民共和国城乡规划法》（2008.1）；</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《浙江省城乡规划条例》（2010.10）</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《杭州市城乡规划条例》（2017.11）</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《城市用地分类与规划建设用地标准》（GB 50137-2011）；</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《杭州市建设用地选址论证管理办法》（杭政办函〔2014〕12号）</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《浙江省城市建筑工程日照分析技术规程》；</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《杭州市控制性详细规划编制技术规定》；</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《杭州市城市规划技术管理规定》；</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《杭州市城市总体规划2001-2020年》（修订）2016年国务院批复；</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《杭州市总体城市设计（修编）》</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国家及地方出台的其他需执行的新标准、规范；</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国家、地方的标准、规范如发生更新，需根据执行日期进行落实。</w:t>
      </w:r>
    </w:p>
    <w:p>
      <w:pPr>
        <w:autoSpaceDE w:val="0"/>
        <w:spacing w:line="460" w:lineRule="atLeast"/>
        <w:jc w:val="left"/>
        <w:rPr>
          <w:rFonts w:ascii="宋体" w:hAnsi="宋体" w:cs="宋体"/>
          <w:b/>
          <w:sz w:val="24"/>
          <w:lang w:bidi="ar"/>
        </w:rPr>
      </w:pPr>
      <w:r>
        <w:rPr>
          <w:rFonts w:hint="eastAsia" w:ascii="宋体" w:hAnsi="宋体" w:cs="宋体"/>
          <w:b/>
          <w:sz w:val="24"/>
          <w:lang w:bidi="ar"/>
        </w:rPr>
        <w:t>六、责任和义务</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中标方负责对其审核的报告进行解释说明。</w:t>
      </w:r>
    </w:p>
    <w:p>
      <w:pPr>
        <w:autoSpaceDE w:val="0"/>
        <w:spacing w:line="460" w:lineRule="atLeast"/>
        <w:ind w:firstLine="480" w:firstLineChars="200"/>
        <w:jc w:val="left"/>
        <w:rPr>
          <w:rFonts w:ascii="宋体" w:hAnsi="宋体" w:cs="宋体"/>
          <w:bCs/>
          <w:sz w:val="24"/>
          <w:lang w:bidi="ar"/>
        </w:rPr>
      </w:pPr>
      <w:r>
        <w:rPr>
          <w:rFonts w:hint="eastAsia" w:ascii="宋体" w:hAnsi="宋体" w:cs="宋体"/>
          <w:bCs/>
          <w:sz w:val="24"/>
          <w:lang w:bidi="ar"/>
        </w:rPr>
        <w:t>中标方应对其出具的技术审查成果的质量及因质量引起的问题负责处理解决并承担由此产生的相关费用。</w:t>
      </w:r>
    </w:p>
    <w:p>
      <w:pPr>
        <w:autoSpaceDE w:val="0"/>
        <w:spacing w:line="460" w:lineRule="atLeast"/>
        <w:jc w:val="left"/>
        <w:rPr>
          <w:rFonts w:ascii="宋体" w:hAnsi="宋体" w:cs="宋体"/>
          <w:b/>
          <w:sz w:val="24"/>
          <w:lang w:bidi="ar"/>
        </w:rPr>
      </w:pPr>
      <w:r>
        <w:rPr>
          <w:rFonts w:hint="eastAsia" w:ascii="宋体" w:hAnsi="宋体" w:cs="宋体"/>
          <w:b/>
          <w:sz w:val="24"/>
          <w:lang w:bidi="ar"/>
        </w:rPr>
        <w:t>七、项目实施要求</w:t>
      </w:r>
    </w:p>
    <w:p>
      <w:pPr>
        <w:numPr>
          <w:ilvl w:val="0"/>
          <w:numId w:val="1"/>
        </w:numPr>
        <w:spacing w:line="460" w:lineRule="atLeast"/>
        <w:ind w:firstLine="480" w:firstLineChars="200"/>
        <w:jc w:val="left"/>
        <w:rPr>
          <w:rFonts w:ascii="宋体" w:hAnsi="宋体" w:cs="宋体"/>
          <w:sz w:val="24"/>
        </w:rPr>
      </w:pPr>
      <w:r>
        <w:rPr>
          <w:rFonts w:hint="eastAsia" w:ascii="宋体" w:hAnsi="宋体" w:cs="宋体"/>
          <w:sz w:val="24"/>
        </w:rPr>
        <w:t>实施单位：具备类似项目实施经验，工作成果优秀。</w:t>
      </w:r>
    </w:p>
    <w:p>
      <w:pPr>
        <w:numPr>
          <w:ilvl w:val="0"/>
          <w:numId w:val="1"/>
        </w:numPr>
        <w:spacing w:line="460" w:lineRule="atLeast"/>
        <w:ind w:firstLine="480" w:firstLineChars="200"/>
        <w:jc w:val="left"/>
        <w:rPr>
          <w:rFonts w:ascii="宋体" w:hAnsi="宋体" w:cs="宋体"/>
          <w:sz w:val="24"/>
        </w:rPr>
      </w:pPr>
      <w:r>
        <w:rPr>
          <w:rFonts w:hint="eastAsia" w:ascii="宋体" w:hAnsi="宋体" w:cs="宋体"/>
          <w:sz w:val="24"/>
        </w:rPr>
        <w:t>项目团队：项目负责人须经验丰富，项目组成员具备较高的专业素质。项目团队需实行专人负责制。</w:t>
      </w:r>
    </w:p>
    <w:p>
      <w:pPr>
        <w:autoSpaceDE w:val="0"/>
        <w:spacing w:line="460" w:lineRule="atLeast"/>
        <w:jc w:val="left"/>
        <w:rPr>
          <w:rFonts w:ascii="宋体" w:hAnsi="宋体" w:cs="宋体"/>
          <w:b/>
          <w:sz w:val="24"/>
          <w:lang w:bidi="ar"/>
        </w:rPr>
      </w:pPr>
      <w:r>
        <w:rPr>
          <w:rFonts w:hint="eastAsia" w:ascii="宋体" w:hAnsi="宋体" w:cs="宋体"/>
          <w:b/>
          <w:sz w:val="24"/>
          <w:lang w:bidi="ar"/>
        </w:rPr>
        <w:t>八、项目清单</w:t>
      </w:r>
    </w:p>
    <w:tbl>
      <w:tblPr>
        <w:tblStyle w:val="63"/>
        <w:tblpPr w:leftFromText="180" w:rightFromText="180" w:vertAnchor="text" w:horzAnchor="margin" w:tblpXSpec="center" w:tblpY="188"/>
        <w:tblOverlap w:val="never"/>
        <w:tblW w:w="10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04"/>
        <w:gridCol w:w="1415"/>
        <w:gridCol w:w="1186"/>
        <w:gridCol w:w="1228"/>
        <w:gridCol w:w="2586"/>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5" w:type="dxa"/>
            <w:vAlign w:val="center"/>
          </w:tcPr>
          <w:p>
            <w:pPr>
              <w:pStyle w:val="32"/>
              <w:spacing w:line="440" w:lineRule="exact"/>
              <w:jc w:val="center"/>
              <w:rPr>
                <w:rFonts w:hAnsi="宋体" w:cs="宋体"/>
                <w:bCs/>
                <w:sz w:val="24"/>
                <w:szCs w:val="24"/>
                <w:lang w:bidi="ar"/>
              </w:rPr>
            </w:pPr>
            <w:r>
              <w:rPr>
                <w:rFonts w:hint="eastAsia" w:hAnsi="宋体" w:cs="宋体"/>
                <w:bCs/>
                <w:sz w:val="24"/>
                <w:szCs w:val="24"/>
                <w:lang w:bidi="ar"/>
              </w:rPr>
              <w:t>编号</w:t>
            </w:r>
          </w:p>
        </w:tc>
        <w:tc>
          <w:tcPr>
            <w:tcW w:w="2819" w:type="dxa"/>
            <w:gridSpan w:val="2"/>
            <w:vAlign w:val="center"/>
          </w:tcPr>
          <w:p>
            <w:pPr>
              <w:pStyle w:val="32"/>
              <w:spacing w:line="440" w:lineRule="exact"/>
              <w:jc w:val="center"/>
              <w:rPr>
                <w:rFonts w:hAnsi="宋体" w:cs="宋体"/>
                <w:bCs/>
                <w:sz w:val="24"/>
                <w:szCs w:val="24"/>
                <w:lang w:bidi="ar"/>
              </w:rPr>
            </w:pPr>
            <w:r>
              <w:rPr>
                <w:rFonts w:hint="eastAsia" w:hAnsi="宋体" w:cs="宋体"/>
                <w:bCs/>
                <w:sz w:val="24"/>
                <w:szCs w:val="24"/>
                <w:lang w:bidi="ar"/>
              </w:rPr>
              <w:t>项目名称</w:t>
            </w:r>
          </w:p>
        </w:tc>
        <w:tc>
          <w:tcPr>
            <w:tcW w:w="1186" w:type="dxa"/>
            <w:vAlign w:val="center"/>
          </w:tcPr>
          <w:p>
            <w:pPr>
              <w:pStyle w:val="32"/>
              <w:widowControl/>
              <w:jc w:val="center"/>
              <w:rPr>
                <w:rFonts w:hAnsi="宋体" w:cs="宋体"/>
                <w:bCs/>
                <w:sz w:val="24"/>
                <w:szCs w:val="24"/>
                <w:lang w:bidi="ar"/>
              </w:rPr>
            </w:pPr>
            <w:r>
              <w:rPr>
                <w:rFonts w:hint="eastAsia" w:hAnsi="宋体" w:cs="宋体"/>
                <w:bCs/>
                <w:sz w:val="24"/>
                <w:szCs w:val="24"/>
                <w:lang w:bidi="ar"/>
              </w:rPr>
              <w:t>单位</w:t>
            </w:r>
          </w:p>
        </w:tc>
        <w:tc>
          <w:tcPr>
            <w:tcW w:w="1228" w:type="dxa"/>
            <w:vAlign w:val="center"/>
          </w:tcPr>
          <w:p>
            <w:pPr>
              <w:pStyle w:val="32"/>
              <w:widowControl/>
              <w:rPr>
                <w:rFonts w:hAnsi="宋体" w:cs="宋体"/>
                <w:bCs/>
                <w:sz w:val="24"/>
                <w:szCs w:val="24"/>
                <w:lang w:bidi="ar"/>
              </w:rPr>
            </w:pPr>
            <w:r>
              <w:rPr>
                <w:rFonts w:hint="eastAsia" w:hAnsi="宋体" w:cs="宋体"/>
                <w:bCs/>
                <w:sz w:val="24"/>
                <w:szCs w:val="24"/>
                <w:lang w:bidi="ar"/>
              </w:rPr>
              <w:t>暂定数量</w:t>
            </w:r>
          </w:p>
        </w:tc>
        <w:tc>
          <w:tcPr>
            <w:tcW w:w="2586" w:type="dxa"/>
            <w:vAlign w:val="center"/>
          </w:tcPr>
          <w:p>
            <w:pPr>
              <w:pStyle w:val="32"/>
              <w:spacing w:line="440" w:lineRule="exact"/>
              <w:jc w:val="center"/>
              <w:rPr>
                <w:rFonts w:hAnsi="宋体" w:cs="宋体"/>
                <w:bCs/>
                <w:sz w:val="24"/>
                <w:szCs w:val="24"/>
                <w:lang w:bidi="ar"/>
              </w:rPr>
            </w:pPr>
            <w:r>
              <w:rPr>
                <w:rFonts w:hint="eastAsia" w:hAnsi="宋体" w:cs="宋体"/>
                <w:bCs/>
                <w:sz w:val="24"/>
                <w:szCs w:val="24"/>
                <w:lang w:bidi="ar"/>
              </w:rPr>
              <w:t>备   注</w:t>
            </w:r>
          </w:p>
        </w:tc>
        <w:tc>
          <w:tcPr>
            <w:tcW w:w="2129" w:type="dxa"/>
            <w:vAlign w:val="center"/>
          </w:tcPr>
          <w:p>
            <w:pPr>
              <w:widowControl/>
              <w:spacing w:line="240" w:lineRule="atLeast"/>
              <w:jc w:val="center"/>
              <w:rPr>
                <w:rFonts w:ascii="宋体" w:hAnsi="宋体" w:cs="宋体"/>
                <w:bCs/>
                <w:sz w:val="24"/>
                <w:lang w:bidi="ar"/>
              </w:rPr>
            </w:pPr>
            <w:r>
              <w:rPr>
                <w:rFonts w:hint="eastAsia" w:ascii="宋体" w:hAnsi="宋体" w:cs="宋体"/>
                <w:bCs/>
                <w:sz w:val="24"/>
                <w:lang w:bidi="ar"/>
              </w:rPr>
              <w:t>最高限价（单价）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05" w:type="dxa"/>
            <w:vAlign w:val="center"/>
          </w:tcPr>
          <w:p>
            <w:pPr>
              <w:pStyle w:val="32"/>
              <w:spacing w:line="440" w:lineRule="exact"/>
              <w:jc w:val="center"/>
              <w:rPr>
                <w:rFonts w:hAnsi="宋体" w:cs="宋体"/>
                <w:bCs/>
                <w:sz w:val="24"/>
                <w:szCs w:val="24"/>
                <w:lang w:bidi="ar"/>
              </w:rPr>
            </w:pPr>
            <w:r>
              <w:rPr>
                <w:rFonts w:hint="eastAsia" w:hAnsi="宋体" w:cs="宋体"/>
                <w:bCs/>
                <w:sz w:val="24"/>
                <w:szCs w:val="24"/>
                <w:lang w:bidi="ar"/>
              </w:rPr>
              <w:t>1</w:t>
            </w:r>
          </w:p>
        </w:tc>
        <w:tc>
          <w:tcPr>
            <w:tcW w:w="2819" w:type="dxa"/>
            <w:gridSpan w:val="2"/>
            <w:vAlign w:val="center"/>
          </w:tcPr>
          <w:p>
            <w:pPr>
              <w:pStyle w:val="32"/>
              <w:spacing w:line="440" w:lineRule="exact"/>
              <w:jc w:val="center"/>
              <w:rPr>
                <w:rFonts w:hAnsi="宋体" w:cs="宋体"/>
                <w:bCs/>
                <w:sz w:val="24"/>
                <w:szCs w:val="24"/>
                <w:lang w:bidi="ar"/>
              </w:rPr>
            </w:pPr>
            <w:r>
              <w:rPr>
                <w:rFonts w:hint="eastAsia" w:hAnsi="宋体" w:cs="宋体"/>
                <w:bCs/>
                <w:sz w:val="24"/>
                <w:szCs w:val="24"/>
                <w:lang w:val="zh-CN" w:bidi="ar"/>
              </w:rPr>
              <w:t>建设工程设计方案规划管理辅助技术复核服务</w:t>
            </w:r>
          </w:p>
        </w:tc>
        <w:tc>
          <w:tcPr>
            <w:tcW w:w="1186" w:type="dxa"/>
            <w:vAlign w:val="center"/>
          </w:tcPr>
          <w:p>
            <w:pPr>
              <w:pStyle w:val="32"/>
              <w:widowControl/>
              <w:jc w:val="center"/>
              <w:rPr>
                <w:rFonts w:hAnsi="宋体" w:cs="宋体"/>
                <w:bCs/>
                <w:sz w:val="24"/>
                <w:szCs w:val="24"/>
                <w:lang w:bidi="ar"/>
              </w:rPr>
            </w:pPr>
            <w:r>
              <w:rPr>
                <w:rFonts w:hint="eastAsia" w:hAnsi="宋体" w:cs="宋体"/>
                <w:bCs/>
                <w:sz w:val="24"/>
                <w:szCs w:val="24"/>
                <w:lang w:bidi="ar"/>
              </w:rPr>
              <w:t>万平方米</w:t>
            </w:r>
          </w:p>
        </w:tc>
        <w:tc>
          <w:tcPr>
            <w:tcW w:w="1228" w:type="dxa"/>
            <w:vAlign w:val="center"/>
          </w:tcPr>
          <w:p>
            <w:pPr>
              <w:pStyle w:val="32"/>
              <w:widowControl/>
              <w:jc w:val="center"/>
              <w:rPr>
                <w:rFonts w:hAnsi="宋体" w:cs="宋体"/>
                <w:bCs/>
                <w:sz w:val="24"/>
                <w:szCs w:val="24"/>
                <w:lang w:bidi="ar"/>
              </w:rPr>
            </w:pPr>
            <w:r>
              <w:rPr>
                <w:rFonts w:hint="eastAsia" w:hAnsi="宋体" w:cs="宋体"/>
                <w:bCs/>
                <w:sz w:val="24"/>
                <w:szCs w:val="24"/>
                <w:lang w:bidi="ar"/>
              </w:rPr>
              <w:t>258</w:t>
            </w:r>
          </w:p>
        </w:tc>
        <w:tc>
          <w:tcPr>
            <w:tcW w:w="2586" w:type="dxa"/>
            <w:vAlign w:val="center"/>
          </w:tcPr>
          <w:p>
            <w:pPr>
              <w:pStyle w:val="32"/>
              <w:spacing w:line="440" w:lineRule="exact"/>
              <w:jc w:val="center"/>
              <w:rPr>
                <w:rFonts w:hAnsi="宋体" w:cs="宋体"/>
                <w:bCs/>
                <w:sz w:val="24"/>
                <w:szCs w:val="24"/>
                <w:lang w:bidi="ar"/>
              </w:rPr>
            </w:pPr>
            <w:r>
              <w:rPr>
                <w:rFonts w:hint="eastAsia" w:hAnsi="宋体" w:cs="宋体"/>
                <w:bCs/>
                <w:sz w:val="24"/>
                <w:szCs w:val="24"/>
                <w:lang w:bidi="ar"/>
              </w:rPr>
              <w:t>拟建建筑的地上建筑面积</w:t>
            </w:r>
            <w:r>
              <w:rPr>
                <w:rFonts w:hint="eastAsia" w:hAnsi="宋体" w:cs="宋体"/>
                <w:bCs/>
                <w:color w:val="FF0000"/>
                <w:sz w:val="24"/>
                <w:szCs w:val="24"/>
                <w:lang w:bidi="ar"/>
              </w:rPr>
              <w:t>（含架空层面积）</w:t>
            </w:r>
          </w:p>
        </w:tc>
        <w:tc>
          <w:tcPr>
            <w:tcW w:w="2129" w:type="dxa"/>
            <w:vAlign w:val="center"/>
          </w:tcPr>
          <w:p>
            <w:pPr>
              <w:widowControl/>
              <w:spacing w:line="240" w:lineRule="atLeast"/>
              <w:jc w:val="left"/>
              <w:rPr>
                <w:rFonts w:ascii="宋体" w:hAnsi="宋体" w:cs="宋体"/>
                <w:bCs/>
                <w:sz w:val="24"/>
                <w:lang w:bidi="ar"/>
              </w:rPr>
            </w:pPr>
            <w:r>
              <w:rPr>
                <w:rFonts w:hint="eastAsia" w:ascii="宋体" w:hAnsi="宋体" w:cs="宋体"/>
                <w:bCs/>
                <w:sz w:val="24"/>
                <w:lang w:bidi="ar"/>
              </w:rPr>
              <w:t>0.35元/平方米×拟建建筑地上建筑面积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05" w:type="dxa"/>
            <w:vMerge w:val="restart"/>
            <w:vAlign w:val="center"/>
          </w:tcPr>
          <w:p>
            <w:pPr>
              <w:pStyle w:val="32"/>
              <w:spacing w:line="440" w:lineRule="exact"/>
              <w:jc w:val="center"/>
              <w:rPr>
                <w:rFonts w:hAnsi="宋体" w:cs="宋体"/>
                <w:bCs/>
                <w:sz w:val="24"/>
                <w:szCs w:val="24"/>
                <w:lang w:bidi="ar"/>
              </w:rPr>
            </w:pPr>
            <w:r>
              <w:rPr>
                <w:rFonts w:hint="eastAsia" w:hAnsi="宋体" w:cs="宋体"/>
                <w:bCs/>
                <w:sz w:val="24"/>
                <w:szCs w:val="24"/>
                <w:lang w:bidi="ar"/>
              </w:rPr>
              <w:t>2</w:t>
            </w:r>
          </w:p>
        </w:tc>
        <w:tc>
          <w:tcPr>
            <w:tcW w:w="1404" w:type="dxa"/>
            <w:vMerge w:val="restart"/>
            <w:vAlign w:val="center"/>
          </w:tcPr>
          <w:p>
            <w:pPr>
              <w:pStyle w:val="32"/>
              <w:spacing w:line="440" w:lineRule="exact"/>
              <w:jc w:val="center"/>
              <w:rPr>
                <w:rFonts w:hAnsi="宋体" w:cs="宋体"/>
                <w:bCs/>
                <w:sz w:val="24"/>
                <w:szCs w:val="24"/>
                <w:lang w:bidi="ar"/>
              </w:rPr>
            </w:pPr>
            <w:r>
              <w:rPr>
                <w:rFonts w:hint="eastAsia" w:hAnsi="宋体" w:cs="宋体"/>
                <w:bCs/>
                <w:sz w:val="24"/>
                <w:szCs w:val="24"/>
                <w:lang w:val="zh-CN" w:bidi="ar"/>
              </w:rPr>
              <w:t>日照分析抽查复核工作</w:t>
            </w:r>
          </w:p>
        </w:tc>
        <w:tc>
          <w:tcPr>
            <w:tcW w:w="1415" w:type="dxa"/>
            <w:vAlign w:val="center"/>
          </w:tcPr>
          <w:p>
            <w:pPr>
              <w:pStyle w:val="32"/>
              <w:widowControl/>
              <w:rPr>
                <w:rFonts w:hAnsi="宋体" w:cs="宋体"/>
                <w:bCs/>
                <w:sz w:val="24"/>
                <w:szCs w:val="24"/>
                <w:lang w:bidi="ar"/>
              </w:rPr>
            </w:pPr>
            <w:r>
              <w:rPr>
                <w:rFonts w:hint="eastAsia" w:hAnsi="宋体" w:cs="宋体"/>
                <w:bCs/>
                <w:sz w:val="24"/>
                <w:szCs w:val="24"/>
                <w:lang w:bidi="ar"/>
              </w:rPr>
              <w:t>拟建建筑地上面积</w:t>
            </w:r>
          </w:p>
        </w:tc>
        <w:tc>
          <w:tcPr>
            <w:tcW w:w="1186" w:type="dxa"/>
            <w:vAlign w:val="center"/>
          </w:tcPr>
          <w:p>
            <w:pPr>
              <w:pStyle w:val="32"/>
              <w:widowControl/>
              <w:jc w:val="center"/>
              <w:rPr>
                <w:rFonts w:hAnsi="宋体" w:cs="宋体"/>
                <w:bCs/>
                <w:sz w:val="24"/>
                <w:szCs w:val="24"/>
                <w:lang w:bidi="ar"/>
              </w:rPr>
            </w:pPr>
            <w:r>
              <w:rPr>
                <w:rFonts w:hint="eastAsia" w:hAnsi="宋体" w:cs="宋体"/>
                <w:bCs/>
                <w:sz w:val="24"/>
                <w:szCs w:val="24"/>
                <w:lang w:bidi="ar"/>
              </w:rPr>
              <w:t>万平方米</w:t>
            </w:r>
          </w:p>
        </w:tc>
        <w:tc>
          <w:tcPr>
            <w:tcW w:w="1228" w:type="dxa"/>
            <w:vAlign w:val="center"/>
          </w:tcPr>
          <w:p>
            <w:pPr>
              <w:pStyle w:val="32"/>
              <w:widowControl/>
              <w:jc w:val="center"/>
              <w:rPr>
                <w:rFonts w:hAnsi="宋体" w:cs="宋体"/>
                <w:bCs/>
                <w:sz w:val="24"/>
                <w:szCs w:val="24"/>
                <w:lang w:bidi="ar"/>
              </w:rPr>
            </w:pPr>
            <w:r>
              <w:rPr>
                <w:rFonts w:hint="eastAsia" w:hAnsi="宋体" w:cs="宋体"/>
                <w:bCs/>
                <w:sz w:val="24"/>
                <w:szCs w:val="24"/>
                <w:lang w:bidi="ar"/>
              </w:rPr>
              <w:t>58</w:t>
            </w:r>
          </w:p>
        </w:tc>
        <w:tc>
          <w:tcPr>
            <w:tcW w:w="2586" w:type="dxa"/>
            <w:vAlign w:val="center"/>
          </w:tcPr>
          <w:p>
            <w:pPr>
              <w:pStyle w:val="32"/>
              <w:spacing w:line="440" w:lineRule="exact"/>
              <w:jc w:val="center"/>
              <w:rPr>
                <w:rFonts w:hAnsi="宋体" w:cs="宋体"/>
                <w:bCs/>
                <w:sz w:val="24"/>
                <w:szCs w:val="24"/>
                <w:lang w:bidi="ar"/>
              </w:rPr>
            </w:pPr>
            <w:r>
              <w:rPr>
                <w:rFonts w:hint="eastAsia" w:hAnsi="宋体" w:cs="宋体"/>
                <w:bCs/>
                <w:sz w:val="24"/>
                <w:szCs w:val="24"/>
                <w:lang w:bidi="ar"/>
              </w:rPr>
              <w:t>拟建遮挡建筑的地上建筑面积</w:t>
            </w:r>
          </w:p>
        </w:tc>
        <w:tc>
          <w:tcPr>
            <w:tcW w:w="2129" w:type="dxa"/>
            <w:vMerge w:val="restart"/>
            <w:vAlign w:val="center"/>
          </w:tcPr>
          <w:p>
            <w:pPr>
              <w:widowControl/>
              <w:spacing w:line="240" w:lineRule="atLeast"/>
              <w:jc w:val="left"/>
              <w:rPr>
                <w:rFonts w:ascii="宋体" w:hAnsi="宋体" w:cs="宋体"/>
                <w:bCs/>
                <w:sz w:val="24"/>
                <w:lang w:bidi="ar"/>
              </w:rPr>
            </w:pPr>
            <w:r>
              <w:rPr>
                <w:rFonts w:hint="eastAsia" w:ascii="宋体" w:hAnsi="宋体" w:cs="宋体"/>
                <w:bCs/>
                <w:sz w:val="24"/>
                <w:lang w:bidi="ar"/>
              </w:rPr>
              <w:t>0.35元/平方米×拟建建筑地上建筑面积+1080元/幢×周边建筑数量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5" w:type="dxa"/>
            <w:vMerge w:val="continue"/>
            <w:vAlign w:val="center"/>
          </w:tcPr>
          <w:p>
            <w:pPr>
              <w:pStyle w:val="32"/>
              <w:spacing w:line="440" w:lineRule="exact"/>
              <w:jc w:val="center"/>
              <w:rPr>
                <w:rFonts w:hAnsi="宋体" w:cs="宋体"/>
                <w:bCs/>
                <w:sz w:val="24"/>
                <w:szCs w:val="24"/>
                <w:lang w:bidi="ar"/>
              </w:rPr>
            </w:pPr>
          </w:p>
        </w:tc>
        <w:tc>
          <w:tcPr>
            <w:tcW w:w="1404" w:type="dxa"/>
            <w:vMerge w:val="continue"/>
            <w:vAlign w:val="center"/>
          </w:tcPr>
          <w:p>
            <w:pPr>
              <w:pStyle w:val="32"/>
              <w:spacing w:line="440" w:lineRule="exact"/>
              <w:jc w:val="center"/>
              <w:rPr>
                <w:rFonts w:hAnsi="宋体" w:cs="宋体"/>
                <w:bCs/>
                <w:sz w:val="24"/>
                <w:szCs w:val="24"/>
                <w:lang w:bidi="ar"/>
              </w:rPr>
            </w:pPr>
          </w:p>
        </w:tc>
        <w:tc>
          <w:tcPr>
            <w:tcW w:w="1415" w:type="dxa"/>
            <w:vAlign w:val="center"/>
          </w:tcPr>
          <w:p>
            <w:pPr>
              <w:pStyle w:val="32"/>
              <w:widowControl/>
              <w:rPr>
                <w:rFonts w:hAnsi="宋体" w:cs="宋体"/>
                <w:bCs/>
                <w:sz w:val="24"/>
                <w:szCs w:val="24"/>
                <w:lang w:bidi="ar"/>
              </w:rPr>
            </w:pPr>
            <w:r>
              <w:rPr>
                <w:rFonts w:hint="eastAsia" w:hAnsi="宋体" w:cs="宋体"/>
                <w:bCs/>
                <w:sz w:val="24"/>
                <w:szCs w:val="24"/>
                <w:lang w:bidi="ar"/>
              </w:rPr>
              <w:t>周边建筑</w:t>
            </w:r>
          </w:p>
        </w:tc>
        <w:tc>
          <w:tcPr>
            <w:tcW w:w="1186" w:type="dxa"/>
            <w:vAlign w:val="center"/>
          </w:tcPr>
          <w:p>
            <w:pPr>
              <w:pStyle w:val="32"/>
              <w:widowControl/>
              <w:jc w:val="center"/>
              <w:rPr>
                <w:rFonts w:hAnsi="宋体" w:cs="宋体"/>
                <w:bCs/>
                <w:sz w:val="24"/>
                <w:szCs w:val="24"/>
                <w:lang w:bidi="ar"/>
              </w:rPr>
            </w:pPr>
            <w:r>
              <w:rPr>
                <w:rFonts w:hint="eastAsia" w:hAnsi="宋体" w:cs="宋体"/>
                <w:bCs/>
                <w:sz w:val="24"/>
                <w:szCs w:val="24"/>
                <w:lang w:bidi="ar"/>
              </w:rPr>
              <w:t>幢</w:t>
            </w:r>
          </w:p>
        </w:tc>
        <w:tc>
          <w:tcPr>
            <w:tcW w:w="1228" w:type="dxa"/>
            <w:vAlign w:val="center"/>
          </w:tcPr>
          <w:p>
            <w:pPr>
              <w:pStyle w:val="32"/>
              <w:widowControl/>
              <w:jc w:val="center"/>
              <w:rPr>
                <w:rFonts w:hAnsi="宋体" w:cs="宋体"/>
                <w:bCs/>
                <w:sz w:val="24"/>
                <w:szCs w:val="24"/>
                <w:lang w:bidi="ar"/>
              </w:rPr>
            </w:pPr>
            <w:r>
              <w:rPr>
                <w:rFonts w:hint="eastAsia" w:hAnsi="宋体" w:cs="宋体"/>
                <w:bCs/>
                <w:sz w:val="24"/>
                <w:szCs w:val="24"/>
                <w:lang w:bidi="ar"/>
              </w:rPr>
              <w:t>87</w:t>
            </w:r>
          </w:p>
        </w:tc>
        <w:tc>
          <w:tcPr>
            <w:tcW w:w="2586" w:type="dxa"/>
            <w:vAlign w:val="center"/>
          </w:tcPr>
          <w:p>
            <w:pPr>
              <w:pStyle w:val="32"/>
              <w:spacing w:line="440" w:lineRule="exact"/>
              <w:jc w:val="center"/>
              <w:rPr>
                <w:rFonts w:hAnsi="宋体" w:cs="宋体"/>
                <w:bCs/>
                <w:sz w:val="24"/>
                <w:szCs w:val="24"/>
                <w:highlight w:val="yellow"/>
                <w:lang w:bidi="ar"/>
              </w:rPr>
            </w:pPr>
          </w:p>
        </w:tc>
        <w:tc>
          <w:tcPr>
            <w:tcW w:w="2129" w:type="dxa"/>
            <w:vMerge w:val="continue"/>
            <w:vAlign w:val="center"/>
          </w:tcPr>
          <w:p>
            <w:pPr>
              <w:pStyle w:val="32"/>
              <w:spacing w:line="440" w:lineRule="exact"/>
              <w:jc w:val="center"/>
              <w:rPr>
                <w:rFonts w:hAnsi="宋体" w:cs="宋体"/>
                <w:bCs/>
                <w:sz w:val="24"/>
                <w:szCs w:val="24"/>
                <w:lang w:bidi="ar"/>
              </w:rPr>
            </w:pPr>
          </w:p>
        </w:tc>
      </w:tr>
    </w:tbl>
    <w:p>
      <w:pPr>
        <w:spacing w:line="460" w:lineRule="atLeast"/>
        <w:ind w:firstLine="480" w:firstLineChars="200"/>
        <w:jc w:val="left"/>
        <w:rPr>
          <w:rFonts w:ascii="宋体" w:hAnsi="宋体" w:cs="宋体"/>
          <w:sz w:val="24"/>
        </w:rPr>
      </w:pPr>
      <w:r>
        <w:rPr>
          <w:rFonts w:hint="eastAsia" w:ascii="宋体" w:hAnsi="宋体" w:cs="宋体"/>
          <w:sz w:val="24"/>
        </w:rPr>
        <w:t>备注：本工程量为暂估工程量，结算时按实际发生工程量结合中标单价确定结算总价。如年度实际工程总价超出采购预算金额的，按照采购预算金额</w:t>
      </w:r>
      <w:r>
        <w:rPr>
          <w:rFonts w:hint="eastAsia" w:ascii="宋体" w:hAnsi="宋体" w:cs="宋体"/>
          <w:sz w:val="24"/>
          <w:lang w:val="zh-TW"/>
        </w:rPr>
        <w:t>封顶结算。</w:t>
      </w:r>
    </w:p>
    <w:p>
      <w:pPr>
        <w:autoSpaceDE w:val="0"/>
        <w:spacing w:line="460" w:lineRule="atLeast"/>
        <w:jc w:val="left"/>
        <w:rPr>
          <w:rFonts w:ascii="宋体" w:hAnsi="宋体" w:cs="宋体"/>
          <w:b/>
          <w:sz w:val="24"/>
          <w:lang w:bidi="ar"/>
        </w:rPr>
      </w:pPr>
      <w:r>
        <w:rPr>
          <w:rFonts w:hint="eastAsia" w:ascii="宋体" w:hAnsi="宋体" w:cs="宋体"/>
          <w:b/>
          <w:sz w:val="24"/>
          <w:lang w:bidi="ar"/>
        </w:rPr>
        <w:t>九、付款方式及其他商务要求</w:t>
      </w:r>
    </w:p>
    <w:p>
      <w:pPr>
        <w:spacing w:line="460" w:lineRule="atLeast"/>
        <w:ind w:firstLine="480" w:firstLineChars="200"/>
        <w:jc w:val="left"/>
        <w:rPr>
          <w:rFonts w:ascii="宋体" w:hAnsi="宋体" w:cs="宋体"/>
          <w:sz w:val="24"/>
        </w:rPr>
      </w:pPr>
      <w:r>
        <w:rPr>
          <w:rFonts w:hint="eastAsia" w:ascii="宋体" w:hAnsi="宋体" w:cs="宋体"/>
          <w:sz w:val="24"/>
        </w:rPr>
        <w:t>1、服务期限及地点：</w:t>
      </w:r>
    </w:p>
    <w:p>
      <w:pPr>
        <w:spacing w:line="460" w:lineRule="atLeast"/>
        <w:ind w:firstLine="480" w:firstLineChars="200"/>
        <w:rPr>
          <w:rFonts w:ascii="宋体" w:hAnsi="宋体" w:cs="宋体"/>
          <w:bCs/>
          <w:sz w:val="24"/>
          <w:lang w:bidi="ar"/>
        </w:rPr>
      </w:pPr>
      <w:r>
        <w:rPr>
          <w:rFonts w:hint="eastAsia" w:ascii="宋体" w:hAnsi="宋体" w:cs="宋体"/>
          <w:bCs/>
          <w:sz w:val="24"/>
          <w:lang w:bidi="ar"/>
        </w:rPr>
        <w:t>（1）进度要求：2023年12月31日前完成。</w:t>
      </w:r>
    </w:p>
    <w:p>
      <w:pPr>
        <w:spacing w:line="460" w:lineRule="atLeast"/>
        <w:ind w:firstLine="480" w:firstLineChars="200"/>
        <w:rPr>
          <w:rFonts w:ascii="宋体" w:hAnsi="宋体" w:cs="宋体"/>
          <w:bCs/>
          <w:sz w:val="24"/>
          <w:lang w:bidi="ar"/>
        </w:rPr>
      </w:pPr>
      <w:r>
        <w:rPr>
          <w:rFonts w:hint="eastAsia" w:ascii="宋体" w:hAnsi="宋体" w:cs="宋体"/>
          <w:bCs/>
          <w:sz w:val="24"/>
          <w:lang w:bidi="ar"/>
        </w:rPr>
        <w:t>（2）质量维护期：1年</w:t>
      </w:r>
    </w:p>
    <w:p>
      <w:pPr>
        <w:spacing w:line="460" w:lineRule="atLeast"/>
        <w:ind w:firstLine="480" w:firstLineChars="200"/>
        <w:jc w:val="left"/>
        <w:rPr>
          <w:rFonts w:ascii="宋体" w:hAnsi="宋体" w:cs="宋体"/>
          <w:sz w:val="24"/>
        </w:rPr>
      </w:pPr>
      <w:r>
        <w:rPr>
          <w:rFonts w:hint="eastAsia" w:ascii="宋体" w:hAnsi="宋体" w:cs="宋体"/>
          <w:sz w:val="24"/>
        </w:rPr>
        <w:t>2、履约保证金及付款方式:</w:t>
      </w:r>
    </w:p>
    <w:p>
      <w:pPr>
        <w:spacing w:line="460" w:lineRule="atLeast"/>
        <w:ind w:firstLine="480" w:firstLineChars="200"/>
        <w:rPr>
          <w:rFonts w:ascii="宋体" w:hAnsi="宋体" w:cs="宋体"/>
          <w:bCs/>
          <w:sz w:val="24"/>
          <w:lang w:bidi="ar"/>
        </w:rPr>
      </w:pPr>
      <w:r>
        <w:rPr>
          <w:rFonts w:hint="eastAsia" w:ascii="宋体" w:hAnsi="宋体" w:cs="宋体"/>
          <w:bCs/>
          <w:sz w:val="24"/>
          <w:lang w:bidi="ar"/>
        </w:rPr>
        <w:t>（1）履约保证金：无</w:t>
      </w:r>
    </w:p>
    <w:p>
      <w:pPr>
        <w:spacing w:line="460" w:lineRule="atLeast"/>
        <w:ind w:firstLine="480" w:firstLineChars="200"/>
        <w:rPr>
          <w:rFonts w:ascii="宋体" w:hAnsi="宋体" w:cs="宋体"/>
          <w:bCs/>
          <w:sz w:val="24"/>
          <w:lang w:bidi="ar"/>
        </w:rPr>
      </w:pPr>
      <w:r>
        <w:rPr>
          <w:rFonts w:hint="eastAsia" w:ascii="宋体" w:hAnsi="宋体" w:cs="宋体"/>
          <w:bCs/>
          <w:sz w:val="24"/>
          <w:lang w:bidi="ar"/>
        </w:rPr>
        <w:t>（2）预付款：</w:t>
      </w:r>
    </w:p>
    <w:p>
      <w:pPr>
        <w:spacing w:line="460" w:lineRule="atLeast"/>
        <w:ind w:firstLine="480" w:firstLineChars="200"/>
        <w:rPr>
          <w:rFonts w:ascii="宋体" w:hAnsi="宋体" w:cs="宋体"/>
          <w:bCs/>
          <w:sz w:val="24"/>
          <w:lang w:bidi="ar"/>
        </w:rPr>
      </w:pPr>
      <w:r>
        <w:rPr>
          <w:rFonts w:hint="eastAsia" w:ascii="宋体" w:hAnsi="宋体" w:cs="宋体"/>
          <w:bCs/>
          <w:sz w:val="24"/>
          <w:lang w:bidi="ar"/>
        </w:rPr>
        <w:t>1）支付条件：供应商提交银行、保险公司等金融机构出具的预付款保函；</w:t>
      </w:r>
    </w:p>
    <w:p>
      <w:pPr>
        <w:spacing w:line="460" w:lineRule="atLeast"/>
        <w:ind w:firstLine="480" w:firstLineChars="200"/>
        <w:rPr>
          <w:rFonts w:ascii="宋体" w:hAnsi="宋体" w:cs="宋体"/>
          <w:bCs/>
          <w:sz w:val="24"/>
          <w:lang w:bidi="ar"/>
        </w:rPr>
      </w:pPr>
      <w:r>
        <w:rPr>
          <w:rFonts w:hint="eastAsia" w:ascii="宋体" w:hAnsi="宋体" w:cs="宋体"/>
          <w:bCs/>
          <w:sz w:val="24"/>
          <w:lang w:bidi="ar"/>
        </w:rPr>
        <w:t>2）支付时间、数额：合同生效并具备实施条件后15个工作日内，采购人向中标人支付预算金额50%的预付款，合同期满时按结算总价支付余款；如结算总价低于已付费用则退还多余部分。备注：签订合同时，供应商明确表示无需预付款或者主动要求降低预付款比例的，采购单位可不适用前述规定。</w:t>
      </w:r>
    </w:p>
    <w:p>
      <w:pPr>
        <w:spacing w:line="460" w:lineRule="atLeast"/>
        <w:ind w:firstLine="480" w:firstLineChars="200"/>
        <w:rPr>
          <w:rFonts w:ascii="宋体" w:hAnsi="宋体" w:cs="宋体"/>
          <w:bCs/>
          <w:sz w:val="24"/>
          <w:lang w:bidi="ar"/>
        </w:rPr>
      </w:pPr>
      <w:r>
        <w:rPr>
          <w:rFonts w:hint="eastAsia" w:ascii="宋体" w:hAnsi="宋体" w:cs="宋体"/>
          <w:bCs/>
          <w:sz w:val="24"/>
          <w:lang w:bidi="ar"/>
        </w:rPr>
        <w:t>（3）结算方式：</w:t>
      </w:r>
    </w:p>
    <w:p>
      <w:pPr>
        <w:spacing w:line="460" w:lineRule="atLeast"/>
        <w:ind w:firstLine="480" w:firstLineChars="200"/>
        <w:rPr>
          <w:rFonts w:ascii="宋体" w:hAnsi="宋体" w:cs="宋体"/>
          <w:bCs/>
          <w:sz w:val="24"/>
          <w:lang w:bidi="ar"/>
        </w:rPr>
      </w:pPr>
      <w:r>
        <w:rPr>
          <w:rFonts w:hint="eastAsia" w:ascii="宋体" w:hAnsi="宋体" w:cs="宋体"/>
          <w:bCs/>
          <w:sz w:val="24"/>
          <w:lang w:bidi="ar"/>
        </w:rPr>
        <w:t>根据中标人实际所做工程量与中标单价进行结算。如年度实际工程总价超出采购预算金额的，按照采购预算金额封顶结算。</w:t>
      </w:r>
    </w:p>
    <w:p>
      <w:pPr>
        <w:spacing w:line="460" w:lineRule="atLeast"/>
        <w:ind w:firstLine="480" w:firstLineChars="200"/>
        <w:jc w:val="left"/>
        <w:rPr>
          <w:rFonts w:ascii="宋体" w:hAnsi="宋体" w:cs="宋体"/>
          <w:sz w:val="24"/>
        </w:rPr>
      </w:pPr>
      <w:r>
        <w:rPr>
          <w:rFonts w:hint="eastAsia" w:ascii="宋体" w:hAnsi="宋体" w:cs="宋体"/>
          <w:sz w:val="24"/>
        </w:rPr>
        <w:t>3、验收标准：</w:t>
      </w:r>
    </w:p>
    <w:p>
      <w:pPr>
        <w:spacing w:line="460" w:lineRule="atLeast"/>
        <w:ind w:firstLine="720" w:firstLineChars="300"/>
        <w:jc w:val="left"/>
        <w:rPr>
          <w:rFonts w:ascii="宋体" w:hAnsi="宋体" w:cs="宋体"/>
          <w:sz w:val="24"/>
        </w:rPr>
      </w:pPr>
      <w:r>
        <w:rPr>
          <w:rFonts w:hint="eastAsia" w:ascii="宋体" w:hAnsi="宋体" w:cs="宋体"/>
          <w:sz w:val="24"/>
        </w:rPr>
        <w:t>最终成果通过采购人验收审核。</w:t>
      </w:r>
    </w:p>
    <w:p>
      <w:pPr>
        <w:autoSpaceDE w:val="0"/>
        <w:spacing w:line="460" w:lineRule="atLeast"/>
        <w:jc w:val="left"/>
        <w:rPr>
          <w:rFonts w:ascii="宋体" w:hAnsi="宋体" w:cs="宋体"/>
          <w:b/>
          <w:sz w:val="24"/>
        </w:rPr>
      </w:pPr>
      <w:r>
        <w:rPr>
          <w:rFonts w:hint="eastAsia" w:ascii="宋体" w:hAnsi="宋体" w:cs="宋体"/>
          <w:b/>
          <w:sz w:val="24"/>
          <w:lang w:bidi="ar"/>
        </w:rPr>
        <w:t>十、为落实政府采购政策需满足的要求：</w:t>
      </w:r>
    </w:p>
    <w:p>
      <w:pPr>
        <w:autoSpaceDE w:val="0"/>
        <w:spacing w:line="460" w:lineRule="atLeast"/>
        <w:ind w:firstLine="480" w:firstLineChars="200"/>
        <w:jc w:val="left"/>
        <w:rPr>
          <w:rFonts w:ascii="宋体" w:hAnsi="宋体" w:cs="宋体"/>
          <w:sz w:val="24"/>
        </w:rPr>
      </w:pPr>
      <w:r>
        <w:rPr>
          <w:rFonts w:hint="eastAsia" w:ascii="宋体" w:hAnsi="宋体" w:cs="宋体"/>
          <w:sz w:val="24"/>
          <w:lang w:bidi="ar"/>
        </w:rPr>
        <w:t>节约能源、保护环境：本项目如需采购节能产品、环境标志产品品目清单内的产品的，采购需求要求供应商所投的相应产品须提供经国家确定的认证机构出具的、处于有效期之内的节能产品、环境标志产品认证证书。属于强制采购品目清单中的产品如未获得证书，其响应将被拒绝。</w:t>
      </w:r>
    </w:p>
    <w:p>
      <w:pPr>
        <w:autoSpaceDE w:val="0"/>
        <w:spacing w:line="460" w:lineRule="atLeast"/>
        <w:ind w:firstLine="480" w:firstLineChars="200"/>
        <w:jc w:val="left"/>
        <w:rPr>
          <w:rFonts w:ascii="宋体" w:hAnsi="宋体" w:cs="宋体"/>
          <w:sz w:val="24"/>
        </w:rPr>
      </w:pPr>
      <w:r>
        <w:rPr>
          <w:rFonts w:hint="eastAsia" w:ascii="宋体" w:hAnsi="宋体" w:cs="宋体"/>
          <w:sz w:val="24"/>
          <w:lang w:bidi="ar"/>
        </w:rPr>
        <w:t>促进中小企业发展、支持监狱企业发展、促进残疾人就业：供应商为中小企业（或残疾人福利性单位、监狱企业）且提供相关法律法规和招标文件规定的相关材料，价格按比例扣除后评审。</w:t>
      </w:r>
    </w:p>
    <w:p>
      <w:pPr>
        <w:autoSpaceDE w:val="0"/>
        <w:spacing w:line="460" w:lineRule="atLeast"/>
        <w:ind w:firstLine="480" w:firstLineChars="200"/>
        <w:jc w:val="left"/>
        <w:rPr>
          <w:b/>
          <w:bCs/>
          <w:sz w:val="24"/>
        </w:rPr>
      </w:pPr>
      <w:r>
        <w:rPr>
          <w:rFonts w:hint="eastAsia" w:ascii="宋体" w:hAnsi="宋体" w:cs="宋体"/>
          <w:sz w:val="24"/>
          <w:lang w:bidi="ar"/>
        </w:rPr>
        <w:t>支持中小企业信用融资：详见招标文件《政府采购支持中小企业信用融资相关事项通知》</w:t>
      </w:r>
    </w:p>
    <w:p>
      <w:pPr>
        <w:pStyle w:val="4"/>
        <w:rPr>
          <w:rFonts w:asciiTheme="minorEastAsia" w:hAnsiTheme="minorEastAsia" w:eastAsiaTheme="minorEastAsia" w:cstheme="minorEastAsia"/>
          <w:b w:val="0"/>
          <w:bCs w:val="0"/>
          <w:sz w:val="24"/>
          <w:szCs w:val="24"/>
          <w:lang w:val="en-US"/>
        </w:rPr>
      </w:pPr>
    </w:p>
    <w:p>
      <w:pPr>
        <w:spacing w:line="360" w:lineRule="auto"/>
        <w:jc w:val="center"/>
        <w:outlineLvl w:val="0"/>
        <w:rPr>
          <w:rFonts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第四部分   评标办法</w:t>
      </w:r>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906"/>
        <w:gridCol w:w="793"/>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7" w:hRule="atLeast"/>
        </w:trPr>
        <w:tc>
          <w:tcPr>
            <w:tcW w:w="467" w:type="pct"/>
            <w:vAlign w:val="center"/>
          </w:tcPr>
          <w:p>
            <w:pPr>
              <w:jc w:val="left"/>
              <w:outlineLvl w:val="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序号</w:t>
            </w:r>
          </w:p>
        </w:tc>
        <w:tc>
          <w:tcPr>
            <w:tcW w:w="3028" w:type="pct"/>
            <w:vAlign w:val="center"/>
          </w:tcPr>
          <w:p>
            <w:pPr>
              <w:ind w:firstLine="1560" w:firstLineChars="650"/>
              <w:jc w:val="left"/>
              <w:outlineLvl w:val="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评标标准</w:t>
            </w:r>
          </w:p>
        </w:tc>
        <w:tc>
          <w:tcPr>
            <w:tcW w:w="407" w:type="pct"/>
            <w:vAlign w:val="center"/>
          </w:tcPr>
          <w:p>
            <w:pPr>
              <w:jc w:val="center"/>
              <w:outlineLvl w:val="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权重</w:t>
            </w:r>
          </w:p>
        </w:tc>
        <w:tc>
          <w:tcPr>
            <w:tcW w:w="1095" w:type="pct"/>
            <w:vAlign w:val="center"/>
          </w:tcPr>
          <w:p>
            <w:pPr>
              <w:jc w:val="center"/>
              <w:outlineLvl w:val="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投标文件中评标标准相应的商务技术资料目录</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7" w:type="pct"/>
            <w:vAlign w:val="center"/>
          </w:tcPr>
          <w:p>
            <w:pPr>
              <w:ind w:firstLine="360" w:firstLineChars="150"/>
              <w:jc w:val="left"/>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3028" w:type="pct"/>
            <w:vAlign w:val="center"/>
          </w:tcPr>
          <w:p>
            <w:pPr>
              <w:pStyle w:val="61"/>
              <w:spacing w:line="240" w:lineRule="auto"/>
              <w:ind w:firstLine="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类似业绩：</w:t>
            </w:r>
          </w:p>
          <w:p>
            <w:pPr>
              <w:pStyle w:val="61"/>
              <w:spacing w:line="240" w:lineRule="auto"/>
              <w:ind w:firstLine="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投标人自20</w:t>
            </w:r>
            <w:r>
              <w:rPr>
                <w:rFonts w:hint="eastAsia" w:asciiTheme="minorEastAsia" w:hAnsiTheme="minorEastAsia" w:eastAsiaTheme="minorEastAsia" w:cstheme="minorEastAsia"/>
                <w:color w:val="000000" w:themeColor="text1"/>
                <w:szCs w:val="24"/>
                <w:lang w:val="en-US"/>
                <w14:textFill>
                  <w14:solidFill>
                    <w14:schemeClr w14:val="tx1"/>
                  </w14:solidFill>
                </w14:textFill>
              </w:rPr>
              <w:t>20</w:t>
            </w:r>
            <w:r>
              <w:rPr>
                <w:rFonts w:hint="eastAsia" w:asciiTheme="minorEastAsia" w:hAnsiTheme="minorEastAsia" w:eastAsiaTheme="minorEastAsia" w:cstheme="minorEastAsia"/>
                <w:color w:val="000000" w:themeColor="text1"/>
                <w:szCs w:val="24"/>
                <w14:textFill>
                  <w14:solidFill>
                    <w14:schemeClr w14:val="tx1"/>
                  </w14:solidFill>
                </w14:textFill>
              </w:rPr>
              <w:t>年1月1日至今（以合同签订时间为准）承担过同类项目，每提供1个得</w:t>
            </w:r>
            <w:r>
              <w:rPr>
                <w:rFonts w:hint="eastAsia" w:asciiTheme="minorEastAsia" w:hAnsiTheme="minorEastAsia" w:eastAsiaTheme="minorEastAsia" w:cstheme="minorEastAsia"/>
                <w:color w:val="000000" w:themeColor="text1"/>
                <w:szCs w:val="24"/>
                <w:lang w:val="en-US"/>
                <w14:textFill>
                  <w14:solidFill>
                    <w14:schemeClr w14:val="tx1"/>
                  </w14:solidFill>
                </w14:textFill>
              </w:rPr>
              <w:t>0.5</w:t>
            </w:r>
            <w:r>
              <w:rPr>
                <w:rFonts w:hint="eastAsia" w:asciiTheme="minorEastAsia" w:hAnsiTheme="minorEastAsia" w:eastAsiaTheme="minorEastAsia" w:cstheme="minorEastAsia"/>
                <w:color w:val="000000" w:themeColor="text1"/>
                <w:szCs w:val="24"/>
                <w14:textFill>
                  <w14:solidFill>
                    <w14:schemeClr w14:val="tx1"/>
                  </w14:solidFill>
                </w14:textFill>
              </w:rPr>
              <w:t>分，最高得</w:t>
            </w:r>
            <w:r>
              <w:rPr>
                <w:rFonts w:hint="eastAsia" w:asciiTheme="minorEastAsia" w:hAnsiTheme="minorEastAsia" w:eastAsiaTheme="minorEastAsia" w:cstheme="minorEastAsia"/>
                <w:color w:val="000000" w:themeColor="text1"/>
                <w:szCs w:val="24"/>
                <w:lang w:val="en-US"/>
                <w14:textFill>
                  <w14:solidFill>
                    <w14:schemeClr w14:val="tx1"/>
                  </w14:solidFill>
                </w14:textFill>
              </w:rPr>
              <w:t>1</w:t>
            </w:r>
            <w:r>
              <w:rPr>
                <w:rFonts w:hint="eastAsia" w:asciiTheme="minorEastAsia" w:hAnsiTheme="minorEastAsia" w:eastAsiaTheme="minorEastAsia" w:cstheme="minorEastAsia"/>
                <w:color w:val="000000" w:themeColor="text1"/>
                <w:szCs w:val="24"/>
                <w14:textFill>
                  <w14:solidFill>
                    <w14:schemeClr w14:val="tx1"/>
                  </w14:solidFill>
                </w14:textFill>
              </w:rPr>
              <w:t>分。</w:t>
            </w:r>
          </w:p>
          <w:p>
            <w:pPr>
              <w:jc w:val="left"/>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（提供合同复印件加盖公章）</w:t>
            </w:r>
          </w:p>
        </w:tc>
        <w:tc>
          <w:tcPr>
            <w:tcW w:w="407" w:type="pct"/>
            <w:vAlign w:val="center"/>
          </w:tcPr>
          <w:p>
            <w:pPr>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1分</w:t>
            </w:r>
          </w:p>
        </w:tc>
        <w:tc>
          <w:tcPr>
            <w:tcW w:w="1095" w:type="pct"/>
            <w:vAlign w:val="center"/>
          </w:tcPr>
          <w:p>
            <w:pPr>
              <w:jc w:val="center"/>
              <w:outlineLvl w:val="0"/>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7" w:type="pct"/>
            <w:vAlign w:val="center"/>
          </w:tcPr>
          <w:p>
            <w:pPr>
              <w:ind w:firstLine="360" w:firstLineChars="150"/>
              <w:jc w:val="left"/>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3028" w:type="pct"/>
            <w:vAlign w:val="center"/>
          </w:tcPr>
          <w:p>
            <w:pPr>
              <w:pStyle w:val="61"/>
              <w:spacing w:line="240" w:lineRule="auto"/>
              <w:ind w:firstLine="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资质证书：</w:t>
            </w:r>
          </w:p>
          <w:p>
            <w:pPr>
              <w:jc w:val="left"/>
              <w:outlineLvl w:val="0"/>
              <w:rPr>
                <w:rFonts w:hint="eastAsia" w:asciiTheme="minorEastAsia" w:hAnsiTheme="minorEastAsia" w:eastAsiaTheme="minorEastAsia" w:cstheme="minorEastAsia"/>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zh-CN" w:eastAsia="zh-CN" w:bidi="ar-SA"/>
                <w14:textFill>
                  <w14:solidFill>
                    <w14:schemeClr w14:val="tx1"/>
                  </w14:solidFill>
                </w14:textFill>
              </w:rPr>
              <w:t>投标人具有：ISO9001质量管理体系证书、城乡规划编制资质证书（证书须在有效期内），同时具备两个证书得6分，单个证书得3分。</w:t>
            </w:r>
          </w:p>
          <w:p>
            <w:pPr>
              <w:jc w:val="left"/>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（提供有效期内证书复印件加盖公章）</w:t>
            </w:r>
          </w:p>
        </w:tc>
        <w:tc>
          <w:tcPr>
            <w:tcW w:w="407" w:type="pct"/>
            <w:vAlign w:val="center"/>
          </w:tcPr>
          <w:p>
            <w:pPr>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6分</w:t>
            </w:r>
          </w:p>
        </w:tc>
        <w:tc>
          <w:tcPr>
            <w:tcW w:w="1095" w:type="pct"/>
            <w:vAlign w:val="center"/>
          </w:tcPr>
          <w:p>
            <w:pPr>
              <w:jc w:val="center"/>
              <w:outlineLvl w:val="0"/>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7" w:type="pct"/>
            <w:vAlign w:val="center"/>
          </w:tcPr>
          <w:p>
            <w:pPr>
              <w:ind w:firstLine="360" w:firstLineChars="150"/>
              <w:jc w:val="left"/>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p>
        </w:tc>
        <w:tc>
          <w:tcPr>
            <w:tcW w:w="3028" w:type="pct"/>
            <w:vAlign w:val="center"/>
          </w:tcPr>
          <w:p>
            <w:pPr>
              <w:pStyle w:val="61"/>
              <w:spacing w:line="240" w:lineRule="auto"/>
              <w:ind w:firstLine="0"/>
              <w:rPr>
                <w:rFonts w:hint="eastAsia" w:asciiTheme="minorEastAsia" w:hAnsiTheme="minorEastAsia" w:eastAsiaTheme="minorEastAsia" w:cstheme="minorEastAsia"/>
                <w:color w:val="000000" w:themeColor="text1"/>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荣誉</w:t>
            </w:r>
            <w:r>
              <w:rPr>
                <w:rFonts w:hint="eastAsia" w:asciiTheme="minorEastAsia" w:hAnsiTheme="minorEastAsia" w:eastAsiaTheme="minorEastAsia" w:cstheme="minorEastAsia"/>
                <w:color w:val="000000" w:themeColor="text1"/>
                <w:szCs w:val="24"/>
                <w:lang w:val="en-US"/>
                <w14:textFill>
                  <w14:solidFill>
                    <w14:schemeClr w14:val="tx1"/>
                  </w14:solidFill>
                </w14:textFill>
              </w:rPr>
              <w:t>或奖项:</w:t>
            </w:r>
          </w:p>
          <w:p>
            <w:pPr>
              <w:pStyle w:val="61"/>
              <w:spacing w:line="240" w:lineRule="auto"/>
              <w:ind w:firstLine="0"/>
              <w:rPr>
                <w:rFonts w:hint="eastAsia" w:asciiTheme="minorEastAsia" w:hAnsiTheme="minorEastAsia" w:eastAsiaTheme="minorEastAsia" w:cstheme="minorEastAsia"/>
                <w:b/>
                <w:bCs/>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lang w:val="en-US"/>
                <w14:textFill>
                  <w14:solidFill>
                    <w14:schemeClr w14:val="tx1"/>
                  </w14:solidFill>
                </w14:textFill>
              </w:rPr>
              <w:t>投标人获得过市级及以上荣誉或奖项的</w:t>
            </w:r>
            <w:r>
              <w:rPr>
                <w:rFonts w:hint="eastAsia" w:asciiTheme="minorEastAsia" w:hAnsiTheme="minorEastAsia" w:eastAsiaTheme="minorEastAsia" w:cstheme="minorEastAsia"/>
                <w:color w:val="000000" w:themeColor="text1"/>
                <w:szCs w:val="24"/>
                <w14:textFill>
                  <w14:solidFill>
                    <w14:schemeClr w14:val="tx1"/>
                  </w14:solidFill>
                </w14:textFill>
              </w:rPr>
              <w:t>，提供一个得</w:t>
            </w:r>
            <w:r>
              <w:rPr>
                <w:rFonts w:hint="eastAsia" w:asciiTheme="minorEastAsia" w:hAnsiTheme="minorEastAsia" w:eastAsiaTheme="minorEastAsia" w:cstheme="minorEastAsia"/>
                <w:color w:val="000000" w:themeColor="text1"/>
                <w:szCs w:val="24"/>
                <w:lang w:val="en-US"/>
                <w14:textFill>
                  <w14:solidFill>
                    <w14:schemeClr w14:val="tx1"/>
                  </w14:solidFill>
                </w14:textFill>
              </w:rPr>
              <w:t>1</w:t>
            </w:r>
            <w:r>
              <w:rPr>
                <w:rFonts w:hint="eastAsia" w:asciiTheme="minorEastAsia" w:hAnsiTheme="minorEastAsia" w:eastAsiaTheme="minorEastAsia" w:cstheme="minorEastAsia"/>
                <w:color w:val="000000" w:themeColor="text1"/>
                <w:szCs w:val="24"/>
                <w14:textFill>
                  <w14:solidFill>
                    <w14:schemeClr w14:val="tx1"/>
                  </w14:solidFill>
                </w14:textFill>
              </w:rPr>
              <w:t>分，最高得</w:t>
            </w:r>
            <w:r>
              <w:rPr>
                <w:rFonts w:hint="eastAsia" w:asciiTheme="minorEastAsia" w:hAnsiTheme="minorEastAsia" w:eastAsiaTheme="minorEastAsia" w:cstheme="minorEastAsia"/>
                <w:color w:val="000000" w:themeColor="text1"/>
                <w:szCs w:val="24"/>
                <w:lang w:val="en-US"/>
                <w14:textFill>
                  <w14:solidFill>
                    <w14:schemeClr w14:val="tx1"/>
                  </w14:solidFill>
                </w14:textFill>
              </w:rPr>
              <w:t>2</w:t>
            </w:r>
            <w:r>
              <w:rPr>
                <w:rFonts w:hint="eastAsia" w:asciiTheme="minorEastAsia" w:hAnsiTheme="minorEastAsia" w:eastAsiaTheme="minorEastAsia" w:cstheme="minorEastAsia"/>
                <w:color w:val="000000" w:themeColor="text1"/>
                <w:szCs w:val="24"/>
                <w14:textFill>
                  <w14:solidFill>
                    <w14:schemeClr w14:val="tx1"/>
                  </w14:solidFill>
                </w14:textFill>
              </w:rPr>
              <w:t>分。</w:t>
            </w:r>
          </w:p>
          <w:p>
            <w:pPr>
              <w:jc w:val="left"/>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（提供荣誉或奖项证书复印件加盖公章）</w:t>
            </w:r>
          </w:p>
        </w:tc>
        <w:tc>
          <w:tcPr>
            <w:tcW w:w="407" w:type="pct"/>
            <w:vAlign w:val="center"/>
          </w:tcPr>
          <w:p>
            <w:pPr>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2分</w:t>
            </w:r>
          </w:p>
        </w:tc>
        <w:tc>
          <w:tcPr>
            <w:tcW w:w="1095" w:type="pct"/>
            <w:vAlign w:val="center"/>
          </w:tcPr>
          <w:p>
            <w:pPr>
              <w:jc w:val="center"/>
              <w:outlineLvl w:val="0"/>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7" w:type="pct"/>
            <w:vAlign w:val="center"/>
          </w:tcPr>
          <w:p>
            <w:pPr>
              <w:ind w:firstLine="360" w:firstLineChars="150"/>
              <w:jc w:val="left"/>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w:t>
            </w:r>
          </w:p>
        </w:tc>
        <w:tc>
          <w:tcPr>
            <w:tcW w:w="3028" w:type="pct"/>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对项目背景现状及目标内容的理解：</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1）对项目背景及实施现状把握透彻：理解透彻得5分，理解基本透彻得3分，理解略有偏差得1分，理解错误不得分；</w:t>
            </w:r>
          </w:p>
          <w:p>
            <w:pPr>
              <w:pStyle w:val="24"/>
              <w:spacing w:line="240" w:lineRule="auto"/>
              <w:ind w:left="-53" w:leftChars="-25" w:firstLine="0" w:firstLineChar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2）对项目的目标任务定位清晰：目标任务定位清晰得5分，目标任务定位基本清晰得3分，目标任务定位不够清晰得1分，目标任务定位错误不得分。</w:t>
            </w:r>
          </w:p>
        </w:tc>
        <w:tc>
          <w:tcPr>
            <w:tcW w:w="407" w:type="pct"/>
            <w:vAlign w:val="center"/>
          </w:tcPr>
          <w:p>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10分</w:t>
            </w:r>
          </w:p>
        </w:tc>
        <w:tc>
          <w:tcPr>
            <w:tcW w:w="1095" w:type="pct"/>
            <w:vAlign w:val="center"/>
          </w:tcPr>
          <w:p>
            <w:pPr>
              <w:jc w:val="center"/>
              <w:outlineLvl w:val="0"/>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7" w:type="pct"/>
            <w:vAlign w:val="center"/>
          </w:tcPr>
          <w:p>
            <w:pPr>
              <w:ind w:firstLine="360" w:firstLineChars="150"/>
              <w:jc w:val="left"/>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w:t>
            </w:r>
          </w:p>
        </w:tc>
        <w:tc>
          <w:tcPr>
            <w:tcW w:w="3028" w:type="pct"/>
            <w:vAlign w:val="center"/>
          </w:tcPr>
          <w:p>
            <w:pPr>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技术路线及工作思路：</w:t>
            </w:r>
          </w:p>
          <w:p>
            <w:pPr>
              <w:pStyle w:val="256"/>
              <w:numPr>
                <w:ilvl w:val="0"/>
                <w:numId w:val="2"/>
              </w:numPr>
              <w:spacing w:line="240" w:lineRule="auto"/>
              <w:ind w:firstLineChars="0"/>
              <w:outlineLvl w:val="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计算方法：计算方法合理，科学性强得3分，计算方法基本合理科学得2分，计算方法不够合理科学得1分，计算方法不合理不得分； </w:t>
            </w:r>
          </w:p>
          <w:p>
            <w:pPr>
              <w:pStyle w:val="256"/>
              <w:numPr>
                <w:ilvl w:val="0"/>
                <w:numId w:val="2"/>
              </w:numPr>
              <w:spacing w:line="240" w:lineRule="auto"/>
              <w:ind w:firstLineChars="0"/>
              <w:outlineLvl w:val="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技术路线：技术路线科学可行得3分，技术路线基本科学可行得2分，技术路线不够科学可行得1分，技术路线错误不得分；</w:t>
            </w:r>
          </w:p>
          <w:p>
            <w:pPr>
              <w:pStyle w:val="256"/>
              <w:numPr>
                <w:ilvl w:val="0"/>
                <w:numId w:val="2"/>
              </w:numPr>
              <w:spacing w:line="240" w:lineRule="auto"/>
              <w:ind w:firstLineChars="0"/>
              <w:outlineLvl w:val="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工作思路：工作思路清晰得3分，工作思路基本清晰得2分，工作思路不够清晰得1分，工作思路错误不得分。</w:t>
            </w:r>
          </w:p>
        </w:tc>
        <w:tc>
          <w:tcPr>
            <w:tcW w:w="407" w:type="pct"/>
            <w:vAlign w:val="center"/>
          </w:tcPr>
          <w:p>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9分</w:t>
            </w:r>
          </w:p>
        </w:tc>
        <w:tc>
          <w:tcPr>
            <w:tcW w:w="1095" w:type="pct"/>
            <w:vAlign w:val="center"/>
          </w:tcPr>
          <w:p>
            <w:pPr>
              <w:jc w:val="center"/>
              <w:outlineLvl w:val="0"/>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7" w:type="pct"/>
            <w:vAlign w:val="center"/>
          </w:tcPr>
          <w:p>
            <w:pPr>
              <w:ind w:firstLine="360" w:firstLineChars="150"/>
              <w:jc w:val="left"/>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w:t>
            </w:r>
          </w:p>
        </w:tc>
        <w:tc>
          <w:tcPr>
            <w:tcW w:w="3028" w:type="pct"/>
            <w:vAlign w:val="center"/>
          </w:tcPr>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针对本项目特点提出的工作重点、难点：</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1)非常切合背景得3分，基本切合背景得2分，不够切合背景得1分，完全不切合不得分；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2)非常切合</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项</w:t>
            </w:r>
            <w:r>
              <w:rPr>
                <w:rFonts w:hint="eastAsia" w:asciiTheme="minorEastAsia" w:hAnsiTheme="minorEastAsia" w:eastAsiaTheme="minorEastAsia" w:cstheme="minorEastAsia"/>
                <w:color w:val="000000" w:themeColor="text1"/>
                <w:sz w:val="24"/>
                <w14:textFill>
                  <w14:solidFill>
                    <w14:schemeClr w14:val="tx1"/>
                  </w14:solidFill>
                </w14:textFill>
              </w:rPr>
              <w:t>目得3分，基本切合</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项</w:t>
            </w:r>
            <w:r>
              <w:rPr>
                <w:rFonts w:hint="eastAsia" w:asciiTheme="minorEastAsia" w:hAnsiTheme="minorEastAsia" w:eastAsiaTheme="minorEastAsia" w:cstheme="minorEastAsia"/>
                <w:color w:val="000000" w:themeColor="text1"/>
                <w:sz w:val="24"/>
                <w14:textFill>
                  <w14:solidFill>
                    <w14:schemeClr w14:val="tx1"/>
                  </w14:solidFill>
                </w14:textFill>
              </w:rPr>
              <w:t>目得2分，不够切合</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项</w:t>
            </w:r>
            <w:r>
              <w:rPr>
                <w:rFonts w:hint="eastAsia" w:asciiTheme="minorEastAsia" w:hAnsiTheme="minorEastAsia" w:eastAsiaTheme="minorEastAsia" w:cstheme="minorEastAsia"/>
                <w:color w:val="000000" w:themeColor="text1"/>
                <w:sz w:val="24"/>
                <w14:textFill>
                  <w14:solidFill>
                    <w14:schemeClr w14:val="tx1"/>
                  </w14:solidFill>
                </w14:textFill>
              </w:rPr>
              <w:t xml:space="preserve">目得1分，不切合不得分； </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3）分析全面得3分，基本全面得2分，不够全面得1分，未分析不得分。</w:t>
            </w:r>
          </w:p>
        </w:tc>
        <w:tc>
          <w:tcPr>
            <w:tcW w:w="407" w:type="pct"/>
            <w:vAlign w:val="center"/>
          </w:tcPr>
          <w:p>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9分</w:t>
            </w:r>
          </w:p>
        </w:tc>
        <w:tc>
          <w:tcPr>
            <w:tcW w:w="1095" w:type="pct"/>
            <w:vAlign w:val="center"/>
          </w:tcPr>
          <w:p>
            <w:pPr>
              <w:jc w:val="center"/>
              <w:outlineLvl w:val="0"/>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67" w:type="pct"/>
            <w:vAlign w:val="center"/>
          </w:tcPr>
          <w:p>
            <w:pPr>
              <w:ind w:firstLine="360" w:firstLineChars="150"/>
              <w:jc w:val="left"/>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w:t>
            </w:r>
          </w:p>
        </w:tc>
        <w:tc>
          <w:tcPr>
            <w:tcW w:w="3028" w:type="pct"/>
            <w:vAlign w:val="center"/>
          </w:tcPr>
          <w:p>
            <w:pPr>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针对本项目特点提出的解决问题的对策与方案建议：</w:t>
            </w:r>
          </w:p>
          <w:p>
            <w:pPr>
              <w:pStyle w:val="256"/>
              <w:numPr>
                <w:ilvl w:val="0"/>
                <w:numId w:val="3"/>
              </w:numPr>
              <w:spacing w:line="240" w:lineRule="auto"/>
              <w:ind w:firstLineChars="0"/>
              <w:outlineLvl w:val="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保障项目顺利落地得3分，有利于项目落地得2分，有促进作用得1分，无促进作用不得分； </w:t>
            </w:r>
          </w:p>
          <w:p>
            <w:pPr>
              <w:pStyle w:val="256"/>
              <w:numPr>
                <w:ilvl w:val="0"/>
                <w:numId w:val="3"/>
              </w:numPr>
              <w:spacing w:line="240" w:lineRule="auto"/>
              <w:ind w:firstLineChars="0"/>
              <w:outlineLvl w:val="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可操作性：对策可操作性强得3分，对策可操作性一般得2分，对策可操作性不强得1分，无可操作性不得分；</w:t>
            </w:r>
          </w:p>
          <w:p>
            <w:pPr>
              <w:pStyle w:val="256"/>
              <w:numPr>
                <w:ilvl w:val="0"/>
                <w:numId w:val="3"/>
              </w:numPr>
              <w:spacing w:line="240" w:lineRule="auto"/>
              <w:ind w:firstLineChars="0"/>
              <w:outlineLvl w:val="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实用性：对策实用性性强得3分，对策实用性性一般得2分，对策实用性性不强得1分，无实用性性不得分；</w:t>
            </w:r>
          </w:p>
          <w:p>
            <w:pPr>
              <w:pStyle w:val="256"/>
              <w:numPr>
                <w:ilvl w:val="0"/>
                <w:numId w:val="3"/>
              </w:numPr>
              <w:spacing w:line="240" w:lineRule="auto"/>
              <w:ind w:firstLineChars="0"/>
              <w:outlineLvl w:val="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创新性：对策创新性性强得3分，对策创新性性一般得2分，对策创新性性不强得1分，无创新性性不得分。</w:t>
            </w:r>
          </w:p>
        </w:tc>
        <w:tc>
          <w:tcPr>
            <w:tcW w:w="407" w:type="pct"/>
            <w:vAlign w:val="center"/>
          </w:tcPr>
          <w:p>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12分</w:t>
            </w:r>
          </w:p>
        </w:tc>
        <w:tc>
          <w:tcPr>
            <w:tcW w:w="1095" w:type="pct"/>
            <w:vAlign w:val="center"/>
          </w:tcPr>
          <w:p>
            <w:pPr>
              <w:jc w:val="center"/>
              <w:outlineLvl w:val="0"/>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7" w:type="pct"/>
            <w:vAlign w:val="center"/>
          </w:tcPr>
          <w:p>
            <w:pPr>
              <w:ind w:firstLine="360" w:firstLineChars="150"/>
              <w:jc w:val="left"/>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w:t>
            </w:r>
          </w:p>
        </w:tc>
        <w:tc>
          <w:tcPr>
            <w:tcW w:w="3028" w:type="pct"/>
            <w:vAlign w:val="center"/>
          </w:tcPr>
          <w:p>
            <w:pPr>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其它有助提高项目深度和广度建议：</w:t>
            </w:r>
          </w:p>
          <w:p>
            <w:pPr>
              <w:pStyle w:val="256"/>
              <w:spacing w:line="240" w:lineRule="auto"/>
              <w:ind w:firstLine="0" w:firstLineChars="0"/>
              <w:outlineLvl w:val="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兼具定性、定量方案，有助提高项目工作成果深度和广度建议。每条确有利于项目实施的建议得1分，最高得5分。</w:t>
            </w:r>
          </w:p>
        </w:tc>
        <w:tc>
          <w:tcPr>
            <w:tcW w:w="407" w:type="pct"/>
            <w:vAlign w:val="center"/>
          </w:tcPr>
          <w:p>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 w:val="24"/>
                <w14:textFill>
                  <w14:solidFill>
                    <w14:schemeClr w14:val="tx1"/>
                  </w14:solidFill>
                </w14:textFill>
              </w:rPr>
              <w:t>5分</w:t>
            </w:r>
          </w:p>
        </w:tc>
        <w:tc>
          <w:tcPr>
            <w:tcW w:w="1095" w:type="pct"/>
            <w:vAlign w:val="center"/>
          </w:tcPr>
          <w:p>
            <w:pPr>
              <w:jc w:val="center"/>
              <w:outlineLvl w:val="0"/>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7" w:type="pct"/>
            <w:vAlign w:val="center"/>
          </w:tcPr>
          <w:p>
            <w:pPr>
              <w:ind w:firstLine="360" w:firstLineChars="150"/>
              <w:jc w:val="left"/>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w:t>
            </w:r>
          </w:p>
        </w:tc>
        <w:tc>
          <w:tcPr>
            <w:tcW w:w="3028" w:type="pct"/>
            <w:vAlign w:val="center"/>
          </w:tcPr>
          <w:p>
            <w:pPr>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工作计划：</w:t>
            </w:r>
          </w:p>
          <w:p>
            <w:pPr>
              <w:pStyle w:val="256"/>
              <w:numPr>
                <w:ilvl w:val="0"/>
                <w:numId w:val="4"/>
              </w:numPr>
              <w:spacing w:line="240" w:lineRule="auto"/>
              <w:ind w:firstLineChars="0"/>
              <w:outlineLvl w:val="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项目整体工作阶段及任务划分；进度安排合理得5分，基本合理得3分，不太合理得1分，不合理不得分；</w:t>
            </w:r>
          </w:p>
          <w:p>
            <w:pPr>
              <w:pStyle w:val="256"/>
              <w:numPr>
                <w:ilvl w:val="0"/>
                <w:numId w:val="4"/>
              </w:numPr>
              <w:spacing w:line="240" w:lineRule="auto"/>
              <w:ind w:firstLineChars="0"/>
              <w:outlineLvl w:val="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进度保障：进度控制合理、关键时间节点把握准确得5分，进度控制基本合理、关键时间节点把握基本准确得3分，进度控制不太合理、关键时间节点把握不太准确得1分，不合理不得分。</w:t>
            </w:r>
          </w:p>
        </w:tc>
        <w:tc>
          <w:tcPr>
            <w:tcW w:w="407" w:type="pct"/>
            <w:vAlign w:val="center"/>
          </w:tcPr>
          <w:p>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10分</w:t>
            </w:r>
          </w:p>
        </w:tc>
        <w:tc>
          <w:tcPr>
            <w:tcW w:w="1095" w:type="pct"/>
            <w:vAlign w:val="center"/>
          </w:tcPr>
          <w:p>
            <w:pPr>
              <w:jc w:val="center"/>
              <w:outlineLvl w:val="0"/>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7" w:type="pct"/>
            <w:vAlign w:val="center"/>
          </w:tcPr>
          <w:p>
            <w:pPr>
              <w:ind w:firstLine="360" w:firstLineChars="150"/>
              <w:jc w:val="left"/>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w:t>
            </w:r>
          </w:p>
        </w:tc>
        <w:tc>
          <w:tcPr>
            <w:tcW w:w="3028" w:type="pct"/>
            <w:vAlign w:val="center"/>
          </w:tcPr>
          <w:p>
            <w:pPr>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质量保证：</w:t>
            </w:r>
          </w:p>
          <w:p>
            <w:pPr>
              <w:pStyle w:val="256"/>
              <w:numPr>
                <w:ilvl w:val="0"/>
                <w:numId w:val="5"/>
              </w:numPr>
              <w:spacing w:line="240" w:lineRule="auto"/>
              <w:ind w:firstLineChars="0"/>
              <w:outlineLvl w:val="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质量保证体系：完备周全得4分，略有欠缺得2分，有明显缺陷或缺项得1分，不可行不得分；</w:t>
            </w:r>
          </w:p>
          <w:p>
            <w:pPr>
              <w:pStyle w:val="256"/>
              <w:numPr>
                <w:ilvl w:val="0"/>
                <w:numId w:val="5"/>
              </w:numPr>
              <w:spacing w:line="240" w:lineRule="auto"/>
              <w:ind w:firstLineChars="0"/>
              <w:outlineLvl w:val="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具有针对性应对措施：措施针对性强得4分，措施有针对性得2分，措施针对性不显得1分，无针对性不得分</w:t>
            </w:r>
          </w:p>
        </w:tc>
        <w:tc>
          <w:tcPr>
            <w:tcW w:w="407" w:type="pct"/>
            <w:vAlign w:val="center"/>
          </w:tcPr>
          <w:p>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8分</w:t>
            </w:r>
          </w:p>
        </w:tc>
        <w:tc>
          <w:tcPr>
            <w:tcW w:w="1095" w:type="pct"/>
            <w:vAlign w:val="center"/>
          </w:tcPr>
          <w:p>
            <w:pPr>
              <w:jc w:val="center"/>
              <w:outlineLvl w:val="0"/>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trPr>
        <w:tc>
          <w:tcPr>
            <w:tcW w:w="467" w:type="pct"/>
            <w:vAlign w:val="center"/>
          </w:tcPr>
          <w:p>
            <w:pPr>
              <w:ind w:firstLine="360" w:firstLineChars="150"/>
              <w:jc w:val="left"/>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w:t>
            </w:r>
          </w:p>
        </w:tc>
        <w:tc>
          <w:tcPr>
            <w:tcW w:w="3028" w:type="pct"/>
            <w:vAlign w:val="center"/>
          </w:tcPr>
          <w:p>
            <w:pPr>
              <w:snapToGrid w:val="0"/>
              <w:jc w:val="left"/>
              <w:rPr>
                <w:rFonts w:hint="eastAsia"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lang w:val="zh-CN"/>
                <w14:textFill>
                  <w14:solidFill>
                    <w14:schemeClr w14:val="tx1"/>
                  </w14:solidFill>
                </w14:textFill>
              </w:rPr>
              <w:t>后续服务：</w:t>
            </w:r>
          </w:p>
          <w:p>
            <w:pPr>
              <w:pStyle w:val="256"/>
              <w:numPr>
                <w:ilvl w:val="0"/>
                <w:numId w:val="0"/>
              </w:numPr>
              <w:spacing w:line="240" w:lineRule="auto"/>
              <w:ind w:left="420" w:leftChars="0" w:hanging="420" w:firstLineChars="0"/>
              <w:outlineLvl w:val="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后续服务保障体系健全，应对措施科学得4分，保障体系基本健全，应对措施有科学性得2分，保障体系不够健全，应对措施不够科学得1分，无相关内容不得分；</w:t>
            </w:r>
          </w:p>
          <w:p>
            <w:pPr>
              <w:pStyle w:val="256"/>
              <w:numPr>
                <w:ilvl w:val="0"/>
                <w:numId w:val="0"/>
              </w:numPr>
              <w:spacing w:line="240" w:lineRule="auto"/>
              <w:ind w:left="420" w:leftChars="0" w:hanging="420" w:firstLineChars="0"/>
              <w:outlineLvl w:val="0"/>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与采购人配合能高效落实得4分，基本能配合落实得2分，不能配合落实不得分。</w:t>
            </w:r>
          </w:p>
        </w:tc>
        <w:tc>
          <w:tcPr>
            <w:tcW w:w="407" w:type="pct"/>
            <w:vAlign w:val="center"/>
          </w:tcPr>
          <w:p>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8分</w:t>
            </w:r>
          </w:p>
        </w:tc>
        <w:tc>
          <w:tcPr>
            <w:tcW w:w="1095" w:type="pct"/>
            <w:vAlign w:val="center"/>
          </w:tcPr>
          <w:p>
            <w:pPr>
              <w:jc w:val="center"/>
              <w:outlineLvl w:val="0"/>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7" w:type="pct"/>
            <w:vAlign w:val="center"/>
          </w:tcPr>
          <w:p>
            <w:pPr>
              <w:ind w:firstLine="360" w:firstLineChars="150"/>
              <w:jc w:val="left"/>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w:t>
            </w:r>
          </w:p>
        </w:tc>
        <w:tc>
          <w:tcPr>
            <w:tcW w:w="3028" w:type="pct"/>
            <w:vAlign w:val="center"/>
          </w:tcPr>
          <w:p>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项目负责人：</w:t>
            </w:r>
          </w:p>
          <w:p>
            <w:pPr>
              <w:pStyle w:val="256"/>
              <w:numPr>
                <w:ilvl w:val="0"/>
                <w:numId w:val="6"/>
              </w:numPr>
              <w:snapToGrid w:val="0"/>
              <w:spacing w:line="240" w:lineRule="auto"/>
              <w:ind w:firstLineChars="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具有正高职称得2分，副高职称得1分；（提供职称证书）</w:t>
            </w:r>
          </w:p>
          <w:p>
            <w:pPr>
              <w:pStyle w:val="256"/>
              <w:numPr>
                <w:ilvl w:val="0"/>
                <w:numId w:val="6"/>
              </w:numPr>
              <w:snapToGrid w:val="0"/>
              <w:spacing w:line="240" w:lineRule="auto"/>
              <w:ind w:firstLineChars="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主持类似项目2项及以上得2分，1项得1分。没有不得分。（需提供加盖公章的业主证明或项目合同或项目扉页复印件，能体现负责人名字，否则不得分）</w:t>
            </w:r>
          </w:p>
        </w:tc>
        <w:tc>
          <w:tcPr>
            <w:tcW w:w="407" w:type="pct"/>
            <w:vAlign w:val="center"/>
          </w:tcPr>
          <w:p>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 w:val="24"/>
                <w14:textFill>
                  <w14:solidFill>
                    <w14:schemeClr w14:val="tx1"/>
                  </w14:solidFill>
                </w14:textFill>
              </w:rPr>
              <w:t>4分</w:t>
            </w:r>
          </w:p>
        </w:tc>
        <w:tc>
          <w:tcPr>
            <w:tcW w:w="1095" w:type="pct"/>
            <w:vAlign w:val="center"/>
          </w:tcPr>
          <w:p>
            <w:pPr>
              <w:jc w:val="center"/>
              <w:outlineLvl w:val="0"/>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7" w:type="pct"/>
            <w:vAlign w:val="center"/>
          </w:tcPr>
          <w:p>
            <w:pPr>
              <w:ind w:firstLine="360" w:firstLineChars="150"/>
              <w:jc w:val="left"/>
              <w:outlineLvl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w:t>
            </w:r>
          </w:p>
        </w:tc>
        <w:tc>
          <w:tcPr>
            <w:tcW w:w="3028" w:type="pct"/>
            <w:vAlign w:val="center"/>
          </w:tcPr>
          <w:p>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项目团队成员（不含负责人）：</w:t>
            </w:r>
          </w:p>
          <w:p>
            <w:pPr>
              <w:pStyle w:val="256"/>
              <w:numPr>
                <w:ilvl w:val="0"/>
                <w:numId w:val="7"/>
              </w:numPr>
              <w:snapToGrid w:val="0"/>
              <w:spacing w:line="240" w:lineRule="auto"/>
              <w:ind w:firstLineChars="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项目组成员中有教授级高级工程师的，每 1 个得 1分，最高得2分。</w:t>
            </w:r>
          </w:p>
          <w:p>
            <w:pPr>
              <w:pStyle w:val="256"/>
              <w:numPr>
                <w:ilvl w:val="0"/>
                <w:numId w:val="7"/>
              </w:numPr>
              <w:snapToGrid w:val="0"/>
              <w:spacing w:line="240" w:lineRule="auto"/>
              <w:ind w:firstLineChars="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项目团队人员中副高（含）及以上职称3名并且中级以上（含）工程师比例至少（含）70%以上得 2 分，以下不得分。</w:t>
            </w:r>
          </w:p>
          <w:p>
            <w:pPr>
              <w:pStyle w:val="256"/>
              <w:numPr>
                <w:ilvl w:val="0"/>
                <w:numId w:val="7"/>
              </w:numPr>
              <w:snapToGrid w:val="0"/>
              <w:spacing w:line="240" w:lineRule="auto"/>
              <w:ind w:firstLineChars="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项目组成员中具有注册规划师资质2人（含）以上的得2 分，1名得1分，没有不得分。</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证明材料：提供相关人员资格证书、职称证书复印件及由本单位为其缴纳的近3个月内任意1个月的社保证明复印件并加盖公章。</w:t>
            </w:r>
          </w:p>
        </w:tc>
        <w:tc>
          <w:tcPr>
            <w:tcW w:w="407" w:type="pct"/>
            <w:vAlign w:val="center"/>
          </w:tcPr>
          <w:p>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6分</w:t>
            </w:r>
          </w:p>
        </w:tc>
        <w:tc>
          <w:tcPr>
            <w:tcW w:w="1095" w:type="pct"/>
            <w:vAlign w:val="center"/>
          </w:tcPr>
          <w:p>
            <w:pPr>
              <w:jc w:val="center"/>
              <w:outlineLvl w:val="0"/>
              <w:rPr>
                <w:rFonts w:hint="eastAsia"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7" w:type="pct"/>
            <w:vAlign w:val="center"/>
          </w:tcPr>
          <w:p>
            <w:pPr>
              <w:ind w:firstLine="360" w:firstLineChars="150"/>
              <w:jc w:val="left"/>
              <w:outlineLvl w:val="0"/>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15</w:t>
            </w:r>
          </w:p>
        </w:tc>
        <w:tc>
          <w:tcPr>
            <w:tcW w:w="3028" w:type="pct"/>
            <w:vAlign w:val="center"/>
          </w:tcPr>
          <w:p>
            <w:pPr>
              <w:spacing w:line="360" w:lineRule="auto"/>
              <w:rPr>
                <w:rFonts w:ascii="Arial" w:hAnsi="宋体" w:cs="Arial"/>
                <w:kern w:val="0"/>
                <w:sz w:val="24"/>
              </w:rPr>
            </w:pPr>
            <w:r>
              <w:rPr>
                <w:rFonts w:hint="eastAsia" w:ascii="Arial" w:hAnsi="宋体" w:cs="Arial"/>
                <w:kern w:val="0"/>
                <w:sz w:val="24"/>
                <w:lang w:val="en-US" w:eastAsia="zh-CN"/>
              </w:rPr>
              <w:t>价格分：</w:t>
            </w:r>
            <w:r>
              <w:rPr>
                <w:rFonts w:hint="eastAsia" w:ascii="Arial" w:hAnsi="宋体" w:cs="Arial"/>
                <w:kern w:val="0"/>
                <w:sz w:val="24"/>
              </w:rPr>
              <w:t>其中</w:t>
            </w:r>
            <w:r>
              <w:rPr>
                <w:rFonts w:cs="Arial"/>
                <w:sz w:val="24"/>
                <w:lang w:val="zh-CN"/>
              </w:rPr>
              <w:t>建设工程设计方案规划管理辅助技术复核服务</w:t>
            </w:r>
            <w:r>
              <w:rPr>
                <w:rFonts w:hint="eastAsia" w:ascii="Arial" w:hAnsi="宋体" w:cs="Arial"/>
                <w:kern w:val="0"/>
                <w:sz w:val="24"/>
              </w:rPr>
              <w:t>单价为4分；</w:t>
            </w:r>
            <w:r>
              <w:rPr>
                <w:rFonts w:cs="Arial"/>
                <w:sz w:val="24"/>
                <w:lang w:val="zh-CN"/>
              </w:rPr>
              <w:t>日照分析抽查复核工作</w:t>
            </w:r>
            <w:r>
              <w:rPr>
                <w:rFonts w:hint="eastAsia" w:ascii="宋体" w:hAnsi="宋体" w:cs="宋体"/>
                <w:sz w:val="24"/>
              </w:rPr>
              <w:t>拟建</w:t>
            </w:r>
            <w:r>
              <w:rPr>
                <w:rFonts w:ascii="宋体" w:hAnsi="宋体" w:cs="宋体"/>
                <w:sz w:val="24"/>
              </w:rPr>
              <w:t>建筑</w:t>
            </w:r>
            <w:r>
              <w:rPr>
                <w:rFonts w:hint="eastAsia" w:ascii="Arial" w:hAnsi="宋体" w:cs="Arial"/>
                <w:kern w:val="0"/>
                <w:sz w:val="24"/>
              </w:rPr>
              <w:t>单价为3分；</w:t>
            </w:r>
            <w:r>
              <w:rPr>
                <w:rFonts w:cs="Arial"/>
                <w:sz w:val="24"/>
                <w:lang w:val="zh-CN"/>
              </w:rPr>
              <w:t>日照分析抽查复核工作</w:t>
            </w:r>
            <w:r>
              <w:rPr>
                <w:rFonts w:hint="eastAsia" w:ascii="宋体" w:hAnsi="宋体" w:cs="宋体"/>
                <w:sz w:val="24"/>
              </w:rPr>
              <w:t>周边</w:t>
            </w:r>
            <w:r>
              <w:rPr>
                <w:rFonts w:ascii="宋体" w:hAnsi="宋体" w:cs="宋体"/>
                <w:sz w:val="24"/>
              </w:rPr>
              <w:t>建筑</w:t>
            </w:r>
            <w:r>
              <w:rPr>
                <w:rFonts w:hint="eastAsia" w:ascii="Arial" w:hAnsi="宋体" w:cs="Arial"/>
                <w:kern w:val="0"/>
                <w:sz w:val="24"/>
              </w:rPr>
              <w:t>单价为3分。评标委员会</w:t>
            </w:r>
            <w:r>
              <w:rPr>
                <w:rFonts w:ascii="Arial" w:hAnsi="宋体" w:cs="Arial"/>
                <w:kern w:val="0"/>
                <w:sz w:val="24"/>
              </w:rPr>
              <w:t>分析总报价及各个分项报价是否合理，报价范围是否完整，有否重大错漏项，评标委员会认为投标报价出现异常时，有权要求投标人在评标期间对投标报价的详细组成等事项</w:t>
            </w:r>
            <w:r>
              <w:rPr>
                <w:rFonts w:hint="eastAsia" w:ascii="Arial" w:hAnsi="宋体" w:cs="Arial"/>
                <w:kern w:val="0"/>
                <w:sz w:val="24"/>
              </w:rPr>
              <w:t>做出</w:t>
            </w:r>
            <w:r>
              <w:rPr>
                <w:rFonts w:ascii="Arial" w:hAnsi="宋体" w:cs="Arial"/>
                <w:kern w:val="0"/>
                <w:sz w:val="24"/>
              </w:rPr>
              <w:t>解释和澄清。</w:t>
            </w:r>
          </w:p>
          <w:p>
            <w:pPr>
              <w:spacing w:line="360" w:lineRule="auto"/>
              <w:rPr>
                <w:rFonts w:ascii="Arial" w:hAnsi="宋体" w:cs="Arial"/>
                <w:kern w:val="0"/>
                <w:sz w:val="24"/>
              </w:rPr>
            </w:pPr>
            <w:r>
              <w:rPr>
                <w:rFonts w:ascii="Arial" w:hAnsi="宋体" w:cs="Arial"/>
                <w:kern w:val="0"/>
                <w:sz w:val="24"/>
              </w:rPr>
              <w:t>报价分计算方法：</w:t>
            </w:r>
          </w:p>
          <w:p>
            <w:pPr>
              <w:spacing w:line="360" w:lineRule="auto"/>
              <w:rPr>
                <w:rFonts w:ascii="Arial" w:hAnsi="宋体" w:cs="Arial"/>
                <w:kern w:val="0"/>
                <w:sz w:val="24"/>
                <w:lang w:val="en-GB"/>
              </w:rPr>
            </w:pPr>
            <w:r>
              <w:rPr>
                <w:rFonts w:hint="eastAsia" w:ascii="Arial" w:hAnsi="宋体" w:cs="Arial"/>
                <w:kern w:val="0"/>
                <w:sz w:val="24"/>
                <w:lang w:val="en-GB"/>
              </w:rPr>
              <w:t>（1）评标基准价：</w:t>
            </w:r>
            <w:r>
              <w:rPr>
                <w:rFonts w:ascii="Arial" w:hAnsi="宋体" w:cs="Arial"/>
                <w:kern w:val="0"/>
                <w:sz w:val="24"/>
              </w:rPr>
              <w:t>经评审的</w:t>
            </w:r>
            <w:r>
              <w:rPr>
                <w:rFonts w:hint="eastAsia" w:ascii="Arial" w:hAnsi="宋体" w:cs="Arial"/>
                <w:kern w:val="0"/>
                <w:sz w:val="24"/>
              </w:rPr>
              <w:t>有效</w:t>
            </w:r>
            <w:r>
              <w:rPr>
                <w:rFonts w:ascii="Arial" w:hAnsi="宋体" w:cs="Arial"/>
                <w:kern w:val="0"/>
                <w:sz w:val="24"/>
              </w:rPr>
              <w:t>最低投标价</w:t>
            </w:r>
            <w:r>
              <w:rPr>
                <w:rFonts w:hint="eastAsia" w:ascii="Arial" w:hAnsi="宋体" w:cs="Arial"/>
                <w:kern w:val="0"/>
                <w:sz w:val="24"/>
                <w:lang w:val="en-GB"/>
              </w:rPr>
              <w:t>为评标基准价。</w:t>
            </w:r>
          </w:p>
          <w:p>
            <w:pPr>
              <w:spacing w:line="360" w:lineRule="auto"/>
              <w:rPr>
                <w:rFonts w:ascii="Arial" w:hAnsi="宋体" w:cs="Arial"/>
                <w:kern w:val="0"/>
                <w:sz w:val="24"/>
              </w:rPr>
            </w:pPr>
            <w:r>
              <w:rPr>
                <w:rFonts w:hint="eastAsia" w:ascii="Arial" w:hAnsi="宋体" w:cs="Arial"/>
                <w:kern w:val="0"/>
                <w:sz w:val="24"/>
                <w:lang w:val="en-GB"/>
              </w:rPr>
              <w:t>（2）</w:t>
            </w:r>
            <w:r>
              <w:rPr>
                <w:rFonts w:ascii="Arial" w:hAnsi="宋体" w:cs="Arial"/>
                <w:kern w:val="0"/>
                <w:sz w:val="24"/>
              </w:rPr>
              <w:t>最佳报价为评标基准价，其他投标人的价格分统一按下列公式计算：</w:t>
            </w:r>
          </w:p>
          <w:p>
            <w:pPr>
              <w:spacing w:line="360" w:lineRule="auto"/>
              <w:rPr>
                <w:rFonts w:ascii="Arial" w:hAnsi="宋体" w:cs="Arial"/>
                <w:kern w:val="0"/>
                <w:sz w:val="24"/>
              </w:rPr>
            </w:pPr>
            <w:r>
              <w:rPr>
                <w:rFonts w:ascii="Arial" w:hAnsi="宋体" w:cs="Arial"/>
                <w:kern w:val="0"/>
                <w:sz w:val="24"/>
              </w:rPr>
              <w:t>商务报价得分=（评标基准价/最终报价）×</w:t>
            </w:r>
            <w:r>
              <w:rPr>
                <w:rFonts w:hint="eastAsia" w:ascii="Arial" w:hAnsi="宋体" w:cs="Arial"/>
                <w:kern w:val="0"/>
                <w:sz w:val="24"/>
              </w:rPr>
              <w:t>各部分</w:t>
            </w:r>
            <w:r>
              <w:rPr>
                <w:rFonts w:ascii="Arial" w:hAnsi="宋体" w:cs="Arial"/>
                <w:kern w:val="0"/>
                <w:sz w:val="24"/>
              </w:rPr>
              <w:t>价格权值（即</w:t>
            </w:r>
            <w:r>
              <w:rPr>
                <w:rFonts w:hint="eastAsia" w:ascii="Arial" w:hAnsi="宋体" w:cs="Arial"/>
                <w:kern w:val="0"/>
                <w:sz w:val="24"/>
              </w:rPr>
              <w:t>4</w:t>
            </w:r>
            <w:r>
              <w:rPr>
                <w:rFonts w:ascii="Arial" w:hAnsi="宋体" w:cs="Arial"/>
                <w:kern w:val="0"/>
                <w:sz w:val="24"/>
              </w:rPr>
              <w:t>%</w:t>
            </w:r>
            <w:r>
              <w:rPr>
                <w:rFonts w:hint="eastAsia" w:ascii="Arial" w:hAnsi="宋体" w:cs="Arial"/>
                <w:kern w:val="0"/>
                <w:sz w:val="24"/>
              </w:rPr>
              <w:t>/3%/3%</w:t>
            </w:r>
            <w:r>
              <w:rPr>
                <w:rFonts w:ascii="Arial" w:hAnsi="宋体" w:cs="Arial"/>
                <w:kern w:val="0"/>
                <w:sz w:val="24"/>
              </w:rPr>
              <w:t>）×100</w:t>
            </w:r>
          </w:p>
          <w:p>
            <w:pPr>
              <w:spacing w:line="360" w:lineRule="auto"/>
              <w:rPr>
                <w:rFonts w:ascii="仿宋_GB2312" w:hAnsi="仿宋" w:eastAsia="仿宋_GB2312"/>
                <w:b/>
                <w:sz w:val="24"/>
              </w:rPr>
            </w:pPr>
            <w:r>
              <w:rPr>
                <w:rFonts w:hint="eastAsia" w:ascii="Arial" w:hAnsi="宋体" w:cs="Arial"/>
                <w:kern w:val="0"/>
                <w:sz w:val="24"/>
                <w:lang w:val="en-GB"/>
              </w:rPr>
              <w:t>（计算过程小数点后保留四位，得分值小数点后保留两位）</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cs="仿宋_GB2312" w:asciiTheme="minorEastAsia" w:hAnsiTheme="minorEastAsia" w:eastAsiaTheme="minorEastAsia"/>
                <w:color w:val="0000FF"/>
                <w:sz w:val="24"/>
              </w:rPr>
              <w:t>评标过程中，不得去掉报价中的最高报价和最低报价。</w:t>
            </w:r>
          </w:p>
        </w:tc>
        <w:tc>
          <w:tcPr>
            <w:tcW w:w="407" w:type="pct"/>
            <w:vAlign w:val="center"/>
          </w:tcPr>
          <w:p>
            <w:pPr>
              <w:snapToGrid w:val="0"/>
              <w:jc w:val="center"/>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10分</w:t>
            </w:r>
          </w:p>
        </w:tc>
        <w:tc>
          <w:tcPr>
            <w:tcW w:w="1095" w:type="pct"/>
            <w:vAlign w:val="center"/>
          </w:tcPr>
          <w:p>
            <w:pPr>
              <w:jc w:val="center"/>
              <w:outlineLvl w:val="0"/>
              <w:rPr>
                <w:rFonts w:hint="eastAsia" w:asciiTheme="minorEastAsia" w:hAnsiTheme="minorEastAsia" w:eastAsiaTheme="minorEastAsia" w:cstheme="minorEastAsia"/>
                <w:color w:val="000000" w:themeColor="text1"/>
                <w:sz w:val="24"/>
                <w14:textFill>
                  <w14:solidFill>
                    <w14:schemeClr w14:val="tx1"/>
                  </w14:solidFill>
                </w14:textFill>
              </w:rPr>
            </w:pPr>
          </w:p>
        </w:tc>
      </w:tr>
    </w:tbl>
    <w:tbl>
      <w:tblPr>
        <w:tblStyle w:val="64"/>
        <w:tblpPr w:leftFromText="180" w:rightFromText="180" w:vertAnchor="text" w:tblpY="217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45" w:type="dxa"/>
          </w:tcP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废标后，采购代理机构应当将废标理由通知所有投标人。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p>
      <w:pPr>
        <w:pStyle w:val="24"/>
        <w:snapToGrid w:val="0"/>
        <w:spacing w:line="360" w:lineRule="auto"/>
        <w:ind w:firstLine="0" w:firstLineChars="0"/>
        <w:rPr>
          <w:rFonts w:cs="宋体"/>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rPr>
      </w:pPr>
      <w:r>
        <w:rPr>
          <w:rFonts w:hint="eastAsia" w:ascii="宋体" w:hAnsi="宋体" w:cs="宋体"/>
          <w:sz w:val="24"/>
        </w:rPr>
        <w:t xml:space="preserve">      </w:t>
      </w:r>
    </w:p>
    <w:p>
      <w:pPr>
        <w:spacing w:line="480" w:lineRule="auto"/>
        <w:jc w:val="center"/>
        <w:rPr>
          <w:rFonts w:ascii="宋体" w:hAnsi="宋体" w:cs="宋体"/>
          <w:b/>
          <w:sz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合同编号        </w:t>
      </w:r>
    </w:p>
    <w:p>
      <w:pPr>
        <w:rPr>
          <w:rFonts w:hint="eastAsia" w:asciiTheme="minorEastAsia" w:hAnsiTheme="minorEastAsia" w:eastAsiaTheme="minorEastAsia" w:cstheme="minorEastAsia"/>
          <w:sz w:val="24"/>
          <w:szCs w:val="24"/>
        </w:rPr>
      </w:pPr>
      <w:bookmarkStart w:id="385" w:name="_Toc6370"/>
      <w:r>
        <w:rPr>
          <w:rFonts w:hint="eastAsia" w:asciiTheme="minorEastAsia" w:hAnsiTheme="minorEastAsia" w:eastAsiaTheme="minorEastAsia" w:cstheme="minorEastAsia"/>
          <w:sz w:val="24"/>
          <w:szCs w:val="24"/>
        </w:rPr>
        <w:t>（本合同为合同样稿，最终稿由双方协商后确定）</w:t>
      </w:r>
      <w:bookmarkEnd w:id="385"/>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确认书编号：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需方（甲方）：</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供方（乙方）： </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鉴证方: </w:t>
      </w:r>
      <w:r>
        <w:rPr>
          <w:rFonts w:hint="eastAsia" w:asciiTheme="minorEastAsia" w:hAnsiTheme="minorEastAsia" w:eastAsiaTheme="minorEastAsia" w:cstheme="minorEastAsia"/>
          <w:sz w:val="24"/>
          <w:szCs w:val="24"/>
          <w:lang w:eastAsia="zh-CN"/>
        </w:rPr>
        <w:t>浙江鑫润工程管理有限公司</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签约时间、地点：        年       月       日，杭州</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浙江鑫润工程管理有限公司</w:t>
      </w:r>
      <w:r>
        <w:rPr>
          <w:rFonts w:hint="eastAsia" w:asciiTheme="minorEastAsia" w:hAnsiTheme="minorEastAsia" w:eastAsiaTheme="minorEastAsia" w:cstheme="minorEastAsia"/>
          <w:sz w:val="24"/>
          <w:szCs w:val="24"/>
        </w:rPr>
        <w:t>受</w:t>
      </w:r>
      <w:r>
        <w:rPr>
          <w:rFonts w:hint="eastAsia" w:asciiTheme="minorEastAsia" w:hAnsiTheme="minorEastAsia" w:eastAsiaTheme="minorEastAsia" w:cstheme="minorEastAsia"/>
          <w:sz w:val="24"/>
          <w:szCs w:val="24"/>
          <w:lang w:eastAsia="zh-CN"/>
        </w:rPr>
        <w:t>杭州市规划和自然资源局</w:t>
      </w:r>
      <w:r>
        <w:rPr>
          <w:rFonts w:hint="eastAsia" w:asciiTheme="minorEastAsia" w:hAnsiTheme="minorEastAsia" w:eastAsiaTheme="minorEastAsia" w:cstheme="minorEastAsia"/>
          <w:sz w:val="24"/>
          <w:szCs w:val="24"/>
          <w:lang w:val="en-US" w:eastAsia="zh-CN"/>
        </w:rPr>
        <w:t>上城</w:t>
      </w:r>
      <w:r>
        <w:rPr>
          <w:rFonts w:hint="eastAsia" w:asciiTheme="minorEastAsia" w:hAnsiTheme="minorEastAsia" w:eastAsiaTheme="minorEastAsia" w:cstheme="minorEastAsia"/>
          <w:sz w:val="24"/>
          <w:szCs w:val="24"/>
          <w:lang w:eastAsia="zh-CN"/>
        </w:rPr>
        <w:t>分局</w:t>
      </w:r>
      <w:r>
        <w:rPr>
          <w:rFonts w:hint="eastAsia" w:asciiTheme="minorEastAsia" w:hAnsiTheme="minorEastAsia" w:eastAsiaTheme="minorEastAsia" w:cstheme="minorEastAsia"/>
          <w:sz w:val="24"/>
          <w:szCs w:val="24"/>
        </w:rPr>
        <w:t>委托对                 项目经过公开招标采购（采购编号：      ），确定＿＿＿＿＿＿为中标单位，甲方、乙方、鉴证方三方根据采购结果，签署本合同。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第一条：服务内容</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762"/>
        <w:gridCol w:w="992"/>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建设工程设计方案规划管理辅助技术复核服务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607" w:type="dxa"/>
            <w:vMerge w:val="restart"/>
            <w:tcBorders>
              <w:top w:val="single" w:color="auto" w:sz="4" w:space="0"/>
              <w:left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762" w:type="dxa"/>
            <w:vMerge w:val="restart"/>
            <w:tcBorders>
              <w:top w:val="single" w:color="auto" w:sz="4" w:space="0"/>
              <w:left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日照分析抽查复核工作</w:t>
            </w:r>
          </w:p>
        </w:tc>
        <w:tc>
          <w:tcPr>
            <w:tcW w:w="992" w:type="dxa"/>
            <w:vMerge w:val="restart"/>
            <w:tcBorders>
              <w:top w:val="single" w:color="auto" w:sz="4" w:space="0"/>
              <w:left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p>
        </w:tc>
        <w:tc>
          <w:tcPr>
            <w:tcW w:w="1559" w:type="dxa"/>
            <w:vMerge w:val="restart"/>
            <w:tcBorders>
              <w:top w:val="single" w:color="auto" w:sz="4" w:space="0"/>
              <w:left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拟建建筑</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607" w:type="dxa"/>
            <w:vMerge w:val="continue"/>
            <w:tcBorders>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p>
        </w:tc>
        <w:tc>
          <w:tcPr>
            <w:tcW w:w="2762" w:type="dxa"/>
            <w:vMerge w:val="continue"/>
            <w:tcBorders>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lang w:val="zh-CN"/>
              </w:rPr>
            </w:pPr>
          </w:p>
        </w:tc>
        <w:tc>
          <w:tcPr>
            <w:tcW w:w="992" w:type="dxa"/>
            <w:vMerge w:val="continue"/>
            <w:tcBorders>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p>
        </w:tc>
        <w:tc>
          <w:tcPr>
            <w:tcW w:w="1559" w:type="dxa"/>
            <w:vMerge w:val="continue"/>
            <w:tcBorders>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周边建筑</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元/幢</w:t>
            </w:r>
          </w:p>
        </w:tc>
      </w:tr>
    </w:tbl>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注：投标报价应包括投标总报价是指综合费用，包括人员工资、交通、住宿、税金、保险、验收、专家评审费、报审过程中以及在履行本合同时的现场踏勘、资料收集、调查等的全部费用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第二条：服务期限：本合同有效期限为一年，具体时限自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年  月  日至  年 月 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第三条：执行技术标准：提交成果必须符合国家相关规程和规范要求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第四条：付款方式：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r>
        <w:rPr>
          <w:rFonts w:hint="eastAsia" w:asciiTheme="minorEastAsia" w:hAnsiTheme="minorEastAsia" w:eastAsiaTheme="minorEastAsia" w:cstheme="minorEastAsia"/>
          <w:sz w:val="24"/>
          <w:szCs w:val="24"/>
          <w:lang w:val="en-US" w:eastAsia="zh-CN"/>
        </w:rPr>
        <w:t>无</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2、预付款：</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1）支付条件：供应商提交银行、保险公司等金融机构出具的预付款保函；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2）支付时间、数额：合同生效并具备实施条件后15</w:t>
      </w:r>
      <w:r>
        <w:rPr>
          <w:rFonts w:hint="eastAsia" w:asciiTheme="minorEastAsia" w:hAnsiTheme="minorEastAsia" w:eastAsiaTheme="minorEastAsia" w:cstheme="minorEastAsia"/>
          <w:sz w:val="24"/>
          <w:szCs w:val="24"/>
          <w:lang w:val="en-US" w:eastAsia="zh-CN"/>
        </w:rPr>
        <w:t>个工作</w:t>
      </w:r>
      <w:r>
        <w:rPr>
          <w:rFonts w:hint="eastAsia" w:asciiTheme="minorEastAsia" w:hAnsiTheme="minorEastAsia" w:eastAsiaTheme="minorEastAsia" w:cstheme="minorEastAsia"/>
          <w:sz w:val="24"/>
          <w:szCs w:val="24"/>
        </w:rPr>
        <w:t>日内，采购人向中标人支付预算金额</w:t>
      </w: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eastAsiaTheme="minorEastAsia" w:cstheme="minorEastAsia"/>
          <w:sz w:val="24"/>
          <w:szCs w:val="24"/>
        </w:rPr>
        <w:t>%的预付款。</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备注：签订合同时，供应商明确表示无需预付款或者主动要求降低预付款比例的，采购单位可不适用前述规定。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3、结算方式：根据中标人实际所做工程量与中标单价进行结算。</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4、付款进度：</w:t>
      </w:r>
      <w:r>
        <w:rPr>
          <w:rFonts w:hint="eastAsia" w:asciiTheme="minorEastAsia" w:hAnsiTheme="minorEastAsia" w:eastAsiaTheme="minorEastAsia" w:cstheme="minorEastAsia"/>
          <w:sz w:val="24"/>
          <w:szCs w:val="24"/>
          <w:lang w:val="zh-CN"/>
        </w:rPr>
        <w:t>经采购人根据乙方合同履行情况，</w:t>
      </w:r>
      <w:r>
        <w:rPr>
          <w:rFonts w:hint="eastAsia" w:asciiTheme="minorEastAsia" w:hAnsiTheme="minorEastAsia" w:eastAsiaTheme="minorEastAsia" w:cstheme="minorEastAsia"/>
          <w:sz w:val="24"/>
          <w:szCs w:val="24"/>
        </w:rPr>
        <w:t>本次服务项目分</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次支付，合同签订后预付</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zh-CN"/>
        </w:rPr>
        <w:t>至服务期结束验收合格后</w:t>
      </w:r>
      <w:r>
        <w:rPr>
          <w:rFonts w:hint="eastAsia" w:asciiTheme="minorEastAsia" w:hAnsiTheme="minorEastAsia" w:eastAsiaTheme="minorEastAsia" w:cstheme="minorEastAsia"/>
          <w:sz w:val="24"/>
          <w:szCs w:val="24"/>
        </w:rPr>
        <w:t>支付剩余所有费用</w:t>
      </w:r>
      <w:r>
        <w:rPr>
          <w:rFonts w:hint="eastAsia" w:asciiTheme="minorEastAsia" w:hAnsiTheme="minorEastAsia" w:eastAsiaTheme="minorEastAsia" w:cstheme="minorEastAsia"/>
          <w:sz w:val="24"/>
          <w:szCs w:val="24"/>
          <w:lang w:val="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第五条：验收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1、验收按国家有关的规定、规范进行。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2、验收费用由乙方承担。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第六条：售后服务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在服务质保期内，乙方应该确保服务范围内的质量标准符合本招标文件要求。当出现问题时，投标人应承诺在     小时内响应并提出解决方案，      小时之内到现场对存在问题进行处理，并提出相应措施。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第七条：乙方承担完成本招标项目的一切费用(包括不可预见费用)和市场风险。</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第八条：其他约定：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违约责任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由于乙方原因(除不可抗力外)不能按期交付合同标的，对超出交付期的每一天，乙方应按合同总价款的千分之三承担违约金，在合同款支付时一次性扣除。若超出交付期十天(含十天)以上的，甲方有权终止合同，质量保证金不予退还。</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按合同要求将成果送达甲方后，经验收合格后，甲方超出付款期支付项目款的，每逾一天，甲方应向乙方支付合同金额的千分之三的滞纳金。甲方无正当理由拒收合同标的、拒付项目款的，应向乙方偿付合同总价千分之五的违约金。</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3、由于乙方原因导致甲方有重大损失的，责任由乙方承担，并依法追究其经济责任和法律责任。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第十条：争议的解决</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1．因质量问题发生争议的，由甲方委托有关技术部门进行质量鉴定，该鉴定的结论甲乙双方应当接受，各方均有权直接向对方索赔，并签订书面处理协议书，报相关部门备案。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2．双方无法通过协商解决合同争议的，任何一方有权向余杭区人民法院提出诉讼。</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第十一条：合同生效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1.合同经甲方、乙方和鉴证方（采购代理机构）法定代表人或授权代表签字并加盖叁方单位公章，甲方收到乙方提交的履约保证金后生效。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2.合同执行中涉及采购资金和采购内容修改或补充的，须经财政部门审批，并签书面补充协议报政府采购监督管理部门备案，方可作为主合同不可分割的一部分。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3.本合同未尽事宜，遵照《中华人民共和国合同法》有关条文执行。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4.本合同一式陆份，乙方、鉴证方(采购代理机构)各执壹份，甲方执肆份。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5.相关招投标文件、询标承诺、产品配置清单等与本合同具有同等法律效力。</w:t>
      </w:r>
    </w:p>
    <w:tbl>
      <w:tblPr>
        <w:tblStyle w:val="6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2"/>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602"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甲方（需方）：公章（或合同专用章）</w:t>
            </w:r>
          </w:p>
        </w:tc>
        <w:tc>
          <w:tcPr>
            <w:tcW w:w="411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乙方（供方）：公章（或合同专用章）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602"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甲方法定代表人或受委托人(签字）：</w:t>
            </w:r>
          </w:p>
        </w:tc>
        <w:tc>
          <w:tcPr>
            <w:tcW w:w="411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乙方法定代表人或受委托人(签字）：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trPr>
        <w:tc>
          <w:tcPr>
            <w:tcW w:w="4602"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甲方项目负责人(签字）：</w:t>
            </w:r>
          </w:p>
        </w:tc>
        <w:tc>
          <w:tcPr>
            <w:tcW w:w="4110" w:type="dxa"/>
            <w:noWrap w:val="0"/>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2"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 </w:t>
            </w:r>
          </w:p>
        </w:tc>
        <w:tc>
          <w:tcPr>
            <w:tcW w:w="411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2"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邮编： </w:t>
            </w:r>
          </w:p>
        </w:tc>
        <w:tc>
          <w:tcPr>
            <w:tcW w:w="411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w:t>
            </w:r>
            <w:r>
              <w:rPr>
                <w:rFonts w:hint="eastAsia" w:asciiTheme="minorEastAsia" w:hAnsiTheme="minorEastAsia" w:eastAsiaTheme="minorEastAsia" w:cstheme="minorEastAsia"/>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2"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 </w:t>
            </w:r>
          </w:p>
        </w:tc>
        <w:tc>
          <w:tcPr>
            <w:tcW w:w="411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2"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传真： </w:t>
            </w:r>
          </w:p>
        </w:tc>
        <w:tc>
          <w:tcPr>
            <w:tcW w:w="411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2"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开户银行： </w:t>
            </w:r>
          </w:p>
        </w:tc>
        <w:tc>
          <w:tcPr>
            <w:tcW w:w="411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2"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帐号：</w:t>
            </w:r>
          </w:p>
        </w:tc>
        <w:tc>
          <w:tcPr>
            <w:tcW w:w="411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2"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签字日期：      年  月  日</w:t>
            </w:r>
          </w:p>
        </w:tc>
        <w:tc>
          <w:tcPr>
            <w:tcW w:w="411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10" w:type="dxa"/>
          <w:trHeight w:val="632" w:hRule="atLeast"/>
        </w:trPr>
        <w:tc>
          <w:tcPr>
            <w:tcW w:w="4602"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合同鉴证方：</w:t>
            </w:r>
            <w:r>
              <w:rPr>
                <w:rFonts w:hint="eastAsia" w:asciiTheme="minorEastAsia" w:hAnsiTheme="minorEastAsia" w:eastAsiaTheme="minorEastAsia" w:cstheme="minorEastAsia"/>
                <w:sz w:val="24"/>
                <w:szCs w:val="24"/>
                <w:lang w:eastAsia="zh-CN"/>
              </w:rPr>
              <w:t>浙江鑫润工程管理有限公司</w:t>
            </w:r>
            <w:r>
              <w:rPr>
                <w:rFonts w:hint="eastAsia" w:asciiTheme="minorEastAsia" w:hAnsiTheme="minorEastAsia" w:eastAsiaTheme="minorEastAsia" w:cstheme="minorEastAsia"/>
                <w:sz w:val="24"/>
                <w:szCs w:val="24"/>
              </w:rPr>
              <w:t>公章（或合同专用章）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10" w:type="dxa"/>
          <w:trHeight w:val="717" w:hRule="atLeast"/>
        </w:trPr>
        <w:tc>
          <w:tcPr>
            <w:tcW w:w="4602"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法定代表人或主要负责人：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10" w:type="dxa"/>
        </w:trPr>
        <w:tc>
          <w:tcPr>
            <w:tcW w:w="4602"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鉴证日期：</w:t>
            </w:r>
          </w:p>
        </w:tc>
      </w:tr>
    </w:tbl>
    <w:p/>
    <w:p/>
    <w:p>
      <w:pPr>
        <w:pStyle w:val="4"/>
        <w:rPr>
          <w:rFonts w:ascii="宋体" w:hAnsi="宋体" w:cs="宋体"/>
          <w:sz w:val="24"/>
        </w:rPr>
      </w:pPr>
    </w:p>
    <w:p/>
    <w:p>
      <w:pPr>
        <w:widowControl/>
        <w:adjustRightInd/>
        <w:jc w:val="center"/>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rPr>
          <w:rFonts w:ascii="宋体" w:hAnsi="宋体" w:cs="宋体"/>
          <w:sz w:val="24"/>
        </w:rPr>
      </w:pPr>
      <w:r>
        <w:rPr>
          <w:rFonts w:hint="eastAsia" w:hAnsi="宋体" w:cs="宋体"/>
          <w:b w:val="0"/>
          <w:i w:val="0"/>
          <w:caps w:val="0"/>
          <w:spacing w:val="0"/>
          <w:w w:val="100"/>
          <w:sz w:val="24"/>
          <w:lang w:val="en-US" w:eastAsia="zh-CN"/>
        </w:rPr>
        <w:t>（5）不承接业务承诺书</w:t>
      </w:r>
      <w:r>
        <w:rPr>
          <w:rFonts w:hint="eastAsia" w:ascii="宋体" w:hAnsi="宋体" w:cs="宋体"/>
          <w:b w:val="0"/>
          <w:i w:val="0"/>
          <w:caps w:val="0"/>
          <w:spacing w:val="0"/>
          <w:w w:val="100"/>
          <w:sz w:val="24"/>
        </w:rPr>
        <w:t>…………………………………………………（页码）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杭州市规划和自然资源局上城分局</w:t>
      </w:r>
      <w:r>
        <w:rPr>
          <w:rFonts w:hint="eastAsia" w:ascii="宋体" w:hAnsi="宋体" w:cs="宋体"/>
          <w:sz w:val="24"/>
        </w:rPr>
        <w:t>、浙江鑫润工程管理有限公司：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建设工程设计方案规划管理辅助技术复核服务及日照分析复核服务</w:t>
      </w:r>
      <w:r>
        <w:rPr>
          <w:rFonts w:hint="eastAsia" w:ascii="宋体" w:hAnsi="宋体" w:cs="宋体"/>
          <w:sz w:val="24"/>
        </w:rPr>
        <w:t>【招标编号：</w:t>
      </w:r>
      <w:r>
        <w:rPr>
          <w:rFonts w:hint="eastAsia" w:ascii="宋体" w:hAnsi="宋体" w:cs="宋体"/>
          <w:color w:val="FF0000"/>
          <w:sz w:val="24"/>
        </w:rPr>
        <w:t>ZJXR2023090401</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pStyle w:val="4"/>
        <w:rPr>
          <w:rFonts w:ascii="宋体" w:hAnsi="宋体" w:cs="宋体"/>
          <w:b/>
          <w:kern w:val="0"/>
          <w:sz w:val="32"/>
          <w:szCs w:val="32"/>
        </w:rPr>
      </w:pPr>
    </w:p>
    <w:p>
      <w:pPr>
        <w:rPr>
          <w:rFonts w:ascii="宋体" w:hAnsi="宋体" w:cs="宋体"/>
          <w:b/>
          <w:kern w:val="0"/>
          <w:sz w:val="32"/>
          <w:szCs w:val="32"/>
        </w:rPr>
      </w:pPr>
    </w:p>
    <w:p>
      <w:pPr>
        <w:jc w:val="center"/>
        <w:rPr>
          <w:rFonts w:hint="eastAsia" w:ascii="宋体" w:hAnsi="宋体" w:cs="宋体"/>
          <w:b/>
          <w:bCs/>
          <w:sz w:val="32"/>
          <w:szCs w:val="32"/>
        </w:rPr>
      </w:pPr>
      <w:r>
        <w:rPr>
          <w:rFonts w:hint="eastAsia" w:hAnsi="宋体" w:cs="宋体"/>
          <w:b/>
          <w:bCs/>
          <w:i w:val="0"/>
          <w:caps w:val="0"/>
          <w:spacing w:val="0"/>
          <w:w w:val="100"/>
          <w:sz w:val="32"/>
          <w:szCs w:val="32"/>
          <w:lang w:val="en-US" w:eastAsia="zh-CN"/>
        </w:rPr>
        <w:t>四、</w:t>
      </w:r>
      <w:r>
        <w:rPr>
          <w:rFonts w:hint="eastAsia" w:ascii="宋体" w:hAnsi="宋体" w:cs="宋体"/>
          <w:b/>
          <w:bCs/>
          <w:sz w:val="32"/>
          <w:szCs w:val="32"/>
        </w:rPr>
        <w:t>不承接业务承诺书</w:t>
      </w:r>
    </w:p>
    <w:p>
      <w:pPr>
        <w:pStyle w:val="61"/>
        <w:ind w:firstLine="210"/>
        <w:rPr>
          <w:rFonts w:hint="eastAsia"/>
        </w:rPr>
      </w:pPr>
    </w:p>
    <w:p>
      <w:pPr>
        <w:spacing w:line="440" w:lineRule="exact"/>
        <w:rPr>
          <w:rFonts w:hint="eastAsia" w:ascii="宋体" w:hAnsi="宋体" w:cs="宋体"/>
          <w:b/>
          <w:sz w:val="24"/>
        </w:rPr>
      </w:pPr>
    </w:p>
    <w:p>
      <w:pPr>
        <w:spacing w:line="440" w:lineRule="exact"/>
        <w:rPr>
          <w:rFonts w:hint="eastAsia" w:ascii="宋体" w:hAnsi="宋体" w:cs="宋体"/>
          <w:b/>
          <w:sz w:val="24"/>
          <w:szCs w:val="24"/>
        </w:rPr>
      </w:pPr>
      <w:r>
        <w:rPr>
          <w:rFonts w:hint="eastAsia"/>
          <w:sz w:val="24"/>
          <w:szCs w:val="24"/>
          <w:lang w:eastAsia="zh-CN"/>
        </w:rPr>
        <w:t>浙江</w:t>
      </w:r>
      <w:r>
        <w:rPr>
          <w:rFonts w:hint="eastAsia"/>
          <w:sz w:val="24"/>
          <w:szCs w:val="24"/>
          <w:lang w:val="en-US" w:eastAsia="zh-CN"/>
        </w:rPr>
        <w:t>鑫润工程</w:t>
      </w:r>
      <w:r>
        <w:rPr>
          <w:rFonts w:hint="eastAsia"/>
          <w:sz w:val="24"/>
          <w:szCs w:val="24"/>
          <w:lang w:eastAsia="zh-CN"/>
        </w:rPr>
        <w:t>管理有限公司</w:t>
      </w:r>
      <w:r>
        <w:rPr>
          <w:rFonts w:hint="eastAsia" w:ascii="宋体" w:hAnsi="宋体" w:cs="宋体"/>
          <w:bCs/>
          <w:sz w:val="24"/>
          <w:szCs w:val="24"/>
        </w:rPr>
        <w:t>：</w:t>
      </w:r>
    </w:p>
    <w:p>
      <w:pPr>
        <w:spacing w:line="360" w:lineRule="auto"/>
        <w:ind w:firstLine="480" w:firstLineChars="200"/>
        <w:rPr>
          <w:rFonts w:hint="eastAsia" w:ascii="Calibri" w:hAnsi="Calibri"/>
          <w:sz w:val="24"/>
          <w:szCs w:val="24"/>
        </w:rPr>
      </w:pPr>
      <w:r>
        <w:rPr>
          <w:rFonts w:hint="eastAsia"/>
          <w:sz w:val="24"/>
          <w:szCs w:val="24"/>
        </w:rPr>
        <w:t>我单位在你公司组织的</w:t>
      </w:r>
      <w:r>
        <w:rPr>
          <w:rFonts w:hint="eastAsia" w:ascii="宋体" w:hAnsi="宋体" w:cs="宋体"/>
          <w:kern w:val="0"/>
          <w:sz w:val="24"/>
          <w:szCs w:val="24"/>
          <w:lang w:eastAsia="zh-CN"/>
        </w:rPr>
        <w:t>杭州市规划和自然资源局上城分局建设工程设计方案规划管理辅助技术复核服务及日照分析复核服务</w:t>
      </w:r>
      <w:r>
        <w:rPr>
          <w:rFonts w:hint="eastAsia"/>
          <w:sz w:val="24"/>
          <w:szCs w:val="24"/>
        </w:rPr>
        <w:t>，ZJXR2023090401（项目编号）的采购中若获中标，我</w:t>
      </w:r>
      <w:r>
        <w:rPr>
          <w:rFonts w:hint="eastAsia" w:ascii="Calibri" w:hAnsi="Calibri"/>
          <w:sz w:val="24"/>
          <w:szCs w:val="24"/>
        </w:rPr>
        <w:t>公司承诺：根据回避制度要求，为公平起见，在项目合同执行期间，</w:t>
      </w:r>
      <w:r>
        <w:rPr>
          <w:rFonts w:hint="eastAsia"/>
          <w:sz w:val="24"/>
          <w:szCs w:val="24"/>
        </w:rPr>
        <w:t>我</w:t>
      </w:r>
      <w:r>
        <w:rPr>
          <w:rFonts w:hint="eastAsia" w:ascii="Calibri" w:hAnsi="Calibri"/>
          <w:sz w:val="24"/>
          <w:szCs w:val="24"/>
        </w:rPr>
        <w:t>公司不再承接合同执行覆盖范围内的建设工程设计方案的设计业务</w:t>
      </w:r>
      <w:r>
        <w:rPr>
          <w:rFonts w:hint="eastAsia" w:ascii="Calibri" w:hAnsi="Calibri"/>
          <w:sz w:val="24"/>
          <w:szCs w:val="24"/>
          <w:lang w:val="en-US" w:eastAsia="zh-CN"/>
        </w:rPr>
        <w:t>和日照分析业务</w:t>
      </w:r>
      <w:r>
        <w:rPr>
          <w:rFonts w:hint="eastAsia" w:ascii="Calibri" w:hAnsi="Calibri"/>
          <w:sz w:val="24"/>
          <w:szCs w:val="24"/>
        </w:rPr>
        <w:t>，</w:t>
      </w:r>
      <w:r>
        <w:rPr>
          <w:rFonts w:hint="eastAsia"/>
          <w:sz w:val="24"/>
          <w:szCs w:val="24"/>
        </w:rPr>
        <w:t>并</w:t>
      </w:r>
      <w:r>
        <w:rPr>
          <w:rFonts w:hint="eastAsia" w:ascii="Calibri" w:hAnsi="Calibri"/>
          <w:sz w:val="24"/>
          <w:szCs w:val="24"/>
        </w:rPr>
        <w:t>愿意接受社会各界监督。若</w:t>
      </w:r>
      <w:r>
        <w:rPr>
          <w:rFonts w:hint="eastAsia"/>
          <w:sz w:val="24"/>
          <w:szCs w:val="24"/>
        </w:rPr>
        <w:t>我</w:t>
      </w:r>
      <w:r>
        <w:rPr>
          <w:rFonts w:hint="eastAsia" w:ascii="Calibri" w:hAnsi="Calibri"/>
          <w:sz w:val="24"/>
          <w:szCs w:val="24"/>
        </w:rPr>
        <w:t>公司违反承诺，违规承接了相关业务，自愿依法接受拒绝后续项目投标资格、记入信用档案、取消合同执行资格等有关处理，给采购人造成损失的，依法承担赔偿责任，并愿意承担相关法律责任。</w:t>
      </w:r>
    </w:p>
    <w:p>
      <w:pPr>
        <w:spacing w:line="600" w:lineRule="exact"/>
        <w:rPr>
          <w:rFonts w:hint="eastAsia" w:ascii="宋体" w:hAnsi="宋体" w:cs="宋体"/>
          <w:sz w:val="24"/>
          <w:szCs w:val="24"/>
        </w:rPr>
      </w:pPr>
    </w:p>
    <w:p>
      <w:pPr>
        <w:spacing w:line="600" w:lineRule="exact"/>
        <w:jc w:val="right"/>
        <w:rPr>
          <w:rFonts w:ascii="宋体" w:hAnsi="宋体" w:cs="宋体"/>
          <w:sz w:val="24"/>
          <w:szCs w:val="24"/>
          <w:lang w:val="zh-CN"/>
        </w:rPr>
      </w:pPr>
    </w:p>
    <w:p>
      <w:pPr>
        <w:spacing w:line="360" w:lineRule="auto"/>
        <w:rPr>
          <w:sz w:val="24"/>
          <w:szCs w:val="24"/>
        </w:rPr>
      </w:pPr>
    </w:p>
    <w:p>
      <w:pPr>
        <w:spacing w:line="360" w:lineRule="auto"/>
        <w:jc w:val="right"/>
        <w:rPr>
          <w:sz w:val="24"/>
          <w:szCs w:val="24"/>
        </w:rPr>
      </w:pPr>
      <w:r>
        <w:rPr>
          <w:rFonts w:hint="eastAsia"/>
          <w:sz w:val="24"/>
          <w:szCs w:val="24"/>
        </w:rPr>
        <w:t xml:space="preserve">投标人全称（盖单位公章）： </w:t>
      </w:r>
    </w:p>
    <w:p>
      <w:pPr>
        <w:spacing w:line="360" w:lineRule="auto"/>
        <w:jc w:val="right"/>
        <w:rPr>
          <w:sz w:val="24"/>
          <w:szCs w:val="24"/>
        </w:rPr>
      </w:pPr>
      <w:r>
        <w:rPr>
          <w:rFonts w:hint="eastAsia"/>
          <w:sz w:val="24"/>
          <w:szCs w:val="24"/>
        </w:rPr>
        <w:t xml:space="preserve">投标文件签署人（签字或盖章）： </w:t>
      </w:r>
    </w:p>
    <w:p>
      <w:pPr>
        <w:pStyle w:val="2"/>
        <w:jc w:val="right"/>
        <w:rPr>
          <w:rFonts w:hint="eastAsia" w:ascii="宋体" w:hAnsi="宋体" w:eastAsia="宋体" w:cs="宋体"/>
          <w:b w:val="0"/>
          <w:i w:val="0"/>
          <w:caps w:val="0"/>
          <w:spacing w:val="0"/>
          <w:w w:val="100"/>
          <w:sz w:val="24"/>
          <w:szCs w:val="24"/>
          <w:lang w:val="en-US" w:eastAsia="zh-CN"/>
        </w:rPr>
      </w:pPr>
      <w:r>
        <w:rPr>
          <w:rFonts w:hint="eastAsia"/>
          <w:sz w:val="24"/>
          <w:szCs w:val="24"/>
        </w:rPr>
        <w:t xml:space="preserve">日期： 年 月 </w:t>
      </w:r>
      <w:r>
        <w:rPr>
          <w:rFonts w:hint="eastAsia"/>
          <w:sz w:val="24"/>
          <w:szCs w:val="24"/>
          <w:lang w:val="en-US" w:eastAsia="zh-CN"/>
        </w:rPr>
        <w:t>日</w:t>
      </w:r>
    </w:p>
    <w:p>
      <w:pPr>
        <w:snapToGrid w:val="0"/>
        <w:spacing w:before="0" w:beforeAutospacing="0" w:after="0" w:afterAutospacing="0" w:line="240" w:lineRule="auto"/>
        <w:jc w:val="both"/>
        <w:textAlignment w:val="baseline"/>
        <w:rPr>
          <w:rFonts w:ascii="宋体" w:hAnsi="宋体" w:cs="宋体"/>
          <w:b w:val="0"/>
          <w:i w:val="0"/>
          <w:caps w:val="0"/>
          <w:spacing w:val="0"/>
          <w:w w:val="100"/>
          <w:sz w:val="20"/>
        </w:rPr>
      </w:pPr>
    </w:p>
    <w:p>
      <w:pPr>
        <w:pStyle w:val="4"/>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杭州市规划和自然资源局上城分局</w:t>
      </w:r>
      <w:r>
        <w:rPr>
          <w:rFonts w:hint="eastAsia" w:ascii="宋体" w:hAnsi="宋体" w:cs="宋体"/>
          <w:sz w:val="24"/>
        </w:rPr>
        <w:t>、浙江鑫润工程管理有限公司：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建设工程设计方案规划管理辅助技术复核服务及日照分析复核服务</w:t>
      </w:r>
      <w:r>
        <w:rPr>
          <w:rFonts w:hint="eastAsia" w:ascii="宋体" w:hAnsi="宋体" w:cs="宋体"/>
          <w:sz w:val="24"/>
        </w:rPr>
        <w:t>【招标编号：</w:t>
      </w:r>
      <w:r>
        <w:rPr>
          <w:rFonts w:hint="eastAsia" w:ascii="宋体" w:hAnsi="宋体" w:cs="宋体"/>
          <w:color w:val="FF0000"/>
          <w:sz w:val="24"/>
        </w:rPr>
        <w:t>ZJXR2023090401</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     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bookmarkStart w:id="386" w:name="_Hlk101257010"/>
      <w:bookmarkEnd w:id="386"/>
      <w:r>
        <w:rPr>
          <w:rFonts w:hint="eastAsia" w:ascii="宋体" w:hAnsi="宋体" w:cs="宋体"/>
          <w:sz w:val="24"/>
        </w:rPr>
        <w:t>2.1.2</w:t>
      </w:r>
      <w:r>
        <w:rPr>
          <w:rFonts w:hint="eastAsia" w:ascii="宋体" w:hAnsi="宋体" w:cs="宋体"/>
          <w:kern w:val="28"/>
          <w:sz w:val="24"/>
          <w:szCs w:val="20"/>
        </w:rPr>
        <w:t>联合协议</w:t>
      </w:r>
      <w:r>
        <w:rPr>
          <w:rFonts w:hint="eastAsia" w:ascii="宋体" w:hAnsi="宋体" w:cs="宋体"/>
          <w:color w:val="FF0000"/>
          <w:sz w:val="24"/>
        </w:rPr>
        <w:t>（如果有)</w:t>
      </w:r>
      <w:r>
        <w:rPr>
          <w:rFonts w:hint="eastAsia" w:ascii="宋体" w:hAnsi="宋体" w:cs="宋体"/>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                                        。</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杭州市规划和自然资源局上城分局</w:t>
      </w:r>
      <w:r>
        <w:rPr>
          <w:rFonts w:hint="eastAsia" w:ascii="宋体" w:hAnsi="宋体" w:cs="宋体"/>
          <w:sz w:val="24"/>
        </w:rPr>
        <w:t>、浙江鑫润工程管理有限公司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          （姓名）为我方代理人（身份证号码：          ，手机：          ），以我方名义处理</w:t>
      </w:r>
      <w:r>
        <w:rPr>
          <w:rFonts w:hint="eastAsia" w:ascii="宋体" w:hAnsi="宋体" w:cs="宋体"/>
          <w:color w:val="0000FF"/>
          <w:sz w:val="24"/>
        </w:rPr>
        <w:t>建设工程设计方案规划管理辅助技术复核服务及日照分析复核服务</w:t>
      </w:r>
      <w:r>
        <w:rPr>
          <w:rFonts w:hint="eastAsia" w:ascii="宋体" w:hAnsi="宋体" w:cs="宋体"/>
          <w:sz w:val="24"/>
        </w:rPr>
        <w:t>【招标编号：</w:t>
      </w:r>
      <w:r>
        <w:rPr>
          <w:rFonts w:hint="eastAsia" w:ascii="宋体" w:hAnsi="宋体" w:cs="宋体"/>
          <w:color w:val="FF0000"/>
          <w:sz w:val="24"/>
        </w:rPr>
        <w:t>ZJXR2023090401</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杭州市规划和自然资源局上城分局</w:t>
      </w:r>
      <w:r>
        <w:rPr>
          <w:rFonts w:hint="eastAsia" w:ascii="宋体" w:hAnsi="宋体" w:cs="宋体"/>
          <w:sz w:val="24"/>
        </w:rPr>
        <w:t>、浙江鑫润工程管理有限公司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          （姓名）为我方代理人（身份证号码：          ，手机：          ），以我方名义处理</w:t>
      </w:r>
      <w:r>
        <w:rPr>
          <w:rFonts w:hint="eastAsia" w:ascii="宋体" w:hAnsi="宋体" w:cs="宋体"/>
          <w:color w:val="0000FF"/>
          <w:sz w:val="24"/>
        </w:rPr>
        <w:t>建设工程设计方案规划管理辅助技术复核服务及日照分析复核服务</w:t>
      </w:r>
      <w:r>
        <w:rPr>
          <w:rFonts w:hint="eastAsia" w:ascii="宋体" w:hAnsi="宋体" w:cs="宋体"/>
          <w:sz w:val="24"/>
        </w:rPr>
        <w:t>【招标编号：</w:t>
      </w:r>
      <w:r>
        <w:rPr>
          <w:rFonts w:hint="eastAsia" w:ascii="宋体" w:hAnsi="宋体" w:cs="宋体"/>
          <w:color w:val="FF0000"/>
          <w:sz w:val="24"/>
        </w:rPr>
        <w:t>ZJXR2023090401</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  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杭州市规划和自然资源局上城分局</w:t>
      </w:r>
      <w:r>
        <w:rPr>
          <w:rFonts w:hint="eastAsia" w:ascii="宋体" w:hAnsi="宋体" w:cs="宋体"/>
          <w:sz w:val="24"/>
        </w:rPr>
        <w:t>、浙江鑫润工程管理有限公司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杭州市规划和自然资源局上城分局</w:t>
      </w:r>
      <w:r>
        <w:rPr>
          <w:rFonts w:hint="eastAsia" w:ascii="宋体" w:hAnsi="宋体" w:cs="宋体"/>
          <w:sz w:val="24"/>
        </w:rPr>
        <w:t>、浙江鑫润工程管理有限公司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建设工程设计方案规划管理辅助技术复核服务及日照分析复核服务</w:t>
      </w:r>
      <w:r>
        <w:rPr>
          <w:rFonts w:hint="eastAsia" w:ascii="宋体" w:hAnsi="宋体" w:cs="宋体"/>
          <w:kern w:val="0"/>
          <w:sz w:val="24"/>
          <w:lang w:val="zh-CN"/>
        </w:rPr>
        <w:t>【招标编号：</w:t>
      </w:r>
      <w:r>
        <w:rPr>
          <w:rFonts w:hint="eastAsia" w:ascii="宋体" w:hAnsi="宋体" w:cs="宋体"/>
          <w:color w:val="FF0000"/>
          <w:sz w:val="24"/>
        </w:rPr>
        <w:t>ZJXR2023090401</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开标一览表（报价表）(单位均为人民币元)</w:t>
      </w:r>
    </w:p>
    <w:tbl>
      <w:tblPr>
        <w:tblStyle w:val="63"/>
        <w:tblW w:w="94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108" w:type="dxa"/>
          <w:bottom w:w="0" w:type="dxa"/>
          <w:right w:w="108" w:type="dxa"/>
        </w:tblCellMar>
      </w:tblPr>
      <w:tblGrid>
        <w:gridCol w:w="766"/>
        <w:gridCol w:w="3720"/>
        <w:gridCol w:w="2610"/>
        <w:gridCol w:w="2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6" w:type="dxa"/>
            <w:tcBorders>
              <w:right w:val="single" w:color="auto" w:sz="4" w:space="0"/>
            </w:tcBorders>
            <w:shd w:val="clear" w:color="auto" w:fill="FFFFFF" w:themeFill="background1"/>
          </w:tcPr>
          <w:p>
            <w:pPr>
              <w:autoSpaceDE w:val="0"/>
              <w:autoSpaceDN w:val="0"/>
              <w:spacing w:line="44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序号</w:t>
            </w:r>
          </w:p>
        </w:tc>
        <w:tc>
          <w:tcPr>
            <w:tcW w:w="3720" w:type="dxa"/>
            <w:tcBorders>
              <w:left w:val="single" w:color="auto" w:sz="4" w:space="0"/>
            </w:tcBorders>
            <w:shd w:val="clear" w:color="auto" w:fill="FFFFFF" w:themeFill="background1"/>
          </w:tcPr>
          <w:p>
            <w:pPr>
              <w:autoSpaceDE w:val="0"/>
              <w:autoSpaceDN w:val="0"/>
              <w:spacing w:line="44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服务内容</w:t>
            </w:r>
          </w:p>
        </w:tc>
        <w:tc>
          <w:tcPr>
            <w:tcW w:w="2610" w:type="dxa"/>
            <w:shd w:val="clear" w:color="auto" w:fill="FFFFFF" w:themeFill="background1"/>
          </w:tcPr>
          <w:p>
            <w:pPr>
              <w:autoSpaceDE w:val="0"/>
              <w:autoSpaceDN w:val="0"/>
              <w:spacing w:line="44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投标单价综合报价</w:t>
            </w:r>
          </w:p>
        </w:tc>
        <w:tc>
          <w:tcPr>
            <w:tcW w:w="2400" w:type="dxa"/>
            <w:shd w:val="clear" w:color="auto" w:fill="FFFFFF" w:themeFill="background1"/>
          </w:tcPr>
          <w:p>
            <w:pPr>
              <w:autoSpaceDE w:val="0"/>
              <w:autoSpaceDN w:val="0"/>
              <w:spacing w:line="44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790" w:hRule="atLeast"/>
        </w:trPr>
        <w:tc>
          <w:tcPr>
            <w:tcW w:w="766" w:type="dxa"/>
            <w:tcBorders>
              <w:right w:val="single" w:color="auto" w:sz="4" w:space="0"/>
            </w:tcBorders>
            <w:shd w:val="clear" w:color="auto" w:fill="FFFFFF" w:themeFill="background1"/>
            <w:vAlign w:val="center"/>
          </w:tcPr>
          <w:p>
            <w:pPr>
              <w:autoSpaceDE w:val="0"/>
              <w:autoSpaceDN w:val="0"/>
              <w:spacing w:line="44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720" w:type="dxa"/>
            <w:tcBorders>
              <w:left w:val="single" w:color="auto" w:sz="4" w:space="0"/>
            </w:tcBorders>
            <w:shd w:val="clear" w:color="auto" w:fill="FFFFFF" w:themeFill="background1"/>
            <w:vAlign w:val="center"/>
          </w:tcPr>
          <w:p>
            <w:pPr>
              <w:autoSpaceDE w:val="0"/>
              <w:autoSpaceDN w:val="0"/>
              <w:spacing w:line="44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技术审查复核服务（单价）拟建建筑</w:t>
            </w:r>
          </w:p>
        </w:tc>
        <w:tc>
          <w:tcPr>
            <w:tcW w:w="2610" w:type="dxa"/>
            <w:shd w:val="clear" w:color="auto" w:fill="FFFFFF" w:themeFill="background1"/>
            <w:vAlign w:val="center"/>
          </w:tcPr>
          <w:p>
            <w:pPr>
              <w:autoSpaceDE w:val="0"/>
              <w:autoSpaceDN w:val="0"/>
              <w:spacing w:line="44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元/平方米</w:t>
            </w:r>
          </w:p>
        </w:tc>
        <w:tc>
          <w:tcPr>
            <w:tcW w:w="2400" w:type="dxa"/>
            <w:vMerge w:val="restart"/>
            <w:shd w:val="clear" w:color="auto" w:fill="FFFFFF" w:themeFill="background1"/>
            <w:vAlign w:val="center"/>
          </w:tcPr>
          <w:p>
            <w:pPr>
              <w:snapToGrid w:val="0"/>
              <w:spacing w:before="0" w:beforeAutospacing="0" w:after="0" w:afterAutospacing="0" w:line="360" w:lineRule="auto"/>
              <w:jc w:val="left"/>
              <w:textAlignment w:val="baseline"/>
              <w:rPr>
                <w:rFonts w:ascii="仿宋" w:hAnsi="仿宋" w:eastAsia="仿宋" w:cs="仿宋"/>
                <w:color w:val="000000" w:themeColor="text1"/>
                <w:kern w:val="0"/>
                <w:sz w:val="24"/>
                <w14:textFill>
                  <w14:solidFill>
                    <w14:schemeClr w14:val="tx1"/>
                  </w14:solidFill>
                </w14:textFill>
              </w:rPr>
            </w:pPr>
            <w:r>
              <w:rPr>
                <w:rFonts w:hint="eastAsia"/>
                <w:b/>
                <w:bCs/>
                <w:sz w:val="21"/>
                <w:szCs w:val="21"/>
                <w:highlight w:val="none"/>
              </w:rPr>
              <w:t>本项目技术审查复核服务最高限价（单价）为拟建建筑0.35元/平方米；日照分析复核服务最高限价（单价）拟建建筑0.35元/平方米，周边建筑1080元/幢，超过最高限价的投标文件将做无效标处理。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770" w:hRule="atLeast"/>
        </w:trPr>
        <w:tc>
          <w:tcPr>
            <w:tcW w:w="766" w:type="dxa"/>
            <w:tcBorders>
              <w:right w:val="single" w:color="auto" w:sz="4" w:space="0"/>
            </w:tcBorders>
            <w:shd w:val="clear" w:color="auto" w:fill="FFFFFF" w:themeFill="background1"/>
            <w:vAlign w:val="center"/>
          </w:tcPr>
          <w:p>
            <w:pPr>
              <w:autoSpaceDE w:val="0"/>
              <w:autoSpaceDN w:val="0"/>
              <w:spacing w:line="44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720" w:type="dxa"/>
            <w:tcBorders>
              <w:left w:val="single" w:color="auto" w:sz="4" w:space="0"/>
            </w:tcBorders>
            <w:shd w:val="clear" w:color="auto" w:fill="FFFFFF" w:themeFill="background1"/>
            <w:vAlign w:val="center"/>
          </w:tcPr>
          <w:p>
            <w:pPr>
              <w:widowControl/>
              <w:spacing w:before="75" w:after="75" w:line="30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日照分析复核服务（单价）拟建建筑</w:t>
            </w:r>
          </w:p>
        </w:tc>
        <w:tc>
          <w:tcPr>
            <w:tcW w:w="2610" w:type="dxa"/>
            <w:shd w:val="clear" w:color="auto" w:fill="FFFFFF" w:themeFill="background1"/>
            <w:vAlign w:val="center"/>
          </w:tcPr>
          <w:p>
            <w:pPr>
              <w:autoSpaceDE w:val="0"/>
              <w:autoSpaceDN w:val="0"/>
              <w:spacing w:line="44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元/平方米</w:t>
            </w:r>
          </w:p>
        </w:tc>
        <w:tc>
          <w:tcPr>
            <w:tcW w:w="2400" w:type="dxa"/>
            <w:vMerge w:val="continue"/>
            <w:tcBorders/>
            <w:shd w:val="clear" w:color="auto" w:fill="FFFFFF" w:themeFill="background1"/>
            <w:vAlign w:val="center"/>
          </w:tcPr>
          <w:p>
            <w:pPr>
              <w:autoSpaceDE w:val="0"/>
              <w:autoSpaceDN w:val="0"/>
              <w:spacing w:line="440" w:lineRule="exact"/>
              <w:jc w:val="center"/>
              <w:rPr>
                <w:rFonts w:ascii="仿宋" w:hAnsi="仿宋" w:eastAsia="仿宋" w:cs="仿宋"/>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770" w:hRule="atLeast"/>
        </w:trPr>
        <w:tc>
          <w:tcPr>
            <w:tcW w:w="766" w:type="dxa"/>
            <w:tcBorders>
              <w:right w:val="single" w:color="auto" w:sz="4" w:space="0"/>
            </w:tcBorders>
            <w:shd w:val="clear" w:color="auto" w:fill="FFFFFF" w:themeFill="background1"/>
            <w:vAlign w:val="center"/>
          </w:tcPr>
          <w:p>
            <w:pPr>
              <w:autoSpaceDE w:val="0"/>
              <w:autoSpaceDN w:val="0"/>
              <w:spacing w:line="440" w:lineRule="exac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p>
        </w:tc>
        <w:tc>
          <w:tcPr>
            <w:tcW w:w="3720" w:type="dxa"/>
            <w:tcBorders>
              <w:left w:val="single" w:color="auto" w:sz="4" w:space="0"/>
            </w:tcBorders>
            <w:shd w:val="clear" w:color="auto" w:fill="FFFFFF" w:themeFill="background1"/>
            <w:vAlign w:val="center"/>
          </w:tcPr>
          <w:p>
            <w:pPr>
              <w:widowControl/>
              <w:spacing w:before="75" w:after="75" w:line="300" w:lineRule="exac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日照分析复核服务（单价）周边建筑</w:t>
            </w:r>
          </w:p>
        </w:tc>
        <w:tc>
          <w:tcPr>
            <w:tcW w:w="2610" w:type="dxa"/>
            <w:shd w:val="clear" w:color="auto" w:fill="FFFFFF" w:themeFill="background1"/>
            <w:vAlign w:val="center"/>
          </w:tcPr>
          <w:p>
            <w:pPr>
              <w:autoSpaceDE w:val="0"/>
              <w:autoSpaceDN w:val="0"/>
              <w:spacing w:line="440" w:lineRule="exact"/>
              <w:jc w:val="center"/>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元/幢</w:t>
            </w:r>
          </w:p>
        </w:tc>
        <w:tc>
          <w:tcPr>
            <w:tcW w:w="2400" w:type="dxa"/>
            <w:vMerge w:val="continue"/>
            <w:tcBorders/>
            <w:shd w:val="clear" w:color="auto" w:fill="FFFFFF" w:themeFill="background1"/>
            <w:vAlign w:val="center"/>
          </w:tcPr>
          <w:p>
            <w:pPr>
              <w:autoSpaceDE w:val="0"/>
              <w:autoSpaceDN w:val="0"/>
              <w:spacing w:line="440" w:lineRule="exact"/>
              <w:jc w:val="center"/>
              <w:rPr>
                <w:rFonts w:ascii="仿宋" w:hAnsi="仿宋" w:eastAsia="仿宋" w:cs="仿宋"/>
                <w:color w:val="000000" w:themeColor="text1"/>
                <w:kern w:val="0"/>
                <w:sz w:val="24"/>
                <w14:textFill>
                  <w14:solidFill>
                    <w14:schemeClr w14:val="tx1"/>
                  </w14:solidFill>
                </w14:textFill>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rPr>
        <w:t>(采购人)</w:t>
      </w:r>
      <w:r>
        <w:rPr>
          <w:rFonts w:hint="eastAsia" w:ascii="宋体" w:hAnsi="宋体" w:cs="宋体"/>
          <w:sz w:val="24"/>
        </w:rPr>
        <w:t>_单位的_</w:t>
      </w:r>
      <w:r>
        <w:rPr>
          <w:rFonts w:hint="eastAsia" w:ascii="宋体" w:hAnsi="宋体" w:cs="宋体"/>
          <w:color w:val="0000FF"/>
          <w:sz w:val="24"/>
        </w:rPr>
        <w:t>建设工程设计方案规划管理辅助技术复核服务及日照分析复核服务_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rPr>
      </w:pPr>
      <w:r>
        <w:rPr>
          <w:rFonts w:hint="eastAsia" w:ascii="宋体" w:hAnsi="宋体" w:cs="宋体"/>
          <w:sz w:val="24"/>
        </w:rPr>
        <w:t xml:space="preserve">质疑供应商：                                        </w:t>
      </w:r>
    </w:p>
    <w:p>
      <w:pPr>
        <w:snapToGrid w:val="0"/>
        <w:spacing w:line="360" w:lineRule="auto"/>
        <w:rPr>
          <w:rFonts w:ascii="宋体" w:hAnsi="宋体" w:cs="宋体"/>
          <w:sz w:val="24"/>
        </w:rPr>
      </w:pPr>
      <w:r>
        <w:rPr>
          <w:rFonts w:hint="eastAsia" w:ascii="宋体" w:hAnsi="宋体" w:cs="宋体"/>
          <w:sz w:val="24"/>
        </w:rPr>
        <w:t xml:space="preserve">地址：                          邮编：                                                   </w:t>
      </w:r>
    </w:p>
    <w:p>
      <w:pPr>
        <w:snapToGrid w:val="0"/>
        <w:spacing w:line="360" w:lineRule="auto"/>
        <w:rPr>
          <w:rFonts w:ascii="宋体" w:hAnsi="宋体" w:cs="宋体"/>
          <w:sz w:val="24"/>
        </w:rPr>
      </w:pPr>
      <w:r>
        <w:rPr>
          <w:rFonts w:hint="eastAsia" w:ascii="宋体" w:hAnsi="宋体" w:cs="宋体"/>
          <w:sz w:val="24"/>
        </w:rPr>
        <w:t xml:space="preserve">联系人：                      联系电话：                              </w:t>
      </w:r>
    </w:p>
    <w:p>
      <w:pPr>
        <w:snapToGrid w:val="0"/>
        <w:spacing w:line="360" w:lineRule="auto"/>
        <w:rPr>
          <w:rFonts w:ascii="宋体" w:hAnsi="宋体" w:cs="宋体"/>
          <w:sz w:val="24"/>
        </w:rPr>
      </w:pPr>
      <w:r>
        <w:rPr>
          <w:rFonts w:hint="eastAsia" w:ascii="宋体" w:hAnsi="宋体" w:cs="宋体"/>
          <w:sz w:val="24"/>
        </w:rPr>
        <w:t xml:space="preserve">授权代表：                                          </w:t>
      </w:r>
    </w:p>
    <w:p>
      <w:pPr>
        <w:snapToGrid w:val="0"/>
        <w:spacing w:line="360" w:lineRule="auto"/>
        <w:rPr>
          <w:rFonts w:ascii="宋体" w:hAnsi="宋体" w:cs="宋体"/>
          <w:sz w:val="24"/>
        </w:rPr>
      </w:pPr>
      <w:r>
        <w:rPr>
          <w:rFonts w:hint="eastAsia" w:ascii="宋体" w:hAnsi="宋体" w:cs="宋体"/>
          <w:sz w:val="24"/>
        </w:rPr>
        <w:t xml:space="preserve">联系电话：                                            </w:t>
      </w:r>
    </w:p>
    <w:p>
      <w:pPr>
        <w:snapToGrid w:val="0"/>
        <w:spacing w:line="360" w:lineRule="auto"/>
        <w:rPr>
          <w:rFonts w:ascii="宋体" w:hAnsi="宋体" w:cs="宋体"/>
          <w:sz w:val="24"/>
        </w:rPr>
      </w:pPr>
      <w:r>
        <w:rPr>
          <w:rFonts w:hint="eastAsia" w:ascii="宋体" w:hAnsi="宋体" w:cs="宋体"/>
          <w:sz w:val="24"/>
        </w:rPr>
        <w:t xml:space="preserve">地址：                         邮编：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 xml:space="preserve">质疑项目的名称：                                      </w:t>
      </w:r>
    </w:p>
    <w:p>
      <w:pPr>
        <w:snapToGrid w:val="0"/>
        <w:spacing w:line="360" w:lineRule="auto"/>
        <w:rPr>
          <w:rFonts w:ascii="宋体" w:hAnsi="宋体" w:cs="宋体"/>
          <w:sz w:val="24"/>
        </w:rPr>
      </w:pPr>
      <w:r>
        <w:rPr>
          <w:rFonts w:hint="eastAsia" w:ascii="宋体" w:hAnsi="宋体" w:cs="宋体"/>
          <w:sz w:val="24"/>
        </w:rPr>
        <w:t xml:space="preserve">质疑项目的编号：               包号：                 </w:t>
      </w:r>
    </w:p>
    <w:p>
      <w:pPr>
        <w:snapToGrid w:val="0"/>
        <w:spacing w:line="360" w:lineRule="auto"/>
        <w:rPr>
          <w:rFonts w:ascii="宋体" w:hAnsi="宋体" w:cs="宋体"/>
          <w:sz w:val="24"/>
        </w:rPr>
      </w:pPr>
      <w:r>
        <w:rPr>
          <w:rFonts w:hint="eastAsia" w:ascii="宋体" w:hAnsi="宋体" w:cs="宋体"/>
          <w:sz w:val="24"/>
        </w:rPr>
        <w:t xml:space="preserve">采购人名称：                                         </w:t>
      </w:r>
    </w:p>
    <w:p>
      <w:pPr>
        <w:snapToGrid w:val="0"/>
        <w:spacing w:line="360" w:lineRule="auto"/>
        <w:rPr>
          <w:rFonts w:ascii="宋体" w:hAnsi="宋体" w:cs="宋体"/>
          <w:sz w:val="24"/>
        </w:rPr>
      </w:pPr>
      <w:r>
        <w:rPr>
          <w:rFonts w:hint="eastAsia" w:ascii="宋体" w:hAnsi="宋体" w:cs="宋体"/>
          <w:sz w:val="24"/>
        </w:rPr>
        <w:t xml:space="preserve">采购文件获取日期：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rPr>
      </w:pPr>
      <w:r>
        <w:rPr>
          <w:rFonts w:hint="eastAsia" w:ascii="宋体" w:hAnsi="宋体" w:cs="宋体"/>
          <w:sz w:val="24"/>
        </w:rPr>
        <w:t xml:space="preserve">质疑事项1：                                         </w:t>
      </w:r>
    </w:p>
    <w:p>
      <w:pPr>
        <w:snapToGrid w:val="0"/>
        <w:spacing w:line="360" w:lineRule="auto"/>
        <w:rPr>
          <w:rFonts w:ascii="宋体" w:hAnsi="宋体" w:cs="宋体"/>
          <w:sz w:val="24"/>
        </w:rPr>
      </w:pPr>
      <w:r>
        <w:rPr>
          <w:rFonts w:hint="eastAsia" w:ascii="宋体" w:hAnsi="宋体" w:cs="宋体"/>
          <w:sz w:val="24"/>
        </w:rPr>
        <w:t xml:space="preserve">事实依据：                                          </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法律依据：                                          </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rPr>
      </w:pPr>
      <w:r>
        <w:rPr>
          <w:rFonts w:hint="eastAsia" w:ascii="宋体" w:hAnsi="宋体" w:cs="宋体"/>
          <w:sz w:val="24"/>
        </w:rPr>
        <w:t xml:space="preserve">请求：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rPr>
      </w:pPr>
      <w:r>
        <w:rPr>
          <w:rFonts w:hint="eastAsia" w:ascii="宋体" w:hAnsi="宋体" w:cs="宋体"/>
          <w:sz w:val="24"/>
        </w:rPr>
        <w:t xml:space="preserve">投诉人：                                               </w:t>
      </w:r>
    </w:p>
    <w:p>
      <w:pPr>
        <w:spacing w:line="360" w:lineRule="auto"/>
        <w:rPr>
          <w:rFonts w:ascii="宋体" w:hAnsi="宋体" w:cs="宋体"/>
          <w:sz w:val="24"/>
        </w:rPr>
      </w:pPr>
      <w:r>
        <w:rPr>
          <w:rFonts w:hint="eastAsia" w:ascii="宋体" w:hAnsi="宋体" w:cs="宋体"/>
          <w:sz w:val="24"/>
        </w:rPr>
        <w:t xml:space="preserve">地     址：                             邮编：            </w:t>
      </w:r>
    </w:p>
    <w:p>
      <w:pPr>
        <w:tabs>
          <w:tab w:val="left" w:pos="6510"/>
        </w:tabs>
        <w:spacing w:line="360" w:lineRule="auto"/>
        <w:jc w:val="left"/>
        <w:rPr>
          <w:rFonts w:ascii="宋体" w:hAnsi="宋体" w:cs="宋体"/>
          <w:sz w:val="24"/>
        </w:rPr>
      </w:pPr>
      <w:r>
        <w:rPr>
          <w:rFonts w:hint="eastAsia" w:ascii="宋体" w:hAnsi="宋体" w:cs="宋体"/>
          <w:sz w:val="24"/>
        </w:rPr>
        <w:t xml:space="preserve">法定代表人/主要负责人：                                     </w:t>
      </w:r>
    </w:p>
    <w:p>
      <w:pPr>
        <w:tabs>
          <w:tab w:val="left" w:pos="6510"/>
        </w:tabs>
        <w:spacing w:line="360" w:lineRule="auto"/>
        <w:rPr>
          <w:rFonts w:ascii="宋体" w:hAnsi="宋体" w:cs="宋体"/>
          <w:sz w:val="24"/>
        </w:rPr>
      </w:pPr>
      <w:r>
        <w:rPr>
          <w:rFonts w:hint="eastAsia" w:ascii="宋体" w:hAnsi="宋体" w:cs="宋体"/>
          <w:sz w:val="24"/>
        </w:rPr>
        <w:t xml:space="preserve">联系电话：                                             </w:t>
      </w:r>
    </w:p>
    <w:p>
      <w:pPr>
        <w:spacing w:line="360" w:lineRule="auto"/>
        <w:rPr>
          <w:rFonts w:ascii="宋体" w:hAnsi="宋体" w:cs="宋体"/>
          <w:sz w:val="24"/>
        </w:rPr>
      </w:pPr>
      <w:r>
        <w:rPr>
          <w:rFonts w:hint="eastAsia" w:ascii="宋体" w:hAnsi="宋体" w:cs="宋体"/>
          <w:sz w:val="24"/>
        </w:rPr>
        <w:t xml:space="preserve">授权代表：             联系电话：                  </w:t>
      </w:r>
    </w:p>
    <w:p>
      <w:pPr>
        <w:spacing w:line="360" w:lineRule="auto"/>
        <w:rPr>
          <w:rFonts w:ascii="宋体" w:hAnsi="宋体" w:cs="宋体"/>
          <w:sz w:val="24"/>
        </w:rPr>
      </w:pPr>
      <w:r>
        <w:rPr>
          <w:rFonts w:hint="eastAsia" w:ascii="宋体" w:hAnsi="宋体" w:cs="宋体"/>
          <w:sz w:val="24"/>
        </w:rPr>
        <w:t xml:space="preserve">地     址：                             邮编：                             </w:t>
      </w:r>
    </w:p>
    <w:p>
      <w:pPr>
        <w:spacing w:line="360" w:lineRule="auto"/>
        <w:rPr>
          <w:rFonts w:ascii="宋体" w:hAnsi="宋体" w:cs="宋体"/>
          <w:sz w:val="24"/>
        </w:rPr>
      </w:pPr>
      <w:r>
        <w:rPr>
          <w:rFonts w:hint="eastAsia" w:ascii="宋体" w:hAnsi="宋体" w:cs="宋体"/>
          <w:sz w:val="24"/>
        </w:rPr>
        <w:t xml:space="preserve">被投诉人1：                                             </w:t>
      </w:r>
    </w:p>
    <w:p>
      <w:pPr>
        <w:spacing w:line="360" w:lineRule="auto"/>
        <w:rPr>
          <w:rFonts w:ascii="宋体" w:hAnsi="宋体" w:cs="宋体"/>
          <w:sz w:val="24"/>
        </w:rPr>
      </w:pPr>
      <w:r>
        <w:rPr>
          <w:rFonts w:hint="eastAsia" w:ascii="宋体" w:hAnsi="宋体" w:cs="宋体"/>
          <w:sz w:val="24"/>
        </w:rPr>
        <w:t xml:space="preserve">地     址：                             邮编：           </w:t>
      </w:r>
    </w:p>
    <w:p>
      <w:pPr>
        <w:spacing w:line="360" w:lineRule="auto"/>
        <w:rPr>
          <w:rFonts w:ascii="宋体" w:hAnsi="宋体" w:cs="宋体"/>
          <w:sz w:val="24"/>
        </w:rPr>
      </w:pPr>
      <w:r>
        <w:rPr>
          <w:rFonts w:hint="eastAsia" w:ascii="宋体" w:hAnsi="宋体" w:cs="宋体"/>
          <w:sz w:val="24"/>
        </w:rPr>
        <w:t xml:space="preserve">联系人：               联系电话：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 xml:space="preserve">相关供应商：                                               </w:t>
      </w:r>
    </w:p>
    <w:p>
      <w:pPr>
        <w:spacing w:line="360" w:lineRule="auto"/>
        <w:rPr>
          <w:rFonts w:ascii="宋体" w:hAnsi="宋体" w:cs="宋体"/>
          <w:sz w:val="24"/>
        </w:rPr>
      </w:pPr>
      <w:r>
        <w:rPr>
          <w:rFonts w:hint="eastAsia" w:ascii="宋体" w:hAnsi="宋体" w:cs="宋体"/>
          <w:sz w:val="24"/>
        </w:rPr>
        <w:t xml:space="preserve">地     址：                             邮编：           </w:t>
      </w:r>
    </w:p>
    <w:p>
      <w:pPr>
        <w:spacing w:line="360" w:lineRule="auto"/>
        <w:rPr>
          <w:rFonts w:ascii="宋体" w:hAnsi="宋体" w:cs="宋体"/>
          <w:sz w:val="24"/>
        </w:rPr>
      </w:pPr>
      <w:r>
        <w:rPr>
          <w:rFonts w:hint="eastAsia" w:ascii="宋体" w:hAnsi="宋体" w:cs="宋体"/>
          <w:sz w:val="24"/>
        </w:rPr>
        <w:t xml:space="preserve">联系人：               联系电话：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rPr>
      </w:pPr>
      <w:r>
        <w:rPr>
          <w:rFonts w:hint="eastAsia" w:ascii="宋体" w:hAnsi="宋体" w:cs="宋体"/>
          <w:sz w:val="24"/>
        </w:rPr>
        <w:t xml:space="preserve">采购项目名称：                                        </w:t>
      </w:r>
    </w:p>
    <w:p>
      <w:pPr>
        <w:spacing w:line="360" w:lineRule="auto"/>
        <w:rPr>
          <w:rFonts w:ascii="宋体" w:hAnsi="宋体" w:cs="宋体"/>
          <w:sz w:val="24"/>
        </w:rPr>
      </w:pPr>
      <w:r>
        <w:rPr>
          <w:rFonts w:hint="eastAsia" w:ascii="宋体" w:hAnsi="宋体" w:cs="宋体"/>
          <w:sz w:val="24"/>
        </w:rPr>
        <w:t xml:space="preserve">采购项目编号：                 包号：              </w:t>
      </w:r>
    </w:p>
    <w:p>
      <w:pPr>
        <w:spacing w:line="360" w:lineRule="auto"/>
        <w:rPr>
          <w:rFonts w:ascii="宋体" w:hAnsi="宋体" w:cs="宋体"/>
          <w:sz w:val="24"/>
        </w:rPr>
      </w:pPr>
      <w:r>
        <w:rPr>
          <w:rFonts w:hint="eastAsia" w:ascii="宋体" w:hAnsi="宋体" w:cs="宋体"/>
          <w:sz w:val="24"/>
        </w:rPr>
        <w:t xml:space="preserve">采购人名称：                                             </w:t>
      </w:r>
    </w:p>
    <w:p>
      <w:pPr>
        <w:spacing w:line="360" w:lineRule="auto"/>
        <w:rPr>
          <w:rFonts w:ascii="宋体" w:hAnsi="宋体" w:cs="宋体"/>
          <w:sz w:val="24"/>
        </w:rPr>
      </w:pPr>
      <w:r>
        <w:rPr>
          <w:rFonts w:hint="eastAsia" w:ascii="宋体" w:hAnsi="宋体" w:cs="宋体"/>
          <w:sz w:val="24"/>
        </w:rPr>
        <w:t xml:space="preserve">代理机构名称：                                         </w:t>
      </w:r>
    </w:p>
    <w:p>
      <w:pPr>
        <w:spacing w:line="360" w:lineRule="auto"/>
        <w:rPr>
          <w:rFonts w:ascii="宋体" w:hAnsi="宋体" w:cs="宋体"/>
          <w:sz w:val="24"/>
        </w:rPr>
      </w:pPr>
      <w:r>
        <w:rPr>
          <w:rFonts w:hint="eastAsia" w:ascii="宋体" w:hAnsi="宋体" w:cs="宋体"/>
          <w:sz w:val="24"/>
        </w:rPr>
        <w:t xml:space="preserve">采购文件公告:是/否 公告期限：                                 </w:t>
      </w:r>
    </w:p>
    <w:p>
      <w:pPr>
        <w:spacing w:line="360" w:lineRule="auto"/>
        <w:rPr>
          <w:rFonts w:ascii="宋体" w:hAnsi="宋体" w:cs="宋体"/>
          <w:sz w:val="24"/>
        </w:rPr>
      </w:pPr>
      <w:r>
        <w:rPr>
          <w:rFonts w:hint="eastAsia" w:ascii="宋体" w:hAnsi="宋体" w:cs="宋体"/>
          <w:sz w:val="24"/>
        </w:rPr>
        <w:t xml:space="preserve">采购结果公告:是/否 公告期限：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rPr>
      </w:pPr>
      <w:r>
        <w:rPr>
          <w:rFonts w:hint="eastAsia" w:ascii="宋体" w:hAnsi="宋体" w:cs="宋体"/>
          <w:sz w:val="24"/>
        </w:rPr>
        <w:t xml:space="preserve">投诉人于   年   月  日,向                   提出质疑，质疑事项为：                                </w:t>
      </w:r>
    </w:p>
    <w:p>
      <w:pPr>
        <w:spacing w:line="360" w:lineRule="auto"/>
        <w:rPr>
          <w:rFonts w:ascii="宋体" w:hAnsi="宋体" w:cs="宋体"/>
          <w:sz w:val="24"/>
        </w:rPr>
      </w:pP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rPr>
        <w:t>采购人/代理机构于   年   月   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rPr>
      </w:pPr>
      <w:r>
        <w:rPr>
          <w:rFonts w:hint="eastAsia" w:ascii="宋体" w:hAnsi="宋体" w:cs="宋体"/>
          <w:sz w:val="24"/>
        </w:rPr>
        <w:t xml:space="preserve">投诉事项 1：                                       </w:t>
      </w:r>
    </w:p>
    <w:p>
      <w:pPr>
        <w:spacing w:line="360" w:lineRule="auto"/>
        <w:rPr>
          <w:rFonts w:ascii="宋体" w:hAnsi="宋体" w:cs="宋体"/>
          <w:sz w:val="24"/>
        </w:rPr>
      </w:pPr>
      <w:r>
        <w:rPr>
          <w:rFonts w:hint="eastAsia" w:ascii="宋体" w:hAnsi="宋体" w:cs="宋体"/>
          <w:sz w:val="24"/>
        </w:rPr>
        <w:t xml:space="preserve">事实依据：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法律依据：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 xml:space="preserve">请求：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color w:val="0000FF"/>
          <w:sz w:val="24"/>
        </w:rPr>
        <w:t>杭州市规划和自然资源局上城分局</w:t>
      </w:r>
      <w:r>
        <w:rPr>
          <w:rFonts w:hint="eastAsia" w:ascii="宋体" w:hAnsi="宋体" w:cs="宋体"/>
          <w:sz w:val="24"/>
        </w:rPr>
        <w:t>、浙江鑫润工程管理有限公司：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 xml:space="preserve">我方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建设工程设计方案规划管理辅助技术复核服务及日照分析复核服务</w:t>
      </w:r>
      <w:r>
        <w:rPr>
          <w:rFonts w:hint="eastAsia" w:ascii="宋体" w:hAnsi="宋体" w:cs="宋体"/>
          <w:sz w:val="24"/>
        </w:rPr>
        <w:t>【招标编号：</w:t>
      </w:r>
      <w:r>
        <w:rPr>
          <w:rFonts w:hint="eastAsia" w:ascii="宋体" w:hAnsi="宋体" w:cs="宋体"/>
          <w:color w:val="FF0000"/>
          <w:sz w:val="24"/>
        </w:rPr>
        <w:t>ZJXR2023090401</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WQDz/YAAAACgEAAA8A&#10;AAAAAAAAAQAgAAAAIgAAAGRycy9kb3ducmV2LnhtbFBLAQIUABQAAAAIAIdO4kCPmvZcFwIAAFoE&#10;AAAOAAAAAAAAAAEAIAAAACcBAABkcnMvZTJvRG9jLnhtbFBLBQYAAAAABgAGAFkBAACwBQ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5" name="Rectangle 16"/>
                <wp:cNvGraphicFramePr/>
                <a:graphic xmlns:a="http://schemas.openxmlformats.org/drawingml/2006/main">
                  <a:graphicData uri="http://schemas.microsoft.com/office/word/2010/wordprocessingShape">
                    <wps:wsp>
                      <wps:cNvSpPr>
                        <a:spLocks noChangeArrowheads="1"/>
                      </wps:cNvSpPr>
                      <wps:spPr>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YxHptgAAAAKAQAADwAA&#10;AAAAAAABACAAAAAiAAAAZHJzL2Rvd25yZXYueG1sUEsBAhQAFAAAAAgAh07iQC7RSTMWAgAAWgQA&#10;AA4AAAAAAAAAAQAgAAAAJwEAAGRycy9lMm9Eb2MueG1sUEsFBgAAAAAGAAYAWQEAAK8FA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rPr>
        <w:t>（联合体所有成员名称）自愿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建设工程设计方案规划管理辅助技术复核服务及日照分析复核服务</w:t>
      </w:r>
      <w:r>
        <w:rPr>
          <w:rFonts w:hint="eastAsia" w:ascii="宋体" w:hAnsi="宋体" w:cs="宋体"/>
          <w:sz w:val="24"/>
        </w:rPr>
        <w:t>【招标编号：</w:t>
      </w:r>
      <w:r>
        <w:rPr>
          <w:rFonts w:hint="eastAsia" w:ascii="宋体" w:hAnsi="宋体" w:cs="宋体"/>
          <w:color w:val="FF0000"/>
          <w:sz w:val="24"/>
        </w:rPr>
        <w:t>ZJXR2023090401</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rPr>
        <w:t>（某联合体成员名称）为联合体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rPr>
        <w:t>（联合体成员1）</w:t>
      </w:r>
      <w:r>
        <w:rPr>
          <w:rFonts w:hint="eastAsia" w:ascii="宋体" w:hAnsi="宋体" w:cs="宋体"/>
          <w:kern w:val="0"/>
          <w:sz w:val="24"/>
          <w:lang w:val="zh-CN"/>
        </w:rPr>
        <w:t>承担的工作和义务为：</w:t>
      </w:r>
      <w:r>
        <w:rPr>
          <w:rFonts w:hint="eastAsia" w:ascii="宋体" w:hAnsi="宋体" w:cs="宋体"/>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rPr>
        <w:t>（联合体成员</w:t>
      </w:r>
      <w:r>
        <w:rPr>
          <w:rFonts w:ascii="宋体" w:hAnsi="宋体" w:cs="宋体"/>
          <w:kern w:val="0"/>
          <w:sz w:val="24"/>
        </w:rPr>
        <w:t>2</w:t>
      </w:r>
      <w:r>
        <w:rPr>
          <w:rFonts w:hint="eastAsia" w:ascii="宋体" w:hAnsi="宋体" w:cs="宋体"/>
          <w:kern w:val="0"/>
          <w:sz w:val="24"/>
        </w:rPr>
        <w:t>）</w:t>
      </w:r>
      <w:r>
        <w:rPr>
          <w:rFonts w:hint="eastAsia" w:ascii="宋体" w:hAnsi="宋体" w:cs="宋体"/>
          <w:kern w:val="0"/>
          <w:sz w:val="24"/>
          <w:lang w:val="zh-CN"/>
        </w:rPr>
        <w:t>承担的工作和义务为：</w:t>
      </w:r>
      <w:r>
        <w:rPr>
          <w:rFonts w:hint="eastAsia" w:ascii="宋体" w:hAnsi="宋体" w:cs="宋体"/>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bookmarkStart w:id="387" w:name="_Hlk101131882"/>
      <w:bookmarkEnd w:id="387"/>
      <w:bookmarkStart w:id="388" w:name="_Hlk101133598"/>
      <w:bookmarkEnd w:id="388"/>
      <w:r>
        <w:rPr>
          <w:rFonts w:hint="eastAsia" w:ascii="宋体" w:hAnsi="宋体" w:cs="宋体"/>
          <w:kern w:val="0"/>
          <w:sz w:val="24"/>
          <w:lang w:val="zh-CN"/>
        </w:rPr>
        <w:t>1、</w:t>
      </w:r>
      <w:r>
        <w:rPr>
          <w:rFonts w:hint="eastAsia" w:ascii="宋体" w:hAnsi="宋体" w:cs="宋体"/>
          <w:kern w:val="0"/>
          <w:sz w:val="24"/>
        </w:rPr>
        <w:t>（联合体成员X</w:t>
      </w:r>
      <w:r>
        <w:rPr>
          <w:rFonts w:ascii="宋体" w:hAnsi="宋体" w:cs="宋体"/>
          <w:kern w:val="0"/>
          <w:sz w:val="24"/>
        </w:rPr>
        <w:t>,</w:t>
      </w:r>
      <w:r>
        <w:rPr>
          <w:rFonts w:hint="eastAsia" w:ascii="宋体" w:hAnsi="宋体" w:cs="宋体"/>
          <w:kern w:val="0"/>
          <w:sz w:val="24"/>
        </w:rPr>
        <w:t>……）提供的服务由小微企业承接，其合同份额占到合同总金额     %以上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bookmarkStart w:id="389" w:name="_Hlk101133173"/>
      <w:bookmarkEnd w:id="389"/>
      <w:r>
        <w:rPr>
          <w:rFonts w:hint="eastAsia" w:ascii="宋体" w:hAnsi="宋体" w:cs="宋体"/>
          <w:sz w:val="24"/>
        </w:rPr>
        <w:t>2、中小企业合同金额达到  %，小微企业合同金额达到 %</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rPr>
        <w:t>（投标人名称）</w:t>
      </w:r>
      <w:r>
        <w:rPr>
          <w:rFonts w:hint="eastAsia" w:ascii="宋体" w:hAnsi="宋体" w:cs="宋体"/>
          <w:kern w:val="0"/>
          <w:sz w:val="24"/>
          <w:lang w:val="zh-CN"/>
        </w:rPr>
        <w:t>若成为</w:t>
      </w:r>
      <w:r>
        <w:rPr>
          <w:rFonts w:hint="eastAsia" w:ascii="宋体" w:hAnsi="宋体" w:cs="宋体"/>
          <w:color w:val="0000FF"/>
          <w:sz w:val="24"/>
        </w:rPr>
        <w:t>建设工程设计方案规划管理辅助技术复核服务及日照分析复核服务</w:t>
      </w:r>
      <w:r>
        <w:rPr>
          <w:rFonts w:hint="eastAsia" w:ascii="宋体" w:hAnsi="宋体" w:cs="宋体"/>
          <w:sz w:val="24"/>
        </w:rPr>
        <w:t>【招标编号：</w:t>
      </w:r>
      <w:r>
        <w:rPr>
          <w:rFonts w:hint="eastAsia" w:ascii="宋体" w:hAnsi="宋体" w:cs="宋体"/>
          <w:color w:val="FF0000"/>
          <w:sz w:val="24"/>
        </w:rPr>
        <w:t>ZJXR2023090401</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rPr>
        <w:t>（投标人名称）与（所有分包供应商名称）达成分包意向协议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rPr>
        <w:t>（投标人名称）</w:t>
      </w:r>
      <w:r>
        <w:rPr>
          <w:rFonts w:hint="eastAsia" w:ascii="宋体" w:hAnsi="宋体" w:cs="宋体"/>
          <w:kern w:val="0"/>
          <w:sz w:val="24"/>
          <w:lang w:val="zh-CN"/>
        </w:rPr>
        <w:t>将</w:t>
      </w:r>
      <w:r>
        <w:rPr>
          <w:rFonts w:hint="eastAsia" w:ascii="宋体" w:hAnsi="宋体" w:cs="宋体"/>
        </w:rPr>
        <w:t xml:space="preserve">  </w:t>
      </w:r>
      <w:r>
        <w:rPr>
          <w:rFonts w:ascii="宋体" w:hAnsi="宋体" w:cs="宋体"/>
          <w:kern w:val="0"/>
          <w:sz w:val="24"/>
        </w:rPr>
        <w:t xml:space="preserve"> XX工作内容   </w:t>
      </w:r>
      <w:r>
        <w:rPr>
          <w:rFonts w:hint="eastAsia" w:ascii="宋体" w:hAnsi="宋体" w:cs="宋体"/>
          <w:sz w:val="24"/>
        </w:rPr>
        <w:t>分包给</w:t>
      </w:r>
      <w:r>
        <w:rPr>
          <w:rFonts w:hint="eastAsia" w:ascii="宋体" w:hAnsi="宋体" w:cs="宋体"/>
          <w:kern w:val="0"/>
          <w:sz w:val="24"/>
        </w:rPr>
        <w:t>（分包供应商1名称）</w:t>
      </w:r>
      <w:r>
        <w:rPr>
          <w:rFonts w:hint="eastAsia" w:ascii="宋体" w:hAnsi="宋体" w:cs="宋体"/>
          <w:kern w:val="0"/>
          <w:sz w:val="24"/>
          <w:lang w:val="zh-CN"/>
        </w:rPr>
        <w:t>，</w:t>
      </w:r>
      <w:r>
        <w:rPr>
          <w:rFonts w:hint="eastAsia" w:ascii="宋体" w:hAnsi="宋体" w:cs="宋体"/>
          <w:kern w:val="0"/>
          <w:sz w:val="24"/>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lang w:val="zh-CN"/>
        </w:rPr>
        <w:t>XX工作内容相应资质条件且不得再次分包；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rPr>
        <w:t>（分包供应商X</w:t>
      </w:r>
      <w:r>
        <w:rPr>
          <w:rFonts w:ascii="宋体" w:hAnsi="宋体" w:cs="宋体"/>
          <w:kern w:val="0"/>
          <w:sz w:val="24"/>
        </w:rPr>
        <w:t>,</w:t>
      </w:r>
      <w:r>
        <w:rPr>
          <w:rFonts w:hint="eastAsia" w:ascii="宋体" w:hAnsi="宋体" w:cs="宋体"/>
          <w:kern w:val="0"/>
          <w:sz w:val="24"/>
        </w:rPr>
        <w:t>……）提供的服务全部由小微企业承接，其合同份额占到合同总金额     %以上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  %，小微企业合同金额达到 %</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rPr>
      </w:pPr>
      <w:r>
        <w:rPr>
          <w:rFonts w:hint="eastAsia" w:ascii="宋体" w:hAnsi="宋体" w:cs="宋体"/>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  %，小微企业合同金额达到 %</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rPr>
        <w:t>杭州市规划和自然资源局上城分局</w:t>
      </w:r>
      <w:r>
        <w:rPr>
          <w:rFonts w:hint="eastAsia" w:ascii="宋体" w:hAnsi="宋体" w:cs="宋体"/>
          <w:sz w:val="24"/>
        </w:rPr>
        <w:t xml:space="preserve"> 的</w:t>
      </w:r>
      <w:r>
        <w:rPr>
          <w:rFonts w:hint="eastAsia" w:ascii="宋体" w:hAnsi="宋体" w:cs="宋体"/>
          <w:color w:val="0000FF"/>
          <w:sz w:val="24"/>
        </w:rPr>
        <w:t xml:space="preserve"> 建设工程设计方案规划管理辅助技术复核服务及日照分析复核服务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rPr>
        <w:t>（标的名称）</w:t>
      </w:r>
      <w:r>
        <w:rPr>
          <w:rFonts w:hint="eastAsia" w:ascii="宋体" w:hAnsi="宋体" w:cs="宋体"/>
          <w:sz w:val="24"/>
        </w:rPr>
        <w:t>，属于</w:t>
      </w:r>
      <w:r>
        <w:rPr>
          <w:rFonts w:hint="eastAsia" w:ascii="宋体" w:hAnsi="宋体" w:cs="宋体"/>
          <w:color w:val="0000FF"/>
          <w:sz w:val="24"/>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企业为 （企业名称） ，从业人员   人，营业收入为  万元，资产总额为   万元属于 （中型企业、小型企业、微型企业） ；</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rPr>
        <w:t xml:space="preserve"> （标的名称），</w:t>
      </w:r>
      <w:r>
        <w:rPr>
          <w:rFonts w:hint="eastAsia" w:ascii="宋体" w:hAnsi="宋体" w:cs="宋体"/>
          <w:sz w:val="24"/>
        </w:rPr>
        <w:t xml:space="preserve">属于 </w:t>
      </w:r>
      <w:r>
        <w:rPr>
          <w:rFonts w:hint="eastAsia" w:ascii="宋体" w:hAnsi="宋体" w:cs="宋体"/>
          <w:color w:val="0000FF"/>
          <w:sz w:val="24"/>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企业为 （企业名称） ，从业人员   人，营业收入为  万元，资产总额为   万元属于 （中型企业、小型企业、微型企业） ；</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bookmarkStart w:id="390" w:name="_Toc91899912"/>
    <w:bookmarkEnd w:id="390"/>
    <w:bookmarkStart w:id="391" w:name="_Toc131845147"/>
    <w:bookmarkEnd w:id="391"/>
    <w:bookmarkStart w:id="392" w:name="_Toc36110187"/>
    <w:bookmarkEnd w:id="392"/>
    <w:bookmarkStart w:id="393" w:name="_Toc164085800"/>
    <w:bookmarkEnd w:id="393"/>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rPr>
    </w:pPr>
    <w:r>
      <w:t></w:t>
    </w:r>
    <w:r>
      <w:rPr>
        <w:rFonts w:hint="eastAsia"/>
      </w:rPr>
      <w:t xml:space="preserve">                                                  </w:t>
    </w:r>
    <w:r>
      <w:t xml:space="preserve">             杭州市政府采购公开招标文件</w:t>
    </w:r>
  </w:p>
  <w:p>
    <w:pPr>
      <w:rPr>
        <w:rFonts w:ascii="仿宋_GB2312" w:eastAsia="仿宋_GB2312"/>
        <w:b/>
        <w:i/>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rPr>
    </w:pPr>
    <w:r>
      <w:t></w:t>
    </w:r>
    <w:r>
      <w:rPr>
        <w:rFonts w:hint="eastAsia"/>
      </w:rPr>
      <w:t xml:space="preserve">                                                  </w:t>
    </w:r>
    <w:r>
      <w:t>杭州市政府采购公开招标文件</w:t>
    </w:r>
  </w:p>
  <w:p>
    <w:pPr>
      <w:rPr>
        <w:rFonts w:ascii="仿宋_GB2312" w:eastAsia="仿宋_GB2312"/>
        <w:b/>
        <w:i/>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rPr>
    </w:pPr>
    <w:r>
      <w:rPr>
        <w:rFonts w:hint="eastAsia"/>
      </w:rPr>
      <w:t xml:space="preserve">                                  </w:t>
    </w:r>
    <w:r>
      <w:t>杭州市政府采购公开招标文件</w:t>
    </w:r>
  </w:p>
  <w:p>
    <w:pPr>
      <w:rPr>
        <w:rFonts w:ascii="仿宋_GB2312" w:eastAsia="仿宋_GB2312"/>
        <w:b/>
        <w:i/>
        <w:sz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C7B80"/>
    <w:multiLevelType w:val="multilevel"/>
    <w:tmpl w:val="031C7B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6E56F5"/>
    <w:multiLevelType w:val="multilevel"/>
    <w:tmpl w:val="2F6E56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77233A"/>
    <w:multiLevelType w:val="multilevel"/>
    <w:tmpl w:val="2F7723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037E78"/>
    <w:multiLevelType w:val="multilevel"/>
    <w:tmpl w:val="3C037E7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1D06853"/>
    <w:multiLevelType w:val="multilevel"/>
    <w:tmpl w:val="51D0685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9CE1EA"/>
    <w:multiLevelType w:val="singleLevel"/>
    <w:tmpl w:val="589CE1EA"/>
    <w:lvl w:ilvl="0" w:tentative="0">
      <w:start w:val="1"/>
      <w:numFmt w:val="decimal"/>
      <w:suff w:val="nothing"/>
      <w:lvlText w:val="%1、"/>
      <w:lvlJc w:val="left"/>
    </w:lvl>
  </w:abstractNum>
  <w:abstractNum w:abstractNumId="6">
    <w:nsid w:val="63736D4C"/>
    <w:multiLevelType w:val="multilevel"/>
    <w:tmpl w:val="63736D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MjA2MTE2MzYzNzg5MWExZWNmMzdjYWVmMGU4OT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18C"/>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6C3E"/>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2C3A"/>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F4F"/>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98D"/>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B9"/>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4763E"/>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43D"/>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874"/>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047"/>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6C43"/>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00F"/>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6E00"/>
    <w:rsid w:val="00F06E1F"/>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6C99"/>
    <w:rsid w:val="010651D9"/>
    <w:rsid w:val="011F6449"/>
    <w:rsid w:val="01236AFB"/>
    <w:rsid w:val="019273BB"/>
    <w:rsid w:val="019F7441"/>
    <w:rsid w:val="01AA388A"/>
    <w:rsid w:val="01B37585"/>
    <w:rsid w:val="01D55165"/>
    <w:rsid w:val="01DF6BF8"/>
    <w:rsid w:val="01EC2C57"/>
    <w:rsid w:val="025F0711"/>
    <w:rsid w:val="026B2E25"/>
    <w:rsid w:val="02824D4D"/>
    <w:rsid w:val="02DC4B10"/>
    <w:rsid w:val="02DD76CE"/>
    <w:rsid w:val="02F36323"/>
    <w:rsid w:val="02F5619C"/>
    <w:rsid w:val="0318642A"/>
    <w:rsid w:val="0326446A"/>
    <w:rsid w:val="032D5555"/>
    <w:rsid w:val="036634D2"/>
    <w:rsid w:val="03DD35E4"/>
    <w:rsid w:val="04076900"/>
    <w:rsid w:val="041A5A3B"/>
    <w:rsid w:val="042311BA"/>
    <w:rsid w:val="042B157A"/>
    <w:rsid w:val="048F763B"/>
    <w:rsid w:val="04960F57"/>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26B01"/>
    <w:rsid w:val="08A871D0"/>
    <w:rsid w:val="08D66AD6"/>
    <w:rsid w:val="08DA33A3"/>
    <w:rsid w:val="08E80F13"/>
    <w:rsid w:val="09335624"/>
    <w:rsid w:val="0944690F"/>
    <w:rsid w:val="09535675"/>
    <w:rsid w:val="095F057D"/>
    <w:rsid w:val="095F6B8B"/>
    <w:rsid w:val="09642282"/>
    <w:rsid w:val="09733572"/>
    <w:rsid w:val="09772C16"/>
    <w:rsid w:val="098353B5"/>
    <w:rsid w:val="09A92330"/>
    <w:rsid w:val="09B06B87"/>
    <w:rsid w:val="09C13146"/>
    <w:rsid w:val="09E04166"/>
    <w:rsid w:val="0A1C0718"/>
    <w:rsid w:val="0A3E7710"/>
    <w:rsid w:val="0A52631C"/>
    <w:rsid w:val="0A5B7E63"/>
    <w:rsid w:val="0AA374A5"/>
    <w:rsid w:val="0AAB7649"/>
    <w:rsid w:val="0ABC5606"/>
    <w:rsid w:val="0B30404E"/>
    <w:rsid w:val="0B4C6C14"/>
    <w:rsid w:val="0B547599"/>
    <w:rsid w:val="0B631A88"/>
    <w:rsid w:val="0B683D45"/>
    <w:rsid w:val="0B7F3F11"/>
    <w:rsid w:val="0B884417"/>
    <w:rsid w:val="0BF6188C"/>
    <w:rsid w:val="0BF73C91"/>
    <w:rsid w:val="0C127594"/>
    <w:rsid w:val="0C170175"/>
    <w:rsid w:val="0C571A41"/>
    <w:rsid w:val="0C5C1171"/>
    <w:rsid w:val="0C5E1CBC"/>
    <w:rsid w:val="0C615B50"/>
    <w:rsid w:val="0C8445DA"/>
    <w:rsid w:val="0C87121B"/>
    <w:rsid w:val="0C882659"/>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D195B"/>
    <w:rsid w:val="0F4958DC"/>
    <w:rsid w:val="0F515DF7"/>
    <w:rsid w:val="0F596BA8"/>
    <w:rsid w:val="0F6248D2"/>
    <w:rsid w:val="0F693536"/>
    <w:rsid w:val="0F7B0511"/>
    <w:rsid w:val="0F7B76D9"/>
    <w:rsid w:val="0F816ACD"/>
    <w:rsid w:val="0F841905"/>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9138CA"/>
    <w:rsid w:val="16A8729C"/>
    <w:rsid w:val="16B33777"/>
    <w:rsid w:val="16BC70A7"/>
    <w:rsid w:val="16C6339E"/>
    <w:rsid w:val="172066A3"/>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5F68AA"/>
    <w:rsid w:val="1A984BAD"/>
    <w:rsid w:val="1AB8220E"/>
    <w:rsid w:val="1AE4166C"/>
    <w:rsid w:val="1AF06CFB"/>
    <w:rsid w:val="1AF11B8D"/>
    <w:rsid w:val="1B11359C"/>
    <w:rsid w:val="1B2A271F"/>
    <w:rsid w:val="1B530544"/>
    <w:rsid w:val="1B713184"/>
    <w:rsid w:val="1BA209CF"/>
    <w:rsid w:val="1BB4777D"/>
    <w:rsid w:val="1BCA2F44"/>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D95313"/>
    <w:rsid w:val="1FE868A9"/>
    <w:rsid w:val="1FF77770"/>
    <w:rsid w:val="20034907"/>
    <w:rsid w:val="20173E4B"/>
    <w:rsid w:val="204E48BC"/>
    <w:rsid w:val="208921B3"/>
    <w:rsid w:val="20973DEB"/>
    <w:rsid w:val="20B26522"/>
    <w:rsid w:val="20B44310"/>
    <w:rsid w:val="211116EB"/>
    <w:rsid w:val="216133FC"/>
    <w:rsid w:val="21D56769"/>
    <w:rsid w:val="21E52EF3"/>
    <w:rsid w:val="21E85655"/>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81B1C"/>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533DE"/>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713CDC"/>
    <w:rsid w:val="2DD15014"/>
    <w:rsid w:val="2DF72DE4"/>
    <w:rsid w:val="2E0220AF"/>
    <w:rsid w:val="2E4B082A"/>
    <w:rsid w:val="2E5D4E86"/>
    <w:rsid w:val="2E5D790B"/>
    <w:rsid w:val="2E9A3C18"/>
    <w:rsid w:val="2EBB0FEE"/>
    <w:rsid w:val="2EC63002"/>
    <w:rsid w:val="2F0A6B38"/>
    <w:rsid w:val="2F946CCB"/>
    <w:rsid w:val="2FB71747"/>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72505"/>
    <w:rsid w:val="32BA0C53"/>
    <w:rsid w:val="32BE5C2C"/>
    <w:rsid w:val="32FB6478"/>
    <w:rsid w:val="33263B3F"/>
    <w:rsid w:val="336963EB"/>
    <w:rsid w:val="33816EEB"/>
    <w:rsid w:val="33EB55CD"/>
    <w:rsid w:val="33EC4C02"/>
    <w:rsid w:val="340B1DBD"/>
    <w:rsid w:val="340D2360"/>
    <w:rsid w:val="3410665D"/>
    <w:rsid w:val="34211214"/>
    <w:rsid w:val="342E63AB"/>
    <w:rsid w:val="34950E68"/>
    <w:rsid w:val="34986E94"/>
    <w:rsid w:val="349F1D9B"/>
    <w:rsid w:val="34AF62C9"/>
    <w:rsid w:val="34CB4388"/>
    <w:rsid w:val="34FA6E12"/>
    <w:rsid w:val="354D7158"/>
    <w:rsid w:val="358D5588"/>
    <w:rsid w:val="36357B33"/>
    <w:rsid w:val="363A3B40"/>
    <w:rsid w:val="365302AE"/>
    <w:rsid w:val="36607A0A"/>
    <w:rsid w:val="366E227C"/>
    <w:rsid w:val="366F2E0D"/>
    <w:rsid w:val="367B6A5C"/>
    <w:rsid w:val="36A74ADA"/>
    <w:rsid w:val="36AD60D5"/>
    <w:rsid w:val="36B224F9"/>
    <w:rsid w:val="36EC0CC9"/>
    <w:rsid w:val="373F410B"/>
    <w:rsid w:val="37526A2D"/>
    <w:rsid w:val="37EE7094"/>
    <w:rsid w:val="38296C89"/>
    <w:rsid w:val="383002EB"/>
    <w:rsid w:val="38586797"/>
    <w:rsid w:val="38BC0149"/>
    <w:rsid w:val="38D87D1C"/>
    <w:rsid w:val="390E4FC0"/>
    <w:rsid w:val="39636459"/>
    <w:rsid w:val="396B7F6C"/>
    <w:rsid w:val="39B417A9"/>
    <w:rsid w:val="39D05576"/>
    <w:rsid w:val="39FC5695"/>
    <w:rsid w:val="3A006D8E"/>
    <w:rsid w:val="3A3651E5"/>
    <w:rsid w:val="3A744481"/>
    <w:rsid w:val="3A8C7BEF"/>
    <w:rsid w:val="3A906246"/>
    <w:rsid w:val="3B2349B7"/>
    <w:rsid w:val="3B5618BA"/>
    <w:rsid w:val="3B616CFF"/>
    <w:rsid w:val="3B6259F6"/>
    <w:rsid w:val="3B976654"/>
    <w:rsid w:val="3BC01EFC"/>
    <w:rsid w:val="3BCA786A"/>
    <w:rsid w:val="3BD31E2F"/>
    <w:rsid w:val="3BF15831"/>
    <w:rsid w:val="3C105946"/>
    <w:rsid w:val="3C1F2DF3"/>
    <w:rsid w:val="3C471448"/>
    <w:rsid w:val="3C5F759A"/>
    <w:rsid w:val="3C6C525A"/>
    <w:rsid w:val="3CCE23CB"/>
    <w:rsid w:val="3CD17D17"/>
    <w:rsid w:val="3D3C7F39"/>
    <w:rsid w:val="3D440F09"/>
    <w:rsid w:val="3D4504A0"/>
    <w:rsid w:val="3D6E4DCF"/>
    <w:rsid w:val="3D8734BB"/>
    <w:rsid w:val="3D9A11D4"/>
    <w:rsid w:val="3DA16D89"/>
    <w:rsid w:val="3DA364BE"/>
    <w:rsid w:val="3DE041CB"/>
    <w:rsid w:val="3E0D48F6"/>
    <w:rsid w:val="3E1868B4"/>
    <w:rsid w:val="3E377251"/>
    <w:rsid w:val="3E3C5AEC"/>
    <w:rsid w:val="3E42664B"/>
    <w:rsid w:val="3E5A7334"/>
    <w:rsid w:val="3E7B5D6B"/>
    <w:rsid w:val="3E843E66"/>
    <w:rsid w:val="3E8F51FE"/>
    <w:rsid w:val="3E926F87"/>
    <w:rsid w:val="3E9A59DE"/>
    <w:rsid w:val="3EAF4836"/>
    <w:rsid w:val="3EBA3B3A"/>
    <w:rsid w:val="3EC33DFA"/>
    <w:rsid w:val="3F060E16"/>
    <w:rsid w:val="3F1D1096"/>
    <w:rsid w:val="3F1D731C"/>
    <w:rsid w:val="3F2F0234"/>
    <w:rsid w:val="3F6363FE"/>
    <w:rsid w:val="3F756B8F"/>
    <w:rsid w:val="3F95482B"/>
    <w:rsid w:val="3FA548E4"/>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77A3B"/>
    <w:rsid w:val="488B5503"/>
    <w:rsid w:val="48937E21"/>
    <w:rsid w:val="489A0361"/>
    <w:rsid w:val="48B94FF3"/>
    <w:rsid w:val="48BD5D34"/>
    <w:rsid w:val="48E37AAB"/>
    <w:rsid w:val="48FD4B4C"/>
    <w:rsid w:val="490A68E0"/>
    <w:rsid w:val="491055FE"/>
    <w:rsid w:val="495F5B3E"/>
    <w:rsid w:val="496F77D7"/>
    <w:rsid w:val="497654FD"/>
    <w:rsid w:val="49931758"/>
    <w:rsid w:val="49B64211"/>
    <w:rsid w:val="49BD1CA5"/>
    <w:rsid w:val="49E56AF9"/>
    <w:rsid w:val="49F6167F"/>
    <w:rsid w:val="4A064FA0"/>
    <w:rsid w:val="4A16615C"/>
    <w:rsid w:val="4A4424D7"/>
    <w:rsid w:val="4A8B5F74"/>
    <w:rsid w:val="4AB82D0F"/>
    <w:rsid w:val="4AEB7664"/>
    <w:rsid w:val="4AFD7C19"/>
    <w:rsid w:val="4B0567D1"/>
    <w:rsid w:val="4B236AAE"/>
    <w:rsid w:val="4B707271"/>
    <w:rsid w:val="4B825172"/>
    <w:rsid w:val="4B9739F7"/>
    <w:rsid w:val="4BEE2503"/>
    <w:rsid w:val="4C245A30"/>
    <w:rsid w:val="4CB6685F"/>
    <w:rsid w:val="4CC367FE"/>
    <w:rsid w:val="4CE440D4"/>
    <w:rsid w:val="4D077F3C"/>
    <w:rsid w:val="4D123355"/>
    <w:rsid w:val="4D2A3B31"/>
    <w:rsid w:val="4D312C52"/>
    <w:rsid w:val="4D905305"/>
    <w:rsid w:val="4D964A72"/>
    <w:rsid w:val="4D9C1254"/>
    <w:rsid w:val="4DE55170"/>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CB26A0"/>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E56AFB"/>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41F24"/>
    <w:rsid w:val="5E552BBA"/>
    <w:rsid w:val="5E611C10"/>
    <w:rsid w:val="5E7A0F3F"/>
    <w:rsid w:val="5EFC7377"/>
    <w:rsid w:val="5F06174D"/>
    <w:rsid w:val="5F3A3602"/>
    <w:rsid w:val="5F45733B"/>
    <w:rsid w:val="5F6277C6"/>
    <w:rsid w:val="5F6D0B1D"/>
    <w:rsid w:val="5F8D0B82"/>
    <w:rsid w:val="5FCC5339"/>
    <w:rsid w:val="5FE34A5B"/>
    <w:rsid w:val="5FFE1E36"/>
    <w:rsid w:val="60232584"/>
    <w:rsid w:val="606A7242"/>
    <w:rsid w:val="607330CE"/>
    <w:rsid w:val="60825176"/>
    <w:rsid w:val="609F2AC4"/>
    <w:rsid w:val="60FA2EE8"/>
    <w:rsid w:val="61054A27"/>
    <w:rsid w:val="610A52BC"/>
    <w:rsid w:val="611D2366"/>
    <w:rsid w:val="61421856"/>
    <w:rsid w:val="615227C4"/>
    <w:rsid w:val="61654E3F"/>
    <w:rsid w:val="61804E4A"/>
    <w:rsid w:val="6182292A"/>
    <w:rsid w:val="619F7F92"/>
    <w:rsid w:val="61DF14A0"/>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D32049"/>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3870A4"/>
    <w:rsid w:val="6B573233"/>
    <w:rsid w:val="6B5B6274"/>
    <w:rsid w:val="6B935D53"/>
    <w:rsid w:val="6BA62FC6"/>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686E13"/>
    <w:rsid w:val="6F8331F1"/>
    <w:rsid w:val="6FAE1A09"/>
    <w:rsid w:val="6FD75BF8"/>
    <w:rsid w:val="707723D0"/>
    <w:rsid w:val="70C0089F"/>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A92247"/>
    <w:rsid w:val="75D20F1D"/>
    <w:rsid w:val="75DA2C18"/>
    <w:rsid w:val="75F54412"/>
    <w:rsid w:val="761B4715"/>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78088"/>
    <w:rsid w:val="7E1E5218"/>
    <w:rsid w:val="7E9A4E1F"/>
    <w:rsid w:val="7EA7723A"/>
    <w:rsid w:val="7EF56FBB"/>
    <w:rsid w:val="7F0768EB"/>
    <w:rsid w:val="7F143BEC"/>
    <w:rsid w:val="7F715AF2"/>
    <w:rsid w:val="7F886E69"/>
    <w:rsid w:val="7FDB6D8D"/>
    <w:rsid w:val="BB7FA927"/>
    <w:rsid w:val="F5FFD31F"/>
    <w:rsid w:val="FDC54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2">
    <w:name w:val="Body Text"/>
    <w:basedOn w:val="1"/>
    <w:link w:val="428"/>
    <w:qFormat/>
    <w:uiPriority w:val="0"/>
    <w:pPr>
      <w:autoSpaceDE w:val="0"/>
      <w:autoSpaceDN w:val="0"/>
      <w:spacing w:line="360" w:lineRule="auto"/>
    </w:pPr>
    <w:rPr>
      <w:rFonts w:ascii="宋体" w:hAnsi="Arial" w:cs="Arial"/>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cs="Arial"/>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8"/>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
    <w:link w:val="319"/>
    <w:qFormat/>
    <w:uiPriority w:val="0"/>
    <w:pPr>
      <w:ind w:firstLine="420"/>
    </w:pPr>
    <w:rPr>
      <w:rFonts w:hAnsi="Calibri" w:cs="Times New Roman"/>
      <w:szCs w:val="20"/>
    </w:rPr>
  </w:style>
  <w:style w:type="paragraph" w:styleId="62">
    <w:name w:val="Body Text First Indent 2"/>
    <w:basedOn w:val="24"/>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kern w:val="0"/>
      <w:szCs w:val="21"/>
    </w:rPr>
  </w:style>
  <w:style w:type="character" w:styleId="74">
    <w:name w:val="FollowedHyperlink"/>
    <w:qFormat/>
    <w:uiPriority w:val="99"/>
    <w:rPr>
      <w:rFonts w:ascii="Arial" w:hAnsi="Arial" w:eastAsia="黑体" w:cs="Arial"/>
      <w:color w:val="000000"/>
      <w:kern w:val="0"/>
      <w:sz w:val="18"/>
      <w:szCs w:val="18"/>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kern w:val="0"/>
      <w:szCs w:val="21"/>
    </w:rPr>
  </w:style>
  <w:style w:type="character" w:styleId="77">
    <w:name w:val="Hyperlink"/>
    <w:qFormat/>
    <w:uiPriority w:val="99"/>
    <w:rPr>
      <w:rFonts w:ascii="Arial" w:hAnsi="Arial" w:eastAsia="黑体" w:cs="Arial"/>
      <w:color w:val="000000"/>
      <w:kern w:val="0"/>
      <w:sz w:val="18"/>
      <w:szCs w:val="18"/>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uiPriority w:val="0"/>
    <w:rPr>
      <w:rFonts w:ascii="Calibri" w:hAnsi="Calibri" w:eastAsia="宋体" w:cs="黑体"/>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rPr>
  </w:style>
  <w:style w:type="character" w:customStyle="1" w:styleId="121">
    <w:name w:val="表正文 Char1"/>
    <w:qFormat/>
    <w:uiPriority w:val="0"/>
    <w:rPr>
      <w:rFonts w:ascii="宋体" w:eastAsia="宋体"/>
      <w:color w:val="000000"/>
      <w:kern w:val="28"/>
      <w:sz w:val="28"/>
    </w:rPr>
  </w:style>
  <w:style w:type="character" w:customStyle="1" w:styleId="122">
    <w:name w:val="blue1"/>
    <w:basedOn w:val="70"/>
    <w:qFormat/>
    <w:uiPriority w:val="0"/>
    <w:rPr>
      <w:rFonts w:ascii="Arial" w:hAnsi="Arial" w:eastAsia="黑体" w:cs="Arial"/>
      <w:kern w:val="0"/>
      <w:szCs w:val="21"/>
    </w:rPr>
  </w:style>
  <w:style w:type="character" w:customStyle="1" w:styleId="123">
    <w:name w:val="纯文本 Char"/>
    <w:link w:val="32"/>
    <w:qFormat/>
    <w:uiPriority w:val="0"/>
    <w:rPr>
      <w:rFonts w:ascii="宋体" w:hAnsi="Courier New" w:eastAsia="宋体" w:cs="Arial"/>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kern w:val="2"/>
      <w:sz w:val="21"/>
      <w:szCs w:val="21"/>
      <w:lang w:val="en-US" w:eastAsia="zh-CN" w:bidi="ar-SA"/>
    </w:rPr>
  </w:style>
  <w:style w:type="character" w:customStyle="1" w:styleId="196">
    <w:name w:val="3级 Char"/>
    <w:link w:val="197"/>
    <w:qFormat/>
    <w:uiPriority w:val="0"/>
    <w:rPr>
      <w:rFonts w:ascii="宋体" w:hAnsi="宋体"/>
      <w:b/>
      <w:bCs/>
      <w:sz w:val="28"/>
    </w:rPr>
  </w:style>
  <w:style w:type="paragraph" w:customStyle="1" w:styleId="197">
    <w:name w:val="3级"/>
    <w:basedOn w:val="198"/>
    <w:link w:val="196"/>
    <w:qFormat/>
    <w:uiPriority w:val="0"/>
    <w:pPr>
      <w:ind w:left="0" w:right="466" w:firstLine="288"/>
    </w:pPr>
    <w:rPr>
      <w:rFonts w:hAnsi="宋体"/>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kern w:val="28"/>
      <w:sz w:val="32"/>
      <w:szCs w:val="32"/>
    </w:rPr>
  </w:style>
  <w:style w:type="character" w:customStyle="1" w:styleId="204">
    <w:name w:val="font61"/>
    <w:qFormat/>
    <w:uiPriority w:val="0"/>
    <w:rPr>
      <w:rFonts w:hint="eastAsia" w:ascii="仿宋" w:hAnsi="仿宋" w:eastAsia="仿宋" w:cs="仿宋"/>
      <w:color w:val="000000"/>
      <w:sz w:val="20"/>
      <w:szCs w:val="20"/>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color w:val="000000"/>
      <w:kern w:val="28"/>
      <w:sz w:val="28"/>
      <w:lang w:val="en-US" w:eastAsia="zh-CN" w:bidi="ar-SA"/>
    </w:rPr>
  </w:style>
  <w:style w:type="character" w:customStyle="1" w:styleId="311">
    <w:name w:val="正文缩进 Char1"/>
    <w:qFormat/>
    <w:uiPriority w:val="0"/>
    <w:rPr>
      <w:rFonts w:ascii="宋体" w:eastAsia="宋体"/>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kern w:val="44"/>
      <w:sz w:val="44"/>
      <w:szCs w:val="44"/>
    </w:rPr>
  </w:style>
  <w:style w:type="character" w:customStyle="1" w:styleId="419">
    <w:name w:val="style36"/>
    <w:basedOn w:val="70"/>
    <w:qFormat/>
    <w:uiPriority w:val="0"/>
    <w:rPr>
      <w:rFonts w:ascii="Arial" w:hAnsi="Arial" w:eastAsia="黑体" w:cs="Arial"/>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8">
    <w:name w:val="正文文本 Char1"/>
    <w:link w:val="2"/>
    <w:qFormat/>
    <w:uiPriority w:val="0"/>
    <w:rPr>
      <w:rFonts w:ascii="宋体" w:hAnsi="Arial" w:eastAsia="宋体" w:cs="Arial"/>
      <w:kern w:val="2"/>
      <w:sz w:val="24"/>
      <w:szCs w:val="21"/>
      <w:lang w:val="zh-CN" w:eastAsia="zh-CN" w:bidi="ar-SA"/>
    </w:rPr>
  </w:style>
  <w:style w:type="character" w:customStyle="1" w:styleId="429">
    <w:name w:val="gray6"/>
    <w:basedOn w:val="70"/>
    <w:qFormat/>
    <w:uiPriority w:val="0"/>
    <w:rPr>
      <w:rFonts w:ascii="Arial" w:hAnsi="Arial" w:eastAsia="黑体" w:cs="Arial"/>
      <w:kern w:val="0"/>
      <w:szCs w:val="21"/>
    </w:rPr>
  </w:style>
  <w:style w:type="character" w:customStyle="1" w:styleId="430">
    <w:name w:val="hui"/>
    <w:basedOn w:val="70"/>
    <w:qFormat/>
    <w:uiPriority w:val="0"/>
    <w:rPr>
      <w:rFonts w:ascii="Arial" w:hAnsi="Arial" w:eastAsia="黑体" w:cs="Arial"/>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kern w:val="0"/>
      <w:sz w:val="20"/>
      <w:szCs w:val="21"/>
    </w:rPr>
  </w:style>
  <w:style w:type="paragraph" w:customStyle="1" w:styleId="596">
    <w:name w:val="gjt_2"/>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pPr>
    <w:rPr>
      <w:kern w:val="0"/>
      <w:sz w:val="24"/>
      <w:szCs w:val="20"/>
    </w:rPr>
  </w:style>
  <w:style w:type="paragraph" w:customStyle="1" w:styleId="602">
    <w:name w:val="正文文字表格居中"/>
    <w:basedOn w:val="1"/>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pPr>
    <w:rPr>
      <w:rFonts w:eastAsia="Times New Roman"/>
      <w:kern w:val="0"/>
      <w:szCs w:val="20"/>
    </w:rPr>
  </w:style>
  <w:style w:type="paragraph" w:customStyle="1" w:styleId="609">
    <w:name w:val="标题2"/>
    <w:basedOn w:val="4"/>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pPr>
    <w:rPr>
      <w:kern w:val="0"/>
      <w:sz w:val="24"/>
      <w:szCs w:val="20"/>
      <w:lang w:val="en-GB"/>
    </w:rPr>
  </w:style>
  <w:style w:type="paragraph" w:customStyle="1" w:styleId="637">
    <w:name w:val="正文表标题"/>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qFormat/>
    <w:uiPriority w:val="0"/>
    <w:pPr>
      <w:tabs>
        <w:tab w:val="left" w:pos="1260"/>
        <w:tab w:val="left" w:pos="1680"/>
        <w:tab w:val="left" w:pos="2100"/>
        <w:tab w:val="left" w:pos="2520"/>
      </w:tabs>
      <w:ind w:left="2520"/>
      <w:outlineLvl w:val="4"/>
    </w:pPr>
  </w:style>
  <w:style w:type="paragraph" w:customStyle="1" w:styleId="654">
    <w:name w:val="二级条标题"/>
    <w:basedOn w:val="655"/>
    <w:qFormat/>
    <w:uiPriority w:val="0"/>
    <w:pPr>
      <w:tabs>
        <w:tab w:val="left" w:pos="1260"/>
        <w:tab w:val="left" w:pos="1680"/>
        <w:tab w:val="left" w:pos="2100"/>
      </w:tabs>
      <w:ind w:left="0"/>
      <w:outlineLvl w:val="3"/>
    </w:pPr>
  </w:style>
  <w:style w:type="paragraph" w:customStyle="1" w:styleId="655">
    <w:name w:val="一级条标题"/>
    <w:basedOn w:val="656"/>
    <w:qFormat/>
    <w:uiPriority w:val="0"/>
    <w:pPr>
      <w:tabs>
        <w:tab w:val="left" w:pos="1260"/>
        <w:tab w:val="left" w:pos="1680"/>
      </w:tabs>
      <w:spacing w:before="0" w:beforeLines="0" w:after="0" w:afterLines="0"/>
      <w:ind w:left="1680"/>
      <w:outlineLvl w:val="2"/>
    </w:pPr>
  </w:style>
  <w:style w:type="paragraph" w:customStyle="1" w:styleId="656">
    <w:name w:val="章标题"/>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732">
    <w:name w:val="Picture"/>
    <w:basedOn w:val="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qFormat/>
    <w:uiPriority w:val="0"/>
    <w:pPr>
      <w:tabs>
        <w:tab w:val="left" w:pos="1080"/>
      </w:tabs>
      <w:ind w:left="1080" w:hanging="1080"/>
    </w:pPr>
  </w:style>
  <w:style w:type="paragraph" w:customStyle="1" w:styleId="895">
    <w:name w:val="数字标题1"/>
    <w:basedOn w:val="3"/>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color w:val="0000FF"/>
      <w:kern w:val="0"/>
      <w:sz w:val="20"/>
      <w:szCs w:val="21"/>
      <w:lang w:val="en-US" w:eastAsia="zh-CN"/>
    </w:rPr>
  </w:style>
  <w:style w:type="character" w:customStyle="1" w:styleId="927">
    <w:name w:val="正文缩进 字符1"/>
    <w:qFormat/>
    <w:uiPriority w:val="0"/>
    <w:rPr>
      <w:rFonts w:ascii="宋体" w:eastAsia="宋体"/>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kern w:val="0"/>
      <w:szCs w:val="21"/>
    </w:rPr>
  </w:style>
  <w:style w:type="character" w:customStyle="1" w:styleId="936">
    <w:name w:val="15"/>
    <w:qFormat/>
    <w:uiPriority w:val="0"/>
    <w:rPr>
      <w:rFonts w:hint="default" w:ascii="Calibri" w:hAnsi="Calibri"/>
      <w:color w:val="0000FF"/>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rPr>
  </w:style>
  <w:style w:type="character" w:customStyle="1" w:styleId="943">
    <w:name w:val="style1"/>
    <w:qFormat/>
    <w:uiPriority w:val="0"/>
    <w:rPr>
      <w:rFonts w:ascii="Arial" w:hAnsi="Arial" w:eastAsia="黑体" w:cs="Arial"/>
      <w:kern w:val="0"/>
      <w:szCs w:val="21"/>
    </w:rPr>
  </w:style>
  <w:style w:type="character" w:customStyle="1" w:styleId="944">
    <w:name w:val="zbggtop11 style5"/>
    <w:qFormat/>
    <w:uiPriority w:val="0"/>
    <w:rPr>
      <w:rFonts w:ascii="Arial" w:hAnsi="Arial" w:eastAsia="黑体" w:cs="Arial"/>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rPr>
  </w:style>
  <w:style w:type="character" w:customStyle="1" w:styleId="961">
    <w:name w:val="font91"/>
    <w:qFormat/>
    <w:uiPriority w:val="0"/>
    <w:rPr>
      <w:rFonts w:hint="eastAsia" w:ascii="仿宋" w:hAnsi="仿宋" w:eastAsia="仿宋" w:cs="仿宋"/>
      <w:color w:val="000000"/>
      <w:sz w:val="22"/>
      <w:szCs w:val="22"/>
    </w:rPr>
  </w:style>
  <w:style w:type="paragraph" w:customStyle="1" w:styleId="962">
    <w:name w:val="修订4"/>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6516</Words>
  <Characters>37146</Characters>
  <Lines>309</Lines>
  <Paragraphs>87</Paragraphs>
  <TotalTime>7</TotalTime>
  <ScaleCrop>false</ScaleCrop>
  <LinksUpToDate>false</LinksUpToDate>
  <CharactersWithSpaces>43575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wangchen172121</cp:lastModifiedBy>
  <dcterms:modified xsi:type="dcterms:W3CDTF">2023-09-07T11:16:54Z</dcterms:modified>
  <dc:title>杭州市市民卡扩大发卡工程</dc:title>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AB68A1678C274DFF9DA4F71525754ACA_13</vt:lpwstr>
  </property>
</Properties>
</file>