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57D92C">
      <w:pPr>
        <w:spacing w:line="360" w:lineRule="auto"/>
        <w:jc w:val="center"/>
        <w:rPr>
          <w:rFonts w:hint="eastAsia" w:ascii="宋体" w:hAnsi="宋体" w:cs="宋体"/>
          <w:b/>
          <w:color w:val="auto"/>
          <w:sz w:val="24"/>
          <w:highlight w:val="none"/>
        </w:rPr>
      </w:pPr>
    </w:p>
    <w:p w14:paraId="143334FE">
      <w:pPr>
        <w:spacing w:line="360" w:lineRule="auto"/>
        <w:jc w:val="center"/>
        <w:rPr>
          <w:rFonts w:hint="eastAsia" w:ascii="宋体" w:hAnsi="宋体" w:cs="宋体"/>
          <w:b/>
          <w:color w:val="auto"/>
          <w:sz w:val="24"/>
          <w:highlight w:val="none"/>
        </w:rPr>
      </w:pPr>
    </w:p>
    <w:p w14:paraId="0B84BD1B">
      <w:pPr>
        <w:adjustRightInd/>
        <w:spacing w:line="360" w:lineRule="auto"/>
        <w:jc w:val="center"/>
        <w:rPr>
          <w:rFonts w:hint="eastAsia" w:ascii="宋体" w:hAnsi="宋体" w:cs="宋体"/>
          <w:b/>
          <w:color w:val="auto"/>
          <w:sz w:val="44"/>
          <w:szCs w:val="44"/>
          <w:highlight w:val="none"/>
        </w:rPr>
      </w:pPr>
    </w:p>
    <w:p w14:paraId="7E577D8F">
      <w:pPr>
        <w:spacing w:line="360" w:lineRule="auto"/>
        <w:jc w:val="center"/>
        <w:rPr>
          <w:rFonts w:hint="eastAsia" w:ascii="宋体" w:hAnsi="宋体" w:cs="宋体"/>
          <w:b/>
          <w:color w:val="auto"/>
          <w:sz w:val="44"/>
          <w:szCs w:val="44"/>
          <w:highlight w:val="none"/>
        </w:rPr>
      </w:pPr>
    </w:p>
    <w:p w14:paraId="7D78E576">
      <w:pPr>
        <w:adjustRightInd/>
        <w:spacing w:line="360" w:lineRule="auto"/>
        <w:jc w:val="center"/>
        <w:rPr>
          <w:rFonts w:hint="eastAsia" w:ascii="宋体" w:hAnsi="宋体" w:cs="宋体"/>
          <w:b/>
          <w:color w:val="auto"/>
          <w:sz w:val="48"/>
          <w:szCs w:val="48"/>
          <w:highlight w:val="none"/>
        </w:rPr>
      </w:pPr>
    </w:p>
    <w:p w14:paraId="2207CC4A">
      <w:pPr>
        <w:adjustRightInd/>
        <w:spacing w:line="360" w:lineRule="auto"/>
        <w:jc w:val="center"/>
        <w:rPr>
          <w:rFonts w:hint="eastAsia" w:ascii="宋体" w:hAnsi="宋体" w:cs="宋体"/>
          <w:color w:val="auto"/>
          <w:sz w:val="48"/>
          <w:szCs w:val="48"/>
          <w:highlight w:val="none"/>
        </w:rPr>
      </w:pPr>
      <w:r>
        <w:rPr>
          <w:rFonts w:hint="eastAsia" w:ascii="宋体" w:hAnsi="宋体" w:cs="宋体"/>
          <w:color w:val="auto"/>
          <w:sz w:val="48"/>
          <w:szCs w:val="48"/>
          <w:highlight w:val="none"/>
        </w:rPr>
        <w:t>2025年度杭州市温室气体监测系统运维及碳排放反演与通量核算项目</w:t>
      </w:r>
    </w:p>
    <w:p w14:paraId="2035066E">
      <w:pPr>
        <w:adjustRightInd/>
        <w:spacing w:line="360" w:lineRule="auto"/>
        <w:jc w:val="center"/>
        <w:rPr>
          <w:rFonts w:hint="eastAsia"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14:paraId="2D4471BE">
      <w:pPr>
        <w:adjustRightInd/>
        <w:spacing w:line="360" w:lineRule="auto"/>
        <w:jc w:val="center"/>
        <w:rPr>
          <w:rFonts w:hint="eastAsia"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35CC6050">
      <w:pPr>
        <w:snapToGrid w:val="0"/>
        <w:spacing w:line="360" w:lineRule="auto"/>
        <w:jc w:val="center"/>
        <w:rPr>
          <w:rFonts w:hint="eastAsia" w:ascii="宋体" w:hAnsi="宋体" w:cs="宋体"/>
          <w:color w:val="auto"/>
          <w:sz w:val="30"/>
          <w:szCs w:val="30"/>
          <w:highlight w:val="none"/>
        </w:rPr>
      </w:pPr>
      <w:r>
        <w:rPr>
          <w:rFonts w:hint="eastAsia" w:ascii="宋体" w:hAnsi="宋体" w:cs="宋体"/>
          <w:color w:val="auto"/>
          <w:sz w:val="30"/>
          <w:szCs w:val="30"/>
          <w:highlight w:val="none"/>
        </w:rPr>
        <w:t>编号：HZYX-HJ-25218GK</w:t>
      </w:r>
    </w:p>
    <w:p w14:paraId="7C97B22D">
      <w:pPr>
        <w:adjustRightInd/>
        <w:spacing w:line="360" w:lineRule="auto"/>
        <w:rPr>
          <w:rFonts w:hint="eastAsia" w:ascii="宋体" w:hAnsi="宋体" w:cs="宋体"/>
          <w:color w:val="auto"/>
          <w:sz w:val="28"/>
          <w:szCs w:val="20"/>
          <w:highlight w:val="none"/>
        </w:rPr>
      </w:pPr>
    </w:p>
    <w:p w14:paraId="629B75BC">
      <w:pPr>
        <w:spacing w:line="360" w:lineRule="auto"/>
        <w:jc w:val="center"/>
        <w:rPr>
          <w:rFonts w:hint="eastAsia"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0100A436">
      <w:pPr>
        <w:spacing w:line="360" w:lineRule="auto"/>
        <w:jc w:val="center"/>
        <w:rPr>
          <w:rFonts w:hint="eastAsia" w:ascii="宋体" w:hAnsi="宋体" w:cs="宋体"/>
          <w:b/>
          <w:color w:val="auto"/>
          <w:sz w:val="44"/>
          <w:szCs w:val="44"/>
          <w:highlight w:val="none"/>
        </w:rPr>
      </w:pPr>
    </w:p>
    <w:p w14:paraId="10A86936">
      <w:pPr>
        <w:spacing w:line="360" w:lineRule="auto"/>
        <w:jc w:val="center"/>
        <w:rPr>
          <w:rFonts w:hint="eastAsia" w:ascii="宋体" w:hAnsi="宋体" w:cs="宋体"/>
          <w:color w:val="auto"/>
          <w:sz w:val="24"/>
          <w:highlight w:val="none"/>
        </w:rPr>
      </w:pPr>
    </w:p>
    <w:p w14:paraId="27D8FBEF">
      <w:pPr>
        <w:spacing w:line="360" w:lineRule="auto"/>
        <w:jc w:val="center"/>
        <w:rPr>
          <w:rFonts w:hint="eastAsia" w:ascii="宋体" w:hAnsi="宋体" w:cs="宋体"/>
          <w:color w:val="auto"/>
          <w:sz w:val="24"/>
          <w:highlight w:val="none"/>
        </w:rPr>
      </w:pPr>
    </w:p>
    <w:p w14:paraId="4A45D175">
      <w:pPr>
        <w:spacing w:line="360" w:lineRule="auto"/>
        <w:rPr>
          <w:rFonts w:hint="eastAsia" w:ascii="宋体" w:hAnsi="宋体" w:cs="宋体"/>
          <w:color w:val="auto"/>
          <w:sz w:val="32"/>
          <w:szCs w:val="32"/>
          <w:highlight w:val="none"/>
        </w:rPr>
      </w:pPr>
    </w:p>
    <w:p w14:paraId="73815E97">
      <w:pPr>
        <w:snapToGrid w:val="0"/>
        <w:spacing w:line="360" w:lineRule="auto"/>
        <w:jc w:val="center"/>
        <w:rPr>
          <w:rFonts w:hint="eastAsia" w:ascii="宋体" w:hAnsi="宋体" w:cs="宋体"/>
          <w:color w:val="auto"/>
          <w:sz w:val="32"/>
          <w:szCs w:val="32"/>
          <w:highlight w:val="none"/>
        </w:rPr>
      </w:pPr>
      <w:r>
        <w:rPr>
          <w:rFonts w:hint="eastAsia" w:ascii="宋体" w:hAnsi="宋体" w:cs="宋体"/>
          <w:color w:val="auto"/>
          <w:sz w:val="32"/>
          <w:szCs w:val="32"/>
          <w:highlight w:val="none"/>
        </w:rPr>
        <w:t>采购人：浙江省杭州生态环境监测中心</w:t>
      </w:r>
    </w:p>
    <w:p w14:paraId="4516AA5C">
      <w:pPr>
        <w:spacing w:line="360" w:lineRule="auto"/>
        <w:jc w:val="center"/>
        <w:rPr>
          <w:rFonts w:hint="eastAsia" w:ascii="宋体" w:hAnsi="宋体" w:cs="宋体"/>
          <w:bCs/>
          <w:color w:val="auto"/>
          <w:sz w:val="32"/>
          <w:szCs w:val="32"/>
          <w:highlight w:val="none"/>
        </w:rPr>
      </w:pPr>
      <w:r>
        <w:rPr>
          <w:rFonts w:hint="eastAsia" w:ascii="宋体" w:hAnsi="宋体" w:cs="宋体"/>
          <w:bCs/>
          <w:color w:val="auto"/>
          <w:sz w:val="32"/>
          <w:szCs w:val="32"/>
          <w:highlight w:val="none"/>
        </w:rPr>
        <w:t>采购代理机构：杭州意信招标代理有限公司</w:t>
      </w:r>
    </w:p>
    <w:p w14:paraId="11926DA8">
      <w:pPr>
        <w:snapToGrid w:val="0"/>
        <w:spacing w:line="360" w:lineRule="auto"/>
        <w:jc w:val="center"/>
        <w:rPr>
          <w:rFonts w:hint="eastAsia" w:ascii="宋体" w:hAnsi="宋体" w:cs="宋体"/>
          <w:bCs/>
          <w:color w:val="auto"/>
          <w:sz w:val="32"/>
          <w:szCs w:val="32"/>
          <w:highlight w:val="none"/>
        </w:rPr>
      </w:pPr>
      <w:r>
        <w:rPr>
          <w:rFonts w:hint="eastAsia" w:ascii="宋体" w:hAnsi="宋体" w:cs="宋体"/>
          <w:bCs/>
          <w:color w:val="auto"/>
          <w:sz w:val="32"/>
          <w:szCs w:val="32"/>
          <w:highlight w:val="none"/>
        </w:rPr>
        <w:t>二〇二五年</w:t>
      </w:r>
      <w:r>
        <w:rPr>
          <w:rFonts w:hint="eastAsia" w:ascii="宋体" w:hAnsi="宋体" w:cs="宋体"/>
          <w:bCs/>
          <w:color w:val="auto"/>
          <w:sz w:val="32"/>
          <w:szCs w:val="32"/>
          <w:highlight w:val="none"/>
          <w:lang w:val="en-US" w:eastAsia="zh-CN"/>
        </w:rPr>
        <w:t>七</w:t>
      </w:r>
      <w:r>
        <w:rPr>
          <w:rFonts w:hint="eastAsia" w:ascii="宋体" w:hAnsi="宋体" w:cs="宋体"/>
          <w:bCs/>
          <w:color w:val="auto"/>
          <w:sz w:val="32"/>
          <w:szCs w:val="32"/>
          <w:highlight w:val="none"/>
        </w:rPr>
        <w:t>月</w:t>
      </w:r>
      <w:r>
        <w:rPr>
          <w:rFonts w:hint="eastAsia" w:ascii="宋体" w:hAnsi="宋体" w:cs="宋体"/>
          <w:bCs/>
          <w:color w:val="auto"/>
          <w:sz w:val="32"/>
          <w:szCs w:val="32"/>
          <w:highlight w:val="none"/>
          <w:lang w:val="en-US" w:eastAsia="zh-CN"/>
        </w:rPr>
        <w:t>二</w:t>
      </w:r>
      <w:r>
        <w:rPr>
          <w:rFonts w:hint="eastAsia" w:ascii="宋体" w:hAnsi="宋体" w:cs="宋体"/>
          <w:bCs/>
          <w:color w:val="auto"/>
          <w:sz w:val="32"/>
          <w:szCs w:val="32"/>
          <w:highlight w:val="none"/>
        </w:rPr>
        <w:t>日</w:t>
      </w:r>
    </w:p>
    <w:p w14:paraId="39857E87">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5153D93C">
      <w:pPr>
        <w:pStyle w:val="637"/>
        <w:rPr>
          <w:color w:val="auto"/>
          <w:highlight w:val="none"/>
        </w:rPr>
      </w:pPr>
    </w:p>
    <w:p w14:paraId="18C1A49F">
      <w:pPr>
        <w:spacing w:line="360" w:lineRule="auto"/>
        <w:jc w:val="center"/>
        <w:rPr>
          <w:rFonts w:hint="eastAsia" w:ascii="宋体" w:hAnsi="宋体" w:cs="宋体"/>
          <w:b/>
          <w:color w:val="auto"/>
          <w:sz w:val="48"/>
          <w:szCs w:val="48"/>
          <w:highlight w:val="none"/>
        </w:rPr>
      </w:pPr>
      <w:r>
        <w:rPr>
          <w:rFonts w:hint="eastAsia" w:ascii="宋体" w:hAnsi="宋体" w:cs="宋体"/>
          <w:b/>
          <w:color w:val="auto"/>
          <w:sz w:val="48"/>
          <w:szCs w:val="48"/>
          <w:highlight w:val="none"/>
        </w:rPr>
        <w:t>目  录</w:t>
      </w:r>
    </w:p>
    <w:p w14:paraId="57D528B9">
      <w:pPr>
        <w:spacing w:line="360" w:lineRule="auto"/>
        <w:rPr>
          <w:rFonts w:hint="eastAsia" w:ascii="宋体" w:hAnsi="宋体" w:cs="宋体"/>
          <w:color w:val="auto"/>
          <w:sz w:val="32"/>
          <w:szCs w:val="32"/>
          <w:highlight w:val="none"/>
        </w:rPr>
      </w:pPr>
    </w:p>
    <w:p w14:paraId="27882D8E">
      <w:pPr>
        <w:spacing w:line="360" w:lineRule="auto"/>
        <w:rPr>
          <w:rFonts w:hint="eastAsia" w:ascii="宋体" w:hAnsi="宋体" w:cs="宋体"/>
          <w:color w:val="auto"/>
          <w:sz w:val="32"/>
          <w:szCs w:val="32"/>
          <w:highlight w:val="none"/>
        </w:rPr>
      </w:pPr>
    </w:p>
    <w:p w14:paraId="2E486D17">
      <w:pPr>
        <w:spacing w:line="360" w:lineRule="auto"/>
        <w:ind w:firstLine="1280" w:firstLineChars="400"/>
        <w:rPr>
          <w:rFonts w:hint="eastAsia"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2B8DD04B">
      <w:pPr>
        <w:spacing w:line="360" w:lineRule="auto"/>
        <w:ind w:firstLine="1280" w:firstLineChars="400"/>
        <w:rPr>
          <w:rFonts w:hint="eastAsia"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7A7C84EA">
      <w:pPr>
        <w:spacing w:line="360" w:lineRule="auto"/>
        <w:ind w:firstLine="1280" w:firstLineChars="400"/>
        <w:rPr>
          <w:rFonts w:hint="eastAsia"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160403A4">
      <w:pPr>
        <w:spacing w:line="360" w:lineRule="auto"/>
        <w:ind w:firstLine="1280" w:firstLineChars="400"/>
        <w:rPr>
          <w:rFonts w:hint="eastAsia"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330C5D28">
      <w:pPr>
        <w:spacing w:line="360" w:lineRule="auto"/>
        <w:ind w:firstLine="1280" w:firstLineChars="400"/>
        <w:rPr>
          <w:rFonts w:hint="eastAsia"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7C5E924E">
      <w:pPr>
        <w:spacing w:line="360" w:lineRule="auto"/>
        <w:ind w:firstLine="1280" w:firstLineChars="400"/>
        <w:rPr>
          <w:rFonts w:hint="eastAsia"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531FC52D">
      <w:pPr>
        <w:spacing w:line="360" w:lineRule="auto"/>
        <w:ind w:firstLine="549" w:firstLineChars="229"/>
        <w:rPr>
          <w:rFonts w:hint="eastAsia" w:ascii="宋体" w:hAnsi="宋体" w:cs="宋体"/>
          <w:color w:val="auto"/>
          <w:sz w:val="24"/>
          <w:highlight w:val="none"/>
        </w:rPr>
      </w:pPr>
      <w:bookmarkStart w:id="1" w:name="_Hlt91233176"/>
      <w:bookmarkEnd w:id="1"/>
      <w:bookmarkStart w:id="2" w:name="_Toc91899869"/>
    </w:p>
    <w:p w14:paraId="04DC3F85">
      <w:pPr>
        <w:spacing w:line="360" w:lineRule="auto"/>
        <w:ind w:firstLine="549" w:firstLineChars="229"/>
        <w:rPr>
          <w:rFonts w:hint="eastAsia" w:ascii="宋体" w:hAnsi="宋体" w:cs="宋体"/>
          <w:color w:val="auto"/>
          <w:sz w:val="24"/>
          <w:highlight w:val="none"/>
        </w:rPr>
      </w:pPr>
    </w:p>
    <w:p w14:paraId="107D8193">
      <w:pPr>
        <w:spacing w:line="360" w:lineRule="auto"/>
        <w:ind w:firstLine="549" w:firstLineChars="229"/>
        <w:rPr>
          <w:rFonts w:hint="eastAsia" w:ascii="宋体" w:hAnsi="宋体" w:cs="宋体"/>
          <w:color w:val="auto"/>
          <w:sz w:val="24"/>
          <w:highlight w:val="none"/>
        </w:rPr>
      </w:pPr>
    </w:p>
    <w:p w14:paraId="39E096FB">
      <w:pPr>
        <w:spacing w:line="360" w:lineRule="auto"/>
        <w:ind w:firstLine="549" w:firstLineChars="229"/>
        <w:rPr>
          <w:rFonts w:hint="eastAsia" w:ascii="宋体" w:hAnsi="宋体" w:cs="宋体"/>
          <w:color w:val="auto"/>
          <w:sz w:val="24"/>
          <w:highlight w:val="none"/>
        </w:rPr>
      </w:pPr>
    </w:p>
    <w:p w14:paraId="780CE5F5">
      <w:pPr>
        <w:spacing w:line="360" w:lineRule="auto"/>
        <w:ind w:firstLine="549" w:firstLineChars="229"/>
        <w:rPr>
          <w:rFonts w:hint="eastAsia" w:ascii="宋体" w:hAnsi="宋体" w:cs="宋体"/>
          <w:color w:val="auto"/>
          <w:sz w:val="24"/>
          <w:highlight w:val="none"/>
        </w:rPr>
      </w:pPr>
    </w:p>
    <w:p w14:paraId="21DEF2D9">
      <w:pPr>
        <w:spacing w:line="360" w:lineRule="auto"/>
        <w:ind w:firstLine="549" w:firstLineChars="229"/>
        <w:rPr>
          <w:rFonts w:hint="eastAsia" w:ascii="宋体" w:hAnsi="宋体" w:cs="宋体"/>
          <w:color w:val="auto"/>
          <w:sz w:val="24"/>
          <w:highlight w:val="none"/>
        </w:rPr>
      </w:pPr>
    </w:p>
    <w:p w14:paraId="011738A4">
      <w:pPr>
        <w:spacing w:line="360" w:lineRule="auto"/>
        <w:ind w:firstLine="549" w:firstLineChars="229"/>
        <w:rPr>
          <w:rFonts w:hint="eastAsia" w:ascii="宋体" w:hAnsi="宋体" w:cs="宋体"/>
          <w:color w:val="auto"/>
          <w:sz w:val="24"/>
          <w:highlight w:val="none"/>
        </w:rPr>
      </w:pPr>
    </w:p>
    <w:p w14:paraId="72E49BD4">
      <w:pPr>
        <w:spacing w:line="360" w:lineRule="auto"/>
        <w:ind w:firstLine="549" w:firstLineChars="229"/>
        <w:rPr>
          <w:rFonts w:hint="eastAsia" w:ascii="宋体" w:hAnsi="宋体" w:cs="宋体"/>
          <w:color w:val="auto"/>
          <w:sz w:val="24"/>
          <w:highlight w:val="none"/>
        </w:rPr>
      </w:pPr>
    </w:p>
    <w:p w14:paraId="473B1352">
      <w:pPr>
        <w:spacing w:line="360" w:lineRule="auto"/>
        <w:ind w:firstLine="549" w:firstLineChars="229"/>
        <w:rPr>
          <w:rFonts w:hint="eastAsia" w:ascii="宋体" w:hAnsi="宋体" w:cs="宋体"/>
          <w:color w:val="auto"/>
          <w:sz w:val="24"/>
          <w:highlight w:val="none"/>
        </w:rPr>
      </w:pPr>
    </w:p>
    <w:p w14:paraId="4061072F">
      <w:pPr>
        <w:spacing w:line="360" w:lineRule="auto"/>
        <w:ind w:firstLine="549" w:firstLineChars="229"/>
        <w:rPr>
          <w:rFonts w:hint="eastAsia" w:ascii="宋体" w:hAnsi="宋体" w:cs="宋体"/>
          <w:color w:val="auto"/>
          <w:sz w:val="24"/>
          <w:highlight w:val="none"/>
        </w:rPr>
      </w:pPr>
    </w:p>
    <w:p w14:paraId="655D5A1B">
      <w:pPr>
        <w:spacing w:line="360" w:lineRule="auto"/>
        <w:ind w:firstLine="549" w:firstLineChars="229"/>
        <w:rPr>
          <w:rFonts w:hint="eastAsia" w:ascii="宋体" w:hAnsi="宋体" w:cs="宋体"/>
          <w:color w:val="auto"/>
          <w:sz w:val="24"/>
          <w:highlight w:val="none"/>
        </w:rPr>
      </w:pPr>
    </w:p>
    <w:p w14:paraId="4956BB50">
      <w:pPr>
        <w:spacing w:line="360" w:lineRule="auto"/>
        <w:ind w:firstLine="549" w:firstLineChars="229"/>
        <w:rPr>
          <w:rFonts w:hint="eastAsia" w:ascii="宋体" w:hAnsi="宋体" w:cs="宋体"/>
          <w:color w:val="auto"/>
          <w:sz w:val="24"/>
          <w:highlight w:val="none"/>
        </w:rPr>
      </w:pPr>
    </w:p>
    <w:p w14:paraId="1F5CCF6B">
      <w:pPr>
        <w:adjustRightInd/>
        <w:spacing w:line="360" w:lineRule="auto"/>
        <w:jc w:val="center"/>
        <w:outlineLvl w:val="0"/>
        <w:rPr>
          <w:rFonts w:hint="eastAsia"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649545"/>
      <w:bookmarkEnd w:id="4"/>
      <w:bookmarkStart w:id="5" w:name="_Hlt74707423"/>
      <w:bookmarkEnd w:id="5"/>
      <w:bookmarkStart w:id="6" w:name="_Hlt74729822"/>
      <w:bookmarkEnd w:id="6"/>
      <w:bookmarkStart w:id="7" w:name="_Hlt74728647"/>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14:paraId="468E102A">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项目概况</w:t>
      </w:r>
    </w:p>
    <w:p w14:paraId="530F025C">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u w:val="single"/>
        </w:rPr>
        <w:t>2025年度杭州市温室气体监测系统运维及碳排放反演与通量核算项目</w:t>
      </w:r>
      <w:r>
        <w:rPr>
          <w:rFonts w:hint="eastAsia" w:ascii="宋体" w:hAnsi="宋体" w:cs="宋体"/>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6"/>
          <w:rFonts w:hint="eastAsia" w:ascii="宋体" w:hAnsi="宋体" w:eastAsia="宋体" w:cs="宋体"/>
          <w:snapToGrid/>
          <w:color w:val="auto"/>
          <w:kern w:val="2"/>
          <w:sz w:val="24"/>
          <w:szCs w:val="24"/>
          <w:highlight w:val="none"/>
        </w:rPr>
        <w:t>https://www.zcygov.cn/）获取（下载）招标文件，并于202</w:t>
      </w:r>
      <w:r>
        <w:rPr>
          <w:rStyle w:val="76"/>
          <w:rFonts w:hint="eastAsia" w:ascii="宋体" w:hAnsi="宋体" w:cs="宋体"/>
          <w:snapToGrid/>
          <w:color w:val="auto"/>
          <w:kern w:val="2"/>
          <w:sz w:val="24"/>
          <w:szCs w:val="24"/>
          <w:highlight w:val="none"/>
        </w:rPr>
        <w:t>5</w:t>
      </w:r>
      <w:r>
        <w:rPr>
          <w:rStyle w:val="76"/>
          <w:rFonts w:hint="eastAsia" w:ascii="宋体" w:hAnsi="宋体" w:eastAsia="宋体" w:cs="宋体"/>
          <w:snapToGrid/>
          <w:color w:val="auto"/>
          <w:kern w:val="2"/>
          <w:sz w:val="24"/>
          <w:szCs w:val="24"/>
          <w:highlight w:val="none"/>
        </w:rPr>
        <w:t>年</w:t>
      </w:r>
      <w:r>
        <w:rPr>
          <w:rStyle w:val="76"/>
          <w:rFonts w:hint="eastAsia" w:ascii="宋体" w:hAnsi="宋体" w:cs="宋体"/>
          <w:snapToGrid/>
          <w:color w:val="auto"/>
          <w:kern w:val="2"/>
          <w:sz w:val="24"/>
          <w:szCs w:val="24"/>
          <w:highlight w:val="none"/>
          <w:lang w:val="en-US" w:eastAsia="zh-CN"/>
        </w:rPr>
        <w:t>7</w:t>
      </w:r>
      <w:r>
        <w:rPr>
          <w:rStyle w:val="76"/>
          <w:rFonts w:hint="eastAsia" w:ascii="宋体" w:hAnsi="宋体" w:eastAsia="宋体" w:cs="宋体"/>
          <w:snapToGrid/>
          <w:color w:val="auto"/>
          <w:kern w:val="2"/>
          <w:sz w:val="24"/>
          <w:szCs w:val="24"/>
          <w:highlight w:val="none"/>
        </w:rPr>
        <w:t>月</w:t>
      </w:r>
      <w:r>
        <w:rPr>
          <w:rStyle w:val="76"/>
          <w:rFonts w:hint="eastAsia" w:ascii="宋体" w:hAnsi="宋体" w:cs="宋体"/>
          <w:snapToGrid/>
          <w:color w:val="auto"/>
          <w:kern w:val="2"/>
          <w:sz w:val="24"/>
          <w:szCs w:val="24"/>
          <w:highlight w:val="none"/>
          <w:lang w:val="en-US" w:eastAsia="zh-CN"/>
        </w:rPr>
        <w:t>23</w:t>
      </w:r>
      <w:r>
        <w:rPr>
          <w:rStyle w:val="76"/>
          <w:rFonts w:hint="eastAsia" w:ascii="宋体" w:hAnsi="宋体" w:eastAsia="宋体" w:cs="宋体"/>
          <w:snapToGrid/>
          <w:color w:val="auto"/>
          <w:kern w:val="2"/>
          <w:sz w:val="24"/>
          <w:szCs w:val="24"/>
          <w:highlight w:val="none"/>
        </w:rPr>
        <w:t>日</w:t>
      </w:r>
      <w:r>
        <w:rPr>
          <w:rStyle w:val="76"/>
          <w:rFonts w:hint="eastAsia" w:ascii="宋体" w:hAnsi="宋体" w:cs="宋体"/>
          <w:snapToGrid/>
          <w:color w:val="auto"/>
          <w:kern w:val="2"/>
          <w:sz w:val="24"/>
          <w:szCs w:val="24"/>
          <w:highlight w:val="none"/>
          <w:lang w:val="en-US" w:eastAsia="zh-CN"/>
        </w:rPr>
        <w:t>09</w:t>
      </w:r>
      <w:r>
        <w:rPr>
          <w:rStyle w:val="76"/>
          <w:rFonts w:hint="eastAsia" w:ascii="宋体" w:hAnsi="宋体" w:eastAsia="宋体" w:cs="宋体"/>
          <w:snapToGrid/>
          <w:color w:val="auto"/>
          <w:kern w:val="2"/>
          <w:sz w:val="24"/>
          <w:szCs w:val="24"/>
          <w:highlight w:val="none"/>
        </w:rPr>
        <w:t>点</w:t>
      </w:r>
      <w:r>
        <w:rPr>
          <w:rStyle w:val="76"/>
          <w:rFonts w:hint="eastAsia" w:ascii="宋体" w:hAnsi="宋体" w:cs="宋体"/>
          <w:snapToGrid/>
          <w:color w:val="auto"/>
          <w:kern w:val="2"/>
          <w:sz w:val="24"/>
          <w:szCs w:val="24"/>
          <w:highlight w:val="none"/>
          <w:lang w:val="en-US" w:eastAsia="zh-CN"/>
        </w:rPr>
        <w:t>30</w:t>
      </w:r>
      <w:r>
        <w:rPr>
          <w:rStyle w:val="76"/>
          <w:rFonts w:hint="eastAsia" w:ascii="宋体" w:hAnsi="宋体" w:eastAsia="宋体" w:cs="宋体"/>
          <w:snapToGrid/>
          <w:color w:val="auto"/>
          <w:kern w:val="2"/>
          <w:sz w:val="24"/>
          <w:szCs w:val="24"/>
          <w:highlight w:val="none"/>
        </w:rPr>
        <w:t>分</w:t>
      </w:r>
      <w:r>
        <w:rPr>
          <w:rStyle w:val="76"/>
          <w:rFonts w:hint="eastAsia" w:ascii="宋体" w:hAnsi="宋体" w:eastAsia="宋体" w:cs="宋体"/>
          <w:bCs/>
          <w:snapToGrid/>
          <w:color w:val="auto"/>
          <w:kern w:val="2"/>
          <w:sz w:val="24"/>
          <w:szCs w:val="24"/>
          <w:highlight w:val="none"/>
        </w:rPr>
        <w:t>00秒</w:t>
      </w:r>
      <w:r>
        <w:rPr>
          <w:rStyle w:val="76"/>
          <w:rFonts w:hint="eastAsia" w:ascii="宋体" w:hAnsi="宋体" w:eastAsia="宋体" w:cs="宋体"/>
          <w:bCs/>
          <w:snapToGrid/>
          <w:color w:val="auto"/>
          <w:kern w:val="2"/>
          <w:sz w:val="24"/>
          <w:szCs w:val="24"/>
          <w:highlight w:val="non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14:paraId="01DA5ADE">
      <w:pPr>
        <w:spacing w:line="360" w:lineRule="auto"/>
        <w:rPr>
          <w:rFonts w:hint="eastAsia" w:ascii="宋体" w:hAnsi="宋体" w:cs="宋体"/>
          <w:b/>
          <w:color w:val="auto"/>
          <w:sz w:val="24"/>
          <w:highlight w:val="none"/>
        </w:rPr>
      </w:pPr>
    </w:p>
    <w:p w14:paraId="30DCA927">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1C5200FC">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color w:val="auto"/>
          <w:sz w:val="24"/>
          <w:highlight w:val="none"/>
        </w:rPr>
        <w:t>HZYX-HJ-25218GK</w:t>
      </w:r>
    </w:p>
    <w:p w14:paraId="10FC766D">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color w:val="auto"/>
          <w:sz w:val="24"/>
          <w:highlight w:val="none"/>
        </w:rPr>
        <w:t>2025年度杭州市温室气体监测系统运维及碳排放反演与通量核算项目</w:t>
      </w:r>
    </w:p>
    <w:p w14:paraId="4057F3E3">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hint="eastAsia" w:ascii="宋体" w:hAnsi="宋体" w:cs="宋体"/>
          <w:bCs/>
          <w:color w:val="auto"/>
          <w:sz w:val="24"/>
          <w:highlight w:val="none"/>
        </w:rPr>
        <w:t>1220000</w:t>
      </w:r>
      <w:r>
        <w:rPr>
          <w:rFonts w:ascii="宋体" w:hAnsi="宋体" w:cs="宋体"/>
          <w:bCs/>
          <w:color w:val="auto"/>
          <w:sz w:val="24"/>
          <w:highlight w:val="none"/>
        </w:rPr>
        <w:t xml:space="preserve"> </w:t>
      </w:r>
    </w:p>
    <w:p w14:paraId="09341F77">
      <w:pPr>
        <w:spacing w:line="360" w:lineRule="auto"/>
        <w:ind w:firstLine="480"/>
        <w:rPr>
          <w:rFonts w:hint="eastAsia" w:ascii="宋体" w:hAnsi="宋体" w:cs="宋体"/>
          <w:color w:val="auto"/>
          <w:sz w:val="24"/>
          <w:highlight w:val="none"/>
        </w:rPr>
      </w:pPr>
      <w:r>
        <w:rPr>
          <w:rFonts w:hint="eastAsia" w:ascii="宋体" w:hAnsi="宋体" w:cs="宋体"/>
          <w:b/>
          <w:color w:val="auto"/>
          <w:sz w:val="24"/>
          <w:highlight w:val="none"/>
        </w:rPr>
        <w:t>最高限价（元）：</w:t>
      </w:r>
      <w:r>
        <w:rPr>
          <w:rFonts w:hint="eastAsia" w:ascii="宋体" w:hAnsi="宋体" w:cs="宋体"/>
          <w:bCs/>
          <w:color w:val="auto"/>
          <w:sz w:val="24"/>
          <w:highlight w:val="none"/>
        </w:rPr>
        <w:t>910000,310000</w:t>
      </w:r>
    </w:p>
    <w:p w14:paraId="2FA7BD19">
      <w:pPr>
        <w:pStyle w:val="6"/>
        <w:spacing w:line="360" w:lineRule="auto"/>
        <w:ind w:firstLine="480"/>
        <w:rPr>
          <w:rFonts w:hint="eastAsia" w:hAnsi="宋体" w:cs="宋体"/>
          <w:b/>
          <w:color w:val="auto"/>
          <w:sz w:val="24"/>
          <w:highlight w:val="none"/>
        </w:rPr>
      </w:pPr>
      <w:r>
        <w:rPr>
          <w:rFonts w:hint="eastAsia" w:hAnsi="宋体" w:cs="宋体"/>
          <w:b/>
          <w:color w:val="auto"/>
          <w:sz w:val="24"/>
          <w:highlight w:val="none"/>
        </w:rPr>
        <w:t>采购需求：</w:t>
      </w:r>
    </w:p>
    <w:p w14:paraId="510E29A5">
      <w:pPr>
        <w:pStyle w:val="6"/>
        <w:spacing w:line="360" w:lineRule="auto"/>
        <w:ind w:firstLine="480"/>
        <w:rPr>
          <w:rFonts w:hint="eastAsia" w:hAnsi="宋体" w:cs="宋体"/>
          <w:bCs/>
          <w:snapToGrid/>
          <w:color w:val="auto"/>
          <w:kern w:val="2"/>
          <w:sz w:val="24"/>
          <w:szCs w:val="24"/>
          <w:highlight w:val="none"/>
        </w:rPr>
      </w:pPr>
      <w:r>
        <w:rPr>
          <w:rFonts w:hint="eastAsia" w:hAnsi="宋体" w:cs="宋体"/>
          <w:bCs/>
          <w:snapToGrid/>
          <w:color w:val="auto"/>
          <w:kern w:val="2"/>
          <w:sz w:val="24"/>
          <w:szCs w:val="24"/>
          <w:highlight w:val="none"/>
        </w:rPr>
        <w:t>标项一</w:t>
      </w:r>
    </w:p>
    <w:p w14:paraId="2760764F">
      <w:pPr>
        <w:pStyle w:val="6"/>
        <w:spacing w:line="360" w:lineRule="auto"/>
        <w:ind w:firstLine="480"/>
        <w:rPr>
          <w:rFonts w:hint="eastAsia" w:hAnsi="宋体" w:cs="宋体"/>
          <w:bCs/>
          <w:snapToGrid/>
          <w:color w:val="auto"/>
          <w:kern w:val="2"/>
          <w:sz w:val="24"/>
          <w:szCs w:val="24"/>
          <w:highlight w:val="none"/>
        </w:rPr>
      </w:pPr>
      <w:r>
        <w:rPr>
          <w:rFonts w:hint="eastAsia" w:hAnsi="宋体" w:cs="宋体"/>
          <w:bCs/>
          <w:snapToGrid/>
          <w:color w:val="auto"/>
          <w:kern w:val="2"/>
          <w:sz w:val="24"/>
          <w:szCs w:val="24"/>
          <w:highlight w:val="none"/>
        </w:rPr>
        <w:t xml:space="preserve">标项名称：杭州市温室气体监测系统运维项目    </w:t>
      </w:r>
    </w:p>
    <w:p w14:paraId="3AA78699">
      <w:pPr>
        <w:pStyle w:val="6"/>
        <w:spacing w:line="360" w:lineRule="auto"/>
        <w:ind w:firstLine="480"/>
        <w:rPr>
          <w:rFonts w:hint="eastAsia" w:hAnsi="宋体" w:cs="宋体"/>
          <w:bCs/>
          <w:snapToGrid/>
          <w:color w:val="auto"/>
          <w:kern w:val="2"/>
          <w:sz w:val="24"/>
          <w:szCs w:val="24"/>
          <w:highlight w:val="none"/>
        </w:rPr>
      </w:pPr>
      <w:r>
        <w:rPr>
          <w:rFonts w:hint="eastAsia" w:hAnsi="宋体" w:cs="宋体"/>
          <w:bCs/>
          <w:snapToGrid/>
          <w:color w:val="auto"/>
          <w:kern w:val="2"/>
          <w:sz w:val="24"/>
          <w:szCs w:val="24"/>
          <w:highlight w:val="none"/>
        </w:rPr>
        <w:t xml:space="preserve">数量：1    </w:t>
      </w:r>
    </w:p>
    <w:p w14:paraId="47E36383">
      <w:pPr>
        <w:pStyle w:val="6"/>
        <w:spacing w:line="360" w:lineRule="auto"/>
        <w:ind w:firstLine="480"/>
        <w:rPr>
          <w:rFonts w:hint="eastAsia" w:hAnsi="宋体" w:cs="宋体"/>
          <w:bCs/>
          <w:snapToGrid/>
          <w:color w:val="auto"/>
          <w:kern w:val="2"/>
          <w:sz w:val="24"/>
          <w:szCs w:val="24"/>
          <w:highlight w:val="none"/>
        </w:rPr>
      </w:pPr>
      <w:r>
        <w:rPr>
          <w:rFonts w:hint="eastAsia" w:hAnsi="宋体" w:cs="宋体"/>
          <w:bCs/>
          <w:snapToGrid/>
          <w:color w:val="auto"/>
          <w:kern w:val="2"/>
          <w:sz w:val="24"/>
          <w:szCs w:val="24"/>
          <w:highlight w:val="none"/>
        </w:rPr>
        <w:t>预算金额（元）：</w:t>
      </w:r>
      <w:r>
        <w:rPr>
          <w:rFonts w:hint="eastAsia" w:hAnsi="宋体" w:cs="宋体"/>
          <w:bCs/>
          <w:color w:val="auto"/>
          <w:sz w:val="24"/>
          <w:highlight w:val="none"/>
        </w:rPr>
        <w:t>910000</w:t>
      </w:r>
      <w:r>
        <w:rPr>
          <w:rFonts w:hint="eastAsia" w:hAnsi="宋体" w:cs="宋体"/>
          <w:bCs/>
          <w:snapToGrid/>
          <w:color w:val="auto"/>
          <w:kern w:val="2"/>
          <w:sz w:val="24"/>
          <w:szCs w:val="24"/>
          <w:highlight w:val="none"/>
        </w:rPr>
        <w:t xml:space="preserve">   </w:t>
      </w:r>
    </w:p>
    <w:p w14:paraId="796D80D0">
      <w:pPr>
        <w:pStyle w:val="6"/>
        <w:spacing w:line="360" w:lineRule="auto"/>
        <w:ind w:firstLine="480"/>
        <w:rPr>
          <w:rFonts w:hint="eastAsia" w:hAnsi="宋体" w:cs="宋体"/>
          <w:bCs/>
          <w:snapToGrid/>
          <w:color w:val="auto"/>
          <w:kern w:val="2"/>
          <w:sz w:val="24"/>
          <w:szCs w:val="24"/>
          <w:highlight w:val="none"/>
        </w:rPr>
      </w:pPr>
      <w:r>
        <w:rPr>
          <w:rFonts w:hint="eastAsia" w:hAnsi="宋体" w:cs="宋体"/>
          <w:bCs/>
          <w:snapToGrid/>
          <w:color w:val="auto"/>
          <w:kern w:val="2"/>
          <w:sz w:val="24"/>
          <w:szCs w:val="24"/>
          <w:highlight w:val="none"/>
        </w:rPr>
        <w:t>简要规格描述或项目基本概况介绍、用途：杭州市温室气体监测系统运维项目，运维服务范围包括：承担6个高精度温室气体监测站点和1个碳汇监测站点所有监测仪器、气象仪器、质控设备、数据采集与传输设备、辅助设备等基础设施的日常维护工作，承担环境管理、站房巡检管理、站房维护维修、系统运行管理、质量控制、仪器维修和数据审核等工作，承担由此产生的运维期内耗材、标气、人工、水电、网络、站房租用、铁塔挂塔费用及其安全相关、设备维修维护所需配件、工具、车辆等费用，并完成碳通量数据分析；项目含2025年1月1日至合同签定日内的水电、网络、站房租用(含铁塔挂塔成本)、标气等费用。</w:t>
      </w:r>
      <w:r>
        <w:rPr>
          <w:rFonts w:hint="eastAsia" w:asciiTheme="minorEastAsia" w:hAnsiTheme="minorEastAsia" w:eastAsiaTheme="minorEastAsia"/>
          <w:snapToGrid/>
          <w:color w:val="auto"/>
          <w:kern w:val="2"/>
          <w:sz w:val="24"/>
          <w:szCs w:val="24"/>
          <w:highlight w:val="none"/>
        </w:rPr>
        <w:t>具体以招标文件第三部分采购需求为准，供应商可点击本公告下方“浏览采购文件”查看采购需求。</w:t>
      </w:r>
      <w:r>
        <w:rPr>
          <w:rFonts w:hint="eastAsia" w:hAnsi="宋体" w:cs="宋体"/>
          <w:bCs/>
          <w:snapToGrid/>
          <w:color w:val="auto"/>
          <w:kern w:val="2"/>
          <w:sz w:val="24"/>
          <w:szCs w:val="24"/>
          <w:highlight w:val="none"/>
        </w:rPr>
        <w:t xml:space="preserve">    </w:t>
      </w:r>
    </w:p>
    <w:p w14:paraId="78F39ECD">
      <w:pPr>
        <w:pStyle w:val="6"/>
        <w:spacing w:line="360" w:lineRule="auto"/>
        <w:ind w:firstLine="480"/>
        <w:rPr>
          <w:rFonts w:hint="eastAsia" w:hAnsi="宋体" w:cs="宋体"/>
          <w:bCs/>
          <w:snapToGrid/>
          <w:color w:val="auto"/>
          <w:kern w:val="2"/>
          <w:sz w:val="24"/>
          <w:szCs w:val="24"/>
          <w:highlight w:val="none"/>
        </w:rPr>
      </w:pPr>
      <w:r>
        <w:rPr>
          <w:rFonts w:hint="eastAsia" w:hAnsi="宋体" w:cs="宋体"/>
          <w:bCs/>
          <w:snapToGrid/>
          <w:color w:val="auto"/>
          <w:kern w:val="2"/>
          <w:sz w:val="24"/>
          <w:szCs w:val="24"/>
          <w:highlight w:val="none"/>
        </w:rPr>
        <w:t>备注：无</w:t>
      </w:r>
    </w:p>
    <w:p w14:paraId="35200666">
      <w:pPr>
        <w:pStyle w:val="6"/>
        <w:spacing w:line="360" w:lineRule="auto"/>
        <w:ind w:firstLine="480"/>
        <w:rPr>
          <w:rFonts w:hint="eastAsia" w:hAnsi="宋体" w:cs="宋体"/>
          <w:bCs/>
          <w:snapToGrid/>
          <w:color w:val="auto"/>
          <w:kern w:val="2"/>
          <w:sz w:val="24"/>
          <w:szCs w:val="24"/>
          <w:highlight w:val="none"/>
        </w:rPr>
      </w:pPr>
    </w:p>
    <w:p w14:paraId="28A24E7F">
      <w:pPr>
        <w:pStyle w:val="6"/>
        <w:spacing w:line="360" w:lineRule="auto"/>
        <w:ind w:firstLine="480"/>
        <w:rPr>
          <w:rFonts w:hint="eastAsia" w:hAnsi="宋体" w:cs="宋体"/>
          <w:bCs/>
          <w:snapToGrid/>
          <w:color w:val="auto"/>
          <w:kern w:val="2"/>
          <w:sz w:val="24"/>
          <w:szCs w:val="24"/>
          <w:highlight w:val="none"/>
        </w:rPr>
      </w:pPr>
      <w:r>
        <w:rPr>
          <w:rFonts w:hint="eastAsia" w:hAnsi="宋体" w:cs="宋体"/>
          <w:bCs/>
          <w:snapToGrid/>
          <w:color w:val="auto"/>
          <w:kern w:val="2"/>
          <w:sz w:val="24"/>
          <w:szCs w:val="24"/>
          <w:highlight w:val="none"/>
        </w:rPr>
        <w:t>标项二</w:t>
      </w:r>
    </w:p>
    <w:p w14:paraId="75AA3700">
      <w:pPr>
        <w:pStyle w:val="6"/>
        <w:spacing w:line="360" w:lineRule="auto"/>
        <w:ind w:firstLine="480"/>
        <w:rPr>
          <w:rFonts w:hint="eastAsia" w:hAnsi="宋体" w:cs="宋体"/>
          <w:bCs/>
          <w:snapToGrid/>
          <w:color w:val="auto"/>
          <w:kern w:val="2"/>
          <w:sz w:val="24"/>
          <w:szCs w:val="24"/>
          <w:highlight w:val="none"/>
        </w:rPr>
      </w:pPr>
      <w:r>
        <w:rPr>
          <w:rFonts w:hint="eastAsia" w:hAnsi="宋体" w:cs="宋体"/>
          <w:bCs/>
          <w:snapToGrid/>
          <w:color w:val="auto"/>
          <w:kern w:val="2"/>
          <w:sz w:val="24"/>
          <w:szCs w:val="24"/>
          <w:highlight w:val="none"/>
        </w:rPr>
        <w:t xml:space="preserve">标项名称：杭州市碳排放反演与通量核算项目    </w:t>
      </w:r>
    </w:p>
    <w:p w14:paraId="1E0CE52D">
      <w:pPr>
        <w:pStyle w:val="6"/>
        <w:spacing w:line="360" w:lineRule="auto"/>
        <w:ind w:firstLine="480"/>
        <w:rPr>
          <w:rFonts w:hint="eastAsia" w:hAnsi="宋体" w:cs="宋体"/>
          <w:bCs/>
          <w:snapToGrid/>
          <w:color w:val="auto"/>
          <w:kern w:val="2"/>
          <w:sz w:val="24"/>
          <w:szCs w:val="24"/>
          <w:highlight w:val="none"/>
        </w:rPr>
      </w:pPr>
      <w:r>
        <w:rPr>
          <w:rFonts w:hint="eastAsia" w:hAnsi="宋体" w:cs="宋体"/>
          <w:bCs/>
          <w:snapToGrid/>
          <w:color w:val="auto"/>
          <w:kern w:val="2"/>
          <w:sz w:val="24"/>
          <w:szCs w:val="24"/>
          <w:highlight w:val="none"/>
        </w:rPr>
        <w:t xml:space="preserve">数量：1    </w:t>
      </w:r>
    </w:p>
    <w:p w14:paraId="6FC0B1A8">
      <w:pPr>
        <w:pStyle w:val="6"/>
        <w:spacing w:line="360" w:lineRule="auto"/>
        <w:ind w:firstLine="480"/>
        <w:rPr>
          <w:rFonts w:hint="eastAsia" w:hAnsi="宋体" w:cs="宋体"/>
          <w:bCs/>
          <w:snapToGrid/>
          <w:color w:val="auto"/>
          <w:kern w:val="2"/>
          <w:sz w:val="24"/>
          <w:szCs w:val="24"/>
          <w:highlight w:val="none"/>
        </w:rPr>
      </w:pPr>
      <w:r>
        <w:rPr>
          <w:rFonts w:hint="eastAsia" w:hAnsi="宋体" w:cs="宋体"/>
          <w:bCs/>
          <w:snapToGrid/>
          <w:color w:val="auto"/>
          <w:kern w:val="2"/>
          <w:sz w:val="24"/>
          <w:szCs w:val="24"/>
          <w:highlight w:val="none"/>
        </w:rPr>
        <w:t>预算金额（元）：</w:t>
      </w:r>
      <w:r>
        <w:rPr>
          <w:rFonts w:hint="eastAsia" w:hAnsi="宋体" w:cs="宋体"/>
          <w:bCs/>
          <w:color w:val="auto"/>
          <w:sz w:val="24"/>
          <w:highlight w:val="none"/>
        </w:rPr>
        <w:t>310000</w:t>
      </w:r>
      <w:r>
        <w:rPr>
          <w:rFonts w:hint="eastAsia" w:hAnsi="宋体" w:cs="宋体"/>
          <w:bCs/>
          <w:snapToGrid/>
          <w:color w:val="auto"/>
          <w:kern w:val="2"/>
          <w:sz w:val="24"/>
          <w:szCs w:val="24"/>
          <w:highlight w:val="none"/>
        </w:rPr>
        <w:t xml:space="preserve">   </w:t>
      </w:r>
    </w:p>
    <w:p w14:paraId="4E6C70B8">
      <w:pPr>
        <w:pStyle w:val="6"/>
        <w:spacing w:line="360" w:lineRule="auto"/>
        <w:ind w:firstLine="480"/>
        <w:rPr>
          <w:rFonts w:hint="eastAsia" w:hAnsi="宋体" w:cs="宋体"/>
          <w:bCs/>
          <w:snapToGrid/>
          <w:color w:val="auto"/>
          <w:kern w:val="2"/>
          <w:sz w:val="24"/>
          <w:szCs w:val="24"/>
          <w:highlight w:val="none"/>
        </w:rPr>
      </w:pPr>
      <w:r>
        <w:rPr>
          <w:rFonts w:hint="eastAsia" w:hAnsi="宋体" w:cs="宋体"/>
          <w:bCs/>
          <w:snapToGrid/>
          <w:color w:val="auto"/>
          <w:kern w:val="2"/>
          <w:sz w:val="24"/>
          <w:szCs w:val="24"/>
          <w:highlight w:val="none"/>
        </w:rPr>
        <w:t>简要规格描述或项目基本概况介绍、用途：杭州市碳排放反演与通量核算项目，根据生态环境部下发的《碳监测评估试点工作方案》、《深化碳监测评估试点工作方案》等文件的要求，利用二氧化碳和甲烷观测数据，分析区域碳浓度分布和传输特征，结合温室气体同化反演核算方法，开展碳同化反演分析工作。主要针对杭州市CO2、CH4监测数据分析及排放反演评估服务。</w:t>
      </w:r>
      <w:r>
        <w:rPr>
          <w:rFonts w:hint="eastAsia" w:asciiTheme="minorEastAsia" w:hAnsiTheme="minorEastAsia" w:eastAsiaTheme="minorEastAsia"/>
          <w:snapToGrid/>
          <w:color w:val="auto"/>
          <w:kern w:val="2"/>
          <w:sz w:val="24"/>
          <w:szCs w:val="24"/>
          <w:highlight w:val="none"/>
        </w:rPr>
        <w:t>具体以招标文件第三部分采购需求为准，供应商可点击本公告下方“浏览采购文件”查看采购需求。</w:t>
      </w:r>
      <w:r>
        <w:rPr>
          <w:rFonts w:hint="eastAsia" w:hAnsi="宋体" w:cs="宋体"/>
          <w:bCs/>
          <w:snapToGrid/>
          <w:color w:val="auto"/>
          <w:kern w:val="2"/>
          <w:sz w:val="24"/>
          <w:szCs w:val="24"/>
          <w:highlight w:val="none"/>
        </w:rPr>
        <w:t xml:space="preserve"> </w:t>
      </w:r>
    </w:p>
    <w:p w14:paraId="312D11E5">
      <w:pPr>
        <w:pStyle w:val="6"/>
        <w:spacing w:line="360" w:lineRule="auto"/>
        <w:ind w:firstLine="480"/>
        <w:rPr>
          <w:rFonts w:hint="eastAsia" w:hAnsi="宋体" w:cs="宋体"/>
          <w:bCs/>
          <w:snapToGrid/>
          <w:color w:val="auto"/>
          <w:kern w:val="2"/>
          <w:sz w:val="24"/>
          <w:szCs w:val="24"/>
          <w:highlight w:val="none"/>
        </w:rPr>
      </w:pPr>
      <w:r>
        <w:rPr>
          <w:rFonts w:hint="eastAsia" w:hAnsi="宋体" w:cs="宋体"/>
          <w:bCs/>
          <w:snapToGrid/>
          <w:color w:val="auto"/>
          <w:kern w:val="2"/>
          <w:sz w:val="24"/>
          <w:szCs w:val="24"/>
          <w:highlight w:val="none"/>
        </w:rPr>
        <w:t>备注：无</w:t>
      </w:r>
    </w:p>
    <w:p w14:paraId="291449DF">
      <w:pPr>
        <w:pStyle w:val="6"/>
        <w:spacing w:line="360" w:lineRule="auto"/>
        <w:ind w:firstLine="480"/>
        <w:rPr>
          <w:rFonts w:hint="eastAsia" w:hAnsi="宋体" w:cs="宋体"/>
          <w:color w:val="auto"/>
          <w:highlight w:val="none"/>
        </w:rPr>
      </w:pPr>
      <w:r>
        <w:rPr>
          <w:rFonts w:hint="eastAsia" w:hAnsi="宋体" w:cs="宋体"/>
          <w:b/>
          <w:snapToGrid/>
          <w:color w:val="auto"/>
          <w:kern w:val="2"/>
          <w:sz w:val="24"/>
          <w:szCs w:val="24"/>
          <w:highlight w:val="none"/>
        </w:rPr>
        <w:t>合同履约期限：</w:t>
      </w:r>
      <w:r>
        <w:rPr>
          <w:rFonts w:hint="eastAsia" w:asciiTheme="minorEastAsia" w:hAnsiTheme="minorEastAsia" w:eastAsiaTheme="minorEastAsia"/>
          <w:snapToGrid/>
          <w:color w:val="auto"/>
          <w:kern w:val="2"/>
          <w:sz w:val="24"/>
          <w:szCs w:val="24"/>
          <w:highlight w:val="none"/>
        </w:rPr>
        <w:t>标项1：</w:t>
      </w:r>
      <w:r>
        <w:rPr>
          <w:rFonts w:hint="eastAsia" w:hAnsi="宋体" w:cs="宋体"/>
          <w:bCs/>
          <w:snapToGrid/>
          <w:color w:val="auto"/>
          <w:kern w:val="2"/>
          <w:sz w:val="24"/>
          <w:szCs w:val="24"/>
          <w:highlight w:val="none"/>
        </w:rPr>
        <w:t>合同签订之日起后五个月，标项2：反演时间段为</w:t>
      </w:r>
      <w:r>
        <w:rPr>
          <w:rFonts w:hint="eastAsia" w:ascii="宋体" w:hAnsi="宋体" w:cs="宋体"/>
          <w:bCs/>
          <w:color w:val="auto"/>
          <w:sz w:val="24"/>
          <w:highlight w:val="none"/>
        </w:rPr>
        <w:t>2025年1月1日至11月30日</w:t>
      </w:r>
      <w:r>
        <w:rPr>
          <w:rFonts w:hint="eastAsia" w:hAnsi="宋体" w:cs="宋体"/>
          <w:bCs/>
          <w:snapToGrid/>
          <w:color w:val="auto"/>
          <w:kern w:val="2"/>
          <w:sz w:val="24"/>
          <w:szCs w:val="24"/>
          <w:highlight w:val="none"/>
        </w:rPr>
        <w:t>。</w:t>
      </w:r>
      <w:r>
        <w:rPr>
          <w:rFonts w:hAnsi="宋体" w:cs="宋体"/>
          <w:color w:val="auto"/>
          <w:highlight w:val="none"/>
        </w:rPr>
        <w:t xml:space="preserve"> </w:t>
      </w:r>
    </w:p>
    <w:p w14:paraId="0A62B506">
      <w:pPr>
        <w:pStyle w:val="6"/>
        <w:spacing w:line="360" w:lineRule="auto"/>
        <w:ind w:firstLine="480"/>
        <w:rPr>
          <w:rFonts w:hint="eastAsia" w:hAnsi="宋体" w:cs="宋体"/>
          <w:b/>
          <w:color w:val="auto"/>
          <w:highlight w:val="none"/>
        </w:rPr>
      </w:pPr>
      <w:r>
        <w:rPr>
          <w:rFonts w:hint="eastAsia" w:hAnsi="宋体" w:cs="宋体"/>
          <w:b/>
          <w:color w:val="auto"/>
          <w:sz w:val="24"/>
          <w:highlight w:val="none"/>
        </w:rPr>
        <w:t>本项目接受联合体投标：</w:t>
      </w:r>
      <w:r>
        <w:rPr>
          <w:rFonts w:hAnsi="宋体" w:cs="宋体"/>
          <w:color w:val="auto"/>
          <w:kern w:val="0"/>
          <w:sz w:val="24"/>
          <w:highlight w:val="none"/>
        </w:rPr>
        <w:t xml:space="preserve"> </w:t>
      </w:r>
      <w:sdt>
        <w:sdtPr>
          <w:rPr>
            <w:rFonts w:hAnsi="宋体" w:cs="宋体"/>
            <w:color w:val="auto"/>
            <w:kern w:val="0"/>
            <w:sz w:val="24"/>
            <w:highlight w:val="none"/>
          </w:rPr>
          <w:id w:val="-1"/>
          <w14:checkbox>
            <w14:checked w14:val="1"/>
            <w14:checkedState w14:val="00FE" w14:font="Wingdings"/>
            <w14:uncheckedState w14:val="2610" w14:font="MS Gothic"/>
          </w14:checkbox>
        </w:sdtPr>
        <w:sdtEndPr>
          <w:rPr>
            <w:rFonts w:hAnsi="宋体" w:cs="宋体"/>
            <w:color w:val="auto"/>
            <w:kern w:val="0"/>
            <w:sz w:val="24"/>
            <w:highlight w:val="none"/>
          </w:rPr>
        </w:sdtEndPr>
        <w:sdtContent>
          <w:r>
            <w:rPr>
              <w:rFonts w:hAnsi="宋体" w:cs="宋体"/>
              <w:color w:val="auto"/>
              <w:kern w:val="0"/>
              <w:sz w:val="24"/>
              <w:highlight w:val="none"/>
            </w:rPr>
            <w:sym w:font="Wingdings" w:char="F0FE"/>
          </w:r>
        </w:sdtContent>
      </w:sdt>
      <w:r>
        <w:rPr>
          <w:rFonts w:hint="eastAsia" w:hAnsi="宋体" w:cs="宋体"/>
          <w:b/>
          <w:color w:val="auto"/>
          <w:sz w:val="24"/>
          <w:highlight w:val="none"/>
        </w:rPr>
        <w:t>是；</w:t>
      </w:r>
      <w:sdt>
        <w:sdtPr>
          <w:rPr>
            <w:rFonts w:hAnsi="宋体" w:cs="宋体"/>
            <w:color w:val="auto"/>
            <w:kern w:val="0"/>
            <w:sz w:val="24"/>
            <w:highlight w:val="none"/>
          </w:rPr>
          <w:id w:val="747548208"/>
          <w14:checkbox>
            <w14:checked w14:val="0"/>
            <w14:checkedState w14:val="00FE" w14:font="Wingdings"/>
            <w14:uncheckedState w14:val="2610" w14:font="MS Gothic"/>
          </w14:checkbox>
        </w:sdtPr>
        <w:sdtEndPr>
          <w:rPr>
            <w:rFonts w:hAnsi="宋体" w:cs="宋体"/>
            <w:color w:val="auto"/>
            <w:kern w:val="0"/>
            <w:sz w:val="24"/>
            <w:highlight w:val="none"/>
          </w:rPr>
        </w:sdtEndPr>
        <w:sdtContent>
          <w:r>
            <w:rPr>
              <w:rFonts w:ascii="Segoe UI Symbol" w:hAnsi="Segoe UI Symbol" w:cs="Segoe UI Symbol"/>
              <w:color w:val="auto"/>
              <w:kern w:val="0"/>
              <w:sz w:val="24"/>
              <w:highlight w:val="none"/>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07C765D3">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二、申请人的资格要求：</w:t>
      </w:r>
    </w:p>
    <w:p w14:paraId="0799FD70">
      <w:pPr>
        <w:spacing w:line="360" w:lineRule="auto"/>
        <w:ind w:firstLine="480"/>
        <w:rPr>
          <w:rFonts w:hint="eastAsia"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399C647D">
      <w:pPr>
        <w:spacing w:line="360" w:lineRule="auto"/>
        <w:rPr>
          <w:rFonts w:hint="eastAsia"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14:paraId="3FC7EF18">
      <w:pPr>
        <w:spacing w:line="360" w:lineRule="auto"/>
        <w:ind w:firstLine="480" w:firstLineChars="200"/>
        <w:rPr>
          <w:rFonts w:hint="eastAsia"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742C43D5">
      <w:pPr>
        <w:spacing w:line="360" w:lineRule="auto"/>
        <w:ind w:firstLine="480" w:firstLineChars="200"/>
        <w:rPr>
          <w:rFonts w:hint="eastAsia"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highlight w:val="none"/>
            </w:rPr>
            <w:t>þ</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p>
    <w:p w14:paraId="61333398">
      <w:pPr>
        <w:spacing w:line="360" w:lineRule="auto"/>
        <w:ind w:firstLine="480" w:firstLineChars="200"/>
        <w:rPr>
          <w:rFonts w:hint="eastAsia" w:ascii="宋体" w:hAnsi="宋体" w:cs="宋体"/>
          <w:color w:val="auto"/>
          <w:sz w:val="24"/>
          <w:highlight w:val="none"/>
        </w:rPr>
      </w:pPr>
      <w:sdt>
        <w:sdtPr>
          <w:rPr>
            <w:rFonts w:hint="eastAsia" w:ascii="宋体" w:hAnsi="宋体" w:cs="宋体"/>
            <w:color w:val="auto"/>
            <w:kern w:val="0"/>
            <w:sz w:val="24"/>
            <w:highlight w:val="none"/>
          </w:rPr>
          <w:id w:val="597832300"/>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044F39BF">
      <w:pPr>
        <w:spacing w:line="360" w:lineRule="auto"/>
        <w:ind w:firstLine="897" w:firstLineChars="374"/>
        <w:rPr>
          <w:rFonts w:hint="eastAsia" w:ascii="宋体" w:hAnsi="宋体" w:cs="宋体"/>
          <w:color w:val="auto"/>
          <w:sz w:val="24"/>
          <w:highlight w:val="none"/>
        </w:rPr>
      </w:pPr>
      <w:sdt>
        <w:sdtPr>
          <w:rPr>
            <w:rFonts w:hint="eastAsia" w:ascii="宋体" w:hAnsi="宋体" w:cs="宋体"/>
            <w:color w:val="auto"/>
            <w:kern w:val="0"/>
            <w:sz w:val="24"/>
            <w:highlight w:val="none"/>
          </w:rPr>
          <w:id w:val="414455266"/>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服务全部由符合政策要求的中小企业承接，提供中小企业声明函；</w:t>
      </w:r>
    </w:p>
    <w:p w14:paraId="6E66FA99">
      <w:pPr>
        <w:spacing w:line="360" w:lineRule="auto"/>
        <w:ind w:firstLine="897" w:firstLineChars="374"/>
        <w:rPr>
          <w:rFonts w:hint="eastAsia" w:ascii="宋体" w:hAnsi="宋体" w:cs="宋体"/>
          <w:color w:val="auto"/>
          <w:sz w:val="24"/>
          <w:highlight w:val="none"/>
        </w:rPr>
      </w:pPr>
      <w:sdt>
        <w:sdtPr>
          <w:rPr>
            <w:rFonts w:hint="eastAsia" w:ascii="宋体" w:hAnsi="宋体" w:cs="宋体"/>
            <w:color w:val="auto"/>
            <w:kern w:val="0"/>
            <w:sz w:val="24"/>
            <w:highlight w:val="none"/>
          </w:rPr>
          <w:id w:val="42002746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服务全部由符合政策要求的小微企业承接，提供中小企业声明函；</w:t>
      </w:r>
    </w:p>
    <w:p w14:paraId="7FA8B1D8">
      <w:pPr>
        <w:spacing w:line="360" w:lineRule="auto"/>
        <w:ind w:firstLine="480" w:firstLineChars="200"/>
        <w:rPr>
          <w:rFonts w:hint="eastAsia" w:ascii="宋体" w:hAnsi="宋体" w:cs="宋体"/>
          <w:color w:val="auto"/>
          <w:sz w:val="24"/>
          <w:highlight w:val="none"/>
        </w:rPr>
      </w:pPr>
      <w:sdt>
        <w:sdtPr>
          <w:rPr>
            <w:rFonts w:hint="eastAsia" w:ascii="宋体" w:hAnsi="宋体" w:cs="宋体"/>
            <w:color w:val="auto"/>
            <w:kern w:val="0"/>
            <w:sz w:val="24"/>
            <w:highlight w:val="none"/>
          </w:rPr>
          <w:id w:val="14746603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p w14:paraId="05BBABD3">
      <w:pPr>
        <w:spacing w:line="360" w:lineRule="auto"/>
        <w:ind w:firstLine="480" w:firstLineChars="200"/>
        <w:rPr>
          <w:rFonts w:hint="eastAsia" w:ascii="宋体" w:hAnsi="宋体" w:cs="宋体"/>
          <w:color w:val="auto"/>
          <w:sz w:val="24"/>
          <w:highlight w:val="none"/>
        </w:rPr>
      </w:pPr>
      <w:sdt>
        <w:sdtPr>
          <w:rPr>
            <w:rFonts w:hint="eastAsia" w:ascii="宋体" w:hAnsi="宋体" w:cs="宋体"/>
            <w:color w:val="auto"/>
            <w:kern w:val="0"/>
            <w:sz w:val="24"/>
            <w:highlight w:val="none"/>
          </w:rPr>
          <w:id w:val="147456620"/>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14:paraId="0BBB76FA">
      <w:pPr>
        <w:snapToGrid w:val="0"/>
        <w:spacing w:line="360" w:lineRule="auto"/>
        <w:ind w:firstLine="480" w:firstLineChars="200"/>
        <w:rPr>
          <w:rFonts w:hint="eastAsia"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p>
    <w:p w14:paraId="31D00693">
      <w:pPr>
        <w:snapToGrid w:val="0"/>
        <w:spacing w:line="360" w:lineRule="auto"/>
        <w:ind w:firstLine="480" w:firstLineChars="200"/>
        <w:rPr>
          <w:rFonts w:hint="eastAsia" w:ascii="宋体" w:hAnsi="宋体" w:cs="宋体"/>
          <w:color w:val="auto"/>
          <w:sz w:val="24"/>
          <w:highlight w:val="none"/>
        </w:rPr>
      </w:pPr>
      <w:sdt>
        <w:sdtPr>
          <w:rPr>
            <w:rFonts w:hint="eastAsia" w:ascii="宋体" w:hAnsi="宋体" w:cs="宋体"/>
            <w:color w:val="auto"/>
            <w:kern w:val="0"/>
            <w:sz w:val="24"/>
            <w:highlight w:val="none"/>
          </w:rPr>
          <w:id w:val="14746646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无。</w:t>
      </w:r>
    </w:p>
    <w:p w14:paraId="14990042">
      <w:pPr>
        <w:snapToGrid w:val="0"/>
        <w:spacing w:line="360" w:lineRule="auto"/>
        <w:ind w:firstLine="480" w:firstLineChars="200"/>
        <w:rPr>
          <w:rFonts w:hint="eastAsia" w:ascii="宋体" w:hAnsi="宋体" w:cs="宋体"/>
          <w:color w:val="auto"/>
          <w:sz w:val="24"/>
          <w:highlight w:val="none"/>
        </w:rPr>
      </w:pPr>
      <w:sdt>
        <w:sdtPr>
          <w:rPr>
            <w:rFonts w:hint="eastAsia" w:ascii="宋体" w:hAnsi="宋体" w:cs="宋体"/>
            <w:color w:val="auto"/>
            <w:kern w:val="0"/>
            <w:sz w:val="24"/>
            <w:highlight w:val="none"/>
          </w:rPr>
          <w:id w:val="81344519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highlight w:val="none"/>
            </w:rPr>
            <w:t>þ</w:t>
          </w:r>
        </w:sdtContent>
      </w:sdt>
      <w:r>
        <w:rPr>
          <w:rFonts w:hint="eastAsia" w:ascii="宋体" w:hAnsi="宋体" w:cs="宋体"/>
          <w:color w:val="auto"/>
          <w:sz w:val="24"/>
          <w:highlight w:val="none"/>
        </w:rPr>
        <w:t>有特定资格要求：</w:t>
      </w:r>
      <w:bookmarkStart w:id="11" w:name="_Hlk201150407"/>
      <w:r>
        <w:rPr>
          <w:rFonts w:hint="eastAsia" w:ascii="宋体" w:hAnsi="宋体"/>
          <w:color w:val="auto"/>
          <w:sz w:val="24"/>
          <w:highlight w:val="none"/>
        </w:rPr>
        <w:t>截至投标日三年内未受到生态环境主管部门作出的行政处罚，由投标人提供承诺函。该特定条件的法律法规依据：《浙江省生态环境保护条例》第六十五条第二款规定：“依照前款规定对生态环境服务机构作出行政处罚的，自作出行政处罚决定之日起三年内禁止该机构参与政府采购的生态环境服务项目。”</w:t>
      </w:r>
      <w:bookmarkEnd w:id="11"/>
    </w:p>
    <w:p w14:paraId="4CABA90F">
      <w:pPr>
        <w:snapToGrid w:val="0"/>
        <w:spacing w:line="360" w:lineRule="auto"/>
        <w:ind w:firstLine="480" w:firstLineChars="200"/>
        <w:rPr>
          <w:rFonts w:hint="eastAsia"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7081906B">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358E4F42">
      <w:pP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2025年</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23</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2F837084">
      <w:pP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6080541D">
      <w:pP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3627C669">
      <w:pP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2EF376DF">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4D2422DA">
      <w:pP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2025年</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23</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09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14:paraId="7E59D6DD">
      <w:pPr>
        <w:spacing w:line="36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5794DC09">
      <w:pPr>
        <w:spacing w:line="360" w:lineRule="auto"/>
        <w:ind w:firstLine="482" w:firstLineChars="200"/>
        <w:rPr>
          <w:rFonts w:hint="eastAsia"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2025年</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23</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09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w:t>
      </w:r>
    </w:p>
    <w:p w14:paraId="04CA39F0">
      <w:pP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5D1D588B">
      <w:pPr>
        <w:spacing w:line="360" w:lineRule="auto"/>
        <w:rPr>
          <w:rFonts w:hint="eastAsia" w:ascii="宋体" w:hAnsi="宋体" w:cs="宋体"/>
          <w:color w:val="auto"/>
          <w:sz w:val="24"/>
          <w:highlight w:val="none"/>
        </w:rPr>
      </w:pPr>
      <w:r>
        <w:rPr>
          <w:rFonts w:hint="eastAsia" w:ascii="宋体" w:hAnsi="宋体" w:cs="宋体"/>
          <w:b/>
          <w:color w:val="auto"/>
          <w:sz w:val="24"/>
          <w:highlight w:val="none"/>
        </w:rPr>
        <w:t xml:space="preserve">五、公告期限 </w:t>
      </w:r>
    </w:p>
    <w:p w14:paraId="49DABAB7">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自本公告发布之日起5个工作日。</w:t>
      </w:r>
    </w:p>
    <w:p w14:paraId="6739DFBC">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六、其他补充事宜</w:t>
      </w:r>
    </w:p>
    <w:p w14:paraId="324926A9">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 1.</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3B5CE26F">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5678946">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00A312D">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420D50CE">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13E1D74A">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1.采购人信息</w:t>
      </w:r>
    </w:p>
    <w:p w14:paraId="5A0CED4D">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名    称：浙江省杭州生态环境监测中心</w:t>
      </w:r>
    </w:p>
    <w:p w14:paraId="3CF87E63">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地    址： 杭州市西湖区紫之隧道28号      </w:t>
      </w:r>
    </w:p>
    <w:p w14:paraId="24156685">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传    真： /</w:t>
      </w:r>
    </w:p>
    <w:p w14:paraId="640ACBE3">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 xml:space="preserve">项目联系人（询问）： 叶先生 </w:t>
      </w:r>
    </w:p>
    <w:p w14:paraId="0D3CBFED">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项目联系方式（询问）：0571-87998260</w:t>
      </w:r>
      <w:bookmarkStart w:id="530" w:name="_GoBack"/>
      <w:bookmarkEnd w:id="530"/>
      <w:r>
        <w:rPr>
          <w:rFonts w:hint="eastAsia" w:ascii="宋体" w:hAnsi="宋体" w:cs="宋体"/>
          <w:color w:val="auto"/>
          <w:sz w:val="24"/>
          <w:highlight w:val="none"/>
        </w:rPr>
        <w:t xml:space="preserve"> </w:t>
      </w:r>
    </w:p>
    <w:p w14:paraId="6E9B8F42">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质疑联系人： 张先生</w:t>
      </w:r>
    </w:p>
    <w:p w14:paraId="60D3BE9A">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质疑联系方式：0571-87969953 </w:t>
      </w:r>
    </w:p>
    <w:p w14:paraId="3643FBE1">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2.采购代理机构信息            </w:t>
      </w:r>
    </w:p>
    <w:p w14:paraId="6922A9B9">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名    称：杭州意信招标代理有限公司</w:t>
      </w:r>
    </w:p>
    <w:p w14:paraId="71D606E1">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地    址：</w:t>
      </w:r>
      <w:r>
        <w:rPr>
          <w:rFonts w:hint="eastAsia" w:ascii="宋体" w:hAnsi="宋体"/>
          <w:bCs/>
          <w:color w:val="auto"/>
          <w:sz w:val="24"/>
          <w:highlight w:val="none"/>
        </w:rPr>
        <w:t>杭州市莫干山路1243号</w:t>
      </w:r>
      <w:r>
        <w:rPr>
          <w:rFonts w:hint="eastAsia" w:ascii="宋体" w:hAnsi="宋体" w:cs="宋体"/>
          <w:bCs/>
          <w:color w:val="auto"/>
          <w:kern w:val="0"/>
          <w:sz w:val="24"/>
          <w:highlight w:val="none"/>
        </w:rPr>
        <w:t>星尚发展大厦A座8楼810室</w:t>
      </w:r>
    </w:p>
    <w:p w14:paraId="3AD2DC6D">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传    真：</w:t>
      </w:r>
      <w:r>
        <w:rPr>
          <w:rFonts w:ascii="宋体" w:hAnsi="宋体"/>
          <w:color w:val="auto"/>
          <w:sz w:val="24"/>
          <w:highlight w:val="none"/>
        </w:rPr>
        <w:t>0571-87211507</w:t>
      </w:r>
    </w:p>
    <w:p w14:paraId="465F10A6">
      <w:pPr>
        <w:spacing w:line="360" w:lineRule="auto"/>
        <w:ind w:firstLine="480"/>
        <w:rPr>
          <w:rFonts w:hint="eastAsia" w:ascii="宋体" w:hAnsi="宋体" w:cs="宋体"/>
          <w:color w:val="auto"/>
          <w:kern w:val="0"/>
          <w:sz w:val="24"/>
          <w:highlight w:val="none"/>
        </w:rPr>
      </w:pPr>
      <w:r>
        <w:rPr>
          <w:rFonts w:hint="eastAsia" w:ascii="宋体" w:hAnsi="宋体" w:cs="宋体"/>
          <w:color w:val="auto"/>
          <w:sz w:val="24"/>
          <w:highlight w:val="none"/>
        </w:rPr>
        <w:t>项目联系人（询问）：</w:t>
      </w:r>
      <w:r>
        <w:rPr>
          <w:rFonts w:hint="eastAsia" w:ascii="宋体" w:hAnsi="宋体" w:cs="宋体"/>
          <w:color w:val="auto"/>
          <w:kern w:val="0"/>
          <w:sz w:val="24"/>
          <w:highlight w:val="none"/>
        </w:rPr>
        <w:t>金婉娇、曹海英</w:t>
      </w:r>
    </w:p>
    <w:p w14:paraId="480E7BFB">
      <w:pPr>
        <w:spacing w:line="360" w:lineRule="auto"/>
        <w:ind w:firstLine="480"/>
        <w:rPr>
          <w:rFonts w:hint="eastAsia" w:ascii="宋体" w:hAnsi="宋体" w:cs="宋体"/>
          <w:color w:val="auto"/>
          <w:kern w:val="0"/>
          <w:sz w:val="24"/>
          <w:highlight w:val="none"/>
        </w:rPr>
      </w:pPr>
      <w:r>
        <w:rPr>
          <w:rFonts w:hint="eastAsia" w:ascii="宋体" w:hAnsi="宋体" w:cs="宋体"/>
          <w:color w:val="auto"/>
          <w:sz w:val="24"/>
          <w:highlight w:val="none"/>
        </w:rPr>
        <w:t>项目联系方式（询问）：</w:t>
      </w:r>
      <w:r>
        <w:rPr>
          <w:rFonts w:hint="eastAsia" w:ascii="宋体" w:hAnsi="宋体" w:cs="宋体"/>
          <w:color w:val="auto"/>
          <w:kern w:val="0"/>
          <w:sz w:val="24"/>
          <w:highlight w:val="none"/>
        </w:rPr>
        <w:t>0571-87211505，88219719</w:t>
      </w:r>
    </w:p>
    <w:p w14:paraId="6EB7378E">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质疑联系人：</w:t>
      </w:r>
      <w:r>
        <w:rPr>
          <w:rFonts w:hint="eastAsia" w:ascii="宋体" w:hAnsi="宋体" w:cs="宋体"/>
          <w:color w:val="auto"/>
          <w:kern w:val="0"/>
          <w:sz w:val="24"/>
          <w:highlight w:val="none"/>
        </w:rPr>
        <w:t>曹红</w:t>
      </w:r>
      <w:r>
        <w:rPr>
          <w:rFonts w:hint="eastAsia" w:ascii="宋体" w:hAnsi="宋体" w:cs="宋体"/>
          <w:color w:val="auto"/>
          <w:sz w:val="24"/>
          <w:highlight w:val="none"/>
        </w:rPr>
        <w:t xml:space="preserve"> </w:t>
      </w:r>
    </w:p>
    <w:p w14:paraId="05DB2798">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质疑联系方式：</w:t>
      </w:r>
      <w:r>
        <w:rPr>
          <w:rFonts w:hint="eastAsia" w:ascii="宋体" w:hAnsi="宋体"/>
          <w:color w:val="auto"/>
          <w:sz w:val="24"/>
          <w:highlight w:val="none"/>
        </w:rPr>
        <w:t>0571-87829182</w:t>
      </w:r>
    </w:p>
    <w:p w14:paraId="438AA000">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3.同级政府采购监督管理部门            </w:t>
      </w:r>
    </w:p>
    <w:p w14:paraId="3828F92A">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名    称：杭州市财政局政府采购监管处 /浙江省政府采购行政裁决服务中心（杭州）</w:t>
      </w:r>
    </w:p>
    <w:p w14:paraId="16EB9FF2">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地    址：杭州市上城区清泰街549号城建综合大楼11楼（快递仅限ems或顺丰）</w:t>
      </w:r>
    </w:p>
    <w:p w14:paraId="6863B8AA">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传    真： /</w:t>
      </w:r>
    </w:p>
    <w:p w14:paraId="54B042F9">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联系人 ：朱女士、王女士</w:t>
      </w:r>
    </w:p>
    <w:p w14:paraId="090635E8">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监督投诉电话：0571-87227671,0571-87800218</w:t>
      </w:r>
    </w:p>
    <w:p w14:paraId="4E4ECAE4">
      <w:pPr>
        <w:spacing w:line="360" w:lineRule="auto"/>
        <w:ind w:firstLine="480"/>
        <w:rPr>
          <w:rFonts w:hint="eastAsia" w:ascii="宋体" w:hAnsi="宋体" w:cs="宋体"/>
          <w:color w:val="auto"/>
          <w:sz w:val="24"/>
          <w:highlight w:val="none"/>
        </w:rPr>
      </w:pPr>
    </w:p>
    <w:p w14:paraId="3FCA5CDA">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政策咨询电话：陈先生、厉先生，0571-89580460、89580456</w:t>
      </w:r>
    </w:p>
    <w:p w14:paraId="5158F0BC">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5C183875">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283ACA61">
      <w:pPr>
        <w:widowControl/>
        <w:adjustRightInd/>
        <w:jc w:val="left"/>
        <w:rPr>
          <w:rFonts w:hint="eastAsia" w:ascii="宋体" w:hAnsi="宋体" w:cs="宋体"/>
          <w:b/>
          <w:color w:val="auto"/>
          <w:sz w:val="36"/>
          <w:szCs w:val="20"/>
          <w:highlight w:val="none"/>
        </w:rPr>
      </w:pPr>
      <w:r>
        <w:rPr>
          <w:rFonts w:ascii="宋体" w:hAnsi="宋体" w:cs="宋体"/>
          <w:b/>
          <w:color w:val="auto"/>
          <w:sz w:val="36"/>
          <w:szCs w:val="20"/>
          <w:highlight w:val="none"/>
        </w:rPr>
        <w:br w:type="page"/>
      </w:r>
    </w:p>
    <w:p w14:paraId="7272B7F6">
      <w:pPr>
        <w:adjustRightInd/>
        <w:spacing w:line="360" w:lineRule="auto"/>
        <w:jc w:val="center"/>
        <w:outlineLvl w:val="0"/>
        <w:rPr>
          <w:rFonts w:hint="eastAsia"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14:paraId="36085892">
      <w:pPr>
        <w:adjustRightInd/>
        <w:spacing w:line="360" w:lineRule="auto"/>
        <w:ind w:firstLine="3845" w:firstLineChars="1197"/>
        <w:outlineLvl w:val="0"/>
        <w:rPr>
          <w:rFonts w:hint="eastAsia"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2"/>
        <w:tblW w:w="9020"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548"/>
      </w:tblGrid>
      <w:tr w14:paraId="27596B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793AAAC8">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5AB6C160">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事项</w:t>
            </w:r>
          </w:p>
        </w:tc>
        <w:tc>
          <w:tcPr>
            <w:tcW w:w="6548" w:type="dxa"/>
            <w:tcBorders>
              <w:top w:val="single" w:color="000000" w:sz="8" w:space="0"/>
              <w:left w:val="single" w:color="000000" w:sz="2" w:space="0"/>
              <w:bottom w:val="single" w:color="000000" w:sz="8" w:space="0"/>
              <w:right w:val="single" w:color="000000" w:sz="8" w:space="0"/>
            </w:tcBorders>
            <w:vAlign w:val="center"/>
          </w:tcPr>
          <w:p w14:paraId="3025707E">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本项目的特别规定</w:t>
            </w:r>
          </w:p>
        </w:tc>
      </w:tr>
      <w:tr w14:paraId="5114AA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C8AD752">
            <w:pPr>
              <w:snapToGrid w:val="0"/>
              <w:spacing w:line="360" w:lineRule="auto"/>
              <w:jc w:val="center"/>
              <w:rPr>
                <w:rFonts w:hint="eastAsia" w:ascii="宋体" w:hAnsi="宋体" w:cs="宋体"/>
                <w:color w:val="auto"/>
                <w:sz w:val="24"/>
                <w:highlight w:val="none"/>
              </w:rPr>
            </w:pPr>
          </w:p>
          <w:p w14:paraId="657331D0">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0F4AEE47">
            <w:pPr>
              <w:snapToGrid w:val="0"/>
              <w:spacing w:line="360" w:lineRule="auto"/>
              <w:rPr>
                <w:rFonts w:hint="eastAsia" w:ascii="宋体" w:hAnsi="宋体" w:cs="宋体"/>
                <w:b/>
                <w:color w:val="auto"/>
                <w:sz w:val="24"/>
                <w:highlight w:val="none"/>
              </w:rPr>
            </w:pPr>
            <w:r>
              <w:rPr>
                <w:rFonts w:hint="eastAsia" w:ascii="宋体" w:hAnsi="宋体" w:cs="宋体"/>
                <w:b/>
                <w:color w:val="auto"/>
                <w:sz w:val="24"/>
                <w:highlight w:val="none"/>
              </w:rPr>
              <w:t>项目属性</w:t>
            </w:r>
          </w:p>
        </w:tc>
        <w:tc>
          <w:tcPr>
            <w:tcW w:w="6548" w:type="dxa"/>
            <w:tcBorders>
              <w:top w:val="single" w:color="000000" w:sz="8" w:space="0"/>
              <w:left w:val="single" w:color="000000" w:sz="2" w:space="0"/>
              <w:bottom w:val="single" w:color="000000" w:sz="8" w:space="0"/>
              <w:right w:val="single" w:color="000000" w:sz="8" w:space="0"/>
            </w:tcBorders>
            <w:vAlign w:val="center"/>
          </w:tcPr>
          <w:p w14:paraId="48A3DAFB">
            <w:pPr>
              <w:spacing w:line="360" w:lineRule="auto"/>
              <w:rPr>
                <w:rFonts w:hint="eastAsia" w:ascii="宋体" w:hAnsi="宋体" w:cs="宋体"/>
                <w:color w:val="auto"/>
                <w:sz w:val="24"/>
                <w:highlight w:val="none"/>
              </w:rPr>
            </w:pPr>
            <w:r>
              <w:rPr>
                <w:rFonts w:hint="eastAsia" w:ascii="宋体" w:hAnsi="宋体" w:cs="宋体"/>
                <w:color w:val="auto"/>
                <w:sz w:val="24"/>
                <w:highlight w:val="none"/>
              </w:rPr>
              <w:t>服务类。</w:t>
            </w:r>
          </w:p>
        </w:tc>
      </w:tr>
      <w:tr w14:paraId="5CBBA3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20CD5B0B">
            <w:pPr>
              <w:snapToGrid w:val="0"/>
              <w:spacing w:line="360" w:lineRule="auto"/>
              <w:jc w:val="center"/>
              <w:rPr>
                <w:rFonts w:hint="eastAsia" w:ascii="宋体" w:hAnsi="宋体" w:cs="宋体"/>
                <w:color w:val="auto"/>
                <w:sz w:val="24"/>
                <w:highlight w:val="none"/>
              </w:rPr>
            </w:pPr>
          </w:p>
          <w:p w14:paraId="012A7B0F">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55BF9B8E">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548" w:type="dxa"/>
            <w:tcBorders>
              <w:top w:val="single" w:color="000000" w:sz="8" w:space="0"/>
              <w:left w:val="single" w:color="000000" w:sz="2" w:space="0"/>
              <w:bottom w:val="single" w:color="000000" w:sz="8" w:space="0"/>
              <w:right w:val="single" w:color="000000" w:sz="8" w:space="0"/>
            </w:tcBorders>
            <w:vAlign w:val="center"/>
          </w:tcPr>
          <w:p w14:paraId="32BF7DC4">
            <w:pPr>
              <w:numPr>
                <w:ilvl w:val="0"/>
                <w:numId w:val="1"/>
              </w:num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标的：</w:t>
            </w:r>
            <w:r>
              <w:rPr>
                <w:rFonts w:hint="eastAsia" w:ascii="宋体" w:hAnsi="宋体" w:cs="宋体"/>
                <w:color w:val="auto"/>
                <w:kern w:val="0"/>
                <w:sz w:val="24"/>
                <w:highlight w:val="none"/>
                <w:u w:val="single"/>
              </w:rPr>
              <w:t xml:space="preserve"> 杭州市温室气体监测系统运维项目 </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 xml:space="preserve">    （十六）其他未列明 </w:t>
            </w:r>
            <w:r>
              <w:rPr>
                <w:rFonts w:hint="eastAsia" w:ascii="宋体" w:hAnsi="宋体" w:cs="宋体"/>
                <w:color w:val="auto"/>
                <w:kern w:val="0"/>
                <w:sz w:val="24"/>
                <w:highlight w:val="none"/>
              </w:rPr>
              <w:t>行业；</w:t>
            </w:r>
          </w:p>
          <w:p w14:paraId="77488BB6">
            <w:pPr>
              <w:numPr>
                <w:ilvl w:val="0"/>
                <w:numId w:val="1"/>
              </w:num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标的：</w:t>
            </w:r>
            <w:r>
              <w:rPr>
                <w:rFonts w:hint="eastAsia" w:ascii="宋体" w:hAnsi="宋体" w:cs="宋体"/>
                <w:color w:val="auto"/>
                <w:kern w:val="0"/>
                <w:sz w:val="24"/>
                <w:highlight w:val="none"/>
                <w:u w:val="single"/>
              </w:rPr>
              <w:t xml:space="preserve"> 杭州市碳排放反演与通量核算项目 </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 xml:space="preserve">    （十六）其他未列明 </w:t>
            </w:r>
            <w:r>
              <w:rPr>
                <w:rFonts w:hint="eastAsia" w:ascii="宋体" w:hAnsi="宋体" w:cs="宋体"/>
                <w:color w:val="auto"/>
                <w:kern w:val="0"/>
                <w:sz w:val="24"/>
                <w:highlight w:val="none"/>
              </w:rPr>
              <w:t>行业；</w:t>
            </w:r>
          </w:p>
          <w:p w14:paraId="3524B835">
            <w:pPr>
              <w:snapToGrid w:val="0"/>
              <w:spacing w:line="360" w:lineRule="auto"/>
              <w:rPr>
                <w:rFonts w:hint="eastAsia" w:ascii="宋体" w:hAnsi="宋体" w:cs="宋体"/>
                <w:color w:val="auto"/>
                <w:highlight w:val="none"/>
              </w:rPr>
            </w:pPr>
            <w:r>
              <w:rPr>
                <w:rFonts w:hint="eastAsia" w:ascii="宋体" w:hAnsi="宋体" w:cs="宋体"/>
                <w:color w:val="auto"/>
                <w:kern w:val="0"/>
                <w:sz w:val="24"/>
                <w:highlight w:val="none"/>
              </w:rPr>
              <w:t>根据《关于印发中小企业划型标准规定的通知》（工信部联企业〔2011〕300号）第四条规定：其他未列明行业。从业人员300人以下的为中小微型企业。其中，从业人员100人及以上的为中型企业；从业人员10人及以上的为小型企业；从业人员10人以下的为微型企业。</w:t>
            </w:r>
          </w:p>
        </w:tc>
      </w:tr>
      <w:tr w14:paraId="40A90D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256CA164">
            <w:pPr>
              <w:snapToGrid w:val="0"/>
              <w:spacing w:line="360" w:lineRule="auto"/>
              <w:jc w:val="center"/>
              <w:rPr>
                <w:rFonts w:hint="eastAsia" w:ascii="宋体" w:hAnsi="宋体" w:cs="宋体"/>
                <w:color w:val="auto"/>
                <w:sz w:val="24"/>
                <w:highlight w:val="none"/>
              </w:rPr>
            </w:pPr>
          </w:p>
          <w:p w14:paraId="537852B7">
            <w:pPr>
              <w:snapToGrid w:val="0"/>
              <w:spacing w:line="360" w:lineRule="auto"/>
              <w:jc w:val="center"/>
              <w:rPr>
                <w:rFonts w:hint="eastAsia" w:ascii="宋体" w:hAnsi="宋体" w:cs="宋体"/>
                <w:color w:val="auto"/>
                <w:sz w:val="24"/>
                <w:highlight w:val="none"/>
              </w:rPr>
            </w:pPr>
          </w:p>
          <w:p w14:paraId="4A0A2B12">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03231D4C">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548" w:type="dxa"/>
            <w:tcBorders>
              <w:top w:val="single" w:color="000000" w:sz="8" w:space="0"/>
              <w:left w:val="single" w:color="000000" w:sz="2" w:space="0"/>
              <w:bottom w:val="single" w:color="000000" w:sz="8" w:space="0"/>
              <w:right w:val="single" w:color="000000" w:sz="8" w:space="0"/>
            </w:tcBorders>
            <w:vAlign w:val="center"/>
          </w:tcPr>
          <w:p w14:paraId="75279238">
            <w:pPr>
              <w:spacing w:line="360" w:lineRule="auto"/>
              <w:rPr>
                <w:rFonts w:hint="eastAsia" w:ascii="宋体" w:hAnsi="宋体" w:cs="宋体"/>
                <w:color w:val="auto"/>
                <w:kern w:val="0"/>
                <w:sz w:val="24"/>
                <w:highlight w:val="none"/>
              </w:rPr>
            </w:pPr>
            <w:sdt>
              <w:sdtPr>
                <w:rPr>
                  <w:rFonts w:hint="eastAsia" w:ascii="宋体" w:hAnsi="宋体" w:cs="宋体"/>
                  <w:color w:val="auto"/>
                  <w:kern w:val="0"/>
                  <w:sz w:val="24"/>
                  <w:highlight w:val="none"/>
                </w:rPr>
                <w:id w:val="292530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14:paraId="0A217598">
            <w:pPr>
              <w:spacing w:line="360" w:lineRule="auto"/>
              <w:rPr>
                <w:rFonts w:hint="eastAsia" w:ascii="宋体" w:hAnsi="宋体" w:cs="宋体"/>
                <w:color w:val="auto"/>
                <w:highlight w:val="none"/>
              </w:rPr>
            </w:pPr>
            <w:sdt>
              <w:sdtPr>
                <w:rPr>
                  <w:rFonts w:hint="eastAsia" w:ascii="宋体" w:hAnsi="宋体" w:cs="宋体"/>
                  <w:color w:val="auto"/>
                  <w:kern w:val="0"/>
                  <w:sz w:val="24"/>
                  <w:highlight w:val="none"/>
                </w:rPr>
                <w:id w:val="45069696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14:paraId="55E55E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0730ED1">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490C33D4">
            <w:pPr>
              <w:snapToGrid w:val="0"/>
              <w:spacing w:line="36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分包</w:t>
            </w:r>
          </w:p>
        </w:tc>
        <w:tc>
          <w:tcPr>
            <w:tcW w:w="6548" w:type="dxa"/>
            <w:tcBorders>
              <w:top w:val="single" w:color="000000" w:sz="8" w:space="0"/>
              <w:left w:val="single" w:color="000000" w:sz="2" w:space="0"/>
              <w:bottom w:val="single" w:color="000000" w:sz="8" w:space="0"/>
              <w:right w:val="single" w:color="000000" w:sz="8" w:space="0"/>
            </w:tcBorders>
            <w:vAlign w:val="center"/>
          </w:tcPr>
          <w:p w14:paraId="742D25ED">
            <w:pPr>
              <w:spacing w:line="360" w:lineRule="auto"/>
              <w:rPr>
                <w:rFonts w:hint="eastAsia" w:ascii="宋体" w:hAnsi="宋体" w:cs="宋体"/>
                <w:color w:val="auto"/>
                <w:sz w:val="24"/>
                <w:highlight w:val="none"/>
              </w:rPr>
            </w:pPr>
            <w:sdt>
              <w:sdtPr>
                <w:rPr>
                  <w:rFonts w:hint="eastAsia" w:ascii="宋体" w:hAnsi="宋体" w:cs="宋体"/>
                  <w:color w:val="auto"/>
                  <w:kern w:val="0"/>
                  <w:sz w:val="24"/>
                  <w:highlight w:val="none"/>
                </w:rPr>
                <w:id w:val="54654123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工作分包。</w:t>
            </w:r>
            <w:sdt>
              <w:sdtPr>
                <w:rPr>
                  <w:rFonts w:hint="eastAsia" w:ascii="宋体" w:hAnsi="宋体" w:cs="宋体"/>
                  <w:color w:val="auto"/>
                  <w:kern w:val="0"/>
                  <w:sz w:val="24"/>
                  <w:highlight w:val="none"/>
                </w:rPr>
                <w:id w:val="681655650"/>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14:paraId="0314F41B">
            <w:pPr>
              <w:spacing w:line="360" w:lineRule="auto"/>
              <w:rPr>
                <w:rFonts w:hint="eastAsia"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6A3E9A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5B7240F4">
            <w:pPr>
              <w:snapToGrid w:val="0"/>
              <w:spacing w:line="360" w:lineRule="auto"/>
              <w:jc w:val="center"/>
              <w:rPr>
                <w:rFonts w:hint="eastAsia" w:ascii="宋体" w:hAnsi="宋体" w:cs="宋体"/>
                <w:color w:val="auto"/>
                <w:sz w:val="24"/>
                <w:highlight w:val="none"/>
              </w:rPr>
            </w:pPr>
          </w:p>
          <w:p w14:paraId="4932ABC1">
            <w:pPr>
              <w:snapToGrid w:val="0"/>
              <w:spacing w:line="360" w:lineRule="auto"/>
              <w:jc w:val="center"/>
              <w:rPr>
                <w:rFonts w:hint="eastAsia" w:ascii="宋体" w:hAnsi="宋体" w:cs="宋体"/>
                <w:color w:val="auto"/>
                <w:sz w:val="24"/>
                <w:highlight w:val="none"/>
              </w:rPr>
            </w:pPr>
          </w:p>
          <w:p w14:paraId="37F3E028">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21EB3E97">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548" w:type="dxa"/>
            <w:tcBorders>
              <w:top w:val="single" w:color="000000" w:sz="8" w:space="0"/>
              <w:left w:val="single" w:color="000000" w:sz="2" w:space="0"/>
              <w:bottom w:val="single" w:color="000000" w:sz="8" w:space="0"/>
              <w:right w:val="single" w:color="000000" w:sz="8" w:space="0"/>
            </w:tcBorders>
            <w:vAlign w:val="center"/>
          </w:tcPr>
          <w:p w14:paraId="58CCFB73">
            <w:pPr>
              <w:spacing w:line="360" w:lineRule="auto"/>
              <w:rPr>
                <w:rFonts w:hint="eastAsia" w:ascii="宋体" w:hAnsi="宋体" w:cs="宋体"/>
                <w:color w:val="auto"/>
                <w:sz w:val="24"/>
                <w:highlight w:val="none"/>
              </w:rPr>
            </w:pPr>
            <w:sdt>
              <w:sdtPr>
                <w:rPr>
                  <w:rFonts w:hint="eastAsia" w:ascii="宋体" w:hAnsi="宋体" w:cs="宋体"/>
                  <w:color w:val="auto"/>
                  <w:kern w:val="0"/>
                  <w:sz w:val="24"/>
                  <w:highlight w:val="none"/>
                </w:rPr>
                <w:id w:val="186549752"/>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highlight w:val="none"/>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4AD74763">
            <w:pPr>
              <w:spacing w:line="360" w:lineRule="auto"/>
              <w:rPr>
                <w:rFonts w:hint="eastAsia" w:ascii="宋体" w:hAnsi="宋体" w:cs="宋体"/>
                <w:color w:val="auto"/>
                <w:sz w:val="24"/>
                <w:szCs w:val="20"/>
                <w:highlight w:val="none"/>
              </w:rPr>
            </w:pPr>
            <w:sdt>
              <w:sdtPr>
                <w:rPr>
                  <w:rFonts w:hint="eastAsia" w:ascii="宋体" w:hAnsi="宋体" w:cs="宋体"/>
                  <w:color w:val="auto"/>
                  <w:kern w:val="0"/>
                  <w:sz w:val="24"/>
                  <w:highlight w:val="none"/>
                </w:rPr>
                <w:id w:val="3889990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p w14:paraId="3FDA8E49">
            <w:pPr>
              <w:pStyle w:val="79"/>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☐C不统一组织，供应商在获取采购文件后，自行至项目现场考察。地点： ，联系人： ，联系方式： 。</w:t>
            </w:r>
          </w:p>
          <w:p w14:paraId="3E9160E2">
            <w:pPr>
              <w:pStyle w:val="79"/>
              <w:ind w:firstLine="0" w:firstLineChars="0"/>
              <w:rPr>
                <w:rFonts w:hint="eastAsia"/>
                <w:color w:val="auto"/>
                <w:highlight w:val="none"/>
              </w:rPr>
            </w:pPr>
          </w:p>
        </w:tc>
      </w:tr>
      <w:tr w14:paraId="036105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7EAE0657">
            <w:pPr>
              <w:snapToGrid w:val="0"/>
              <w:spacing w:line="360" w:lineRule="auto"/>
              <w:jc w:val="center"/>
              <w:rPr>
                <w:rFonts w:hint="eastAsia" w:ascii="宋体" w:hAnsi="宋体" w:cs="宋体"/>
                <w:color w:val="auto"/>
                <w:sz w:val="24"/>
                <w:highlight w:val="none"/>
              </w:rPr>
            </w:pPr>
          </w:p>
          <w:p w14:paraId="75362ED0">
            <w:pPr>
              <w:snapToGrid w:val="0"/>
              <w:spacing w:line="360" w:lineRule="auto"/>
              <w:jc w:val="center"/>
              <w:rPr>
                <w:rFonts w:hint="eastAsia" w:ascii="宋体" w:hAnsi="宋体" w:cs="宋体"/>
                <w:color w:val="auto"/>
                <w:sz w:val="24"/>
                <w:highlight w:val="none"/>
              </w:rPr>
            </w:pPr>
          </w:p>
          <w:p w14:paraId="3AAEE177">
            <w:pPr>
              <w:snapToGrid w:val="0"/>
              <w:spacing w:line="360" w:lineRule="auto"/>
              <w:jc w:val="center"/>
              <w:rPr>
                <w:rFonts w:hint="eastAsia" w:ascii="宋体" w:hAnsi="宋体" w:cs="宋体"/>
                <w:color w:val="auto"/>
                <w:sz w:val="24"/>
                <w:highlight w:val="none"/>
              </w:rPr>
            </w:pPr>
          </w:p>
          <w:p w14:paraId="620C6E77">
            <w:pPr>
              <w:snapToGrid w:val="0"/>
              <w:spacing w:line="360" w:lineRule="auto"/>
              <w:jc w:val="center"/>
              <w:rPr>
                <w:rFonts w:hint="eastAsia" w:ascii="宋体" w:hAnsi="宋体" w:cs="宋体"/>
                <w:color w:val="auto"/>
                <w:sz w:val="24"/>
                <w:highlight w:val="none"/>
              </w:rPr>
            </w:pPr>
          </w:p>
          <w:p w14:paraId="11F6BC13">
            <w:pPr>
              <w:snapToGrid w:val="0"/>
              <w:spacing w:line="360" w:lineRule="auto"/>
              <w:jc w:val="center"/>
              <w:rPr>
                <w:rFonts w:hint="eastAsia" w:ascii="宋体" w:hAnsi="宋体" w:cs="宋体"/>
                <w:color w:val="auto"/>
                <w:sz w:val="24"/>
                <w:highlight w:val="none"/>
              </w:rPr>
            </w:pPr>
          </w:p>
          <w:p w14:paraId="4199ED82">
            <w:pPr>
              <w:snapToGrid w:val="0"/>
              <w:spacing w:line="360" w:lineRule="auto"/>
              <w:jc w:val="center"/>
              <w:rPr>
                <w:rFonts w:hint="eastAsia" w:ascii="宋体" w:hAnsi="宋体" w:cs="宋体"/>
                <w:color w:val="auto"/>
                <w:sz w:val="24"/>
                <w:highlight w:val="none"/>
              </w:rPr>
            </w:pPr>
          </w:p>
          <w:p w14:paraId="49396E71">
            <w:pPr>
              <w:snapToGrid w:val="0"/>
              <w:spacing w:line="360" w:lineRule="auto"/>
              <w:jc w:val="center"/>
              <w:rPr>
                <w:rFonts w:hint="eastAsia" w:ascii="宋体" w:hAnsi="宋体" w:cs="宋体"/>
                <w:color w:val="auto"/>
                <w:sz w:val="24"/>
                <w:highlight w:val="none"/>
              </w:rPr>
            </w:pPr>
          </w:p>
          <w:p w14:paraId="3B4EB334">
            <w:pPr>
              <w:snapToGrid w:val="0"/>
              <w:spacing w:line="360" w:lineRule="auto"/>
              <w:jc w:val="center"/>
              <w:rPr>
                <w:rFonts w:hint="eastAsia" w:ascii="宋体" w:hAnsi="宋体" w:cs="宋体"/>
                <w:color w:val="auto"/>
                <w:sz w:val="24"/>
                <w:highlight w:val="none"/>
              </w:rPr>
            </w:pPr>
          </w:p>
          <w:p w14:paraId="553D96AD">
            <w:pPr>
              <w:snapToGrid w:val="0"/>
              <w:spacing w:line="360" w:lineRule="auto"/>
              <w:jc w:val="center"/>
              <w:rPr>
                <w:rFonts w:hint="eastAsia" w:ascii="宋体" w:hAnsi="宋体" w:cs="宋体"/>
                <w:color w:val="auto"/>
                <w:sz w:val="24"/>
                <w:highlight w:val="none"/>
              </w:rPr>
            </w:pPr>
          </w:p>
          <w:p w14:paraId="36CA3AF2">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0744366D">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样品提供</w:t>
            </w:r>
          </w:p>
        </w:tc>
        <w:tc>
          <w:tcPr>
            <w:tcW w:w="6548" w:type="dxa"/>
            <w:tcBorders>
              <w:top w:val="single" w:color="000000" w:sz="8" w:space="0"/>
              <w:left w:val="single" w:color="000000" w:sz="2" w:space="0"/>
              <w:bottom w:val="single" w:color="000000" w:sz="8" w:space="0"/>
              <w:right w:val="single" w:color="000000" w:sz="8" w:space="0"/>
            </w:tcBorders>
            <w:vAlign w:val="center"/>
          </w:tcPr>
          <w:p w14:paraId="5EE8A546">
            <w:pPr>
              <w:spacing w:line="360" w:lineRule="auto"/>
              <w:rPr>
                <w:rFonts w:hint="eastAsia" w:ascii="宋体" w:hAnsi="宋体" w:cs="宋体"/>
                <w:color w:val="auto"/>
                <w:sz w:val="24"/>
                <w:highlight w:val="none"/>
              </w:rPr>
            </w:pPr>
            <w:sdt>
              <w:sdtPr>
                <w:rPr>
                  <w:rFonts w:hint="eastAsia" w:ascii="宋体" w:hAnsi="宋体" w:cs="宋体"/>
                  <w:color w:val="auto"/>
                  <w:kern w:val="0"/>
                  <w:sz w:val="24"/>
                  <w:highlight w:val="none"/>
                </w:rPr>
                <w:id w:val="98628233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highlight w:val="none"/>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1E1958AE">
            <w:pPr>
              <w:spacing w:line="360" w:lineRule="auto"/>
              <w:rPr>
                <w:rFonts w:hint="eastAsia"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B要求提供，</w:t>
            </w:r>
          </w:p>
          <w:p w14:paraId="4D6BD46A">
            <w:pPr>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3CC0D21B">
            <w:pPr>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4C49295A">
            <w:pPr>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14:paraId="2DC44FD7">
            <w:pPr>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5F37C564">
            <w:pPr>
              <w:spacing w:line="360" w:lineRule="auto"/>
              <w:rPr>
                <w:rFonts w:hint="eastAsia"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799C88CF">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0539543B">
            <w:pPr>
              <w:spacing w:line="360" w:lineRule="auto"/>
              <w:rPr>
                <w:rFonts w:hint="eastAsia"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14:paraId="5176EA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3C21625A">
            <w:pPr>
              <w:snapToGrid w:val="0"/>
              <w:spacing w:line="360" w:lineRule="auto"/>
              <w:jc w:val="center"/>
              <w:rPr>
                <w:rFonts w:hint="eastAsia" w:ascii="宋体" w:hAnsi="宋体" w:cs="宋体"/>
                <w:color w:val="auto"/>
                <w:sz w:val="24"/>
                <w:highlight w:val="none"/>
              </w:rPr>
            </w:pPr>
          </w:p>
          <w:p w14:paraId="67C6FC5F">
            <w:pPr>
              <w:snapToGrid w:val="0"/>
              <w:spacing w:line="360" w:lineRule="auto"/>
              <w:jc w:val="center"/>
              <w:rPr>
                <w:rFonts w:hint="eastAsia" w:ascii="宋体" w:hAnsi="宋体" w:cs="宋体"/>
                <w:color w:val="auto"/>
                <w:sz w:val="24"/>
                <w:highlight w:val="none"/>
              </w:rPr>
            </w:pPr>
          </w:p>
          <w:p w14:paraId="57CCB502">
            <w:pPr>
              <w:snapToGrid w:val="0"/>
              <w:spacing w:line="360" w:lineRule="auto"/>
              <w:jc w:val="center"/>
              <w:rPr>
                <w:rFonts w:hint="eastAsia" w:ascii="宋体" w:hAnsi="宋体" w:cs="宋体"/>
                <w:color w:val="auto"/>
                <w:sz w:val="24"/>
                <w:highlight w:val="none"/>
              </w:rPr>
            </w:pPr>
          </w:p>
          <w:p w14:paraId="6348E82A">
            <w:pPr>
              <w:snapToGrid w:val="0"/>
              <w:spacing w:line="360" w:lineRule="auto"/>
              <w:jc w:val="center"/>
              <w:rPr>
                <w:rFonts w:hint="eastAsia" w:ascii="宋体" w:hAnsi="宋体" w:cs="宋体"/>
                <w:color w:val="auto"/>
                <w:sz w:val="24"/>
                <w:highlight w:val="none"/>
              </w:rPr>
            </w:pPr>
          </w:p>
          <w:p w14:paraId="7EFF764F">
            <w:pPr>
              <w:snapToGrid w:val="0"/>
              <w:spacing w:line="360" w:lineRule="auto"/>
              <w:jc w:val="center"/>
              <w:rPr>
                <w:rFonts w:hint="eastAsia" w:ascii="宋体" w:hAnsi="宋体" w:cs="宋体"/>
                <w:color w:val="auto"/>
                <w:sz w:val="24"/>
                <w:highlight w:val="none"/>
              </w:rPr>
            </w:pPr>
          </w:p>
          <w:p w14:paraId="296AB9D9">
            <w:pPr>
              <w:snapToGrid w:val="0"/>
              <w:spacing w:line="360" w:lineRule="auto"/>
              <w:jc w:val="center"/>
              <w:rPr>
                <w:rFonts w:hint="eastAsia" w:ascii="宋体" w:hAnsi="宋体" w:cs="宋体"/>
                <w:color w:val="auto"/>
                <w:sz w:val="24"/>
                <w:highlight w:val="none"/>
              </w:rPr>
            </w:pPr>
          </w:p>
          <w:p w14:paraId="7E688B20">
            <w:pPr>
              <w:snapToGrid w:val="0"/>
              <w:spacing w:line="360" w:lineRule="auto"/>
              <w:jc w:val="center"/>
              <w:rPr>
                <w:rFonts w:hint="eastAsia" w:ascii="宋体" w:hAnsi="宋体" w:cs="宋体"/>
                <w:color w:val="auto"/>
                <w:sz w:val="24"/>
                <w:highlight w:val="none"/>
              </w:rPr>
            </w:pPr>
          </w:p>
          <w:p w14:paraId="0BAE4DE7">
            <w:pPr>
              <w:snapToGrid w:val="0"/>
              <w:spacing w:line="360" w:lineRule="auto"/>
              <w:jc w:val="center"/>
              <w:rPr>
                <w:rFonts w:hint="eastAsia" w:ascii="宋体" w:hAnsi="宋体" w:cs="宋体"/>
                <w:color w:val="auto"/>
                <w:sz w:val="24"/>
                <w:highlight w:val="none"/>
              </w:rPr>
            </w:pPr>
          </w:p>
          <w:p w14:paraId="38EF5363">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505EC6D8">
            <w:pPr>
              <w:snapToGrid w:val="0"/>
              <w:spacing w:line="360" w:lineRule="auto"/>
              <w:jc w:val="center"/>
              <w:rPr>
                <w:rFonts w:hint="eastAsia" w:ascii="宋体" w:hAnsi="宋体" w:cs="宋体"/>
                <w:bCs/>
                <w:color w:val="auto"/>
                <w:sz w:val="24"/>
                <w:highlight w:val="none"/>
              </w:rPr>
            </w:pPr>
            <w:r>
              <w:rPr>
                <w:rFonts w:hint="eastAsia" w:ascii="宋体" w:hAnsi="宋体" w:cs="宋体"/>
                <w:b/>
                <w:color w:val="auto"/>
                <w:sz w:val="24"/>
                <w:highlight w:val="none"/>
              </w:rPr>
              <w:t>方案讲解演示</w:t>
            </w:r>
          </w:p>
        </w:tc>
        <w:tc>
          <w:tcPr>
            <w:tcW w:w="6548" w:type="dxa"/>
            <w:tcBorders>
              <w:top w:val="single" w:color="000000" w:sz="8" w:space="0"/>
              <w:left w:val="single" w:color="000000" w:sz="2" w:space="0"/>
              <w:bottom w:val="single" w:color="000000" w:sz="8" w:space="0"/>
              <w:right w:val="single" w:color="000000" w:sz="8" w:space="0"/>
            </w:tcBorders>
            <w:vAlign w:val="center"/>
          </w:tcPr>
          <w:p w14:paraId="5EFF2A0D">
            <w:pPr>
              <w:spacing w:line="360" w:lineRule="auto"/>
              <w:rPr>
                <w:rFonts w:hint="eastAsia" w:ascii="宋体" w:hAnsi="宋体" w:cs="宋体"/>
                <w:color w:val="auto"/>
                <w:sz w:val="24"/>
                <w:highlight w:val="none"/>
              </w:rPr>
            </w:pPr>
            <w:sdt>
              <w:sdtPr>
                <w:rPr>
                  <w:rFonts w:hint="eastAsia" w:ascii="宋体" w:hAnsi="宋体" w:cs="宋体"/>
                  <w:color w:val="auto"/>
                  <w:kern w:val="0"/>
                  <w:sz w:val="24"/>
                  <w:highlight w:val="none"/>
                </w:rPr>
                <w:id w:val="91410713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highlight w:val="none"/>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7DFD2FE7">
            <w:pPr>
              <w:spacing w:line="360" w:lineRule="auto"/>
              <w:rPr>
                <w:rFonts w:hint="eastAsia"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14:paraId="7523A26E">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w:t>
            </w:r>
            <w:r>
              <w:rPr>
                <w:rFonts w:hint="eastAsia" w:ascii="宋体" w:hAnsi="宋体" w:cs="宋体"/>
                <w:color w:val="auto"/>
                <w:kern w:val="0"/>
                <w:sz w:val="24"/>
                <w:highlight w:val="none"/>
                <w:u w:val="single"/>
              </w:rPr>
              <w:t>20（编制时可根据项目情况进行调整）</w:t>
            </w:r>
            <w:r>
              <w:rPr>
                <w:rFonts w:hint="eastAsia" w:ascii="宋体" w:hAnsi="宋体" w:cs="宋体"/>
                <w:color w:val="auto"/>
                <w:kern w:val="0"/>
                <w:sz w:val="24"/>
                <w:highlight w:val="none"/>
              </w:rPr>
              <w:t>分钟，讲解次序以投标文件解密时间先后次序为准，讲解演示人员不超过</w:t>
            </w:r>
            <w:r>
              <w:rPr>
                <w:rFonts w:hint="eastAsia" w:ascii="宋体" w:hAnsi="宋体" w:cs="宋体"/>
                <w:color w:val="auto"/>
                <w:kern w:val="0"/>
                <w:sz w:val="24"/>
                <w:highlight w:val="none"/>
                <w:u w:val="single"/>
              </w:rPr>
              <w:t>3（编制时可根据项目情况进行调整）</w:t>
            </w:r>
            <w:r>
              <w:rPr>
                <w:rFonts w:hint="eastAsia" w:ascii="宋体" w:hAnsi="宋体" w:cs="宋体"/>
                <w:color w:val="auto"/>
                <w:kern w:val="0"/>
                <w:sz w:val="24"/>
                <w:highlight w:val="none"/>
              </w:rPr>
              <w:t>人。讲解演示结束后按要求解答评标委员会提问。</w:t>
            </w:r>
          </w:p>
          <w:p w14:paraId="731B5D5B">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14:paraId="7BD94E96">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14:paraId="5AA8CB4C">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方式二：交易中心现场讲解演示。现场讲解地点为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，讲解演示所用电脑等设备由投标人自备。现场讲解演示人员进场时提供讲解人员名单（加盖公章或授权代表签名）及身份证明，否则不得讲解演示。</w:t>
            </w:r>
          </w:p>
          <w:p w14:paraId="188C17BA">
            <w:pPr>
              <w:snapToGrid w:val="0"/>
              <w:spacing w:line="360" w:lineRule="auto"/>
              <w:rPr>
                <w:rFonts w:hint="eastAsia"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2CB422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5A0A3A5E">
            <w:pPr>
              <w:snapToGrid w:val="0"/>
              <w:spacing w:line="360" w:lineRule="auto"/>
              <w:jc w:val="center"/>
              <w:rPr>
                <w:rFonts w:hint="eastAsia" w:ascii="宋体" w:hAnsi="宋体" w:cs="宋体"/>
                <w:color w:val="auto"/>
                <w:sz w:val="24"/>
                <w:highlight w:val="none"/>
              </w:rPr>
            </w:pPr>
          </w:p>
          <w:p w14:paraId="556E0BA7">
            <w:pPr>
              <w:snapToGrid w:val="0"/>
              <w:spacing w:line="360" w:lineRule="auto"/>
              <w:jc w:val="center"/>
              <w:rPr>
                <w:rFonts w:hint="eastAsia" w:ascii="宋体" w:hAnsi="宋体" w:cs="宋体"/>
                <w:color w:val="auto"/>
                <w:sz w:val="24"/>
                <w:highlight w:val="none"/>
              </w:rPr>
            </w:pPr>
          </w:p>
          <w:p w14:paraId="79C1E7E5">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1EEA416B">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548" w:type="dxa"/>
            <w:tcBorders>
              <w:top w:val="single" w:color="000000" w:sz="8" w:space="0"/>
              <w:left w:val="single" w:color="000000" w:sz="2" w:space="0"/>
              <w:bottom w:val="single" w:color="auto" w:sz="4" w:space="0"/>
              <w:right w:val="single" w:color="000000" w:sz="8" w:space="0"/>
            </w:tcBorders>
            <w:vAlign w:val="center"/>
          </w:tcPr>
          <w:p w14:paraId="1BDC57DA">
            <w:pPr>
              <w:spacing w:line="360" w:lineRule="auto"/>
              <w:rPr>
                <w:rFonts w:hint="eastAsia"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6F22FF96">
            <w:pPr>
              <w:spacing w:line="360" w:lineRule="auto"/>
              <w:rPr>
                <w:rFonts w:hint="eastAsia"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29DA5F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14:paraId="15AD3E5C">
            <w:pPr>
              <w:snapToGrid w:val="0"/>
              <w:spacing w:line="360" w:lineRule="auto"/>
              <w:jc w:val="center"/>
              <w:rPr>
                <w:rFonts w:hint="eastAsia"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323E1BDA">
            <w:pPr>
              <w:snapToGrid w:val="0"/>
              <w:spacing w:line="360" w:lineRule="auto"/>
              <w:jc w:val="center"/>
              <w:rPr>
                <w:rFonts w:hint="eastAsia" w:ascii="宋体" w:hAnsi="宋体" w:cs="宋体"/>
                <w:b/>
                <w:color w:val="auto"/>
                <w:sz w:val="24"/>
                <w:highlight w:val="none"/>
              </w:rPr>
            </w:pPr>
          </w:p>
        </w:tc>
        <w:tc>
          <w:tcPr>
            <w:tcW w:w="6548" w:type="dxa"/>
            <w:tcBorders>
              <w:top w:val="single" w:color="auto" w:sz="4" w:space="0"/>
              <w:left w:val="single" w:color="000000" w:sz="2" w:space="0"/>
              <w:bottom w:val="single" w:color="000000" w:sz="8" w:space="0"/>
              <w:right w:val="single" w:color="000000" w:sz="8" w:space="0"/>
            </w:tcBorders>
            <w:vAlign w:val="center"/>
          </w:tcPr>
          <w:p w14:paraId="13BF382A">
            <w:pPr>
              <w:spacing w:line="360" w:lineRule="auto"/>
              <w:rPr>
                <w:rFonts w:hint="eastAsia"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3B356F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397D4D9D">
            <w:pPr>
              <w:snapToGrid w:val="0"/>
              <w:spacing w:line="360" w:lineRule="auto"/>
              <w:jc w:val="center"/>
              <w:rPr>
                <w:rFonts w:hint="eastAsia" w:ascii="宋体" w:hAnsi="宋体" w:cs="宋体"/>
                <w:color w:val="auto"/>
                <w:sz w:val="24"/>
                <w:highlight w:val="none"/>
              </w:rPr>
            </w:pPr>
          </w:p>
          <w:p w14:paraId="17175C5A">
            <w:pPr>
              <w:snapToGrid w:val="0"/>
              <w:spacing w:line="360" w:lineRule="auto"/>
              <w:jc w:val="center"/>
              <w:rPr>
                <w:rFonts w:hint="eastAsia" w:ascii="宋体" w:hAnsi="宋体" w:cs="宋体"/>
                <w:color w:val="auto"/>
                <w:sz w:val="24"/>
                <w:highlight w:val="none"/>
              </w:rPr>
            </w:pPr>
          </w:p>
          <w:p w14:paraId="763E93C7">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59B82424">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548" w:type="dxa"/>
            <w:tcBorders>
              <w:top w:val="single" w:color="000000" w:sz="8" w:space="0"/>
              <w:left w:val="single" w:color="000000" w:sz="2" w:space="0"/>
              <w:bottom w:val="single" w:color="000000" w:sz="8" w:space="0"/>
              <w:right w:val="single" w:color="000000" w:sz="8" w:space="0"/>
            </w:tcBorders>
            <w:vAlign w:val="center"/>
          </w:tcPr>
          <w:p w14:paraId="084F53D2">
            <w:pPr>
              <w:pStyle w:val="79"/>
              <w:snapToGrid w:val="0"/>
              <w:spacing w:line="360" w:lineRule="auto"/>
              <w:ind w:firstLine="0" w:firstLineChars="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664F517D">
            <w:pPr>
              <w:pStyle w:val="79"/>
              <w:ind w:firstLine="480"/>
              <w:jc w:val="both"/>
              <w:rPr>
                <w:rFonts w:hint="eastAsia" w:ascii="宋体" w:hAnsi="宋体" w:eastAsia="宋体" w:cs="宋体"/>
                <w:color w:val="auto"/>
                <w:kern w:val="2"/>
                <w:sz w:val="24"/>
                <w:szCs w:val="24"/>
                <w:highlight w:val="none"/>
              </w:rPr>
            </w:pPr>
            <w:sdt>
              <w:sdtPr>
                <w:rPr>
                  <w:rFonts w:hint="eastAsia" w:ascii="宋体" w:hAnsi="宋体" w:eastAsia="宋体" w:cs="宋体"/>
                  <w:color w:val="auto"/>
                  <w:kern w:val="2"/>
                  <w:sz w:val="24"/>
                  <w:szCs w:val="24"/>
                  <w:highlight w:val="none"/>
                </w:rPr>
                <w:id w:val="147461840"/>
                <w14:checkbox>
                  <w14:checked w14:val="0"/>
                  <w14:checkedState w14:val="00FE" w14:font="Wingdings"/>
                  <w14:uncheckedState w14:val="2610" w14:font="MS Gothic"/>
                </w14:checkbox>
              </w:sdtPr>
              <w:sdtEndPr>
                <w:rPr>
                  <w:rFonts w:hint="eastAsia" w:ascii="宋体" w:hAnsi="宋体" w:eastAsia="宋体" w:cs="宋体"/>
                  <w:color w:val="auto"/>
                  <w:kern w:val="2"/>
                  <w:sz w:val="24"/>
                  <w:szCs w:val="24"/>
                  <w:highlight w:val="none"/>
                </w:rPr>
              </w:sdtEndPr>
              <w:sdtContent>
                <w:r>
                  <w:rPr>
                    <w:rFonts w:hint="eastAsia" w:ascii="宋体" w:hAnsi="宋体" w:eastAsia="宋体" w:cs="宋体"/>
                    <w:color w:val="auto"/>
                    <w:kern w:val="2"/>
                    <w:sz w:val="24"/>
                    <w:szCs w:val="24"/>
                    <w:highlight w:val="none"/>
                  </w:rPr>
                  <w:t>☐</w:t>
                </w:r>
              </w:sdtContent>
            </w:sdt>
            <w:r>
              <w:rPr>
                <w:rFonts w:hint="eastAsia" w:ascii="宋体" w:hAnsi="宋体" w:eastAsia="宋体" w:cs="宋体"/>
                <w:color w:val="auto"/>
                <w:kern w:val="2"/>
                <w:sz w:val="24"/>
                <w:szCs w:val="24"/>
                <w:highlight w:val="none"/>
              </w:rPr>
              <w:t xml:space="preserve">强制采购。产品：    </w:t>
            </w:r>
          </w:p>
          <w:p w14:paraId="0BF61D14">
            <w:pPr>
              <w:pStyle w:val="79"/>
              <w:ind w:firstLine="48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 xml:space="preserve">□优先采购节能产品。产品：   </w:t>
            </w:r>
          </w:p>
          <w:p w14:paraId="7BC6349F">
            <w:pPr>
              <w:pStyle w:val="79"/>
              <w:ind w:firstLine="48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 xml:space="preserve">□优先采购环保产品。产品：    </w:t>
            </w:r>
          </w:p>
          <w:p w14:paraId="7DDDA5FA">
            <w:pPr>
              <w:pStyle w:val="79"/>
              <w:ind w:firstLine="480"/>
              <w:jc w:val="both"/>
              <w:rPr>
                <w:rFonts w:hint="eastAsia"/>
                <w:color w:val="auto"/>
                <w:highlight w:val="none"/>
              </w:rPr>
            </w:pPr>
            <w:r>
              <w:rPr>
                <w:rFonts w:hint="eastAsia" w:ascii="宋体" w:hAnsi="宋体" w:eastAsia="宋体" w:cs="宋体"/>
                <w:color w:val="auto"/>
                <w:kern w:val="2"/>
                <w:sz w:val="24"/>
                <w:szCs w:val="24"/>
                <w:highlight w:val="none"/>
              </w:rPr>
              <w:t>☑无</w:t>
            </w:r>
          </w:p>
        </w:tc>
      </w:tr>
      <w:tr w14:paraId="48D532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0C03F2FF">
            <w:pPr>
              <w:snapToGrid w:val="0"/>
              <w:spacing w:line="360" w:lineRule="auto"/>
              <w:jc w:val="center"/>
              <w:rPr>
                <w:rFonts w:hint="eastAsia" w:ascii="宋体" w:hAnsi="宋体" w:cs="宋体"/>
                <w:color w:val="auto"/>
                <w:sz w:val="24"/>
                <w:highlight w:val="none"/>
              </w:rPr>
            </w:pPr>
          </w:p>
          <w:p w14:paraId="0E8DE486">
            <w:pPr>
              <w:snapToGrid w:val="0"/>
              <w:spacing w:line="360" w:lineRule="auto"/>
              <w:jc w:val="center"/>
              <w:rPr>
                <w:rFonts w:hint="eastAsia" w:ascii="宋体" w:hAnsi="宋体" w:cs="宋体"/>
                <w:color w:val="auto"/>
                <w:sz w:val="24"/>
                <w:highlight w:val="none"/>
              </w:rPr>
            </w:pPr>
          </w:p>
          <w:p w14:paraId="7484B1E2">
            <w:pPr>
              <w:snapToGrid w:val="0"/>
              <w:spacing w:line="360" w:lineRule="auto"/>
              <w:jc w:val="center"/>
              <w:rPr>
                <w:rFonts w:hint="eastAsia" w:ascii="宋体" w:hAnsi="宋体" w:cs="宋体"/>
                <w:color w:val="auto"/>
                <w:sz w:val="24"/>
                <w:highlight w:val="none"/>
              </w:rPr>
            </w:pPr>
          </w:p>
          <w:p w14:paraId="21A916B3">
            <w:pPr>
              <w:snapToGrid w:val="0"/>
              <w:spacing w:line="360" w:lineRule="auto"/>
              <w:jc w:val="center"/>
              <w:rPr>
                <w:rFonts w:hint="eastAsia" w:ascii="宋体" w:hAnsi="宋体" w:cs="宋体"/>
                <w:color w:val="auto"/>
                <w:sz w:val="24"/>
                <w:highlight w:val="none"/>
              </w:rPr>
            </w:pPr>
          </w:p>
          <w:p w14:paraId="6ED8A492">
            <w:pPr>
              <w:snapToGrid w:val="0"/>
              <w:spacing w:line="360" w:lineRule="auto"/>
              <w:jc w:val="center"/>
              <w:rPr>
                <w:rFonts w:hint="eastAsia" w:ascii="宋体" w:hAnsi="宋体" w:cs="宋体"/>
                <w:color w:val="auto"/>
                <w:sz w:val="24"/>
                <w:highlight w:val="none"/>
              </w:rPr>
            </w:pPr>
          </w:p>
          <w:p w14:paraId="082E6330">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769FDC82">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报价要求</w:t>
            </w:r>
          </w:p>
        </w:tc>
        <w:tc>
          <w:tcPr>
            <w:tcW w:w="6548" w:type="dxa"/>
            <w:tcBorders>
              <w:top w:val="single" w:color="000000" w:sz="8" w:space="0"/>
              <w:left w:val="single" w:color="000000" w:sz="2" w:space="0"/>
              <w:bottom w:val="single" w:color="000000" w:sz="8" w:space="0"/>
              <w:right w:val="single" w:color="000000" w:sz="8" w:space="0"/>
            </w:tcBorders>
            <w:vAlign w:val="center"/>
          </w:tcPr>
          <w:p w14:paraId="6DDB70A5">
            <w:pPr>
              <w:snapToGrid w:val="0"/>
              <w:spacing w:line="360" w:lineRule="auto"/>
              <w:jc w:val="left"/>
              <w:rPr>
                <w:rFonts w:hint="eastAsia"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14:paraId="167D48E1">
            <w:pPr>
              <w:snapToGrid w:val="0"/>
              <w:spacing w:line="360" w:lineRule="auto"/>
              <w:jc w:val="left"/>
              <w:rPr>
                <w:rFonts w:hint="eastAsia"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5F61989B">
            <w:pPr>
              <w:snapToGrid w:val="0"/>
              <w:spacing w:line="360" w:lineRule="auto"/>
              <w:ind w:firstLine="241" w:firstLineChars="100"/>
              <w:jc w:val="left"/>
              <w:rPr>
                <w:rFonts w:hint="eastAsia"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3E286D57">
            <w:pPr>
              <w:snapToGrid w:val="0"/>
              <w:spacing w:line="360" w:lineRule="auto"/>
              <w:ind w:firstLine="241" w:firstLineChars="100"/>
              <w:jc w:val="left"/>
              <w:rPr>
                <w:rFonts w:hint="eastAsia"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2FF78630">
            <w:pPr>
              <w:spacing w:line="360" w:lineRule="auto"/>
              <w:ind w:firstLine="241" w:firstLineChars="100"/>
              <w:rPr>
                <w:rFonts w:hint="eastAsia"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45E3A246">
            <w:pPr>
              <w:spacing w:line="360" w:lineRule="auto"/>
              <w:ind w:firstLine="241" w:firstLineChars="100"/>
              <w:rPr>
                <w:rFonts w:hint="eastAsia"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419A60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638" w:hRule="atLeast"/>
          <w:tblHeader/>
        </w:trPr>
        <w:tc>
          <w:tcPr>
            <w:tcW w:w="629" w:type="dxa"/>
            <w:tcBorders>
              <w:top w:val="single" w:color="auto" w:sz="4" w:space="0"/>
              <w:left w:val="single" w:color="000000" w:sz="8" w:space="0"/>
              <w:right w:val="single" w:color="000000" w:sz="2" w:space="0"/>
            </w:tcBorders>
          </w:tcPr>
          <w:p w14:paraId="35F27430">
            <w:pPr>
              <w:snapToGrid w:val="0"/>
              <w:spacing w:line="360" w:lineRule="auto"/>
              <w:jc w:val="center"/>
              <w:rPr>
                <w:rFonts w:hint="eastAsia" w:ascii="宋体" w:hAnsi="宋体" w:cs="宋体"/>
                <w:color w:val="auto"/>
                <w:sz w:val="24"/>
                <w:highlight w:val="none"/>
              </w:rPr>
            </w:pPr>
          </w:p>
          <w:p w14:paraId="316023BD">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5047DC61">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中小企业信用融资</w:t>
            </w:r>
          </w:p>
        </w:tc>
        <w:tc>
          <w:tcPr>
            <w:tcW w:w="6548" w:type="dxa"/>
            <w:tcBorders>
              <w:top w:val="single" w:color="000000" w:sz="8" w:space="0"/>
              <w:left w:val="single" w:color="000000" w:sz="2" w:space="0"/>
              <w:right w:val="single" w:color="000000" w:sz="8" w:space="0"/>
            </w:tcBorders>
            <w:vAlign w:val="center"/>
          </w:tcPr>
          <w:p w14:paraId="6FDE6375">
            <w:pPr>
              <w:spacing w:line="360" w:lineRule="auto"/>
              <w:ind w:firstLine="480" w:firstLineChars="200"/>
              <w:rPr>
                <w:rFonts w:hint="eastAsia"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771591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5A7EE9FC">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51E35DE2">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548" w:type="dxa"/>
            <w:tcBorders>
              <w:top w:val="single" w:color="000000" w:sz="8" w:space="0"/>
              <w:left w:val="single" w:color="000000" w:sz="2" w:space="0"/>
              <w:bottom w:val="single" w:color="000000" w:sz="8" w:space="0"/>
              <w:right w:val="single" w:color="000000" w:sz="8" w:space="0"/>
            </w:tcBorders>
            <w:vAlign w:val="center"/>
          </w:tcPr>
          <w:p w14:paraId="1A95922D">
            <w:pPr>
              <w:pStyle w:val="35"/>
              <w:spacing w:line="360" w:lineRule="auto"/>
              <w:rPr>
                <w:rFonts w:hint="eastAsia" w:hAnsi="宋体" w:cs="宋体"/>
                <w:color w:val="auto"/>
                <w:kern w:val="28"/>
                <w:sz w:val="24"/>
                <w:highlight w:val="none"/>
              </w:rPr>
            </w:pPr>
            <w:r>
              <w:rPr>
                <w:rFonts w:hint="eastAsia" w:hAnsi="宋体" w:cs="宋体"/>
                <w:color w:val="auto"/>
                <w:kern w:val="28"/>
                <w:sz w:val="24"/>
                <w:szCs w:val="24"/>
                <w:highlight w:val="none"/>
              </w:rPr>
              <w:t>备份投标文件送达地点：</w:t>
            </w:r>
            <w:r>
              <w:rPr>
                <w:rFonts w:hint="eastAsia" w:hAnsi="宋体" w:cs="宋体"/>
                <w:color w:val="auto"/>
                <w:sz w:val="24"/>
                <w:highlight w:val="none"/>
                <w:u w:val="single"/>
              </w:rPr>
              <w:t xml:space="preserve"> 杭州市拱墅区莫干山路1243号星尚发展大厦A座8楼810室 </w:t>
            </w:r>
            <w:r>
              <w:rPr>
                <w:rFonts w:hint="eastAsia" w:hAnsi="宋体" w:cs="宋体"/>
                <w:color w:val="auto"/>
                <w:kern w:val="28"/>
                <w:sz w:val="24"/>
                <w:szCs w:val="24"/>
                <w:highlight w:val="none"/>
              </w:rPr>
              <w:t>；备份投标文件签收人员联系电话：</w:t>
            </w:r>
            <w:r>
              <w:rPr>
                <w:rFonts w:hint="eastAsia" w:hAnsi="宋体" w:cs="宋体"/>
                <w:color w:val="auto"/>
                <w:sz w:val="24"/>
                <w:highlight w:val="none"/>
                <w:u w:val="single"/>
              </w:rPr>
              <w:t xml:space="preserve"> </w:t>
            </w:r>
            <w:r>
              <w:rPr>
                <w:rFonts w:hint="eastAsia" w:hAnsi="宋体" w:cs="宋体"/>
                <w:color w:val="auto"/>
                <w:kern w:val="28"/>
                <w:sz w:val="24"/>
                <w:szCs w:val="24"/>
                <w:highlight w:val="none"/>
                <w:u w:val="single"/>
              </w:rPr>
              <w:t>金婉娇，</w:t>
            </w:r>
            <w:r>
              <w:rPr>
                <w:rFonts w:hint="eastAsia" w:hAnsi="宋体" w:cs="宋体"/>
                <w:color w:val="auto"/>
                <w:sz w:val="24"/>
                <w:highlight w:val="none"/>
                <w:u w:val="single"/>
              </w:rPr>
              <w:t xml:space="preserve">18072746771 </w:t>
            </w:r>
            <w:r>
              <w:rPr>
                <w:rFonts w:hint="eastAsia" w:hAnsi="宋体" w:cs="宋体"/>
                <w:color w:val="auto"/>
                <w:sz w:val="24"/>
                <w:szCs w:val="24"/>
                <w:highlight w:val="none"/>
              </w:rPr>
              <w:t>。</w:t>
            </w:r>
            <w:r>
              <w:rPr>
                <w:rFonts w:hint="eastAsia" w:hAnsi="宋体" w:cs="宋体"/>
                <w:b/>
                <w:color w:val="auto"/>
                <w:sz w:val="24"/>
                <w:szCs w:val="24"/>
                <w:highlight w:val="none"/>
              </w:rPr>
              <w:t>采购人、采购代理机构不强制或变相强制投标人提交备份投标文件。</w:t>
            </w:r>
          </w:p>
        </w:tc>
      </w:tr>
      <w:tr w14:paraId="1369D6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14:paraId="117AD9F4">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14:paraId="31081705">
            <w:pPr>
              <w:snapToGrid w:val="0"/>
              <w:spacing w:line="360" w:lineRule="auto"/>
              <w:jc w:val="center"/>
              <w:rPr>
                <w:rFonts w:hint="eastAsia"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548" w:type="dxa"/>
            <w:tcBorders>
              <w:top w:val="single" w:color="000000" w:sz="8" w:space="0"/>
              <w:left w:val="single" w:color="000000" w:sz="2" w:space="0"/>
              <w:bottom w:val="single" w:color="000000" w:sz="8" w:space="0"/>
              <w:right w:val="single" w:color="000000" w:sz="8" w:space="0"/>
            </w:tcBorders>
            <w:vAlign w:val="center"/>
          </w:tcPr>
          <w:p w14:paraId="1E67E932">
            <w:pPr>
              <w:spacing w:line="360" w:lineRule="auto"/>
              <w:rPr>
                <w:rFonts w:hint="eastAsia"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06A395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tcPr>
          <w:p w14:paraId="5E566382">
            <w:pPr>
              <w:snapToGrid w:val="0"/>
              <w:spacing w:line="360" w:lineRule="auto"/>
              <w:jc w:val="center"/>
              <w:rPr>
                <w:rFonts w:hint="eastAsia" w:ascii="宋体" w:hAnsi="宋体" w:cs="宋体"/>
                <w:color w:val="auto"/>
                <w:sz w:val="24"/>
                <w:highlight w:val="none"/>
              </w:rPr>
            </w:pPr>
          </w:p>
        </w:tc>
        <w:tc>
          <w:tcPr>
            <w:tcW w:w="1843" w:type="dxa"/>
            <w:vMerge w:val="continue"/>
            <w:tcBorders>
              <w:left w:val="single" w:color="000000" w:sz="2" w:space="0"/>
              <w:right w:val="single" w:color="000000" w:sz="8" w:space="0"/>
            </w:tcBorders>
            <w:vAlign w:val="center"/>
          </w:tcPr>
          <w:p w14:paraId="333453DC">
            <w:pPr>
              <w:snapToGrid w:val="0"/>
              <w:spacing w:line="360" w:lineRule="auto"/>
              <w:jc w:val="center"/>
              <w:rPr>
                <w:rFonts w:hint="eastAsia" w:ascii="宋体" w:hAnsi="宋体" w:cs="宋体"/>
                <w:b/>
                <w:color w:val="auto"/>
                <w:sz w:val="24"/>
                <w:highlight w:val="none"/>
              </w:rPr>
            </w:pPr>
          </w:p>
        </w:tc>
        <w:tc>
          <w:tcPr>
            <w:tcW w:w="6548" w:type="dxa"/>
            <w:tcBorders>
              <w:top w:val="single" w:color="000000" w:sz="8" w:space="0"/>
              <w:left w:val="single" w:color="000000" w:sz="2" w:space="0"/>
              <w:bottom w:val="single" w:color="000000" w:sz="8" w:space="0"/>
              <w:right w:val="single" w:color="000000" w:sz="8" w:space="0"/>
            </w:tcBorders>
            <w:vAlign w:val="center"/>
          </w:tcPr>
          <w:p w14:paraId="7981EC65">
            <w:pPr>
              <w:spacing w:line="360" w:lineRule="auto"/>
              <w:rPr>
                <w:rFonts w:hint="eastAsia"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621138027"/>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14:paraId="0856D7DB">
            <w:pPr>
              <w:spacing w:line="360" w:lineRule="auto"/>
              <w:rPr>
                <w:rFonts w:hint="eastAsia"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8299227"/>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F0FE"/>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7732C1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45" w:hRule="atLeast"/>
          <w:tblHeader/>
        </w:trPr>
        <w:tc>
          <w:tcPr>
            <w:tcW w:w="629" w:type="dxa"/>
            <w:tcBorders>
              <w:top w:val="single" w:color="auto" w:sz="4" w:space="0"/>
              <w:left w:val="single" w:color="auto" w:sz="4" w:space="0"/>
              <w:bottom w:val="single" w:color="auto" w:sz="4" w:space="0"/>
              <w:right w:val="single" w:color="000000" w:sz="2" w:space="0"/>
            </w:tcBorders>
          </w:tcPr>
          <w:p w14:paraId="4C9B9DD3">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14</w:t>
            </w:r>
          </w:p>
        </w:tc>
        <w:tc>
          <w:tcPr>
            <w:tcW w:w="1843" w:type="dxa"/>
            <w:tcBorders>
              <w:top w:val="single" w:color="auto" w:sz="4" w:space="0"/>
              <w:left w:val="single" w:color="000000" w:sz="2" w:space="0"/>
              <w:bottom w:val="single" w:color="auto" w:sz="4" w:space="0"/>
              <w:right w:val="single" w:color="000000" w:sz="8" w:space="0"/>
            </w:tcBorders>
            <w:vAlign w:val="center"/>
          </w:tcPr>
          <w:p w14:paraId="090274E8">
            <w:pPr>
              <w:snapToGrid w:val="0"/>
              <w:spacing w:line="360" w:lineRule="auto"/>
              <w:jc w:val="center"/>
              <w:rPr>
                <w:rFonts w:hint="eastAsia"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lang w:val="en"/>
              </w:rPr>
              <w:t>中标候选人数量</w:t>
            </w:r>
          </w:p>
        </w:tc>
        <w:tc>
          <w:tcPr>
            <w:tcW w:w="6548" w:type="dxa"/>
            <w:tcBorders>
              <w:top w:val="single" w:color="auto" w:sz="4" w:space="0"/>
              <w:left w:val="single" w:color="000000" w:sz="2" w:space="0"/>
              <w:bottom w:val="single" w:color="000000" w:sz="8" w:space="0"/>
              <w:right w:val="single" w:color="auto" w:sz="4" w:space="0"/>
            </w:tcBorders>
            <w:vAlign w:val="center"/>
          </w:tcPr>
          <w:p w14:paraId="3E4BA62C">
            <w:pPr>
              <w:spacing w:line="360" w:lineRule="auto"/>
              <w:rPr>
                <w:rFonts w:hint="eastAsia" w:ascii="宋体" w:hAnsi="宋体" w:cs="宋体"/>
                <w:color w:val="auto"/>
                <w:kern w:val="0"/>
                <w:sz w:val="24"/>
                <w:highlight w:val="none"/>
                <w:lang w:val="en"/>
              </w:rPr>
            </w:pPr>
            <w:r>
              <w:rPr>
                <w:rFonts w:hint="eastAsia" w:ascii="宋体" w:hAnsi="宋体" w:cs="宋体"/>
                <w:color w:val="auto"/>
                <w:kern w:val="0"/>
                <w:sz w:val="24"/>
                <w:highlight w:val="none"/>
                <w:lang w:val="en"/>
              </w:rPr>
              <w:t>本项目推荐的中标候选人数量：</w:t>
            </w:r>
            <w:r>
              <w:rPr>
                <w:rFonts w:hint="eastAsia" w:ascii="宋体" w:hAnsi="宋体" w:cs="宋体"/>
                <w:color w:val="auto"/>
                <w:kern w:val="0"/>
                <w:sz w:val="24"/>
                <w:highlight w:val="none"/>
                <w:u w:val="single"/>
              </w:rPr>
              <w:t xml:space="preserve"> 每</w:t>
            </w:r>
            <w:r>
              <w:rPr>
                <w:rFonts w:hint="eastAsia" w:ascii="宋体" w:hAnsi="宋体" w:cs="宋体"/>
                <w:color w:val="auto"/>
                <w:kern w:val="0"/>
                <w:sz w:val="24"/>
                <w:highlight w:val="none"/>
                <w:u w:val="single"/>
                <w:lang w:val="en-US" w:eastAsia="zh-CN"/>
              </w:rPr>
              <w:t>个</w:t>
            </w:r>
            <w:r>
              <w:rPr>
                <w:rFonts w:hint="eastAsia" w:ascii="宋体" w:hAnsi="宋体" w:cs="宋体"/>
                <w:color w:val="auto"/>
                <w:kern w:val="0"/>
                <w:sz w:val="24"/>
                <w:highlight w:val="none"/>
                <w:u w:val="single"/>
              </w:rPr>
              <w:t xml:space="preserve">标项 1家  </w:t>
            </w:r>
            <w:r>
              <w:rPr>
                <w:rFonts w:hint="eastAsia" w:ascii="宋体" w:hAnsi="宋体" w:cs="宋体"/>
                <w:color w:val="auto"/>
                <w:kern w:val="0"/>
                <w:sz w:val="24"/>
                <w:highlight w:val="none"/>
                <w:lang w:val="en"/>
              </w:rPr>
              <w:t>。</w:t>
            </w:r>
          </w:p>
        </w:tc>
      </w:tr>
      <w:tr w14:paraId="591889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tcPr>
          <w:p w14:paraId="712990FE">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15</w:t>
            </w:r>
          </w:p>
        </w:tc>
        <w:tc>
          <w:tcPr>
            <w:tcW w:w="1843" w:type="dxa"/>
            <w:tcBorders>
              <w:top w:val="single" w:color="auto" w:sz="4" w:space="0"/>
              <w:left w:val="single" w:color="000000" w:sz="2" w:space="0"/>
              <w:bottom w:val="single" w:color="auto" w:sz="4" w:space="0"/>
              <w:right w:val="single" w:color="auto" w:sz="4" w:space="0"/>
            </w:tcBorders>
            <w:vAlign w:val="center"/>
          </w:tcPr>
          <w:p w14:paraId="62AC6292">
            <w:pPr>
              <w:snapToGrid w:val="0"/>
              <w:spacing w:line="360" w:lineRule="auto"/>
              <w:jc w:val="center"/>
              <w:rPr>
                <w:rFonts w:hint="eastAsia"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lang w:val="en"/>
              </w:rPr>
              <w:t>代理费用收取方式及标准</w:t>
            </w:r>
          </w:p>
        </w:tc>
        <w:tc>
          <w:tcPr>
            <w:tcW w:w="6548" w:type="dxa"/>
            <w:tcBorders>
              <w:top w:val="single" w:color="000000" w:sz="8" w:space="0"/>
              <w:left w:val="single" w:color="auto" w:sz="4" w:space="0"/>
              <w:bottom w:val="single" w:color="auto" w:sz="4" w:space="0"/>
              <w:right w:val="single" w:color="auto" w:sz="4" w:space="0"/>
            </w:tcBorders>
            <w:vAlign w:val="center"/>
          </w:tcPr>
          <w:p w14:paraId="0A4E7673">
            <w:pPr>
              <w:pStyle w:val="35"/>
              <w:spacing w:line="360" w:lineRule="auto"/>
              <w:ind w:firstLine="480"/>
              <w:contextualSpacing/>
              <w:rPr>
                <w:rFonts w:hint="eastAsia" w:hAnsi="宋体" w:cs="宋体"/>
                <w:color w:val="auto"/>
                <w:sz w:val="24"/>
                <w:szCs w:val="24"/>
                <w:highlight w:val="none"/>
              </w:rPr>
            </w:pPr>
            <w:r>
              <w:rPr>
                <w:rFonts w:hint="eastAsia" w:hAnsi="宋体" w:cs="宋体"/>
                <w:color w:val="auto"/>
                <w:kern w:val="28"/>
                <w:sz w:val="24"/>
                <w:szCs w:val="24"/>
                <w:highlight w:val="none"/>
              </w:rPr>
              <w:t>（1）由中标供应商支付。本项目代理服务费参照《国家发展改革委办公厅关于招标代理服务收费有关问题的通知》（发改价格[2011]534号）规定的收费标准计算总费用。收费标准如下：</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8"/>
              <w:gridCol w:w="1721"/>
              <w:gridCol w:w="1536"/>
            </w:tblGrid>
            <w:tr w14:paraId="4C89E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928" w:type="dxa"/>
                  <w:vAlign w:val="center"/>
                </w:tcPr>
                <w:p w14:paraId="7F22D378">
                  <w:pPr>
                    <w:jc w:val="center"/>
                    <w:rPr>
                      <w:rFonts w:hint="eastAsia" w:ascii="宋体" w:hAnsi="宋体" w:cs="宋体"/>
                      <w:color w:val="auto"/>
                      <w:sz w:val="24"/>
                      <w:highlight w:val="none"/>
                    </w:rPr>
                  </w:pPr>
                  <w:r>
                    <w:rPr>
                      <w:rFonts w:hint="eastAsia" w:ascii="宋体" w:hAnsi="宋体" w:cs="宋体"/>
                      <w:color w:val="auto"/>
                      <w:sz w:val="24"/>
                      <w:highlight w:val="none"/>
                    </w:rPr>
                    <w:t>中标金额（万元）</w:t>
                  </w:r>
                </w:p>
              </w:tc>
              <w:tc>
                <w:tcPr>
                  <w:tcW w:w="1721" w:type="dxa"/>
                  <w:vAlign w:val="center"/>
                </w:tcPr>
                <w:p w14:paraId="76179D8C">
                  <w:pPr>
                    <w:jc w:val="center"/>
                    <w:rPr>
                      <w:rFonts w:hint="eastAsia" w:ascii="宋体" w:hAnsi="宋体" w:cs="宋体"/>
                      <w:color w:val="auto"/>
                      <w:sz w:val="24"/>
                      <w:highlight w:val="none"/>
                    </w:rPr>
                  </w:pPr>
                  <w:r>
                    <w:rPr>
                      <w:rFonts w:ascii="宋体" w:hAnsi="宋体" w:cs="宋体"/>
                      <w:color w:val="auto"/>
                      <w:sz w:val="24"/>
                      <w:highlight w:val="none"/>
                    </w:rPr>
                    <w:t>货物</w:t>
                  </w:r>
                  <w:r>
                    <w:rPr>
                      <w:rFonts w:hint="eastAsia" w:ascii="宋体" w:hAnsi="宋体" w:cs="宋体"/>
                      <w:color w:val="auto"/>
                      <w:sz w:val="24"/>
                      <w:highlight w:val="none"/>
                    </w:rPr>
                    <w:t>类费率</w:t>
                  </w:r>
                </w:p>
              </w:tc>
              <w:tc>
                <w:tcPr>
                  <w:tcW w:w="1536" w:type="dxa"/>
                  <w:vAlign w:val="center"/>
                </w:tcPr>
                <w:p w14:paraId="030406EA">
                  <w:pPr>
                    <w:jc w:val="center"/>
                    <w:rPr>
                      <w:rFonts w:hint="eastAsia" w:ascii="宋体" w:hAnsi="宋体" w:cs="宋体"/>
                      <w:color w:val="auto"/>
                      <w:sz w:val="24"/>
                      <w:highlight w:val="none"/>
                    </w:rPr>
                  </w:pPr>
                  <w:r>
                    <w:rPr>
                      <w:rFonts w:hint="eastAsia" w:ascii="宋体" w:hAnsi="宋体" w:cs="宋体"/>
                      <w:color w:val="auto"/>
                      <w:sz w:val="24"/>
                      <w:highlight w:val="none"/>
                    </w:rPr>
                    <w:t>服务类费率</w:t>
                  </w:r>
                </w:p>
              </w:tc>
            </w:tr>
            <w:tr w14:paraId="722F3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928" w:type="dxa"/>
                  <w:vAlign w:val="center"/>
                </w:tcPr>
                <w:p w14:paraId="61622527">
                  <w:pPr>
                    <w:jc w:val="center"/>
                    <w:rPr>
                      <w:rFonts w:hint="eastAsia" w:ascii="宋体" w:hAnsi="宋体" w:cs="宋体"/>
                      <w:color w:val="auto"/>
                      <w:sz w:val="24"/>
                      <w:highlight w:val="none"/>
                    </w:rPr>
                  </w:pPr>
                  <w:r>
                    <w:rPr>
                      <w:rFonts w:hint="eastAsia" w:ascii="宋体" w:hAnsi="宋体" w:cs="宋体"/>
                      <w:color w:val="auto"/>
                      <w:sz w:val="24"/>
                      <w:highlight w:val="none"/>
                    </w:rPr>
                    <w:t>100以下</w:t>
                  </w:r>
                </w:p>
              </w:tc>
              <w:tc>
                <w:tcPr>
                  <w:tcW w:w="1721" w:type="dxa"/>
                  <w:vAlign w:val="center"/>
                </w:tcPr>
                <w:p w14:paraId="0D383884">
                  <w:pPr>
                    <w:ind w:firstLine="480"/>
                    <w:rPr>
                      <w:rFonts w:hint="eastAsia" w:ascii="宋体" w:hAnsi="宋体" w:cs="宋体"/>
                      <w:color w:val="auto"/>
                      <w:sz w:val="24"/>
                      <w:highlight w:val="none"/>
                    </w:rPr>
                  </w:pPr>
                  <w:r>
                    <w:rPr>
                      <w:rFonts w:hint="eastAsia" w:ascii="宋体" w:hAnsi="宋体" w:cs="宋体"/>
                      <w:color w:val="auto"/>
                      <w:sz w:val="24"/>
                      <w:highlight w:val="none"/>
                    </w:rPr>
                    <w:t>1.5%</w:t>
                  </w:r>
                </w:p>
              </w:tc>
              <w:tc>
                <w:tcPr>
                  <w:tcW w:w="1536" w:type="dxa"/>
                  <w:vAlign w:val="center"/>
                </w:tcPr>
                <w:p w14:paraId="40DCD048">
                  <w:pPr>
                    <w:ind w:firstLine="480"/>
                    <w:rPr>
                      <w:rFonts w:hint="eastAsia" w:ascii="宋体" w:hAnsi="宋体" w:cs="宋体"/>
                      <w:color w:val="auto"/>
                      <w:sz w:val="24"/>
                      <w:highlight w:val="none"/>
                    </w:rPr>
                  </w:pPr>
                  <w:r>
                    <w:rPr>
                      <w:rFonts w:hint="eastAsia" w:ascii="宋体" w:hAnsi="宋体" w:cs="宋体"/>
                      <w:color w:val="auto"/>
                      <w:sz w:val="24"/>
                      <w:highlight w:val="none"/>
                    </w:rPr>
                    <w:t>1.5%</w:t>
                  </w:r>
                </w:p>
              </w:tc>
            </w:tr>
            <w:tr w14:paraId="4553E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928" w:type="dxa"/>
                  <w:vAlign w:val="center"/>
                </w:tcPr>
                <w:p w14:paraId="18D364D6">
                  <w:pPr>
                    <w:jc w:val="center"/>
                    <w:rPr>
                      <w:rFonts w:hint="eastAsia" w:ascii="宋体" w:hAnsi="宋体" w:cs="宋体"/>
                      <w:color w:val="auto"/>
                      <w:sz w:val="24"/>
                      <w:highlight w:val="none"/>
                    </w:rPr>
                  </w:pPr>
                  <w:r>
                    <w:rPr>
                      <w:rFonts w:hint="eastAsia" w:ascii="宋体" w:hAnsi="宋体" w:cs="宋体"/>
                      <w:color w:val="auto"/>
                      <w:sz w:val="24"/>
                      <w:highlight w:val="none"/>
                    </w:rPr>
                    <w:t>100-500</w:t>
                  </w:r>
                </w:p>
              </w:tc>
              <w:tc>
                <w:tcPr>
                  <w:tcW w:w="1721" w:type="dxa"/>
                  <w:vAlign w:val="center"/>
                </w:tcPr>
                <w:p w14:paraId="00D02450">
                  <w:pPr>
                    <w:ind w:firstLine="480"/>
                    <w:rPr>
                      <w:rFonts w:hint="eastAsia" w:ascii="宋体" w:hAnsi="宋体" w:cs="宋体"/>
                      <w:color w:val="auto"/>
                      <w:sz w:val="24"/>
                      <w:highlight w:val="none"/>
                    </w:rPr>
                  </w:pPr>
                  <w:r>
                    <w:rPr>
                      <w:rFonts w:hint="eastAsia" w:ascii="宋体" w:hAnsi="宋体" w:cs="宋体"/>
                      <w:color w:val="auto"/>
                      <w:sz w:val="24"/>
                      <w:highlight w:val="none"/>
                    </w:rPr>
                    <w:t>1.1%</w:t>
                  </w:r>
                </w:p>
              </w:tc>
              <w:tc>
                <w:tcPr>
                  <w:tcW w:w="1536" w:type="dxa"/>
                  <w:vAlign w:val="center"/>
                </w:tcPr>
                <w:p w14:paraId="4C0DB7E0">
                  <w:pPr>
                    <w:ind w:firstLine="480"/>
                    <w:rPr>
                      <w:rFonts w:hint="eastAsia" w:ascii="宋体" w:hAnsi="宋体" w:cs="宋体"/>
                      <w:color w:val="auto"/>
                      <w:sz w:val="24"/>
                      <w:highlight w:val="none"/>
                    </w:rPr>
                  </w:pPr>
                  <w:r>
                    <w:rPr>
                      <w:rFonts w:hint="eastAsia" w:ascii="宋体" w:hAnsi="宋体" w:cs="宋体"/>
                      <w:color w:val="auto"/>
                      <w:sz w:val="24"/>
                      <w:highlight w:val="none"/>
                    </w:rPr>
                    <w:t>0.8%</w:t>
                  </w:r>
                </w:p>
              </w:tc>
            </w:tr>
          </w:tbl>
          <w:p w14:paraId="3F37E32B">
            <w:pPr>
              <w:spacing w:line="360" w:lineRule="auto"/>
              <w:ind w:firstLine="480" w:firstLineChars="200"/>
              <w:rPr>
                <w:rFonts w:hint="eastAsia" w:hAnsi="宋体" w:cs="宋体"/>
                <w:color w:val="auto"/>
                <w:sz w:val="24"/>
                <w:highlight w:val="none"/>
              </w:rPr>
            </w:pPr>
            <w:r>
              <w:rPr>
                <w:rFonts w:hint="eastAsia" w:hAnsi="宋体" w:cs="宋体"/>
                <w:color w:val="auto"/>
                <w:sz w:val="24"/>
                <w:highlight w:val="none"/>
              </w:rPr>
              <w:t>注：差额累进法计算总额。</w:t>
            </w:r>
          </w:p>
          <w:p w14:paraId="5E12BC3D">
            <w:pPr>
              <w:pStyle w:val="35"/>
              <w:adjustRightInd/>
              <w:spacing w:line="360" w:lineRule="auto"/>
              <w:ind w:firstLine="480" w:firstLineChars="200"/>
              <w:rPr>
                <w:rFonts w:hint="eastAsia" w:hAnsi="宋体"/>
                <w:color w:val="auto"/>
                <w:sz w:val="24"/>
                <w:highlight w:val="none"/>
              </w:rPr>
            </w:pPr>
            <w:r>
              <w:rPr>
                <w:rFonts w:hint="eastAsia" w:hAnsi="宋体"/>
                <w:color w:val="auto"/>
                <w:sz w:val="24"/>
                <w:highlight w:val="none"/>
              </w:rPr>
              <w:t>例：如服务类项目中标金额为RMB1500000元，计算方法如下：</w:t>
            </w:r>
          </w:p>
          <w:p w14:paraId="0FCC6547">
            <w:pPr>
              <w:pStyle w:val="35"/>
              <w:adjustRightInd/>
              <w:spacing w:line="360" w:lineRule="auto"/>
              <w:ind w:firstLine="480" w:firstLineChars="200"/>
              <w:rPr>
                <w:rFonts w:hint="eastAsia" w:hAnsi="宋体"/>
                <w:color w:val="auto"/>
                <w:sz w:val="24"/>
                <w:highlight w:val="none"/>
              </w:rPr>
            </w:pPr>
            <w:r>
              <w:rPr>
                <w:rFonts w:hint="eastAsia" w:hAnsi="宋体"/>
                <w:color w:val="auto"/>
                <w:sz w:val="24"/>
                <w:highlight w:val="none"/>
              </w:rPr>
              <w:t>中标服务费=1000000*1.5%+500000*0.8%=19000元。</w:t>
            </w:r>
          </w:p>
          <w:p w14:paraId="2F560499">
            <w:pPr>
              <w:spacing w:line="360" w:lineRule="auto"/>
              <w:ind w:firstLine="458" w:firstLineChars="200"/>
              <w:rPr>
                <w:rFonts w:hint="eastAsia" w:ascii="宋体" w:hAnsi="宋体" w:cs="宋体"/>
                <w:snapToGrid w:val="0"/>
                <w:color w:val="auto"/>
                <w:kern w:val="28"/>
                <w:sz w:val="24"/>
                <w:highlight w:val="none"/>
              </w:rPr>
            </w:pPr>
            <w:r>
              <w:rPr>
                <w:rFonts w:hint="eastAsia" w:ascii="宋体" w:hAnsi="宋体" w:cs="宋体"/>
                <w:b/>
                <w:bCs/>
                <w:color w:val="auto"/>
                <w:spacing w:val="-6"/>
                <w:sz w:val="24"/>
                <w:highlight w:val="none"/>
              </w:rPr>
              <w:t>结算方式及时间为：中标公告发出后5个工作日内。</w:t>
            </w:r>
          </w:p>
          <w:p w14:paraId="11FB3714">
            <w:pPr>
              <w:spacing w:line="360" w:lineRule="auto"/>
              <w:ind w:firstLine="456" w:firstLineChars="200"/>
              <w:rPr>
                <w:rFonts w:hint="eastAsia" w:ascii="宋体" w:hAnsi="宋体" w:cs="宋体"/>
                <w:snapToGrid w:val="0"/>
                <w:color w:val="auto"/>
                <w:kern w:val="28"/>
                <w:sz w:val="24"/>
                <w:highlight w:val="none"/>
              </w:rPr>
            </w:pPr>
            <w:r>
              <w:rPr>
                <w:rFonts w:hint="eastAsia" w:ascii="宋体" w:hAnsi="宋体" w:cs="宋体"/>
                <w:color w:val="auto"/>
                <w:spacing w:val="-6"/>
                <w:sz w:val="24"/>
                <w:highlight w:val="none"/>
              </w:rPr>
              <w:t>（2）</w:t>
            </w:r>
            <w:r>
              <w:rPr>
                <w:rFonts w:hint="eastAsia" w:ascii="宋体" w:hAnsi="宋体" w:cs="宋体"/>
                <w:snapToGrid w:val="0"/>
                <w:color w:val="auto"/>
                <w:kern w:val="28"/>
                <w:sz w:val="24"/>
                <w:highlight w:val="none"/>
              </w:rPr>
              <w:t>代理服务费收款账号：</w:t>
            </w:r>
          </w:p>
          <w:p w14:paraId="6D7CB768">
            <w:pPr>
              <w:adjustRightInd/>
              <w:spacing w:line="360" w:lineRule="auto"/>
              <w:ind w:firstLine="480" w:firstLineChars="200"/>
              <w:rPr>
                <w:rFonts w:hint="eastAsia" w:ascii="宋体" w:hAnsi="宋体" w:cs="宋体"/>
                <w:snapToGrid w:val="0"/>
                <w:color w:val="auto"/>
                <w:kern w:val="28"/>
                <w:sz w:val="24"/>
                <w:highlight w:val="none"/>
                <w:lang w:val="zh-CN"/>
              </w:rPr>
            </w:pPr>
            <w:r>
              <w:rPr>
                <w:rFonts w:hint="eastAsia" w:ascii="宋体" w:hAnsi="宋体" w:cs="宋体"/>
                <w:snapToGrid w:val="0"/>
                <w:color w:val="auto"/>
                <w:kern w:val="28"/>
                <w:sz w:val="24"/>
                <w:highlight w:val="none"/>
                <w:lang w:val="zh-CN"/>
              </w:rPr>
              <w:t>收款单位（户名）：杭州意信招标代理有限公司</w:t>
            </w:r>
          </w:p>
          <w:p w14:paraId="6494F303">
            <w:pPr>
              <w:adjustRightInd/>
              <w:spacing w:line="360" w:lineRule="auto"/>
              <w:ind w:firstLine="480" w:firstLineChars="200"/>
              <w:rPr>
                <w:rFonts w:hint="eastAsia" w:ascii="宋体" w:hAnsi="宋体" w:cs="宋体"/>
                <w:color w:val="auto"/>
                <w:sz w:val="24"/>
                <w:highlight w:val="none"/>
                <w:lang w:val="zh-CN"/>
              </w:rPr>
            </w:pPr>
            <w:r>
              <w:rPr>
                <w:rFonts w:hint="eastAsia" w:ascii="宋体" w:hAnsi="宋体" w:cs="宋体"/>
                <w:snapToGrid w:val="0"/>
                <w:color w:val="auto"/>
                <w:kern w:val="28"/>
                <w:sz w:val="24"/>
                <w:highlight w:val="none"/>
                <w:lang w:val="zh-CN"/>
              </w:rPr>
              <w:t>开户银行：</w:t>
            </w:r>
            <w:r>
              <w:rPr>
                <w:rFonts w:hint="eastAsia" w:ascii="宋体" w:hAnsi="宋体" w:cs="宋体"/>
                <w:color w:val="auto"/>
                <w:sz w:val="24"/>
                <w:highlight w:val="none"/>
                <w:lang w:val="zh-CN"/>
              </w:rPr>
              <w:t>中国工商银行杭州国际花园支行</w:t>
            </w:r>
          </w:p>
          <w:p w14:paraId="413B9906">
            <w:pPr>
              <w:adjustRightInd/>
              <w:spacing w:line="360" w:lineRule="auto"/>
              <w:ind w:firstLine="480" w:firstLineChars="200"/>
              <w:rPr>
                <w:rFonts w:hint="eastAsia" w:ascii="宋体" w:hAnsi="宋体" w:cs="宋体"/>
                <w:color w:val="auto"/>
                <w:sz w:val="24"/>
                <w:highlight w:val="none"/>
                <w:lang w:val="zh-CN"/>
              </w:rPr>
            </w:pPr>
            <w:r>
              <w:rPr>
                <w:rFonts w:hint="eastAsia" w:ascii="宋体" w:hAnsi="宋体" w:cs="宋体"/>
                <w:snapToGrid w:val="0"/>
                <w:color w:val="auto"/>
                <w:kern w:val="28"/>
                <w:sz w:val="24"/>
                <w:highlight w:val="none"/>
                <w:lang w:val="zh-CN"/>
              </w:rPr>
              <w:t>银行账号：</w:t>
            </w:r>
            <w:r>
              <w:rPr>
                <w:rFonts w:hint="eastAsia" w:ascii="宋体" w:hAnsi="宋体" w:cs="宋体"/>
                <w:color w:val="auto"/>
                <w:sz w:val="24"/>
                <w:highlight w:val="none"/>
                <w:lang w:val="zh-CN"/>
              </w:rPr>
              <w:t>1202052319900022431</w:t>
            </w:r>
          </w:p>
          <w:p w14:paraId="266A5A57">
            <w:pPr>
              <w:adjustRightInd/>
              <w:spacing w:line="360" w:lineRule="auto"/>
              <w:ind w:firstLine="480" w:firstLineChars="200"/>
              <w:rPr>
                <w:rFonts w:hint="eastAsia" w:ascii="宋体" w:hAnsi="宋体" w:cs="宋体"/>
                <w:color w:val="auto"/>
                <w:kern w:val="0"/>
                <w:sz w:val="24"/>
                <w:highlight w:val="none"/>
                <w:lang w:val="en"/>
              </w:rPr>
            </w:pPr>
            <w:r>
              <w:rPr>
                <w:rFonts w:hint="eastAsia" w:ascii="宋体" w:hAnsi="宋体" w:cs="宋体"/>
                <w:color w:val="auto"/>
                <w:sz w:val="24"/>
                <w:highlight w:val="none"/>
                <w:lang w:val="zh-CN"/>
              </w:rPr>
              <w:t>（</w:t>
            </w:r>
            <w:r>
              <w:rPr>
                <w:rFonts w:hint="eastAsia" w:ascii="宋体" w:hAnsi="宋体" w:cs="宋体"/>
                <w:color w:val="auto"/>
                <w:sz w:val="24"/>
                <w:highlight w:val="none"/>
              </w:rPr>
              <w:t>3</w:t>
            </w:r>
            <w:r>
              <w:rPr>
                <w:rFonts w:hint="eastAsia" w:ascii="宋体" w:hAnsi="宋体" w:cs="宋体"/>
                <w:color w:val="auto"/>
                <w:sz w:val="24"/>
                <w:highlight w:val="none"/>
                <w:lang w:val="zh-CN"/>
              </w:rPr>
              <w:t>）</w:t>
            </w:r>
            <w:r>
              <w:rPr>
                <w:rFonts w:hint="eastAsia" w:ascii="宋体" w:hAnsi="宋体"/>
                <w:color w:val="auto"/>
                <w:sz w:val="24"/>
                <w:highlight w:val="none"/>
              </w:rPr>
              <w:t>开发票信息请发送邮件至327426800@qq.com（提供项目名称、项目编号、开票资料、收件信息并注明专普票）。财务联系方式：18072746761。</w:t>
            </w:r>
          </w:p>
        </w:tc>
      </w:tr>
    </w:tbl>
    <w:p w14:paraId="1D585D0A">
      <w:pPr>
        <w:snapToGrid w:val="0"/>
        <w:spacing w:line="360" w:lineRule="auto"/>
        <w:jc w:val="center"/>
        <w:rPr>
          <w:rFonts w:hint="eastAsia" w:ascii="宋体" w:hAnsi="宋体" w:cs="宋体"/>
          <w:b/>
          <w:color w:val="auto"/>
          <w:sz w:val="32"/>
          <w:szCs w:val="20"/>
          <w:highlight w:val="none"/>
        </w:rPr>
      </w:pPr>
    </w:p>
    <w:bookmarkEnd w:id="10"/>
    <w:p w14:paraId="61F60B18">
      <w:pPr>
        <w:adjustRightInd/>
        <w:spacing w:line="360" w:lineRule="auto"/>
        <w:ind w:firstLine="3845" w:firstLineChars="1197"/>
        <w:outlineLvl w:val="0"/>
        <w:rPr>
          <w:rFonts w:hint="eastAsia" w:ascii="宋体" w:hAnsi="宋体" w:cs="宋体"/>
          <w:b/>
          <w:color w:val="auto"/>
          <w:sz w:val="32"/>
          <w:szCs w:val="20"/>
          <w:highlight w:val="none"/>
        </w:rPr>
      </w:pPr>
      <w:bookmarkStart w:id="12" w:name="_Toc164416483"/>
      <w:bookmarkStart w:id="13" w:name="第三部分"/>
      <w:r>
        <w:rPr>
          <w:rFonts w:hint="eastAsia" w:ascii="宋体" w:hAnsi="宋体" w:cs="宋体"/>
          <w:b/>
          <w:color w:val="auto"/>
          <w:sz w:val="32"/>
          <w:szCs w:val="20"/>
          <w:highlight w:val="none"/>
        </w:rPr>
        <w:t>一、总则</w:t>
      </w:r>
    </w:p>
    <w:p w14:paraId="371475FB">
      <w:pPr>
        <w:snapToGrid w:val="0"/>
        <w:spacing w:line="360" w:lineRule="auto"/>
        <w:ind w:firstLine="361" w:firstLineChars="150"/>
        <w:jc w:val="left"/>
        <w:outlineLvl w:val="1"/>
        <w:rPr>
          <w:rFonts w:hint="eastAsia" w:ascii="宋体" w:hAnsi="宋体" w:cs="宋体"/>
          <w:b/>
          <w:color w:val="auto"/>
          <w:sz w:val="24"/>
          <w:highlight w:val="none"/>
        </w:rPr>
      </w:pPr>
      <w:r>
        <w:rPr>
          <w:rFonts w:hint="eastAsia" w:ascii="宋体" w:hAnsi="宋体" w:cs="宋体"/>
          <w:b/>
          <w:color w:val="auto"/>
          <w:sz w:val="24"/>
          <w:highlight w:val="none"/>
        </w:rPr>
        <w:t>1. 适用范围</w:t>
      </w:r>
    </w:p>
    <w:p w14:paraId="26FEE4FE">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1BA3B0B4">
      <w:pPr>
        <w:adjustRightInd/>
        <w:spacing w:line="360" w:lineRule="auto"/>
        <w:outlineLvl w:val="0"/>
        <w:rPr>
          <w:rFonts w:hint="eastAsia" w:ascii="宋体" w:hAnsi="宋体" w:cs="宋体"/>
          <w:b/>
          <w:color w:val="auto"/>
          <w:sz w:val="24"/>
          <w:highlight w:val="none"/>
        </w:rPr>
      </w:pPr>
      <w:r>
        <w:rPr>
          <w:rFonts w:hint="eastAsia" w:ascii="宋体" w:hAnsi="宋体" w:cs="宋体"/>
          <w:b/>
          <w:color w:val="auto"/>
          <w:sz w:val="24"/>
          <w:highlight w:val="none"/>
        </w:rPr>
        <w:t xml:space="preserve">   2.定义</w:t>
      </w:r>
    </w:p>
    <w:p w14:paraId="71BEA75B">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3A273037">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2.2 “采购代理机构”系指招标公告中载明的本项目的采购代理机构。</w:t>
      </w:r>
    </w:p>
    <w:p w14:paraId="0C718606">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7A2F5810">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05524D6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416F6DE9">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2.6“电子交易平台”系指本项目政府采购活动所依托的政府采购云平台（https://www.zcygov.cn/）。</w:t>
      </w:r>
    </w:p>
    <w:p w14:paraId="6AD85E28">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09A10E8F">
      <w:pPr>
        <w:spacing w:line="360" w:lineRule="auto"/>
        <w:ind w:firstLine="241" w:firstLineChars="100"/>
        <w:rPr>
          <w:rFonts w:hint="eastAsia"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02B83854">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7055A0B7">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3.2 支持绿色发展</w:t>
      </w:r>
    </w:p>
    <w:p w14:paraId="20038126">
      <w:pPr>
        <w:spacing w:line="360" w:lineRule="auto"/>
        <w:ind w:firstLine="480" w:firstLineChars="200"/>
        <w:rPr>
          <w:rFonts w:hint="eastAsia"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417E522A">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14:paraId="2622FA6A">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26ED703A">
      <w:pPr>
        <w:spacing w:line="360" w:lineRule="auto"/>
        <w:ind w:firstLine="480" w:firstLineChars="200"/>
        <w:rPr>
          <w:rFonts w:hint="eastAsia" w:ascii="宋体" w:hAnsi="宋体" w:cs="宋体"/>
          <w:color w:val="auto"/>
          <w:sz w:val="24"/>
          <w:highlight w:val="none"/>
        </w:rPr>
      </w:pPr>
      <w:r>
        <w:rPr>
          <w:rFonts w:ascii="宋体" w:hAnsi="宋体" w:cs="宋体"/>
          <w:color w:val="auto"/>
          <w:sz w:val="24"/>
          <w:highlight w:val="none"/>
        </w:rPr>
        <w:t xml:space="preserve">3.2.4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7DF731FD">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3.3支持中小企业发展</w:t>
      </w:r>
    </w:p>
    <w:p w14:paraId="0F45BDB6">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018B99E8">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639C01E4">
      <w:pPr>
        <w:widowControl/>
        <w:spacing w:line="360" w:lineRule="auto"/>
        <w:ind w:firstLine="480" w:firstLineChars="200"/>
        <w:jc w:val="left"/>
        <w:rPr>
          <w:rFonts w:hint="eastAsia"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730172E6">
      <w:pPr>
        <w:widowControl/>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19A1DC84">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3.3.3对于未预留份额专门面向中小企业的政府采购服务项目，以及预留份额政府采购服务项目中的非预留部分标项，对小型和微型企业的投标报价给予10%-</w:t>
      </w:r>
      <w:r>
        <w:rPr>
          <w:rFonts w:ascii="宋体" w:hAnsi="宋体" w:cs="宋体"/>
          <w:color w:val="auto"/>
          <w:sz w:val="24"/>
          <w:highlight w:val="none"/>
        </w:rPr>
        <w:t>20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sz w:val="24"/>
          <w:highlight w:val="none"/>
        </w:rPr>
        <w:t>6</w:t>
      </w:r>
      <w:r>
        <w:rPr>
          <w:rFonts w:hint="eastAsia" w:ascii="宋体" w:hAnsi="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14:paraId="71956A46">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0C1AF3B9">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0104B017">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3.3.6</w:t>
      </w:r>
      <w:r>
        <w:rPr>
          <w:rFonts w:hint="eastAsia" w:ascii="宋体" w:hAnsi="宋体" w:cs="宋体"/>
          <w:color w:val="auto"/>
          <w:sz w:val="24"/>
          <w:highlight w:val="none"/>
          <w:lang w:val="en"/>
        </w:rPr>
        <w:t>可享受中小企业扶持政策的投标人应按照招标文件格式要求提供《中小企业声明函》，《中小企业声明函》填写企业类型错误，导致该企业享受本不能享受的中小企业扶持政策，投标无效并依法承担法律责任</w:t>
      </w:r>
      <w:r>
        <w:rPr>
          <w:rFonts w:hint="eastAsia" w:ascii="宋体" w:hAnsi="宋体" w:cs="宋体"/>
          <w:color w:val="auto"/>
          <w:sz w:val="24"/>
          <w:highlight w:val="none"/>
        </w:rPr>
        <w:t>。</w:t>
      </w:r>
    </w:p>
    <w:p w14:paraId="2BE41875">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688AF986">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369377CA">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3.4.1 首台套、“制造精品”、“专精特新”等创新产品按规定享受政府采购支持政策。</w:t>
      </w:r>
    </w:p>
    <w:p w14:paraId="526743F8">
      <w:pPr>
        <w:pStyle w:val="4"/>
        <w:adjustRightInd w:val="0"/>
        <w:ind w:left="0" w:firstLine="480" w:firstLineChars="200"/>
        <w:rPr>
          <w:rFonts w:hint="eastAsia"/>
          <w:color w:val="auto"/>
          <w:highlight w:val="none"/>
        </w:rPr>
      </w:pPr>
      <w:r>
        <w:rPr>
          <w:rFonts w:hint="eastAsia" w:ascii="宋体" w:hAnsi="宋体" w:eastAsia="宋体" w:cs="仿宋"/>
          <w:b w:val="0"/>
          <w:bCs w:val="0"/>
          <w:color w:val="auto"/>
          <w:sz w:val="24"/>
          <w:szCs w:val="24"/>
          <w:highlight w:val="none"/>
          <w:lang w:val="en-US"/>
        </w:rPr>
        <w:t>3.4.2 采购人应当贯彻落实知识产权保护相关法律法规，应当采购使用正版软件。</w:t>
      </w:r>
    </w:p>
    <w:p w14:paraId="5EA754C9">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546C9F1A">
      <w:pPr>
        <w:spacing w:line="360" w:lineRule="auto"/>
        <w:ind w:firstLine="240" w:firstLineChars="100"/>
        <w:rPr>
          <w:rFonts w:hint="eastAsia" w:ascii="宋体" w:hAnsi="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询问、质疑、投诉、补偿救济</w:t>
      </w:r>
    </w:p>
    <w:p w14:paraId="66207A7D">
      <w:pPr>
        <w:autoSpaceDE w:val="0"/>
        <w:autoSpaceDN w:val="0"/>
        <w:spacing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70809A5">
      <w:pPr>
        <w:autoSpaceDE w:val="0"/>
        <w:autoSpaceDN w:val="0"/>
        <w:spacing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5A66B88F">
      <w:pPr>
        <w:autoSpaceDE w:val="0"/>
        <w:autoSpaceDN w:val="0"/>
        <w:spacing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31C339F0">
      <w:pPr>
        <w:autoSpaceDE w:val="0"/>
        <w:autoSpaceDN w:val="0"/>
        <w:spacing w:line="360" w:lineRule="auto"/>
        <w:ind w:firstLine="240" w:firstLineChars="1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29928CEC">
      <w:pPr>
        <w:pStyle w:val="35"/>
        <w:spacing w:line="360" w:lineRule="auto"/>
        <w:ind w:firstLine="480" w:firstLineChars="200"/>
        <w:rPr>
          <w:rFonts w:hint="eastAsia"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76350050">
      <w:pPr>
        <w:pStyle w:val="35"/>
        <w:spacing w:line="360" w:lineRule="auto"/>
        <w:ind w:firstLine="480" w:firstLineChars="200"/>
        <w:rPr>
          <w:rFonts w:hint="eastAsia"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6A5A014F">
      <w:pPr>
        <w:pStyle w:val="6"/>
        <w:spacing w:line="360" w:lineRule="auto"/>
        <w:ind w:firstLine="480" w:firstLineChars="200"/>
        <w:rPr>
          <w:rFonts w:hint="eastAsia"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19F12478">
      <w:pPr>
        <w:pStyle w:val="35"/>
        <w:spacing w:line="360" w:lineRule="auto"/>
        <w:ind w:left="479" w:leftChars="228"/>
        <w:rPr>
          <w:rFonts w:hint="eastAsia"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5310D13B">
      <w:pPr>
        <w:pStyle w:val="35"/>
        <w:spacing w:line="360" w:lineRule="auto"/>
        <w:ind w:firstLine="480" w:firstLineChars="200"/>
        <w:rPr>
          <w:rFonts w:hint="eastAsia"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4737A2C5">
      <w:pPr>
        <w:pStyle w:val="35"/>
        <w:adjustRightInd/>
        <w:spacing w:line="360" w:lineRule="auto"/>
        <w:ind w:firstLine="480" w:firstLineChars="200"/>
        <w:rPr>
          <w:rFonts w:hint="eastAsia"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3C6C2D58">
      <w:pPr>
        <w:pStyle w:val="35"/>
        <w:adjustRightInd/>
        <w:spacing w:line="360" w:lineRule="auto"/>
        <w:ind w:firstLine="480" w:firstLineChars="200"/>
        <w:rPr>
          <w:rFonts w:hint="eastAsia"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1D145147">
      <w:pPr>
        <w:pStyle w:val="35"/>
        <w:adjustRightInd/>
        <w:spacing w:line="360" w:lineRule="auto"/>
        <w:ind w:firstLine="480" w:firstLineChars="200"/>
        <w:rPr>
          <w:rFonts w:hint="eastAsia"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2F7ECF22">
      <w:pPr>
        <w:pStyle w:val="35"/>
        <w:adjustRightInd/>
        <w:spacing w:line="360" w:lineRule="auto"/>
        <w:ind w:firstLine="480" w:firstLineChars="200"/>
        <w:rPr>
          <w:rFonts w:hint="eastAsia"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2EDD29FD">
      <w:pPr>
        <w:pStyle w:val="35"/>
        <w:adjustRightInd/>
        <w:spacing w:line="360" w:lineRule="auto"/>
        <w:ind w:firstLine="480" w:firstLineChars="200"/>
        <w:rPr>
          <w:rFonts w:hint="eastAsia"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75A09231">
      <w:pPr>
        <w:pStyle w:val="35"/>
        <w:adjustRightInd/>
        <w:spacing w:line="360" w:lineRule="auto"/>
        <w:ind w:firstLine="960" w:firstLineChars="400"/>
        <w:rPr>
          <w:rFonts w:hint="eastAsia"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2C15665A">
      <w:pPr>
        <w:pStyle w:val="889"/>
        <w:shd w:val="clear" w:color="auto" w:fill="FFFFFF"/>
        <w:spacing w:before="0" w:beforeAutospacing="0" w:after="0" w:afterAutospacing="0" w:line="360" w:lineRule="auto"/>
        <w:ind w:firstLine="400"/>
        <w:contextualSpacing/>
        <w:rPr>
          <w:rFonts w:hint="eastAsia"/>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4C044A9C">
      <w:pPr>
        <w:pStyle w:val="889"/>
        <w:shd w:val="clear" w:color="auto" w:fill="FFFFFF"/>
        <w:spacing w:before="0" w:beforeAutospacing="0" w:after="0" w:afterAutospacing="0" w:line="360" w:lineRule="auto"/>
        <w:ind w:firstLine="400"/>
        <w:contextualSpacing/>
        <w:rPr>
          <w:rFonts w:hint="eastAsia"/>
          <w:color w:val="auto"/>
          <w:highlight w:val="none"/>
        </w:rPr>
      </w:pPr>
      <w:r>
        <w:rPr>
          <w:rFonts w:hint="eastAsia"/>
          <w:color w:val="auto"/>
          <w:highlight w:val="none"/>
        </w:rPr>
        <w:t>质疑函范本及制作说明详见附件2。</w:t>
      </w:r>
    </w:p>
    <w:p w14:paraId="5BAF1A30">
      <w:pPr>
        <w:pStyle w:val="889"/>
        <w:shd w:val="clear" w:color="auto" w:fill="FFFFFF"/>
        <w:spacing w:before="0" w:beforeAutospacing="0" w:after="0" w:afterAutospacing="0" w:line="360" w:lineRule="auto"/>
        <w:ind w:firstLine="400"/>
        <w:contextualSpacing/>
        <w:rPr>
          <w:rFonts w:hint="eastAsia"/>
          <w:color w:val="auto"/>
          <w:highlight w:val="none"/>
        </w:rPr>
      </w:pPr>
      <w:r>
        <w:rPr>
          <w:rFonts w:hint="eastAsia"/>
          <w:color w:val="auto"/>
          <w:highlight w:val="none"/>
        </w:rPr>
        <w:t>4.3.4对同一采购程序环节的质疑，供应商须在法定质疑期内一次性提出。</w:t>
      </w:r>
    </w:p>
    <w:p w14:paraId="678C8345">
      <w:pPr>
        <w:pStyle w:val="889"/>
        <w:shd w:val="clear" w:color="auto" w:fill="FFFFFF"/>
        <w:spacing w:before="0" w:beforeAutospacing="0" w:after="0" w:afterAutospacing="0" w:line="360" w:lineRule="auto"/>
        <w:ind w:firstLine="400"/>
        <w:contextualSpacing/>
        <w:rPr>
          <w:rFonts w:hint="eastAsia"/>
          <w:color w:val="auto"/>
          <w:highlight w:val="none"/>
        </w:rPr>
      </w:pPr>
      <w:r>
        <w:rPr>
          <w:rFonts w:hint="eastAsia"/>
          <w:color w:val="auto"/>
          <w:highlight w:val="none"/>
          <w:lang w:val="zh-CN"/>
        </w:rPr>
        <w:t>4.3</w:t>
      </w:r>
      <w:r>
        <w:rPr>
          <w:rFonts w:hint="eastAsia"/>
          <w:color w:val="auto"/>
          <w:highlight w:val="none"/>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1494D41F">
      <w:pPr>
        <w:pStyle w:val="889"/>
        <w:shd w:val="clear" w:color="auto" w:fill="FFFFFF"/>
        <w:spacing w:before="0" w:beforeAutospacing="0" w:after="0" w:afterAutospacing="0" w:line="360" w:lineRule="auto"/>
        <w:ind w:firstLine="400"/>
        <w:contextualSpacing/>
        <w:rPr>
          <w:rFonts w:hint="eastAsia"/>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2C9A6BE0">
      <w:pPr>
        <w:pStyle w:val="889"/>
        <w:shd w:val="clear" w:color="auto" w:fill="FFFFFF"/>
        <w:spacing w:before="0" w:beforeAutospacing="0" w:after="0" w:afterAutospacing="0" w:line="360" w:lineRule="auto"/>
        <w:ind w:firstLine="480" w:firstLineChars="200"/>
        <w:contextualSpacing/>
        <w:rPr>
          <w:rFonts w:hint="eastAsia"/>
          <w:color w:val="auto"/>
          <w:highlight w:val="none"/>
          <w:lang w:val="zh-CN"/>
        </w:rPr>
      </w:pPr>
      <w:r>
        <w:rPr>
          <w:rFonts w:hint="eastAsia"/>
          <w:color w:val="auto"/>
          <w:highlight w:val="none"/>
          <w:lang w:val="zh-CN"/>
        </w:rPr>
        <w:t>4.4供应商投诉</w:t>
      </w:r>
    </w:p>
    <w:p w14:paraId="3B293635">
      <w:pPr>
        <w:pStyle w:val="889"/>
        <w:shd w:val="clear" w:color="auto" w:fill="FFFFFF"/>
        <w:spacing w:before="0" w:beforeAutospacing="0" w:after="0" w:afterAutospacing="0" w:line="360" w:lineRule="auto"/>
        <w:ind w:firstLine="400"/>
        <w:contextualSpacing/>
        <w:rPr>
          <w:rFonts w:hint="eastAsia"/>
          <w:color w:val="auto"/>
          <w:highlight w:val="none"/>
        </w:rPr>
      </w:pPr>
      <w:r>
        <w:rPr>
          <w:rFonts w:hint="eastAsia"/>
          <w:color w:val="auto"/>
          <w:highlight w:val="none"/>
        </w:rPr>
        <w:t>4.4.1质疑供应商对采购人、采购代理机构的答复不满意或者采购人、采购代理机构未在规定的时间内作出答复的，可以在答复期满后十五个工作日内向同级政府采购监督管理部门提出投诉。</w:t>
      </w:r>
    </w:p>
    <w:p w14:paraId="3711742F">
      <w:pPr>
        <w:pStyle w:val="889"/>
        <w:shd w:val="clear" w:color="auto" w:fill="FFFFFF"/>
        <w:spacing w:before="0" w:beforeAutospacing="0" w:after="0" w:afterAutospacing="0" w:line="360" w:lineRule="auto"/>
        <w:ind w:firstLine="400"/>
        <w:contextualSpacing/>
        <w:rPr>
          <w:rFonts w:hint="eastAsia"/>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33A2FC40">
      <w:pPr>
        <w:pStyle w:val="889"/>
        <w:shd w:val="clear" w:color="auto" w:fill="FFFFFF"/>
        <w:spacing w:before="0" w:beforeAutospacing="0" w:after="0" w:afterAutospacing="0" w:line="360" w:lineRule="auto"/>
        <w:ind w:firstLine="400"/>
        <w:contextualSpacing/>
        <w:rPr>
          <w:rFonts w:hint="eastAsia"/>
          <w:color w:val="auto"/>
          <w:highlight w:val="none"/>
        </w:rPr>
      </w:pPr>
      <w:r>
        <w:rPr>
          <w:rFonts w:hint="eastAsia"/>
          <w:color w:val="auto"/>
          <w:highlight w:val="none"/>
        </w:rPr>
        <w:t>4.4.3供应商投诉应当有明确的请求和必要的证明材料。</w:t>
      </w:r>
    </w:p>
    <w:p w14:paraId="0EB4008A">
      <w:pPr>
        <w:pStyle w:val="889"/>
        <w:shd w:val="clear" w:color="auto" w:fill="FFFFFF"/>
        <w:spacing w:before="0" w:beforeAutospacing="0" w:after="0" w:afterAutospacing="0" w:line="360" w:lineRule="auto"/>
        <w:ind w:firstLine="400"/>
        <w:contextualSpacing/>
        <w:rPr>
          <w:rFonts w:hint="eastAsia"/>
          <w:color w:val="auto"/>
          <w:highlight w:val="none"/>
        </w:rPr>
      </w:pPr>
      <w:r>
        <w:rPr>
          <w:rFonts w:hint="eastAsia"/>
          <w:color w:val="auto"/>
          <w:highlight w:val="none"/>
        </w:rPr>
        <w:t>4.4.4以联合体形式参加政府采购活动的，其投诉应当由组成联合体的所有供应商共同提出。</w:t>
      </w:r>
    </w:p>
    <w:p w14:paraId="2A856714">
      <w:pPr>
        <w:pStyle w:val="889"/>
        <w:shd w:val="clear" w:color="auto" w:fill="FFFFFF"/>
        <w:spacing w:before="0" w:beforeAutospacing="0" w:after="0" w:afterAutospacing="0" w:line="360" w:lineRule="auto"/>
        <w:ind w:firstLine="400"/>
        <w:contextualSpacing/>
        <w:rPr>
          <w:rFonts w:hint="eastAsia"/>
          <w:color w:val="auto"/>
          <w:highlight w:val="none"/>
        </w:rPr>
      </w:pPr>
      <w:r>
        <w:rPr>
          <w:rFonts w:hint="eastAsia"/>
          <w:color w:val="auto"/>
          <w:highlight w:val="none"/>
        </w:rPr>
        <w:t>4.4.5根据政府采购行政裁决省市区三级联动试点工作安排，杭州市本级及各区、县（市）政府采购项目投诉材料可寄送至浙江省政府采购行政裁决服务中心（杭州），地址：杭州市上城区清泰街549号城建综合大楼11楼（快递仅限ems或顺丰），收件人：朱女士、王女士，电话：0571-87227671,0571-87800218。</w:t>
      </w:r>
    </w:p>
    <w:p w14:paraId="5AD045E7">
      <w:pPr>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4.5 补偿救济</w:t>
      </w:r>
    </w:p>
    <w:p w14:paraId="03168E61">
      <w:pPr>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采购人因政策变化、规划调整而不履行政府采购合同的，供应商可依据《杭州市涉企补偿救济实施办法（试行）》向采购人提起补偿申请。</w:t>
      </w:r>
    </w:p>
    <w:p w14:paraId="1360E274">
      <w:pPr>
        <w:pStyle w:val="889"/>
        <w:shd w:val="clear" w:color="auto" w:fill="FFFFFF"/>
        <w:spacing w:before="0" w:beforeAutospacing="0" w:after="0" w:afterAutospacing="0" w:line="360" w:lineRule="auto"/>
        <w:ind w:firstLine="400"/>
        <w:contextualSpacing/>
        <w:rPr>
          <w:rFonts w:hint="eastAsia"/>
          <w:color w:val="auto"/>
          <w:highlight w:val="none"/>
        </w:rPr>
      </w:pPr>
      <w:r>
        <w:rPr>
          <w:rFonts w:hint="eastAsia"/>
          <w:color w:val="auto"/>
          <w:highlight w:val="none"/>
        </w:rPr>
        <w:t>投诉书范本及制作说明详见附件3。</w:t>
      </w:r>
    </w:p>
    <w:p w14:paraId="06DC2D00">
      <w:pPr>
        <w:pStyle w:val="131"/>
        <w:snapToGrid w:val="0"/>
        <w:spacing w:before="0"/>
        <w:ind w:firstLine="360"/>
        <w:rPr>
          <w:rFonts w:hint="eastAsia" w:ascii="宋体" w:hAnsi="宋体" w:cs="宋体"/>
          <w:color w:val="auto"/>
          <w:sz w:val="18"/>
          <w:szCs w:val="18"/>
          <w:highlight w:val="none"/>
        </w:rPr>
      </w:pPr>
    </w:p>
    <w:p w14:paraId="47B70D99">
      <w:pPr>
        <w:adjustRightInd/>
        <w:spacing w:line="360" w:lineRule="auto"/>
        <w:jc w:val="center"/>
        <w:outlineLvl w:val="0"/>
        <w:rPr>
          <w:rFonts w:hint="eastAsia"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14:paraId="5491940D">
      <w:pPr>
        <w:pStyle w:val="35"/>
        <w:spacing w:line="360" w:lineRule="auto"/>
        <w:rPr>
          <w:rFonts w:hint="eastAsia" w:hAnsi="宋体" w:cs="宋体"/>
          <w:b/>
          <w:color w:val="auto"/>
          <w:sz w:val="24"/>
          <w:szCs w:val="24"/>
          <w:highlight w:val="none"/>
        </w:rPr>
      </w:pPr>
      <w:r>
        <w:rPr>
          <w:rFonts w:hint="eastAsia" w:hAnsi="宋体" w:cs="宋体"/>
          <w:b/>
          <w:color w:val="auto"/>
          <w:sz w:val="24"/>
          <w:szCs w:val="24"/>
          <w:highlight w:val="none"/>
        </w:rPr>
        <w:t>5．招标文件的构成</w:t>
      </w:r>
    </w:p>
    <w:p w14:paraId="6FE99F05">
      <w:pPr>
        <w:pStyle w:val="35"/>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5.1 招标文件包括下列文件及附件：</w:t>
      </w:r>
    </w:p>
    <w:p w14:paraId="70867D06">
      <w:pPr>
        <w:pStyle w:val="35"/>
        <w:tabs>
          <w:tab w:val="left" w:pos="840"/>
        </w:tabs>
        <w:spacing w:line="360" w:lineRule="auto"/>
        <w:ind w:firstLine="960" w:firstLineChars="400"/>
        <w:rPr>
          <w:rFonts w:hint="eastAsia" w:hAnsi="宋体" w:cs="宋体"/>
          <w:color w:val="auto"/>
          <w:sz w:val="24"/>
          <w:szCs w:val="24"/>
          <w:highlight w:val="none"/>
        </w:rPr>
      </w:pPr>
      <w:r>
        <w:rPr>
          <w:rFonts w:hint="eastAsia" w:hAnsi="宋体" w:cs="宋体"/>
          <w:color w:val="auto"/>
          <w:sz w:val="24"/>
          <w:szCs w:val="24"/>
          <w:highlight w:val="none"/>
        </w:rPr>
        <w:t>5.1.1招标公告；</w:t>
      </w:r>
    </w:p>
    <w:p w14:paraId="727732E8">
      <w:pPr>
        <w:pStyle w:val="35"/>
        <w:tabs>
          <w:tab w:val="left" w:pos="840"/>
        </w:tabs>
        <w:spacing w:line="360" w:lineRule="auto"/>
        <w:ind w:firstLine="960" w:firstLineChars="400"/>
        <w:rPr>
          <w:rFonts w:hint="eastAsia" w:hAnsi="宋体" w:cs="宋体"/>
          <w:color w:val="auto"/>
          <w:sz w:val="24"/>
          <w:szCs w:val="24"/>
          <w:highlight w:val="none"/>
        </w:rPr>
      </w:pPr>
      <w:r>
        <w:rPr>
          <w:rFonts w:hint="eastAsia" w:hAnsi="宋体" w:cs="宋体"/>
          <w:color w:val="auto"/>
          <w:sz w:val="24"/>
          <w:szCs w:val="24"/>
          <w:highlight w:val="none"/>
        </w:rPr>
        <w:t>5.1.2投标人须知；</w:t>
      </w:r>
    </w:p>
    <w:p w14:paraId="61E8E57E">
      <w:pPr>
        <w:pStyle w:val="35"/>
        <w:tabs>
          <w:tab w:val="left" w:pos="840"/>
        </w:tabs>
        <w:spacing w:line="360" w:lineRule="auto"/>
        <w:ind w:firstLine="960" w:firstLineChars="400"/>
        <w:rPr>
          <w:rFonts w:hint="eastAsia" w:hAnsi="宋体" w:cs="宋体"/>
          <w:color w:val="auto"/>
          <w:sz w:val="24"/>
          <w:szCs w:val="24"/>
          <w:highlight w:val="none"/>
        </w:rPr>
      </w:pPr>
      <w:r>
        <w:rPr>
          <w:rFonts w:hint="eastAsia" w:hAnsi="宋体" w:cs="宋体"/>
          <w:color w:val="auto"/>
          <w:sz w:val="24"/>
          <w:szCs w:val="24"/>
          <w:highlight w:val="none"/>
        </w:rPr>
        <w:t>5.1.3采购需求；</w:t>
      </w:r>
    </w:p>
    <w:p w14:paraId="3EB8EC50">
      <w:pPr>
        <w:pStyle w:val="35"/>
        <w:tabs>
          <w:tab w:val="left" w:pos="840"/>
        </w:tabs>
        <w:spacing w:line="360" w:lineRule="auto"/>
        <w:ind w:firstLine="960" w:firstLineChars="400"/>
        <w:rPr>
          <w:rFonts w:hint="eastAsia" w:hAnsi="宋体" w:cs="宋体"/>
          <w:color w:val="auto"/>
          <w:sz w:val="24"/>
          <w:szCs w:val="24"/>
          <w:highlight w:val="none"/>
        </w:rPr>
      </w:pPr>
      <w:r>
        <w:rPr>
          <w:rFonts w:hint="eastAsia" w:hAnsi="宋体" w:cs="宋体"/>
          <w:color w:val="auto"/>
          <w:sz w:val="24"/>
          <w:szCs w:val="24"/>
          <w:highlight w:val="none"/>
        </w:rPr>
        <w:t>5.1.4评标办法；</w:t>
      </w:r>
    </w:p>
    <w:p w14:paraId="574E9539">
      <w:pPr>
        <w:pStyle w:val="35"/>
        <w:tabs>
          <w:tab w:val="left" w:pos="840"/>
        </w:tabs>
        <w:spacing w:line="360" w:lineRule="auto"/>
        <w:ind w:firstLine="960" w:firstLineChars="400"/>
        <w:rPr>
          <w:rFonts w:hint="eastAsia" w:hAnsi="宋体" w:cs="宋体"/>
          <w:color w:val="auto"/>
          <w:sz w:val="24"/>
          <w:szCs w:val="24"/>
          <w:highlight w:val="none"/>
        </w:rPr>
      </w:pPr>
      <w:r>
        <w:rPr>
          <w:rFonts w:hint="eastAsia" w:hAnsi="宋体" w:cs="宋体"/>
          <w:color w:val="auto"/>
          <w:sz w:val="24"/>
          <w:szCs w:val="24"/>
          <w:highlight w:val="none"/>
        </w:rPr>
        <w:t>5.1.5拟签订的合同文本；</w:t>
      </w:r>
    </w:p>
    <w:p w14:paraId="7CBF9594">
      <w:pPr>
        <w:pStyle w:val="35"/>
        <w:tabs>
          <w:tab w:val="left" w:pos="840"/>
        </w:tabs>
        <w:spacing w:line="360" w:lineRule="auto"/>
        <w:ind w:firstLine="960" w:firstLineChars="400"/>
        <w:rPr>
          <w:rFonts w:hint="eastAsia"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5CDA41DB">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3C1D4866">
      <w:pPr>
        <w:pStyle w:val="35"/>
        <w:spacing w:line="360" w:lineRule="auto"/>
        <w:rPr>
          <w:rFonts w:hint="eastAsia" w:hAnsi="宋体" w:cs="宋体"/>
          <w:b/>
          <w:color w:val="auto"/>
          <w:sz w:val="24"/>
          <w:szCs w:val="24"/>
          <w:highlight w:val="none"/>
        </w:rPr>
      </w:pPr>
      <w:r>
        <w:rPr>
          <w:rFonts w:hint="eastAsia" w:hAnsi="宋体" w:cs="宋体"/>
          <w:b/>
          <w:color w:val="auto"/>
          <w:sz w:val="24"/>
          <w:szCs w:val="24"/>
          <w:highlight w:val="none"/>
        </w:rPr>
        <w:t>6. 招标文件的澄清、修改</w:t>
      </w:r>
    </w:p>
    <w:p w14:paraId="4A6F42BA">
      <w:pPr>
        <w:pStyle w:val="131"/>
        <w:snapToGrid w:val="0"/>
        <w:spacing w:before="0"/>
        <w:ind w:firstLine="480"/>
        <w:rPr>
          <w:rFonts w:hint="eastAsia"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6.1已获取招标文件的潜在投标人，若有问题需要澄清，应于投标截止时间前，以书面形式向采购代理机构提出。</w:t>
      </w:r>
    </w:p>
    <w:p w14:paraId="295FB2F6">
      <w:pPr>
        <w:pStyle w:val="131"/>
        <w:snapToGrid w:val="0"/>
        <w:spacing w:before="0"/>
        <w:ind w:firstLine="480"/>
        <w:rPr>
          <w:rFonts w:hint="eastAsia" w:ascii="宋体" w:hAnsi="宋体" w:cs="宋体"/>
          <w:color w:val="auto"/>
          <w:highlight w:val="none"/>
        </w:rPr>
      </w:pPr>
      <w:r>
        <w:rPr>
          <w:rFonts w:hint="eastAsia" w:ascii="宋体" w:hAnsi="宋体" w:cs="宋体"/>
          <w:color w:val="auto"/>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57615597">
      <w:pPr>
        <w:pStyle w:val="2"/>
        <w:rPr>
          <w:rFonts w:hint="eastAsia" w:hAnsi="宋体" w:cs="宋体"/>
          <w:color w:val="auto"/>
          <w:sz w:val="18"/>
          <w:szCs w:val="18"/>
          <w:highlight w:val="none"/>
          <w:lang w:val="en-US"/>
        </w:rPr>
      </w:pPr>
      <w:r>
        <w:rPr>
          <w:rFonts w:hint="eastAsia" w:hAnsi="宋体" w:cs="宋体"/>
          <w:color w:val="auto"/>
          <w:szCs w:val="24"/>
          <w:highlight w:val="none"/>
          <w:lang w:val="en-US"/>
        </w:rPr>
        <w:t xml:space="preserve">    </w:t>
      </w:r>
    </w:p>
    <w:p w14:paraId="4C1D73F9">
      <w:pPr>
        <w:adjustRightInd/>
        <w:spacing w:line="360" w:lineRule="auto"/>
        <w:jc w:val="center"/>
        <w:outlineLvl w:val="0"/>
        <w:rPr>
          <w:rFonts w:hint="eastAsia" w:ascii="宋体" w:hAnsi="宋体" w:cs="宋体"/>
          <w:b/>
          <w:color w:val="auto"/>
          <w:sz w:val="30"/>
          <w:szCs w:val="20"/>
          <w:highlight w:val="none"/>
        </w:rPr>
      </w:pPr>
      <w:r>
        <w:rPr>
          <w:rFonts w:hint="eastAsia" w:ascii="宋体" w:hAnsi="宋体" w:cs="宋体"/>
          <w:b/>
          <w:color w:val="auto"/>
          <w:sz w:val="30"/>
          <w:szCs w:val="20"/>
          <w:highlight w:val="none"/>
        </w:rPr>
        <w:t>三、投标</w:t>
      </w:r>
    </w:p>
    <w:p w14:paraId="20F6E370">
      <w:pPr>
        <w:pStyle w:val="35"/>
        <w:spacing w:line="360" w:lineRule="auto"/>
        <w:rPr>
          <w:rFonts w:hint="eastAsia" w:hAnsi="宋体" w:cs="宋体"/>
          <w:b/>
          <w:color w:val="auto"/>
          <w:sz w:val="24"/>
          <w:szCs w:val="24"/>
          <w:highlight w:val="none"/>
        </w:rPr>
      </w:pPr>
      <w:r>
        <w:rPr>
          <w:rFonts w:hint="eastAsia" w:hAnsi="宋体" w:cs="宋体"/>
          <w:b/>
          <w:color w:val="auto"/>
          <w:sz w:val="24"/>
          <w:szCs w:val="24"/>
          <w:highlight w:val="none"/>
        </w:rPr>
        <w:t>7. 招标文件的获取</w:t>
      </w:r>
    </w:p>
    <w:p w14:paraId="3A7FFA35">
      <w:pPr>
        <w:spacing w:line="360" w:lineRule="auto"/>
        <w:ind w:firstLine="480" w:firstLineChars="200"/>
        <w:rPr>
          <w:rFonts w:hint="eastAsia"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5AAE97C6">
      <w:pPr>
        <w:pStyle w:val="35"/>
        <w:spacing w:line="360" w:lineRule="auto"/>
        <w:rPr>
          <w:rFonts w:hint="eastAsia" w:hAnsi="宋体" w:cs="宋体"/>
          <w:b/>
          <w:color w:val="auto"/>
          <w:sz w:val="24"/>
          <w:szCs w:val="24"/>
          <w:highlight w:val="none"/>
        </w:rPr>
      </w:pPr>
      <w:r>
        <w:rPr>
          <w:rFonts w:hint="eastAsia" w:hAnsi="宋体" w:cs="宋体"/>
          <w:b/>
          <w:color w:val="auto"/>
          <w:sz w:val="24"/>
          <w:szCs w:val="24"/>
          <w:highlight w:val="none"/>
        </w:rPr>
        <w:t>8.开标前答疑会或现场考察</w:t>
      </w:r>
    </w:p>
    <w:p w14:paraId="77015C92">
      <w:pPr>
        <w:pStyle w:val="35"/>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0A493E7C">
      <w:pPr>
        <w:pStyle w:val="35"/>
        <w:spacing w:line="360" w:lineRule="auto"/>
        <w:rPr>
          <w:rFonts w:hint="eastAsia" w:hAnsi="宋体" w:cs="宋体"/>
          <w:b/>
          <w:color w:val="auto"/>
          <w:szCs w:val="24"/>
          <w:highlight w:val="none"/>
        </w:rPr>
      </w:pPr>
      <w:r>
        <w:rPr>
          <w:rFonts w:hint="eastAsia" w:hAnsi="宋体" w:cs="宋体"/>
          <w:b/>
          <w:color w:val="auto"/>
          <w:kern w:val="28"/>
          <w:sz w:val="24"/>
          <w:szCs w:val="24"/>
          <w:highlight w:val="none"/>
        </w:rPr>
        <w:t>9.投标保证金</w:t>
      </w:r>
    </w:p>
    <w:p w14:paraId="36EECED3">
      <w:pPr>
        <w:pStyle w:val="6"/>
        <w:spacing w:line="360" w:lineRule="auto"/>
        <w:ind w:firstLine="470" w:firstLineChars="196"/>
        <w:rPr>
          <w:rFonts w:hint="eastAsia" w:hAnsi="宋体" w:cs="宋体"/>
          <w:color w:val="auto"/>
          <w:sz w:val="24"/>
          <w:highlight w:val="none"/>
        </w:rPr>
      </w:pPr>
      <w:r>
        <w:rPr>
          <w:rFonts w:hint="eastAsia" w:hAnsi="宋体" w:cs="宋体"/>
          <w:color w:val="auto"/>
          <w:sz w:val="24"/>
          <w:highlight w:val="none"/>
        </w:rPr>
        <w:t>本项目不需缴纳投标保证金。</w:t>
      </w:r>
    </w:p>
    <w:p w14:paraId="02813BD7">
      <w:pPr>
        <w:pStyle w:val="35"/>
        <w:spacing w:line="360" w:lineRule="auto"/>
        <w:rPr>
          <w:rFonts w:hint="eastAsia" w:hAnsi="宋体" w:cs="宋体"/>
          <w:b/>
          <w:color w:val="auto"/>
          <w:sz w:val="24"/>
          <w:szCs w:val="24"/>
          <w:highlight w:val="none"/>
        </w:rPr>
      </w:pPr>
      <w:r>
        <w:rPr>
          <w:rFonts w:hint="eastAsia" w:hAnsi="宋体" w:cs="宋体"/>
          <w:b/>
          <w:color w:val="auto"/>
          <w:sz w:val="24"/>
          <w:szCs w:val="24"/>
          <w:highlight w:val="none"/>
        </w:rPr>
        <w:t>10. 投标文件的语言</w:t>
      </w:r>
    </w:p>
    <w:p w14:paraId="32E149A6">
      <w:pPr>
        <w:autoSpaceDE w:val="0"/>
        <w:autoSpaceDN w:val="0"/>
        <w:spacing w:line="360" w:lineRule="auto"/>
        <w:ind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07D33509">
      <w:pPr>
        <w:pStyle w:val="35"/>
        <w:spacing w:line="360" w:lineRule="auto"/>
        <w:rPr>
          <w:rFonts w:hint="eastAsia" w:hAnsi="宋体" w:cs="宋体"/>
          <w:b/>
          <w:color w:val="auto"/>
          <w:sz w:val="24"/>
          <w:szCs w:val="24"/>
          <w:highlight w:val="none"/>
        </w:rPr>
      </w:pPr>
      <w:r>
        <w:rPr>
          <w:rFonts w:hint="eastAsia" w:hAnsi="宋体" w:cs="宋体"/>
          <w:b/>
          <w:color w:val="auto"/>
          <w:sz w:val="24"/>
          <w:szCs w:val="24"/>
          <w:highlight w:val="none"/>
        </w:rPr>
        <w:t>11. 投标文件的组成</w:t>
      </w:r>
    </w:p>
    <w:p w14:paraId="4CA64893">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223B12FC">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4F541062">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r>
        <w:rPr>
          <w:rFonts w:hint="eastAsia" w:ascii="宋体" w:hAnsi="宋体" w:cs="宋体"/>
          <w:snapToGrid w:val="0"/>
          <w:color w:val="auto"/>
          <w:kern w:val="28"/>
          <w:sz w:val="24"/>
          <w:szCs w:val="20"/>
          <w:highlight w:val="none"/>
        </w:rPr>
        <w:t>联合协议（如果有)；</w:t>
      </w:r>
    </w:p>
    <w:p w14:paraId="67055A56">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5367942B">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47AC2A49">
      <w:pPr>
        <w:snapToGrid w:val="0"/>
        <w:spacing w:line="360" w:lineRule="auto"/>
        <w:ind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32DF053E">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30D8E362">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0B97E180">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5CB29622">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4A367DC1">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27832211">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14:paraId="6CBEAE8E">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6A3B6941">
      <w:pPr>
        <w:snapToGrid w:val="0"/>
        <w:spacing w:line="360" w:lineRule="auto"/>
        <w:ind w:firstLine="960" w:firstLineChars="400"/>
        <w:rPr>
          <w:rFonts w:hint="eastAsia"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0441E392">
      <w:pPr>
        <w:snapToGrid w:val="0"/>
        <w:spacing w:line="360" w:lineRule="auto"/>
        <w:ind w:firstLine="480" w:firstLineChars="200"/>
        <w:rPr>
          <w:rFonts w:hint="eastAsia"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6EC3FC4D">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11.3.1开标一览表（报价表）；</w:t>
      </w:r>
    </w:p>
    <w:p w14:paraId="6FB312E0">
      <w:pPr>
        <w:pStyle w:val="4"/>
        <w:snapToGrid w:val="0"/>
        <w:ind w:left="0" w:firstLine="960" w:firstLineChars="40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szCs w:val="24"/>
          <w:highlight w:val="none"/>
          <w:lang w:val="en-US"/>
        </w:rPr>
        <w:t xml:space="preserve">11.3.2 </w:t>
      </w:r>
      <w:r>
        <w:rPr>
          <w:rFonts w:hint="eastAsia" w:ascii="宋体" w:hAnsi="宋体" w:eastAsia="宋体" w:cs="宋体"/>
          <w:b w:val="0"/>
          <w:bCs w:val="0"/>
          <w:color w:val="auto"/>
          <w:sz w:val="24"/>
          <w:highlight w:val="none"/>
        </w:rPr>
        <w:t>中小企业声明函。</w:t>
      </w:r>
    </w:p>
    <w:p w14:paraId="43E813C9">
      <w:pPr>
        <w:spacing w:line="360" w:lineRule="auto"/>
        <w:ind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394BDBF7">
      <w:pPr>
        <w:spacing w:line="360" w:lineRule="auto"/>
        <w:ind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投标人提供虚假材料投标的，投标无效。</w:t>
      </w:r>
    </w:p>
    <w:p w14:paraId="2E425352">
      <w:pPr>
        <w:spacing w:line="360" w:lineRule="auto"/>
        <w:ind w:firstLine="720" w:firstLineChars="300"/>
        <w:rPr>
          <w:color w:val="auto"/>
          <w:highlight w:val="none"/>
        </w:rPr>
      </w:pPr>
      <w:r>
        <w:rPr>
          <w:rFonts w:hint="eastAsia"/>
          <w:color w:val="auto"/>
          <w:sz w:val="24"/>
          <w:highlight w:val="none"/>
          <w:shd w:val="clear" w:color="auto" w:fill="FFFFFF"/>
        </w:rPr>
        <w:t>投标人应对投标文件中材料的真实性、合法性负责。投标人可事先在公开官网查询、核对相关证书和报告内容，确保投标（响应）文件资料准确无误。</w:t>
      </w:r>
    </w:p>
    <w:p w14:paraId="41833A4B">
      <w:pPr>
        <w:pStyle w:val="131"/>
        <w:snapToGrid w:val="0"/>
        <w:spacing w:before="0"/>
        <w:ind w:firstLine="0" w:firstLineChars="0"/>
        <w:outlineLvl w:val="0"/>
        <w:rPr>
          <w:rFonts w:hint="eastAsia"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6260305A">
      <w:pPr>
        <w:spacing w:line="360" w:lineRule="auto"/>
        <w:ind w:firstLine="480" w:firstLineChars="200"/>
        <w:rPr>
          <w:rFonts w:hint="eastAsia"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1F2BD61F">
      <w:pPr>
        <w:spacing w:line="360" w:lineRule="auto"/>
        <w:ind w:firstLine="480" w:firstLineChars="2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6FC22C8A">
      <w:pPr>
        <w:spacing w:line="360" w:lineRule="auto"/>
        <w:ind w:firstLine="480" w:firstLineChars="2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07339CB4">
      <w:pPr>
        <w:snapToGrid w:val="0"/>
        <w:spacing w:line="360" w:lineRule="auto"/>
        <w:rPr>
          <w:rFonts w:hint="eastAsia" w:ascii="宋体" w:hAnsi="宋体" w:cs="宋体"/>
          <w:b/>
          <w:color w:val="auto"/>
          <w:sz w:val="24"/>
          <w:highlight w:val="none"/>
        </w:rPr>
      </w:pPr>
      <w:r>
        <w:rPr>
          <w:rFonts w:hint="eastAsia" w:ascii="宋体" w:hAnsi="宋体" w:cs="宋体"/>
          <w:b/>
          <w:color w:val="auto"/>
          <w:sz w:val="24"/>
          <w:highlight w:val="none"/>
        </w:rPr>
        <w:t>13.投标文件的签署、盖章</w:t>
      </w:r>
    </w:p>
    <w:p w14:paraId="620F4E86">
      <w:pPr>
        <w:pStyle w:val="131"/>
        <w:snapToGrid w:val="0"/>
        <w:spacing w:before="0"/>
        <w:ind w:firstLine="480"/>
        <w:rPr>
          <w:rFonts w:hint="eastAsia"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0044602C">
      <w:pPr>
        <w:pStyle w:val="131"/>
        <w:snapToGrid w:val="0"/>
        <w:spacing w:before="0"/>
        <w:ind w:firstLine="480"/>
        <w:rPr>
          <w:rFonts w:hint="eastAsia"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5A2A2444">
      <w:pPr>
        <w:pStyle w:val="131"/>
        <w:snapToGrid w:val="0"/>
        <w:spacing w:before="0"/>
        <w:ind w:firstLine="480"/>
        <w:rPr>
          <w:rFonts w:hint="eastAsia"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1DBE2BF5">
      <w:pPr>
        <w:pStyle w:val="131"/>
        <w:spacing w:before="0"/>
        <w:ind w:firstLine="0" w:firstLineChars="0"/>
        <w:rPr>
          <w:rFonts w:hint="eastAsia"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23A92368">
      <w:pPr>
        <w:pStyle w:val="131"/>
        <w:ind w:firstLine="480"/>
        <w:rPr>
          <w:rFonts w:hint="eastAsia"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2AC0189C">
      <w:pPr>
        <w:pStyle w:val="131"/>
        <w:spacing w:before="0"/>
        <w:ind w:firstLine="480"/>
        <w:rPr>
          <w:rFonts w:hint="eastAsia"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267CEB9F">
      <w:pPr>
        <w:pStyle w:val="131"/>
        <w:spacing w:before="0"/>
        <w:ind w:firstLine="480"/>
        <w:rPr>
          <w:rFonts w:hint="eastAsia" w:ascii="宋体" w:hAnsi="宋体" w:cs="宋体"/>
          <w:color w:val="auto"/>
          <w:szCs w:val="24"/>
          <w:highlight w:val="none"/>
        </w:rPr>
      </w:pPr>
      <w:r>
        <w:rPr>
          <w:rFonts w:hint="eastAsia" w:ascii="宋体" w:hAnsi="宋体" w:cs="宋体"/>
          <w:color w:val="auto"/>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2167E929">
      <w:pPr>
        <w:pStyle w:val="35"/>
        <w:spacing w:line="360" w:lineRule="auto"/>
        <w:rPr>
          <w:rFonts w:hint="eastAsia" w:hAnsi="宋体" w:cs="宋体"/>
          <w:b/>
          <w:color w:val="auto"/>
          <w:sz w:val="24"/>
          <w:szCs w:val="24"/>
          <w:highlight w:val="none"/>
        </w:rPr>
      </w:pPr>
      <w:r>
        <w:rPr>
          <w:rFonts w:hint="eastAsia" w:hAnsi="宋体" w:cs="宋体"/>
          <w:b/>
          <w:color w:val="auto"/>
          <w:sz w:val="24"/>
          <w:szCs w:val="24"/>
          <w:highlight w:val="none"/>
        </w:rPr>
        <w:t>15.备份投标文件</w:t>
      </w:r>
    </w:p>
    <w:p w14:paraId="2A689ECA">
      <w:pPr>
        <w:pStyle w:val="35"/>
        <w:spacing w:line="360" w:lineRule="auto"/>
        <w:ind w:firstLine="360" w:firstLineChars="150"/>
        <w:rPr>
          <w:rFonts w:hint="eastAsia"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但采购人、采购代理机构不强制或变相强制投标人提交备份投标文件。</w:t>
      </w:r>
    </w:p>
    <w:p w14:paraId="0AA07D82">
      <w:pPr>
        <w:pStyle w:val="35"/>
        <w:spacing w:line="360" w:lineRule="auto"/>
        <w:ind w:firstLine="480" w:firstLineChars="200"/>
        <w:rPr>
          <w:rFonts w:hint="eastAsia"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DVD光盘等存储介质</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49FB9AB3">
      <w:pPr>
        <w:pStyle w:val="35"/>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14:paraId="546AA0E3">
      <w:pPr>
        <w:pStyle w:val="35"/>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送达时间以签收人签收时间为准。采购代理机构将拒绝接受逾期送达的备份投标文件。邮寄过程中，电子备份投标文件发生泄露、遗失、损坏或延期送达等情况的，由投标人自行负责。</w:t>
      </w:r>
    </w:p>
    <w:p w14:paraId="19AB18D5">
      <w:pPr>
        <w:pStyle w:val="35"/>
        <w:spacing w:line="360" w:lineRule="auto"/>
        <w:ind w:firstLine="479" w:firstLineChars="199"/>
        <w:rPr>
          <w:rFonts w:hint="eastAsia"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53E45A3A">
      <w:pPr>
        <w:pStyle w:val="131"/>
        <w:spacing w:before="0"/>
        <w:ind w:firstLine="0" w:firstLineChars="0"/>
        <w:rPr>
          <w:rFonts w:hint="eastAsia" w:ascii="宋体" w:hAnsi="宋体" w:cs="宋体"/>
          <w:b/>
          <w:color w:val="auto"/>
          <w:szCs w:val="24"/>
          <w:highlight w:val="none"/>
        </w:rPr>
      </w:pPr>
      <w:r>
        <w:rPr>
          <w:rFonts w:hint="eastAsia" w:ascii="宋体" w:hAnsi="宋体" w:cs="宋体"/>
          <w:b/>
          <w:color w:val="auto"/>
          <w:szCs w:val="24"/>
          <w:highlight w:val="none"/>
        </w:rPr>
        <w:t>16.投标文件的无效处理</w:t>
      </w:r>
    </w:p>
    <w:p w14:paraId="7A663B68">
      <w:pPr>
        <w:pStyle w:val="24"/>
        <w:spacing w:line="360" w:lineRule="auto"/>
        <w:ind w:firstLine="360" w:firstLineChars="150"/>
        <w:rPr>
          <w:rFonts w:hint="eastAsia" w:cs="宋体"/>
          <w:color w:val="auto"/>
          <w:szCs w:val="21"/>
          <w:highlight w:val="none"/>
        </w:rPr>
      </w:pPr>
      <w:r>
        <w:rPr>
          <w:rFonts w:hint="eastAsia" w:cs="宋体"/>
          <w:color w:val="auto"/>
          <w:szCs w:val="21"/>
          <w:highlight w:val="none"/>
        </w:rPr>
        <w:t>有招标文件第四部分</w:t>
      </w:r>
      <w:r>
        <w:rPr>
          <w:rFonts w:cs="宋体"/>
          <w:color w:val="auto"/>
          <w:szCs w:val="21"/>
          <w:highlight w:val="none"/>
        </w:rPr>
        <w:t>4.2规定</w:t>
      </w:r>
      <w:r>
        <w:rPr>
          <w:rFonts w:hint="eastAsia" w:cs="宋体"/>
          <w:color w:val="auto"/>
          <w:szCs w:val="21"/>
          <w:highlight w:val="none"/>
        </w:rPr>
        <w:t>的情形之一的，投标无效：</w:t>
      </w:r>
    </w:p>
    <w:p w14:paraId="3F020AE7">
      <w:pPr>
        <w:pStyle w:val="131"/>
        <w:spacing w:before="0"/>
        <w:ind w:firstLine="0" w:firstLineChars="0"/>
        <w:rPr>
          <w:rFonts w:hint="eastAsia" w:ascii="宋体" w:hAnsi="宋体" w:cs="宋体"/>
          <w:b/>
          <w:color w:val="auto"/>
          <w:szCs w:val="24"/>
          <w:highlight w:val="none"/>
        </w:rPr>
      </w:pPr>
      <w:r>
        <w:rPr>
          <w:rFonts w:hint="eastAsia" w:ascii="宋体" w:hAnsi="宋体" w:cs="宋体"/>
          <w:b/>
          <w:color w:val="auto"/>
          <w:szCs w:val="24"/>
          <w:highlight w:val="none"/>
        </w:rPr>
        <w:t>17.投标有效期</w:t>
      </w:r>
    </w:p>
    <w:p w14:paraId="4C691F27">
      <w:pPr>
        <w:spacing w:line="360" w:lineRule="auto"/>
        <w:ind w:firstLine="480" w:firstLineChars="200"/>
        <w:rPr>
          <w:rFonts w:hint="eastAsia"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77DCEFD5">
      <w:pPr>
        <w:pStyle w:val="131"/>
        <w:spacing w:before="0"/>
        <w:ind w:firstLine="480"/>
        <w:rPr>
          <w:rFonts w:hint="eastAsia"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71E9C852">
      <w:pPr>
        <w:pStyle w:val="131"/>
        <w:spacing w:before="0"/>
        <w:ind w:firstLine="480"/>
        <w:rPr>
          <w:rFonts w:hint="eastAsia" w:ascii="宋体" w:hAnsi="宋体" w:cs="宋体"/>
          <w:color w:val="auto"/>
          <w:highlight w:val="none"/>
        </w:rPr>
      </w:pPr>
      <w:r>
        <w:rPr>
          <w:rFonts w:hint="eastAsia" w:ascii="宋体" w:hAnsi="宋体" w:cs="宋体"/>
          <w:color w:val="auto"/>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30B6DB11">
      <w:pPr>
        <w:pStyle w:val="131"/>
        <w:spacing w:before="0"/>
        <w:ind w:firstLine="643"/>
        <w:rPr>
          <w:rFonts w:hint="eastAsia" w:ascii="宋体" w:hAnsi="宋体" w:cs="宋体"/>
          <w:b/>
          <w:color w:val="auto"/>
          <w:sz w:val="32"/>
          <w:highlight w:val="none"/>
        </w:rPr>
      </w:pPr>
    </w:p>
    <w:p w14:paraId="71FED697">
      <w:pPr>
        <w:pStyle w:val="131"/>
        <w:spacing w:before="0"/>
        <w:ind w:firstLine="1928" w:firstLineChars="600"/>
        <w:rPr>
          <w:rFonts w:hint="eastAsia"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587B60A1">
      <w:pPr>
        <w:pStyle w:val="557"/>
        <w:spacing w:before="0" w:line="360" w:lineRule="auto"/>
        <w:ind w:left="0" w:firstLine="241" w:firstLineChars="100"/>
        <w:contextualSpacing/>
        <w:rPr>
          <w:rFonts w:hint="eastAsia"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1036F169">
      <w:pPr>
        <w:pStyle w:val="557"/>
        <w:spacing w:before="0" w:line="360" w:lineRule="auto"/>
        <w:ind w:left="0"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18.1采购代理机构按照招标文件规定的时间通过电子交易平台组织开标，所有投标人均应当准时在线参加。投标人不足3家的，不得开标。</w:t>
      </w:r>
    </w:p>
    <w:p w14:paraId="26D7F25B">
      <w:pPr>
        <w:pStyle w:val="557"/>
        <w:spacing w:before="0" w:line="360" w:lineRule="auto"/>
        <w:ind w:left="0" w:firstLine="240" w:firstLineChars="100"/>
        <w:contextualSpacing/>
        <w:rPr>
          <w:rFonts w:hint="eastAsia"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18.2开标时，电子交易平台按开标时间自动提取所有投标文件。采购代理机构依托电子交易平台发起开始解密指令，投标人按照平台提示和招标文件的规定在半小时内完成在线解密。</w:t>
      </w:r>
    </w:p>
    <w:p w14:paraId="45796327">
      <w:pPr>
        <w:pStyle w:val="557"/>
        <w:adjustRightInd/>
        <w:spacing w:before="0" w:line="360" w:lineRule="auto"/>
        <w:ind w:left="0" w:firstLine="240" w:firstLineChars="100"/>
        <w:contextualSpacing/>
        <w:rPr>
          <w:rFonts w:hint="eastAsia"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5CDD9DB1">
      <w:pPr>
        <w:widowControl/>
        <w:adjustRightInd/>
        <w:spacing w:line="360" w:lineRule="auto"/>
        <w:jc w:val="left"/>
        <w:rPr>
          <w:rFonts w:hint="eastAsia" w:ascii="宋体" w:hAnsi="宋体" w:cs="宋体"/>
          <w:b/>
          <w:color w:val="auto"/>
          <w:sz w:val="24"/>
          <w:szCs w:val="20"/>
          <w:highlight w:val="none"/>
        </w:rPr>
      </w:pPr>
      <w:r>
        <w:rPr>
          <w:rFonts w:hint="eastAsia" w:ascii="宋体" w:hAnsi="宋体" w:cs="宋体"/>
          <w:b/>
          <w:color w:val="auto"/>
          <w:sz w:val="24"/>
          <w:szCs w:val="20"/>
          <w:highlight w:val="none"/>
        </w:rPr>
        <w:t>　19、资格审查</w:t>
      </w:r>
    </w:p>
    <w:p w14:paraId="3CF776ED">
      <w:pPr>
        <w:adjustRightInd/>
        <w:spacing w:line="360" w:lineRule="auto"/>
        <w:ind w:firstLine="480" w:firstLineChars="200"/>
        <w:rPr>
          <w:rFonts w:hint="eastAsia" w:ascii="宋体" w:hAnsi="宋体" w:cs="宋体"/>
          <w:color w:val="auto"/>
          <w:sz w:val="24"/>
          <w:highlight w:val="none"/>
        </w:rPr>
      </w:pPr>
      <w:r>
        <w:rPr>
          <w:rFonts w:hint="eastAsia" w:ascii="宋体" w:hAnsi="宋体" w:cs="宋体"/>
          <w:color w:val="auto"/>
          <w:kern w:val="0"/>
          <w:sz w:val="24"/>
          <w:highlight w:val="none"/>
        </w:rPr>
        <w:t>19.1</w:t>
      </w:r>
      <w:r>
        <w:rPr>
          <w:rFonts w:hint="eastAsia" w:ascii="宋体" w:hAnsi="宋体" w:cs="宋体"/>
          <w:color w:val="auto"/>
          <w:sz w:val="24"/>
          <w:highlight w:val="none"/>
        </w:rPr>
        <w:t>采购人或采购代理机构依据法律法规和招标文件的规定，对投标人的资格进行审查。</w:t>
      </w:r>
    </w:p>
    <w:p w14:paraId="7C9A43F3">
      <w:pPr>
        <w:pStyle w:val="131"/>
        <w:adjustRightInd/>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19.2投标人未按照招标文件要求提供与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452DCA06">
      <w:pPr>
        <w:pStyle w:val="131"/>
        <w:adjustRightInd/>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3对未通过资格审查的投标人，采购人或采购代理机构告知其未通过的原因。</w:t>
      </w:r>
    </w:p>
    <w:p w14:paraId="08AC0EB1">
      <w:pPr>
        <w:pStyle w:val="131"/>
        <w:adjustRightInd/>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4合格投标人不足3家的，不再评标。</w:t>
      </w:r>
    </w:p>
    <w:p w14:paraId="4BBC4CDB">
      <w:pPr>
        <w:pStyle w:val="131"/>
        <w:adjustRightInd/>
        <w:spacing w:before="0"/>
        <w:ind w:firstLine="0" w:firstLineChars="0"/>
        <w:rPr>
          <w:rFonts w:hint="eastAsia" w:ascii="宋体" w:hAnsi="宋体" w:cs="宋体"/>
          <w:b/>
          <w:color w:val="auto"/>
          <w:szCs w:val="24"/>
          <w:highlight w:val="none"/>
        </w:rPr>
      </w:pPr>
      <w:r>
        <w:rPr>
          <w:rFonts w:hint="eastAsia" w:ascii="宋体" w:hAnsi="宋体" w:cs="宋体"/>
          <w:b/>
          <w:color w:val="auto"/>
          <w:szCs w:val="24"/>
          <w:highlight w:val="none"/>
        </w:rPr>
        <w:t>20、信用信息查询</w:t>
      </w:r>
    </w:p>
    <w:p w14:paraId="11DD3C03">
      <w:pPr>
        <w:pStyle w:val="131"/>
        <w:spacing w:before="0"/>
        <w:ind w:firstLine="495" w:firstLineChars="0"/>
        <w:rPr>
          <w:rFonts w:hint="eastAsia"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20.1信用信息查询渠道及截止时间：采购代理机构将在资格审查时通过“信用中国”网站(www.creditchina.gov.cn)、中国政府采购网(www.ccgp.gov.cn)渠道查询投标人接受资格时的信用记录。</w:t>
      </w:r>
    </w:p>
    <w:p w14:paraId="6F53F962">
      <w:pPr>
        <w:pStyle w:val="131"/>
        <w:spacing w:before="0"/>
        <w:ind w:firstLine="495" w:firstLineChars="0"/>
        <w:rPr>
          <w:rFonts w:hint="eastAsia"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03930A95">
      <w:pPr>
        <w:pStyle w:val="131"/>
        <w:spacing w:before="0"/>
        <w:ind w:firstLine="495" w:firstLineChars="0"/>
        <w:rPr>
          <w:rFonts w:hint="eastAsia"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3B09B1D9">
      <w:pPr>
        <w:pStyle w:val="131"/>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7DF8A2C0">
      <w:pPr>
        <w:pStyle w:val="131"/>
        <w:spacing w:before="0"/>
        <w:ind w:firstLine="0" w:firstLineChars="0"/>
        <w:rPr>
          <w:rFonts w:hint="eastAsia" w:ascii="宋体" w:hAnsi="宋体" w:cs="宋体"/>
          <w:color w:val="auto"/>
          <w:kern w:val="0"/>
          <w:szCs w:val="24"/>
          <w:highlight w:val="none"/>
        </w:rPr>
      </w:pPr>
    </w:p>
    <w:p w14:paraId="4688A68C">
      <w:pPr>
        <w:snapToGrid w:val="0"/>
        <w:spacing w:line="360" w:lineRule="auto"/>
        <w:jc w:val="center"/>
        <w:outlineLvl w:val="0"/>
        <w:rPr>
          <w:rFonts w:hint="eastAsia" w:ascii="宋体" w:hAnsi="宋体" w:cs="宋体"/>
          <w:b/>
          <w:color w:val="auto"/>
          <w:sz w:val="36"/>
          <w:szCs w:val="36"/>
          <w:highlight w:val="none"/>
        </w:rPr>
      </w:pPr>
      <w:r>
        <w:rPr>
          <w:rFonts w:hint="eastAsia" w:ascii="宋体" w:hAnsi="宋体" w:cs="宋体"/>
          <w:b/>
          <w:color w:val="auto"/>
          <w:sz w:val="36"/>
          <w:szCs w:val="36"/>
          <w:highlight w:val="none"/>
        </w:rPr>
        <w:t>五、评标</w:t>
      </w:r>
    </w:p>
    <w:p w14:paraId="036A1A03">
      <w:pPr>
        <w:spacing w:line="360" w:lineRule="auto"/>
        <w:rPr>
          <w:rFonts w:hint="eastAsia" w:ascii="宋体" w:hAnsi="宋体" w:cs="宋体"/>
          <w:b/>
          <w:color w:val="auto"/>
          <w:sz w:val="24"/>
          <w:highlight w:val="none"/>
        </w:rPr>
      </w:pPr>
      <w:bookmarkStart w:id="14"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18748DB4">
      <w:pPr>
        <w:spacing w:line="360" w:lineRule="auto"/>
        <w:rPr>
          <w:rFonts w:hint="eastAsia" w:ascii="宋体" w:hAnsi="宋体" w:cs="宋体"/>
          <w:b/>
          <w:color w:val="auto"/>
          <w:sz w:val="24"/>
          <w:highlight w:val="none"/>
        </w:rPr>
      </w:pPr>
    </w:p>
    <w:p w14:paraId="4A6CF719">
      <w:pPr>
        <w:snapToGrid w:val="0"/>
        <w:spacing w:line="360" w:lineRule="auto"/>
        <w:jc w:val="center"/>
        <w:outlineLvl w:val="0"/>
        <w:rPr>
          <w:rFonts w:hint="eastAsia" w:ascii="宋体" w:hAnsi="宋体" w:cs="宋体"/>
          <w:b/>
          <w:color w:val="auto"/>
          <w:sz w:val="36"/>
          <w:szCs w:val="36"/>
          <w:highlight w:val="none"/>
        </w:rPr>
      </w:pPr>
      <w:r>
        <w:rPr>
          <w:rFonts w:hint="eastAsia" w:ascii="宋体" w:hAnsi="宋体" w:cs="宋体"/>
          <w:b/>
          <w:color w:val="auto"/>
          <w:sz w:val="36"/>
          <w:szCs w:val="36"/>
          <w:highlight w:val="none"/>
        </w:rPr>
        <w:t>六、定 标</w:t>
      </w:r>
    </w:p>
    <w:p w14:paraId="51506993">
      <w:pPr>
        <w:pStyle w:val="24"/>
        <w:spacing w:line="360" w:lineRule="auto"/>
        <w:ind w:left="479" w:hanging="479" w:hangingChars="199"/>
        <w:rPr>
          <w:rFonts w:hint="eastAsia" w:cs="宋体"/>
          <w:b/>
          <w:color w:val="auto"/>
          <w:highlight w:val="none"/>
        </w:rPr>
      </w:pPr>
      <w:r>
        <w:rPr>
          <w:rFonts w:hint="eastAsia" w:cs="宋体"/>
          <w:b/>
          <w:color w:val="auto"/>
          <w:highlight w:val="none"/>
        </w:rPr>
        <w:t>22. 确定中标供应商</w:t>
      </w:r>
    </w:p>
    <w:p w14:paraId="14EF1109">
      <w:pPr>
        <w:pStyle w:val="131"/>
        <w:snapToGrid w:val="0"/>
        <w:spacing w:before="0"/>
        <w:ind w:firstLine="480"/>
        <w:rPr>
          <w:rFonts w:hint="eastAsia"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鼓励在收到评审报告当天在线确定中标或者成交供应商。中标、成交通知书和中标、成交结果公告应当在规定时间内同时发出。</w:t>
      </w:r>
    </w:p>
    <w:p w14:paraId="326D3793">
      <w:pPr>
        <w:pStyle w:val="131"/>
        <w:snapToGrid w:val="0"/>
        <w:spacing w:before="0"/>
        <w:ind w:firstLine="0" w:firstLineChars="0"/>
        <w:rPr>
          <w:rFonts w:hint="eastAsia"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22F9C9D0">
      <w:pPr>
        <w:widowControl/>
        <w:shd w:val="clear" w:color="auto" w:fill="FFFFFF"/>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23.1自中标人确定之日起2个工作日内，采购代理机构通过电子交易平台向中标人发出中标通知书，同时编制发布采购结果公告。采购代理机构也可以以纸质形式进行中标通知。</w:t>
      </w:r>
    </w:p>
    <w:p w14:paraId="63BFE802">
      <w:pPr>
        <w:widowControl/>
        <w:shd w:val="clear" w:color="auto" w:fill="FFFFFF"/>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23.2中标结果公告内容包括采购人及其委托的采购代理机构的名称、地址、联系方式，项目名称和项目编号，中标人名称、地址和中标金额，主要中标标的的名称、规格型号、数量、单价、服务要求，开标记录、</w:t>
      </w:r>
      <w:bookmarkStart w:id="15" w:name="_Hlk101184471"/>
      <w:r>
        <w:rPr>
          <w:rFonts w:hint="eastAsia" w:ascii="宋体" w:hAnsi="宋体" w:cs="宋体"/>
          <w:color w:val="auto"/>
          <w:sz w:val="24"/>
          <w:highlight w:val="none"/>
        </w:rPr>
        <w:t>资格审查情况、评审专家抽取规则、符合性审查情况、</w:t>
      </w:r>
      <w:bookmarkEnd w:id="15"/>
      <w:r>
        <w:rPr>
          <w:rFonts w:hint="eastAsia" w:ascii="宋体" w:hAnsi="宋体" w:cs="宋体"/>
          <w:color w:val="auto"/>
          <w:sz w:val="24"/>
          <w:highlight w:val="none"/>
        </w:rPr>
        <w:t>未中标情况说明、中标公告期限以及评审专家名单、评分汇总及明细。</w:t>
      </w:r>
    </w:p>
    <w:p w14:paraId="54347E73">
      <w:pPr>
        <w:widowControl/>
        <w:shd w:val="clear" w:color="auto" w:fill="FFFFFF"/>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23.3公告期限为1个工作日。</w:t>
      </w:r>
    </w:p>
    <w:p w14:paraId="7CE3E6ED">
      <w:pPr>
        <w:pStyle w:val="131"/>
        <w:snapToGrid w:val="0"/>
        <w:spacing w:before="0"/>
        <w:ind w:firstLine="482"/>
        <w:rPr>
          <w:rStyle w:val="78"/>
          <w:color w:val="auto"/>
          <w:highlight w:val="none"/>
        </w:rPr>
      </w:pPr>
      <w:r>
        <w:rPr>
          <w:rFonts w:hint="eastAsia" w:ascii="宋体" w:hAnsi="宋体" w:cs="宋体"/>
          <w:b/>
          <w:color w:val="auto"/>
          <w:szCs w:val="24"/>
          <w:highlight w:val="none"/>
        </w:rPr>
        <w:t xml:space="preserve">23.4 </w:t>
      </w:r>
      <w:r>
        <w:rPr>
          <w:rFonts w:hint="eastAsia" w:ascii="宋体" w:hAnsi="宋体" w:cs="宋体"/>
          <w:bCs/>
          <w:color w:val="auto"/>
          <w:szCs w:val="24"/>
          <w:highlight w:val="none"/>
        </w:rPr>
        <w:t>由于中标、成交供应商原因导致重新采购的，应当承担支付代理费和专家评审费等费用在内的赔偿责任。</w:t>
      </w:r>
    </w:p>
    <w:p w14:paraId="4E1F1A8B">
      <w:pPr>
        <w:snapToGrid w:val="0"/>
        <w:spacing w:line="360" w:lineRule="auto"/>
        <w:ind w:left="120" w:leftChars="57" w:firstLine="482" w:firstLineChars="150"/>
        <w:jc w:val="center"/>
        <w:rPr>
          <w:rFonts w:hint="eastAsia" w:ascii="宋体" w:hAnsi="宋体" w:cs="宋体"/>
          <w:b/>
          <w:color w:val="auto"/>
          <w:sz w:val="32"/>
          <w:highlight w:val="none"/>
        </w:rPr>
      </w:pPr>
    </w:p>
    <w:p w14:paraId="1A4A177F">
      <w:pPr>
        <w:snapToGrid w:val="0"/>
        <w:spacing w:line="360" w:lineRule="auto"/>
        <w:ind w:left="120" w:leftChars="57" w:firstLine="482" w:firstLineChars="150"/>
        <w:jc w:val="center"/>
        <w:rPr>
          <w:rFonts w:hint="eastAsia" w:ascii="宋体" w:hAnsi="宋体" w:cs="宋体"/>
          <w:b/>
          <w:color w:val="auto"/>
          <w:sz w:val="32"/>
          <w:highlight w:val="none"/>
        </w:rPr>
      </w:pPr>
      <w:r>
        <w:rPr>
          <w:rFonts w:hint="eastAsia" w:ascii="宋体" w:hAnsi="宋体" w:cs="宋体"/>
          <w:b/>
          <w:color w:val="auto"/>
          <w:sz w:val="32"/>
          <w:highlight w:val="none"/>
        </w:rPr>
        <w:t>七、合同授予</w:t>
      </w:r>
    </w:p>
    <w:p w14:paraId="2774242D">
      <w:pPr>
        <w:pStyle w:val="24"/>
        <w:spacing w:line="360" w:lineRule="auto"/>
        <w:ind w:left="479" w:hanging="479" w:hangingChars="199"/>
        <w:rPr>
          <w:rFonts w:hint="eastAsia"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2D9C9F4D">
      <w:pPr>
        <w:pStyle w:val="24"/>
        <w:spacing w:line="360" w:lineRule="auto"/>
        <w:ind w:left="479" w:hanging="479" w:hangingChars="199"/>
        <w:rPr>
          <w:rFonts w:hint="eastAsia" w:cs="宋体"/>
          <w:b/>
          <w:color w:val="auto"/>
          <w:highlight w:val="none"/>
        </w:rPr>
      </w:pPr>
      <w:r>
        <w:rPr>
          <w:rFonts w:hint="eastAsia" w:cs="宋体"/>
          <w:b/>
          <w:color w:val="auto"/>
          <w:highlight w:val="none"/>
        </w:rPr>
        <w:t>25. 合同的签订</w:t>
      </w:r>
    </w:p>
    <w:p w14:paraId="6C98155A">
      <w:pPr>
        <w:widowControl/>
        <w:shd w:val="clear" w:color="auto" w:fill="FFFFFF"/>
        <w:spacing w:line="360" w:lineRule="auto"/>
        <w:ind w:firstLine="480"/>
        <w:jc w:val="left"/>
        <w:rPr>
          <w:rFonts w:hint="eastAsia"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2178095F">
      <w:pPr>
        <w:pStyle w:val="131"/>
        <w:snapToGrid w:val="0"/>
        <w:spacing w:before="0"/>
        <w:ind w:firstLine="480"/>
        <w:rPr>
          <w:rFonts w:hint="eastAsia"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150C35BD">
      <w:pPr>
        <w:pStyle w:val="131"/>
        <w:snapToGrid w:val="0"/>
        <w:spacing w:before="0"/>
        <w:ind w:firstLine="480"/>
        <w:rPr>
          <w:rFonts w:hint="eastAsia"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10765E4B">
      <w:pPr>
        <w:pStyle w:val="131"/>
        <w:snapToGrid w:val="0"/>
        <w:spacing w:before="0"/>
        <w:ind w:firstLine="480"/>
        <w:rPr>
          <w:rFonts w:hint="eastAsia"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280C136D">
      <w:pPr>
        <w:pStyle w:val="131"/>
        <w:snapToGrid w:val="0"/>
        <w:spacing w:before="0" w:after="120"/>
        <w:ind w:firstLine="480"/>
        <w:rPr>
          <w:rFonts w:hint="eastAsia"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72520E91">
      <w:pPr>
        <w:pStyle w:val="24"/>
        <w:spacing w:line="360" w:lineRule="auto"/>
        <w:ind w:left="479" w:hanging="479" w:hangingChars="199"/>
        <w:rPr>
          <w:rFonts w:hint="eastAsia" w:cs="宋体"/>
          <w:b/>
          <w:color w:val="auto"/>
          <w:highlight w:val="none"/>
        </w:rPr>
      </w:pPr>
      <w:r>
        <w:rPr>
          <w:rFonts w:hint="eastAsia" w:cs="宋体"/>
          <w:b/>
          <w:color w:val="auto"/>
          <w:highlight w:val="none"/>
        </w:rPr>
        <w:t>26. 履约保证金</w:t>
      </w:r>
    </w:p>
    <w:p w14:paraId="5105C5F0">
      <w:pPr>
        <w:tabs>
          <w:tab w:val="left" w:pos="0"/>
        </w:tabs>
        <w:spacing w:line="360" w:lineRule="auto"/>
        <w:ind w:firstLine="482"/>
        <w:rPr>
          <w:rFonts w:hint="eastAsia"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65876C5D">
      <w:pPr>
        <w:pStyle w:val="4"/>
        <w:ind w:left="0" w:firstLine="480" w:firstLineChars="200"/>
        <w:rPr>
          <w:rFonts w:hint="eastAsia"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color w:val="auto"/>
          <w:kern w:val="28"/>
          <w:sz w:val="24"/>
          <w:highlight w:val="none"/>
          <w:lang w:val="en-US"/>
        </w:rPr>
        <w:t>95763</w:t>
      </w:r>
      <w:r>
        <w:rPr>
          <w:rFonts w:hint="eastAsia" w:ascii="宋体" w:hAnsi="宋体" w:eastAsia="宋体" w:cs="宋体"/>
          <w:b w:val="0"/>
          <w:bCs w:val="0"/>
          <w:snapToGrid w:val="0"/>
          <w:color w:val="auto"/>
          <w:kern w:val="28"/>
          <w:sz w:val="24"/>
          <w:highlight w:val="none"/>
        </w:rPr>
        <w:t>。</w:t>
      </w:r>
    </w:p>
    <w:p w14:paraId="1755265F">
      <w:pPr>
        <w:pStyle w:val="4"/>
        <w:rPr>
          <w:rFonts w:hint="eastAsia"/>
          <w:color w:val="auto"/>
          <w:highlight w:val="none"/>
        </w:rPr>
      </w:pPr>
      <w:r>
        <w:rPr>
          <w:rFonts w:ascii="宋体" w:hAnsi="宋体" w:eastAsia="宋体"/>
          <w:color w:val="auto"/>
          <w:sz w:val="24"/>
          <w:highlight w:val="none"/>
          <w:lang w:val="en-US"/>
        </w:rPr>
        <w:t>27.预付款</w:t>
      </w:r>
    </w:p>
    <w:p w14:paraId="38ADC448">
      <w:pPr>
        <w:adjustRightInd/>
        <w:spacing w:line="360" w:lineRule="auto"/>
        <w:ind w:firstLine="480" w:firstLineChars="200"/>
        <w:rPr>
          <w:color w:val="auto"/>
          <w:highlight w:val="none"/>
        </w:rPr>
      </w:pPr>
      <w:r>
        <w:rPr>
          <w:rFonts w:hint="eastAsia" w:ascii="宋体" w:hAnsi="宋体"/>
          <w:color w:val="auto"/>
          <w:sz w:val="24"/>
          <w:highlight w:val="none"/>
        </w:rPr>
        <w:t>采购单位应当在政府采购合同中约定预付款，对中小企业合同预付款比例原则上不低于合同金额的</w:t>
      </w:r>
      <w:r>
        <w:rPr>
          <w:rFonts w:ascii="宋体" w:hAnsi="宋体"/>
          <w:color w:val="auto"/>
          <w:sz w:val="24"/>
          <w:highlight w:val="none"/>
        </w:rPr>
        <w:t>40％</w:t>
      </w:r>
      <w:r>
        <w:rPr>
          <w:rFonts w:hint="eastAsia" w:ascii="宋体" w:hAnsi="宋体"/>
          <w:color w:val="auto"/>
          <w:sz w:val="24"/>
          <w:highlight w:val="none"/>
        </w:rPr>
        <w:t>，不高于合同金额的</w:t>
      </w:r>
      <w:r>
        <w:rPr>
          <w:rFonts w:ascii="宋体" w:hAnsi="宋体"/>
          <w:color w:val="auto"/>
          <w:sz w:val="24"/>
          <w:highlight w:val="none"/>
        </w:rPr>
        <w:t>70%；项目分年安排预算的，每年预付款比例</w:t>
      </w:r>
      <w:r>
        <w:rPr>
          <w:rFonts w:hint="eastAsia" w:ascii="宋体" w:hAnsi="宋体"/>
          <w:color w:val="auto"/>
          <w:sz w:val="24"/>
          <w:highlight w:val="none"/>
        </w:rPr>
        <w:t>不低于</w:t>
      </w:r>
      <w:r>
        <w:rPr>
          <w:rFonts w:ascii="宋体" w:hAnsi="宋体"/>
          <w:color w:val="auto"/>
          <w:sz w:val="24"/>
          <w:highlight w:val="none"/>
        </w:rPr>
        <w:t>项目年度计划支付资金额的40％</w:t>
      </w:r>
      <w:r>
        <w:rPr>
          <w:rFonts w:hint="eastAsia" w:ascii="宋体" w:hAnsi="宋体"/>
          <w:color w:val="auto"/>
          <w:sz w:val="24"/>
          <w:highlight w:val="none"/>
        </w:rPr>
        <w:t>，不高于合同金额的</w:t>
      </w:r>
      <w:r>
        <w:rPr>
          <w:rFonts w:ascii="宋体" w:hAnsi="宋体"/>
          <w:color w:val="auto"/>
          <w:sz w:val="24"/>
          <w:highlight w:val="none"/>
        </w:rPr>
        <w:t>70%；采购项目实施以人工投入为主的，</w:t>
      </w:r>
      <w:r>
        <w:rPr>
          <w:rFonts w:hint="eastAsia" w:ascii="宋体" w:hAnsi="宋体"/>
          <w:color w:val="auto"/>
          <w:sz w:val="24"/>
          <w:highlight w:val="none"/>
        </w:rPr>
        <w:t>可适当降低预付款比例，但不得低于</w:t>
      </w:r>
      <w:r>
        <w:rPr>
          <w:rFonts w:ascii="宋体" w:hAnsi="宋体"/>
          <w:color w:val="auto"/>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提交银行、保险公司等金融机构出具的预付款保函或其他担保措施。政府采购预付款应在合同生效以及具备实施条件后5个工作日内支付。</w:t>
      </w:r>
      <w:r>
        <w:rPr>
          <w:rFonts w:hint="eastAsia" w:ascii="宋体" w:hAnsi="宋体"/>
          <w:color w:val="auto"/>
          <w:sz w:val="24"/>
          <w:highlight w:val="none"/>
        </w:rPr>
        <w:t>政府采购工程以及与工程建设有关的货物、服务，采用招标方式采购的，预付款从其相关规定。供应商可登录政采云前台大厅选择金融服务</w:t>
      </w:r>
      <w:r>
        <w:rPr>
          <w:rFonts w:ascii="宋体" w:hAnsi="宋体"/>
          <w:color w:val="auto"/>
          <w:sz w:val="24"/>
          <w:highlight w:val="none"/>
        </w:rPr>
        <w:t xml:space="preserve"> - </w:t>
      </w:r>
      <w:r>
        <w:rPr>
          <w:rFonts w:hint="eastAsia" w:ascii="宋体" w:hAnsi="宋体"/>
          <w:color w:val="auto"/>
          <w:sz w:val="24"/>
          <w:highlight w:val="none"/>
        </w:rPr>
        <w:t>【保函保险服务】出具预付款保函，具体步骤：选择产品—填写供应商信息—选择中标项目—确认信息—等待保险</w:t>
      </w:r>
      <w:r>
        <w:rPr>
          <w:rFonts w:ascii="宋体" w:hAnsi="宋体"/>
          <w:color w:val="auto"/>
          <w:sz w:val="24"/>
          <w:highlight w:val="none"/>
        </w:rPr>
        <w:t>/保函受理—确认保单—支付保费—成功出单。政</w:t>
      </w:r>
      <w:r>
        <w:rPr>
          <w:rFonts w:hint="eastAsia" w:ascii="宋体" w:hAnsi="宋体"/>
          <w:color w:val="auto"/>
          <w:sz w:val="24"/>
          <w:highlight w:val="none"/>
        </w:rPr>
        <w:t>采云金融专线95763</w:t>
      </w:r>
      <w:r>
        <w:rPr>
          <w:rFonts w:ascii="宋体" w:hAnsi="宋体"/>
          <w:color w:val="auto"/>
          <w:sz w:val="24"/>
          <w:highlight w:val="none"/>
        </w:rPr>
        <w:t>。</w:t>
      </w:r>
    </w:p>
    <w:p w14:paraId="7D4FD9B7">
      <w:pPr>
        <w:snapToGrid w:val="0"/>
        <w:spacing w:line="360" w:lineRule="auto"/>
        <w:ind w:firstLine="3357" w:firstLineChars="1045"/>
        <w:rPr>
          <w:rFonts w:hint="eastAsia" w:ascii="宋体" w:hAnsi="宋体" w:cs="宋体"/>
          <w:b/>
          <w:color w:val="auto"/>
          <w:sz w:val="24"/>
          <w:highlight w:val="none"/>
        </w:rPr>
      </w:pPr>
      <w:r>
        <w:rPr>
          <w:rFonts w:hint="eastAsia" w:ascii="宋体" w:hAnsi="宋体" w:cs="宋体"/>
          <w:b/>
          <w:color w:val="auto"/>
          <w:sz w:val="32"/>
          <w:highlight w:val="none"/>
        </w:rPr>
        <w:t>八、电子交易活动的中止</w:t>
      </w:r>
    </w:p>
    <w:p w14:paraId="7B604055">
      <w:pPr>
        <w:pStyle w:val="131"/>
        <w:snapToGrid w:val="0"/>
        <w:spacing w:before="0"/>
        <w:ind w:firstLine="0" w:firstLineChars="0"/>
        <w:rPr>
          <w:rFonts w:hint="eastAsia" w:ascii="宋体" w:hAnsi="宋体" w:cs="宋体"/>
          <w:color w:val="auto"/>
          <w:highlight w:val="none"/>
        </w:rPr>
      </w:pPr>
      <w:r>
        <w:rPr>
          <w:rFonts w:ascii="宋体" w:hAnsi="宋体" w:cs="宋体"/>
          <w:b/>
          <w:bCs/>
          <w:color w:val="auto"/>
          <w:highlight w:val="none"/>
        </w:rPr>
        <w:t>2</w:t>
      </w:r>
      <w:r>
        <w:rPr>
          <w:rFonts w:ascii="宋体" w:hAnsi="宋体" w:cs="宋体"/>
          <w:b/>
          <w:bCs/>
          <w:color w:val="auto"/>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采购过程中出现以下情形，导致电子交易平台无法正常运行，或者无法保证电子交易的公平、公正和安全时，采购代理机构可中止电子交易活动：</w:t>
      </w:r>
    </w:p>
    <w:p w14:paraId="3690EAA6">
      <w:pPr>
        <w:pStyle w:val="131"/>
        <w:snapToGrid w:val="0"/>
        <w:spacing w:before="0"/>
        <w:ind w:firstLine="480"/>
        <w:rPr>
          <w:rFonts w:hint="eastAsia"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14:paraId="7086C030">
      <w:pPr>
        <w:pStyle w:val="131"/>
        <w:snapToGrid w:val="0"/>
        <w:spacing w:before="0"/>
        <w:ind w:firstLine="480"/>
        <w:rPr>
          <w:rFonts w:hint="eastAsia"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7C87E220">
      <w:pPr>
        <w:pStyle w:val="131"/>
        <w:snapToGrid w:val="0"/>
        <w:spacing w:before="0"/>
        <w:ind w:firstLine="480"/>
        <w:rPr>
          <w:rFonts w:hint="eastAsia"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03FAED06">
      <w:pPr>
        <w:pStyle w:val="131"/>
        <w:snapToGrid w:val="0"/>
        <w:spacing w:before="0"/>
        <w:ind w:firstLine="480"/>
        <w:rPr>
          <w:rFonts w:hint="eastAsia" w:ascii="宋体" w:hAnsi="宋体" w:cs="宋体"/>
          <w:color w:val="auto"/>
          <w:highlight w:val="none"/>
        </w:rPr>
      </w:pPr>
      <w:r>
        <w:rPr>
          <w:rFonts w:hint="eastAsia" w:ascii="宋体" w:hAnsi="宋体" w:cs="宋体"/>
          <w:color w:val="auto"/>
          <w:highlight w:val="none"/>
        </w:rPr>
        <w:t xml:space="preserve">28.4病毒发作导致不能进行正常操作的； </w:t>
      </w:r>
    </w:p>
    <w:p w14:paraId="4C63BB59">
      <w:pPr>
        <w:pStyle w:val="131"/>
        <w:snapToGrid w:val="0"/>
        <w:spacing w:before="0"/>
        <w:ind w:firstLine="480"/>
        <w:rPr>
          <w:rFonts w:hint="eastAsia" w:ascii="宋体" w:hAnsi="宋体" w:cs="宋体"/>
          <w:color w:val="auto"/>
          <w:highlight w:val="none"/>
        </w:rPr>
      </w:pPr>
      <w:r>
        <w:rPr>
          <w:rFonts w:hint="eastAsia" w:ascii="宋体" w:hAnsi="宋体" w:cs="宋体"/>
          <w:color w:val="auto"/>
          <w:highlight w:val="none"/>
        </w:rPr>
        <w:t>28.5其他无法保证电子交易的公平、公正和安全的情况。</w:t>
      </w:r>
    </w:p>
    <w:p w14:paraId="291719B4">
      <w:pPr>
        <w:pStyle w:val="131"/>
        <w:snapToGrid w:val="0"/>
        <w:spacing w:before="0"/>
        <w:ind w:firstLine="0" w:firstLineChars="0"/>
        <w:rPr>
          <w:rFonts w:hint="eastAsia"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7641D618">
      <w:pPr>
        <w:tabs>
          <w:tab w:val="left" w:pos="0"/>
        </w:tabs>
        <w:spacing w:line="360" w:lineRule="auto"/>
        <w:ind w:firstLine="480"/>
        <w:rPr>
          <w:rFonts w:hint="eastAsia" w:ascii="宋体" w:hAnsi="宋体" w:cs="宋体"/>
          <w:color w:val="auto"/>
          <w:sz w:val="24"/>
          <w:highlight w:val="none"/>
        </w:rPr>
      </w:pPr>
    </w:p>
    <w:p w14:paraId="56BF5067">
      <w:pPr>
        <w:snapToGrid w:val="0"/>
        <w:spacing w:line="360" w:lineRule="auto"/>
        <w:ind w:left="120" w:leftChars="57" w:firstLine="482" w:firstLineChars="150"/>
        <w:jc w:val="center"/>
        <w:rPr>
          <w:rFonts w:hint="eastAsia" w:ascii="宋体" w:hAnsi="宋体" w:cs="宋体"/>
          <w:b/>
          <w:color w:val="auto"/>
          <w:sz w:val="32"/>
          <w:highlight w:val="none"/>
        </w:rPr>
      </w:pPr>
      <w:r>
        <w:rPr>
          <w:rFonts w:hint="eastAsia" w:ascii="宋体" w:hAnsi="宋体" w:cs="宋体"/>
          <w:b/>
          <w:color w:val="auto"/>
          <w:sz w:val="32"/>
          <w:highlight w:val="none"/>
        </w:rPr>
        <w:t>九、验收</w:t>
      </w:r>
    </w:p>
    <w:p w14:paraId="047C58A9">
      <w:pPr>
        <w:pStyle w:val="24"/>
        <w:spacing w:line="360" w:lineRule="auto"/>
        <w:ind w:firstLine="0" w:firstLineChars="0"/>
        <w:rPr>
          <w:rFonts w:hint="eastAsia" w:cs="宋体"/>
          <w:b/>
          <w:color w:val="auto"/>
          <w:highlight w:val="none"/>
        </w:rPr>
      </w:pPr>
      <w:r>
        <w:rPr>
          <w:rFonts w:hint="eastAsia" w:cs="宋体"/>
          <w:b/>
          <w:color w:val="auto"/>
          <w:highlight w:val="none"/>
        </w:rPr>
        <w:t>30.验收</w:t>
      </w:r>
    </w:p>
    <w:p w14:paraId="31620BAF">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19670C92">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215A0845">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15FC00A2">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7FB0F7DA">
      <w:pPr>
        <w:pStyle w:val="4"/>
        <w:adjustRightInd w:val="0"/>
        <w:snapToGrid w:val="0"/>
        <w:ind w:left="0" w:firstLine="480" w:firstLineChars="200"/>
        <w:rPr>
          <w:rFonts w:hint="eastAsia"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30.5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p w14:paraId="43215E75">
      <w:pPr>
        <w:pStyle w:val="80"/>
        <w:rPr>
          <w:rFonts w:hint="eastAsia"/>
          <w:color w:val="auto"/>
          <w:highlight w:val="none"/>
        </w:rPr>
      </w:pPr>
    </w:p>
    <w:bookmarkEnd w:id="14"/>
    <w:p w14:paraId="72317682">
      <w:pPr>
        <w:tabs>
          <w:tab w:val="left" w:pos="0"/>
        </w:tabs>
        <w:spacing w:line="360" w:lineRule="auto"/>
        <w:ind w:firstLine="480"/>
        <w:rPr>
          <w:rFonts w:hint="eastAsia" w:ascii="宋体" w:hAnsi="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6" w:name="_Hlt68072998"/>
      <w:bookmarkEnd w:id="16"/>
      <w:bookmarkStart w:id="17" w:name="_Hlt68057669"/>
      <w:bookmarkEnd w:id="17"/>
      <w:bookmarkStart w:id="18" w:name="_Hlt74730295"/>
      <w:bookmarkEnd w:id="18"/>
      <w:bookmarkStart w:id="19" w:name="_Hlt68403820"/>
      <w:bookmarkEnd w:id="19"/>
      <w:bookmarkStart w:id="20" w:name="_Hlt74714665"/>
      <w:bookmarkEnd w:id="20"/>
      <w:bookmarkStart w:id="21" w:name="_Hlt75236101"/>
      <w:bookmarkEnd w:id="21"/>
      <w:bookmarkStart w:id="22" w:name="_Hlt68072990"/>
      <w:bookmarkEnd w:id="22"/>
      <w:bookmarkStart w:id="23" w:name="_Hlt74707468"/>
      <w:bookmarkEnd w:id="23"/>
      <w:bookmarkStart w:id="24" w:name="_Hlt68073093"/>
      <w:bookmarkEnd w:id="24"/>
      <w:bookmarkStart w:id="25" w:name="_Hlt74729768"/>
      <w:bookmarkEnd w:id="25"/>
      <w:bookmarkStart w:id="26" w:name="_Hlt75236011"/>
      <w:bookmarkEnd w:id="26"/>
      <w:bookmarkStart w:id="27" w:name="_Hlt75236290"/>
      <w:bookmarkEnd w:id="27"/>
    </w:p>
    <w:bookmarkEnd w:id="12"/>
    <w:bookmarkEnd w:id="13"/>
    <w:p w14:paraId="6E9C486B">
      <w:pPr>
        <w:spacing w:line="360" w:lineRule="auto"/>
        <w:jc w:val="center"/>
        <w:outlineLvl w:val="0"/>
        <w:rPr>
          <w:rFonts w:hint="eastAsia" w:ascii="宋体" w:hAnsi="宋体" w:cs="宋体"/>
          <w:b/>
          <w:color w:val="auto"/>
          <w:sz w:val="36"/>
          <w:szCs w:val="36"/>
          <w:highlight w:val="none"/>
        </w:rPr>
      </w:pPr>
      <w:bookmarkStart w:id="28" w:name="第四部分"/>
      <w:r>
        <w:rPr>
          <w:rFonts w:hint="eastAsia" w:ascii="宋体" w:hAnsi="宋体" w:cs="宋体"/>
          <w:b/>
          <w:color w:val="auto"/>
          <w:sz w:val="36"/>
          <w:szCs w:val="36"/>
          <w:highlight w:val="none"/>
        </w:rPr>
        <w:t>第三部分   采购需求</w:t>
      </w:r>
    </w:p>
    <w:p w14:paraId="7C931FFD">
      <w:pPr>
        <w:spacing w:line="360" w:lineRule="auto"/>
        <w:rPr>
          <w:b/>
          <w:bCs/>
          <w:color w:val="auto"/>
          <w:sz w:val="28"/>
          <w:szCs w:val="28"/>
          <w:highlight w:val="none"/>
        </w:rPr>
      </w:pPr>
    </w:p>
    <w:p w14:paraId="333F1523">
      <w:pPr>
        <w:spacing w:line="360" w:lineRule="auto"/>
        <w:rPr>
          <w:color w:val="auto"/>
          <w:sz w:val="28"/>
          <w:szCs w:val="28"/>
          <w:highlight w:val="none"/>
        </w:rPr>
      </w:pPr>
      <w:r>
        <w:rPr>
          <w:rFonts w:hint="eastAsia"/>
          <w:b/>
          <w:bCs/>
          <w:color w:val="auto"/>
          <w:sz w:val="28"/>
          <w:szCs w:val="28"/>
          <w:highlight w:val="none"/>
        </w:rPr>
        <w:t>标项一：杭州市温室气体监测系统运维项目</w:t>
      </w:r>
      <w:r>
        <w:rPr>
          <w:b/>
          <w:bCs/>
          <w:color w:val="auto"/>
          <w:sz w:val="28"/>
          <w:szCs w:val="28"/>
          <w:highlight w:val="none"/>
        </w:rPr>
        <w:t>采购需求</w:t>
      </w:r>
    </w:p>
    <w:p w14:paraId="161AACAB">
      <w:pPr>
        <w:tabs>
          <w:tab w:val="center" w:pos="4139"/>
        </w:tabs>
        <w:spacing w:line="360" w:lineRule="auto"/>
        <w:ind w:firstLine="480" w:firstLineChars="200"/>
        <w:outlineLvl w:val="1"/>
        <w:rPr>
          <w:color w:val="auto"/>
          <w:sz w:val="24"/>
          <w:highlight w:val="none"/>
        </w:rPr>
      </w:pPr>
      <w:r>
        <w:rPr>
          <w:color w:val="auto"/>
          <w:sz w:val="24"/>
          <w:highlight w:val="none"/>
        </w:rPr>
        <w:t>根据生态环境部下发的《碳监测评估试点工作方案》、《深化碳监测评估试点工作方案》以及《杭州市碳达峰试点城市实施方案》等文件的要求，开展</w:t>
      </w:r>
      <w:r>
        <w:rPr>
          <w:rFonts w:hint="eastAsia" w:ascii="宋体" w:hAnsi="宋体" w:cs="宋体"/>
          <w:color w:val="auto"/>
          <w:sz w:val="24"/>
          <w:highlight w:val="none"/>
        </w:rPr>
        <w:t>杭州市温室气体监测系统运维项目</w:t>
      </w:r>
      <w:r>
        <w:rPr>
          <w:rFonts w:hint="eastAsia"/>
          <w:color w:val="auto"/>
          <w:sz w:val="24"/>
          <w:highlight w:val="none"/>
        </w:rPr>
        <w:t>，</w:t>
      </w:r>
      <w:r>
        <w:rPr>
          <w:color w:val="auto"/>
          <w:sz w:val="24"/>
          <w:highlight w:val="none"/>
        </w:rPr>
        <w:t>运维服务范围包括：承担6个高精度温室气体监测站点和1个碳汇监测站点所有监测仪器、气象仪器、质控设备、数据采集与传输设备、辅助设备等基础设施的日常维护工作，承担环境管理、站房巡检管理、站房维护维修、系统运行管理、质量控制、仪器维修和数据审核等工作，承担由此产生的耗材、标气、人工、水电、网络、站房租用、铁塔挂塔费用及其安全相关、设备维修维护所需配件（需为原厂配件或满足仪器设计要求，能持续性正常运行配件）、工具、车辆等费用，</w:t>
      </w:r>
      <w:r>
        <w:rPr>
          <w:rFonts w:hint="eastAsia"/>
          <w:color w:val="auto"/>
          <w:sz w:val="24"/>
          <w:highlight w:val="none"/>
        </w:rPr>
        <w:t>并完成碳通量数据分析。</w:t>
      </w:r>
      <w:r>
        <w:rPr>
          <w:color w:val="auto"/>
          <w:sz w:val="24"/>
          <w:highlight w:val="none"/>
        </w:rPr>
        <w:t>项目含</w:t>
      </w:r>
      <w:r>
        <w:rPr>
          <w:rFonts w:hint="eastAsia"/>
          <w:color w:val="auto"/>
          <w:sz w:val="24"/>
          <w:highlight w:val="none"/>
        </w:rPr>
        <w:t>2025年1月1日至合同签定日内的水电、网络、站房租用</w:t>
      </w:r>
      <w:r>
        <w:rPr>
          <w:rFonts w:hint="eastAsia"/>
          <w:color w:val="auto"/>
          <w:sz w:val="24"/>
          <w:highlight w:val="none"/>
          <w:lang w:eastAsia="zh-CN"/>
        </w:rPr>
        <w:t>（</w:t>
      </w:r>
      <w:r>
        <w:rPr>
          <w:rFonts w:hint="eastAsia"/>
          <w:color w:val="auto"/>
          <w:sz w:val="24"/>
          <w:highlight w:val="none"/>
        </w:rPr>
        <w:t>含铁塔挂塔成本</w:t>
      </w:r>
      <w:r>
        <w:rPr>
          <w:rFonts w:hint="eastAsia"/>
          <w:color w:val="auto"/>
          <w:sz w:val="24"/>
          <w:highlight w:val="none"/>
          <w:lang w:eastAsia="zh-CN"/>
        </w:rPr>
        <w:t>）</w:t>
      </w:r>
      <w:r>
        <w:rPr>
          <w:rFonts w:hint="eastAsia"/>
          <w:color w:val="auto"/>
          <w:sz w:val="24"/>
          <w:highlight w:val="none"/>
        </w:rPr>
        <w:t>、标气费用。</w:t>
      </w:r>
    </w:p>
    <w:p w14:paraId="185EE481">
      <w:pPr>
        <w:spacing w:line="360" w:lineRule="auto"/>
        <w:jc w:val="left"/>
        <w:rPr>
          <w:b/>
          <w:color w:val="auto"/>
          <w:sz w:val="24"/>
          <w:highlight w:val="none"/>
        </w:rPr>
      </w:pPr>
      <w:r>
        <w:rPr>
          <w:rFonts w:hint="eastAsia"/>
          <w:b/>
          <w:bCs/>
          <w:color w:val="auto"/>
          <w:sz w:val="24"/>
          <w:highlight w:val="none"/>
        </w:rPr>
        <w:t>（一）高精度温室气体监测网络运维采购要求</w:t>
      </w:r>
    </w:p>
    <w:p w14:paraId="0B70EE2D">
      <w:pPr>
        <w:spacing w:line="360" w:lineRule="auto"/>
        <w:ind w:firstLine="482" w:firstLineChars="200"/>
        <w:jc w:val="left"/>
        <w:rPr>
          <w:rFonts w:hint="eastAsia" w:ascii="宋体" w:hAnsi="宋体" w:cs="宋体"/>
          <w:b/>
          <w:color w:val="auto"/>
          <w:sz w:val="24"/>
          <w:highlight w:val="none"/>
        </w:rPr>
      </w:pPr>
      <w:r>
        <w:rPr>
          <w:rFonts w:hint="eastAsia" w:ascii="宋体" w:hAnsi="宋体" w:cs="宋体"/>
          <w:b/>
          <w:color w:val="auto"/>
          <w:sz w:val="24"/>
          <w:highlight w:val="none"/>
        </w:rPr>
        <w:t>一、运维服务范围</w:t>
      </w:r>
    </w:p>
    <w:p w14:paraId="066DE880">
      <w:pPr>
        <w:spacing w:line="360" w:lineRule="auto"/>
        <w:ind w:firstLine="482" w:firstLineChars="200"/>
        <w:contextualSpacing/>
        <w:rPr>
          <w:rFonts w:hint="eastAsia" w:ascii="宋体" w:hAnsi="宋体" w:cs="宋体"/>
          <w:b/>
          <w:bCs/>
          <w:color w:val="auto"/>
          <w:sz w:val="24"/>
          <w:highlight w:val="none"/>
        </w:rPr>
      </w:pPr>
      <w:r>
        <w:rPr>
          <w:rFonts w:hint="eastAsia" w:ascii="宋体" w:hAnsi="宋体" w:cs="宋体"/>
          <w:b/>
          <w:bCs/>
          <w:color w:val="auto"/>
          <w:sz w:val="24"/>
          <w:highlight w:val="none"/>
        </w:rPr>
        <w:t>（一）服务范围</w:t>
      </w:r>
    </w:p>
    <w:p w14:paraId="417D3A29">
      <w:pPr>
        <w:tabs>
          <w:tab w:val="center" w:pos="4139"/>
        </w:tabs>
        <w:snapToGrid w:val="0"/>
        <w:spacing w:line="360" w:lineRule="auto"/>
        <w:ind w:firstLine="480" w:firstLineChars="200"/>
        <w:outlineLvl w:val="1"/>
        <w:rPr>
          <w:color w:val="auto"/>
          <w:sz w:val="24"/>
          <w:highlight w:val="none"/>
          <w:u w:val="single"/>
        </w:rPr>
      </w:pPr>
      <w:r>
        <w:rPr>
          <w:rFonts w:hint="eastAsia" w:ascii="宋体" w:hAnsi="宋体" w:cs="宋体"/>
          <w:bCs/>
          <w:color w:val="auto"/>
          <w:sz w:val="24"/>
          <w:highlight w:val="none"/>
        </w:rPr>
        <w:t>本项目委托运维服务范围包括：</w:t>
      </w:r>
      <w:bookmarkStart w:id="29" w:name="_Hlk121222838"/>
      <w:r>
        <w:rPr>
          <w:rFonts w:hint="eastAsia" w:ascii="宋体" w:hAnsi="宋体" w:cs="宋体"/>
          <w:bCs/>
          <w:color w:val="auto"/>
          <w:sz w:val="24"/>
          <w:highlight w:val="none"/>
        </w:rPr>
        <w:t>承担高精度温室气体监测网络6个站点所有监测仪器、气象仪器、质控设备、数据采集与传输设备、辅助设备等基础设施的日常维护工作，承担环境管理、站房巡检管理、站房维护维修、系统运行管理、质量控制、仪器维修和数据审核等工作，并承担由此产生的耗材、标气、人工、水电、网络、站房租用、铁塔挂塔费用及其安全相关、设备维修维护所需配件、工具、车辆等费用</w:t>
      </w:r>
      <w:bookmarkEnd w:id="29"/>
      <w:r>
        <w:rPr>
          <w:rFonts w:hint="eastAsia" w:ascii="宋体" w:hAnsi="宋体" w:cs="宋体"/>
          <w:bCs/>
          <w:color w:val="auto"/>
          <w:sz w:val="24"/>
          <w:highlight w:val="none"/>
        </w:rPr>
        <w:t>。</w:t>
      </w:r>
      <w:bookmarkStart w:id="30" w:name="_Hlk200097426"/>
      <w:r>
        <w:rPr>
          <w:rFonts w:ascii="宋体" w:hAnsi="宋体" w:cs="宋体"/>
          <w:bCs/>
          <w:color w:val="auto"/>
          <w:sz w:val="24"/>
          <w:highlight w:val="none"/>
        </w:rPr>
        <w:t>项目含</w:t>
      </w:r>
      <w:r>
        <w:rPr>
          <w:rFonts w:hint="eastAsia" w:ascii="宋体" w:hAnsi="宋体" w:cs="宋体"/>
          <w:bCs/>
          <w:color w:val="auto"/>
          <w:sz w:val="24"/>
          <w:highlight w:val="none"/>
        </w:rPr>
        <w:t>2025年1月1日至合同签定日内的</w:t>
      </w:r>
      <w:r>
        <w:rPr>
          <w:rFonts w:ascii="宋体" w:hAnsi="宋体" w:cs="宋体"/>
          <w:bCs/>
          <w:color w:val="auto"/>
          <w:sz w:val="24"/>
          <w:highlight w:val="none"/>
        </w:rPr>
        <w:t>水电、网络、站房租用</w:t>
      </w:r>
      <w:r>
        <w:rPr>
          <w:rFonts w:hint="eastAsia" w:ascii="宋体" w:hAnsi="宋体" w:cs="宋体"/>
          <w:bCs/>
          <w:color w:val="auto"/>
          <w:sz w:val="24"/>
          <w:highlight w:val="none"/>
          <w:lang w:eastAsia="zh-CN"/>
        </w:rPr>
        <w:t>（</w:t>
      </w:r>
      <w:r>
        <w:rPr>
          <w:rFonts w:hint="eastAsia" w:ascii="宋体" w:hAnsi="宋体" w:cs="宋体"/>
          <w:bCs/>
          <w:color w:val="auto"/>
          <w:sz w:val="24"/>
          <w:highlight w:val="none"/>
        </w:rPr>
        <w:t>含</w:t>
      </w:r>
      <w:r>
        <w:rPr>
          <w:rFonts w:ascii="宋体" w:hAnsi="宋体" w:cs="宋体"/>
          <w:bCs/>
          <w:color w:val="auto"/>
          <w:sz w:val="24"/>
          <w:highlight w:val="none"/>
        </w:rPr>
        <w:t>铁塔挂塔</w:t>
      </w:r>
      <w:r>
        <w:rPr>
          <w:rFonts w:hint="eastAsia" w:ascii="宋体" w:hAnsi="宋体" w:cs="宋体"/>
          <w:bCs/>
          <w:color w:val="auto"/>
          <w:sz w:val="24"/>
          <w:highlight w:val="none"/>
        </w:rPr>
        <w:t>成本</w:t>
      </w:r>
      <w:r>
        <w:rPr>
          <w:rFonts w:hint="eastAsia" w:ascii="宋体" w:hAnsi="宋体" w:cs="宋体"/>
          <w:bCs/>
          <w:color w:val="auto"/>
          <w:sz w:val="24"/>
          <w:highlight w:val="none"/>
          <w:lang w:eastAsia="zh-CN"/>
        </w:rPr>
        <w:t>）</w:t>
      </w:r>
      <w:r>
        <w:rPr>
          <w:rFonts w:ascii="宋体" w:hAnsi="宋体" w:cs="宋体"/>
          <w:bCs/>
          <w:color w:val="auto"/>
          <w:sz w:val="24"/>
          <w:highlight w:val="none"/>
        </w:rPr>
        <w:t>、标气</w:t>
      </w:r>
      <w:r>
        <w:rPr>
          <w:rFonts w:hint="eastAsia" w:ascii="宋体" w:hAnsi="宋体" w:cs="宋体"/>
          <w:bCs/>
          <w:color w:val="auto"/>
          <w:sz w:val="24"/>
          <w:highlight w:val="none"/>
        </w:rPr>
        <w:t>费用</w:t>
      </w:r>
      <w:bookmarkEnd w:id="30"/>
      <w:r>
        <w:rPr>
          <w:rFonts w:hint="eastAsia" w:ascii="宋体" w:hAnsi="宋体" w:cs="宋体"/>
          <w:bCs/>
          <w:color w:val="auto"/>
          <w:sz w:val="24"/>
          <w:highlight w:val="none"/>
        </w:rPr>
        <w:t>,费用金额按照以下成本计算：房租费用</w:t>
      </w:r>
      <w:r>
        <w:rPr>
          <w:rFonts w:hint="eastAsia" w:ascii="宋体" w:hAnsi="宋体" w:cs="宋体"/>
          <w:bCs/>
          <w:color w:val="auto"/>
          <w:sz w:val="24"/>
          <w:highlight w:val="none"/>
          <w:lang w:eastAsia="zh-CN"/>
        </w:rPr>
        <w:t>（</w:t>
      </w:r>
      <w:r>
        <w:rPr>
          <w:rFonts w:hint="eastAsia" w:ascii="宋体" w:hAnsi="宋体" w:cs="宋体"/>
          <w:bCs/>
          <w:color w:val="auto"/>
          <w:sz w:val="24"/>
          <w:highlight w:val="none"/>
        </w:rPr>
        <w:t>含</w:t>
      </w:r>
      <w:r>
        <w:rPr>
          <w:rFonts w:ascii="宋体" w:hAnsi="宋体" w:cs="宋体"/>
          <w:bCs/>
          <w:color w:val="auto"/>
          <w:sz w:val="24"/>
          <w:highlight w:val="none"/>
        </w:rPr>
        <w:t>铁塔挂塔</w:t>
      </w:r>
      <w:r>
        <w:rPr>
          <w:rFonts w:hint="eastAsia" w:ascii="宋体" w:hAnsi="宋体" w:cs="宋体"/>
          <w:bCs/>
          <w:color w:val="auto"/>
          <w:sz w:val="24"/>
          <w:highlight w:val="none"/>
        </w:rPr>
        <w:t>成本</w:t>
      </w:r>
      <w:r>
        <w:rPr>
          <w:rFonts w:hint="eastAsia" w:ascii="宋体" w:hAnsi="宋体" w:cs="宋体"/>
          <w:bCs/>
          <w:color w:val="auto"/>
          <w:sz w:val="24"/>
          <w:highlight w:val="none"/>
          <w:lang w:eastAsia="zh-CN"/>
        </w:rPr>
        <w:t>）</w:t>
      </w:r>
      <w:r>
        <w:rPr>
          <w:rFonts w:hint="eastAsia" w:ascii="宋体" w:hAnsi="宋体" w:cs="宋体"/>
          <w:bCs/>
          <w:color w:val="auto"/>
          <w:sz w:val="24"/>
          <w:highlight w:val="none"/>
        </w:rPr>
        <w:t>503.3元/天；水电293元/天(参考2024年支出费用成本，需要按照实际支出)；网络费用123.7元/天；标气费用1040元</w:t>
      </w:r>
      <w:r>
        <w:rPr>
          <w:rFonts w:ascii="宋体" w:hAnsi="宋体" w:cs="宋体"/>
          <w:bCs/>
          <w:color w:val="auto"/>
          <w:sz w:val="24"/>
          <w:highlight w:val="none"/>
        </w:rPr>
        <w:t>/</w:t>
      </w:r>
      <w:r>
        <w:rPr>
          <w:rFonts w:hint="eastAsia" w:ascii="宋体" w:hAnsi="宋体" w:cs="宋体"/>
          <w:bCs/>
          <w:color w:val="auto"/>
          <w:sz w:val="24"/>
          <w:highlight w:val="none"/>
        </w:rPr>
        <w:t>天，各站点钢瓶气有效期等信息如下：</w:t>
      </w:r>
    </w:p>
    <w:p w14:paraId="7C2D118E">
      <w:pPr>
        <w:tabs>
          <w:tab w:val="center" w:pos="4139"/>
        </w:tabs>
        <w:snapToGrid w:val="0"/>
        <w:spacing w:line="360" w:lineRule="auto"/>
        <w:ind w:firstLine="480" w:firstLineChars="200"/>
        <w:outlineLvl w:val="1"/>
        <w:rPr>
          <w:color w:val="auto"/>
          <w:sz w:val="24"/>
          <w:highlight w:val="none"/>
          <w:u w:val="single"/>
        </w:rPr>
      </w:pPr>
    </w:p>
    <w:p w14:paraId="68076C8B">
      <w:pPr>
        <w:spacing w:line="360" w:lineRule="auto"/>
        <w:ind w:firstLine="480" w:firstLineChars="200"/>
        <w:contextualSpacing/>
        <w:rPr>
          <w:rFonts w:hint="eastAsia" w:ascii="宋体" w:hAnsi="宋体" w:cs="宋体"/>
          <w:bCs/>
          <w:color w:val="auto"/>
          <w:sz w:val="24"/>
          <w:highlight w:val="none"/>
        </w:rPr>
      </w:pPr>
      <w:r>
        <w:rPr>
          <w:rFonts w:hint="eastAsia" w:ascii="宋体" w:hAnsi="宋体" w:cs="宋体"/>
          <w:bCs/>
          <w:color w:val="auto"/>
          <w:sz w:val="24"/>
          <w:highlight w:val="none"/>
        </w:rPr>
        <w:t>运维服务站点及运维期限如下表所示。</w:t>
      </w:r>
    </w:p>
    <w:tbl>
      <w:tblPr>
        <w:tblStyle w:val="62"/>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60"/>
        <w:gridCol w:w="1262"/>
        <w:gridCol w:w="2675"/>
        <w:gridCol w:w="3031"/>
      </w:tblGrid>
      <w:tr w14:paraId="3C038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blHeader/>
          <w:jc w:val="center"/>
        </w:trPr>
        <w:tc>
          <w:tcPr>
            <w:tcW w:w="2660" w:type="dxa"/>
            <w:tcBorders>
              <w:top w:val="single" w:color="auto" w:sz="4" w:space="0"/>
              <w:left w:val="single" w:color="auto" w:sz="4" w:space="0"/>
              <w:bottom w:val="single" w:color="auto" w:sz="4" w:space="0"/>
              <w:right w:val="single" w:color="auto" w:sz="4" w:space="0"/>
            </w:tcBorders>
            <w:vAlign w:val="center"/>
          </w:tcPr>
          <w:p w14:paraId="7FDC095A">
            <w:pPr>
              <w:tabs>
                <w:tab w:val="left" w:pos="720"/>
              </w:tabs>
              <w:snapToGrid w:val="0"/>
              <w:spacing w:line="360" w:lineRule="auto"/>
              <w:jc w:val="center"/>
              <w:rPr>
                <w:b/>
                <w:color w:val="auto"/>
                <w:sz w:val="24"/>
                <w:highlight w:val="none"/>
              </w:rPr>
            </w:pPr>
            <w:r>
              <w:rPr>
                <w:rFonts w:hint="eastAsia"/>
                <w:b/>
                <w:color w:val="auto"/>
                <w:sz w:val="24"/>
                <w:highlight w:val="none"/>
              </w:rPr>
              <w:t>名称</w:t>
            </w:r>
          </w:p>
        </w:tc>
        <w:tc>
          <w:tcPr>
            <w:tcW w:w="1262" w:type="dxa"/>
            <w:tcBorders>
              <w:top w:val="single" w:color="auto" w:sz="4" w:space="0"/>
              <w:left w:val="single" w:color="auto" w:sz="4" w:space="0"/>
              <w:bottom w:val="single" w:color="auto" w:sz="4" w:space="0"/>
              <w:right w:val="single" w:color="auto" w:sz="4" w:space="0"/>
            </w:tcBorders>
            <w:vAlign w:val="center"/>
          </w:tcPr>
          <w:p w14:paraId="375FC160">
            <w:pPr>
              <w:tabs>
                <w:tab w:val="left" w:pos="720"/>
              </w:tabs>
              <w:snapToGrid w:val="0"/>
              <w:spacing w:line="360" w:lineRule="auto"/>
              <w:jc w:val="center"/>
              <w:rPr>
                <w:b/>
                <w:color w:val="auto"/>
                <w:sz w:val="24"/>
                <w:highlight w:val="none"/>
              </w:rPr>
            </w:pPr>
            <w:r>
              <w:rPr>
                <w:rFonts w:hint="eastAsia"/>
                <w:b/>
                <w:color w:val="auto"/>
                <w:sz w:val="24"/>
                <w:highlight w:val="none"/>
              </w:rPr>
              <w:t>站点数量</w:t>
            </w:r>
          </w:p>
        </w:tc>
        <w:tc>
          <w:tcPr>
            <w:tcW w:w="2675" w:type="dxa"/>
            <w:tcBorders>
              <w:top w:val="single" w:color="auto" w:sz="4" w:space="0"/>
              <w:left w:val="single" w:color="auto" w:sz="4" w:space="0"/>
              <w:bottom w:val="single" w:color="auto" w:sz="4" w:space="0"/>
              <w:right w:val="single" w:color="auto" w:sz="4" w:space="0"/>
            </w:tcBorders>
            <w:vAlign w:val="center"/>
          </w:tcPr>
          <w:p w14:paraId="6F8A4721">
            <w:pPr>
              <w:tabs>
                <w:tab w:val="left" w:pos="720"/>
              </w:tabs>
              <w:snapToGrid w:val="0"/>
              <w:spacing w:line="360" w:lineRule="auto"/>
              <w:jc w:val="center"/>
              <w:rPr>
                <w:b/>
                <w:color w:val="auto"/>
                <w:sz w:val="24"/>
                <w:highlight w:val="none"/>
              </w:rPr>
            </w:pPr>
            <w:r>
              <w:rPr>
                <w:rFonts w:hint="eastAsia"/>
                <w:b/>
                <w:color w:val="auto"/>
                <w:sz w:val="24"/>
                <w:highlight w:val="none"/>
              </w:rPr>
              <w:t>运维期限</w:t>
            </w:r>
          </w:p>
        </w:tc>
        <w:tc>
          <w:tcPr>
            <w:tcW w:w="3031" w:type="dxa"/>
            <w:tcBorders>
              <w:top w:val="single" w:color="auto" w:sz="4" w:space="0"/>
              <w:left w:val="single" w:color="auto" w:sz="4" w:space="0"/>
              <w:bottom w:val="single" w:color="auto" w:sz="4" w:space="0"/>
              <w:right w:val="single" w:color="auto" w:sz="4" w:space="0"/>
            </w:tcBorders>
            <w:vAlign w:val="center"/>
          </w:tcPr>
          <w:p w14:paraId="26D7B33A">
            <w:pPr>
              <w:tabs>
                <w:tab w:val="left" w:pos="720"/>
              </w:tabs>
              <w:snapToGrid w:val="0"/>
              <w:spacing w:line="360" w:lineRule="auto"/>
              <w:jc w:val="center"/>
              <w:rPr>
                <w:b/>
                <w:color w:val="auto"/>
                <w:sz w:val="24"/>
                <w:highlight w:val="none"/>
              </w:rPr>
            </w:pPr>
            <w:r>
              <w:rPr>
                <w:rFonts w:hint="eastAsia"/>
                <w:b/>
                <w:color w:val="auto"/>
                <w:sz w:val="24"/>
                <w:highlight w:val="none"/>
              </w:rPr>
              <w:t>运维站点名称</w:t>
            </w:r>
          </w:p>
        </w:tc>
      </w:tr>
      <w:tr w14:paraId="245C6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2660" w:type="dxa"/>
            <w:vMerge w:val="restart"/>
            <w:vAlign w:val="center"/>
          </w:tcPr>
          <w:p w14:paraId="6DE501A1">
            <w:pPr>
              <w:snapToGrid w:val="0"/>
              <w:spacing w:line="360" w:lineRule="auto"/>
              <w:jc w:val="center"/>
              <w:rPr>
                <w:color w:val="auto"/>
                <w:kern w:val="0"/>
                <w:sz w:val="24"/>
                <w:highlight w:val="none"/>
              </w:rPr>
            </w:pPr>
            <w:r>
              <w:rPr>
                <w:rFonts w:hint="eastAsia"/>
                <w:color w:val="auto"/>
                <w:kern w:val="0"/>
                <w:sz w:val="24"/>
                <w:highlight w:val="none"/>
              </w:rPr>
              <w:t>2025年高精度温室气体监测网络运维</w:t>
            </w:r>
          </w:p>
        </w:tc>
        <w:tc>
          <w:tcPr>
            <w:tcW w:w="1262" w:type="dxa"/>
            <w:vMerge w:val="restart"/>
            <w:vAlign w:val="center"/>
          </w:tcPr>
          <w:p w14:paraId="057C5E60">
            <w:pPr>
              <w:tabs>
                <w:tab w:val="left" w:pos="720"/>
              </w:tabs>
              <w:snapToGrid w:val="0"/>
              <w:spacing w:line="360" w:lineRule="auto"/>
              <w:jc w:val="center"/>
              <w:rPr>
                <w:color w:val="auto"/>
                <w:kern w:val="0"/>
                <w:sz w:val="24"/>
                <w:highlight w:val="none"/>
              </w:rPr>
            </w:pPr>
            <w:r>
              <w:rPr>
                <w:rFonts w:hint="eastAsia"/>
                <w:color w:val="auto"/>
                <w:kern w:val="0"/>
                <w:sz w:val="24"/>
                <w:highlight w:val="none"/>
              </w:rPr>
              <w:t>6</w:t>
            </w:r>
          </w:p>
        </w:tc>
        <w:tc>
          <w:tcPr>
            <w:tcW w:w="2675" w:type="dxa"/>
            <w:vMerge w:val="restart"/>
            <w:vAlign w:val="center"/>
          </w:tcPr>
          <w:p w14:paraId="0F3D371C">
            <w:pPr>
              <w:snapToGrid w:val="0"/>
              <w:spacing w:line="360" w:lineRule="auto"/>
              <w:jc w:val="center"/>
              <w:rPr>
                <w:color w:val="auto"/>
                <w:sz w:val="24"/>
                <w:highlight w:val="none"/>
              </w:rPr>
            </w:pPr>
            <w:r>
              <w:rPr>
                <w:rFonts w:hint="eastAsia"/>
                <w:bCs/>
                <w:color w:val="auto"/>
                <w:sz w:val="24"/>
                <w:highlight w:val="none"/>
              </w:rPr>
              <w:t>合同签订后5个月</w:t>
            </w:r>
          </w:p>
        </w:tc>
        <w:tc>
          <w:tcPr>
            <w:tcW w:w="3031" w:type="dxa"/>
            <w:vAlign w:val="center"/>
          </w:tcPr>
          <w:p w14:paraId="3A77E36C">
            <w:pPr>
              <w:snapToGrid w:val="0"/>
              <w:spacing w:line="360" w:lineRule="auto"/>
              <w:jc w:val="center"/>
              <w:rPr>
                <w:color w:val="auto"/>
                <w:kern w:val="0"/>
                <w:sz w:val="24"/>
                <w:highlight w:val="none"/>
              </w:rPr>
            </w:pPr>
            <w:r>
              <w:rPr>
                <w:rFonts w:hint="eastAsia"/>
                <w:color w:val="auto"/>
                <w:kern w:val="0"/>
                <w:sz w:val="24"/>
                <w:highlight w:val="none"/>
              </w:rPr>
              <w:t>景芳站</w:t>
            </w:r>
          </w:p>
        </w:tc>
      </w:tr>
      <w:tr w14:paraId="104C9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2660" w:type="dxa"/>
            <w:vMerge w:val="continue"/>
            <w:vAlign w:val="center"/>
          </w:tcPr>
          <w:p w14:paraId="08D5CB2B">
            <w:pPr>
              <w:snapToGrid w:val="0"/>
              <w:spacing w:line="360" w:lineRule="auto"/>
              <w:jc w:val="center"/>
              <w:rPr>
                <w:color w:val="auto"/>
                <w:kern w:val="0"/>
                <w:sz w:val="24"/>
                <w:highlight w:val="none"/>
              </w:rPr>
            </w:pPr>
          </w:p>
        </w:tc>
        <w:tc>
          <w:tcPr>
            <w:tcW w:w="1262" w:type="dxa"/>
            <w:vMerge w:val="continue"/>
            <w:vAlign w:val="center"/>
          </w:tcPr>
          <w:p w14:paraId="0CDFE659">
            <w:pPr>
              <w:tabs>
                <w:tab w:val="left" w:pos="720"/>
              </w:tabs>
              <w:snapToGrid w:val="0"/>
              <w:spacing w:line="360" w:lineRule="auto"/>
              <w:jc w:val="center"/>
              <w:rPr>
                <w:color w:val="auto"/>
                <w:kern w:val="0"/>
                <w:sz w:val="24"/>
                <w:highlight w:val="none"/>
              </w:rPr>
            </w:pPr>
          </w:p>
        </w:tc>
        <w:tc>
          <w:tcPr>
            <w:tcW w:w="2675" w:type="dxa"/>
            <w:vMerge w:val="continue"/>
            <w:vAlign w:val="center"/>
          </w:tcPr>
          <w:p w14:paraId="0494A0E1">
            <w:pPr>
              <w:snapToGrid w:val="0"/>
              <w:spacing w:line="360" w:lineRule="auto"/>
              <w:jc w:val="center"/>
              <w:rPr>
                <w:color w:val="auto"/>
                <w:sz w:val="24"/>
                <w:highlight w:val="none"/>
              </w:rPr>
            </w:pPr>
          </w:p>
        </w:tc>
        <w:tc>
          <w:tcPr>
            <w:tcW w:w="3031" w:type="dxa"/>
            <w:vAlign w:val="center"/>
          </w:tcPr>
          <w:p w14:paraId="54EC8239">
            <w:pPr>
              <w:snapToGrid w:val="0"/>
              <w:spacing w:line="360" w:lineRule="auto"/>
              <w:jc w:val="center"/>
              <w:rPr>
                <w:color w:val="auto"/>
                <w:kern w:val="0"/>
                <w:sz w:val="24"/>
                <w:highlight w:val="none"/>
              </w:rPr>
            </w:pPr>
            <w:r>
              <w:rPr>
                <w:rFonts w:hint="eastAsia"/>
                <w:color w:val="auto"/>
                <w:kern w:val="0"/>
                <w:sz w:val="24"/>
                <w:highlight w:val="none"/>
              </w:rPr>
              <w:t>临平工业区站</w:t>
            </w:r>
          </w:p>
        </w:tc>
      </w:tr>
      <w:tr w14:paraId="1DE23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2660" w:type="dxa"/>
            <w:vMerge w:val="continue"/>
            <w:vAlign w:val="center"/>
          </w:tcPr>
          <w:p w14:paraId="665CD32D">
            <w:pPr>
              <w:snapToGrid w:val="0"/>
              <w:spacing w:line="360" w:lineRule="auto"/>
              <w:jc w:val="center"/>
              <w:rPr>
                <w:color w:val="auto"/>
                <w:kern w:val="0"/>
                <w:sz w:val="24"/>
                <w:highlight w:val="none"/>
              </w:rPr>
            </w:pPr>
          </w:p>
        </w:tc>
        <w:tc>
          <w:tcPr>
            <w:tcW w:w="1262" w:type="dxa"/>
            <w:vMerge w:val="continue"/>
            <w:vAlign w:val="center"/>
          </w:tcPr>
          <w:p w14:paraId="121E5358">
            <w:pPr>
              <w:tabs>
                <w:tab w:val="left" w:pos="720"/>
              </w:tabs>
              <w:snapToGrid w:val="0"/>
              <w:spacing w:line="360" w:lineRule="auto"/>
              <w:jc w:val="center"/>
              <w:rPr>
                <w:color w:val="auto"/>
                <w:kern w:val="0"/>
                <w:sz w:val="24"/>
                <w:highlight w:val="none"/>
              </w:rPr>
            </w:pPr>
          </w:p>
        </w:tc>
        <w:tc>
          <w:tcPr>
            <w:tcW w:w="2675" w:type="dxa"/>
            <w:vMerge w:val="continue"/>
            <w:vAlign w:val="center"/>
          </w:tcPr>
          <w:p w14:paraId="30702352">
            <w:pPr>
              <w:snapToGrid w:val="0"/>
              <w:spacing w:line="360" w:lineRule="auto"/>
              <w:jc w:val="center"/>
              <w:rPr>
                <w:color w:val="auto"/>
                <w:sz w:val="24"/>
                <w:highlight w:val="none"/>
              </w:rPr>
            </w:pPr>
          </w:p>
        </w:tc>
        <w:tc>
          <w:tcPr>
            <w:tcW w:w="3031" w:type="dxa"/>
            <w:vAlign w:val="center"/>
          </w:tcPr>
          <w:p w14:paraId="5907DE26">
            <w:pPr>
              <w:snapToGrid w:val="0"/>
              <w:spacing w:line="360" w:lineRule="auto"/>
              <w:jc w:val="center"/>
              <w:rPr>
                <w:color w:val="auto"/>
                <w:kern w:val="0"/>
                <w:sz w:val="24"/>
                <w:highlight w:val="none"/>
              </w:rPr>
            </w:pPr>
            <w:r>
              <w:rPr>
                <w:rFonts w:hint="eastAsia"/>
                <w:color w:val="auto"/>
                <w:kern w:val="0"/>
                <w:sz w:val="24"/>
                <w:highlight w:val="none"/>
              </w:rPr>
              <w:t>大江东站</w:t>
            </w:r>
          </w:p>
        </w:tc>
      </w:tr>
      <w:tr w14:paraId="39AE7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2660" w:type="dxa"/>
            <w:vMerge w:val="continue"/>
            <w:vAlign w:val="center"/>
          </w:tcPr>
          <w:p w14:paraId="0B748326">
            <w:pPr>
              <w:snapToGrid w:val="0"/>
              <w:spacing w:line="360" w:lineRule="auto"/>
              <w:jc w:val="center"/>
              <w:rPr>
                <w:color w:val="auto"/>
                <w:kern w:val="0"/>
                <w:sz w:val="24"/>
                <w:highlight w:val="none"/>
              </w:rPr>
            </w:pPr>
          </w:p>
        </w:tc>
        <w:tc>
          <w:tcPr>
            <w:tcW w:w="1262" w:type="dxa"/>
            <w:vMerge w:val="continue"/>
            <w:vAlign w:val="center"/>
          </w:tcPr>
          <w:p w14:paraId="0FD80247">
            <w:pPr>
              <w:tabs>
                <w:tab w:val="left" w:pos="720"/>
              </w:tabs>
              <w:snapToGrid w:val="0"/>
              <w:spacing w:line="360" w:lineRule="auto"/>
              <w:jc w:val="center"/>
              <w:rPr>
                <w:color w:val="auto"/>
                <w:kern w:val="0"/>
                <w:sz w:val="24"/>
                <w:highlight w:val="none"/>
              </w:rPr>
            </w:pPr>
          </w:p>
        </w:tc>
        <w:tc>
          <w:tcPr>
            <w:tcW w:w="2675" w:type="dxa"/>
            <w:vMerge w:val="continue"/>
            <w:vAlign w:val="center"/>
          </w:tcPr>
          <w:p w14:paraId="6CDC1D7B">
            <w:pPr>
              <w:snapToGrid w:val="0"/>
              <w:spacing w:line="360" w:lineRule="auto"/>
              <w:jc w:val="center"/>
              <w:rPr>
                <w:color w:val="auto"/>
                <w:sz w:val="24"/>
                <w:highlight w:val="none"/>
              </w:rPr>
            </w:pPr>
          </w:p>
        </w:tc>
        <w:tc>
          <w:tcPr>
            <w:tcW w:w="3031" w:type="dxa"/>
            <w:vAlign w:val="center"/>
          </w:tcPr>
          <w:p w14:paraId="5363E0A8">
            <w:pPr>
              <w:snapToGrid w:val="0"/>
              <w:spacing w:line="360" w:lineRule="auto"/>
              <w:jc w:val="center"/>
              <w:rPr>
                <w:color w:val="auto"/>
                <w:kern w:val="0"/>
                <w:sz w:val="24"/>
                <w:highlight w:val="none"/>
              </w:rPr>
            </w:pPr>
            <w:r>
              <w:rPr>
                <w:rFonts w:hint="eastAsia"/>
                <w:color w:val="auto"/>
                <w:kern w:val="0"/>
                <w:sz w:val="24"/>
                <w:highlight w:val="none"/>
              </w:rPr>
              <w:t>富阳骆村站</w:t>
            </w:r>
          </w:p>
        </w:tc>
      </w:tr>
      <w:tr w14:paraId="627C8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2660" w:type="dxa"/>
            <w:vMerge w:val="continue"/>
            <w:vAlign w:val="center"/>
          </w:tcPr>
          <w:p w14:paraId="75706ADE">
            <w:pPr>
              <w:snapToGrid w:val="0"/>
              <w:spacing w:line="360" w:lineRule="auto"/>
              <w:jc w:val="center"/>
              <w:rPr>
                <w:color w:val="auto"/>
                <w:kern w:val="0"/>
                <w:sz w:val="24"/>
                <w:highlight w:val="none"/>
              </w:rPr>
            </w:pPr>
          </w:p>
        </w:tc>
        <w:tc>
          <w:tcPr>
            <w:tcW w:w="1262" w:type="dxa"/>
            <w:vMerge w:val="continue"/>
            <w:vAlign w:val="center"/>
          </w:tcPr>
          <w:p w14:paraId="74C0B610">
            <w:pPr>
              <w:tabs>
                <w:tab w:val="left" w:pos="720"/>
              </w:tabs>
              <w:snapToGrid w:val="0"/>
              <w:spacing w:line="360" w:lineRule="auto"/>
              <w:jc w:val="center"/>
              <w:rPr>
                <w:color w:val="auto"/>
                <w:kern w:val="0"/>
                <w:sz w:val="24"/>
                <w:highlight w:val="none"/>
              </w:rPr>
            </w:pPr>
          </w:p>
        </w:tc>
        <w:tc>
          <w:tcPr>
            <w:tcW w:w="2675" w:type="dxa"/>
            <w:vMerge w:val="continue"/>
            <w:vAlign w:val="center"/>
          </w:tcPr>
          <w:p w14:paraId="201587EA">
            <w:pPr>
              <w:snapToGrid w:val="0"/>
              <w:spacing w:line="360" w:lineRule="auto"/>
              <w:jc w:val="center"/>
              <w:rPr>
                <w:color w:val="auto"/>
                <w:sz w:val="24"/>
                <w:highlight w:val="none"/>
              </w:rPr>
            </w:pPr>
          </w:p>
        </w:tc>
        <w:tc>
          <w:tcPr>
            <w:tcW w:w="3031" w:type="dxa"/>
            <w:vAlign w:val="center"/>
          </w:tcPr>
          <w:p w14:paraId="750BD879">
            <w:pPr>
              <w:snapToGrid w:val="0"/>
              <w:spacing w:line="360" w:lineRule="auto"/>
              <w:jc w:val="center"/>
              <w:rPr>
                <w:color w:val="auto"/>
                <w:kern w:val="0"/>
                <w:sz w:val="24"/>
                <w:highlight w:val="none"/>
              </w:rPr>
            </w:pPr>
            <w:r>
              <w:rPr>
                <w:rFonts w:hint="eastAsia"/>
                <w:color w:val="auto"/>
                <w:kern w:val="0"/>
                <w:sz w:val="24"/>
                <w:highlight w:val="none"/>
              </w:rPr>
              <w:t>淳安燕山站</w:t>
            </w:r>
          </w:p>
        </w:tc>
      </w:tr>
      <w:tr w14:paraId="0CF6C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2660" w:type="dxa"/>
            <w:vMerge w:val="continue"/>
            <w:vAlign w:val="center"/>
          </w:tcPr>
          <w:p w14:paraId="5ECEA443">
            <w:pPr>
              <w:snapToGrid w:val="0"/>
              <w:spacing w:line="360" w:lineRule="auto"/>
              <w:jc w:val="center"/>
              <w:rPr>
                <w:color w:val="auto"/>
                <w:kern w:val="0"/>
                <w:sz w:val="24"/>
                <w:highlight w:val="none"/>
              </w:rPr>
            </w:pPr>
          </w:p>
        </w:tc>
        <w:tc>
          <w:tcPr>
            <w:tcW w:w="1262" w:type="dxa"/>
            <w:vMerge w:val="continue"/>
            <w:vAlign w:val="center"/>
          </w:tcPr>
          <w:p w14:paraId="38808119">
            <w:pPr>
              <w:tabs>
                <w:tab w:val="left" w:pos="720"/>
              </w:tabs>
              <w:snapToGrid w:val="0"/>
              <w:spacing w:line="360" w:lineRule="auto"/>
              <w:jc w:val="center"/>
              <w:rPr>
                <w:color w:val="auto"/>
                <w:kern w:val="0"/>
                <w:sz w:val="24"/>
                <w:highlight w:val="none"/>
              </w:rPr>
            </w:pPr>
          </w:p>
        </w:tc>
        <w:tc>
          <w:tcPr>
            <w:tcW w:w="2675" w:type="dxa"/>
            <w:vMerge w:val="continue"/>
            <w:vAlign w:val="center"/>
          </w:tcPr>
          <w:p w14:paraId="34E55EFE">
            <w:pPr>
              <w:snapToGrid w:val="0"/>
              <w:spacing w:line="360" w:lineRule="auto"/>
              <w:jc w:val="center"/>
              <w:rPr>
                <w:color w:val="auto"/>
                <w:sz w:val="24"/>
                <w:highlight w:val="none"/>
              </w:rPr>
            </w:pPr>
          </w:p>
        </w:tc>
        <w:tc>
          <w:tcPr>
            <w:tcW w:w="3031" w:type="dxa"/>
            <w:vAlign w:val="center"/>
          </w:tcPr>
          <w:p w14:paraId="5E7A17FA">
            <w:pPr>
              <w:snapToGrid w:val="0"/>
              <w:spacing w:line="360" w:lineRule="auto"/>
              <w:jc w:val="center"/>
              <w:rPr>
                <w:color w:val="auto"/>
                <w:kern w:val="0"/>
                <w:sz w:val="24"/>
                <w:highlight w:val="none"/>
              </w:rPr>
            </w:pPr>
            <w:r>
              <w:rPr>
                <w:rFonts w:hint="eastAsia"/>
                <w:color w:val="auto"/>
                <w:kern w:val="0"/>
                <w:sz w:val="24"/>
                <w:highlight w:val="none"/>
              </w:rPr>
              <w:t>临安大明山站</w:t>
            </w:r>
          </w:p>
        </w:tc>
      </w:tr>
    </w:tbl>
    <w:p w14:paraId="73150B29">
      <w:pPr>
        <w:spacing w:line="360" w:lineRule="auto"/>
        <w:ind w:firstLine="482" w:firstLineChars="200"/>
        <w:contextualSpacing/>
        <w:rPr>
          <w:b/>
          <w:bCs/>
          <w:color w:val="auto"/>
          <w:sz w:val="24"/>
          <w:highlight w:val="none"/>
        </w:rPr>
      </w:pPr>
    </w:p>
    <w:p w14:paraId="095A1976">
      <w:pPr>
        <w:spacing w:line="360" w:lineRule="auto"/>
        <w:ind w:firstLine="482" w:firstLineChars="200"/>
        <w:contextualSpacing/>
        <w:rPr>
          <w:b/>
          <w:bCs/>
          <w:color w:val="auto"/>
          <w:sz w:val="24"/>
          <w:highlight w:val="none"/>
        </w:rPr>
      </w:pPr>
      <w:r>
        <w:rPr>
          <w:b/>
          <w:bCs/>
          <w:color w:val="auto"/>
          <w:sz w:val="24"/>
          <w:highlight w:val="none"/>
        </w:rPr>
        <w:t>（二）站点仪器配置情况</w:t>
      </w:r>
    </w:p>
    <w:p w14:paraId="608F7731">
      <w:pPr>
        <w:spacing w:line="360" w:lineRule="auto"/>
        <w:ind w:firstLine="480" w:firstLineChars="200"/>
        <w:contextualSpacing/>
        <w:rPr>
          <w:bCs/>
          <w:color w:val="auto"/>
          <w:sz w:val="24"/>
          <w:highlight w:val="none"/>
        </w:rPr>
      </w:pPr>
      <w:r>
        <w:rPr>
          <w:bCs/>
          <w:color w:val="auto"/>
          <w:sz w:val="24"/>
          <w:highlight w:val="none"/>
        </w:rPr>
        <w:t>6个高精度温室气体监测站点各站点监测项目（仪器）主要包括Picarro G2401、Picarro G2131-i、Picarro G5310等高精度温室气体监测设备。站点仪器配置详见表1至表6。</w:t>
      </w:r>
    </w:p>
    <w:p w14:paraId="7ADC7CE5">
      <w:pPr>
        <w:spacing w:line="360" w:lineRule="auto"/>
        <w:jc w:val="center"/>
        <w:rPr>
          <w:b/>
          <w:color w:val="auto"/>
          <w:sz w:val="24"/>
          <w:highlight w:val="none"/>
        </w:rPr>
      </w:pPr>
      <w:r>
        <w:rPr>
          <w:b/>
          <w:color w:val="auto"/>
          <w:sz w:val="24"/>
          <w:highlight w:val="none"/>
        </w:rPr>
        <w:t>表1 景芳站仪器配置情况一览表</w:t>
      </w:r>
    </w:p>
    <w:tbl>
      <w:tblPr>
        <w:tblStyle w:val="62"/>
        <w:tblW w:w="8908" w:type="dxa"/>
        <w:jc w:val="center"/>
        <w:tblLayout w:type="fixed"/>
        <w:tblCellMar>
          <w:top w:w="0" w:type="dxa"/>
          <w:left w:w="108" w:type="dxa"/>
          <w:bottom w:w="0" w:type="dxa"/>
          <w:right w:w="108" w:type="dxa"/>
        </w:tblCellMar>
      </w:tblPr>
      <w:tblGrid>
        <w:gridCol w:w="604"/>
        <w:gridCol w:w="4000"/>
        <w:gridCol w:w="3039"/>
        <w:gridCol w:w="624"/>
        <w:gridCol w:w="641"/>
      </w:tblGrid>
      <w:tr w14:paraId="435CAD2B">
        <w:tblPrEx>
          <w:tblCellMar>
            <w:top w:w="0" w:type="dxa"/>
            <w:left w:w="108" w:type="dxa"/>
            <w:bottom w:w="0" w:type="dxa"/>
            <w:right w:w="108" w:type="dxa"/>
          </w:tblCellMar>
        </w:tblPrEx>
        <w:trPr>
          <w:trHeight w:val="638" w:hRule="atLeast"/>
          <w:tblHeader/>
          <w:jc w:val="center"/>
        </w:trPr>
        <w:tc>
          <w:tcPr>
            <w:tcW w:w="604" w:type="dxa"/>
            <w:tcBorders>
              <w:top w:val="single" w:color="000000" w:sz="4" w:space="0"/>
              <w:left w:val="single" w:color="000000" w:sz="4" w:space="0"/>
              <w:bottom w:val="single" w:color="000000" w:sz="4" w:space="0"/>
              <w:right w:val="single" w:color="000000" w:sz="4" w:space="0"/>
            </w:tcBorders>
            <w:noWrap/>
            <w:vAlign w:val="center"/>
          </w:tcPr>
          <w:p w14:paraId="77B0652F">
            <w:pPr>
              <w:spacing w:line="360" w:lineRule="auto"/>
              <w:jc w:val="center"/>
              <w:rPr>
                <w:color w:val="auto"/>
                <w:kern w:val="0"/>
                <w:sz w:val="24"/>
                <w:highlight w:val="none"/>
              </w:rPr>
            </w:pPr>
            <w:r>
              <w:rPr>
                <w:rFonts w:hint="eastAsia"/>
                <w:color w:val="auto"/>
                <w:kern w:val="0"/>
                <w:sz w:val="24"/>
                <w:highlight w:val="none"/>
              </w:rPr>
              <w:t>序号</w:t>
            </w:r>
          </w:p>
        </w:tc>
        <w:tc>
          <w:tcPr>
            <w:tcW w:w="4000" w:type="dxa"/>
            <w:tcBorders>
              <w:top w:val="single" w:color="000000" w:sz="4" w:space="0"/>
              <w:left w:val="single" w:color="000000" w:sz="4" w:space="0"/>
              <w:bottom w:val="single" w:color="000000" w:sz="4" w:space="0"/>
              <w:right w:val="single" w:color="000000" w:sz="4" w:space="0"/>
            </w:tcBorders>
            <w:noWrap/>
            <w:vAlign w:val="center"/>
          </w:tcPr>
          <w:p w14:paraId="4526AFFD">
            <w:pPr>
              <w:spacing w:line="360" w:lineRule="auto"/>
              <w:jc w:val="center"/>
              <w:rPr>
                <w:color w:val="auto"/>
                <w:kern w:val="0"/>
                <w:sz w:val="24"/>
                <w:highlight w:val="none"/>
              </w:rPr>
            </w:pPr>
            <w:r>
              <w:rPr>
                <w:rFonts w:hint="eastAsia"/>
                <w:color w:val="auto"/>
                <w:kern w:val="0"/>
                <w:sz w:val="24"/>
                <w:highlight w:val="none"/>
              </w:rPr>
              <w:t>设备名称</w:t>
            </w:r>
          </w:p>
        </w:tc>
        <w:tc>
          <w:tcPr>
            <w:tcW w:w="3039" w:type="dxa"/>
            <w:tcBorders>
              <w:top w:val="single" w:color="000000" w:sz="4" w:space="0"/>
              <w:left w:val="single" w:color="000000" w:sz="4" w:space="0"/>
              <w:bottom w:val="single" w:color="000000" w:sz="4" w:space="0"/>
              <w:right w:val="single" w:color="000000" w:sz="4" w:space="0"/>
            </w:tcBorders>
            <w:noWrap/>
            <w:vAlign w:val="center"/>
          </w:tcPr>
          <w:p w14:paraId="783A56BF">
            <w:pPr>
              <w:spacing w:line="360" w:lineRule="auto"/>
              <w:jc w:val="center"/>
              <w:rPr>
                <w:color w:val="auto"/>
                <w:kern w:val="0"/>
                <w:sz w:val="24"/>
                <w:highlight w:val="none"/>
              </w:rPr>
            </w:pPr>
            <w:r>
              <w:rPr>
                <w:rFonts w:hint="eastAsia"/>
                <w:color w:val="auto"/>
                <w:kern w:val="0"/>
                <w:sz w:val="24"/>
                <w:highlight w:val="none"/>
              </w:rPr>
              <w:t>品牌型号</w:t>
            </w:r>
          </w:p>
        </w:tc>
        <w:tc>
          <w:tcPr>
            <w:tcW w:w="624" w:type="dxa"/>
            <w:tcBorders>
              <w:top w:val="single" w:color="000000" w:sz="4" w:space="0"/>
              <w:left w:val="single" w:color="000000" w:sz="4" w:space="0"/>
              <w:bottom w:val="single" w:color="000000" w:sz="4" w:space="0"/>
              <w:right w:val="single" w:color="000000" w:sz="4" w:space="0"/>
            </w:tcBorders>
            <w:noWrap/>
            <w:vAlign w:val="center"/>
          </w:tcPr>
          <w:p w14:paraId="711ED56B">
            <w:pPr>
              <w:spacing w:line="360" w:lineRule="auto"/>
              <w:jc w:val="center"/>
              <w:rPr>
                <w:color w:val="auto"/>
                <w:kern w:val="0"/>
                <w:sz w:val="24"/>
                <w:highlight w:val="none"/>
              </w:rPr>
            </w:pPr>
            <w:r>
              <w:rPr>
                <w:rFonts w:hint="eastAsia"/>
                <w:color w:val="auto"/>
                <w:kern w:val="0"/>
                <w:sz w:val="24"/>
                <w:highlight w:val="none"/>
              </w:rPr>
              <w:t>数量</w:t>
            </w:r>
          </w:p>
        </w:tc>
        <w:tc>
          <w:tcPr>
            <w:tcW w:w="641" w:type="dxa"/>
            <w:tcBorders>
              <w:top w:val="single" w:color="000000" w:sz="4" w:space="0"/>
              <w:left w:val="single" w:color="000000" w:sz="4" w:space="0"/>
              <w:bottom w:val="single" w:color="000000" w:sz="4" w:space="0"/>
              <w:right w:val="single" w:color="000000" w:sz="4" w:space="0"/>
            </w:tcBorders>
            <w:noWrap/>
            <w:vAlign w:val="center"/>
          </w:tcPr>
          <w:p w14:paraId="46EE69C6">
            <w:pPr>
              <w:spacing w:line="360" w:lineRule="auto"/>
              <w:jc w:val="center"/>
              <w:rPr>
                <w:color w:val="auto"/>
                <w:kern w:val="0"/>
                <w:sz w:val="24"/>
                <w:highlight w:val="none"/>
              </w:rPr>
            </w:pPr>
            <w:r>
              <w:rPr>
                <w:rFonts w:hint="eastAsia"/>
                <w:color w:val="auto"/>
                <w:kern w:val="0"/>
                <w:sz w:val="24"/>
                <w:highlight w:val="none"/>
              </w:rPr>
              <w:t>单位</w:t>
            </w:r>
          </w:p>
        </w:tc>
      </w:tr>
      <w:tr w14:paraId="2193AA60">
        <w:tblPrEx>
          <w:tblCellMar>
            <w:top w:w="0" w:type="dxa"/>
            <w:left w:w="108" w:type="dxa"/>
            <w:bottom w:w="0" w:type="dxa"/>
            <w:right w:w="108" w:type="dxa"/>
          </w:tblCellMar>
        </w:tblPrEx>
        <w:trPr>
          <w:trHeight w:val="567" w:hRule="atLeast"/>
          <w:jc w:val="center"/>
        </w:trPr>
        <w:tc>
          <w:tcPr>
            <w:tcW w:w="604" w:type="dxa"/>
            <w:tcBorders>
              <w:top w:val="single" w:color="000000" w:sz="4" w:space="0"/>
              <w:left w:val="single" w:color="000000" w:sz="4" w:space="0"/>
              <w:bottom w:val="single" w:color="000000" w:sz="4" w:space="0"/>
              <w:right w:val="single" w:color="000000" w:sz="4" w:space="0"/>
            </w:tcBorders>
            <w:noWrap/>
            <w:vAlign w:val="center"/>
          </w:tcPr>
          <w:p w14:paraId="556C1519">
            <w:pPr>
              <w:spacing w:line="360" w:lineRule="auto"/>
              <w:jc w:val="center"/>
              <w:rPr>
                <w:color w:val="auto"/>
                <w:kern w:val="0"/>
                <w:sz w:val="24"/>
                <w:highlight w:val="none"/>
              </w:rPr>
            </w:pPr>
            <w:r>
              <w:rPr>
                <w:rFonts w:hint="eastAsia"/>
                <w:color w:val="auto"/>
                <w:kern w:val="0"/>
                <w:sz w:val="24"/>
                <w:highlight w:val="none"/>
              </w:rPr>
              <w:t>1</w:t>
            </w:r>
          </w:p>
        </w:tc>
        <w:tc>
          <w:tcPr>
            <w:tcW w:w="4000" w:type="dxa"/>
            <w:tcBorders>
              <w:top w:val="single" w:color="000000" w:sz="4" w:space="0"/>
              <w:left w:val="single" w:color="000000" w:sz="4" w:space="0"/>
              <w:bottom w:val="single" w:color="000000" w:sz="4" w:space="0"/>
              <w:right w:val="single" w:color="000000" w:sz="4" w:space="0"/>
            </w:tcBorders>
            <w:noWrap/>
            <w:vAlign w:val="center"/>
          </w:tcPr>
          <w:p w14:paraId="2E724F0D">
            <w:pPr>
              <w:spacing w:line="360" w:lineRule="auto"/>
              <w:jc w:val="center"/>
              <w:rPr>
                <w:color w:val="auto"/>
                <w:kern w:val="0"/>
                <w:sz w:val="24"/>
                <w:highlight w:val="none"/>
              </w:rPr>
            </w:pPr>
            <w:r>
              <w:rPr>
                <w:rFonts w:hint="eastAsia"/>
                <w:color w:val="auto"/>
                <w:kern w:val="0"/>
                <w:sz w:val="24"/>
                <w:highlight w:val="none"/>
              </w:rPr>
              <w:t>高精度N</w:t>
            </w:r>
            <w:r>
              <w:rPr>
                <w:rFonts w:hint="eastAsia"/>
                <w:color w:val="auto"/>
                <w:kern w:val="0"/>
                <w:sz w:val="24"/>
                <w:highlight w:val="none"/>
                <w:vertAlign w:val="subscript"/>
              </w:rPr>
              <w:t>2</w:t>
            </w:r>
            <w:r>
              <w:rPr>
                <w:rFonts w:hint="eastAsia"/>
                <w:color w:val="auto"/>
                <w:kern w:val="0"/>
                <w:sz w:val="24"/>
                <w:highlight w:val="none"/>
              </w:rPr>
              <w:t>O、CO温室气体分析仪</w:t>
            </w:r>
          </w:p>
        </w:tc>
        <w:tc>
          <w:tcPr>
            <w:tcW w:w="3039" w:type="dxa"/>
            <w:tcBorders>
              <w:top w:val="single" w:color="000000" w:sz="4" w:space="0"/>
              <w:left w:val="single" w:color="000000" w:sz="4" w:space="0"/>
              <w:bottom w:val="single" w:color="000000" w:sz="4" w:space="0"/>
              <w:right w:val="single" w:color="000000" w:sz="4" w:space="0"/>
            </w:tcBorders>
            <w:noWrap/>
            <w:vAlign w:val="center"/>
          </w:tcPr>
          <w:p w14:paraId="724F7FEF">
            <w:pPr>
              <w:spacing w:line="360" w:lineRule="auto"/>
              <w:jc w:val="center"/>
              <w:rPr>
                <w:color w:val="auto"/>
                <w:kern w:val="0"/>
                <w:sz w:val="24"/>
                <w:highlight w:val="none"/>
              </w:rPr>
            </w:pPr>
            <w:r>
              <w:rPr>
                <w:rFonts w:hint="eastAsia"/>
                <w:color w:val="auto"/>
                <w:kern w:val="0"/>
                <w:sz w:val="24"/>
                <w:highlight w:val="none"/>
              </w:rPr>
              <w:t>PICARRO G5310</w:t>
            </w:r>
          </w:p>
        </w:tc>
        <w:tc>
          <w:tcPr>
            <w:tcW w:w="624" w:type="dxa"/>
            <w:tcBorders>
              <w:top w:val="single" w:color="000000" w:sz="4" w:space="0"/>
              <w:left w:val="single" w:color="000000" w:sz="4" w:space="0"/>
              <w:bottom w:val="single" w:color="000000" w:sz="4" w:space="0"/>
              <w:right w:val="single" w:color="000000" w:sz="4" w:space="0"/>
            </w:tcBorders>
            <w:noWrap/>
            <w:vAlign w:val="center"/>
          </w:tcPr>
          <w:p w14:paraId="6EEBE856">
            <w:pPr>
              <w:spacing w:line="360" w:lineRule="auto"/>
              <w:jc w:val="center"/>
              <w:rPr>
                <w:color w:val="auto"/>
                <w:kern w:val="0"/>
                <w:sz w:val="24"/>
                <w:highlight w:val="none"/>
              </w:rPr>
            </w:pPr>
            <w:r>
              <w:rPr>
                <w:rFonts w:hint="eastAsia"/>
                <w:color w:val="auto"/>
                <w:kern w:val="0"/>
                <w:sz w:val="24"/>
                <w:highlight w:val="none"/>
              </w:rPr>
              <w:t>1</w:t>
            </w:r>
          </w:p>
        </w:tc>
        <w:tc>
          <w:tcPr>
            <w:tcW w:w="641" w:type="dxa"/>
            <w:tcBorders>
              <w:top w:val="single" w:color="000000" w:sz="4" w:space="0"/>
              <w:left w:val="single" w:color="000000" w:sz="4" w:space="0"/>
              <w:bottom w:val="single" w:color="000000" w:sz="4" w:space="0"/>
              <w:right w:val="single" w:color="000000" w:sz="4" w:space="0"/>
            </w:tcBorders>
            <w:noWrap/>
            <w:vAlign w:val="center"/>
          </w:tcPr>
          <w:p w14:paraId="6B3D1676">
            <w:pPr>
              <w:spacing w:line="360" w:lineRule="auto"/>
              <w:jc w:val="center"/>
              <w:rPr>
                <w:color w:val="auto"/>
                <w:kern w:val="0"/>
                <w:sz w:val="24"/>
                <w:highlight w:val="none"/>
              </w:rPr>
            </w:pPr>
            <w:r>
              <w:rPr>
                <w:rFonts w:hint="eastAsia"/>
                <w:color w:val="auto"/>
                <w:kern w:val="0"/>
                <w:sz w:val="24"/>
                <w:highlight w:val="none"/>
              </w:rPr>
              <w:t>台</w:t>
            </w:r>
          </w:p>
        </w:tc>
      </w:tr>
      <w:tr w14:paraId="2BB2CC5A">
        <w:tblPrEx>
          <w:tblCellMar>
            <w:top w:w="0" w:type="dxa"/>
            <w:left w:w="108" w:type="dxa"/>
            <w:bottom w:w="0" w:type="dxa"/>
            <w:right w:w="108" w:type="dxa"/>
          </w:tblCellMar>
        </w:tblPrEx>
        <w:trPr>
          <w:trHeight w:val="567" w:hRule="atLeast"/>
          <w:jc w:val="center"/>
        </w:trPr>
        <w:tc>
          <w:tcPr>
            <w:tcW w:w="604" w:type="dxa"/>
            <w:tcBorders>
              <w:top w:val="single" w:color="000000" w:sz="4" w:space="0"/>
              <w:left w:val="single" w:color="000000" w:sz="4" w:space="0"/>
              <w:bottom w:val="single" w:color="000000" w:sz="4" w:space="0"/>
              <w:right w:val="single" w:color="000000" w:sz="4" w:space="0"/>
            </w:tcBorders>
            <w:noWrap/>
            <w:vAlign w:val="center"/>
          </w:tcPr>
          <w:p w14:paraId="38FBE1F1">
            <w:pPr>
              <w:spacing w:line="360" w:lineRule="auto"/>
              <w:jc w:val="center"/>
              <w:rPr>
                <w:color w:val="auto"/>
                <w:kern w:val="0"/>
                <w:sz w:val="24"/>
                <w:highlight w:val="none"/>
              </w:rPr>
            </w:pPr>
            <w:r>
              <w:rPr>
                <w:rFonts w:hint="eastAsia"/>
                <w:color w:val="auto"/>
                <w:kern w:val="0"/>
                <w:sz w:val="24"/>
                <w:highlight w:val="none"/>
              </w:rPr>
              <w:t>2</w:t>
            </w:r>
          </w:p>
        </w:tc>
        <w:tc>
          <w:tcPr>
            <w:tcW w:w="4000" w:type="dxa"/>
            <w:tcBorders>
              <w:top w:val="single" w:color="000000" w:sz="4" w:space="0"/>
              <w:left w:val="single" w:color="000000" w:sz="4" w:space="0"/>
              <w:bottom w:val="single" w:color="000000" w:sz="4" w:space="0"/>
              <w:right w:val="single" w:color="000000" w:sz="4" w:space="0"/>
            </w:tcBorders>
            <w:noWrap/>
            <w:vAlign w:val="center"/>
          </w:tcPr>
          <w:p w14:paraId="3217B5D1">
            <w:pPr>
              <w:spacing w:line="360" w:lineRule="auto"/>
              <w:jc w:val="center"/>
              <w:rPr>
                <w:color w:val="auto"/>
                <w:kern w:val="0"/>
                <w:sz w:val="24"/>
                <w:highlight w:val="none"/>
              </w:rPr>
            </w:pPr>
            <w:r>
              <w:rPr>
                <w:rFonts w:hint="eastAsia"/>
                <w:color w:val="auto"/>
                <w:kern w:val="0"/>
                <w:sz w:val="24"/>
                <w:highlight w:val="none"/>
              </w:rPr>
              <w:t>高精度CO</w:t>
            </w:r>
            <w:r>
              <w:rPr>
                <w:rFonts w:hint="eastAsia"/>
                <w:color w:val="auto"/>
                <w:kern w:val="0"/>
                <w:sz w:val="24"/>
                <w:highlight w:val="none"/>
                <w:vertAlign w:val="subscript"/>
              </w:rPr>
              <w:t>2</w:t>
            </w:r>
            <w:r>
              <w:rPr>
                <w:rFonts w:hint="eastAsia"/>
                <w:color w:val="auto"/>
                <w:kern w:val="0"/>
                <w:sz w:val="24"/>
                <w:highlight w:val="none"/>
              </w:rPr>
              <w:t>、CH</w:t>
            </w:r>
            <w:r>
              <w:rPr>
                <w:rFonts w:hint="eastAsia"/>
                <w:color w:val="auto"/>
                <w:kern w:val="0"/>
                <w:sz w:val="24"/>
                <w:highlight w:val="none"/>
                <w:vertAlign w:val="subscript"/>
              </w:rPr>
              <w:t>4</w:t>
            </w:r>
            <w:r>
              <w:rPr>
                <w:rFonts w:hint="eastAsia"/>
                <w:color w:val="auto"/>
                <w:kern w:val="0"/>
                <w:sz w:val="24"/>
                <w:highlight w:val="none"/>
              </w:rPr>
              <w:t>、</w:t>
            </w:r>
            <w:r>
              <w:rPr>
                <w:rFonts w:hint="eastAsia"/>
                <w:color w:val="auto"/>
                <w:kern w:val="0"/>
                <w:sz w:val="24"/>
                <w:highlight w:val="none"/>
                <w:vertAlign w:val="superscript"/>
              </w:rPr>
              <w:t>13</w:t>
            </w:r>
            <w:r>
              <w:rPr>
                <w:rFonts w:hint="eastAsia"/>
                <w:color w:val="auto"/>
                <w:kern w:val="0"/>
                <w:sz w:val="24"/>
                <w:highlight w:val="none"/>
              </w:rPr>
              <w:t>CO</w:t>
            </w:r>
            <w:r>
              <w:rPr>
                <w:rFonts w:hint="eastAsia"/>
                <w:color w:val="auto"/>
                <w:kern w:val="0"/>
                <w:sz w:val="24"/>
                <w:highlight w:val="none"/>
                <w:vertAlign w:val="subscript"/>
              </w:rPr>
              <w:t>2</w:t>
            </w:r>
            <w:r>
              <w:rPr>
                <w:rFonts w:hint="eastAsia"/>
                <w:color w:val="auto"/>
                <w:kern w:val="0"/>
                <w:sz w:val="24"/>
                <w:highlight w:val="none"/>
              </w:rPr>
              <w:t>温室气体同位素分析仪</w:t>
            </w:r>
          </w:p>
        </w:tc>
        <w:tc>
          <w:tcPr>
            <w:tcW w:w="3039" w:type="dxa"/>
            <w:tcBorders>
              <w:top w:val="single" w:color="000000" w:sz="4" w:space="0"/>
              <w:left w:val="single" w:color="000000" w:sz="4" w:space="0"/>
              <w:bottom w:val="single" w:color="000000" w:sz="4" w:space="0"/>
              <w:right w:val="single" w:color="000000" w:sz="4" w:space="0"/>
            </w:tcBorders>
            <w:noWrap/>
            <w:vAlign w:val="center"/>
          </w:tcPr>
          <w:p w14:paraId="52A6CF8B">
            <w:pPr>
              <w:spacing w:line="360" w:lineRule="auto"/>
              <w:jc w:val="center"/>
              <w:rPr>
                <w:color w:val="auto"/>
                <w:kern w:val="0"/>
                <w:sz w:val="24"/>
                <w:highlight w:val="none"/>
              </w:rPr>
            </w:pPr>
            <w:r>
              <w:rPr>
                <w:rFonts w:hint="eastAsia"/>
                <w:color w:val="auto"/>
                <w:kern w:val="0"/>
                <w:sz w:val="24"/>
                <w:highlight w:val="none"/>
              </w:rPr>
              <w:t>PICARRO G2131-i</w:t>
            </w:r>
          </w:p>
        </w:tc>
        <w:tc>
          <w:tcPr>
            <w:tcW w:w="624" w:type="dxa"/>
            <w:tcBorders>
              <w:top w:val="single" w:color="000000" w:sz="4" w:space="0"/>
              <w:left w:val="single" w:color="000000" w:sz="4" w:space="0"/>
              <w:bottom w:val="single" w:color="000000" w:sz="4" w:space="0"/>
              <w:right w:val="single" w:color="000000" w:sz="4" w:space="0"/>
            </w:tcBorders>
            <w:noWrap/>
            <w:vAlign w:val="center"/>
          </w:tcPr>
          <w:p w14:paraId="6474DF4F">
            <w:pPr>
              <w:spacing w:line="360" w:lineRule="auto"/>
              <w:jc w:val="center"/>
              <w:rPr>
                <w:color w:val="auto"/>
                <w:kern w:val="0"/>
                <w:sz w:val="24"/>
                <w:highlight w:val="none"/>
              </w:rPr>
            </w:pPr>
            <w:r>
              <w:rPr>
                <w:rFonts w:hint="eastAsia"/>
                <w:color w:val="auto"/>
                <w:kern w:val="0"/>
                <w:sz w:val="24"/>
                <w:highlight w:val="none"/>
              </w:rPr>
              <w:t>1</w:t>
            </w:r>
          </w:p>
        </w:tc>
        <w:tc>
          <w:tcPr>
            <w:tcW w:w="641" w:type="dxa"/>
            <w:tcBorders>
              <w:top w:val="single" w:color="000000" w:sz="4" w:space="0"/>
              <w:left w:val="single" w:color="000000" w:sz="4" w:space="0"/>
              <w:bottom w:val="single" w:color="000000" w:sz="4" w:space="0"/>
              <w:right w:val="single" w:color="000000" w:sz="4" w:space="0"/>
            </w:tcBorders>
            <w:noWrap/>
            <w:vAlign w:val="center"/>
          </w:tcPr>
          <w:p w14:paraId="72A7D567">
            <w:pPr>
              <w:spacing w:line="360" w:lineRule="auto"/>
              <w:jc w:val="center"/>
              <w:rPr>
                <w:color w:val="auto"/>
                <w:kern w:val="0"/>
                <w:sz w:val="24"/>
                <w:highlight w:val="none"/>
              </w:rPr>
            </w:pPr>
            <w:r>
              <w:rPr>
                <w:rFonts w:hint="eastAsia"/>
                <w:color w:val="auto"/>
                <w:kern w:val="0"/>
                <w:sz w:val="24"/>
                <w:highlight w:val="none"/>
              </w:rPr>
              <w:t>台</w:t>
            </w:r>
          </w:p>
        </w:tc>
      </w:tr>
      <w:tr w14:paraId="799354C7">
        <w:tblPrEx>
          <w:tblCellMar>
            <w:top w:w="0" w:type="dxa"/>
            <w:left w:w="108" w:type="dxa"/>
            <w:bottom w:w="0" w:type="dxa"/>
            <w:right w:w="108" w:type="dxa"/>
          </w:tblCellMar>
        </w:tblPrEx>
        <w:trPr>
          <w:trHeight w:val="567" w:hRule="atLeast"/>
          <w:jc w:val="center"/>
        </w:trPr>
        <w:tc>
          <w:tcPr>
            <w:tcW w:w="604" w:type="dxa"/>
            <w:tcBorders>
              <w:top w:val="single" w:color="000000" w:sz="4" w:space="0"/>
              <w:left w:val="single" w:color="000000" w:sz="4" w:space="0"/>
              <w:bottom w:val="single" w:color="000000" w:sz="4" w:space="0"/>
              <w:right w:val="single" w:color="000000" w:sz="4" w:space="0"/>
            </w:tcBorders>
            <w:noWrap/>
            <w:vAlign w:val="center"/>
          </w:tcPr>
          <w:p w14:paraId="05565CF5">
            <w:pPr>
              <w:spacing w:line="360" w:lineRule="auto"/>
              <w:jc w:val="center"/>
              <w:rPr>
                <w:color w:val="auto"/>
                <w:kern w:val="0"/>
                <w:sz w:val="24"/>
                <w:highlight w:val="none"/>
              </w:rPr>
            </w:pPr>
            <w:r>
              <w:rPr>
                <w:rFonts w:hint="eastAsia"/>
                <w:color w:val="auto"/>
                <w:kern w:val="0"/>
                <w:sz w:val="24"/>
                <w:highlight w:val="none"/>
              </w:rPr>
              <w:t>3</w:t>
            </w:r>
          </w:p>
        </w:tc>
        <w:tc>
          <w:tcPr>
            <w:tcW w:w="4000" w:type="dxa"/>
            <w:tcBorders>
              <w:top w:val="single" w:color="000000" w:sz="4" w:space="0"/>
              <w:left w:val="single" w:color="000000" w:sz="4" w:space="0"/>
              <w:bottom w:val="single" w:color="000000" w:sz="4" w:space="0"/>
              <w:right w:val="single" w:color="000000" w:sz="4" w:space="0"/>
            </w:tcBorders>
            <w:noWrap/>
            <w:vAlign w:val="center"/>
          </w:tcPr>
          <w:p w14:paraId="5D38E8B0">
            <w:pPr>
              <w:spacing w:line="360" w:lineRule="auto"/>
              <w:jc w:val="center"/>
              <w:rPr>
                <w:color w:val="auto"/>
                <w:kern w:val="0"/>
                <w:sz w:val="24"/>
                <w:highlight w:val="none"/>
              </w:rPr>
            </w:pPr>
            <w:r>
              <w:rPr>
                <w:rFonts w:hint="eastAsia"/>
                <w:color w:val="auto"/>
                <w:kern w:val="0"/>
                <w:sz w:val="24"/>
                <w:highlight w:val="none"/>
              </w:rPr>
              <w:t>进样阀箱</w:t>
            </w:r>
          </w:p>
        </w:tc>
        <w:tc>
          <w:tcPr>
            <w:tcW w:w="3039" w:type="dxa"/>
            <w:tcBorders>
              <w:top w:val="single" w:color="000000" w:sz="4" w:space="0"/>
              <w:left w:val="single" w:color="000000" w:sz="4" w:space="0"/>
              <w:bottom w:val="single" w:color="000000" w:sz="4" w:space="0"/>
              <w:right w:val="single" w:color="000000" w:sz="4" w:space="0"/>
            </w:tcBorders>
            <w:noWrap/>
            <w:vAlign w:val="center"/>
          </w:tcPr>
          <w:p w14:paraId="6B437EED">
            <w:pPr>
              <w:spacing w:line="360" w:lineRule="auto"/>
              <w:jc w:val="center"/>
              <w:rPr>
                <w:color w:val="auto"/>
                <w:kern w:val="0"/>
                <w:sz w:val="24"/>
                <w:highlight w:val="none"/>
              </w:rPr>
            </w:pPr>
            <w:r>
              <w:rPr>
                <w:rFonts w:hint="eastAsia"/>
                <w:color w:val="auto"/>
                <w:kern w:val="0"/>
                <w:sz w:val="24"/>
                <w:highlight w:val="none"/>
              </w:rPr>
              <w:t>世纪朝阳 定制</w:t>
            </w:r>
          </w:p>
        </w:tc>
        <w:tc>
          <w:tcPr>
            <w:tcW w:w="624" w:type="dxa"/>
            <w:tcBorders>
              <w:top w:val="single" w:color="000000" w:sz="4" w:space="0"/>
              <w:left w:val="single" w:color="000000" w:sz="4" w:space="0"/>
              <w:bottom w:val="single" w:color="000000" w:sz="4" w:space="0"/>
              <w:right w:val="single" w:color="000000" w:sz="4" w:space="0"/>
            </w:tcBorders>
            <w:noWrap/>
            <w:vAlign w:val="center"/>
          </w:tcPr>
          <w:p w14:paraId="176945E2">
            <w:pPr>
              <w:spacing w:line="360" w:lineRule="auto"/>
              <w:jc w:val="center"/>
              <w:rPr>
                <w:color w:val="auto"/>
                <w:kern w:val="0"/>
                <w:sz w:val="24"/>
                <w:highlight w:val="none"/>
              </w:rPr>
            </w:pPr>
            <w:r>
              <w:rPr>
                <w:rFonts w:hint="eastAsia"/>
                <w:color w:val="auto"/>
                <w:kern w:val="0"/>
                <w:sz w:val="24"/>
                <w:highlight w:val="none"/>
              </w:rPr>
              <w:t>1</w:t>
            </w:r>
          </w:p>
        </w:tc>
        <w:tc>
          <w:tcPr>
            <w:tcW w:w="641" w:type="dxa"/>
            <w:tcBorders>
              <w:top w:val="single" w:color="000000" w:sz="4" w:space="0"/>
              <w:left w:val="single" w:color="000000" w:sz="4" w:space="0"/>
              <w:bottom w:val="single" w:color="000000" w:sz="4" w:space="0"/>
              <w:right w:val="single" w:color="000000" w:sz="4" w:space="0"/>
            </w:tcBorders>
            <w:noWrap/>
            <w:vAlign w:val="center"/>
          </w:tcPr>
          <w:p w14:paraId="3CAAA546">
            <w:pPr>
              <w:spacing w:line="360" w:lineRule="auto"/>
              <w:jc w:val="center"/>
              <w:rPr>
                <w:color w:val="auto"/>
                <w:kern w:val="0"/>
                <w:sz w:val="24"/>
                <w:highlight w:val="none"/>
              </w:rPr>
            </w:pPr>
            <w:r>
              <w:rPr>
                <w:rFonts w:hint="eastAsia"/>
                <w:color w:val="auto"/>
                <w:kern w:val="0"/>
                <w:sz w:val="24"/>
                <w:highlight w:val="none"/>
              </w:rPr>
              <w:t>台</w:t>
            </w:r>
          </w:p>
        </w:tc>
      </w:tr>
      <w:tr w14:paraId="0EF05827">
        <w:tblPrEx>
          <w:tblCellMar>
            <w:top w:w="0" w:type="dxa"/>
            <w:left w:w="108" w:type="dxa"/>
            <w:bottom w:w="0" w:type="dxa"/>
            <w:right w:w="108" w:type="dxa"/>
          </w:tblCellMar>
        </w:tblPrEx>
        <w:trPr>
          <w:trHeight w:val="567" w:hRule="atLeast"/>
          <w:jc w:val="center"/>
        </w:trPr>
        <w:tc>
          <w:tcPr>
            <w:tcW w:w="604" w:type="dxa"/>
            <w:tcBorders>
              <w:top w:val="single" w:color="000000" w:sz="4" w:space="0"/>
              <w:left w:val="single" w:color="000000" w:sz="4" w:space="0"/>
              <w:bottom w:val="single" w:color="000000" w:sz="4" w:space="0"/>
              <w:right w:val="single" w:color="000000" w:sz="4" w:space="0"/>
            </w:tcBorders>
            <w:noWrap/>
            <w:vAlign w:val="center"/>
          </w:tcPr>
          <w:p w14:paraId="24285B25">
            <w:pPr>
              <w:spacing w:line="360" w:lineRule="auto"/>
              <w:jc w:val="center"/>
              <w:rPr>
                <w:color w:val="auto"/>
                <w:kern w:val="0"/>
                <w:sz w:val="24"/>
                <w:highlight w:val="none"/>
              </w:rPr>
            </w:pPr>
            <w:r>
              <w:rPr>
                <w:rFonts w:hint="eastAsia"/>
                <w:color w:val="auto"/>
                <w:kern w:val="0"/>
                <w:sz w:val="24"/>
                <w:highlight w:val="none"/>
              </w:rPr>
              <w:t>4</w:t>
            </w:r>
          </w:p>
        </w:tc>
        <w:tc>
          <w:tcPr>
            <w:tcW w:w="4000" w:type="dxa"/>
            <w:tcBorders>
              <w:top w:val="single" w:color="000000" w:sz="4" w:space="0"/>
              <w:left w:val="single" w:color="000000" w:sz="4" w:space="0"/>
              <w:bottom w:val="single" w:color="000000" w:sz="4" w:space="0"/>
              <w:right w:val="single" w:color="000000" w:sz="4" w:space="0"/>
            </w:tcBorders>
            <w:noWrap/>
            <w:vAlign w:val="center"/>
          </w:tcPr>
          <w:p w14:paraId="3B3D4FDE">
            <w:pPr>
              <w:spacing w:line="360" w:lineRule="auto"/>
              <w:jc w:val="center"/>
              <w:rPr>
                <w:color w:val="auto"/>
                <w:kern w:val="0"/>
                <w:sz w:val="24"/>
                <w:highlight w:val="none"/>
              </w:rPr>
            </w:pPr>
            <w:r>
              <w:rPr>
                <w:rFonts w:hint="eastAsia"/>
                <w:color w:val="auto"/>
                <w:kern w:val="0"/>
                <w:sz w:val="24"/>
                <w:highlight w:val="none"/>
              </w:rPr>
              <w:t>超低温冷阱</w:t>
            </w:r>
          </w:p>
        </w:tc>
        <w:tc>
          <w:tcPr>
            <w:tcW w:w="3039" w:type="dxa"/>
            <w:tcBorders>
              <w:top w:val="single" w:color="000000" w:sz="4" w:space="0"/>
              <w:left w:val="single" w:color="000000" w:sz="4" w:space="0"/>
              <w:bottom w:val="single" w:color="000000" w:sz="4" w:space="0"/>
              <w:right w:val="single" w:color="000000" w:sz="4" w:space="0"/>
            </w:tcBorders>
            <w:noWrap/>
            <w:vAlign w:val="center"/>
          </w:tcPr>
          <w:p w14:paraId="3A2DBEAE">
            <w:pPr>
              <w:spacing w:line="360" w:lineRule="auto"/>
              <w:jc w:val="center"/>
              <w:rPr>
                <w:color w:val="auto"/>
                <w:kern w:val="0"/>
                <w:sz w:val="24"/>
                <w:highlight w:val="none"/>
              </w:rPr>
            </w:pPr>
            <w:r>
              <w:rPr>
                <w:rFonts w:hint="eastAsia"/>
                <w:color w:val="auto"/>
                <w:kern w:val="0"/>
                <w:sz w:val="24"/>
                <w:highlight w:val="none"/>
              </w:rPr>
              <w:t>世纪朝阳 CS-8000</w:t>
            </w:r>
          </w:p>
        </w:tc>
        <w:tc>
          <w:tcPr>
            <w:tcW w:w="624" w:type="dxa"/>
            <w:tcBorders>
              <w:top w:val="single" w:color="000000" w:sz="4" w:space="0"/>
              <w:left w:val="single" w:color="000000" w:sz="4" w:space="0"/>
              <w:bottom w:val="single" w:color="000000" w:sz="4" w:space="0"/>
              <w:right w:val="single" w:color="000000" w:sz="4" w:space="0"/>
            </w:tcBorders>
            <w:noWrap/>
            <w:vAlign w:val="center"/>
          </w:tcPr>
          <w:p w14:paraId="07F8FA8C">
            <w:pPr>
              <w:spacing w:line="360" w:lineRule="auto"/>
              <w:jc w:val="center"/>
              <w:rPr>
                <w:color w:val="auto"/>
                <w:kern w:val="0"/>
                <w:sz w:val="24"/>
                <w:highlight w:val="none"/>
              </w:rPr>
            </w:pPr>
            <w:r>
              <w:rPr>
                <w:rFonts w:hint="eastAsia"/>
                <w:color w:val="auto"/>
                <w:kern w:val="0"/>
                <w:sz w:val="24"/>
                <w:highlight w:val="none"/>
              </w:rPr>
              <w:t>1</w:t>
            </w:r>
          </w:p>
        </w:tc>
        <w:tc>
          <w:tcPr>
            <w:tcW w:w="641" w:type="dxa"/>
            <w:tcBorders>
              <w:top w:val="single" w:color="000000" w:sz="4" w:space="0"/>
              <w:left w:val="single" w:color="000000" w:sz="4" w:space="0"/>
              <w:bottom w:val="single" w:color="000000" w:sz="4" w:space="0"/>
              <w:right w:val="single" w:color="000000" w:sz="4" w:space="0"/>
            </w:tcBorders>
            <w:noWrap/>
            <w:vAlign w:val="center"/>
          </w:tcPr>
          <w:p w14:paraId="75B07E75">
            <w:pPr>
              <w:spacing w:line="360" w:lineRule="auto"/>
              <w:jc w:val="center"/>
              <w:rPr>
                <w:color w:val="auto"/>
                <w:kern w:val="0"/>
                <w:sz w:val="24"/>
                <w:highlight w:val="none"/>
              </w:rPr>
            </w:pPr>
            <w:r>
              <w:rPr>
                <w:rFonts w:hint="eastAsia"/>
                <w:color w:val="auto"/>
                <w:kern w:val="0"/>
                <w:sz w:val="24"/>
                <w:highlight w:val="none"/>
              </w:rPr>
              <w:t>套</w:t>
            </w:r>
          </w:p>
        </w:tc>
      </w:tr>
      <w:tr w14:paraId="61561696">
        <w:tblPrEx>
          <w:tblCellMar>
            <w:top w:w="0" w:type="dxa"/>
            <w:left w:w="108" w:type="dxa"/>
            <w:bottom w:w="0" w:type="dxa"/>
            <w:right w:w="108" w:type="dxa"/>
          </w:tblCellMar>
        </w:tblPrEx>
        <w:trPr>
          <w:trHeight w:val="567" w:hRule="atLeast"/>
          <w:jc w:val="center"/>
        </w:trPr>
        <w:tc>
          <w:tcPr>
            <w:tcW w:w="604" w:type="dxa"/>
            <w:tcBorders>
              <w:top w:val="single" w:color="000000" w:sz="4" w:space="0"/>
              <w:left w:val="single" w:color="000000" w:sz="4" w:space="0"/>
              <w:bottom w:val="single" w:color="000000" w:sz="4" w:space="0"/>
              <w:right w:val="single" w:color="000000" w:sz="4" w:space="0"/>
            </w:tcBorders>
            <w:noWrap/>
            <w:vAlign w:val="center"/>
          </w:tcPr>
          <w:p w14:paraId="35727735">
            <w:pPr>
              <w:spacing w:line="360" w:lineRule="auto"/>
              <w:jc w:val="center"/>
              <w:rPr>
                <w:color w:val="auto"/>
                <w:kern w:val="0"/>
                <w:sz w:val="24"/>
                <w:highlight w:val="none"/>
              </w:rPr>
            </w:pPr>
            <w:r>
              <w:rPr>
                <w:rFonts w:hint="eastAsia"/>
                <w:color w:val="auto"/>
                <w:kern w:val="0"/>
                <w:sz w:val="24"/>
                <w:highlight w:val="none"/>
              </w:rPr>
              <w:t>5</w:t>
            </w:r>
          </w:p>
        </w:tc>
        <w:tc>
          <w:tcPr>
            <w:tcW w:w="4000" w:type="dxa"/>
            <w:tcBorders>
              <w:top w:val="single" w:color="000000" w:sz="4" w:space="0"/>
              <w:left w:val="single" w:color="000000" w:sz="4" w:space="0"/>
              <w:bottom w:val="single" w:color="000000" w:sz="4" w:space="0"/>
              <w:right w:val="single" w:color="000000" w:sz="4" w:space="0"/>
            </w:tcBorders>
            <w:noWrap/>
            <w:vAlign w:val="center"/>
          </w:tcPr>
          <w:p w14:paraId="0353F816">
            <w:pPr>
              <w:spacing w:line="360" w:lineRule="auto"/>
              <w:jc w:val="center"/>
              <w:rPr>
                <w:color w:val="auto"/>
                <w:kern w:val="0"/>
                <w:sz w:val="24"/>
                <w:highlight w:val="none"/>
              </w:rPr>
            </w:pPr>
            <w:r>
              <w:rPr>
                <w:rFonts w:hint="eastAsia"/>
                <w:color w:val="auto"/>
                <w:kern w:val="0"/>
                <w:sz w:val="24"/>
                <w:highlight w:val="none"/>
              </w:rPr>
              <w:t>电子冷凝器</w:t>
            </w:r>
          </w:p>
        </w:tc>
        <w:tc>
          <w:tcPr>
            <w:tcW w:w="3039" w:type="dxa"/>
            <w:tcBorders>
              <w:top w:val="single" w:color="000000" w:sz="4" w:space="0"/>
              <w:left w:val="single" w:color="000000" w:sz="4" w:space="0"/>
              <w:bottom w:val="single" w:color="000000" w:sz="4" w:space="0"/>
              <w:right w:val="single" w:color="000000" w:sz="4" w:space="0"/>
            </w:tcBorders>
            <w:noWrap/>
            <w:vAlign w:val="center"/>
          </w:tcPr>
          <w:p w14:paraId="47611093">
            <w:pPr>
              <w:spacing w:line="360" w:lineRule="auto"/>
              <w:jc w:val="center"/>
              <w:rPr>
                <w:color w:val="auto"/>
                <w:kern w:val="0"/>
                <w:sz w:val="24"/>
                <w:highlight w:val="none"/>
              </w:rPr>
            </w:pPr>
            <w:r>
              <w:rPr>
                <w:rFonts w:hint="eastAsia"/>
                <w:color w:val="auto"/>
                <w:kern w:val="0"/>
                <w:sz w:val="24"/>
                <w:highlight w:val="none"/>
              </w:rPr>
              <w:t>CS-7A</w:t>
            </w:r>
          </w:p>
        </w:tc>
        <w:tc>
          <w:tcPr>
            <w:tcW w:w="624" w:type="dxa"/>
            <w:tcBorders>
              <w:top w:val="single" w:color="000000" w:sz="4" w:space="0"/>
              <w:left w:val="single" w:color="000000" w:sz="4" w:space="0"/>
              <w:bottom w:val="single" w:color="000000" w:sz="4" w:space="0"/>
              <w:right w:val="single" w:color="000000" w:sz="4" w:space="0"/>
            </w:tcBorders>
            <w:noWrap/>
            <w:vAlign w:val="center"/>
          </w:tcPr>
          <w:p w14:paraId="71C5B42A">
            <w:pPr>
              <w:spacing w:line="360" w:lineRule="auto"/>
              <w:jc w:val="center"/>
              <w:rPr>
                <w:color w:val="auto"/>
                <w:kern w:val="0"/>
                <w:sz w:val="24"/>
                <w:highlight w:val="none"/>
              </w:rPr>
            </w:pPr>
            <w:r>
              <w:rPr>
                <w:rFonts w:hint="eastAsia"/>
                <w:color w:val="auto"/>
                <w:kern w:val="0"/>
                <w:sz w:val="24"/>
                <w:highlight w:val="none"/>
              </w:rPr>
              <w:t>1</w:t>
            </w:r>
          </w:p>
        </w:tc>
        <w:tc>
          <w:tcPr>
            <w:tcW w:w="641" w:type="dxa"/>
            <w:tcBorders>
              <w:top w:val="single" w:color="000000" w:sz="4" w:space="0"/>
              <w:left w:val="single" w:color="000000" w:sz="4" w:space="0"/>
              <w:bottom w:val="single" w:color="000000" w:sz="4" w:space="0"/>
              <w:right w:val="single" w:color="000000" w:sz="4" w:space="0"/>
            </w:tcBorders>
            <w:noWrap/>
            <w:vAlign w:val="center"/>
          </w:tcPr>
          <w:p w14:paraId="489D9B28">
            <w:pPr>
              <w:spacing w:line="360" w:lineRule="auto"/>
              <w:jc w:val="center"/>
              <w:rPr>
                <w:color w:val="auto"/>
                <w:kern w:val="0"/>
                <w:sz w:val="24"/>
                <w:highlight w:val="none"/>
              </w:rPr>
            </w:pPr>
            <w:r>
              <w:rPr>
                <w:rFonts w:hint="eastAsia"/>
                <w:color w:val="auto"/>
                <w:kern w:val="0"/>
                <w:sz w:val="24"/>
                <w:highlight w:val="none"/>
              </w:rPr>
              <w:t>台</w:t>
            </w:r>
          </w:p>
        </w:tc>
      </w:tr>
      <w:tr w14:paraId="236CEE14">
        <w:tblPrEx>
          <w:tblCellMar>
            <w:top w:w="0" w:type="dxa"/>
            <w:left w:w="108" w:type="dxa"/>
            <w:bottom w:w="0" w:type="dxa"/>
            <w:right w:w="108" w:type="dxa"/>
          </w:tblCellMar>
        </w:tblPrEx>
        <w:trPr>
          <w:trHeight w:val="851" w:hRule="atLeast"/>
          <w:jc w:val="center"/>
        </w:trPr>
        <w:tc>
          <w:tcPr>
            <w:tcW w:w="604" w:type="dxa"/>
            <w:tcBorders>
              <w:top w:val="single" w:color="000000" w:sz="4" w:space="0"/>
              <w:left w:val="single" w:color="000000" w:sz="4" w:space="0"/>
              <w:bottom w:val="single" w:color="000000" w:sz="4" w:space="0"/>
              <w:right w:val="single" w:color="000000" w:sz="4" w:space="0"/>
            </w:tcBorders>
            <w:noWrap/>
            <w:vAlign w:val="center"/>
          </w:tcPr>
          <w:p w14:paraId="3EAD5627">
            <w:pPr>
              <w:spacing w:line="360" w:lineRule="auto"/>
              <w:jc w:val="center"/>
              <w:rPr>
                <w:color w:val="auto"/>
                <w:kern w:val="0"/>
                <w:sz w:val="24"/>
                <w:highlight w:val="none"/>
              </w:rPr>
            </w:pPr>
            <w:r>
              <w:rPr>
                <w:rFonts w:hint="eastAsia"/>
                <w:color w:val="auto"/>
                <w:kern w:val="0"/>
                <w:sz w:val="24"/>
                <w:highlight w:val="none"/>
              </w:rPr>
              <w:t>6</w:t>
            </w:r>
          </w:p>
        </w:tc>
        <w:tc>
          <w:tcPr>
            <w:tcW w:w="4000" w:type="dxa"/>
            <w:tcBorders>
              <w:top w:val="single" w:color="000000" w:sz="4" w:space="0"/>
              <w:left w:val="single" w:color="000000" w:sz="4" w:space="0"/>
              <w:bottom w:val="single" w:color="000000" w:sz="4" w:space="0"/>
              <w:right w:val="single" w:color="000000" w:sz="4" w:space="0"/>
            </w:tcBorders>
            <w:noWrap/>
            <w:vAlign w:val="center"/>
          </w:tcPr>
          <w:p w14:paraId="1ACEF1F5">
            <w:pPr>
              <w:spacing w:line="360" w:lineRule="auto"/>
              <w:jc w:val="center"/>
              <w:rPr>
                <w:color w:val="auto"/>
                <w:kern w:val="0"/>
                <w:sz w:val="24"/>
                <w:highlight w:val="none"/>
              </w:rPr>
            </w:pPr>
            <w:r>
              <w:rPr>
                <w:rFonts w:hint="eastAsia"/>
                <w:color w:val="auto"/>
                <w:kern w:val="0"/>
                <w:sz w:val="24"/>
                <w:highlight w:val="none"/>
              </w:rPr>
              <w:t>工控机</w:t>
            </w:r>
          </w:p>
        </w:tc>
        <w:tc>
          <w:tcPr>
            <w:tcW w:w="3039" w:type="dxa"/>
            <w:tcBorders>
              <w:top w:val="single" w:color="000000" w:sz="4" w:space="0"/>
              <w:left w:val="single" w:color="000000" w:sz="4" w:space="0"/>
              <w:bottom w:val="single" w:color="000000" w:sz="4" w:space="0"/>
              <w:right w:val="single" w:color="000000" w:sz="4" w:space="0"/>
            </w:tcBorders>
            <w:noWrap/>
            <w:vAlign w:val="center"/>
          </w:tcPr>
          <w:p w14:paraId="10250B0A">
            <w:pPr>
              <w:spacing w:line="360" w:lineRule="auto"/>
              <w:jc w:val="center"/>
              <w:rPr>
                <w:color w:val="auto"/>
                <w:kern w:val="0"/>
                <w:sz w:val="24"/>
                <w:highlight w:val="none"/>
              </w:rPr>
            </w:pPr>
            <w:r>
              <w:rPr>
                <w:rFonts w:hint="eastAsia"/>
                <w:color w:val="auto"/>
                <w:kern w:val="0"/>
                <w:sz w:val="24"/>
                <w:highlight w:val="none"/>
              </w:rPr>
              <w:t>研华 ACP-40000/1PC-610 series</w:t>
            </w:r>
          </w:p>
        </w:tc>
        <w:tc>
          <w:tcPr>
            <w:tcW w:w="624" w:type="dxa"/>
            <w:tcBorders>
              <w:top w:val="single" w:color="000000" w:sz="4" w:space="0"/>
              <w:left w:val="single" w:color="000000" w:sz="4" w:space="0"/>
              <w:bottom w:val="single" w:color="000000" w:sz="4" w:space="0"/>
              <w:right w:val="single" w:color="000000" w:sz="4" w:space="0"/>
            </w:tcBorders>
            <w:noWrap/>
            <w:vAlign w:val="center"/>
          </w:tcPr>
          <w:p w14:paraId="78253999">
            <w:pPr>
              <w:spacing w:line="360" w:lineRule="auto"/>
              <w:jc w:val="center"/>
              <w:rPr>
                <w:color w:val="auto"/>
                <w:kern w:val="0"/>
                <w:sz w:val="24"/>
                <w:highlight w:val="none"/>
              </w:rPr>
            </w:pPr>
            <w:r>
              <w:rPr>
                <w:rFonts w:hint="eastAsia"/>
                <w:color w:val="auto"/>
                <w:kern w:val="0"/>
                <w:sz w:val="24"/>
                <w:highlight w:val="none"/>
              </w:rPr>
              <w:t>1</w:t>
            </w:r>
          </w:p>
        </w:tc>
        <w:tc>
          <w:tcPr>
            <w:tcW w:w="641" w:type="dxa"/>
            <w:tcBorders>
              <w:top w:val="single" w:color="000000" w:sz="4" w:space="0"/>
              <w:left w:val="single" w:color="000000" w:sz="4" w:space="0"/>
              <w:bottom w:val="single" w:color="000000" w:sz="4" w:space="0"/>
              <w:right w:val="single" w:color="000000" w:sz="4" w:space="0"/>
            </w:tcBorders>
            <w:noWrap/>
            <w:vAlign w:val="center"/>
          </w:tcPr>
          <w:p w14:paraId="471FA0E9">
            <w:pPr>
              <w:spacing w:line="360" w:lineRule="auto"/>
              <w:jc w:val="center"/>
              <w:rPr>
                <w:color w:val="auto"/>
                <w:kern w:val="0"/>
                <w:sz w:val="24"/>
                <w:highlight w:val="none"/>
              </w:rPr>
            </w:pPr>
            <w:r>
              <w:rPr>
                <w:rFonts w:hint="eastAsia"/>
                <w:color w:val="auto"/>
                <w:kern w:val="0"/>
                <w:sz w:val="24"/>
                <w:highlight w:val="none"/>
              </w:rPr>
              <w:t>台</w:t>
            </w:r>
          </w:p>
        </w:tc>
      </w:tr>
      <w:tr w14:paraId="29E62C21">
        <w:tblPrEx>
          <w:tblCellMar>
            <w:top w:w="0" w:type="dxa"/>
            <w:left w:w="108" w:type="dxa"/>
            <w:bottom w:w="0" w:type="dxa"/>
            <w:right w:w="108" w:type="dxa"/>
          </w:tblCellMar>
        </w:tblPrEx>
        <w:trPr>
          <w:trHeight w:val="567" w:hRule="atLeast"/>
          <w:jc w:val="center"/>
        </w:trPr>
        <w:tc>
          <w:tcPr>
            <w:tcW w:w="604" w:type="dxa"/>
            <w:tcBorders>
              <w:top w:val="single" w:color="000000" w:sz="4" w:space="0"/>
              <w:left w:val="single" w:color="000000" w:sz="4" w:space="0"/>
              <w:bottom w:val="single" w:color="000000" w:sz="4" w:space="0"/>
              <w:right w:val="single" w:color="000000" w:sz="4" w:space="0"/>
            </w:tcBorders>
            <w:noWrap/>
            <w:vAlign w:val="center"/>
          </w:tcPr>
          <w:p w14:paraId="24F62A2B">
            <w:pPr>
              <w:spacing w:line="360" w:lineRule="auto"/>
              <w:jc w:val="center"/>
              <w:rPr>
                <w:color w:val="auto"/>
                <w:kern w:val="0"/>
                <w:sz w:val="24"/>
                <w:highlight w:val="none"/>
              </w:rPr>
            </w:pPr>
            <w:r>
              <w:rPr>
                <w:rFonts w:hint="eastAsia"/>
                <w:color w:val="auto"/>
                <w:kern w:val="0"/>
                <w:sz w:val="24"/>
                <w:highlight w:val="none"/>
              </w:rPr>
              <w:t>7</w:t>
            </w:r>
          </w:p>
        </w:tc>
        <w:tc>
          <w:tcPr>
            <w:tcW w:w="4000" w:type="dxa"/>
            <w:tcBorders>
              <w:top w:val="single" w:color="000000" w:sz="4" w:space="0"/>
              <w:left w:val="single" w:color="000000" w:sz="4" w:space="0"/>
              <w:bottom w:val="single" w:color="000000" w:sz="4" w:space="0"/>
              <w:right w:val="single" w:color="000000" w:sz="4" w:space="0"/>
            </w:tcBorders>
            <w:noWrap/>
            <w:vAlign w:val="center"/>
          </w:tcPr>
          <w:p w14:paraId="12BC703E">
            <w:pPr>
              <w:spacing w:line="360" w:lineRule="auto"/>
              <w:jc w:val="center"/>
              <w:rPr>
                <w:color w:val="auto"/>
                <w:kern w:val="0"/>
                <w:sz w:val="24"/>
                <w:highlight w:val="none"/>
              </w:rPr>
            </w:pPr>
            <w:r>
              <w:rPr>
                <w:rFonts w:hint="eastAsia"/>
                <w:color w:val="auto"/>
                <w:kern w:val="0"/>
                <w:sz w:val="24"/>
                <w:highlight w:val="none"/>
              </w:rPr>
              <w:t>LCDKVM切换器</w:t>
            </w:r>
          </w:p>
        </w:tc>
        <w:tc>
          <w:tcPr>
            <w:tcW w:w="3039" w:type="dxa"/>
            <w:tcBorders>
              <w:top w:val="single" w:color="000000" w:sz="4" w:space="0"/>
              <w:left w:val="single" w:color="000000" w:sz="4" w:space="0"/>
              <w:bottom w:val="single" w:color="000000" w:sz="4" w:space="0"/>
              <w:right w:val="single" w:color="000000" w:sz="4" w:space="0"/>
            </w:tcBorders>
            <w:noWrap/>
            <w:vAlign w:val="center"/>
          </w:tcPr>
          <w:p w14:paraId="622AABF9">
            <w:pPr>
              <w:spacing w:line="360" w:lineRule="auto"/>
              <w:jc w:val="center"/>
              <w:rPr>
                <w:color w:val="auto"/>
                <w:kern w:val="0"/>
                <w:sz w:val="24"/>
                <w:highlight w:val="none"/>
              </w:rPr>
            </w:pPr>
            <w:r>
              <w:rPr>
                <w:rFonts w:hint="eastAsia"/>
                <w:color w:val="auto"/>
                <w:kern w:val="0"/>
                <w:sz w:val="24"/>
                <w:highlight w:val="none"/>
              </w:rPr>
              <w:t>龙远恒信 KVM-1708-VGA-D</w:t>
            </w:r>
          </w:p>
        </w:tc>
        <w:tc>
          <w:tcPr>
            <w:tcW w:w="624" w:type="dxa"/>
            <w:tcBorders>
              <w:top w:val="single" w:color="000000" w:sz="4" w:space="0"/>
              <w:left w:val="single" w:color="000000" w:sz="4" w:space="0"/>
              <w:bottom w:val="single" w:color="000000" w:sz="4" w:space="0"/>
              <w:right w:val="single" w:color="000000" w:sz="4" w:space="0"/>
            </w:tcBorders>
            <w:noWrap/>
            <w:vAlign w:val="center"/>
          </w:tcPr>
          <w:p w14:paraId="1A146B2B">
            <w:pPr>
              <w:spacing w:line="360" w:lineRule="auto"/>
              <w:jc w:val="center"/>
              <w:rPr>
                <w:color w:val="auto"/>
                <w:kern w:val="0"/>
                <w:sz w:val="24"/>
                <w:highlight w:val="none"/>
              </w:rPr>
            </w:pPr>
            <w:r>
              <w:rPr>
                <w:rFonts w:hint="eastAsia"/>
                <w:color w:val="auto"/>
                <w:kern w:val="0"/>
                <w:sz w:val="24"/>
                <w:highlight w:val="none"/>
              </w:rPr>
              <w:t>1</w:t>
            </w:r>
          </w:p>
        </w:tc>
        <w:tc>
          <w:tcPr>
            <w:tcW w:w="641" w:type="dxa"/>
            <w:tcBorders>
              <w:top w:val="single" w:color="000000" w:sz="4" w:space="0"/>
              <w:left w:val="single" w:color="000000" w:sz="4" w:space="0"/>
              <w:bottom w:val="single" w:color="000000" w:sz="4" w:space="0"/>
              <w:right w:val="single" w:color="000000" w:sz="4" w:space="0"/>
            </w:tcBorders>
            <w:noWrap/>
            <w:vAlign w:val="center"/>
          </w:tcPr>
          <w:p w14:paraId="1C5FFFD4">
            <w:pPr>
              <w:spacing w:line="360" w:lineRule="auto"/>
              <w:jc w:val="center"/>
              <w:rPr>
                <w:color w:val="auto"/>
                <w:kern w:val="0"/>
                <w:sz w:val="24"/>
                <w:highlight w:val="none"/>
              </w:rPr>
            </w:pPr>
            <w:r>
              <w:rPr>
                <w:rFonts w:hint="eastAsia"/>
                <w:color w:val="auto"/>
                <w:kern w:val="0"/>
                <w:sz w:val="24"/>
                <w:highlight w:val="none"/>
              </w:rPr>
              <w:t>台</w:t>
            </w:r>
          </w:p>
        </w:tc>
      </w:tr>
      <w:tr w14:paraId="29630A0B">
        <w:tblPrEx>
          <w:tblCellMar>
            <w:top w:w="0" w:type="dxa"/>
            <w:left w:w="108" w:type="dxa"/>
            <w:bottom w:w="0" w:type="dxa"/>
            <w:right w:w="108" w:type="dxa"/>
          </w:tblCellMar>
        </w:tblPrEx>
        <w:trPr>
          <w:trHeight w:val="567" w:hRule="atLeast"/>
          <w:jc w:val="center"/>
        </w:trPr>
        <w:tc>
          <w:tcPr>
            <w:tcW w:w="604" w:type="dxa"/>
            <w:tcBorders>
              <w:top w:val="single" w:color="000000" w:sz="4" w:space="0"/>
              <w:left w:val="single" w:color="000000" w:sz="4" w:space="0"/>
              <w:bottom w:val="single" w:color="000000" w:sz="4" w:space="0"/>
              <w:right w:val="single" w:color="000000" w:sz="4" w:space="0"/>
            </w:tcBorders>
            <w:noWrap/>
            <w:vAlign w:val="center"/>
          </w:tcPr>
          <w:p w14:paraId="7E37A5BB">
            <w:pPr>
              <w:spacing w:line="360" w:lineRule="auto"/>
              <w:jc w:val="center"/>
              <w:rPr>
                <w:color w:val="auto"/>
                <w:kern w:val="0"/>
                <w:sz w:val="24"/>
                <w:highlight w:val="none"/>
              </w:rPr>
            </w:pPr>
            <w:r>
              <w:rPr>
                <w:rFonts w:hint="eastAsia"/>
                <w:color w:val="auto"/>
                <w:kern w:val="0"/>
                <w:sz w:val="24"/>
                <w:highlight w:val="none"/>
              </w:rPr>
              <w:t>8</w:t>
            </w:r>
          </w:p>
        </w:tc>
        <w:tc>
          <w:tcPr>
            <w:tcW w:w="4000" w:type="dxa"/>
            <w:tcBorders>
              <w:top w:val="single" w:color="000000" w:sz="4" w:space="0"/>
              <w:left w:val="single" w:color="000000" w:sz="4" w:space="0"/>
              <w:bottom w:val="single" w:color="000000" w:sz="4" w:space="0"/>
              <w:right w:val="single" w:color="000000" w:sz="4" w:space="0"/>
            </w:tcBorders>
            <w:noWrap/>
            <w:vAlign w:val="center"/>
          </w:tcPr>
          <w:p w14:paraId="37DDFC88">
            <w:pPr>
              <w:spacing w:line="360" w:lineRule="auto"/>
              <w:jc w:val="center"/>
              <w:rPr>
                <w:color w:val="auto"/>
                <w:kern w:val="0"/>
                <w:sz w:val="24"/>
                <w:highlight w:val="none"/>
              </w:rPr>
            </w:pPr>
            <w:r>
              <w:rPr>
                <w:rFonts w:hint="eastAsia"/>
                <w:color w:val="auto"/>
                <w:kern w:val="0"/>
                <w:sz w:val="24"/>
                <w:highlight w:val="none"/>
              </w:rPr>
              <w:t>采样泵</w:t>
            </w:r>
          </w:p>
        </w:tc>
        <w:tc>
          <w:tcPr>
            <w:tcW w:w="3039" w:type="dxa"/>
            <w:tcBorders>
              <w:top w:val="single" w:color="000000" w:sz="4" w:space="0"/>
              <w:left w:val="single" w:color="000000" w:sz="4" w:space="0"/>
              <w:bottom w:val="single" w:color="000000" w:sz="4" w:space="0"/>
              <w:right w:val="single" w:color="000000" w:sz="4" w:space="0"/>
            </w:tcBorders>
            <w:noWrap/>
            <w:vAlign w:val="center"/>
          </w:tcPr>
          <w:p w14:paraId="5A2DC226">
            <w:pPr>
              <w:spacing w:line="360" w:lineRule="auto"/>
              <w:jc w:val="center"/>
              <w:rPr>
                <w:color w:val="auto"/>
                <w:kern w:val="0"/>
                <w:sz w:val="24"/>
                <w:highlight w:val="none"/>
              </w:rPr>
            </w:pPr>
            <w:r>
              <w:rPr>
                <w:rFonts w:hint="eastAsia"/>
                <w:color w:val="auto"/>
                <w:kern w:val="0"/>
                <w:sz w:val="24"/>
                <w:highlight w:val="none"/>
              </w:rPr>
              <w:t>Gast DOA-P504-BN</w:t>
            </w:r>
          </w:p>
        </w:tc>
        <w:tc>
          <w:tcPr>
            <w:tcW w:w="624" w:type="dxa"/>
            <w:tcBorders>
              <w:top w:val="single" w:color="000000" w:sz="4" w:space="0"/>
              <w:left w:val="single" w:color="000000" w:sz="4" w:space="0"/>
              <w:bottom w:val="single" w:color="000000" w:sz="4" w:space="0"/>
              <w:right w:val="single" w:color="000000" w:sz="4" w:space="0"/>
            </w:tcBorders>
            <w:noWrap/>
            <w:vAlign w:val="center"/>
          </w:tcPr>
          <w:p w14:paraId="287E165B">
            <w:pPr>
              <w:spacing w:line="360" w:lineRule="auto"/>
              <w:jc w:val="center"/>
              <w:rPr>
                <w:color w:val="auto"/>
                <w:kern w:val="0"/>
                <w:sz w:val="24"/>
                <w:highlight w:val="none"/>
              </w:rPr>
            </w:pPr>
            <w:r>
              <w:rPr>
                <w:rFonts w:hint="eastAsia"/>
                <w:color w:val="auto"/>
                <w:kern w:val="0"/>
                <w:sz w:val="24"/>
                <w:highlight w:val="none"/>
              </w:rPr>
              <w:t>2</w:t>
            </w:r>
          </w:p>
        </w:tc>
        <w:tc>
          <w:tcPr>
            <w:tcW w:w="641" w:type="dxa"/>
            <w:tcBorders>
              <w:top w:val="single" w:color="000000" w:sz="4" w:space="0"/>
              <w:left w:val="single" w:color="000000" w:sz="4" w:space="0"/>
              <w:bottom w:val="single" w:color="000000" w:sz="4" w:space="0"/>
              <w:right w:val="single" w:color="000000" w:sz="4" w:space="0"/>
            </w:tcBorders>
            <w:noWrap/>
            <w:vAlign w:val="center"/>
          </w:tcPr>
          <w:p w14:paraId="082C5FC7">
            <w:pPr>
              <w:spacing w:line="360" w:lineRule="auto"/>
              <w:jc w:val="center"/>
              <w:rPr>
                <w:color w:val="auto"/>
                <w:kern w:val="0"/>
                <w:sz w:val="24"/>
                <w:highlight w:val="none"/>
              </w:rPr>
            </w:pPr>
            <w:r>
              <w:rPr>
                <w:rFonts w:hint="eastAsia"/>
                <w:color w:val="auto"/>
                <w:kern w:val="0"/>
                <w:sz w:val="24"/>
                <w:highlight w:val="none"/>
              </w:rPr>
              <w:t>台</w:t>
            </w:r>
          </w:p>
        </w:tc>
      </w:tr>
      <w:tr w14:paraId="6458B61C">
        <w:tblPrEx>
          <w:tblCellMar>
            <w:top w:w="0" w:type="dxa"/>
            <w:left w:w="108" w:type="dxa"/>
            <w:bottom w:w="0" w:type="dxa"/>
            <w:right w:w="108" w:type="dxa"/>
          </w:tblCellMar>
        </w:tblPrEx>
        <w:trPr>
          <w:trHeight w:val="851" w:hRule="atLeast"/>
          <w:jc w:val="center"/>
        </w:trPr>
        <w:tc>
          <w:tcPr>
            <w:tcW w:w="604" w:type="dxa"/>
            <w:tcBorders>
              <w:top w:val="single" w:color="000000" w:sz="4" w:space="0"/>
              <w:left w:val="single" w:color="000000" w:sz="4" w:space="0"/>
              <w:bottom w:val="single" w:color="000000" w:sz="4" w:space="0"/>
              <w:right w:val="single" w:color="000000" w:sz="4" w:space="0"/>
            </w:tcBorders>
            <w:noWrap/>
            <w:vAlign w:val="center"/>
          </w:tcPr>
          <w:p w14:paraId="57851D0A">
            <w:pPr>
              <w:spacing w:line="360" w:lineRule="auto"/>
              <w:jc w:val="center"/>
              <w:rPr>
                <w:color w:val="auto"/>
                <w:kern w:val="0"/>
                <w:sz w:val="24"/>
                <w:highlight w:val="none"/>
              </w:rPr>
            </w:pPr>
            <w:r>
              <w:rPr>
                <w:rFonts w:hint="eastAsia"/>
                <w:color w:val="auto"/>
                <w:kern w:val="0"/>
                <w:sz w:val="24"/>
                <w:highlight w:val="none"/>
              </w:rPr>
              <w:t>9</w:t>
            </w:r>
          </w:p>
        </w:tc>
        <w:tc>
          <w:tcPr>
            <w:tcW w:w="4000" w:type="dxa"/>
            <w:tcBorders>
              <w:top w:val="single" w:color="000000" w:sz="4" w:space="0"/>
              <w:left w:val="single" w:color="000000" w:sz="4" w:space="0"/>
              <w:bottom w:val="single" w:color="000000" w:sz="4" w:space="0"/>
              <w:right w:val="single" w:color="000000" w:sz="4" w:space="0"/>
            </w:tcBorders>
            <w:noWrap/>
            <w:vAlign w:val="center"/>
          </w:tcPr>
          <w:p w14:paraId="28B7E8B1">
            <w:pPr>
              <w:spacing w:line="360" w:lineRule="auto"/>
              <w:jc w:val="center"/>
              <w:rPr>
                <w:color w:val="auto"/>
                <w:kern w:val="0"/>
                <w:sz w:val="24"/>
                <w:highlight w:val="none"/>
              </w:rPr>
            </w:pPr>
            <w:r>
              <w:rPr>
                <w:rFonts w:hint="eastAsia"/>
                <w:color w:val="auto"/>
                <w:kern w:val="0"/>
                <w:sz w:val="24"/>
                <w:highlight w:val="none"/>
              </w:rPr>
              <w:t>智能气象传感器</w:t>
            </w:r>
          </w:p>
        </w:tc>
        <w:tc>
          <w:tcPr>
            <w:tcW w:w="3039" w:type="dxa"/>
            <w:tcBorders>
              <w:top w:val="single" w:color="000000" w:sz="4" w:space="0"/>
              <w:left w:val="single" w:color="000000" w:sz="4" w:space="0"/>
              <w:bottom w:val="single" w:color="000000" w:sz="4" w:space="0"/>
              <w:right w:val="single" w:color="000000" w:sz="4" w:space="0"/>
            </w:tcBorders>
            <w:noWrap/>
            <w:vAlign w:val="center"/>
          </w:tcPr>
          <w:p w14:paraId="3266A2E5">
            <w:pPr>
              <w:spacing w:line="360" w:lineRule="auto"/>
              <w:jc w:val="center"/>
              <w:rPr>
                <w:color w:val="auto"/>
                <w:kern w:val="0"/>
                <w:sz w:val="24"/>
                <w:highlight w:val="none"/>
              </w:rPr>
            </w:pPr>
            <w:r>
              <w:rPr>
                <w:rFonts w:hint="eastAsia"/>
                <w:color w:val="auto"/>
                <w:kern w:val="0"/>
                <w:sz w:val="24"/>
                <w:highlight w:val="none"/>
              </w:rPr>
              <w:t xml:space="preserve">lufft </w:t>
            </w:r>
            <w:bookmarkStart w:id="31" w:name="OLE_LINK1"/>
            <w:r>
              <w:rPr>
                <w:rFonts w:hint="eastAsia"/>
                <w:color w:val="auto"/>
                <w:kern w:val="0"/>
                <w:sz w:val="24"/>
                <w:highlight w:val="none"/>
              </w:rPr>
              <w:t>ws500</w:t>
            </w:r>
            <w:bookmarkEnd w:id="31"/>
          </w:p>
        </w:tc>
        <w:tc>
          <w:tcPr>
            <w:tcW w:w="624" w:type="dxa"/>
            <w:tcBorders>
              <w:top w:val="single" w:color="000000" w:sz="4" w:space="0"/>
              <w:left w:val="single" w:color="000000" w:sz="4" w:space="0"/>
              <w:bottom w:val="single" w:color="000000" w:sz="4" w:space="0"/>
              <w:right w:val="single" w:color="000000" w:sz="4" w:space="0"/>
            </w:tcBorders>
            <w:noWrap/>
            <w:vAlign w:val="center"/>
          </w:tcPr>
          <w:p w14:paraId="268407CE">
            <w:pPr>
              <w:spacing w:line="360" w:lineRule="auto"/>
              <w:jc w:val="center"/>
              <w:rPr>
                <w:color w:val="auto"/>
                <w:kern w:val="0"/>
                <w:sz w:val="24"/>
                <w:highlight w:val="none"/>
              </w:rPr>
            </w:pPr>
            <w:r>
              <w:rPr>
                <w:rFonts w:hint="eastAsia"/>
                <w:color w:val="auto"/>
                <w:kern w:val="0"/>
                <w:sz w:val="24"/>
                <w:highlight w:val="none"/>
              </w:rPr>
              <w:t>1</w:t>
            </w:r>
          </w:p>
        </w:tc>
        <w:tc>
          <w:tcPr>
            <w:tcW w:w="641" w:type="dxa"/>
            <w:tcBorders>
              <w:top w:val="single" w:color="000000" w:sz="4" w:space="0"/>
              <w:left w:val="single" w:color="000000" w:sz="4" w:space="0"/>
              <w:bottom w:val="single" w:color="000000" w:sz="4" w:space="0"/>
              <w:right w:val="single" w:color="000000" w:sz="4" w:space="0"/>
            </w:tcBorders>
            <w:noWrap/>
            <w:vAlign w:val="center"/>
          </w:tcPr>
          <w:p w14:paraId="322C30CB">
            <w:pPr>
              <w:spacing w:line="360" w:lineRule="auto"/>
              <w:jc w:val="center"/>
              <w:rPr>
                <w:color w:val="auto"/>
                <w:kern w:val="0"/>
                <w:sz w:val="24"/>
                <w:highlight w:val="none"/>
              </w:rPr>
            </w:pPr>
            <w:r>
              <w:rPr>
                <w:rFonts w:hint="eastAsia"/>
                <w:color w:val="auto"/>
                <w:kern w:val="0"/>
                <w:sz w:val="24"/>
                <w:highlight w:val="none"/>
              </w:rPr>
              <w:t>套</w:t>
            </w:r>
          </w:p>
        </w:tc>
      </w:tr>
    </w:tbl>
    <w:p w14:paraId="3A4F2C42">
      <w:pPr>
        <w:spacing w:line="360" w:lineRule="auto"/>
        <w:rPr>
          <w:bCs/>
          <w:color w:val="auto"/>
          <w:sz w:val="24"/>
          <w:highlight w:val="none"/>
        </w:rPr>
      </w:pPr>
    </w:p>
    <w:p w14:paraId="0A61C2E3">
      <w:pPr>
        <w:rPr>
          <w:color w:val="auto"/>
          <w:highlight w:val="none"/>
        </w:rPr>
      </w:pPr>
    </w:p>
    <w:p w14:paraId="637E28F3">
      <w:pPr>
        <w:spacing w:line="360" w:lineRule="auto"/>
        <w:jc w:val="center"/>
        <w:rPr>
          <w:b/>
          <w:color w:val="auto"/>
          <w:sz w:val="24"/>
          <w:highlight w:val="none"/>
        </w:rPr>
      </w:pPr>
      <w:r>
        <w:rPr>
          <w:b/>
          <w:color w:val="auto"/>
          <w:sz w:val="24"/>
          <w:highlight w:val="none"/>
        </w:rPr>
        <w:t>表2 临平工业区站仪器配置情况一览表</w:t>
      </w:r>
    </w:p>
    <w:tbl>
      <w:tblPr>
        <w:tblStyle w:val="62"/>
        <w:tblW w:w="8816" w:type="dxa"/>
        <w:jc w:val="center"/>
        <w:tblLayout w:type="fixed"/>
        <w:tblCellMar>
          <w:top w:w="0" w:type="dxa"/>
          <w:left w:w="108" w:type="dxa"/>
          <w:bottom w:w="0" w:type="dxa"/>
          <w:right w:w="108" w:type="dxa"/>
        </w:tblCellMar>
      </w:tblPr>
      <w:tblGrid>
        <w:gridCol w:w="839"/>
        <w:gridCol w:w="3523"/>
        <w:gridCol w:w="2809"/>
        <w:gridCol w:w="783"/>
        <w:gridCol w:w="862"/>
      </w:tblGrid>
      <w:tr w14:paraId="3B80F673">
        <w:tblPrEx>
          <w:tblCellMar>
            <w:top w:w="0" w:type="dxa"/>
            <w:left w:w="108" w:type="dxa"/>
            <w:bottom w:w="0" w:type="dxa"/>
            <w:right w:w="108" w:type="dxa"/>
          </w:tblCellMar>
        </w:tblPrEx>
        <w:trPr>
          <w:trHeight w:val="638" w:hRule="atLeast"/>
          <w:tblHeader/>
          <w:jc w:val="center"/>
        </w:trPr>
        <w:tc>
          <w:tcPr>
            <w:tcW w:w="839" w:type="dxa"/>
            <w:tcBorders>
              <w:top w:val="single" w:color="000000" w:sz="4" w:space="0"/>
              <w:left w:val="single" w:color="000000" w:sz="4" w:space="0"/>
              <w:bottom w:val="single" w:color="000000" w:sz="4" w:space="0"/>
              <w:right w:val="single" w:color="000000" w:sz="4" w:space="0"/>
            </w:tcBorders>
            <w:noWrap/>
            <w:vAlign w:val="center"/>
          </w:tcPr>
          <w:p w14:paraId="79F5CBBD">
            <w:pPr>
              <w:spacing w:line="360" w:lineRule="auto"/>
              <w:jc w:val="center"/>
              <w:rPr>
                <w:color w:val="auto"/>
                <w:kern w:val="0"/>
                <w:sz w:val="24"/>
                <w:highlight w:val="none"/>
              </w:rPr>
            </w:pPr>
            <w:r>
              <w:rPr>
                <w:rFonts w:hint="eastAsia"/>
                <w:color w:val="auto"/>
                <w:kern w:val="0"/>
                <w:sz w:val="24"/>
                <w:highlight w:val="none"/>
              </w:rPr>
              <w:t>序号</w:t>
            </w:r>
          </w:p>
        </w:tc>
        <w:tc>
          <w:tcPr>
            <w:tcW w:w="3523" w:type="dxa"/>
            <w:tcBorders>
              <w:top w:val="single" w:color="000000" w:sz="4" w:space="0"/>
              <w:left w:val="single" w:color="000000" w:sz="4" w:space="0"/>
              <w:bottom w:val="single" w:color="000000" w:sz="4" w:space="0"/>
              <w:right w:val="single" w:color="000000" w:sz="4" w:space="0"/>
            </w:tcBorders>
            <w:noWrap/>
            <w:vAlign w:val="center"/>
          </w:tcPr>
          <w:p w14:paraId="65960D37">
            <w:pPr>
              <w:spacing w:line="360" w:lineRule="auto"/>
              <w:jc w:val="center"/>
              <w:rPr>
                <w:color w:val="auto"/>
                <w:kern w:val="0"/>
                <w:sz w:val="24"/>
                <w:highlight w:val="none"/>
              </w:rPr>
            </w:pPr>
            <w:r>
              <w:rPr>
                <w:rFonts w:hint="eastAsia"/>
                <w:color w:val="auto"/>
                <w:kern w:val="0"/>
                <w:sz w:val="24"/>
                <w:highlight w:val="none"/>
              </w:rPr>
              <w:t>设备名称</w:t>
            </w:r>
          </w:p>
        </w:tc>
        <w:tc>
          <w:tcPr>
            <w:tcW w:w="2809" w:type="dxa"/>
            <w:tcBorders>
              <w:top w:val="single" w:color="000000" w:sz="4" w:space="0"/>
              <w:left w:val="single" w:color="000000" w:sz="4" w:space="0"/>
              <w:bottom w:val="single" w:color="000000" w:sz="4" w:space="0"/>
              <w:right w:val="single" w:color="000000" w:sz="4" w:space="0"/>
            </w:tcBorders>
            <w:noWrap/>
            <w:vAlign w:val="center"/>
          </w:tcPr>
          <w:p w14:paraId="4885E50D">
            <w:pPr>
              <w:spacing w:line="360" w:lineRule="auto"/>
              <w:jc w:val="center"/>
              <w:rPr>
                <w:color w:val="auto"/>
                <w:kern w:val="0"/>
                <w:sz w:val="24"/>
                <w:highlight w:val="none"/>
              </w:rPr>
            </w:pPr>
            <w:r>
              <w:rPr>
                <w:rFonts w:hint="eastAsia"/>
                <w:color w:val="auto"/>
                <w:kern w:val="0"/>
                <w:sz w:val="24"/>
                <w:highlight w:val="none"/>
              </w:rPr>
              <w:t>品牌型号</w:t>
            </w:r>
          </w:p>
        </w:tc>
        <w:tc>
          <w:tcPr>
            <w:tcW w:w="783" w:type="dxa"/>
            <w:tcBorders>
              <w:top w:val="single" w:color="000000" w:sz="4" w:space="0"/>
              <w:left w:val="single" w:color="000000" w:sz="4" w:space="0"/>
              <w:bottom w:val="single" w:color="000000" w:sz="4" w:space="0"/>
              <w:right w:val="single" w:color="000000" w:sz="4" w:space="0"/>
            </w:tcBorders>
            <w:noWrap/>
            <w:vAlign w:val="center"/>
          </w:tcPr>
          <w:p w14:paraId="53B0F70B">
            <w:pPr>
              <w:spacing w:line="360" w:lineRule="auto"/>
              <w:jc w:val="center"/>
              <w:rPr>
                <w:color w:val="auto"/>
                <w:kern w:val="0"/>
                <w:sz w:val="24"/>
                <w:highlight w:val="none"/>
              </w:rPr>
            </w:pPr>
            <w:r>
              <w:rPr>
                <w:rFonts w:hint="eastAsia"/>
                <w:color w:val="auto"/>
                <w:kern w:val="0"/>
                <w:sz w:val="24"/>
                <w:highlight w:val="none"/>
              </w:rPr>
              <w:t>数量</w:t>
            </w:r>
          </w:p>
        </w:tc>
        <w:tc>
          <w:tcPr>
            <w:tcW w:w="862" w:type="dxa"/>
            <w:tcBorders>
              <w:top w:val="single" w:color="000000" w:sz="4" w:space="0"/>
              <w:left w:val="single" w:color="000000" w:sz="4" w:space="0"/>
              <w:bottom w:val="single" w:color="000000" w:sz="4" w:space="0"/>
              <w:right w:val="single" w:color="000000" w:sz="4" w:space="0"/>
            </w:tcBorders>
            <w:noWrap/>
            <w:vAlign w:val="center"/>
          </w:tcPr>
          <w:p w14:paraId="47023A3C">
            <w:pPr>
              <w:spacing w:line="360" w:lineRule="auto"/>
              <w:jc w:val="center"/>
              <w:rPr>
                <w:color w:val="auto"/>
                <w:kern w:val="0"/>
                <w:sz w:val="24"/>
                <w:highlight w:val="none"/>
              </w:rPr>
            </w:pPr>
            <w:r>
              <w:rPr>
                <w:rFonts w:hint="eastAsia"/>
                <w:color w:val="auto"/>
                <w:kern w:val="0"/>
                <w:sz w:val="24"/>
                <w:highlight w:val="none"/>
              </w:rPr>
              <w:t>单位</w:t>
            </w:r>
          </w:p>
        </w:tc>
      </w:tr>
      <w:tr w14:paraId="35C9A394">
        <w:tblPrEx>
          <w:tblCellMar>
            <w:top w:w="0" w:type="dxa"/>
            <w:left w:w="108" w:type="dxa"/>
            <w:bottom w:w="0" w:type="dxa"/>
            <w:right w:w="108" w:type="dxa"/>
          </w:tblCellMar>
        </w:tblPrEx>
        <w:trPr>
          <w:trHeight w:val="567" w:hRule="atLeast"/>
          <w:jc w:val="center"/>
        </w:trPr>
        <w:tc>
          <w:tcPr>
            <w:tcW w:w="839" w:type="dxa"/>
            <w:tcBorders>
              <w:top w:val="single" w:color="000000" w:sz="4" w:space="0"/>
              <w:left w:val="single" w:color="000000" w:sz="4" w:space="0"/>
              <w:bottom w:val="single" w:color="000000" w:sz="4" w:space="0"/>
              <w:right w:val="single" w:color="000000" w:sz="4" w:space="0"/>
            </w:tcBorders>
            <w:noWrap/>
            <w:vAlign w:val="center"/>
          </w:tcPr>
          <w:p w14:paraId="5D7B6DC5">
            <w:pPr>
              <w:spacing w:line="360" w:lineRule="auto"/>
              <w:jc w:val="center"/>
              <w:rPr>
                <w:color w:val="auto"/>
                <w:kern w:val="0"/>
                <w:sz w:val="24"/>
                <w:highlight w:val="none"/>
              </w:rPr>
            </w:pPr>
            <w:r>
              <w:rPr>
                <w:rFonts w:hint="eastAsia"/>
                <w:color w:val="auto"/>
                <w:kern w:val="0"/>
                <w:sz w:val="24"/>
                <w:highlight w:val="none"/>
              </w:rPr>
              <w:t>1</w:t>
            </w:r>
          </w:p>
        </w:tc>
        <w:tc>
          <w:tcPr>
            <w:tcW w:w="3523" w:type="dxa"/>
            <w:tcBorders>
              <w:top w:val="single" w:color="000000" w:sz="4" w:space="0"/>
              <w:left w:val="single" w:color="000000" w:sz="4" w:space="0"/>
              <w:bottom w:val="single" w:color="000000" w:sz="4" w:space="0"/>
              <w:right w:val="single" w:color="000000" w:sz="4" w:space="0"/>
            </w:tcBorders>
            <w:noWrap/>
            <w:vAlign w:val="center"/>
          </w:tcPr>
          <w:p w14:paraId="632F1028">
            <w:pPr>
              <w:spacing w:line="360" w:lineRule="auto"/>
              <w:jc w:val="center"/>
              <w:rPr>
                <w:color w:val="auto"/>
                <w:kern w:val="0"/>
                <w:sz w:val="24"/>
                <w:highlight w:val="none"/>
              </w:rPr>
            </w:pPr>
            <w:r>
              <w:rPr>
                <w:rFonts w:hint="eastAsia"/>
                <w:color w:val="auto"/>
                <w:kern w:val="0"/>
                <w:sz w:val="24"/>
                <w:highlight w:val="none"/>
              </w:rPr>
              <w:t>高精度CO</w:t>
            </w:r>
            <w:r>
              <w:rPr>
                <w:rFonts w:hint="eastAsia"/>
                <w:color w:val="auto"/>
                <w:kern w:val="0"/>
                <w:sz w:val="24"/>
                <w:highlight w:val="none"/>
                <w:vertAlign w:val="subscript"/>
              </w:rPr>
              <w:t>2</w:t>
            </w:r>
            <w:r>
              <w:rPr>
                <w:rFonts w:hint="eastAsia"/>
                <w:color w:val="auto"/>
                <w:kern w:val="0"/>
                <w:sz w:val="24"/>
                <w:highlight w:val="none"/>
              </w:rPr>
              <w:t>、CH</w:t>
            </w:r>
            <w:r>
              <w:rPr>
                <w:rFonts w:hint="eastAsia"/>
                <w:color w:val="auto"/>
                <w:kern w:val="0"/>
                <w:sz w:val="24"/>
                <w:highlight w:val="none"/>
                <w:vertAlign w:val="subscript"/>
              </w:rPr>
              <w:t>4</w:t>
            </w:r>
            <w:r>
              <w:rPr>
                <w:rFonts w:hint="eastAsia"/>
                <w:color w:val="auto"/>
                <w:kern w:val="0"/>
                <w:sz w:val="24"/>
                <w:highlight w:val="none"/>
              </w:rPr>
              <w:t>、CO温室气体分析仪</w:t>
            </w:r>
          </w:p>
        </w:tc>
        <w:tc>
          <w:tcPr>
            <w:tcW w:w="2809" w:type="dxa"/>
            <w:tcBorders>
              <w:top w:val="single" w:color="000000" w:sz="4" w:space="0"/>
              <w:left w:val="single" w:color="000000" w:sz="4" w:space="0"/>
              <w:bottom w:val="single" w:color="000000" w:sz="4" w:space="0"/>
              <w:right w:val="single" w:color="000000" w:sz="4" w:space="0"/>
            </w:tcBorders>
            <w:noWrap/>
            <w:vAlign w:val="center"/>
          </w:tcPr>
          <w:p w14:paraId="1F8BB676">
            <w:pPr>
              <w:spacing w:line="360" w:lineRule="auto"/>
              <w:jc w:val="center"/>
              <w:rPr>
                <w:color w:val="auto"/>
                <w:kern w:val="0"/>
                <w:sz w:val="24"/>
                <w:highlight w:val="none"/>
              </w:rPr>
            </w:pPr>
            <w:r>
              <w:rPr>
                <w:rFonts w:hint="eastAsia"/>
                <w:color w:val="auto"/>
                <w:kern w:val="0"/>
                <w:sz w:val="24"/>
                <w:highlight w:val="none"/>
              </w:rPr>
              <w:t>PICARRO G2401</w:t>
            </w:r>
          </w:p>
        </w:tc>
        <w:tc>
          <w:tcPr>
            <w:tcW w:w="783" w:type="dxa"/>
            <w:tcBorders>
              <w:top w:val="single" w:color="000000" w:sz="4" w:space="0"/>
              <w:left w:val="single" w:color="000000" w:sz="4" w:space="0"/>
              <w:bottom w:val="single" w:color="000000" w:sz="4" w:space="0"/>
              <w:right w:val="single" w:color="000000" w:sz="4" w:space="0"/>
            </w:tcBorders>
            <w:noWrap/>
            <w:vAlign w:val="center"/>
          </w:tcPr>
          <w:p w14:paraId="4DE37DDF">
            <w:pPr>
              <w:spacing w:line="360" w:lineRule="auto"/>
              <w:jc w:val="center"/>
              <w:rPr>
                <w:color w:val="auto"/>
                <w:kern w:val="0"/>
                <w:sz w:val="24"/>
                <w:highlight w:val="none"/>
              </w:rPr>
            </w:pPr>
            <w:r>
              <w:rPr>
                <w:rFonts w:hint="eastAsia"/>
                <w:color w:val="auto"/>
                <w:kern w:val="0"/>
                <w:sz w:val="24"/>
                <w:highlight w:val="none"/>
              </w:rPr>
              <w:t>1</w:t>
            </w:r>
          </w:p>
        </w:tc>
        <w:tc>
          <w:tcPr>
            <w:tcW w:w="862" w:type="dxa"/>
            <w:tcBorders>
              <w:top w:val="single" w:color="000000" w:sz="4" w:space="0"/>
              <w:left w:val="single" w:color="000000" w:sz="4" w:space="0"/>
              <w:bottom w:val="single" w:color="000000" w:sz="4" w:space="0"/>
              <w:right w:val="single" w:color="000000" w:sz="4" w:space="0"/>
            </w:tcBorders>
            <w:noWrap/>
            <w:vAlign w:val="center"/>
          </w:tcPr>
          <w:p w14:paraId="2B60A5E9">
            <w:pPr>
              <w:spacing w:line="360" w:lineRule="auto"/>
              <w:jc w:val="center"/>
              <w:rPr>
                <w:color w:val="auto"/>
                <w:kern w:val="0"/>
                <w:sz w:val="24"/>
                <w:highlight w:val="none"/>
              </w:rPr>
            </w:pPr>
            <w:r>
              <w:rPr>
                <w:rFonts w:hint="eastAsia"/>
                <w:color w:val="auto"/>
                <w:kern w:val="0"/>
                <w:sz w:val="24"/>
                <w:highlight w:val="none"/>
              </w:rPr>
              <w:t>台</w:t>
            </w:r>
          </w:p>
        </w:tc>
      </w:tr>
      <w:tr w14:paraId="01071C72">
        <w:tblPrEx>
          <w:tblCellMar>
            <w:top w:w="0" w:type="dxa"/>
            <w:left w:w="108" w:type="dxa"/>
            <w:bottom w:w="0" w:type="dxa"/>
            <w:right w:w="108" w:type="dxa"/>
          </w:tblCellMar>
        </w:tblPrEx>
        <w:trPr>
          <w:trHeight w:val="567" w:hRule="atLeast"/>
          <w:jc w:val="center"/>
        </w:trPr>
        <w:tc>
          <w:tcPr>
            <w:tcW w:w="839" w:type="dxa"/>
            <w:tcBorders>
              <w:top w:val="single" w:color="000000" w:sz="4" w:space="0"/>
              <w:left w:val="single" w:color="000000" w:sz="4" w:space="0"/>
              <w:bottom w:val="single" w:color="000000" w:sz="4" w:space="0"/>
              <w:right w:val="single" w:color="000000" w:sz="4" w:space="0"/>
            </w:tcBorders>
            <w:noWrap/>
            <w:vAlign w:val="center"/>
          </w:tcPr>
          <w:p w14:paraId="139526A1">
            <w:pPr>
              <w:spacing w:line="360" w:lineRule="auto"/>
              <w:jc w:val="center"/>
              <w:rPr>
                <w:color w:val="auto"/>
                <w:kern w:val="0"/>
                <w:sz w:val="24"/>
                <w:highlight w:val="none"/>
              </w:rPr>
            </w:pPr>
            <w:r>
              <w:rPr>
                <w:rFonts w:hint="eastAsia"/>
                <w:color w:val="auto"/>
                <w:kern w:val="0"/>
                <w:sz w:val="24"/>
                <w:highlight w:val="none"/>
              </w:rPr>
              <w:t>2</w:t>
            </w:r>
          </w:p>
        </w:tc>
        <w:tc>
          <w:tcPr>
            <w:tcW w:w="3523" w:type="dxa"/>
            <w:tcBorders>
              <w:top w:val="single" w:color="000000" w:sz="4" w:space="0"/>
              <w:left w:val="single" w:color="000000" w:sz="4" w:space="0"/>
              <w:bottom w:val="single" w:color="000000" w:sz="4" w:space="0"/>
              <w:right w:val="single" w:color="000000" w:sz="4" w:space="0"/>
            </w:tcBorders>
            <w:noWrap/>
            <w:vAlign w:val="center"/>
          </w:tcPr>
          <w:p w14:paraId="5BF7BB5D">
            <w:pPr>
              <w:spacing w:line="360" w:lineRule="auto"/>
              <w:jc w:val="center"/>
              <w:rPr>
                <w:color w:val="auto"/>
                <w:kern w:val="0"/>
                <w:sz w:val="24"/>
                <w:highlight w:val="none"/>
              </w:rPr>
            </w:pPr>
            <w:r>
              <w:rPr>
                <w:rFonts w:hint="eastAsia"/>
                <w:color w:val="auto"/>
                <w:kern w:val="0"/>
                <w:sz w:val="24"/>
                <w:highlight w:val="none"/>
              </w:rPr>
              <w:t>进样阀箱</w:t>
            </w:r>
          </w:p>
        </w:tc>
        <w:tc>
          <w:tcPr>
            <w:tcW w:w="2809" w:type="dxa"/>
            <w:tcBorders>
              <w:top w:val="single" w:color="000000" w:sz="4" w:space="0"/>
              <w:left w:val="single" w:color="000000" w:sz="4" w:space="0"/>
              <w:bottom w:val="single" w:color="000000" w:sz="4" w:space="0"/>
              <w:right w:val="single" w:color="000000" w:sz="4" w:space="0"/>
            </w:tcBorders>
            <w:noWrap/>
            <w:vAlign w:val="center"/>
          </w:tcPr>
          <w:p w14:paraId="49DBC690">
            <w:pPr>
              <w:spacing w:line="360" w:lineRule="auto"/>
              <w:jc w:val="center"/>
              <w:rPr>
                <w:color w:val="auto"/>
                <w:kern w:val="0"/>
                <w:sz w:val="24"/>
                <w:highlight w:val="none"/>
              </w:rPr>
            </w:pPr>
            <w:r>
              <w:rPr>
                <w:rFonts w:hint="eastAsia"/>
                <w:color w:val="auto"/>
                <w:kern w:val="0"/>
                <w:sz w:val="24"/>
                <w:highlight w:val="none"/>
              </w:rPr>
              <w:t>世纪朝阳 定制</w:t>
            </w:r>
          </w:p>
        </w:tc>
        <w:tc>
          <w:tcPr>
            <w:tcW w:w="783" w:type="dxa"/>
            <w:tcBorders>
              <w:top w:val="single" w:color="000000" w:sz="4" w:space="0"/>
              <w:left w:val="single" w:color="000000" w:sz="4" w:space="0"/>
              <w:bottom w:val="single" w:color="000000" w:sz="4" w:space="0"/>
              <w:right w:val="single" w:color="000000" w:sz="4" w:space="0"/>
            </w:tcBorders>
            <w:noWrap/>
            <w:vAlign w:val="center"/>
          </w:tcPr>
          <w:p w14:paraId="0F5D4BBF">
            <w:pPr>
              <w:spacing w:line="360" w:lineRule="auto"/>
              <w:jc w:val="center"/>
              <w:rPr>
                <w:color w:val="auto"/>
                <w:kern w:val="0"/>
                <w:sz w:val="24"/>
                <w:highlight w:val="none"/>
              </w:rPr>
            </w:pPr>
            <w:r>
              <w:rPr>
                <w:rFonts w:hint="eastAsia"/>
                <w:color w:val="auto"/>
                <w:kern w:val="0"/>
                <w:sz w:val="24"/>
                <w:highlight w:val="none"/>
              </w:rPr>
              <w:t>1</w:t>
            </w:r>
          </w:p>
        </w:tc>
        <w:tc>
          <w:tcPr>
            <w:tcW w:w="862" w:type="dxa"/>
            <w:tcBorders>
              <w:top w:val="single" w:color="000000" w:sz="4" w:space="0"/>
              <w:left w:val="single" w:color="000000" w:sz="4" w:space="0"/>
              <w:bottom w:val="single" w:color="000000" w:sz="4" w:space="0"/>
              <w:right w:val="single" w:color="000000" w:sz="4" w:space="0"/>
            </w:tcBorders>
            <w:noWrap/>
            <w:vAlign w:val="center"/>
          </w:tcPr>
          <w:p w14:paraId="092F922A">
            <w:pPr>
              <w:spacing w:line="360" w:lineRule="auto"/>
              <w:jc w:val="center"/>
              <w:rPr>
                <w:color w:val="auto"/>
                <w:kern w:val="0"/>
                <w:sz w:val="24"/>
                <w:highlight w:val="none"/>
              </w:rPr>
            </w:pPr>
            <w:r>
              <w:rPr>
                <w:rFonts w:hint="eastAsia"/>
                <w:color w:val="auto"/>
                <w:kern w:val="0"/>
                <w:sz w:val="24"/>
                <w:highlight w:val="none"/>
              </w:rPr>
              <w:t>台</w:t>
            </w:r>
          </w:p>
        </w:tc>
      </w:tr>
      <w:tr w14:paraId="39FE574C">
        <w:tblPrEx>
          <w:tblCellMar>
            <w:top w:w="0" w:type="dxa"/>
            <w:left w:w="108" w:type="dxa"/>
            <w:bottom w:w="0" w:type="dxa"/>
            <w:right w:w="108" w:type="dxa"/>
          </w:tblCellMar>
        </w:tblPrEx>
        <w:trPr>
          <w:trHeight w:val="567" w:hRule="atLeast"/>
          <w:jc w:val="center"/>
        </w:trPr>
        <w:tc>
          <w:tcPr>
            <w:tcW w:w="839" w:type="dxa"/>
            <w:tcBorders>
              <w:top w:val="single" w:color="000000" w:sz="4" w:space="0"/>
              <w:left w:val="single" w:color="000000" w:sz="4" w:space="0"/>
              <w:bottom w:val="single" w:color="000000" w:sz="4" w:space="0"/>
              <w:right w:val="single" w:color="000000" w:sz="4" w:space="0"/>
            </w:tcBorders>
            <w:noWrap/>
            <w:vAlign w:val="center"/>
          </w:tcPr>
          <w:p w14:paraId="08DAE3F6">
            <w:pPr>
              <w:spacing w:line="360" w:lineRule="auto"/>
              <w:jc w:val="center"/>
              <w:rPr>
                <w:color w:val="auto"/>
                <w:kern w:val="0"/>
                <w:sz w:val="24"/>
                <w:highlight w:val="none"/>
              </w:rPr>
            </w:pPr>
            <w:r>
              <w:rPr>
                <w:rFonts w:hint="eastAsia"/>
                <w:color w:val="auto"/>
                <w:kern w:val="0"/>
                <w:sz w:val="24"/>
                <w:highlight w:val="none"/>
              </w:rPr>
              <w:t>3</w:t>
            </w:r>
          </w:p>
        </w:tc>
        <w:tc>
          <w:tcPr>
            <w:tcW w:w="3523" w:type="dxa"/>
            <w:tcBorders>
              <w:top w:val="single" w:color="000000" w:sz="4" w:space="0"/>
              <w:left w:val="single" w:color="000000" w:sz="4" w:space="0"/>
              <w:bottom w:val="single" w:color="000000" w:sz="4" w:space="0"/>
              <w:right w:val="single" w:color="000000" w:sz="4" w:space="0"/>
            </w:tcBorders>
            <w:noWrap/>
            <w:vAlign w:val="center"/>
          </w:tcPr>
          <w:p w14:paraId="5067FDBA">
            <w:pPr>
              <w:spacing w:line="360" w:lineRule="auto"/>
              <w:jc w:val="center"/>
              <w:rPr>
                <w:color w:val="auto"/>
                <w:kern w:val="0"/>
                <w:sz w:val="24"/>
                <w:highlight w:val="none"/>
              </w:rPr>
            </w:pPr>
            <w:r>
              <w:rPr>
                <w:rFonts w:hint="eastAsia"/>
                <w:color w:val="auto"/>
                <w:kern w:val="0"/>
                <w:sz w:val="24"/>
                <w:highlight w:val="none"/>
              </w:rPr>
              <w:t>超低温冷阱</w:t>
            </w:r>
          </w:p>
        </w:tc>
        <w:tc>
          <w:tcPr>
            <w:tcW w:w="2809" w:type="dxa"/>
            <w:tcBorders>
              <w:top w:val="single" w:color="000000" w:sz="4" w:space="0"/>
              <w:left w:val="single" w:color="000000" w:sz="4" w:space="0"/>
              <w:bottom w:val="single" w:color="000000" w:sz="4" w:space="0"/>
              <w:right w:val="single" w:color="000000" w:sz="4" w:space="0"/>
            </w:tcBorders>
            <w:noWrap/>
            <w:vAlign w:val="center"/>
          </w:tcPr>
          <w:p w14:paraId="407DB81A">
            <w:pPr>
              <w:spacing w:line="360" w:lineRule="auto"/>
              <w:jc w:val="center"/>
              <w:rPr>
                <w:color w:val="auto"/>
                <w:kern w:val="0"/>
                <w:sz w:val="24"/>
                <w:highlight w:val="none"/>
              </w:rPr>
            </w:pPr>
            <w:r>
              <w:rPr>
                <w:rFonts w:hint="eastAsia"/>
                <w:color w:val="auto"/>
                <w:kern w:val="0"/>
                <w:sz w:val="24"/>
                <w:highlight w:val="none"/>
              </w:rPr>
              <w:t>世纪朝阳 CS-8000</w:t>
            </w:r>
          </w:p>
        </w:tc>
        <w:tc>
          <w:tcPr>
            <w:tcW w:w="783" w:type="dxa"/>
            <w:tcBorders>
              <w:top w:val="single" w:color="000000" w:sz="4" w:space="0"/>
              <w:left w:val="single" w:color="000000" w:sz="4" w:space="0"/>
              <w:bottom w:val="single" w:color="000000" w:sz="4" w:space="0"/>
              <w:right w:val="single" w:color="000000" w:sz="4" w:space="0"/>
            </w:tcBorders>
            <w:noWrap/>
            <w:vAlign w:val="center"/>
          </w:tcPr>
          <w:p w14:paraId="320C926A">
            <w:pPr>
              <w:spacing w:line="360" w:lineRule="auto"/>
              <w:jc w:val="center"/>
              <w:rPr>
                <w:color w:val="auto"/>
                <w:kern w:val="0"/>
                <w:sz w:val="24"/>
                <w:highlight w:val="none"/>
              </w:rPr>
            </w:pPr>
            <w:r>
              <w:rPr>
                <w:rFonts w:hint="eastAsia"/>
                <w:color w:val="auto"/>
                <w:kern w:val="0"/>
                <w:sz w:val="24"/>
                <w:highlight w:val="none"/>
              </w:rPr>
              <w:t>1</w:t>
            </w:r>
          </w:p>
        </w:tc>
        <w:tc>
          <w:tcPr>
            <w:tcW w:w="862" w:type="dxa"/>
            <w:tcBorders>
              <w:top w:val="single" w:color="000000" w:sz="4" w:space="0"/>
              <w:left w:val="single" w:color="000000" w:sz="4" w:space="0"/>
              <w:bottom w:val="single" w:color="000000" w:sz="4" w:space="0"/>
              <w:right w:val="single" w:color="000000" w:sz="4" w:space="0"/>
            </w:tcBorders>
            <w:noWrap/>
            <w:vAlign w:val="center"/>
          </w:tcPr>
          <w:p w14:paraId="2759C599">
            <w:pPr>
              <w:spacing w:line="360" w:lineRule="auto"/>
              <w:jc w:val="center"/>
              <w:rPr>
                <w:color w:val="auto"/>
                <w:kern w:val="0"/>
                <w:sz w:val="24"/>
                <w:highlight w:val="none"/>
              </w:rPr>
            </w:pPr>
            <w:r>
              <w:rPr>
                <w:rFonts w:hint="eastAsia"/>
                <w:color w:val="auto"/>
                <w:kern w:val="0"/>
                <w:sz w:val="24"/>
                <w:highlight w:val="none"/>
              </w:rPr>
              <w:t>套</w:t>
            </w:r>
          </w:p>
        </w:tc>
      </w:tr>
      <w:tr w14:paraId="4E04889F">
        <w:tblPrEx>
          <w:tblCellMar>
            <w:top w:w="0" w:type="dxa"/>
            <w:left w:w="108" w:type="dxa"/>
            <w:bottom w:w="0" w:type="dxa"/>
            <w:right w:w="108" w:type="dxa"/>
          </w:tblCellMar>
        </w:tblPrEx>
        <w:trPr>
          <w:trHeight w:val="567" w:hRule="atLeast"/>
          <w:jc w:val="center"/>
        </w:trPr>
        <w:tc>
          <w:tcPr>
            <w:tcW w:w="839" w:type="dxa"/>
            <w:tcBorders>
              <w:top w:val="single" w:color="000000" w:sz="4" w:space="0"/>
              <w:left w:val="single" w:color="000000" w:sz="4" w:space="0"/>
              <w:bottom w:val="single" w:color="000000" w:sz="4" w:space="0"/>
              <w:right w:val="single" w:color="000000" w:sz="4" w:space="0"/>
            </w:tcBorders>
            <w:noWrap/>
            <w:vAlign w:val="center"/>
          </w:tcPr>
          <w:p w14:paraId="6D67DAD8">
            <w:pPr>
              <w:spacing w:line="360" w:lineRule="auto"/>
              <w:jc w:val="center"/>
              <w:rPr>
                <w:color w:val="auto"/>
                <w:kern w:val="0"/>
                <w:sz w:val="24"/>
                <w:highlight w:val="none"/>
              </w:rPr>
            </w:pPr>
            <w:r>
              <w:rPr>
                <w:rFonts w:hint="eastAsia"/>
                <w:color w:val="auto"/>
                <w:kern w:val="0"/>
                <w:sz w:val="24"/>
                <w:highlight w:val="none"/>
              </w:rPr>
              <w:t>4</w:t>
            </w:r>
          </w:p>
        </w:tc>
        <w:tc>
          <w:tcPr>
            <w:tcW w:w="3523" w:type="dxa"/>
            <w:tcBorders>
              <w:top w:val="single" w:color="000000" w:sz="4" w:space="0"/>
              <w:left w:val="single" w:color="000000" w:sz="4" w:space="0"/>
              <w:bottom w:val="single" w:color="000000" w:sz="4" w:space="0"/>
              <w:right w:val="single" w:color="000000" w:sz="4" w:space="0"/>
            </w:tcBorders>
            <w:noWrap/>
            <w:vAlign w:val="center"/>
          </w:tcPr>
          <w:p w14:paraId="44438150">
            <w:pPr>
              <w:spacing w:line="360" w:lineRule="auto"/>
              <w:jc w:val="center"/>
              <w:rPr>
                <w:color w:val="auto"/>
                <w:kern w:val="0"/>
                <w:sz w:val="24"/>
                <w:highlight w:val="none"/>
              </w:rPr>
            </w:pPr>
            <w:r>
              <w:rPr>
                <w:rFonts w:hint="eastAsia"/>
                <w:color w:val="auto"/>
                <w:kern w:val="0"/>
                <w:sz w:val="24"/>
                <w:highlight w:val="none"/>
              </w:rPr>
              <w:t>电子冷凝器</w:t>
            </w:r>
          </w:p>
        </w:tc>
        <w:tc>
          <w:tcPr>
            <w:tcW w:w="2809" w:type="dxa"/>
            <w:tcBorders>
              <w:top w:val="single" w:color="000000" w:sz="4" w:space="0"/>
              <w:left w:val="single" w:color="000000" w:sz="4" w:space="0"/>
              <w:bottom w:val="single" w:color="000000" w:sz="4" w:space="0"/>
              <w:right w:val="single" w:color="000000" w:sz="4" w:space="0"/>
            </w:tcBorders>
            <w:noWrap/>
            <w:vAlign w:val="center"/>
          </w:tcPr>
          <w:p w14:paraId="6CC4A2D1">
            <w:pPr>
              <w:spacing w:line="360" w:lineRule="auto"/>
              <w:jc w:val="center"/>
              <w:rPr>
                <w:color w:val="auto"/>
                <w:kern w:val="0"/>
                <w:sz w:val="24"/>
                <w:highlight w:val="none"/>
              </w:rPr>
            </w:pPr>
            <w:r>
              <w:rPr>
                <w:rFonts w:hint="eastAsia"/>
                <w:color w:val="auto"/>
                <w:kern w:val="0"/>
                <w:sz w:val="24"/>
                <w:highlight w:val="none"/>
              </w:rPr>
              <w:t>CS-7A</w:t>
            </w:r>
          </w:p>
        </w:tc>
        <w:tc>
          <w:tcPr>
            <w:tcW w:w="783" w:type="dxa"/>
            <w:tcBorders>
              <w:top w:val="single" w:color="000000" w:sz="4" w:space="0"/>
              <w:left w:val="single" w:color="000000" w:sz="4" w:space="0"/>
              <w:bottom w:val="single" w:color="000000" w:sz="4" w:space="0"/>
              <w:right w:val="single" w:color="000000" w:sz="4" w:space="0"/>
            </w:tcBorders>
            <w:noWrap/>
            <w:vAlign w:val="center"/>
          </w:tcPr>
          <w:p w14:paraId="4EA71413">
            <w:pPr>
              <w:spacing w:line="360" w:lineRule="auto"/>
              <w:jc w:val="center"/>
              <w:rPr>
                <w:color w:val="auto"/>
                <w:kern w:val="0"/>
                <w:sz w:val="24"/>
                <w:highlight w:val="none"/>
              </w:rPr>
            </w:pPr>
            <w:r>
              <w:rPr>
                <w:rFonts w:hint="eastAsia"/>
                <w:color w:val="auto"/>
                <w:kern w:val="0"/>
                <w:sz w:val="24"/>
                <w:highlight w:val="none"/>
              </w:rPr>
              <w:t>1</w:t>
            </w:r>
          </w:p>
        </w:tc>
        <w:tc>
          <w:tcPr>
            <w:tcW w:w="862" w:type="dxa"/>
            <w:tcBorders>
              <w:top w:val="single" w:color="000000" w:sz="4" w:space="0"/>
              <w:left w:val="single" w:color="000000" w:sz="4" w:space="0"/>
              <w:bottom w:val="single" w:color="000000" w:sz="4" w:space="0"/>
              <w:right w:val="single" w:color="000000" w:sz="4" w:space="0"/>
            </w:tcBorders>
            <w:noWrap/>
            <w:vAlign w:val="center"/>
          </w:tcPr>
          <w:p w14:paraId="7ABA0952">
            <w:pPr>
              <w:spacing w:line="360" w:lineRule="auto"/>
              <w:jc w:val="center"/>
              <w:rPr>
                <w:color w:val="auto"/>
                <w:kern w:val="0"/>
                <w:sz w:val="24"/>
                <w:highlight w:val="none"/>
              </w:rPr>
            </w:pPr>
            <w:r>
              <w:rPr>
                <w:rFonts w:hint="eastAsia"/>
                <w:color w:val="auto"/>
                <w:kern w:val="0"/>
                <w:sz w:val="24"/>
                <w:highlight w:val="none"/>
              </w:rPr>
              <w:t>台</w:t>
            </w:r>
          </w:p>
        </w:tc>
      </w:tr>
      <w:tr w14:paraId="519B617F">
        <w:tblPrEx>
          <w:tblCellMar>
            <w:top w:w="0" w:type="dxa"/>
            <w:left w:w="108" w:type="dxa"/>
            <w:bottom w:w="0" w:type="dxa"/>
            <w:right w:w="108" w:type="dxa"/>
          </w:tblCellMar>
        </w:tblPrEx>
        <w:trPr>
          <w:trHeight w:val="851" w:hRule="atLeast"/>
          <w:jc w:val="center"/>
        </w:trPr>
        <w:tc>
          <w:tcPr>
            <w:tcW w:w="839" w:type="dxa"/>
            <w:tcBorders>
              <w:top w:val="single" w:color="000000" w:sz="4" w:space="0"/>
              <w:left w:val="single" w:color="000000" w:sz="4" w:space="0"/>
              <w:bottom w:val="single" w:color="000000" w:sz="4" w:space="0"/>
              <w:right w:val="single" w:color="000000" w:sz="4" w:space="0"/>
            </w:tcBorders>
            <w:noWrap/>
            <w:vAlign w:val="center"/>
          </w:tcPr>
          <w:p w14:paraId="1EFA2317">
            <w:pPr>
              <w:spacing w:line="360" w:lineRule="auto"/>
              <w:jc w:val="center"/>
              <w:rPr>
                <w:color w:val="auto"/>
                <w:kern w:val="0"/>
                <w:sz w:val="24"/>
                <w:highlight w:val="none"/>
              </w:rPr>
            </w:pPr>
            <w:r>
              <w:rPr>
                <w:rFonts w:hint="eastAsia"/>
                <w:color w:val="auto"/>
                <w:kern w:val="0"/>
                <w:sz w:val="24"/>
                <w:highlight w:val="none"/>
              </w:rPr>
              <w:t>5</w:t>
            </w:r>
          </w:p>
        </w:tc>
        <w:tc>
          <w:tcPr>
            <w:tcW w:w="3523" w:type="dxa"/>
            <w:tcBorders>
              <w:top w:val="single" w:color="000000" w:sz="4" w:space="0"/>
              <w:left w:val="single" w:color="000000" w:sz="4" w:space="0"/>
              <w:bottom w:val="single" w:color="000000" w:sz="4" w:space="0"/>
              <w:right w:val="single" w:color="000000" w:sz="4" w:space="0"/>
            </w:tcBorders>
            <w:noWrap/>
            <w:vAlign w:val="center"/>
          </w:tcPr>
          <w:p w14:paraId="7D20EF56">
            <w:pPr>
              <w:spacing w:line="360" w:lineRule="auto"/>
              <w:jc w:val="center"/>
              <w:rPr>
                <w:color w:val="auto"/>
                <w:kern w:val="0"/>
                <w:sz w:val="24"/>
                <w:highlight w:val="none"/>
              </w:rPr>
            </w:pPr>
            <w:r>
              <w:rPr>
                <w:rFonts w:hint="eastAsia"/>
                <w:color w:val="auto"/>
                <w:kern w:val="0"/>
                <w:sz w:val="24"/>
                <w:highlight w:val="none"/>
              </w:rPr>
              <w:t>工控机</w:t>
            </w:r>
          </w:p>
        </w:tc>
        <w:tc>
          <w:tcPr>
            <w:tcW w:w="2809" w:type="dxa"/>
            <w:tcBorders>
              <w:top w:val="single" w:color="000000" w:sz="4" w:space="0"/>
              <w:left w:val="single" w:color="000000" w:sz="4" w:space="0"/>
              <w:bottom w:val="single" w:color="000000" w:sz="4" w:space="0"/>
              <w:right w:val="single" w:color="000000" w:sz="4" w:space="0"/>
            </w:tcBorders>
            <w:noWrap/>
            <w:vAlign w:val="center"/>
          </w:tcPr>
          <w:p w14:paraId="738AA91B">
            <w:pPr>
              <w:spacing w:line="360" w:lineRule="auto"/>
              <w:jc w:val="center"/>
              <w:rPr>
                <w:color w:val="auto"/>
                <w:kern w:val="0"/>
                <w:sz w:val="24"/>
                <w:highlight w:val="none"/>
              </w:rPr>
            </w:pPr>
            <w:r>
              <w:rPr>
                <w:rFonts w:hint="eastAsia"/>
                <w:color w:val="auto"/>
                <w:kern w:val="0"/>
                <w:sz w:val="24"/>
                <w:highlight w:val="none"/>
              </w:rPr>
              <w:t>研华ACP-40000/1PC-610 series</w:t>
            </w:r>
          </w:p>
        </w:tc>
        <w:tc>
          <w:tcPr>
            <w:tcW w:w="783" w:type="dxa"/>
            <w:tcBorders>
              <w:top w:val="single" w:color="000000" w:sz="4" w:space="0"/>
              <w:left w:val="single" w:color="000000" w:sz="4" w:space="0"/>
              <w:bottom w:val="single" w:color="000000" w:sz="4" w:space="0"/>
              <w:right w:val="single" w:color="000000" w:sz="4" w:space="0"/>
            </w:tcBorders>
            <w:noWrap/>
            <w:vAlign w:val="center"/>
          </w:tcPr>
          <w:p w14:paraId="29865C2F">
            <w:pPr>
              <w:spacing w:line="360" w:lineRule="auto"/>
              <w:jc w:val="center"/>
              <w:rPr>
                <w:color w:val="auto"/>
                <w:kern w:val="0"/>
                <w:sz w:val="24"/>
                <w:highlight w:val="none"/>
              </w:rPr>
            </w:pPr>
            <w:r>
              <w:rPr>
                <w:rFonts w:hint="eastAsia"/>
                <w:color w:val="auto"/>
                <w:kern w:val="0"/>
                <w:sz w:val="24"/>
                <w:highlight w:val="none"/>
              </w:rPr>
              <w:t>1</w:t>
            </w:r>
          </w:p>
        </w:tc>
        <w:tc>
          <w:tcPr>
            <w:tcW w:w="862" w:type="dxa"/>
            <w:tcBorders>
              <w:top w:val="single" w:color="000000" w:sz="4" w:space="0"/>
              <w:left w:val="single" w:color="000000" w:sz="4" w:space="0"/>
              <w:bottom w:val="single" w:color="000000" w:sz="4" w:space="0"/>
              <w:right w:val="single" w:color="000000" w:sz="4" w:space="0"/>
            </w:tcBorders>
            <w:noWrap/>
            <w:vAlign w:val="center"/>
          </w:tcPr>
          <w:p w14:paraId="228B35CB">
            <w:pPr>
              <w:spacing w:line="360" w:lineRule="auto"/>
              <w:jc w:val="center"/>
              <w:rPr>
                <w:color w:val="auto"/>
                <w:kern w:val="0"/>
                <w:sz w:val="24"/>
                <w:highlight w:val="none"/>
              </w:rPr>
            </w:pPr>
            <w:r>
              <w:rPr>
                <w:rFonts w:hint="eastAsia"/>
                <w:color w:val="auto"/>
                <w:kern w:val="0"/>
                <w:sz w:val="24"/>
                <w:highlight w:val="none"/>
              </w:rPr>
              <w:t>台</w:t>
            </w:r>
          </w:p>
        </w:tc>
      </w:tr>
      <w:tr w14:paraId="782B806F">
        <w:tblPrEx>
          <w:tblCellMar>
            <w:top w:w="0" w:type="dxa"/>
            <w:left w:w="108" w:type="dxa"/>
            <w:bottom w:w="0" w:type="dxa"/>
            <w:right w:w="108" w:type="dxa"/>
          </w:tblCellMar>
        </w:tblPrEx>
        <w:trPr>
          <w:trHeight w:val="567" w:hRule="atLeast"/>
          <w:jc w:val="center"/>
        </w:trPr>
        <w:tc>
          <w:tcPr>
            <w:tcW w:w="839" w:type="dxa"/>
            <w:tcBorders>
              <w:top w:val="single" w:color="000000" w:sz="4" w:space="0"/>
              <w:left w:val="single" w:color="000000" w:sz="4" w:space="0"/>
              <w:bottom w:val="single" w:color="000000" w:sz="4" w:space="0"/>
              <w:right w:val="single" w:color="000000" w:sz="4" w:space="0"/>
            </w:tcBorders>
            <w:noWrap/>
            <w:vAlign w:val="center"/>
          </w:tcPr>
          <w:p w14:paraId="50F81A2E">
            <w:pPr>
              <w:spacing w:line="360" w:lineRule="auto"/>
              <w:jc w:val="center"/>
              <w:rPr>
                <w:color w:val="auto"/>
                <w:kern w:val="0"/>
                <w:sz w:val="24"/>
                <w:highlight w:val="none"/>
              </w:rPr>
            </w:pPr>
            <w:r>
              <w:rPr>
                <w:rFonts w:hint="eastAsia"/>
                <w:color w:val="auto"/>
                <w:kern w:val="0"/>
                <w:sz w:val="24"/>
                <w:highlight w:val="none"/>
              </w:rPr>
              <w:t>6</w:t>
            </w:r>
          </w:p>
        </w:tc>
        <w:tc>
          <w:tcPr>
            <w:tcW w:w="3523" w:type="dxa"/>
            <w:tcBorders>
              <w:top w:val="single" w:color="000000" w:sz="4" w:space="0"/>
              <w:left w:val="single" w:color="000000" w:sz="4" w:space="0"/>
              <w:bottom w:val="single" w:color="000000" w:sz="4" w:space="0"/>
              <w:right w:val="single" w:color="000000" w:sz="4" w:space="0"/>
            </w:tcBorders>
            <w:noWrap/>
            <w:vAlign w:val="center"/>
          </w:tcPr>
          <w:p w14:paraId="591136C5">
            <w:pPr>
              <w:spacing w:line="360" w:lineRule="auto"/>
              <w:jc w:val="center"/>
              <w:rPr>
                <w:color w:val="auto"/>
                <w:kern w:val="0"/>
                <w:sz w:val="24"/>
                <w:highlight w:val="none"/>
              </w:rPr>
            </w:pPr>
            <w:r>
              <w:rPr>
                <w:rFonts w:hint="eastAsia"/>
                <w:color w:val="auto"/>
                <w:kern w:val="0"/>
                <w:sz w:val="24"/>
                <w:highlight w:val="none"/>
              </w:rPr>
              <w:t>LCDKVM切换器</w:t>
            </w:r>
          </w:p>
        </w:tc>
        <w:tc>
          <w:tcPr>
            <w:tcW w:w="2809" w:type="dxa"/>
            <w:tcBorders>
              <w:top w:val="single" w:color="000000" w:sz="4" w:space="0"/>
              <w:left w:val="single" w:color="000000" w:sz="4" w:space="0"/>
              <w:bottom w:val="single" w:color="000000" w:sz="4" w:space="0"/>
              <w:right w:val="single" w:color="000000" w:sz="4" w:space="0"/>
            </w:tcBorders>
            <w:noWrap/>
            <w:vAlign w:val="center"/>
          </w:tcPr>
          <w:p w14:paraId="046EF82A">
            <w:pPr>
              <w:spacing w:line="360" w:lineRule="auto"/>
              <w:jc w:val="center"/>
              <w:rPr>
                <w:color w:val="auto"/>
                <w:kern w:val="0"/>
                <w:sz w:val="24"/>
                <w:highlight w:val="none"/>
              </w:rPr>
            </w:pPr>
            <w:r>
              <w:rPr>
                <w:rFonts w:hint="eastAsia"/>
                <w:color w:val="auto"/>
                <w:kern w:val="0"/>
                <w:sz w:val="24"/>
                <w:highlight w:val="none"/>
              </w:rPr>
              <w:t>龙远恒信 KVM-1708-VGA-D</w:t>
            </w:r>
          </w:p>
        </w:tc>
        <w:tc>
          <w:tcPr>
            <w:tcW w:w="783" w:type="dxa"/>
            <w:tcBorders>
              <w:top w:val="single" w:color="000000" w:sz="4" w:space="0"/>
              <w:left w:val="single" w:color="000000" w:sz="4" w:space="0"/>
              <w:bottom w:val="single" w:color="000000" w:sz="4" w:space="0"/>
              <w:right w:val="single" w:color="000000" w:sz="4" w:space="0"/>
            </w:tcBorders>
            <w:noWrap/>
            <w:vAlign w:val="center"/>
          </w:tcPr>
          <w:p w14:paraId="30331982">
            <w:pPr>
              <w:spacing w:line="360" w:lineRule="auto"/>
              <w:jc w:val="center"/>
              <w:rPr>
                <w:color w:val="auto"/>
                <w:kern w:val="0"/>
                <w:sz w:val="24"/>
                <w:highlight w:val="none"/>
              </w:rPr>
            </w:pPr>
            <w:r>
              <w:rPr>
                <w:rFonts w:hint="eastAsia"/>
                <w:color w:val="auto"/>
                <w:kern w:val="0"/>
                <w:sz w:val="24"/>
                <w:highlight w:val="none"/>
              </w:rPr>
              <w:t>1</w:t>
            </w:r>
          </w:p>
        </w:tc>
        <w:tc>
          <w:tcPr>
            <w:tcW w:w="862" w:type="dxa"/>
            <w:tcBorders>
              <w:top w:val="single" w:color="000000" w:sz="4" w:space="0"/>
              <w:left w:val="single" w:color="000000" w:sz="4" w:space="0"/>
              <w:bottom w:val="single" w:color="000000" w:sz="4" w:space="0"/>
              <w:right w:val="single" w:color="000000" w:sz="4" w:space="0"/>
            </w:tcBorders>
            <w:noWrap/>
            <w:vAlign w:val="center"/>
          </w:tcPr>
          <w:p w14:paraId="3366572F">
            <w:pPr>
              <w:spacing w:line="360" w:lineRule="auto"/>
              <w:jc w:val="center"/>
              <w:rPr>
                <w:color w:val="auto"/>
                <w:kern w:val="0"/>
                <w:sz w:val="24"/>
                <w:highlight w:val="none"/>
              </w:rPr>
            </w:pPr>
            <w:r>
              <w:rPr>
                <w:rFonts w:hint="eastAsia"/>
                <w:color w:val="auto"/>
                <w:kern w:val="0"/>
                <w:sz w:val="24"/>
                <w:highlight w:val="none"/>
              </w:rPr>
              <w:t>台</w:t>
            </w:r>
          </w:p>
        </w:tc>
      </w:tr>
      <w:tr w14:paraId="10C4BE8D">
        <w:tblPrEx>
          <w:tblCellMar>
            <w:top w:w="0" w:type="dxa"/>
            <w:left w:w="108" w:type="dxa"/>
            <w:bottom w:w="0" w:type="dxa"/>
            <w:right w:w="108" w:type="dxa"/>
          </w:tblCellMar>
        </w:tblPrEx>
        <w:trPr>
          <w:trHeight w:val="567" w:hRule="atLeast"/>
          <w:jc w:val="center"/>
        </w:trPr>
        <w:tc>
          <w:tcPr>
            <w:tcW w:w="839" w:type="dxa"/>
            <w:tcBorders>
              <w:top w:val="single" w:color="000000" w:sz="4" w:space="0"/>
              <w:left w:val="single" w:color="000000" w:sz="4" w:space="0"/>
              <w:bottom w:val="single" w:color="000000" w:sz="4" w:space="0"/>
              <w:right w:val="single" w:color="000000" w:sz="4" w:space="0"/>
            </w:tcBorders>
            <w:noWrap/>
            <w:vAlign w:val="center"/>
          </w:tcPr>
          <w:p w14:paraId="37EB24C6">
            <w:pPr>
              <w:spacing w:line="360" w:lineRule="auto"/>
              <w:jc w:val="center"/>
              <w:rPr>
                <w:color w:val="auto"/>
                <w:kern w:val="0"/>
                <w:sz w:val="24"/>
                <w:highlight w:val="none"/>
              </w:rPr>
            </w:pPr>
            <w:r>
              <w:rPr>
                <w:rFonts w:hint="eastAsia"/>
                <w:color w:val="auto"/>
                <w:kern w:val="0"/>
                <w:sz w:val="24"/>
                <w:highlight w:val="none"/>
              </w:rPr>
              <w:t>7</w:t>
            </w:r>
          </w:p>
        </w:tc>
        <w:tc>
          <w:tcPr>
            <w:tcW w:w="3523" w:type="dxa"/>
            <w:tcBorders>
              <w:top w:val="single" w:color="000000" w:sz="4" w:space="0"/>
              <w:left w:val="single" w:color="000000" w:sz="4" w:space="0"/>
              <w:bottom w:val="single" w:color="000000" w:sz="4" w:space="0"/>
              <w:right w:val="single" w:color="000000" w:sz="4" w:space="0"/>
            </w:tcBorders>
            <w:noWrap/>
            <w:vAlign w:val="center"/>
          </w:tcPr>
          <w:p w14:paraId="52EEA2E9">
            <w:pPr>
              <w:spacing w:line="360" w:lineRule="auto"/>
              <w:jc w:val="center"/>
              <w:rPr>
                <w:color w:val="auto"/>
                <w:kern w:val="0"/>
                <w:sz w:val="24"/>
                <w:highlight w:val="none"/>
              </w:rPr>
            </w:pPr>
            <w:r>
              <w:rPr>
                <w:rFonts w:hint="eastAsia"/>
                <w:color w:val="auto"/>
                <w:kern w:val="0"/>
                <w:sz w:val="24"/>
                <w:highlight w:val="none"/>
              </w:rPr>
              <w:t>采样泵</w:t>
            </w:r>
          </w:p>
        </w:tc>
        <w:tc>
          <w:tcPr>
            <w:tcW w:w="2809" w:type="dxa"/>
            <w:tcBorders>
              <w:top w:val="single" w:color="000000" w:sz="4" w:space="0"/>
              <w:left w:val="single" w:color="000000" w:sz="4" w:space="0"/>
              <w:bottom w:val="single" w:color="000000" w:sz="4" w:space="0"/>
              <w:right w:val="single" w:color="000000" w:sz="4" w:space="0"/>
            </w:tcBorders>
            <w:noWrap/>
            <w:vAlign w:val="center"/>
          </w:tcPr>
          <w:p w14:paraId="27EC9C76">
            <w:pPr>
              <w:spacing w:line="360" w:lineRule="auto"/>
              <w:jc w:val="center"/>
              <w:rPr>
                <w:color w:val="auto"/>
                <w:kern w:val="0"/>
                <w:sz w:val="24"/>
                <w:highlight w:val="none"/>
              </w:rPr>
            </w:pPr>
            <w:r>
              <w:rPr>
                <w:rFonts w:hint="eastAsia"/>
                <w:color w:val="auto"/>
                <w:kern w:val="0"/>
                <w:sz w:val="24"/>
                <w:highlight w:val="none"/>
              </w:rPr>
              <w:t>Gast DOA-P504-BN</w:t>
            </w:r>
          </w:p>
        </w:tc>
        <w:tc>
          <w:tcPr>
            <w:tcW w:w="783" w:type="dxa"/>
            <w:tcBorders>
              <w:top w:val="single" w:color="000000" w:sz="4" w:space="0"/>
              <w:left w:val="single" w:color="000000" w:sz="4" w:space="0"/>
              <w:bottom w:val="single" w:color="000000" w:sz="4" w:space="0"/>
              <w:right w:val="single" w:color="000000" w:sz="4" w:space="0"/>
            </w:tcBorders>
            <w:noWrap/>
            <w:vAlign w:val="center"/>
          </w:tcPr>
          <w:p w14:paraId="3B3B3036">
            <w:pPr>
              <w:spacing w:line="360" w:lineRule="auto"/>
              <w:jc w:val="center"/>
              <w:rPr>
                <w:color w:val="auto"/>
                <w:kern w:val="0"/>
                <w:sz w:val="24"/>
                <w:highlight w:val="none"/>
              </w:rPr>
            </w:pPr>
            <w:r>
              <w:rPr>
                <w:rFonts w:hint="eastAsia"/>
                <w:color w:val="auto"/>
                <w:kern w:val="0"/>
                <w:sz w:val="24"/>
                <w:highlight w:val="none"/>
              </w:rPr>
              <w:t>1</w:t>
            </w:r>
          </w:p>
        </w:tc>
        <w:tc>
          <w:tcPr>
            <w:tcW w:w="862" w:type="dxa"/>
            <w:tcBorders>
              <w:top w:val="single" w:color="000000" w:sz="4" w:space="0"/>
              <w:left w:val="single" w:color="000000" w:sz="4" w:space="0"/>
              <w:bottom w:val="single" w:color="000000" w:sz="4" w:space="0"/>
              <w:right w:val="single" w:color="000000" w:sz="4" w:space="0"/>
            </w:tcBorders>
            <w:noWrap/>
            <w:vAlign w:val="center"/>
          </w:tcPr>
          <w:p w14:paraId="68B55D2F">
            <w:pPr>
              <w:spacing w:line="360" w:lineRule="auto"/>
              <w:jc w:val="center"/>
              <w:rPr>
                <w:color w:val="auto"/>
                <w:kern w:val="0"/>
                <w:sz w:val="24"/>
                <w:highlight w:val="none"/>
              </w:rPr>
            </w:pPr>
            <w:r>
              <w:rPr>
                <w:rFonts w:hint="eastAsia"/>
                <w:color w:val="auto"/>
                <w:kern w:val="0"/>
                <w:sz w:val="24"/>
                <w:highlight w:val="none"/>
              </w:rPr>
              <w:t>台</w:t>
            </w:r>
          </w:p>
        </w:tc>
      </w:tr>
      <w:tr w14:paraId="2AE9A642">
        <w:tblPrEx>
          <w:tblCellMar>
            <w:top w:w="0" w:type="dxa"/>
            <w:left w:w="108" w:type="dxa"/>
            <w:bottom w:w="0" w:type="dxa"/>
            <w:right w:w="108" w:type="dxa"/>
          </w:tblCellMar>
        </w:tblPrEx>
        <w:trPr>
          <w:trHeight w:val="851" w:hRule="atLeast"/>
          <w:jc w:val="center"/>
        </w:trPr>
        <w:tc>
          <w:tcPr>
            <w:tcW w:w="839" w:type="dxa"/>
            <w:tcBorders>
              <w:top w:val="single" w:color="000000" w:sz="4" w:space="0"/>
              <w:left w:val="single" w:color="000000" w:sz="4" w:space="0"/>
              <w:bottom w:val="single" w:color="000000" w:sz="4" w:space="0"/>
              <w:right w:val="single" w:color="000000" w:sz="4" w:space="0"/>
            </w:tcBorders>
            <w:noWrap/>
            <w:vAlign w:val="center"/>
          </w:tcPr>
          <w:p w14:paraId="66CEDEF8">
            <w:pPr>
              <w:spacing w:line="360" w:lineRule="auto"/>
              <w:jc w:val="center"/>
              <w:rPr>
                <w:color w:val="auto"/>
                <w:kern w:val="0"/>
                <w:sz w:val="24"/>
                <w:highlight w:val="none"/>
              </w:rPr>
            </w:pPr>
            <w:r>
              <w:rPr>
                <w:rFonts w:hint="eastAsia"/>
                <w:color w:val="auto"/>
                <w:kern w:val="0"/>
                <w:sz w:val="24"/>
                <w:highlight w:val="none"/>
              </w:rPr>
              <w:t>8</w:t>
            </w:r>
          </w:p>
        </w:tc>
        <w:tc>
          <w:tcPr>
            <w:tcW w:w="3523" w:type="dxa"/>
            <w:tcBorders>
              <w:top w:val="single" w:color="000000" w:sz="4" w:space="0"/>
              <w:left w:val="single" w:color="000000" w:sz="4" w:space="0"/>
              <w:bottom w:val="single" w:color="000000" w:sz="4" w:space="0"/>
              <w:right w:val="single" w:color="000000" w:sz="4" w:space="0"/>
            </w:tcBorders>
            <w:noWrap/>
            <w:vAlign w:val="center"/>
          </w:tcPr>
          <w:p w14:paraId="294CAF54">
            <w:pPr>
              <w:spacing w:line="360" w:lineRule="auto"/>
              <w:jc w:val="center"/>
              <w:rPr>
                <w:color w:val="auto"/>
                <w:kern w:val="0"/>
                <w:sz w:val="24"/>
                <w:highlight w:val="none"/>
              </w:rPr>
            </w:pPr>
            <w:r>
              <w:rPr>
                <w:rFonts w:hint="eastAsia"/>
                <w:color w:val="auto"/>
                <w:kern w:val="0"/>
                <w:sz w:val="24"/>
                <w:highlight w:val="none"/>
              </w:rPr>
              <w:t>智能气象传感器</w:t>
            </w:r>
          </w:p>
        </w:tc>
        <w:tc>
          <w:tcPr>
            <w:tcW w:w="2809" w:type="dxa"/>
            <w:tcBorders>
              <w:top w:val="single" w:color="000000" w:sz="4" w:space="0"/>
              <w:left w:val="single" w:color="000000" w:sz="4" w:space="0"/>
              <w:bottom w:val="single" w:color="000000" w:sz="4" w:space="0"/>
              <w:right w:val="single" w:color="000000" w:sz="4" w:space="0"/>
            </w:tcBorders>
            <w:noWrap/>
            <w:vAlign w:val="center"/>
          </w:tcPr>
          <w:p w14:paraId="7DEEFE2E">
            <w:pPr>
              <w:spacing w:line="360" w:lineRule="auto"/>
              <w:jc w:val="center"/>
              <w:rPr>
                <w:color w:val="auto"/>
                <w:kern w:val="0"/>
                <w:sz w:val="24"/>
                <w:highlight w:val="none"/>
              </w:rPr>
            </w:pPr>
            <w:r>
              <w:rPr>
                <w:rFonts w:hint="eastAsia"/>
                <w:color w:val="auto"/>
                <w:kern w:val="0"/>
                <w:sz w:val="24"/>
                <w:highlight w:val="none"/>
              </w:rPr>
              <w:t>lufft ws500</w:t>
            </w:r>
          </w:p>
        </w:tc>
        <w:tc>
          <w:tcPr>
            <w:tcW w:w="783" w:type="dxa"/>
            <w:tcBorders>
              <w:top w:val="single" w:color="000000" w:sz="4" w:space="0"/>
              <w:left w:val="single" w:color="000000" w:sz="4" w:space="0"/>
              <w:bottom w:val="single" w:color="000000" w:sz="4" w:space="0"/>
              <w:right w:val="single" w:color="000000" w:sz="4" w:space="0"/>
            </w:tcBorders>
            <w:noWrap/>
            <w:vAlign w:val="center"/>
          </w:tcPr>
          <w:p w14:paraId="549A34A7">
            <w:pPr>
              <w:spacing w:line="360" w:lineRule="auto"/>
              <w:jc w:val="center"/>
              <w:rPr>
                <w:color w:val="auto"/>
                <w:kern w:val="0"/>
                <w:sz w:val="24"/>
                <w:highlight w:val="none"/>
              </w:rPr>
            </w:pPr>
            <w:r>
              <w:rPr>
                <w:rFonts w:hint="eastAsia"/>
                <w:color w:val="auto"/>
                <w:kern w:val="0"/>
                <w:sz w:val="24"/>
                <w:highlight w:val="none"/>
              </w:rPr>
              <w:t>1</w:t>
            </w:r>
          </w:p>
        </w:tc>
        <w:tc>
          <w:tcPr>
            <w:tcW w:w="862" w:type="dxa"/>
            <w:tcBorders>
              <w:top w:val="single" w:color="000000" w:sz="4" w:space="0"/>
              <w:left w:val="single" w:color="000000" w:sz="4" w:space="0"/>
              <w:bottom w:val="single" w:color="000000" w:sz="4" w:space="0"/>
              <w:right w:val="single" w:color="000000" w:sz="4" w:space="0"/>
            </w:tcBorders>
            <w:noWrap/>
            <w:vAlign w:val="center"/>
          </w:tcPr>
          <w:p w14:paraId="3AE2D3F1">
            <w:pPr>
              <w:spacing w:line="360" w:lineRule="auto"/>
              <w:jc w:val="center"/>
              <w:rPr>
                <w:color w:val="auto"/>
                <w:kern w:val="0"/>
                <w:sz w:val="24"/>
                <w:highlight w:val="none"/>
              </w:rPr>
            </w:pPr>
            <w:r>
              <w:rPr>
                <w:rFonts w:hint="eastAsia"/>
                <w:color w:val="auto"/>
                <w:kern w:val="0"/>
                <w:sz w:val="24"/>
                <w:highlight w:val="none"/>
              </w:rPr>
              <w:t>套</w:t>
            </w:r>
          </w:p>
        </w:tc>
      </w:tr>
    </w:tbl>
    <w:p w14:paraId="609C066B">
      <w:pPr>
        <w:spacing w:line="360" w:lineRule="auto"/>
        <w:rPr>
          <w:bCs/>
          <w:color w:val="auto"/>
          <w:sz w:val="24"/>
          <w:highlight w:val="none"/>
        </w:rPr>
      </w:pPr>
    </w:p>
    <w:p w14:paraId="5CAF2BE8">
      <w:pPr>
        <w:spacing w:line="360" w:lineRule="auto"/>
        <w:jc w:val="center"/>
        <w:rPr>
          <w:b/>
          <w:color w:val="auto"/>
          <w:sz w:val="24"/>
          <w:highlight w:val="none"/>
        </w:rPr>
      </w:pPr>
      <w:r>
        <w:rPr>
          <w:b/>
          <w:color w:val="auto"/>
          <w:sz w:val="24"/>
          <w:highlight w:val="none"/>
        </w:rPr>
        <w:t>表3 大江东站仪器配置情况一览表</w:t>
      </w:r>
    </w:p>
    <w:tbl>
      <w:tblPr>
        <w:tblStyle w:val="62"/>
        <w:tblW w:w="8901" w:type="dxa"/>
        <w:jc w:val="center"/>
        <w:tblLayout w:type="fixed"/>
        <w:tblCellMar>
          <w:top w:w="0" w:type="dxa"/>
          <w:left w:w="108" w:type="dxa"/>
          <w:bottom w:w="0" w:type="dxa"/>
          <w:right w:w="108" w:type="dxa"/>
        </w:tblCellMar>
      </w:tblPr>
      <w:tblGrid>
        <w:gridCol w:w="893"/>
        <w:gridCol w:w="3653"/>
        <w:gridCol w:w="2781"/>
        <w:gridCol w:w="812"/>
        <w:gridCol w:w="762"/>
      </w:tblGrid>
      <w:tr w14:paraId="337A0217">
        <w:tblPrEx>
          <w:tblCellMar>
            <w:top w:w="0" w:type="dxa"/>
            <w:left w:w="108" w:type="dxa"/>
            <w:bottom w:w="0" w:type="dxa"/>
            <w:right w:w="108" w:type="dxa"/>
          </w:tblCellMar>
        </w:tblPrEx>
        <w:trPr>
          <w:trHeight w:val="638" w:hRule="atLeast"/>
          <w:tblHeader/>
          <w:jc w:val="center"/>
        </w:trPr>
        <w:tc>
          <w:tcPr>
            <w:tcW w:w="893" w:type="dxa"/>
            <w:tcBorders>
              <w:top w:val="single" w:color="000000" w:sz="4" w:space="0"/>
              <w:left w:val="single" w:color="000000" w:sz="4" w:space="0"/>
              <w:bottom w:val="single" w:color="000000" w:sz="4" w:space="0"/>
              <w:right w:val="single" w:color="000000" w:sz="4" w:space="0"/>
            </w:tcBorders>
            <w:noWrap/>
            <w:vAlign w:val="center"/>
          </w:tcPr>
          <w:p w14:paraId="473458D8">
            <w:pPr>
              <w:spacing w:line="360" w:lineRule="auto"/>
              <w:jc w:val="center"/>
              <w:rPr>
                <w:color w:val="auto"/>
                <w:kern w:val="0"/>
                <w:sz w:val="24"/>
                <w:highlight w:val="none"/>
              </w:rPr>
            </w:pPr>
            <w:r>
              <w:rPr>
                <w:rFonts w:hint="eastAsia"/>
                <w:color w:val="auto"/>
                <w:kern w:val="0"/>
                <w:sz w:val="24"/>
                <w:highlight w:val="none"/>
              </w:rPr>
              <w:t>序号</w:t>
            </w:r>
          </w:p>
        </w:tc>
        <w:tc>
          <w:tcPr>
            <w:tcW w:w="3653" w:type="dxa"/>
            <w:tcBorders>
              <w:top w:val="single" w:color="000000" w:sz="4" w:space="0"/>
              <w:left w:val="single" w:color="000000" w:sz="4" w:space="0"/>
              <w:bottom w:val="single" w:color="000000" w:sz="4" w:space="0"/>
              <w:right w:val="single" w:color="000000" w:sz="4" w:space="0"/>
            </w:tcBorders>
            <w:noWrap/>
            <w:vAlign w:val="center"/>
          </w:tcPr>
          <w:p w14:paraId="3E413015">
            <w:pPr>
              <w:spacing w:line="360" w:lineRule="auto"/>
              <w:jc w:val="center"/>
              <w:rPr>
                <w:color w:val="auto"/>
                <w:kern w:val="0"/>
                <w:sz w:val="24"/>
                <w:highlight w:val="none"/>
              </w:rPr>
            </w:pPr>
            <w:r>
              <w:rPr>
                <w:rFonts w:hint="eastAsia"/>
                <w:color w:val="auto"/>
                <w:kern w:val="0"/>
                <w:sz w:val="24"/>
                <w:highlight w:val="none"/>
              </w:rPr>
              <w:t>设备名称</w:t>
            </w:r>
          </w:p>
        </w:tc>
        <w:tc>
          <w:tcPr>
            <w:tcW w:w="2781" w:type="dxa"/>
            <w:tcBorders>
              <w:top w:val="single" w:color="000000" w:sz="4" w:space="0"/>
              <w:left w:val="single" w:color="000000" w:sz="4" w:space="0"/>
              <w:bottom w:val="single" w:color="000000" w:sz="4" w:space="0"/>
              <w:right w:val="single" w:color="000000" w:sz="4" w:space="0"/>
            </w:tcBorders>
            <w:noWrap/>
            <w:vAlign w:val="center"/>
          </w:tcPr>
          <w:p w14:paraId="65DE78C2">
            <w:pPr>
              <w:spacing w:line="360" w:lineRule="auto"/>
              <w:jc w:val="center"/>
              <w:rPr>
                <w:color w:val="auto"/>
                <w:kern w:val="0"/>
                <w:sz w:val="24"/>
                <w:highlight w:val="none"/>
              </w:rPr>
            </w:pPr>
            <w:r>
              <w:rPr>
                <w:rFonts w:hint="eastAsia"/>
                <w:color w:val="auto"/>
                <w:kern w:val="0"/>
                <w:sz w:val="24"/>
                <w:highlight w:val="none"/>
              </w:rPr>
              <w:t>品牌型号</w:t>
            </w:r>
          </w:p>
        </w:tc>
        <w:tc>
          <w:tcPr>
            <w:tcW w:w="812" w:type="dxa"/>
            <w:tcBorders>
              <w:top w:val="single" w:color="000000" w:sz="4" w:space="0"/>
              <w:left w:val="single" w:color="000000" w:sz="4" w:space="0"/>
              <w:bottom w:val="single" w:color="000000" w:sz="4" w:space="0"/>
              <w:right w:val="single" w:color="000000" w:sz="4" w:space="0"/>
            </w:tcBorders>
            <w:noWrap/>
            <w:vAlign w:val="center"/>
          </w:tcPr>
          <w:p w14:paraId="22CB903B">
            <w:pPr>
              <w:spacing w:line="360" w:lineRule="auto"/>
              <w:jc w:val="center"/>
              <w:rPr>
                <w:color w:val="auto"/>
                <w:kern w:val="0"/>
                <w:sz w:val="24"/>
                <w:highlight w:val="none"/>
              </w:rPr>
            </w:pPr>
            <w:r>
              <w:rPr>
                <w:rFonts w:hint="eastAsia"/>
                <w:color w:val="auto"/>
                <w:kern w:val="0"/>
                <w:sz w:val="24"/>
                <w:highlight w:val="none"/>
              </w:rPr>
              <w:t>数量</w:t>
            </w:r>
          </w:p>
        </w:tc>
        <w:tc>
          <w:tcPr>
            <w:tcW w:w="762" w:type="dxa"/>
            <w:tcBorders>
              <w:top w:val="single" w:color="000000" w:sz="4" w:space="0"/>
              <w:left w:val="single" w:color="000000" w:sz="4" w:space="0"/>
              <w:bottom w:val="single" w:color="000000" w:sz="4" w:space="0"/>
              <w:right w:val="single" w:color="000000" w:sz="4" w:space="0"/>
            </w:tcBorders>
            <w:noWrap/>
            <w:vAlign w:val="center"/>
          </w:tcPr>
          <w:p w14:paraId="7668F488">
            <w:pPr>
              <w:spacing w:line="360" w:lineRule="auto"/>
              <w:jc w:val="center"/>
              <w:rPr>
                <w:color w:val="auto"/>
                <w:kern w:val="0"/>
                <w:sz w:val="24"/>
                <w:highlight w:val="none"/>
              </w:rPr>
            </w:pPr>
            <w:r>
              <w:rPr>
                <w:rFonts w:hint="eastAsia"/>
                <w:color w:val="auto"/>
                <w:kern w:val="0"/>
                <w:sz w:val="24"/>
                <w:highlight w:val="none"/>
              </w:rPr>
              <w:t>单位</w:t>
            </w:r>
          </w:p>
        </w:tc>
      </w:tr>
      <w:tr w14:paraId="788918B8">
        <w:tblPrEx>
          <w:tblCellMar>
            <w:top w:w="0" w:type="dxa"/>
            <w:left w:w="108" w:type="dxa"/>
            <w:bottom w:w="0" w:type="dxa"/>
            <w:right w:w="108" w:type="dxa"/>
          </w:tblCellMar>
        </w:tblPrEx>
        <w:trPr>
          <w:trHeight w:val="567" w:hRule="atLeast"/>
          <w:jc w:val="center"/>
        </w:trPr>
        <w:tc>
          <w:tcPr>
            <w:tcW w:w="893" w:type="dxa"/>
            <w:tcBorders>
              <w:top w:val="single" w:color="000000" w:sz="4" w:space="0"/>
              <w:left w:val="single" w:color="000000" w:sz="4" w:space="0"/>
              <w:bottom w:val="single" w:color="000000" w:sz="4" w:space="0"/>
              <w:right w:val="single" w:color="000000" w:sz="4" w:space="0"/>
            </w:tcBorders>
            <w:noWrap/>
            <w:vAlign w:val="center"/>
          </w:tcPr>
          <w:p w14:paraId="6AAEE96B">
            <w:pPr>
              <w:spacing w:line="360" w:lineRule="auto"/>
              <w:jc w:val="center"/>
              <w:rPr>
                <w:color w:val="auto"/>
                <w:kern w:val="0"/>
                <w:sz w:val="24"/>
                <w:highlight w:val="none"/>
              </w:rPr>
            </w:pPr>
            <w:r>
              <w:rPr>
                <w:rFonts w:hint="eastAsia"/>
                <w:color w:val="auto"/>
                <w:kern w:val="0"/>
                <w:sz w:val="24"/>
                <w:highlight w:val="none"/>
              </w:rPr>
              <w:t>1</w:t>
            </w:r>
          </w:p>
        </w:tc>
        <w:tc>
          <w:tcPr>
            <w:tcW w:w="3653" w:type="dxa"/>
            <w:tcBorders>
              <w:top w:val="single" w:color="000000" w:sz="4" w:space="0"/>
              <w:left w:val="single" w:color="000000" w:sz="4" w:space="0"/>
              <w:bottom w:val="single" w:color="000000" w:sz="4" w:space="0"/>
              <w:right w:val="single" w:color="000000" w:sz="4" w:space="0"/>
            </w:tcBorders>
            <w:noWrap/>
            <w:vAlign w:val="center"/>
          </w:tcPr>
          <w:p w14:paraId="533DAF7F">
            <w:pPr>
              <w:spacing w:line="360" w:lineRule="auto"/>
              <w:jc w:val="center"/>
              <w:rPr>
                <w:color w:val="auto"/>
                <w:kern w:val="0"/>
                <w:sz w:val="24"/>
                <w:highlight w:val="none"/>
              </w:rPr>
            </w:pPr>
            <w:r>
              <w:rPr>
                <w:rFonts w:hint="eastAsia"/>
                <w:color w:val="auto"/>
                <w:kern w:val="0"/>
                <w:sz w:val="24"/>
                <w:highlight w:val="none"/>
              </w:rPr>
              <w:t>高精度CO</w:t>
            </w:r>
            <w:r>
              <w:rPr>
                <w:rFonts w:hint="eastAsia"/>
                <w:color w:val="auto"/>
                <w:kern w:val="0"/>
                <w:sz w:val="24"/>
                <w:highlight w:val="none"/>
                <w:vertAlign w:val="subscript"/>
              </w:rPr>
              <w:t>2</w:t>
            </w:r>
            <w:r>
              <w:rPr>
                <w:rFonts w:hint="eastAsia"/>
                <w:color w:val="auto"/>
                <w:kern w:val="0"/>
                <w:sz w:val="24"/>
                <w:highlight w:val="none"/>
              </w:rPr>
              <w:t>、CH</w:t>
            </w:r>
            <w:r>
              <w:rPr>
                <w:rFonts w:hint="eastAsia"/>
                <w:color w:val="auto"/>
                <w:kern w:val="0"/>
                <w:sz w:val="24"/>
                <w:highlight w:val="none"/>
                <w:vertAlign w:val="subscript"/>
              </w:rPr>
              <w:t>4</w:t>
            </w:r>
            <w:r>
              <w:rPr>
                <w:rFonts w:hint="eastAsia"/>
                <w:color w:val="auto"/>
                <w:kern w:val="0"/>
                <w:sz w:val="24"/>
                <w:highlight w:val="none"/>
              </w:rPr>
              <w:t>、CO温室气体分析仪</w:t>
            </w:r>
          </w:p>
        </w:tc>
        <w:tc>
          <w:tcPr>
            <w:tcW w:w="2781" w:type="dxa"/>
            <w:tcBorders>
              <w:top w:val="single" w:color="000000" w:sz="4" w:space="0"/>
              <w:left w:val="single" w:color="000000" w:sz="4" w:space="0"/>
              <w:bottom w:val="single" w:color="000000" w:sz="4" w:space="0"/>
              <w:right w:val="single" w:color="000000" w:sz="4" w:space="0"/>
            </w:tcBorders>
            <w:noWrap/>
            <w:vAlign w:val="center"/>
          </w:tcPr>
          <w:p w14:paraId="00827E1F">
            <w:pPr>
              <w:spacing w:line="360" w:lineRule="auto"/>
              <w:jc w:val="center"/>
              <w:rPr>
                <w:color w:val="auto"/>
                <w:kern w:val="0"/>
                <w:sz w:val="24"/>
                <w:highlight w:val="none"/>
              </w:rPr>
            </w:pPr>
            <w:r>
              <w:rPr>
                <w:rFonts w:hint="eastAsia"/>
                <w:color w:val="auto"/>
                <w:kern w:val="0"/>
                <w:sz w:val="24"/>
                <w:highlight w:val="none"/>
              </w:rPr>
              <w:t>PICARRO G2401</w:t>
            </w:r>
          </w:p>
        </w:tc>
        <w:tc>
          <w:tcPr>
            <w:tcW w:w="812" w:type="dxa"/>
            <w:tcBorders>
              <w:top w:val="single" w:color="000000" w:sz="4" w:space="0"/>
              <w:left w:val="single" w:color="000000" w:sz="4" w:space="0"/>
              <w:bottom w:val="single" w:color="000000" w:sz="4" w:space="0"/>
              <w:right w:val="single" w:color="000000" w:sz="4" w:space="0"/>
            </w:tcBorders>
            <w:noWrap/>
            <w:vAlign w:val="center"/>
          </w:tcPr>
          <w:p w14:paraId="292D1CB7">
            <w:pPr>
              <w:spacing w:line="360" w:lineRule="auto"/>
              <w:jc w:val="center"/>
              <w:rPr>
                <w:color w:val="auto"/>
                <w:kern w:val="0"/>
                <w:sz w:val="24"/>
                <w:highlight w:val="none"/>
              </w:rPr>
            </w:pPr>
            <w:r>
              <w:rPr>
                <w:rFonts w:hint="eastAsia"/>
                <w:color w:val="auto"/>
                <w:kern w:val="0"/>
                <w:sz w:val="24"/>
                <w:highlight w:val="none"/>
              </w:rPr>
              <w:t>1</w:t>
            </w:r>
          </w:p>
        </w:tc>
        <w:tc>
          <w:tcPr>
            <w:tcW w:w="762" w:type="dxa"/>
            <w:tcBorders>
              <w:top w:val="single" w:color="000000" w:sz="4" w:space="0"/>
              <w:left w:val="single" w:color="000000" w:sz="4" w:space="0"/>
              <w:bottom w:val="single" w:color="000000" w:sz="4" w:space="0"/>
              <w:right w:val="single" w:color="000000" w:sz="4" w:space="0"/>
            </w:tcBorders>
            <w:noWrap/>
            <w:vAlign w:val="center"/>
          </w:tcPr>
          <w:p w14:paraId="42B36DD3">
            <w:pPr>
              <w:spacing w:line="360" w:lineRule="auto"/>
              <w:jc w:val="center"/>
              <w:rPr>
                <w:color w:val="auto"/>
                <w:kern w:val="0"/>
                <w:sz w:val="24"/>
                <w:highlight w:val="none"/>
              </w:rPr>
            </w:pPr>
            <w:r>
              <w:rPr>
                <w:rFonts w:hint="eastAsia"/>
                <w:color w:val="auto"/>
                <w:kern w:val="0"/>
                <w:sz w:val="24"/>
                <w:highlight w:val="none"/>
              </w:rPr>
              <w:t>台</w:t>
            </w:r>
          </w:p>
        </w:tc>
      </w:tr>
      <w:tr w14:paraId="0F016B01">
        <w:tblPrEx>
          <w:tblCellMar>
            <w:top w:w="0" w:type="dxa"/>
            <w:left w:w="108" w:type="dxa"/>
            <w:bottom w:w="0" w:type="dxa"/>
            <w:right w:w="108" w:type="dxa"/>
          </w:tblCellMar>
        </w:tblPrEx>
        <w:trPr>
          <w:trHeight w:val="567" w:hRule="atLeast"/>
          <w:jc w:val="center"/>
        </w:trPr>
        <w:tc>
          <w:tcPr>
            <w:tcW w:w="893" w:type="dxa"/>
            <w:tcBorders>
              <w:top w:val="single" w:color="000000" w:sz="4" w:space="0"/>
              <w:left w:val="single" w:color="000000" w:sz="4" w:space="0"/>
              <w:bottom w:val="single" w:color="000000" w:sz="4" w:space="0"/>
              <w:right w:val="single" w:color="000000" w:sz="4" w:space="0"/>
            </w:tcBorders>
            <w:noWrap/>
            <w:vAlign w:val="center"/>
          </w:tcPr>
          <w:p w14:paraId="3E8643EE">
            <w:pPr>
              <w:spacing w:line="360" w:lineRule="auto"/>
              <w:jc w:val="center"/>
              <w:rPr>
                <w:color w:val="auto"/>
                <w:kern w:val="0"/>
                <w:sz w:val="24"/>
                <w:highlight w:val="none"/>
              </w:rPr>
            </w:pPr>
            <w:r>
              <w:rPr>
                <w:rFonts w:hint="eastAsia"/>
                <w:color w:val="auto"/>
                <w:kern w:val="0"/>
                <w:sz w:val="24"/>
                <w:highlight w:val="none"/>
              </w:rPr>
              <w:t>2</w:t>
            </w:r>
          </w:p>
        </w:tc>
        <w:tc>
          <w:tcPr>
            <w:tcW w:w="3653" w:type="dxa"/>
            <w:tcBorders>
              <w:top w:val="single" w:color="000000" w:sz="4" w:space="0"/>
              <w:left w:val="single" w:color="000000" w:sz="4" w:space="0"/>
              <w:bottom w:val="single" w:color="000000" w:sz="4" w:space="0"/>
              <w:right w:val="single" w:color="000000" w:sz="4" w:space="0"/>
            </w:tcBorders>
            <w:noWrap/>
            <w:vAlign w:val="center"/>
          </w:tcPr>
          <w:p w14:paraId="3FE8C951">
            <w:pPr>
              <w:spacing w:line="360" w:lineRule="auto"/>
              <w:jc w:val="center"/>
              <w:rPr>
                <w:color w:val="auto"/>
                <w:kern w:val="0"/>
                <w:sz w:val="24"/>
                <w:highlight w:val="none"/>
              </w:rPr>
            </w:pPr>
            <w:r>
              <w:rPr>
                <w:rFonts w:hint="eastAsia"/>
                <w:color w:val="auto"/>
                <w:kern w:val="0"/>
                <w:sz w:val="24"/>
                <w:highlight w:val="none"/>
              </w:rPr>
              <w:t>进样阀箱</w:t>
            </w:r>
          </w:p>
        </w:tc>
        <w:tc>
          <w:tcPr>
            <w:tcW w:w="2781" w:type="dxa"/>
            <w:tcBorders>
              <w:top w:val="single" w:color="000000" w:sz="4" w:space="0"/>
              <w:left w:val="single" w:color="000000" w:sz="4" w:space="0"/>
              <w:bottom w:val="single" w:color="000000" w:sz="4" w:space="0"/>
              <w:right w:val="single" w:color="000000" w:sz="4" w:space="0"/>
            </w:tcBorders>
            <w:noWrap/>
            <w:vAlign w:val="center"/>
          </w:tcPr>
          <w:p w14:paraId="608009AE">
            <w:pPr>
              <w:spacing w:line="360" w:lineRule="auto"/>
              <w:jc w:val="center"/>
              <w:rPr>
                <w:color w:val="auto"/>
                <w:kern w:val="0"/>
                <w:sz w:val="24"/>
                <w:highlight w:val="none"/>
              </w:rPr>
            </w:pPr>
            <w:r>
              <w:rPr>
                <w:rFonts w:hint="eastAsia"/>
                <w:color w:val="auto"/>
                <w:kern w:val="0"/>
                <w:sz w:val="24"/>
                <w:highlight w:val="none"/>
              </w:rPr>
              <w:t>世纪朝阳 定制</w:t>
            </w:r>
          </w:p>
        </w:tc>
        <w:tc>
          <w:tcPr>
            <w:tcW w:w="812" w:type="dxa"/>
            <w:tcBorders>
              <w:top w:val="single" w:color="000000" w:sz="4" w:space="0"/>
              <w:left w:val="single" w:color="000000" w:sz="4" w:space="0"/>
              <w:bottom w:val="single" w:color="000000" w:sz="4" w:space="0"/>
              <w:right w:val="single" w:color="000000" w:sz="4" w:space="0"/>
            </w:tcBorders>
            <w:noWrap/>
            <w:vAlign w:val="center"/>
          </w:tcPr>
          <w:p w14:paraId="2B004F93">
            <w:pPr>
              <w:spacing w:line="360" w:lineRule="auto"/>
              <w:jc w:val="center"/>
              <w:rPr>
                <w:color w:val="auto"/>
                <w:kern w:val="0"/>
                <w:sz w:val="24"/>
                <w:highlight w:val="none"/>
              </w:rPr>
            </w:pPr>
            <w:r>
              <w:rPr>
                <w:rFonts w:hint="eastAsia"/>
                <w:color w:val="auto"/>
                <w:kern w:val="0"/>
                <w:sz w:val="24"/>
                <w:highlight w:val="none"/>
              </w:rPr>
              <w:t>1</w:t>
            </w:r>
          </w:p>
        </w:tc>
        <w:tc>
          <w:tcPr>
            <w:tcW w:w="762" w:type="dxa"/>
            <w:tcBorders>
              <w:top w:val="single" w:color="000000" w:sz="4" w:space="0"/>
              <w:left w:val="single" w:color="000000" w:sz="4" w:space="0"/>
              <w:bottom w:val="single" w:color="000000" w:sz="4" w:space="0"/>
              <w:right w:val="single" w:color="000000" w:sz="4" w:space="0"/>
            </w:tcBorders>
            <w:noWrap/>
            <w:vAlign w:val="center"/>
          </w:tcPr>
          <w:p w14:paraId="45F97B71">
            <w:pPr>
              <w:spacing w:line="360" w:lineRule="auto"/>
              <w:jc w:val="center"/>
              <w:rPr>
                <w:color w:val="auto"/>
                <w:kern w:val="0"/>
                <w:sz w:val="24"/>
                <w:highlight w:val="none"/>
              </w:rPr>
            </w:pPr>
            <w:r>
              <w:rPr>
                <w:rFonts w:hint="eastAsia"/>
                <w:color w:val="auto"/>
                <w:kern w:val="0"/>
                <w:sz w:val="24"/>
                <w:highlight w:val="none"/>
              </w:rPr>
              <w:t>台</w:t>
            </w:r>
          </w:p>
        </w:tc>
      </w:tr>
      <w:tr w14:paraId="1F565B3E">
        <w:tblPrEx>
          <w:tblCellMar>
            <w:top w:w="0" w:type="dxa"/>
            <w:left w:w="108" w:type="dxa"/>
            <w:bottom w:w="0" w:type="dxa"/>
            <w:right w:w="108" w:type="dxa"/>
          </w:tblCellMar>
        </w:tblPrEx>
        <w:trPr>
          <w:trHeight w:val="567" w:hRule="atLeast"/>
          <w:jc w:val="center"/>
        </w:trPr>
        <w:tc>
          <w:tcPr>
            <w:tcW w:w="893" w:type="dxa"/>
            <w:tcBorders>
              <w:top w:val="single" w:color="000000" w:sz="4" w:space="0"/>
              <w:left w:val="single" w:color="000000" w:sz="4" w:space="0"/>
              <w:bottom w:val="single" w:color="000000" w:sz="4" w:space="0"/>
              <w:right w:val="single" w:color="000000" w:sz="4" w:space="0"/>
            </w:tcBorders>
            <w:noWrap/>
            <w:vAlign w:val="center"/>
          </w:tcPr>
          <w:p w14:paraId="4472CDBE">
            <w:pPr>
              <w:spacing w:line="360" w:lineRule="auto"/>
              <w:jc w:val="center"/>
              <w:rPr>
                <w:color w:val="auto"/>
                <w:kern w:val="0"/>
                <w:sz w:val="24"/>
                <w:highlight w:val="none"/>
              </w:rPr>
            </w:pPr>
            <w:r>
              <w:rPr>
                <w:rFonts w:hint="eastAsia"/>
                <w:color w:val="auto"/>
                <w:kern w:val="0"/>
                <w:sz w:val="24"/>
                <w:highlight w:val="none"/>
              </w:rPr>
              <w:t>3</w:t>
            </w:r>
          </w:p>
        </w:tc>
        <w:tc>
          <w:tcPr>
            <w:tcW w:w="3653" w:type="dxa"/>
            <w:tcBorders>
              <w:top w:val="single" w:color="000000" w:sz="4" w:space="0"/>
              <w:left w:val="single" w:color="000000" w:sz="4" w:space="0"/>
              <w:bottom w:val="single" w:color="000000" w:sz="4" w:space="0"/>
              <w:right w:val="single" w:color="000000" w:sz="4" w:space="0"/>
            </w:tcBorders>
            <w:noWrap/>
            <w:vAlign w:val="center"/>
          </w:tcPr>
          <w:p w14:paraId="034BDDB3">
            <w:pPr>
              <w:spacing w:line="360" w:lineRule="auto"/>
              <w:jc w:val="center"/>
              <w:rPr>
                <w:color w:val="auto"/>
                <w:kern w:val="0"/>
                <w:sz w:val="24"/>
                <w:highlight w:val="none"/>
              </w:rPr>
            </w:pPr>
            <w:r>
              <w:rPr>
                <w:rFonts w:hint="eastAsia"/>
                <w:color w:val="auto"/>
                <w:kern w:val="0"/>
                <w:sz w:val="24"/>
                <w:highlight w:val="none"/>
              </w:rPr>
              <w:t>超低温冷阱</w:t>
            </w:r>
          </w:p>
        </w:tc>
        <w:tc>
          <w:tcPr>
            <w:tcW w:w="2781" w:type="dxa"/>
            <w:tcBorders>
              <w:top w:val="single" w:color="000000" w:sz="4" w:space="0"/>
              <w:left w:val="single" w:color="000000" w:sz="4" w:space="0"/>
              <w:bottom w:val="single" w:color="000000" w:sz="4" w:space="0"/>
              <w:right w:val="single" w:color="000000" w:sz="4" w:space="0"/>
            </w:tcBorders>
            <w:noWrap/>
            <w:vAlign w:val="center"/>
          </w:tcPr>
          <w:p w14:paraId="1084D02E">
            <w:pPr>
              <w:spacing w:line="360" w:lineRule="auto"/>
              <w:jc w:val="center"/>
              <w:rPr>
                <w:color w:val="auto"/>
                <w:kern w:val="0"/>
                <w:sz w:val="24"/>
                <w:highlight w:val="none"/>
              </w:rPr>
            </w:pPr>
            <w:r>
              <w:rPr>
                <w:rFonts w:hint="eastAsia"/>
                <w:color w:val="auto"/>
                <w:kern w:val="0"/>
                <w:sz w:val="24"/>
                <w:highlight w:val="none"/>
              </w:rPr>
              <w:t>世纪朝阳 CS-8000</w:t>
            </w:r>
          </w:p>
        </w:tc>
        <w:tc>
          <w:tcPr>
            <w:tcW w:w="812" w:type="dxa"/>
            <w:tcBorders>
              <w:top w:val="single" w:color="000000" w:sz="4" w:space="0"/>
              <w:left w:val="single" w:color="000000" w:sz="4" w:space="0"/>
              <w:bottom w:val="single" w:color="000000" w:sz="4" w:space="0"/>
              <w:right w:val="single" w:color="000000" w:sz="4" w:space="0"/>
            </w:tcBorders>
            <w:noWrap/>
            <w:vAlign w:val="center"/>
          </w:tcPr>
          <w:p w14:paraId="5233385F">
            <w:pPr>
              <w:spacing w:line="360" w:lineRule="auto"/>
              <w:jc w:val="center"/>
              <w:rPr>
                <w:color w:val="auto"/>
                <w:kern w:val="0"/>
                <w:sz w:val="24"/>
                <w:highlight w:val="none"/>
              </w:rPr>
            </w:pPr>
            <w:r>
              <w:rPr>
                <w:rFonts w:hint="eastAsia"/>
                <w:color w:val="auto"/>
                <w:kern w:val="0"/>
                <w:sz w:val="24"/>
                <w:highlight w:val="none"/>
              </w:rPr>
              <w:t>1</w:t>
            </w:r>
          </w:p>
        </w:tc>
        <w:tc>
          <w:tcPr>
            <w:tcW w:w="762" w:type="dxa"/>
            <w:tcBorders>
              <w:top w:val="single" w:color="000000" w:sz="4" w:space="0"/>
              <w:left w:val="single" w:color="000000" w:sz="4" w:space="0"/>
              <w:bottom w:val="single" w:color="000000" w:sz="4" w:space="0"/>
              <w:right w:val="single" w:color="000000" w:sz="4" w:space="0"/>
            </w:tcBorders>
            <w:noWrap/>
            <w:vAlign w:val="center"/>
          </w:tcPr>
          <w:p w14:paraId="1206862E">
            <w:pPr>
              <w:spacing w:line="360" w:lineRule="auto"/>
              <w:jc w:val="center"/>
              <w:rPr>
                <w:color w:val="auto"/>
                <w:kern w:val="0"/>
                <w:sz w:val="24"/>
                <w:highlight w:val="none"/>
              </w:rPr>
            </w:pPr>
            <w:r>
              <w:rPr>
                <w:rFonts w:hint="eastAsia"/>
                <w:color w:val="auto"/>
                <w:kern w:val="0"/>
                <w:sz w:val="24"/>
                <w:highlight w:val="none"/>
              </w:rPr>
              <w:t>套</w:t>
            </w:r>
          </w:p>
        </w:tc>
      </w:tr>
      <w:tr w14:paraId="1344383B">
        <w:tblPrEx>
          <w:tblCellMar>
            <w:top w:w="0" w:type="dxa"/>
            <w:left w:w="108" w:type="dxa"/>
            <w:bottom w:w="0" w:type="dxa"/>
            <w:right w:w="108" w:type="dxa"/>
          </w:tblCellMar>
        </w:tblPrEx>
        <w:trPr>
          <w:trHeight w:val="567" w:hRule="atLeast"/>
          <w:jc w:val="center"/>
        </w:trPr>
        <w:tc>
          <w:tcPr>
            <w:tcW w:w="893" w:type="dxa"/>
            <w:tcBorders>
              <w:top w:val="single" w:color="000000" w:sz="4" w:space="0"/>
              <w:left w:val="single" w:color="000000" w:sz="4" w:space="0"/>
              <w:bottom w:val="single" w:color="000000" w:sz="4" w:space="0"/>
              <w:right w:val="single" w:color="000000" w:sz="4" w:space="0"/>
            </w:tcBorders>
            <w:noWrap/>
            <w:vAlign w:val="center"/>
          </w:tcPr>
          <w:p w14:paraId="4EF72CC5">
            <w:pPr>
              <w:spacing w:line="360" w:lineRule="auto"/>
              <w:jc w:val="center"/>
              <w:rPr>
                <w:color w:val="auto"/>
                <w:kern w:val="0"/>
                <w:sz w:val="24"/>
                <w:highlight w:val="none"/>
              </w:rPr>
            </w:pPr>
            <w:r>
              <w:rPr>
                <w:rFonts w:hint="eastAsia"/>
                <w:color w:val="auto"/>
                <w:kern w:val="0"/>
                <w:sz w:val="24"/>
                <w:highlight w:val="none"/>
              </w:rPr>
              <w:t>4</w:t>
            </w:r>
          </w:p>
        </w:tc>
        <w:tc>
          <w:tcPr>
            <w:tcW w:w="3653" w:type="dxa"/>
            <w:tcBorders>
              <w:top w:val="single" w:color="000000" w:sz="4" w:space="0"/>
              <w:left w:val="single" w:color="000000" w:sz="4" w:space="0"/>
              <w:bottom w:val="single" w:color="000000" w:sz="4" w:space="0"/>
              <w:right w:val="single" w:color="000000" w:sz="4" w:space="0"/>
            </w:tcBorders>
            <w:noWrap/>
            <w:vAlign w:val="center"/>
          </w:tcPr>
          <w:p w14:paraId="7B7D53D6">
            <w:pPr>
              <w:spacing w:line="360" w:lineRule="auto"/>
              <w:jc w:val="center"/>
              <w:rPr>
                <w:color w:val="auto"/>
                <w:kern w:val="0"/>
                <w:sz w:val="24"/>
                <w:highlight w:val="none"/>
              </w:rPr>
            </w:pPr>
            <w:r>
              <w:rPr>
                <w:rFonts w:hint="eastAsia"/>
                <w:color w:val="auto"/>
                <w:kern w:val="0"/>
                <w:sz w:val="24"/>
                <w:highlight w:val="none"/>
              </w:rPr>
              <w:t>电子冷凝器</w:t>
            </w:r>
          </w:p>
        </w:tc>
        <w:tc>
          <w:tcPr>
            <w:tcW w:w="2781" w:type="dxa"/>
            <w:tcBorders>
              <w:top w:val="single" w:color="000000" w:sz="4" w:space="0"/>
              <w:left w:val="single" w:color="000000" w:sz="4" w:space="0"/>
              <w:bottom w:val="single" w:color="000000" w:sz="4" w:space="0"/>
              <w:right w:val="single" w:color="000000" w:sz="4" w:space="0"/>
            </w:tcBorders>
            <w:noWrap/>
            <w:vAlign w:val="center"/>
          </w:tcPr>
          <w:p w14:paraId="12062385">
            <w:pPr>
              <w:spacing w:line="360" w:lineRule="auto"/>
              <w:jc w:val="center"/>
              <w:rPr>
                <w:color w:val="auto"/>
                <w:kern w:val="0"/>
                <w:sz w:val="24"/>
                <w:highlight w:val="none"/>
              </w:rPr>
            </w:pPr>
            <w:r>
              <w:rPr>
                <w:rFonts w:hint="eastAsia"/>
                <w:color w:val="auto"/>
                <w:kern w:val="0"/>
                <w:sz w:val="24"/>
                <w:highlight w:val="none"/>
              </w:rPr>
              <w:t>CS-7A</w:t>
            </w:r>
          </w:p>
        </w:tc>
        <w:tc>
          <w:tcPr>
            <w:tcW w:w="812" w:type="dxa"/>
            <w:tcBorders>
              <w:top w:val="single" w:color="000000" w:sz="4" w:space="0"/>
              <w:left w:val="single" w:color="000000" w:sz="4" w:space="0"/>
              <w:bottom w:val="single" w:color="000000" w:sz="4" w:space="0"/>
              <w:right w:val="single" w:color="000000" w:sz="4" w:space="0"/>
            </w:tcBorders>
            <w:noWrap/>
            <w:vAlign w:val="center"/>
          </w:tcPr>
          <w:p w14:paraId="108D52A7">
            <w:pPr>
              <w:spacing w:line="360" w:lineRule="auto"/>
              <w:jc w:val="center"/>
              <w:rPr>
                <w:color w:val="auto"/>
                <w:kern w:val="0"/>
                <w:sz w:val="24"/>
                <w:highlight w:val="none"/>
              </w:rPr>
            </w:pPr>
            <w:r>
              <w:rPr>
                <w:rFonts w:hint="eastAsia"/>
                <w:color w:val="auto"/>
                <w:kern w:val="0"/>
                <w:sz w:val="24"/>
                <w:highlight w:val="none"/>
              </w:rPr>
              <w:t>1</w:t>
            </w:r>
          </w:p>
        </w:tc>
        <w:tc>
          <w:tcPr>
            <w:tcW w:w="762" w:type="dxa"/>
            <w:tcBorders>
              <w:top w:val="single" w:color="000000" w:sz="4" w:space="0"/>
              <w:left w:val="single" w:color="000000" w:sz="4" w:space="0"/>
              <w:bottom w:val="single" w:color="000000" w:sz="4" w:space="0"/>
              <w:right w:val="single" w:color="000000" w:sz="4" w:space="0"/>
            </w:tcBorders>
            <w:noWrap/>
            <w:vAlign w:val="center"/>
          </w:tcPr>
          <w:p w14:paraId="18A88006">
            <w:pPr>
              <w:spacing w:line="360" w:lineRule="auto"/>
              <w:jc w:val="center"/>
              <w:rPr>
                <w:color w:val="auto"/>
                <w:kern w:val="0"/>
                <w:sz w:val="24"/>
                <w:highlight w:val="none"/>
              </w:rPr>
            </w:pPr>
            <w:r>
              <w:rPr>
                <w:rFonts w:hint="eastAsia"/>
                <w:color w:val="auto"/>
                <w:kern w:val="0"/>
                <w:sz w:val="24"/>
                <w:highlight w:val="none"/>
              </w:rPr>
              <w:t>台</w:t>
            </w:r>
          </w:p>
        </w:tc>
      </w:tr>
      <w:tr w14:paraId="3FAC48AC">
        <w:tblPrEx>
          <w:tblCellMar>
            <w:top w:w="0" w:type="dxa"/>
            <w:left w:w="108" w:type="dxa"/>
            <w:bottom w:w="0" w:type="dxa"/>
            <w:right w:w="108" w:type="dxa"/>
          </w:tblCellMar>
        </w:tblPrEx>
        <w:trPr>
          <w:trHeight w:val="660" w:hRule="atLeast"/>
          <w:jc w:val="center"/>
        </w:trPr>
        <w:tc>
          <w:tcPr>
            <w:tcW w:w="893" w:type="dxa"/>
            <w:tcBorders>
              <w:top w:val="single" w:color="000000" w:sz="4" w:space="0"/>
              <w:left w:val="single" w:color="000000" w:sz="4" w:space="0"/>
              <w:bottom w:val="single" w:color="000000" w:sz="4" w:space="0"/>
              <w:right w:val="single" w:color="000000" w:sz="4" w:space="0"/>
            </w:tcBorders>
            <w:noWrap/>
            <w:vAlign w:val="center"/>
          </w:tcPr>
          <w:p w14:paraId="3B2DDEF0">
            <w:pPr>
              <w:spacing w:line="360" w:lineRule="auto"/>
              <w:jc w:val="center"/>
              <w:rPr>
                <w:color w:val="auto"/>
                <w:kern w:val="0"/>
                <w:sz w:val="24"/>
                <w:highlight w:val="none"/>
              </w:rPr>
            </w:pPr>
            <w:r>
              <w:rPr>
                <w:rFonts w:hint="eastAsia"/>
                <w:color w:val="auto"/>
                <w:kern w:val="0"/>
                <w:sz w:val="24"/>
                <w:highlight w:val="none"/>
              </w:rPr>
              <w:t>5</w:t>
            </w:r>
          </w:p>
        </w:tc>
        <w:tc>
          <w:tcPr>
            <w:tcW w:w="3653" w:type="dxa"/>
            <w:tcBorders>
              <w:top w:val="single" w:color="000000" w:sz="4" w:space="0"/>
              <w:left w:val="single" w:color="000000" w:sz="4" w:space="0"/>
              <w:bottom w:val="single" w:color="000000" w:sz="4" w:space="0"/>
              <w:right w:val="single" w:color="000000" w:sz="4" w:space="0"/>
            </w:tcBorders>
            <w:noWrap/>
            <w:vAlign w:val="center"/>
          </w:tcPr>
          <w:p w14:paraId="69CE7D2B">
            <w:pPr>
              <w:spacing w:line="360" w:lineRule="auto"/>
              <w:jc w:val="center"/>
              <w:rPr>
                <w:color w:val="auto"/>
                <w:kern w:val="0"/>
                <w:sz w:val="24"/>
                <w:highlight w:val="none"/>
              </w:rPr>
            </w:pPr>
            <w:r>
              <w:rPr>
                <w:rFonts w:hint="eastAsia"/>
                <w:color w:val="auto"/>
                <w:kern w:val="0"/>
                <w:sz w:val="24"/>
                <w:highlight w:val="none"/>
              </w:rPr>
              <w:t>工控机</w:t>
            </w:r>
          </w:p>
        </w:tc>
        <w:tc>
          <w:tcPr>
            <w:tcW w:w="2781" w:type="dxa"/>
            <w:tcBorders>
              <w:top w:val="single" w:color="000000" w:sz="4" w:space="0"/>
              <w:left w:val="single" w:color="000000" w:sz="4" w:space="0"/>
              <w:bottom w:val="single" w:color="000000" w:sz="4" w:space="0"/>
              <w:right w:val="single" w:color="000000" w:sz="4" w:space="0"/>
            </w:tcBorders>
            <w:noWrap/>
            <w:vAlign w:val="center"/>
          </w:tcPr>
          <w:p w14:paraId="31A4CE9C">
            <w:pPr>
              <w:spacing w:line="360" w:lineRule="auto"/>
              <w:jc w:val="center"/>
              <w:rPr>
                <w:color w:val="auto"/>
                <w:kern w:val="0"/>
                <w:sz w:val="24"/>
                <w:highlight w:val="none"/>
              </w:rPr>
            </w:pPr>
            <w:r>
              <w:rPr>
                <w:rFonts w:hint="eastAsia"/>
                <w:color w:val="auto"/>
                <w:kern w:val="0"/>
                <w:sz w:val="24"/>
                <w:highlight w:val="none"/>
              </w:rPr>
              <w:t>研华ACP-40000/1PC-610 series</w:t>
            </w:r>
          </w:p>
        </w:tc>
        <w:tc>
          <w:tcPr>
            <w:tcW w:w="812" w:type="dxa"/>
            <w:tcBorders>
              <w:top w:val="single" w:color="000000" w:sz="4" w:space="0"/>
              <w:left w:val="single" w:color="000000" w:sz="4" w:space="0"/>
              <w:bottom w:val="single" w:color="000000" w:sz="4" w:space="0"/>
              <w:right w:val="single" w:color="000000" w:sz="4" w:space="0"/>
            </w:tcBorders>
            <w:noWrap/>
            <w:vAlign w:val="center"/>
          </w:tcPr>
          <w:p w14:paraId="1A971768">
            <w:pPr>
              <w:spacing w:line="360" w:lineRule="auto"/>
              <w:jc w:val="center"/>
              <w:rPr>
                <w:color w:val="auto"/>
                <w:kern w:val="0"/>
                <w:sz w:val="24"/>
                <w:highlight w:val="none"/>
              </w:rPr>
            </w:pPr>
            <w:r>
              <w:rPr>
                <w:rFonts w:hint="eastAsia"/>
                <w:color w:val="auto"/>
                <w:kern w:val="0"/>
                <w:sz w:val="24"/>
                <w:highlight w:val="none"/>
              </w:rPr>
              <w:t>1</w:t>
            </w:r>
          </w:p>
        </w:tc>
        <w:tc>
          <w:tcPr>
            <w:tcW w:w="762" w:type="dxa"/>
            <w:tcBorders>
              <w:top w:val="single" w:color="000000" w:sz="4" w:space="0"/>
              <w:left w:val="single" w:color="000000" w:sz="4" w:space="0"/>
              <w:bottom w:val="single" w:color="000000" w:sz="4" w:space="0"/>
              <w:right w:val="single" w:color="000000" w:sz="4" w:space="0"/>
            </w:tcBorders>
            <w:noWrap/>
            <w:vAlign w:val="center"/>
          </w:tcPr>
          <w:p w14:paraId="3169B75D">
            <w:pPr>
              <w:spacing w:line="360" w:lineRule="auto"/>
              <w:jc w:val="center"/>
              <w:rPr>
                <w:color w:val="auto"/>
                <w:kern w:val="0"/>
                <w:sz w:val="24"/>
                <w:highlight w:val="none"/>
              </w:rPr>
            </w:pPr>
            <w:r>
              <w:rPr>
                <w:rFonts w:hint="eastAsia"/>
                <w:color w:val="auto"/>
                <w:kern w:val="0"/>
                <w:sz w:val="24"/>
                <w:highlight w:val="none"/>
              </w:rPr>
              <w:t>台</w:t>
            </w:r>
          </w:p>
        </w:tc>
      </w:tr>
      <w:tr w14:paraId="78EB2414">
        <w:tblPrEx>
          <w:tblCellMar>
            <w:top w:w="0" w:type="dxa"/>
            <w:left w:w="108" w:type="dxa"/>
            <w:bottom w:w="0" w:type="dxa"/>
            <w:right w:w="108" w:type="dxa"/>
          </w:tblCellMar>
        </w:tblPrEx>
        <w:trPr>
          <w:trHeight w:val="567" w:hRule="atLeast"/>
          <w:jc w:val="center"/>
        </w:trPr>
        <w:tc>
          <w:tcPr>
            <w:tcW w:w="893" w:type="dxa"/>
            <w:tcBorders>
              <w:top w:val="single" w:color="000000" w:sz="4" w:space="0"/>
              <w:left w:val="single" w:color="000000" w:sz="4" w:space="0"/>
              <w:bottom w:val="single" w:color="000000" w:sz="4" w:space="0"/>
              <w:right w:val="single" w:color="000000" w:sz="4" w:space="0"/>
            </w:tcBorders>
            <w:noWrap/>
            <w:vAlign w:val="center"/>
          </w:tcPr>
          <w:p w14:paraId="4F6CB8D0">
            <w:pPr>
              <w:spacing w:line="360" w:lineRule="auto"/>
              <w:jc w:val="center"/>
              <w:rPr>
                <w:color w:val="auto"/>
                <w:kern w:val="0"/>
                <w:sz w:val="24"/>
                <w:highlight w:val="none"/>
              </w:rPr>
            </w:pPr>
            <w:r>
              <w:rPr>
                <w:rFonts w:hint="eastAsia"/>
                <w:color w:val="auto"/>
                <w:kern w:val="0"/>
                <w:sz w:val="24"/>
                <w:highlight w:val="none"/>
              </w:rPr>
              <w:t>6</w:t>
            </w:r>
          </w:p>
        </w:tc>
        <w:tc>
          <w:tcPr>
            <w:tcW w:w="3653" w:type="dxa"/>
            <w:tcBorders>
              <w:top w:val="single" w:color="000000" w:sz="4" w:space="0"/>
              <w:left w:val="single" w:color="000000" w:sz="4" w:space="0"/>
              <w:bottom w:val="single" w:color="000000" w:sz="4" w:space="0"/>
              <w:right w:val="single" w:color="000000" w:sz="4" w:space="0"/>
            </w:tcBorders>
            <w:noWrap/>
            <w:vAlign w:val="center"/>
          </w:tcPr>
          <w:p w14:paraId="18FAE499">
            <w:pPr>
              <w:spacing w:line="360" w:lineRule="auto"/>
              <w:jc w:val="center"/>
              <w:rPr>
                <w:color w:val="auto"/>
                <w:kern w:val="0"/>
                <w:sz w:val="24"/>
                <w:highlight w:val="none"/>
              </w:rPr>
            </w:pPr>
            <w:r>
              <w:rPr>
                <w:rFonts w:hint="eastAsia"/>
                <w:color w:val="auto"/>
                <w:kern w:val="0"/>
                <w:sz w:val="24"/>
                <w:highlight w:val="none"/>
              </w:rPr>
              <w:t>LCDKVM切换器</w:t>
            </w:r>
          </w:p>
        </w:tc>
        <w:tc>
          <w:tcPr>
            <w:tcW w:w="2781" w:type="dxa"/>
            <w:tcBorders>
              <w:top w:val="single" w:color="000000" w:sz="4" w:space="0"/>
              <w:left w:val="single" w:color="000000" w:sz="4" w:space="0"/>
              <w:bottom w:val="single" w:color="000000" w:sz="4" w:space="0"/>
              <w:right w:val="single" w:color="000000" w:sz="4" w:space="0"/>
            </w:tcBorders>
            <w:noWrap/>
            <w:vAlign w:val="center"/>
          </w:tcPr>
          <w:p w14:paraId="6C207DAC">
            <w:pPr>
              <w:spacing w:line="360" w:lineRule="auto"/>
              <w:jc w:val="center"/>
              <w:rPr>
                <w:color w:val="auto"/>
                <w:kern w:val="0"/>
                <w:sz w:val="24"/>
                <w:highlight w:val="none"/>
              </w:rPr>
            </w:pPr>
            <w:r>
              <w:rPr>
                <w:rFonts w:hint="eastAsia"/>
                <w:color w:val="auto"/>
                <w:kern w:val="0"/>
                <w:sz w:val="24"/>
                <w:highlight w:val="none"/>
              </w:rPr>
              <w:t>龙远恒信 KVM-1708-VGA-D</w:t>
            </w:r>
          </w:p>
        </w:tc>
        <w:tc>
          <w:tcPr>
            <w:tcW w:w="812" w:type="dxa"/>
            <w:tcBorders>
              <w:top w:val="single" w:color="000000" w:sz="4" w:space="0"/>
              <w:left w:val="single" w:color="000000" w:sz="4" w:space="0"/>
              <w:bottom w:val="single" w:color="000000" w:sz="4" w:space="0"/>
              <w:right w:val="single" w:color="000000" w:sz="4" w:space="0"/>
            </w:tcBorders>
            <w:noWrap/>
            <w:vAlign w:val="center"/>
          </w:tcPr>
          <w:p w14:paraId="35822340">
            <w:pPr>
              <w:spacing w:line="360" w:lineRule="auto"/>
              <w:jc w:val="center"/>
              <w:rPr>
                <w:color w:val="auto"/>
                <w:kern w:val="0"/>
                <w:sz w:val="24"/>
                <w:highlight w:val="none"/>
              </w:rPr>
            </w:pPr>
            <w:r>
              <w:rPr>
                <w:rFonts w:hint="eastAsia"/>
                <w:color w:val="auto"/>
                <w:kern w:val="0"/>
                <w:sz w:val="24"/>
                <w:highlight w:val="none"/>
              </w:rPr>
              <w:t>1</w:t>
            </w:r>
          </w:p>
        </w:tc>
        <w:tc>
          <w:tcPr>
            <w:tcW w:w="762" w:type="dxa"/>
            <w:tcBorders>
              <w:top w:val="single" w:color="000000" w:sz="4" w:space="0"/>
              <w:left w:val="single" w:color="000000" w:sz="4" w:space="0"/>
              <w:bottom w:val="single" w:color="000000" w:sz="4" w:space="0"/>
              <w:right w:val="single" w:color="000000" w:sz="4" w:space="0"/>
            </w:tcBorders>
            <w:noWrap/>
            <w:vAlign w:val="center"/>
          </w:tcPr>
          <w:p w14:paraId="5C8F1A27">
            <w:pPr>
              <w:spacing w:line="360" w:lineRule="auto"/>
              <w:jc w:val="center"/>
              <w:rPr>
                <w:color w:val="auto"/>
                <w:kern w:val="0"/>
                <w:sz w:val="24"/>
                <w:highlight w:val="none"/>
              </w:rPr>
            </w:pPr>
            <w:r>
              <w:rPr>
                <w:rFonts w:hint="eastAsia"/>
                <w:color w:val="auto"/>
                <w:kern w:val="0"/>
                <w:sz w:val="24"/>
                <w:highlight w:val="none"/>
              </w:rPr>
              <w:t>台</w:t>
            </w:r>
          </w:p>
        </w:tc>
      </w:tr>
      <w:tr w14:paraId="5A17142A">
        <w:tblPrEx>
          <w:tblCellMar>
            <w:top w:w="0" w:type="dxa"/>
            <w:left w:w="108" w:type="dxa"/>
            <w:bottom w:w="0" w:type="dxa"/>
            <w:right w:w="108" w:type="dxa"/>
          </w:tblCellMar>
        </w:tblPrEx>
        <w:trPr>
          <w:trHeight w:val="567" w:hRule="atLeast"/>
          <w:jc w:val="center"/>
        </w:trPr>
        <w:tc>
          <w:tcPr>
            <w:tcW w:w="893" w:type="dxa"/>
            <w:tcBorders>
              <w:top w:val="single" w:color="000000" w:sz="4" w:space="0"/>
              <w:left w:val="single" w:color="000000" w:sz="4" w:space="0"/>
              <w:bottom w:val="single" w:color="000000" w:sz="4" w:space="0"/>
              <w:right w:val="single" w:color="000000" w:sz="4" w:space="0"/>
            </w:tcBorders>
            <w:noWrap/>
            <w:vAlign w:val="center"/>
          </w:tcPr>
          <w:p w14:paraId="6FD41244">
            <w:pPr>
              <w:spacing w:line="360" w:lineRule="auto"/>
              <w:jc w:val="center"/>
              <w:rPr>
                <w:color w:val="auto"/>
                <w:kern w:val="0"/>
                <w:sz w:val="24"/>
                <w:highlight w:val="none"/>
              </w:rPr>
            </w:pPr>
            <w:r>
              <w:rPr>
                <w:rFonts w:hint="eastAsia"/>
                <w:color w:val="auto"/>
                <w:kern w:val="0"/>
                <w:sz w:val="24"/>
                <w:highlight w:val="none"/>
              </w:rPr>
              <w:t>7</w:t>
            </w:r>
          </w:p>
        </w:tc>
        <w:tc>
          <w:tcPr>
            <w:tcW w:w="3653" w:type="dxa"/>
            <w:tcBorders>
              <w:top w:val="single" w:color="000000" w:sz="4" w:space="0"/>
              <w:left w:val="single" w:color="000000" w:sz="4" w:space="0"/>
              <w:bottom w:val="single" w:color="000000" w:sz="4" w:space="0"/>
              <w:right w:val="single" w:color="000000" w:sz="4" w:space="0"/>
            </w:tcBorders>
            <w:noWrap/>
            <w:vAlign w:val="center"/>
          </w:tcPr>
          <w:p w14:paraId="35CDB669">
            <w:pPr>
              <w:spacing w:line="360" w:lineRule="auto"/>
              <w:jc w:val="center"/>
              <w:rPr>
                <w:color w:val="auto"/>
                <w:kern w:val="0"/>
                <w:sz w:val="24"/>
                <w:highlight w:val="none"/>
              </w:rPr>
            </w:pPr>
            <w:r>
              <w:rPr>
                <w:rFonts w:hint="eastAsia"/>
                <w:color w:val="auto"/>
                <w:kern w:val="0"/>
                <w:sz w:val="24"/>
                <w:highlight w:val="none"/>
              </w:rPr>
              <w:t>采样泵</w:t>
            </w:r>
          </w:p>
        </w:tc>
        <w:tc>
          <w:tcPr>
            <w:tcW w:w="2781" w:type="dxa"/>
            <w:tcBorders>
              <w:top w:val="single" w:color="000000" w:sz="4" w:space="0"/>
              <w:left w:val="single" w:color="000000" w:sz="4" w:space="0"/>
              <w:bottom w:val="single" w:color="000000" w:sz="4" w:space="0"/>
              <w:right w:val="single" w:color="000000" w:sz="4" w:space="0"/>
            </w:tcBorders>
            <w:noWrap/>
            <w:vAlign w:val="center"/>
          </w:tcPr>
          <w:p w14:paraId="2FDBAFCA">
            <w:pPr>
              <w:spacing w:line="360" w:lineRule="auto"/>
              <w:jc w:val="center"/>
              <w:rPr>
                <w:color w:val="auto"/>
                <w:kern w:val="0"/>
                <w:sz w:val="24"/>
                <w:highlight w:val="none"/>
              </w:rPr>
            </w:pPr>
            <w:r>
              <w:rPr>
                <w:rFonts w:hint="eastAsia"/>
                <w:color w:val="auto"/>
                <w:kern w:val="0"/>
                <w:sz w:val="24"/>
                <w:highlight w:val="none"/>
              </w:rPr>
              <w:t>Gast DOA-P504-BN</w:t>
            </w:r>
          </w:p>
        </w:tc>
        <w:tc>
          <w:tcPr>
            <w:tcW w:w="812" w:type="dxa"/>
            <w:tcBorders>
              <w:top w:val="single" w:color="000000" w:sz="4" w:space="0"/>
              <w:left w:val="single" w:color="000000" w:sz="4" w:space="0"/>
              <w:bottom w:val="single" w:color="000000" w:sz="4" w:space="0"/>
              <w:right w:val="single" w:color="000000" w:sz="4" w:space="0"/>
            </w:tcBorders>
            <w:noWrap/>
            <w:vAlign w:val="center"/>
          </w:tcPr>
          <w:p w14:paraId="19F3A377">
            <w:pPr>
              <w:spacing w:line="360" w:lineRule="auto"/>
              <w:jc w:val="center"/>
              <w:rPr>
                <w:color w:val="auto"/>
                <w:kern w:val="0"/>
                <w:sz w:val="24"/>
                <w:highlight w:val="none"/>
              </w:rPr>
            </w:pPr>
            <w:r>
              <w:rPr>
                <w:rFonts w:hint="eastAsia"/>
                <w:color w:val="auto"/>
                <w:kern w:val="0"/>
                <w:sz w:val="24"/>
                <w:highlight w:val="none"/>
              </w:rPr>
              <w:t>1</w:t>
            </w:r>
          </w:p>
        </w:tc>
        <w:tc>
          <w:tcPr>
            <w:tcW w:w="762" w:type="dxa"/>
            <w:tcBorders>
              <w:top w:val="single" w:color="000000" w:sz="4" w:space="0"/>
              <w:left w:val="single" w:color="000000" w:sz="4" w:space="0"/>
              <w:bottom w:val="single" w:color="000000" w:sz="4" w:space="0"/>
              <w:right w:val="single" w:color="000000" w:sz="4" w:space="0"/>
            </w:tcBorders>
            <w:noWrap/>
            <w:vAlign w:val="center"/>
          </w:tcPr>
          <w:p w14:paraId="32D2BFDB">
            <w:pPr>
              <w:spacing w:line="360" w:lineRule="auto"/>
              <w:jc w:val="center"/>
              <w:rPr>
                <w:color w:val="auto"/>
                <w:kern w:val="0"/>
                <w:sz w:val="24"/>
                <w:highlight w:val="none"/>
              </w:rPr>
            </w:pPr>
            <w:r>
              <w:rPr>
                <w:rFonts w:hint="eastAsia"/>
                <w:color w:val="auto"/>
                <w:kern w:val="0"/>
                <w:sz w:val="24"/>
                <w:highlight w:val="none"/>
              </w:rPr>
              <w:t>台</w:t>
            </w:r>
          </w:p>
        </w:tc>
      </w:tr>
      <w:tr w14:paraId="6A4885FE">
        <w:tblPrEx>
          <w:tblCellMar>
            <w:top w:w="0" w:type="dxa"/>
            <w:left w:w="108" w:type="dxa"/>
            <w:bottom w:w="0" w:type="dxa"/>
            <w:right w:w="108" w:type="dxa"/>
          </w:tblCellMar>
        </w:tblPrEx>
        <w:trPr>
          <w:trHeight w:val="851" w:hRule="atLeast"/>
          <w:jc w:val="center"/>
        </w:trPr>
        <w:tc>
          <w:tcPr>
            <w:tcW w:w="893" w:type="dxa"/>
            <w:tcBorders>
              <w:top w:val="single" w:color="000000" w:sz="4" w:space="0"/>
              <w:left w:val="single" w:color="000000" w:sz="4" w:space="0"/>
              <w:bottom w:val="single" w:color="000000" w:sz="4" w:space="0"/>
              <w:right w:val="single" w:color="000000" w:sz="4" w:space="0"/>
            </w:tcBorders>
            <w:noWrap/>
            <w:vAlign w:val="center"/>
          </w:tcPr>
          <w:p w14:paraId="426D86C5">
            <w:pPr>
              <w:spacing w:line="360" w:lineRule="auto"/>
              <w:jc w:val="center"/>
              <w:rPr>
                <w:color w:val="auto"/>
                <w:kern w:val="0"/>
                <w:sz w:val="24"/>
                <w:highlight w:val="none"/>
              </w:rPr>
            </w:pPr>
            <w:r>
              <w:rPr>
                <w:rFonts w:hint="eastAsia"/>
                <w:color w:val="auto"/>
                <w:kern w:val="0"/>
                <w:sz w:val="24"/>
                <w:highlight w:val="none"/>
              </w:rPr>
              <w:t>8</w:t>
            </w:r>
          </w:p>
        </w:tc>
        <w:tc>
          <w:tcPr>
            <w:tcW w:w="3653" w:type="dxa"/>
            <w:tcBorders>
              <w:top w:val="single" w:color="000000" w:sz="4" w:space="0"/>
              <w:left w:val="single" w:color="000000" w:sz="4" w:space="0"/>
              <w:bottom w:val="single" w:color="000000" w:sz="4" w:space="0"/>
              <w:right w:val="single" w:color="000000" w:sz="4" w:space="0"/>
            </w:tcBorders>
            <w:noWrap/>
            <w:vAlign w:val="center"/>
          </w:tcPr>
          <w:p w14:paraId="7ED8028A">
            <w:pPr>
              <w:spacing w:line="360" w:lineRule="auto"/>
              <w:jc w:val="center"/>
              <w:rPr>
                <w:color w:val="auto"/>
                <w:kern w:val="0"/>
                <w:sz w:val="24"/>
                <w:highlight w:val="none"/>
              </w:rPr>
            </w:pPr>
            <w:r>
              <w:rPr>
                <w:rFonts w:hint="eastAsia"/>
                <w:color w:val="auto"/>
                <w:kern w:val="0"/>
                <w:sz w:val="24"/>
                <w:highlight w:val="none"/>
              </w:rPr>
              <w:t>智能气象传感器</w:t>
            </w:r>
          </w:p>
        </w:tc>
        <w:tc>
          <w:tcPr>
            <w:tcW w:w="2781" w:type="dxa"/>
            <w:tcBorders>
              <w:top w:val="single" w:color="000000" w:sz="4" w:space="0"/>
              <w:left w:val="single" w:color="000000" w:sz="4" w:space="0"/>
              <w:bottom w:val="single" w:color="000000" w:sz="4" w:space="0"/>
              <w:right w:val="single" w:color="000000" w:sz="4" w:space="0"/>
            </w:tcBorders>
            <w:noWrap/>
            <w:vAlign w:val="center"/>
          </w:tcPr>
          <w:p w14:paraId="3FE65335">
            <w:pPr>
              <w:spacing w:line="360" w:lineRule="auto"/>
              <w:jc w:val="center"/>
              <w:rPr>
                <w:color w:val="auto"/>
                <w:kern w:val="0"/>
                <w:sz w:val="24"/>
                <w:highlight w:val="none"/>
              </w:rPr>
            </w:pPr>
            <w:r>
              <w:rPr>
                <w:rFonts w:hint="eastAsia"/>
                <w:color w:val="auto"/>
                <w:kern w:val="0"/>
                <w:sz w:val="24"/>
                <w:highlight w:val="none"/>
              </w:rPr>
              <w:t>lufft ws500</w:t>
            </w:r>
          </w:p>
        </w:tc>
        <w:tc>
          <w:tcPr>
            <w:tcW w:w="812" w:type="dxa"/>
            <w:tcBorders>
              <w:top w:val="single" w:color="000000" w:sz="4" w:space="0"/>
              <w:left w:val="single" w:color="000000" w:sz="4" w:space="0"/>
              <w:bottom w:val="single" w:color="000000" w:sz="4" w:space="0"/>
              <w:right w:val="single" w:color="000000" w:sz="4" w:space="0"/>
            </w:tcBorders>
            <w:noWrap/>
            <w:vAlign w:val="center"/>
          </w:tcPr>
          <w:p w14:paraId="0212E177">
            <w:pPr>
              <w:spacing w:line="360" w:lineRule="auto"/>
              <w:jc w:val="center"/>
              <w:rPr>
                <w:color w:val="auto"/>
                <w:kern w:val="0"/>
                <w:sz w:val="24"/>
                <w:highlight w:val="none"/>
              </w:rPr>
            </w:pPr>
            <w:r>
              <w:rPr>
                <w:rFonts w:hint="eastAsia"/>
                <w:color w:val="auto"/>
                <w:kern w:val="0"/>
                <w:sz w:val="24"/>
                <w:highlight w:val="none"/>
              </w:rPr>
              <w:t>1</w:t>
            </w:r>
          </w:p>
        </w:tc>
        <w:tc>
          <w:tcPr>
            <w:tcW w:w="762" w:type="dxa"/>
            <w:tcBorders>
              <w:top w:val="single" w:color="000000" w:sz="4" w:space="0"/>
              <w:left w:val="single" w:color="000000" w:sz="4" w:space="0"/>
              <w:bottom w:val="single" w:color="000000" w:sz="4" w:space="0"/>
              <w:right w:val="single" w:color="000000" w:sz="4" w:space="0"/>
            </w:tcBorders>
            <w:noWrap/>
            <w:vAlign w:val="center"/>
          </w:tcPr>
          <w:p w14:paraId="2960311A">
            <w:pPr>
              <w:spacing w:line="360" w:lineRule="auto"/>
              <w:jc w:val="center"/>
              <w:rPr>
                <w:color w:val="auto"/>
                <w:kern w:val="0"/>
                <w:sz w:val="24"/>
                <w:highlight w:val="none"/>
              </w:rPr>
            </w:pPr>
            <w:r>
              <w:rPr>
                <w:rFonts w:hint="eastAsia"/>
                <w:color w:val="auto"/>
                <w:kern w:val="0"/>
                <w:sz w:val="24"/>
                <w:highlight w:val="none"/>
              </w:rPr>
              <w:t>套</w:t>
            </w:r>
          </w:p>
        </w:tc>
      </w:tr>
    </w:tbl>
    <w:p w14:paraId="7B49400E">
      <w:pPr>
        <w:spacing w:line="360" w:lineRule="auto"/>
        <w:rPr>
          <w:bCs/>
          <w:color w:val="auto"/>
          <w:sz w:val="24"/>
          <w:highlight w:val="none"/>
        </w:rPr>
      </w:pPr>
    </w:p>
    <w:p w14:paraId="442B50AC">
      <w:pPr>
        <w:spacing w:line="360" w:lineRule="auto"/>
        <w:jc w:val="center"/>
        <w:rPr>
          <w:b/>
          <w:color w:val="auto"/>
          <w:sz w:val="24"/>
          <w:highlight w:val="none"/>
        </w:rPr>
      </w:pPr>
      <w:r>
        <w:rPr>
          <w:b/>
          <w:color w:val="auto"/>
          <w:sz w:val="24"/>
          <w:highlight w:val="none"/>
        </w:rPr>
        <w:t>表4 富阳骆村站仪器配置情况一览表</w:t>
      </w:r>
    </w:p>
    <w:tbl>
      <w:tblPr>
        <w:tblStyle w:val="62"/>
        <w:tblW w:w="8945" w:type="dxa"/>
        <w:jc w:val="center"/>
        <w:tblLayout w:type="fixed"/>
        <w:tblCellMar>
          <w:top w:w="0" w:type="dxa"/>
          <w:left w:w="108" w:type="dxa"/>
          <w:bottom w:w="0" w:type="dxa"/>
          <w:right w:w="108" w:type="dxa"/>
        </w:tblCellMar>
      </w:tblPr>
      <w:tblGrid>
        <w:gridCol w:w="818"/>
        <w:gridCol w:w="3766"/>
        <w:gridCol w:w="2837"/>
        <w:gridCol w:w="755"/>
        <w:gridCol w:w="769"/>
      </w:tblGrid>
      <w:tr w14:paraId="1DBA8EC9">
        <w:tblPrEx>
          <w:tblCellMar>
            <w:top w:w="0" w:type="dxa"/>
            <w:left w:w="108" w:type="dxa"/>
            <w:bottom w:w="0" w:type="dxa"/>
            <w:right w:w="108" w:type="dxa"/>
          </w:tblCellMar>
        </w:tblPrEx>
        <w:trPr>
          <w:trHeight w:val="638" w:hRule="atLeast"/>
          <w:tblHeader/>
          <w:jc w:val="center"/>
        </w:trPr>
        <w:tc>
          <w:tcPr>
            <w:tcW w:w="818" w:type="dxa"/>
            <w:tcBorders>
              <w:top w:val="single" w:color="000000" w:sz="4" w:space="0"/>
              <w:left w:val="single" w:color="000000" w:sz="4" w:space="0"/>
              <w:bottom w:val="single" w:color="000000" w:sz="4" w:space="0"/>
              <w:right w:val="single" w:color="000000" w:sz="4" w:space="0"/>
            </w:tcBorders>
            <w:noWrap/>
            <w:vAlign w:val="center"/>
          </w:tcPr>
          <w:p w14:paraId="4CC2AC6D">
            <w:pPr>
              <w:spacing w:line="360" w:lineRule="auto"/>
              <w:jc w:val="center"/>
              <w:rPr>
                <w:color w:val="auto"/>
                <w:kern w:val="0"/>
                <w:sz w:val="24"/>
                <w:highlight w:val="none"/>
              </w:rPr>
            </w:pPr>
            <w:r>
              <w:rPr>
                <w:rFonts w:hint="eastAsia"/>
                <w:color w:val="auto"/>
                <w:kern w:val="0"/>
                <w:sz w:val="24"/>
                <w:highlight w:val="none"/>
              </w:rPr>
              <w:t>序号</w:t>
            </w:r>
          </w:p>
        </w:tc>
        <w:tc>
          <w:tcPr>
            <w:tcW w:w="3766" w:type="dxa"/>
            <w:tcBorders>
              <w:top w:val="single" w:color="000000" w:sz="4" w:space="0"/>
              <w:left w:val="single" w:color="000000" w:sz="4" w:space="0"/>
              <w:bottom w:val="single" w:color="000000" w:sz="4" w:space="0"/>
              <w:right w:val="single" w:color="000000" w:sz="4" w:space="0"/>
            </w:tcBorders>
            <w:noWrap/>
            <w:vAlign w:val="center"/>
          </w:tcPr>
          <w:p w14:paraId="635DB88C">
            <w:pPr>
              <w:spacing w:line="360" w:lineRule="auto"/>
              <w:jc w:val="center"/>
              <w:rPr>
                <w:color w:val="auto"/>
                <w:kern w:val="0"/>
                <w:sz w:val="24"/>
                <w:highlight w:val="none"/>
              </w:rPr>
            </w:pPr>
            <w:r>
              <w:rPr>
                <w:rFonts w:hint="eastAsia"/>
                <w:color w:val="auto"/>
                <w:kern w:val="0"/>
                <w:sz w:val="24"/>
                <w:highlight w:val="none"/>
              </w:rPr>
              <w:t>设备名称</w:t>
            </w:r>
          </w:p>
        </w:tc>
        <w:tc>
          <w:tcPr>
            <w:tcW w:w="2837" w:type="dxa"/>
            <w:tcBorders>
              <w:top w:val="single" w:color="000000" w:sz="4" w:space="0"/>
              <w:left w:val="single" w:color="000000" w:sz="4" w:space="0"/>
              <w:bottom w:val="single" w:color="000000" w:sz="4" w:space="0"/>
              <w:right w:val="single" w:color="000000" w:sz="4" w:space="0"/>
            </w:tcBorders>
            <w:noWrap/>
            <w:vAlign w:val="center"/>
          </w:tcPr>
          <w:p w14:paraId="1D7DC2BB">
            <w:pPr>
              <w:spacing w:line="360" w:lineRule="auto"/>
              <w:jc w:val="center"/>
              <w:rPr>
                <w:color w:val="auto"/>
                <w:kern w:val="0"/>
                <w:sz w:val="24"/>
                <w:highlight w:val="none"/>
              </w:rPr>
            </w:pPr>
            <w:r>
              <w:rPr>
                <w:rFonts w:hint="eastAsia"/>
                <w:color w:val="auto"/>
                <w:kern w:val="0"/>
                <w:sz w:val="24"/>
                <w:highlight w:val="none"/>
              </w:rPr>
              <w:t>品牌型号</w:t>
            </w:r>
          </w:p>
        </w:tc>
        <w:tc>
          <w:tcPr>
            <w:tcW w:w="755" w:type="dxa"/>
            <w:tcBorders>
              <w:top w:val="single" w:color="000000" w:sz="4" w:space="0"/>
              <w:left w:val="single" w:color="000000" w:sz="4" w:space="0"/>
              <w:bottom w:val="single" w:color="000000" w:sz="4" w:space="0"/>
              <w:right w:val="single" w:color="000000" w:sz="4" w:space="0"/>
            </w:tcBorders>
            <w:noWrap/>
            <w:vAlign w:val="center"/>
          </w:tcPr>
          <w:p w14:paraId="7CA43AAD">
            <w:pPr>
              <w:spacing w:line="360" w:lineRule="auto"/>
              <w:jc w:val="center"/>
              <w:rPr>
                <w:color w:val="auto"/>
                <w:kern w:val="0"/>
                <w:sz w:val="24"/>
                <w:highlight w:val="none"/>
              </w:rPr>
            </w:pPr>
            <w:r>
              <w:rPr>
                <w:rFonts w:hint="eastAsia"/>
                <w:color w:val="auto"/>
                <w:kern w:val="0"/>
                <w:sz w:val="24"/>
                <w:highlight w:val="none"/>
              </w:rPr>
              <w:t>数量</w:t>
            </w:r>
          </w:p>
        </w:tc>
        <w:tc>
          <w:tcPr>
            <w:tcW w:w="769" w:type="dxa"/>
            <w:tcBorders>
              <w:top w:val="single" w:color="000000" w:sz="4" w:space="0"/>
              <w:left w:val="single" w:color="000000" w:sz="4" w:space="0"/>
              <w:bottom w:val="single" w:color="000000" w:sz="4" w:space="0"/>
              <w:right w:val="single" w:color="000000" w:sz="4" w:space="0"/>
            </w:tcBorders>
            <w:noWrap/>
            <w:vAlign w:val="center"/>
          </w:tcPr>
          <w:p w14:paraId="436BE846">
            <w:pPr>
              <w:spacing w:line="360" w:lineRule="auto"/>
              <w:jc w:val="center"/>
              <w:rPr>
                <w:color w:val="auto"/>
                <w:kern w:val="0"/>
                <w:sz w:val="24"/>
                <w:highlight w:val="none"/>
              </w:rPr>
            </w:pPr>
            <w:r>
              <w:rPr>
                <w:rFonts w:hint="eastAsia"/>
                <w:color w:val="auto"/>
                <w:kern w:val="0"/>
                <w:sz w:val="24"/>
                <w:highlight w:val="none"/>
              </w:rPr>
              <w:t>单位</w:t>
            </w:r>
          </w:p>
        </w:tc>
      </w:tr>
      <w:tr w14:paraId="29788401">
        <w:tblPrEx>
          <w:tblCellMar>
            <w:top w:w="0" w:type="dxa"/>
            <w:left w:w="108" w:type="dxa"/>
            <w:bottom w:w="0" w:type="dxa"/>
            <w:right w:w="108" w:type="dxa"/>
          </w:tblCellMar>
        </w:tblPrEx>
        <w:trPr>
          <w:trHeight w:val="567" w:hRule="atLeast"/>
          <w:jc w:val="center"/>
        </w:trPr>
        <w:tc>
          <w:tcPr>
            <w:tcW w:w="818" w:type="dxa"/>
            <w:tcBorders>
              <w:top w:val="single" w:color="000000" w:sz="4" w:space="0"/>
              <w:left w:val="single" w:color="000000" w:sz="4" w:space="0"/>
              <w:bottom w:val="single" w:color="000000" w:sz="4" w:space="0"/>
              <w:right w:val="single" w:color="000000" w:sz="4" w:space="0"/>
            </w:tcBorders>
            <w:noWrap/>
            <w:vAlign w:val="center"/>
          </w:tcPr>
          <w:p w14:paraId="19048831">
            <w:pPr>
              <w:spacing w:line="360" w:lineRule="auto"/>
              <w:jc w:val="center"/>
              <w:rPr>
                <w:color w:val="auto"/>
                <w:kern w:val="0"/>
                <w:sz w:val="24"/>
                <w:highlight w:val="none"/>
              </w:rPr>
            </w:pPr>
            <w:r>
              <w:rPr>
                <w:rFonts w:hint="eastAsia"/>
                <w:color w:val="auto"/>
                <w:kern w:val="0"/>
                <w:sz w:val="24"/>
                <w:highlight w:val="none"/>
              </w:rPr>
              <w:t>1</w:t>
            </w:r>
          </w:p>
        </w:tc>
        <w:tc>
          <w:tcPr>
            <w:tcW w:w="3766" w:type="dxa"/>
            <w:tcBorders>
              <w:top w:val="single" w:color="000000" w:sz="4" w:space="0"/>
              <w:left w:val="single" w:color="000000" w:sz="4" w:space="0"/>
              <w:bottom w:val="single" w:color="000000" w:sz="4" w:space="0"/>
              <w:right w:val="single" w:color="000000" w:sz="4" w:space="0"/>
            </w:tcBorders>
            <w:noWrap/>
            <w:vAlign w:val="center"/>
          </w:tcPr>
          <w:p w14:paraId="5DE98B1A">
            <w:pPr>
              <w:spacing w:line="360" w:lineRule="auto"/>
              <w:jc w:val="center"/>
              <w:rPr>
                <w:color w:val="auto"/>
                <w:kern w:val="0"/>
                <w:sz w:val="24"/>
                <w:highlight w:val="none"/>
              </w:rPr>
            </w:pPr>
            <w:r>
              <w:rPr>
                <w:rFonts w:hint="eastAsia"/>
                <w:color w:val="auto"/>
                <w:kern w:val="0"/>
                <w:sz w:val="24"/>
                <w:highlight w:val="none"/>
              </w:rPr>
              <w:t>高精度CO</w:t>
            </w:r>
            <w:r>
              <w:rPr>
                <w:rFonts w:hint="eastAsia"/>
                <w:color w:val="auto"/>
                <w:kern w:val="0"/>
                <w:sz w:val="24"/>
                <w:highlight w:val="none"/>
                <w:vertAlign w:val="subscript"/>
              </w:rPr>
              <w:t>2</w:t>
            </w:r>
            <w:r>
              <w:rPr>
                <w:rFonts w:hint="eastAsia"/>
                <w:color w:val="auto"/>
                <w:kern w:val="0"/>
                <w:sz w:val="24"/>
                <w:highlight w:val="none"/>
              </w:rPr>
              <w:t>、CH</w:t>
            </w:r>
            <w:r>
              <w:rPr>
                <w:rFonts w:hint="eastAsia"/>
                <w:color w:val="auto"/>
                <w:kern w:val="0"/>
                <w:sz w:val="24"/>
                <w:highlight w:val="none"/>
                <w:vertAlign w:val="subscript"/>
              </w:rPr>
              <w:t>4</w:t>
            </w:r>
            <w:r>
              <w:rPr>
                <w:rFonts w:hint="eastAsia"/>
                <w:color w:val="auto"/>
                <w:kern w:val="0"/>
                <w:sz w:val="24"/>
                <w:highlight w:val="none"/>
              </w:rPr>
              <w:t>、CO温室气体分析仪</w:t>
            </w:r>
          </w:p>
        </w:tc>
        <w:tc>
          <w:tcPr>
            <w:tcW w:w="2837" w:type="dxa"/>
            <w:tcBorders>
              <w:top w:val="single" w:color="000000" w:sz="4" w:space="0"/>
              <w:left w:val="single" w:color="000000" w:sz="4" w:space="0"/>
              <w:bottom w:val="single" w:color="000000" w:sz="4" w:space="0"/>
              <w:right w:val="single" w:color="000000" w:sz="4" w:space="0"/>
            </w:tcBorders>
            <w:noWrap/>
            <w:vAlign w:val="center"/>
          </w:tcPr>
          <w:p w14:paraId="638A5356">
            <w:pPr>
              <w:spacing w:line="360" w:lineRule="auto"/>
              <w:jc w:val="center"/>
              <w:rPr>
                <w:color w:val="auto"/>
                <w:kern w:val="0"/>
                <w:sz w:val="24"/>
                <w:highlight w:val="none"/>
              </w:rPr>
            </w:pPr>
            <w:r>
              <w:rPr>
                <w:rFonts w:hint="eastAsia"/>
                <w:color w:val="auto"/>
                <w:kern w:val="0"/>
                <w:sz w:val="24"/>
                <w:highlight w:val="none"/>
              </w:rPr>
              <w:t>PICARRO G2401</w:t>
            </w:r>
          </w:p>
        </w:tc>
        <w:tc>
          <w:tcPr>
            <w:tcW w:w="755" w:type="dxa"/>
            <w:tcBorders>
              <w:top w:val="single" w:color="000000" w:sz="4" w:space="0"/>
              <w:left w:val="single" w:color="000000" w:sz="4" w:space="0"/>
              <w:bottom w:val="single" w:color="000000" w:sz="4" w:space="0"/>
              <w:right w:val="single" w:color="000000" w:sz="4" w:space="0"/>
            </w:tcBorders>
            <w:noWrap/>
            <w:vAlign w:val="center"/>
          </w:tcPr>
          <w:p w14:paraId="4CAC03DA">
            <w:pPr>
              <w:spacing w:line="360" w:lineRule="auto"/>
              <w:jc w:val="center"/>
              <w:rPr>
                <w:color w:val="auto"/>
                <w:kern w:val="0"/>
                <w:sz w:val="24"/>
                <w:highlight w:val="none"/>
              </w:rPr>
            </w:pPr>
            <w:r>
              <w:rPr>
                <w:rFonts w:hint="eastAsia"/>
                <w:color w:val="auto"/>
                <w:kern w:val="0"/>
                <w:sz w:val="24"/>
                <w:highlight w:val="none"/>
              </w:rPr>
              <w:t>1</w:t>
            </w:r>
          </w:p>
        </w:tc>
        <w:tc>
          <w:tcPr>
            <w:tcW w:w="769" w:type="dxa"/>
            <w:tcBorders>
              <w:top w:val="single" w:color="000000" w:sz="4" w:space="0"/>
              <w:left w:val="single" w:color="000000" w:sz="4" w:space="0"/>
              <w:bottom w:val="single" w:color="000000" w:sz="4" w:space="0"/>
              <w:right w:val="single" w:color="000000" w:sz="4" w:space="0"/>
            </w:tcBorders>
            <w:noWrap/>
            <w:vAlign w:val="center"/>
          </w:tcPr>
          <w:p w14:paraId="7E1C9477">
            <w:pPr>
              <w:spacing w:line="360" w:lineRule="auto"/>
              <w:jc w:val="center"/>
              <w:rPr>
                <w:color w:val="auto"/>
                <w:kern w:val="0"/>
                <w:sz w:val="24"/>
                <w:highlight w:val="none"/>
              </w:rPr>
            </w:pPr>
            <w:r>
              <w:rPr>
                <w:rFonts w:hint="eastAsia"/>
                <w:color w:val="auto"/>
                <w:kern w:val="0"/>
                <w:sz w:val="24"/>
                <w:highlight w:val="none"/>
              </w:rPr>
              <w:t>台</w:t>
            </w:r>
          </w:p>
        </w:tc>
      </w:tr>
      <w:tr w14:paraId="2726CAD2">
        <w:tblPrEx>
          <w:tblCellMar>
            <w:top w:w="0" w:type="dxa"/>
            <w:left w:w="108" w:type="dxa"/>
            <w:bottom w:w="0" w:type="dxa"/>
            <w:right w:w="108" w:type="dxa"/>
          </w:tblCellMar>
        </w:tblPrEx>
        <w:trPr>
          <w:trHeight w:val="567" w:hRule="atLeast"/>
          <w:jc w:val="center"/>
        </w:trPr>
        <w:tc>
          <w:tcPr>
            <w:tcW w:w="818" w:type="dxa"/>
            <w:tcBorders>
              <w:top w:val="single" w:color="000000" w:sz="4" w:space="0"/>
              <w:left w:val="single" w:color="000000" w:sz="4" w:space="0"/>
              <w:bottom w:val="single" w:color="000000" w:sz="4" w:space="0"/>
              <w:right w:val="single" w:color="000000" w:sz="4" w:space="0"/>
            </w:tcBorders>
            <w:noWrap/>
            <w:vAlign w:val="center"/>
          </w:tcPr>
          <w:p w14:paraId="0F6CEE10">
            <w:pPr>
              <w:spacing w:line="360" w:lineRule="auto"/>
              <w:jc w:val="center"/>
              <w:rPr>
                <w:color w:val="auto"/>
                <w:kern w:val="0"/>
                <w:sz w:val="24"/>
                <w:highlight w:val="none"/>
              </w:rPr>
            </w:pPr>
            <w:r>
              <w:rPr>
                <w:rFonts w:hint="eastAsia"/>
                <w:color w:val="auto"/>
                <w:kern w:val="0"/>
                <w:sz w:val="24"/>
                <w:highlight w:val="none"/>
              </w:rPr>
              <w:t>2</w:t>
            </w:r>
          </w:p>
        </w:tc>
        <w:tc>
          <w:tcPr>
            <w:tcW w:w="3766" w:type="dxa"/>
            <w:tcBorders>
              <w:top w:val="single" w:color="000000" w:sz="4" w:space="0"/>
              <w:left w:val="single" w:color="000000" w:sz="4" w:space="0"/>
              <w:bottom w:val="single" w:color="000000" w:sz="4" w:space="0"/>
              <w:right w:val="single" w:color="000000" w:sz="4" w:space="0"/>
            </w:tcBorders>
            <w:noWrap/>
            <w:vAlign w:val="center"/>
          </w:tcPr>
          <w:p w14:paraId="60F58B2A">
            <w:pPr>
              <w:spacing w:line="360" w:lineRule="auto"/>
              <w:jc w:val="center"/>
              <w:rPr>
                <w:color w:val="auto"/>
                <w:kern w:val="0"/>
                <w:sz w:val="24"/>
                <w:highlight w:val="none"/>
              </w:rPr>
            </w:pPr>
            <w:r>
              <w:rPr>
                <w:rFonts w:hint="eastAsia"/>
                <w:color w:val="auto"/>
                <w:kern w:val="0"/>
                <w:sz w:val="24"/>
                <w:highlight w:val="none"/>
              </w:rPr>
              <w:t>进样阀箱</w:t>
            </w:r>
          </w:p>
        </w:tc>
        <w:tc>
          <w:tcPr>
            <w:tcW w:w="2837" w:type="dxa"/>
            <w:tcBorders>
              <w:top w:val="single" w:color="000000" w:sz="4" w:space="0"/>
              <w:left w:val="single" w:color="000000" w:sz="4" w:space="0"/>
              <w:bottom w:val="single" w:color="000000" w:sz="4" w:space="0"/>
              <w:right w:val="single" w:color="000000" w:sz="4" w:space="0"/>
            </w:tcBorders>
            <w:noWrap/>
            <w:vAlign w:val="center"/>
          </w:tcPr>
          <w:p w14:paraId="46E8C2AB">
            <w:pPr>
              <w:spacing w:line="360" w:lineRule="auto"/>
              <w:jc w:val="center"/>
              <w:rPr>
                <w:color w:val="auto"/>
                <w:kern w:val="0"/>
                <w:sz w:val="24"/>
                <w:highlight w:val="none"/>
              </w:rPr>
            </w:pPr>
            <w:r>
              <w:rPr>
                <w:rFonts w:hint="eastAsia"/>
                <w:color w:val="auto"/>
                <w:kern w:val="0"/>
                <w:sz w:val="24"/>
                <w:highlight w:val="none"/>
              </w:rPr>
              <w:t>世纪朝阳 定制</w:t>
            </w:r>
          </w:p>
        </w:tc>
        <w:tc>
          <w:tcPr>
            <w:tcW w:w="755" w:type="dxa"/>
            <w:tcBorders>
              <w:top w:val="single" w:color="000000" w:sz="4" w:space="0"/>
              <w:left w:val="single" w:color="000000" w:sz="4" w:space="0"/>
              <w:bottom w:val="single" w:color="000000" w:sz="4" w:space="0"/>
              <w:right w:val="single" w:color="000000" w:sz="4" w:space="0"/>
            </w:tcBorders>
            <w:noWrap/>
            <w:vAlign w:val="center"/>
          </w:tcPr>
          <w:p w14:paraId="6A80EFFD">
            <w:pPr>
              <w:spacing w:line="360" w:lineRule="auto"/>
              <w:jc w:val="center"/>
              <w:rPr>
                <w:color w:val="auto"/>
                <w:kern w:val="0"/>
                <w:sz w:val="24"/>
                <w:highlight w:val="none"/>
              </w:rPr>
            </w:pPr>
            <w:r>
              <w:rPr>
                <w:rFonts w:hint="eastAsia"/>
                <w:color w:val="auto"/>
                <w:kern w:val="0"/>
                <w:sz w:val="24"/>
                <w:highlight w:val="none"/>
              </w:rPr>
              <w:t>1</w:t>
            </w:r>
          </w:p>
        </w:tc>
        <w:tc>
          <w:tcPr>
            <w:tcW w:w="769" w:type="dxa"/>
            <w:tcBorders>
              <w:top w:val="single" w:color="000000" w:sz="4" w:space="0"/>
              <w:left w:val="single" w:color="000000" w:sz="4" w:space="0"/>
              <w:bottom w:val="single" w:color="000000" w:sz="4" w:space="0"/>
              <w:right w:val="single" w:color="000000" w:sz="4" w:space="0"/>
            </w:tcBorders>
            <w:noWrap/>
            <w:vAlign w:val="center"/>
          </w:tcPr>
          <w:p w14:paraId="6F839CE4">
            <w:pPr>
              <w:spacing w:line="360" w:lineRule="auto"/>
              <w:jc w:val="center"/>
              <w:rPr>
                <w:color w:val="auto"/>
                <w:kern w:val="0"/>
                <w:sz w:val="24"/>
                <w:highlight w:val="none"/>
              </w:rPr>
            </w:pPr>
            <w:r>
              <w:rPr>
                <w:rFonts w:hint="eastAsia"/>
                <w:color w:val="auto"/>
                <w:kern w:val="0"/>
                <w:sz w:val="24"/>
                <w:highlight w:val="none"/>
              </w:rPr>
              <w:t>台</w:t>
            </w:r>
          </w:p>
        </w:tc>
      </w:tr>
      <w:tr w14:paraId="46462EDA">
        <w:tblPrEx>
          <w:tblCellMar>
            <w:top w:w="0" w:type="dxa"/>
            <w:left w:w="108" w:type="dxa"/>
            <w:bottom w:w="0" w:type="dxa"/>
            <w:right w:w="108" w:type="dxa"/>
          </w:tblCellMar>
        </w:tblPrEx>
        <w:trPr>
          <w:trHeight w:val="567" w:hRule="atLeast"/>
          <w:jc w:val="center"/>
        </w:trPr>
        <w:tc>
          <w:tcPr>
            <w:tcW w:w="818" w:type="dxa"/>
            <w:tcBorders>
              <w:top w:val="single" w:color="000000" w:sz="4" w:space="0"/>
              <w:left w:val="single" w:color="000000" w:sz="4" w:space="0"/>
              <w:bottom w:val="single" w:color="000000" w:sz="4" w:space="0"/>
              <w:right w:val="single" w:color="000000" w:sz="4" w:space="0"/>
            </w:tcBorders>
            <w:noWrap/>
            <w:vAlign w:val="center"/>
          </w:tcPr>
          <w:p w14:paraId="163F94A9">
            <w:pPr>
              <w:spacing w:line="360" w:lineRule="auto"/>
              <w:jc w:val="center"/>
              <w:rPr>
                <w:color w:val="auto"/>
                <w:kern w:val="0"/>
                <w:sz w:val="24"/>
                <w:highlight w:val="none"/>
              </w:rPr>
            </w:pPr>
            <w:r>
              <w:rPr>
                <w:rFonts w:hint="eastAsia"/>
                <w:color w:val="auto"/>
                <w:kern w:val="0"/>
                <w:sz w:val="24"/>
                <w:highlight w:val="none"/>
              </w:rPr>
              <w:t>3</w:t>
            </w:r>
          </w:p>
        </w:tc>
        <w:tc>
          <w:tcPr>
            <w:tcW w:w="3766" w:type="dxa"/>
            <w:tcBorders>
              <w:top w:val="single" w:color="000000" w:sz="4" w:space="0"/>
              <w:left w:val="single" w:color="000000" w:sz="4" w:space="0"/>
              <w:bottom w:val="single" w:color="000000" w:sz="4" w:space="0"/>
              <w:right w:val="single" w:color="000000" w:sz="4" w:space="0"/>
            </w:tcBorders>
            <w:noWrap/>
            <w:vAlign w:val="center"/>
          </w:tcPr>
          <w:p w14:paraId="2036DDFB">
            <w:pPr>
              <w:spacing w:line="360" w:lineRule="auto"/>
              <w:jc w:val="center"/>
              <w:rPr>
                <w:color w:val="auto"/>
                <w:kern w:val="0"/>
                <w:sz w:val="24"/>
                <w:highlight w:val="none"/>
              </w:rPr>
            </w:pPr>
            <w:r>
              <w:rPr>
                <w:rFonts w:hint="eastAsia"/>
                <w:color w:val="auto"/>
                <w:kern w:val="0"/>
                <w:sz w:val="24"/>
                <w:highlight w:val="none"/>
              </w:rPr>
              <w:t>超低温冷阱</w:t>
            </w:r>
          </w:p>
        </w:tc>
        <w:tc>
          <w:tcPr>
            <w:tcW w:w="2837" w:type="dxa"/>
            <w:tcBorders>
              <w:top w:val="single" w:color="000000" w:sz="4" w:space="0"/>
              <w:left w:val="single" w:color="000000" w:sz="4" w:space="0"/>
              <w:bottom w:val="single" w:color="000000" w:sz="4" w:space="0"/>
              <w:right w:val="single" w:color="000000" w:sz="4" w:space="0"/>
            </w:tcBorders>
            <w:noWrap/>
            <w:vAlign w:val="center"/>
          </w:tcPr>
          <w:p w14:paraId="73EE9DB4">
            <w:pPr>
              <w:spacing w:line="360" w:lineRule="auto"/>
              <w:jc w:val="center"/>
              <w:rPr>
                <w:color w:val="auto"/>
                <w:kern w:val="0"/>
                <w:sz w:val="24"/>
                <w:highlight w:val="none"/>
              </w:rPr>
            </w:pPr>
            <w:r>
              <w:rPr>
                <w:rFonts w:hint="eastAsia"/>
                <w:color w:val="auto"/>
                <w:kern w:val="0"/>
                <w:sz w:val="24"/>
                <w:highlight w:val="none"/>
              </w:rPr>
              <w:t>世纪朝阳 CS-8000</w:t>
            </w:r>
          </w:p>
        </w:tc>
        <w:tc>
          <w:tcPr>
            <w:tcW w:w="755" w:type="dxa"/>
            <w:tcBorders>
              <w:top w:val="single" w:color="000000" w:sz="4" w:space="0"/>
              <w:left w:val="single" w:color="000000" w:sz="4" w:space="0"/>
              <w:bottom w:val="single" w:color="000000" w:sz="4" w:space="0"/>
              <w:right w:val="single" w:color="000000" w:sz="4" w:space="0"/>
            </w:tcBorders>
            <w:noWrap/>
            <w:vAlign w:val="center"/>
          </w:tcPr>
          <w:p w14:paraId="2424F316">
            <w:pPr>
              <w:spacing w:line="360" w:lineRule="auto"/>
              <w:jc w:val="center"/>
              <w:rPr>
                <w:color w:val="auto"/>
                <w:kern w:val="0"/>
                <w:sz w:val="24"/>
                <w:highlight w:val="none"/>
              </w:rPr>
            </w:pPr>
            <w:r>
              <w:rPr>
                <w:rFonts w:hint="eastAsia"/>
                <w:color w:val="auto"/>
                <w:kern w:val="0"/>
                <w:sz w:val="24"/>
                <w:highlight w:val="none"/>
              </w:rPr>
              <w:t>1</w:t>
            </w:r>
          </w:p>
        </w:tc>
        <w:tc>
          <w:tcPr>
            <w:tcW w:w="769" w:type="dxa"/>
            <w:tcBorders>
              <w:top w:val="single" w:color="000000" w:sz="4" w:space="0"/>
              <w:left w:val="single" w:color="000000" w:sz="4" w:space="0"/>
              <w:bottom w:val="single" w:color="000000" w:sz="4" w:space="0"/>
              <w:right w:val="single" w:color="000000" w:sz="4" w:space="0"/>
            </w:tcBorders>
            <w:noWrap/>
            <w:vAlign w:val="center"/>
          </w:tcPr>
          <w:p w14:paraId="388E4DA9">
            <w:pPr>
              <w:spacing w:line="360" w:lineRule="auto"/>
              <w:jc w:val="center"/>
              <w:rPr>
                <w:color w:val="auto"/>
                <w:kern w:val="0"/>
                <w:sz w:val="24"/>
                <w:highlight w:val="none"/>
              </w:rPr>
            </w:pPr>
            <w:r>
              <w:rPr>
                <w:rFonts w:hint="eastAsia"/>
                <w:color w:val="auto"/>
                <w:kern w:val="0"/>
                <w:sz w:val="24"/>
                <w:highlight w:val="none"/>
              </w:rPr>
              <w:t>套</w:t>
            </w:r>
          </w:p>
        </w:tc>
      </w:tr>
      <w:tr w14:paraId="7F3BD5DD">
        <w:tblPrEx>
          <w:tblCellMar>
            <w:top w:w="0" w:type="dxa"/>
            <w:left w:w="108" w:type="dxa"/>
            <w:bottom w:w="0" w:type="dxa"/>
            <w:right w:w="108" w:type="dxa"/>
          </w:tblCellMar>
        </w:tblPrEx>
        <w:trPr>
          <w:trHeight w:val="567" w:hRule="atLeast"/>
          <w:jc w:val="center"/>
        </w:trPr>
        <w:tc>
          <w:tcPr>
            <w:tcW w:w="818" w:type="dxa"/>
            <w:tcBorders>
              <w:top w:val="single" w:color="000000" w:sz="4" w:space="0"/>
              <w:left w:val="single" w:color="000000" w:sz="4" w:space="0"/>
              <w:bottom w:val="single" w:color="000000" w:sz="4" w:space="0"/>
              <w:right w:val="single" w:color="000000" w:sz="4" w:space="0"/>
            </w:tcBorders>
            <w:noWrap/>
            <w:vAlign w:val="center"/>
          </w:tcPr>
          <w:p w14:paraId="0D802E9A">
            <w:pPr>
              <w:spacing w:line="360" w:lineRule="auto"/>
              <w:jc w:val="center"/>
              <w:rPr>
                <w:color w:val="auto"/>
                <w:kern w:val="0"/>
                <w:sz w:val="24"/>
                <w:highlight w:val="none"/>
              </w:rPr>
            </w:pPr>
            <w:r>
              <w:rPr>
                <w:rFonts w:hint="eastAsia"/>
                <w:color w:val="auto"/>
                <w:kern w:val="0"/>
                <w:sz w:val="24"/>
                <w:highlight w:val="none"/>
              </w:rPr>
              <w:t>4</w:t>
            </w:r>
          </w:p>
        </w:tc>
        <w:tc>
          <w:tcPr>
            <w:tcW w:w="3766" w:type="dxa"/>
            <w:tcBorders>
              <w:top w:val="single" w:color="000000" w:sz="4" w:space="0"/>
              <w:left w:val="single" w:color="000000" w:sz="4" w:space="0"/>
              <w:bottom w:val="single" w:color="000000" w:sz="4" w:space="0"/>
              <w:right w:val="single" w:color="000000" w:sz="4" w:space="0"/>
            </w:tcBorders>
            <w:noWrap/>
            <w:vAlign w:val="center"/>
          </w:tcPr>
          <w:p w14:paraId="09886F6A">
            <w:pPr>
              <w:spacing w:line="360" w:lineRule="auto"/>
              <w:jc w:val="center"/>
              <w:rPr>
                <w:color w:val="auto"/>
                <w:kern w:val="0"/>
                <w:sz w:val="24"/>
                <w:highlight w:val="none"/>
              </w:rPr>
            </w:pPr>
            <w:r>
              <w:rPr>
                <w:rFonts w:hint="eastAsia"/>
                <w:color w:val="auto"/>
                <w:kern w:val="0"/>
                <w:sz w:val="24"/>
                <w:highlight w:val="none"/>
              </w:rPr>
              <w:t>电子冷凝器</w:t>
            </w:r>
          </w:p>
        </w:tc>
        <w:tc>
          <w:tcPr>
            <w:tcW w:w="2837" w:type="dxa"/>
            <w:tcBorders>
              <w:top w:val="single" w:color="000000" w:sz="4" w:space="0"/>
              <w:left w:val="single" w:color="000000" w:sz="4" w:space="0"/>
              <w:bottom w:val="single" w:color="000000" w:sz="4" w:space="0"/>
              <w:right w:val="single" w:color="000000" w:sz="4" w:space="0"/>
            </w:tcBorders>
            <w:noWrap/>
            <w:vAlign w:val="center"/>
          </w:tcPr>
          <w:p w14:paraId="5226E217">
            <w:pPr>
              <w:spacing w:line="360" w:lineRule="auto"/>
              <w:jc w:val="center"/>
              <w:rPr>
                <w:color w:val="auto"/>
                <w:kern w:val="0"/>
                <w:sz w:val="24"/>
                <w:highlight w:val="none"/>
              </w:rPr>
            </w:pPr>
            <w:r>
              <w:rPr>
                <w:rFonts w:hint="eastAsia"/>
                <w:color w:val="auto"/>
                <w:kern w:val="0"/>
                <w:sz w:val="24"/>
                <w:highlight w:val="none"/>
              </w:rPr>
              <w:t>CS-7A</w:t>
            </w:r>
          </w:p>
        </w:tc>
        <w:tc>
          <w:tcPr>
            <w:tcW w:w="755" w:type="dxa"/>
            <w:tcBorders>
              <w:top w:val="single" w:color="000000" w:sz="4" w:space="0"/>
              <w:left w:val="single" w:color="000000" w:sz="4" w:space="0"/>
              <w:bottom w:val="single" w:color="000000" w:sz="4" w:space="0"/>
              <w:right w:val="single" w:color="000000" w:sz="4" w:space="0"/>
            </w:tcBorders>
            <w:noWrap/>
            <w:vAlign w:val="center"/>
          </w:tcPr>
          <w:p w14:paraId="38BC691E">
            <w:pPr>
              <w:spacing w:line="360" w:lineRule="auto"/>
              <w:jc w:val="center"/>
              <w:rPr>
                <w:color w:val="auto"/>
                <w:kern w:val="0"/>
                <w:sz w:val="24"/>
                <w:highlight w:val="none"/>
              </w:rPr>
            </w:pPr>
            <w:r>
              <w:rPr>
                <w:rFonts w:hint="eastAsia"/>
                <w:color w:val="auto"/>
                <w:kern w:val="0"/>
                <w:sz w:val="24"/>
                <w:highlight w:val="none"/>
              </w:rPr>
              <w:t>1</w:t>
            </w:r>
          </w:p>
        </w:tc>
        <w:tc>
          <w:tcPr>
            <w:tcW w:w="769" w:type="dxa"/>
            <w:tcBorders>
              <w:top w:val="single" w:color="000000" w:sz="4" w:space="0"/>
              <w:left w:val="single" w:color="000000" w:sz="4" w:space="0"/>
              <w:bottom w:val="single" w:color="000000" w:sz="4" w:space="0"/>
              <w:right w:val="single" w:color="000000" w:sz="4" w:space="0"/>
            </w:tcBorders>
            <w:noWrap/>
            <w:vAlign w:val="center"/>
          </w:tcPr>
          <w:p w14:paraId="2F1978CB">
            <w:pPr>
              <w:spacing w:line="360" w:lineRule="auto"/>
              <w:jc w:val="center"/>
              <w:rPr>
                <w:color w:val="auto"/>
                <w:kern w:val="0"/>
                <w:sz w:val="24"/>
                <w:highlight w:val="none"/>
              </w:rPr>
            </w:pPr>
            <w:r>
              <w:rPr>
                <w:rFonts w:hint="eastAsia"/>
                <w:color w:val="auto"/>
                <w:kern w:val="0"/>
                <w:sz w:val="24"/>
                <w:highlight w:val="none"/>
              </w:rPr>
              <w:t>台</w:t>
            </w:r>
          </w:p>
        </w:tc>
      </w:tr>
      <w:tr w14:paraId="64EDF339">
        <w:tblPrEx>
          <w:tblCellMar>
            <w:top w:w="0" w:type="dxa"/>
            <w:left w:w="108" w:type="dxa"/>
            <w:bottom w:w="0" w:type="dxa"/>
            <w:right w:w="108" w:type="dxa"/>
          </w:tblCellMar>
        </w:tblPrEx>
        <w:trPr>
          <w:trHeight w:val="496" w:hRule="atLeast"/>
          <w:jc w:val="center"/>
        </w:trPr>
        <w:tc>
          <w:tcPr>
            <w:tcW w:w="818" w:type="dxa"/>
            <w:tcBorders>
              <w:top w:val="single" w:color="000000" w:sz="4" w:space="0"/>
              <w:left w:val="single" w:color="000000" w:sz="4" w:space="0"/>
              <w:bottom w:val="single" w:color="000000" w:sz="4" w:space="0"/>
              <w:right w:val="single" w:color="000000" w:sz="4" w:space="0"/>
            </w:tcBorders>
            <w:noWrap/>
            <w:vAlign w:val="center"/>
          </w:tcPr>
          <w:p w14:paraId="3588827C">
            <w:pPr>
              <w:spacing w:line="360" w:lineRule="auto"/>
              <w:jc w:val="center"/>
              <w:rPr>
                <w:color w:val="auto"/>
                <w:kern w:val="0"/>
                <w:sz w:val="24"/>
                <w:highlight w:val="none"/>
              </w:rPr>
            </w:pPr>
            <w:r>
              <w:rPr>
                <w:rFonts w:hint="eastAsia"/>
                <w:color w:val="auto"/>
                <w:kern w:val="0"/>
                <w:sz w:val="24"/>
                <w:highlight w:val="none"/>
              </w:rPr>
              <w:t>5</w:t>
            </w:r>
          </w:p>
        </w:tc>
        <w:tc>
          <w:tcPr>
            <w:tcW w:w="3766" w:type="dxa"/>
            <w:tcBorders>
              <w:top w:val="single" w:color="000000" w:sz="4" w:space="0"/>
              <w:left w:val="single" w:color="000000" w:sz="4" w:space="0"/>
              <w:bottom w:val="single" w:color="000000" w:sz="4" w:space="0"/>
              <w:right w:val="single" w:color="000000" w:sz="4" w:space="0"/>
            </w:tcBorders>
            <w:noWrap/>
            <w:vAlign w:val="center"/>
          </w:tcPr>
          <w:p w14:paraId="5102AAFC">
            <w:pPr>
              <w:spacing w:line="360" w:lineRule="auto"/>
              <w:jc w:val="center"/>
              <w:rPr>
                <w:color w:val="auto"/>
                <w:kern w:val="0"/>
                <w:sz w:val="24"/>
                <w:highlight w:val="none"/>
              </w:rPr>
            </w:pPr>
            <w:r>
              <w:rPr>
                <w:rFonts w:hint="eastAsia"/>
                <w:color w:val="auto"/>
                <w:kern w:val="0"/>
                <w:sz w:val="24"/>
                <w:highlight w:val="none"/>
              </w:rPr>
              <w:t>工控机</w:t>
            </w:r>
          </w:p>
        </w:tc>
        <w:tc>
          <w:tcPr>
            <w:tcW w:w="2837" w:type="dxa"/>
            <w:tcBorders>
              <w:top w:val="single" w:color="000000" w:sz="4" w:space="0"/>
              <w:left w:val="single" w:color="000000" w:sz="4" w:space="0"/>
              <w:bottom w:val="single" w:color="000000" w:sz="4" w:space="0"/>
              <w:right w:val="single" w:color="000000" w:sz="4" w:space="0"/>
            </w:tcBorders>
            <w:noWrap/>
            <w:vAlign w:val="center"/>
          </w:tcPr>
          <w:p w14:paraId="6E665A83">
            <w:pPr>
              <w:spacing w:line="360" w:lineRule="auto"/>
              <w:jc w:val="center"/>
              <w:rPr>
                <w:color w:val="auto"/>
                <w:kern w:val="0"/>
                <w:sz w:val="24"/>
                <w:highlight w:val="none"/>
              </w:rPr>
            </w:pPr>
            <w:r>
              <w:rPr>
                <w:rFonts w:hint="eastAsia"/>
                <w:color w:val="auto"/>
                <w:kern w:val="0"/>
                <w:sz w:val="24"/>
                <w:highlight w:val="none"/>
              </w:rPr>
              <w:t>研华ACP-40000/1PC-610 series</w:t>
            </w:r>
          </w:p>
        </w:tc>
        <w:tc>
          <w:tcPr>
            <w:tcW w:w="755" w:type="dxa"/>
            <w:tcBorders>
              <w:top w:val="single" w:color="000000" w:sz="4" w:space="0"/>
              <w:left w:val="single" w:color="000000" w:sz="4" w:space="0"/>
              <w:bottom w:val="single" w:color="000000" w:sz="4" w:space="0"/>
              <w:right w:val="single" w:color="000000" w:sz="4" w:space="0"/>
            </w:tcBorders>
            <w:noWrap/>
            <w:vAlign w:val="center"/>
          </w:tcPr>
          <w:p w14:paraId="67AB530A">
            <w:pPr>
              <w:spacing w:line="360" w:lineRule="auto"/>
              <w:jc w:val="center"/>
              <w:rPr>
                <w:color w:val="auto"/>
                <w:kern w:val="0"/>
                <w:sz w:val="24"/>
                <w:highlight w:val="none"/>
              </w:rPr>
            </w:pPr>
            <w:r>
              <w:rPr>
                <w:rFonts w:hint="eastAsia"/>
                <w:color w:val="auto"/>
                <w:kern w:val="0"/>
                <w:sz w:val="24"/>
                <w:highlight w:val="none"/>
              </w:rPr>
              <w:t>1</w:t>
            </w:r>
          </w:p>
        </w:tc>
        <w:tc>
          <w:tcPr>
            <w:tcW w:w="769" w:type="dxa"/>
            <w:tcBorders>
              <w:top w:val="single" w:color="000000" w:sz="4" w:space="0"/>
              <w:left w:val="single" w:color="000000" w:sz="4" w:space="0"/>
              <w:bottom w:val="single" w:color="000000" w:sz="4" w:space="0"/>
              <w:right w:val="single" w:color="000000" w:sz="4" w:space="0"/>
            </w:tcBorders>
            <w:noWrap/>
            <w:vAlign w:val="center"/>
          </w:tcPr>
          <w:p w14:paraId="329DA5CA">
            <w:pPr>
              <w:spacing w:line="360" w:lineRule="auto"/>
              <w:jc w:val="center"/>
              <w:rPr>
                <w:color w:val="auto"/>
                <w:kern w:val="0"/>
                <w:sz w:val="24"/>
                <w:highlight w:val="none"/>
              </w:rPr>
            </w:pPr>
            <w:r>
              <w:rPr>
                <w:rFonts w:hint="eastAsia"/>
                <w:color w:val="auto"/>
                <w:kern w:val="0"/>
                <w:sz w:val="24"/>
                <w:highlight w:val="none"/>
              </w:rPr>
              <w:t>台</w:t>
            </w:r>
          </w:p>
        </w:tc>
      </w:tr>
      <w:tr w14:paraId="3D7F720A">
        <w:tblPrEx>
          <w:tblCellMar>
            <w:top w:w="0" w:type="dxa"/>
            <w:left w:w="108" w:type="dxa"/>
            <w:bottom w:w="0" w:type="dxa"/>
            <w:right w:w="108" w:type="dxa"/>
          </w:tblCellMar>
        </w:tblPrEx>
        <w:trPr>
          <w:trHeight w:val="567" w:hRule="atLeast"/>
          <w:jc w:val="center"/>
        </w:trPr>
        <w:tc>
          <w:tcPr>
            <w:tcW w:w="818" w:type="dxa"/>
            <w:tcBorders>
              <w:top w:val="single" w:color="000000" w:sz="4" w:space="0"/>
              <w:left w:val="single" w:color="000000" w:sz="4" w:space="0"/>
              <w:bottom w:val="single" w:color="000000" w:sz="4" w:space="0"/>
              <w:right w:val="single" w:color="000000" w:sz="4" w:space="0"/>
            </w:tcBorders>
            <w:noWrap/>
            <w:vAlign w:val="center"/>
          </w:tcPr>
          <w:p w14:paraId="1798BE6E">
            <w:pPr>
              <w:spacing w:line="360" w:lineRule="auto"/>
              <w:jc w:val="center"/>
              <w:rPr>
                <w:color w:val="auto"/>
                <w:kern w:val="0"/>
                <w:sz w:val="24"/>
                <w:highlight w:val="none"/>
              </w:rPr>
            </w:pPr>
            <w:r>
              <w:rPr>
                <w:rFonts w:hint="eastAsia"/>
                <w:color w:val="auto"/>
                <w:kern w:val="0"/>
                <w:sz w:val="24"/>
                <w:highlight w:val="none"/>
              </w:rPr>
              <w:t>6</w:t>
            </w:r>
          </w:p>
        </w:tc>
        <w:tc>
          <w:tcPr>
            <w:tcW w:w="3766" w:type="dxa"/>
            <w:tcBorders>
              <w:top w:val="single" w:color="000000" w:sz="4" w:space="0"/>
              <w:left w:val="single" w:color="000000" w:sz="4" w:space="0"/>
              <w:bottom w:val="single" w:color="000000" w:sz="4" w:space="0"/>
              <w:right w:val="single" w:color="000000" w:sz="4" w:space="0"/>
            </w:tcBorders>
            <w:noWrap/>
            <w:vAlign w:val="center"/>
          </w:tcPr>
          <w:p w14:paraId="59CE4AF1">
            <w:pPr>
              <w:spacing w:line="360" w:lineRule="auto"/>
              <w:jc w:val="center"/>
              <w:rPr>
                <w:color w:val="auto"/>
                <w:kern w:val="0"/>
                <w:sz w:val="24"/>
                <w:highlight w:val="none"/>
              </w:rPr>
            </w:pPr>
            <w:r>
              <w:rPr>
                <w:rFonts w:hint="eastAsia"/>
                <w:color w:val="auto"/>
                <w:kern w:val="0"/>
                <w:sz w:val="24"/>
                <w:highlight w:val="none"/>
              </w:rPr>
              <w:t>LCDKVM切换器</w:t>
            </w:r>
          </w:p>
        </w:tc>
        <w:tc>
          <w:tcPr>
            <w:tcW w:w="2837" w:type="dxa"/>
            <w:tcBorders>
              <w:top w:val="single" w:color="000000" w:sz="4" w:space="0"/>
              <w:left w:val="single" w:color="000000" w:sz="4" w:space="0"/>
              <w:bottom w:val="single" w:color="000000" w:sz="4" w:space="0"/>
              <w:right w:val="single" w:color="000000" w:sz="4" w:space="0"/>
            </w:tcBorders>
            <w:noWrap/>
            <w:vAlign w:val="center"/>
          </w:tcPr>
          <w:p w14:paraId="5A1DD63E">
            <w:pPr>
              <w:spacing w:line="360" w:lineRule="auto"/>
              <w:jc w:val="center"/>
              <w:rPr>
                <w:color w:val="auto"/>
                <w:kern w:val="0"/>
                <w:sz w:val="24"/>
                <w:highlight w:val="none"/>
              </w:rPr>
            </w:pPr>
            <w:r>
              <w:rPr>
                <w:rFonts w:hint="eastAsia"/>
                <w:color w:val="auto"/>
                <w:kern w:val="0"/>
                <w:sz w:val="24"/>
                <w:highlight w:val="none"/>
              </w:rPr>
              <w:t>龙远恒信 KVM-1708-VGA-D</w:t>
            </w:r>
          </w:p>
        </w:tc>
        <w:tc>
          <w:tcPr>
            <w:tcW w:w="755" w:type="dxa"/>
            <w:tcBorders>
              <w:top w:val="single" w:color="000000" w:sz="4" w:space="0"/>
              <w:left w:val="single" w:color="000000" w:sz="4" w:space="0"/>
              <w:bottom w:val="single" w:color="000000" w:sz="4" w:space="0"/>
              <w:right w:val="single" w:color="000000" w:sz="4" w:space="0"/>
            </w:tcBorders>
            <w:noWrap/>
            <w:vAlign w:val="center"/>
          </w:tcPr>
          <w:p w14:paraId="45B0E86E">
            <w:pPr>
              <w:spacing w:line="360" w:lineRule="auto"/>
              <w:jc w:val="center"/>
              <w:rPr>
                <w:color w:val="auto"/>
                <w:kern w:val="0"/>
                <w:sz w:val="24"/>
                <w:highlight w:val="none"/>
              </w:rPr>
            </w:pPr>
            <w:r>
              <w:rPr>
                <w:rFonts w:hint="eastAsia"/>
                <w:color w:val="auto"/>
                <w:kern w:val="0"/>
                <w:sz w:val="24"/>
                <w:highlight w:val="none"/>
              </w:rPr>
              <w:t>1</w:t>
            </w:r>
          </w:p>
        </w:tc>
        <w:tc>
          <w:tcPr>
            <w:tcW w:w="769" w:type="dxa"/>
            <w:tcBorders>
              <w:top w:val="single" w:color="000000" w:sz="4" w:space="0"/>
              <w:left w:val="single" w:color="000000" w:sz="4" w:space="0"/>
              <w:bottom w:val="single" w:color="000000" w:sz="4" w:space="0"/>
              <w:right w:val="single" w:color="000000" w:sz="4" w:space="0"/>
            </w:tcBorders>
            <w:noWrap/>
            <w:vAlign w:val="center"/>
          </w:tcPr>
          <w:p w14:paraId="2ED1B0FC">
            <w:pPr>
              <w:spacing w:line="360" w:lineRule="auto"/>
              <w:jc w:val="center"/>
              <w:rPr>
                <w:color w:val="auto"/>
                <w:kern w:val="0"/>
                <w:sz w:val="24"/>
                <w:highlight w:val="none"/>
              </w:rPr>
            </w:pPr>
            <w:r>
              <w:rPr>
                <w:rFonts w:hint="eastAsia"/>
                <w:color w:val="auto"/>
                <w:kern w:val="0"/>
                <w:sz w:val="24"/>
                <w:highlight w:val="none"/>
              </w:rPr>
              <w:t>台</w:t>
            </w:r>
          </w:p>
        </w:tc>
      </w:tr>
      <w:tr w14:paraId="1A47B86E">
        <w:tblPrEx>
          <w:tblCellMar>
            <w:top w:w="0" w:type="dxa"/>
            <w:left w:w="108" w:type="dxa"/>
            <w:bottom w:w="0" w:type="dxa"/>
            <w:right w:w="108" w:type="dxa"/>
          </w:tblCellMar>
        </w:tblPrEx>
        <w:trPr>
          <w:trHeight w:val="567" w:hRule="atLeast"/>
          <w:jc w:val="center"/>
        </w:trPr>
        <w:tc>
          <w:tcPr>
            <w:tcW w:w="818" w:type="dxa"/>
            <w:tcBorders>
              <w:top w:val="single" w:color="000000" w:sz="4" w:space="0"/>
              <w:left w:val="single" w:color="000000" w:sz="4" w:space="0"/>
              <w:bottom w:val="single" w:color="000000" w:sz="4" w:space="0"/>
              <w:right w:val="single" w:color="000000" w:sz="4" w:space="0"/>
            </w:tcBorders>
            <w:noWrap/>
            <w:vAlign w:val="center"/>
          </w:tcPr>
          <w:p w14:paraId="5D46AFD7">
            <w:pPr>
              <w:spacing w:line="360" w:lineRule="auto"/>
              <w:jc w:val="center"/>
              <w:rPr>
                <w:color w:val="auto"/>
                <w:kern w:val="0"/>
                <w:sz w:val="24"/>
                <w:highlight w:val="none"/>
              </w:rPr>
            </w:pPr>
            <w:r>
              <w:rPr>
                <w:rFonts w:hint="eastAsia"/>
                <w:color w:val="auto"/>
                <w:kern w:val="0"/>
                <w:sz w:val="24"/>
                <w:highlight w:val="none"/>
              </w:rPr>
              <w:t>7</w:t>
            </w:r>
          </w:p>
        </w:tc>
        <w:tc>
          <w:tcPr>
            <w:tcW w:w="3766" w:type="dxa"/>
            <w:tcBorders>
              <w:top w:val="single" w:color="000000" w:sz="4" w:space="0"/>
              <w:left w:val="single" w:color="000000" w:sz="4" w:space="0"/>
              <w:bottom w:val="single" w:color="000000" w:sz="4" w:space="0"/>
              <w:right w:val="single" w:color="000000" w:sz="4" w:space="0"/>
            </w:tcBorders>
            <w:noWrap/>
            <w:vAlign w:val="center"/>
          </w:tcPr>
          <w:p w14:paraId="7BD4AC82">
            <w:pPr>
              <w:spacing w:line="360" w:lineRule="auto"/>
              <w:jc w:val="center"/>
              <w:rPr>
                <w:color w:val="auto"/>
                <w:kern w:val="0"/>
                <w:sz w:val="24"/>
                <w:highlight w:val="none"/>
              </w:rPr>
            </w:pPr>
            <w:r>
              <w:rPr>
                <w:rFonts w:hint="eastAsia"/>
                <w:color w:val="auto"/>
                <w:kern w:val="0"/>
                <w:sz w:val="24"/>
                <w:highlight w:val="none"/>
              </w:rPr>
              <w:t>采样泵</w:t>
            </w:r>
          </w:p>
        </w:tc>
        <w:tc>
          <w:tcPr>
            <w:tcW w:w="2837" w:type="dxa"/>
            <w:tcBorders>
              <w:top w:val="single" w:color="000000" w:sz="4" w:space="0"/>
              <w:left w:val="single" w:color="000000" w:sz="4" w:space="0"/>
              <w:bottom w:val="single" w:color="000000" w:sz="4" w:space="0"/>
              <w:right w:val="single" w:color="000000" w:sz="4" w:space="0"/>
            </w:tcBorders>
            <w:noWrap/>
            <w:vAlign w:val="center"/>
          </w:tcPr>
          <w:p w14:paraId="28EAFC87">
            <w:pPr>
              <w:spacing w:line="360" w:lineRule="auto"/>
              <w:jc w:val="center"/>
              <w:rPr>
                <w:color w:val="auto"/>
                <w:kern w:val="0"/>
                <w:sz w:val="24"/>
                <w:highlight w:val="none"/>
              </w:rPr>
            </w:pPr>
            <w:r>
              <w:rPr>
                <w:rFonts w:hint="eastAsia"/>
                <w:color w:val="auto"/>
                <w:kern w:val="0"/>
                <w:sz w:val="24"/>
                <w:highlight w:val="none"/>
              </w:rPr>
              <w:t>Gast DOA-P504-BN</w:t>
            </w:r>
          </w:p>
        </w:tc>
        <w:tc>
          <w:tcPr>
            <w:tcW w:w="755" w:type="dxa"/>
            <w:tcBorders>
              <w:top w:val="single" w:color="000000" w:sz="4" w:space="0"/>
              <w:left w:val="single" w:color="000000" w:sz="4" w:space="0"/>
              <w:bottom w:val="single" w:color="000000" w:sz="4" w:space="0"/>
              <w:right w:val="single" w:color="000000" w:sz="4" w:space="0"/>
            </w:tcBorders>
            <w:noWrap/>
            <w:vAlign w:val="center"/>
          </w:tcPr>
          <w:p w14:paraId="59E67FEA">
            <w:pPr>
              <w:spacing w:line="360" w:lineRule="auto"/>
              <w:jc w:val="center"/>
              <w:rPr>
                <w:color w:val="auto"/>
                <w:kern w:val="0"/>
                <w:sz w:val="24"/>
                <w:highlight w:val="none"/>
              </w:rPr>
            </w:pPr>
            <w:r>
              <w:rPr>
                <w:rFonts w:hint="eastAsia"/>
                <w:color w:val="auto"/>
                <w:kern w:val="0"/>
                <w:sz w:val="24"/>
                <w:highlight w:val="none"/>
              </w:rPr>
              <w:t>1</w:t>
            </w:r>
          </w:p>
        </w:tc>
        <w:tc>
          <w:tcPr>
            <w:tcW w:w="769" w:type="dxa"/>
            <w:tcBorders>
              <w:top w:val="single" w:color="000000" w:sz="4" w:space="0"/>
              <w:left w:val="single" w:color="000000" w:sz="4" w:space="0"/>
              <w:bottom w:val="single" w:color="000000" w:sz="4" w:space="0"/>
              <w:right w:val="single" w:color="000000" w:sz="4" w:space="0"/>
            </w:tcBorders>
            <w:noWrap/>
            <w:vAlign w:val="center"/>
          </w:tcPr>
          <w:p w14:paraId="7AC608AC">
            <w:pPr>
              <w:spacing w:line="360" w:lineRule="auto"/>
              <w:jc w:val="center"/>
              <w:rPr>
                <w:color w:val="auto"/>
                <w:kern w:val="0"/>
                <w:sz w:val="24"/>
                <w:highlight w:val="none"/>
              </w:rPr>
            </w:pPr>
            <w:r>
              <w:rPr>
                <w:rFonts w:hint="eastAsia"/>
                <w:color w:val="auto"/>
                <w:kern w:val="0"/>
                <w:sz w:val="24"/>
                <w:highlight w:val="none"/>
              </w:rPr>
              <w:t>台</w:t>
            </w:r>
          </w:p>
        </w:tc>
      </w:tr>
      <w:tr w14:paraId="4521EE7E">
        <w:tblPrEx>
          <w:tblCellMar>
            <w:top w:w="0" w:type="dxa"/>
            <w:left w:w="108" w:type="dxa"/>
            <w:bottom w:w="0" w:type="dxa"/>
            <w:right w:w="108" w:type="dxa"/>
          </w:tblCellMar>
        </w:tblPrEx>
        <w:trPr>
          <w:trHeight w:val="851" w:hRule="atLeast"/>
          <w:jc w:val="center"/>
        </w:trPr>
        <w:tc>
          <w:tcPr>
            <w:tcW w:w="818" w:type="dxa"/>
            <w:tcBorders>
              <w:top w:val="single" w:color="000000" w:sz="4" w:space="0"/>
              <w:left w:val="single" w:color="000000" w:sz="4" w:space="0"/>
              <w:bottom w:val="single" w:color="000000" w:sz="4" w:space="0"/>
              <w:right w:val="single" w:color="000000" w:sz="4" w:space="0"/>
            </w:tcBorders>
            <w:noWrap/>
            <w:vAlign w:val="center"/>
          </w:tcPr>
          <w:p w14:paraId="4C7B16DF">
            <w:pPr>
              <w:spacing w:line="360" w:lineRule="auto"/>
              <w:jc w:val="center"/>
              <w:rPr>
                <w:color w:val="auto"/>
                <w:kern w:val="0"/>
                <w:sz w:val="24"/>
                <w:highlight w:val="none"/>
              </w:rPr>
            </w:pPr>
            <w:r>
              <w:rPr>
                <w:rFonts w:hint="eastAsia"/>
                <w:color w:val="auto"/>
                <w:kern w:val="0"/>
                <w:sz w:val="24"/>
                <w:highlight w:val="none"/>
              </w:rPr>
              <w:t>8</w:t>
            </w:r>
          </w:p>
        </w:tc>
        <w:tc>
          <w:tcPr>
            <w:tcW w:w="3766" w:type="dxa"/>
            <w:tcBorders>
              <w:top w:val="single" w:color="000000" w:sz="4" w:space="0"/>
              <w:left w:val="single" w:color="000000" w:sz="4" w:space="0"/>
              <w:bottom w:val="single" w:color="000000" w:sz="4" w:space="0"/>
              <w:right w:val="single" w:color="000000" w:sz="4" w:space="0"/>
            </w:tcBorders>
            <w:noWrap/>
            <w:vAlign w:val="center"/>
          </w:tcPr>
          <w:p w14:paraId="29294AB8">
            <w:pPr>
              <w:spacing w:line="360" w:lineRule="auto"/>
              <w:jc w:val="center"/>
              <w:rPr>
                <w:color w:val="auto"/>
                <w:kern w:val="0"/>
                <w:sz w:val="24"/>
                <w:highlight w:val="none"/>
              </w:rPr>
            </w:pPr>
            <w:r>
              <w:rPr>
                <w:rFonts w:hint="eastAsia"/>
                <w:color w:val="auto"/>
                <w:kern w:val="0"/>
                <w:sz w:val="24"/>
                <w:highlight w:val="none"/>
              </w:rPr>
              <w:t>智能气象传感器</w:t>
            </w:r>
          </w:p>
        </w:tc>
        <w:tc>
          <w:tcPr>
            <w:tcW w:w="2837" w:type="dxa"/>
            <w:tcBorders>
              <w:top w:val="single" w:color="000000" w:sz="4" w:space="0"/>
              <w:left w:val="single" w:color="000000" w:sz="4" w:space="0"/>
              <w:bottom w:val="single" w:color="000000" w:sz="4" w:space="0"/>
              <w:right w:val="single" w:color="000000" w:sz="4" w:space="0"/>
            </w:tcBorders>
            <w:noWrap/>
            <w:vAlign w:val="center"/>
          </w:tcPr>
          <w:p w14:paraId="3024494A">
            <w:pPr>
              <w:spacing w:line="360" w:lineRule="auto"/>
              <w:jc w:val="center"/>
              <w:rPr>
                <w:color w:val="auto"/>
                <w:kern w:val="0"/>
                <w:sz w:val="24"/>
                <w:highlight w:val="none"/>
              </w:rPr>
            </w:pPr>
            <w:r>
              <w:rPr>
                <w:rFonts w:hint="eastAsia"/>
                <w:color w:val="auto"/>
                <w:kern w:val="0"/>
                <w:sz w:val="24"/>
                <w:highlight w:val="none"/>
              </w:rPr>
              <w:t>lufft ws500</w:t>
            </w:r>
          </w:p>
        </w:tc>
        <w:tc>
          <w:tcPr>
            <w:tcW w:w="755" w:type="dxa"/>
            <w:tcBorders>
              <w:top w:val="single" w:color="000000" w:sz="4" w:space="0"/>
              <w:left w:val="single" w:color="000000" w:sz="4" w:space="0"/>
              <w:bottom w:val="single" w:color="000000" w:sz="4" w:space="0"/>
              <w:right w:val="single" w:color="000000" w:sz="4" w:space="0"/>
            </w:tcBorders>
            <w:noWrap/>
            <w:vAlign w:val="center"/>
          </w:tcPr>
          <w:p w14:paraId="7B1C6A8E">
            <w:pPr>
              <w:spacing w:line="360" w:lineRule="auto"/>
              <w:jc w:val="center"/>
              <w:rPr>
                <w:color w:val="auto"/>
                <w:kern w:val="0"/>
                <w:sz w:val="24"/>
                <w:highlight w:val="none"/>
              </w:rPr>
            </w:pPr>
            <w:r>
              <w:rPr>
                <w:rFonts w:hint="eastAsia"/>
                <w:color w:val="auto"/>
                <w:kern w:val="0"/>
                <w:sz w:val="24"/>
                <w:highlight w:val="none"/>
              </w:rPr>
              <w:t>1</w:t>
            </w:r>
          </w:p>
        </w:tc>
        <w:tc>
          <w:tcPr>
            <w:tcW w:w="769" w:type="dxa"/>
            <w:tcBorders>
              <w:top w:val="single" w:color="000000" w:sz="4" w:space="0"/>
              <w:left w:val="single" w:color="000000" w:sz="4" w:space="0"/>
              <w:bottom w:val="single" w:color="000000" w:sz="4" w:space="0"/>
              <w:right w:val="single" w:color="000000" w:sz="4" w:space="0"/>
            </w:tcBorders>
            <w:noWrap/>
            <w:vAlign w:val="center"/>
          </w:tcPr>
          <w:p w14:paraId="0C30BF27">
            <w:pPr>
              <w:spacing w:line="360" w:lineRule="auto"/>
              <w:jc w:val="center"/>
              <w:rPr>
                <w:color w:val="auto"/>
                <w:kern w:val="0"/>
                <w:sz w:val="24"/>
                <w:highlight w:val="none"/>
              </w:rPr>
            </w:pPr>
            <w:r>
              <w:rPr>
                <w:rFonts w:hint="eastAsia"/>
                <w:color w:val="auto"/>
                <w:kern w:val="0"/>
                <w:sz w:val="24"/>
                <w:highlight w:val="none"/>
              </w:rPr>
              <w:t>套</w:t>
            </w:r>
          </w:p>
        </w:tc>
      </w:tr>
    </w:tbl>
    <w:p w14:paraId="41C741DF">
      <w:pPr>
        <w:spacing w:line="360" w:lineRule="auto"/>
        <w:jc w:val="left"/>
        <w:rPr>
          <w:b/>
          <w:color w:val="auto"/>
          <w:sz w:val="24"/>
          <w:highlight w:val="none"/>
        </w:rPr>
      </w:pPr>
    </w:p>
    <w:p w14:paraId="1436E9A5">
      <w:pPr>
        <w:spacing w:line="360" w:lineRule="auto"/>
        <w:jc w:val="center"/>
        <w:rPr>
          <w:b/>
          <w:color w:val="auto"/>
          <w:sz w:val="24"/>
          <w:highlight w:val="none"/>
        </w:rPr>
      </w:pPr>
      <w:r>
        <w:rPr>
          <w:b/>
          <w:color w:val="auto"/>
          <w:sz w:val="24"/>
          <w:highlight w:val="none"/>
        </w:rPr>
        <w:t>表5 淳安燕山站仪器配置情况一览表</w:t>
      </w:r>
    </w:p>
    <w:tbl>
      <w:tblPr>
        <w:tblStyle w:val="62"/>
        <w:tblW w:w="8931" w:type="dxa"/>
        <w:jc w:val="center"/>
        <w:tblLayout w:type="fixed"/>
        <w:tblCellMar>
          <w:top w:w="0" w:type="dxa"/>
          <w:left w:w="108" w:type="dxa"/>
          <w:bottom w:w="0" w:type="dxa"/>
          <w:right w:w="108" w:type="dxa"/>
        </w:tblCellMar>
      </w:tblPr>
      <w:tblGrid>
        <w:gridCol w:w="803"/>
        <w:gridCol w:w="3559"/>
        <w:gridCol w:w="2974"/>
        <w:gridCol w:w="857"/>
        <w:gridCol w:w="738"/>
      </w:tblGrid>
      <w:tr w14:paraId="4B6046BF">
        <w:tblPrEx>
          <w:tblCellMar>
            <w:top w:w="0" w:type="dxa"/>
            <w:left w:w="108" w:type="dxa"/>
            <w:bottom w:w="0" w:type="dxa"/>
            <w:right w:w="108" w:type="dxa"/>
          </w:tblCellMar>
        </w:tblPrEx>
        <w:trPr>
          <w:trHeight w:val="638" w:hRule="atLeast"/>
          <w:tblHeader/>
          <w:jc w:val="center"/>
        </w:trPr>
        <w:tc>
          <w:tcPr>
            <w:tcW w:w="803" w:type="dxa"/>
            <w:tcBorders>
              <w:top w:val="single" w:color="000000" w:sz="4" w:space="0"/>
              <w:left w:val="single" w:color="000000" w:sz="4" w:space="0"/>
              <w:bottom w:val="single" w:color="000000" w:sz="4" w:space="0"/>
              <w:right w:val="single" w:color="000000" w:sz="4" w:space="0"/>
            </w:tcBorders>
            <w:noWrap/>
            <w:vAlign w:val="center"/>
          </w:tcPr>
          <w:p w14:paraId="19AE2C6C">
            <w:pPr>
              <w:spacing w:line="360" w:lineRule="auto"/>
              <w:jc w:val="center"/>
              <w:rPr>
                <w:color w:val="auto"/>
                <w:kern w:val="0"/>
                <w:sz w:val="24"/>
                <w:highlight w:val="none"/>
              </w:rPr>
            </w:pPr>
            <w:r>
              <w:rPr>
                <w:rFonts w:hint="eastAsia"/>
                <w:color w:val="auto"/>
                <w:kern w:val="0"/>
                <w:sz w:val="24"/>
                <w:highlight w:val="none"/>
              </w:rPr>
              <w:t>序号</w:t>
            </w:r>
          </w:p>
        </w:tc>
        <w:tc>
          <w:tcPr>
            <w:tcW w:w="3559" w:type="dxa"/>
            <w:tcBorders>
              <w:top w:val="single" w:color="000000" w:sz="4" w:space="0"/>
              <w:left w:val="single" w:color="000000" w:sz="4" w:space="0"/>
              <w:bottom w:val="single" w:color="000000" w:sz="4" w:space="0"/>
              <w:right w:val="single" w:color="000000" w:sz="4" w:space="0"/>
            </w:tcBorders>
            <w:noWrap/>
            <w:vAlign w:val="center"/>
          </w:tcPr>
          <w:p w14:paraId="49EAD7AB">
            <w:pPr>
              <w:spacing w:line="360" w:lineRule="auto"/>
              <w:jc w:val="center"/>
              <w:rPr>
                <w:color w:val="auto"/>
                <w:kern w:val="0"/>
                <w:sz w:val="24"/>
                <w:highlight w:val="none"/>
              </w:rPr>
            </w:pPr>
            <w:r>
              <w:rPr>
                <w:rFonts w:hint="eastAsia"/>
                <w:color w:val="auto"/>
                <w:kern w:val="0"/>
                <w:sz w:val="24"/>
                <w:highlight w:val="none"/>
              </w:rPr>
              <w:t>设备名称</w:t>
            </w:r>
          </w:p>
        </w:tc>
        <w:tc>
          <w:tcPr>
            <w:tcW w:w="2974" w:type="dxa"/>
            <w:tcBorders>
              <w:top w:val="single" w:color="000000" w:sz="4" w:space="0"/>
              <w:left w:val="single" w:color="000000" w:sz="4" w:space="0"/>
              <w:bottom w:val="single" w:color="000000" w:sz="4" w:space="0"/>
              <w:right w:val="single" w:color="000000" w:sz="4" w:space="0"/>
            </w:tcBorders>
            <w:noWrap/>
            <w:vAlign w:val="center"/>
          </w:tcPr>
          <w:p w14:paraId="516089F2">
            <w:pPr>
              <w:spacing w:line="360" w:lineRule="auto"/>
              <w:jc w:val="center"/>
              <w:rPr>
                <w:color w:val="auto"/>
                <w:kern w:val="0"/>
                <w:sz w:val="24"/>
                <w:highlight w:val="none"/>
              </w:rPr>
            </w:pPr>
            <w:r>
              <w:rPr>
                <w:rFonts w:hint="eastAsia"/>
                <w:color w:val="auto"/>
                <w:kern w:val="0"/>
                <w:sz w:val="24"/>
                <w:highlight w:val="none"/>
              </w:rPr>
              <w:t>品牌型号</w:t>
            </w:r>
          </w:p>
        </w:tc>
        <w:tc>
          <w:tcPr>
            <w:tcW w:w="857" w:type="dxa"/>
            <w:tcBorders>
              <w:top w:val="single" w:color="000000" w:sz="4" w:space="0"/>
              <w:left w:val="single" w:color="000000" w:sz="4" w:space="0"/>
              <w:bottom w:val="single" w:color="000000" w:sz="4" w:space="0"/>
              <w:right w:val="single" w:color="000000" w:sz="4" w:space="0"/>
            </w:tcBorders>
            <w:noWrap/>
            <w:vAlign w:val="center"/>
          </w:tcPr>
          <w:p w14:paraId="7F98E60C">
            <w:pPr>
              <w:spacing w:line="360" w:lineRule="auto"/>
              <w:jc w:val="center"/>
              <w:rPr>
                <w:color w:val="auto"/>
                <w:kern w:val="0"/>
                <w:sz w:val="24"/>
                <w:highlight w:val="none"/>
              </w:rPr>
            </w:pPr>
            <w:r>
              <w:rPr>
                <w:rFonts w:hint="eastAsia"/>
                <w:color w:val="auto"/>
                <w:kern w:val="0"/>
                <w:sz w:val="24"/>
                <w:highlight w:val="none"/>
              </w:rPr>
              <w:t>数量</w:t>
            </w:r>
          </w:p>
        </w:tc>
        <w:tc>
          <w:tcPr>
            <w:tcW w:w="738" w:type="dxa"/>
            <w:tcBorders>
              <w:top w:val="single" w:color="000000" w:sz="4" w:space="0"/>
              <w:left w:val="single" w:color="000000" w:sz="4" w:space="0"/>
              <w:bottom w:val="single" w:color="000000" w:sz="4" w:space="0"/>
              <w:right w:val="single" w:color="000000" w:sz="4" w:space="0"/>
            </w:tcBorders>
            <w:noWrap/>
            <w:vAlign w:val="center"/>
          </w:tcPr>
          <w:p w14:paraId="27BE5219">
            <w:pPr>
              <w:spacing w:line="360" w:lineRule="auto"/>
              <w:jc w:val="center"/>
              <w:rPr>
                <w:color w:val="auto"/>
                <w:kern w:val="0"/>
                <w:sz w:val="24"/>
                <w:highlight w:val="none"/>
              </w:rPr>
            </w:pPr>
            <w:r>
              <w:rPr>
                <w:rFonts w:hint="eastAsia"/>
                <w:color w:val="auto"/>
                <w:kern w:val="0"/>
                <w:sz w:val="24"/>
                <w:highlight w:val="none"/>
              </w:rPr>
              <w:t>单位</w:t>
            </w:r>
          </w:p>
        </w:tc>
      </w:tr>
      <w:tr w14:paraId="06BE3738">
        <w:tblPrEx>
          <w:tblCellMar>
            <w:top w:w="0" w:type="dxa"/>
            <w:left w:w="108" w:type="dxa"/>
            <w:bottom w:w="0" w:type="dxa"/>
            <w:right w:w="108" w:type="dxa"/>
          </w:tblCellMar>
        </w:tblPrEx>
        <w:trPr>
          <w:trHeight w:val="567" w:hRule="atLeast"/>
          <w:jc w:val="center"/>
        </w:trPr>
        <w:tc>
          <w:tcPr>
            <w:tcW w:w="803" w:type="dxa"/>
            <w:tcBorders>
              <w:top w:val="single" w:color="000000" w:sz="4" w:space="0"/>
              <w:left w:val="single" w:color="000000" w:sz="4" w:space="0"/>
              <w:bottom w:val="single" w:color="000000" w:sz="4" w:space="0"/>
              <w:right w:val="single" w:color="000000" w:sz="4" w:space="0"/>
            </w:tcBorders>
            <w:noWrap/>
            <w:vAlign w:val="center"/>
          </w:tcPr>
          <w:p w14:paraId="4786FA08">
            <w:pPr>
              <w:spacing w:line="360" w:lineRule="auto"/>
              <w:jc w:val="center"/>
              <w:rPr>
                <w:color w:val="auto"/>
                <w:kern w:val="0"/>
                <w:sz w:val="24"/>
                <w:highlight w:val="none"/>
              </w:rPr>
            </w:pPr>
            <w:r>
              <w:rPr>
                <w:rFonts w:hint="eastAsia"/>
                <w:color w:val="auto"/>
                <w:kern w:val="0"/>
                <w:sz w:val="24"/>
                <w:highlight w:val="none"/>
              </w:rPr>
              <w:t>1</w:t>
            </w:r>
          </w:p>
        </w:tc>
        <w:tc>
          <w:tcPr>
            <w:tcW w:w="3559" w:type="dxa"/>
            <w:tcBorders>
              <w:top w:val="single" w:color="000000" w:sz="4" w:space="0"/>
              <w:left w:val="single" w:color="000000" w:sz="4" w:space="0"/>
              <w:bottom w:val="single" w:color="000000" w:sz="4" w:space="0"/>
              <w:right w:val="single" w:color="000000" w:sz="4" w:space="0"/>
            </w:tcBorders>
            <w:noWrap/>
            <w:vAlign w:val="center"/>
          </w:tcPr>
          <w:p w14:paraId="2032ED49">
            <w:pPr>
              <w:spacing w:line="360" w:lineRule="auto"/>
              <w:jc w:val="center"/>
              <w:rPr>
                <w:color w:val="auto"/>
                <w:kern w:val="0"/>
                <w:sz w:val="24"/>
                <w:highlight w:val="none"/>
              </w:rPr>
            </w:pPr>
            <w:r>
              <w:rPr>
                <w:rFonts w:hint="eastAsia"/>
                <w:color w:val="auto"/>
                <w:kern w:val="0"/>
                <w:sz w:val="24"/>
                <w:highlight w:val="none"/>
              </w:rPr>
              <w:t>高精度CO</w:t>
            </w:r>
            <w:r>
              <w:rPr>
                <w:rFonts w:hint="eastAsia"/>
                <w:color w:val="auto"/>
                <w:kern w:val="0"/>
                <w:sz w:val="24"/>
                <w:highlight w:val="none"/>
                <w:vertAlign w:val="subscript"/>
              </w:rPr>
              <w:t>2</w:t>
            </w:r>
            <w:r>
              <w:rPr>
                <w:rFonts w:hint="eastAsia"/>
                <w:color w:val="auto"/>
                <w:kern w:val="0"/>
                <w:sz w:val="24"/>
                <w:highlight w:val="none"/>
              </w:rPr>
              <w:t>、CH</w:t>
            </w:r>
            <w:r>
              <w:rPr>
                <w:rFonts w:hint="eastAsia"/>
                <w:color w:val="auto"/>
                <w:kern w:val="0"/>
                <w:sz w:val="24"/>
                <w:highlight w:val="none"/>
                <w:vertAlign w:val="subscript"/>
              </w:rPr>
              <w:t>4</w:t>
            </w:r>
            <w:r>
              <w:rPr>
                <w:rFonts w:hint="eastAsia"/>
                <w:color w:val="auto"/>
                <w:kern w:val="0"/>
                <w:sz w:val="24"/>
                <w:highlight w:val="none"/>
              </w:rPr>
              <w:t>、CO温室气体分析仪</w:t>
            </w:r>
          </w:p>
        </w:tc>
        <w:tc>
          <w:tcPr>
            <w:tcW w:w="2974" w:type="dxa"/>
            <w:tcBorders>
              <w:top w:val="single" w:color="000000" w:sz="4" w:space="0"/>
              <w:left w:val="single" w:color="000000" w:sz="4" w:space="0"/>
              <w:bottom w:val="single" w:color="000000" w:sz="4" w:space="0"/>
              <w:right w:val="single" w:color="000000" w:sz="4" w:space="0"/>
            </w:tcBorders>
            <w:noWrap/>
            <w:vAlign w:val="center"/>
          </w:tcPr>
          <w:p w14:paraId="5CC5BDF8">
            <w:pPr>
              <w:spacing w:line="360" w:lineRule="auto"/>
              <w:jc w:val="center"/>
              <w:rPr>
                <w:color w:val="auto"/>
                <w:kern w:val="0"/>
                <w:sz w:val="24"/>
                <w:highlight w:val="none"/>
              </w:rPr>
            </w:pPr>
            <w:r>
              <w:rPr>
                <w:rFonts w:hint="eastAsia"/>
                <w:color w:val="auto"/>
                <w:kern w:val="0"/>
                <w:sz w:val="24"/>
                <w:highlight w:val="none"/>
              </w:rPr>
              <w:t>PICARRO G2401</w:t>
            </w:r>
          </w:p>
        </w:tc>
        <w:tc>
          <w:tcPr>
            <w:tcW w:w="857" w:type="dxa"/>
            <w:tcBorders>
              <w:top w:val="single" w:color="000000" w:sz="4" w:space="0"/>
              <w:left w:val="single" w:color="000000" w:sz="4" w:space="0"/>
              <w:bottom w:val="single" w:color="000000" w:sz="4" w:space="0"/>
              <w:right w:val="single" w:color="000000" w:sz="4" w:space="0"/>
            </w:tcBorders>
            <w:noWrap/>
            <w:vAlign w:val="center"/>
          </w:tcPr>
          <w:p w14:paraId="2915B2A1">
            <w:pPr>
              <w:spacing w:line="360" w:lineRule="auto"/>
              <w:jc w:val="center"/>
              <w:rPr>
                <w:color w:val="auto"/>
                <w:kern w:val="0"/>
                <w:sz w:val="24"/>
                <w:highlight w:val="none"/>
              </w:rPr>
            </w:pPr>
            <w:r>
              <w:rPr>
                <w:rFonts w:hint="eastAsia"/>
                <w:color w:val="auto"/>
                <w:kern w:val="0"/>
                <w:sz w:val="24"/>
                <w:highlight w:val="none"/>
              </w:rPr>
              <w:t>1</w:t>
            </w:r>
          </w:p>
        </w:tc>
        <w:tc>
          <w:tcPr>
            <w:tcW w:w="738" w:type="dxa"/>
            <w:tcBorders>
              <w:top w:val="single" w:color="000000" w:sz="4" w:space="0"/>
              <w:left w:val="single" w:color="000000" w:sz="4" w:space="0"/>
              <w:bottom w:val="single" w:color="000000" w:sz="4" w:space="0"/>
              <w:right w:val="single" w:color="000000" w:sz="4" w:space="0"/>
            </w:tcBorders>
            <w:noWrap/>
            <w:vAlign w:val="center"/>
          </w:tcPr>
          <w:p w14:paraId="407294AB">
            <w:pPr>
              <w:spacing w:line="360" w:lineRule="auto"/>
              <w:jc w:val="center"/>
              <w:rPr>
                <w:color w:val="auto"/>
                <w:kern w:val="0"/>
                <w:sz w:val="24"/>
                <w:highlight w:val="none"/>
              </w:rPr>
            </w:pPr>
            <w:r>
              <w:rPr>
                <w:rFonts w:hint="eastAsia"/>
                <w:color w:val="auto"/>
                <w:kern w:val="0"/>
                <w:sz w:val="24"/>
                <w:highlight w:val="none"/>
              </w:rPr>
              <w:t>台</w:t>
            </w:r>
          </w:p>
        </w:tc>
      </w:tr>
      <w:tr w14:paraId="5A41675E">
        <w:tblPrEx>
          <w:tblCellMar>
            <w:top w:w="0" w:type="dxa"/>
            <w:left w:w="108" w:type="dxa"/>
            <w:bottom w:w="0" w:type="dxa"/>
            <w:right w:w="108" w:type="dxa"/>
          </w:tblCellMar>
        </w:tblPrEx>
        <w:trPr>
          <w:trHeight w:val="567" w:hRule="atLeast"/>
          <w:jc w:val="center"/>
        </w:trPr>
        <w:tc>
          <w:tcPr>
            <w:tcW w:w="803" w:type="dxa"/>
            <w:tcBorders>
              <w:top w:val="single" w:color="000000" w:sz="4" w:space="0"/>
              <w:left w:val="single" w:color="000000" w:sz="4" w:space="0"/>
              <w:bottom w:val="single" w:color="000000" w:sz="4" w:space="0"/>
              <w:right w:val="single" w:color="000000" w:sz="4" w:space="0"/>
            </w:tcBorders>
            <w:noWrap/>
            <w:vAlign w:val="center"/>
          </w:tcPr>
          <w:p w14:paraId="4A5923AE">
            <w:pPr>
              <w:spacing w:line="360" w:lineRule="auto"/>
              <w:jc w:val="center"/>
              <w:rPr>
                <w:color w:val="auto"/>
                <w:kern w:val="0"/>
                <w:sz w:val="24"/>
                <w:highlight w:val="none"/>
              </w:rPr>
            </w:pPr>
            <w:r>
              <w:rPr>
                <w:rFonts w:hint="eastAsia"/>
                <w:color w:val="auto"/>
                <w:kern w:val="0"/>
                <w:sz w:val="24"/>
                <w:highlight w:val="none"/>
              </w:rPr>
              <w:t>2</w:t>
            </w:r>
          </w:p>
        </w:tc>
        <w:tc>
          <w:tcPr>
            <w:tcW w:w="3559" w:type="dxa"/>
            <w:tcBorders>
              <w:top w:val="single" w:color="000000" w:sz="4" w:space="0"/>
              <w:left w:val="single" w:color="000000" w:sz="4" w:space="0"/>
              <w:bottom w:val="single" w:color="000000" w:sz="4" w:space="0"/>
              <w:right w:val="single" w:color="000000" w:sz="4" w:space="0"/>
            </w:tcBorders>
            <w:noWrap/>
            <w:vAlign w:val="center"/>
          </w:tcPr>
          <w:p w14:paraId="58BA96DD">
            <w:pPr>
              <w:spacing w:line="360" w:lineRule="auto"/>
              <w:jc w:val="center"/>
              <w:rPr>
                <w:color w:val="auto"/>
                <w:kern w:val="0"/>
                <w:sz w:val="24"/>
                <w:highlight w:val="none"/>
              </w:rPr>
            </w:pPr>
            <w:r>
              <w:rPr>
                <w:rFonts w:hint="eastAsia"/>
                <w:color w:val="auto"/>
                <w:kern w:val="0"/>
                <w:sz w:val="24"/>
                <w:highlight w:val="none"/>
              </w:rPr>
              <w:t>进样阀箱</w:t>
            </w:r>
          </w:p>
        </w:tc>
        <w:tc>
          <w:tcPr>
            <w:tcW w:w="2974" w:type="dxa"/>
            <w:tcBorders>
              <w:top w:val="single" w:color="000000" w:sz="4" w:space="0"/>
              <w:left w:val="single" w:color="000000" w:sz="4" w:space="0"/>
              <w:bottom w:val="single" w:color="000000" w:sz="4" w:space="0"/>
              <w:right w:val="single" w:color="000000" w:sz="4" w:space="0"/>
            </w:tcBorders>
            <w:noWrap/>
            <w:vAlign w:val="center"/>
          </w:tcPr>
          <w:p w14:paraId="093A6F29">
            <w:pPr>
              <w:spacing w:line="360" w:lineRule="auto"/>
              <w:jc w:val="center"/>
              <w:rPr>
                <w:color w:val="auto"/>
                <w:kern w:val="0"/>
                <w:sz w:val="24"/>
                <w:highlight w:val="none"/>
              </w:rPr>
            </w:pPr>
            <w:r>
              <w:rPr>
                <w:rFonts w:hint="eastAsia"/>
                <w:color w:val="auto"/>
                <w:kern w:val="0"/>
                <w:sz w:val="24"/>
                <w:highlight w:val="none"/>
              </w:rPr>
              <w:t>世纪朝阳 定制</w:t>
            </w:r>
          </w:p>
        </w:tc>
        <w:tc>
          <w:tcPr>
            <w:tcW w:w="857" w:type="dxa"/>
            <w:tcBorders>
              <w:top w:val="single" w:color="000000" w:sz="4" w:space="0"/>
              <w:left w:val="single" w:color="000000" w:sz="4" w:space="0"/>
              <w:bottom w:val="single" w:color="000000" w:sz="4" w:space="0"/>
              <w:right w:val="single" w:color="000000" w:sz="4" w:space="0"/>
            </w:tcBorders>
            <w:noWrap/>
            <w:vAlign w:val="center"/>
          </w:tcPr>
          <w:p w14:paraId="21C72754">
            <w:pPr>
              <w:spacing w:line="360" w:lineRule="auto"/>
              <w:jc w:val="center"/>
              <w:rPr>
                <w:color w:val="auto"/>
                <w:kern w:val="0"/>
                <w:sz w:val="24"/>
                <w:highlight w:val="none"/>
              </w:rPr>
            </w:pPr>
            <w:r>
              <w:rPr>
                <w:rFonts w:hint="eastAsia"/>
                <w:color w:val="auto"/>
                <w:kern w:val="0"/>
                <w:sz w:val="24"/>
                <w:highlight w:val="none"/>
              </w:rPr>
              <w:t>1</w:t>
            </w:r>
          </w:p>
        </w:tc>
        <w:tc>
          <w:tcPr>
            <w:tcW w:w="738" w:type="dxa"/>
            <w:tcBorders>
              <w:top w:val="single" w:color="000000" w:sz="4" w:space="0"/>
              <w:left w:val="single" w:color="000000" w:sz="4" w:space="0"/>
              <w:bottom w:val="single" w:color="000000" w:sz="4" w:space="0"/>
              <w:right w:val="single" w:color="000000" w:sz="4" w:space="0"/>
            </w:tcBorders>
            <w:noWrap/>
            <w:vAlign w:val="center"/>
          </w:tcPr>
          <w:p w14:paraId="703C742A">
            <w:pPr>
              <w:spacing w:line="360" w:lineRule="auto"/>
              <w:jc w:val="center"/>
              <w:rPr>
                <w:color w:val="auto"/>
                <w:kern w:val="0"/>
                <w:sz w:val="24"/>
                <w:highlight w:val="none"/>
              </w:rPr>
            </w:pPr>
            <w:r>
              <w:rPr>
                <w:rFonts w:hint="eastAsia"/>
                <w:color w:val="auto"/>
                <w:kern w:val="0"/>
                <w:sz w:val="24"/>
                <w:highlight w:val="none"/>
              </w:rPr>
              <w:t>台</w:t>
            </w:r>
          </w:p>
        </w:tc>
      </w:tr>
      <w:tr w14:paraId="610066E2">
        <w:tblPrEx>
          <w:tblCellMar>
            <w:top w:w="0" w:type="dxa"/>
            <w:left w:w="108" w:type="dxa"/>
            <w:bottom w:w="0" w:type="dxa"/>
            <w:right w:w="108" w:type="dxa"/>
          </w:tblCellMar>
        </w:tblPrEx>
        <w:trPr>
          <w:trHeight w:val="567" w:hRule="atLeast"/>
          <w:jc w:val="center"/>
        </w:trPr>
        <w:tc>
          <w:tcPr>
            <w:tcW w:w="803" w:type="dxa"/>
            <w:tcBorders>
              <w:top w:val="single" w:color="000000" w:sz="4" w:space="0"/>
              <w:left w:val="single" w:color="000000" w:sz="4" w:space="0"/>
              <w:bottom w:val="single" w:color="000000" w:sz="4" w:space="0"/>
              <w:right w:val="single" w:color="000000" w:sz="4" w:space="0"/>
            </w:tcBorders>
            <w:noWrap/>
            <w:vAlign w:val="center"/>
          </w:tcPr>
          <w:p w14:paraId="1A276195">
            <w:pPr>
              <w:spacing w:line="360" w:lineRule="auto"/>
              <w:jc w:val="center"/>
              <w:rPr>
                <w:color w:val="auto"/>
                <w:kern w:val="0"/>
                <w:sz w:val="24"/>
                <w:highlight w:val="none"/>
              </w:rPr>
            </w:pPr>
            <w:r>
              <w:rPr>
                <w:rFonts w:hint="eastAsia"/>
                <w:color w:val="auto"/>
                <w:kern w:val="0"/>
                <w:sz w:val="24"/>
                <w:highlight w:val="none"/>
              </w:rPr>
              <w:t>3</w:t>
            </w:r>
          </w:p>
        </w:tc>
        <w:tc>
          <w:tcPr>
            <w:tcW w:w="3559" w:type="dxa"/>
            <w:tcBorders>
              <w:top w:val="single" w:color="000000" w:sz="4" w:space="0"/>
              <w:left w:val="single" w:color="000000" w:sz="4" w:space="0"/>
              <w:bottom w:val="single" w:color="000000" w:sz="4" w:space="0"/>
              <w:right w:val="single" w:color="000000" w:sz="4" w:space="0"/>
            </w:tcBorders>
            <w:noWrap/>
            <w:vAlign w:val="center"/>
          </w:tcPr>
          <w:p w14:paraId="73D76233">
            <w:pPr>
              <w:spacing w:line="360" w:lineRule="auto"/>
              <w:jc w:val="center"/>
              <w:rPr>
                <w:color w:val="auto"/>
                <w:kern w:val="0"/>
                <w:sz w:val="24"/>
                <w:highlight w:val="none"/>
              </w:rPr>
            </w:pPr>
            <w:r>
              <w:rPr>
                <w:rFonts w:hint="eastAsia"/>
                <w:color w:val="auto"/>
                <w:kern w:val="0"/>
                <w:sz w:val="24"/>
                <w:highlight w:val="none"/>
              </w:rPr>
              <w:t>超低温冷阱</w:t>
            </w:r>
          </w:p>
        </w:tc>
        <w:tc>
          <w:tcPr>
            <w:tcW w:w="2974" w:type="dxa"/>
            <w:tcBorders>
              <w:top w:val="single" w:color="000000" w:sz="4" w:space="0"/>
              <w:left w:val="single" w:color="000000" w:sz="4" w:space="0"/>
              <w:bottom w:val="single" w:color="000000" w:sz="4" w:space="0"/>
              <w:right w:val="single" w:color="000000" w:sz="4" w:space="0"/>
            </w:tcBorders>
            <w:noWrap/>
            <w:vAlign w:val="center"/>
          </w:tcPr>
          <w:p w14:paraId="28DF2CE6">
            <w:pPr>
              <w:spacing w:line="360" w:lineRule="auto"/>
              <w:jc w:val="center"/>
              <w:rPr>
                <w:color w:val="auto"/>
                <w:kern w:val="0"/>
                <w:sz w:val="24"/>
                <w:highlight w:val="none"/>
              </w:rPr>
            </w:pPr>
            <w:r>
              <w:rPr>
                <w:rFonts w:hint="eastAsia"/>
                <w:color w:val="auto"/>
                <w:kern w:val="0"/>
                <w:sz w:val="24"/>
                <w:highlight w:val="none"/>
              </w:rPr>
              <w:t>世纪朝阳 CS-8000</w:t>
            </w:r>
          </w:p>
        </w:tc>
        <w:tc>
          <w:tcPr>
            <w:tcW w:w="857" w:type="dxa"/>
            <w:tcBorders>
              <w:top w:val="single" w:color="000000" w:sz="4" w:space="0"/>
              <w:left w:val="single" w:color="000000" w:sz="4" w:space="0"/>
              <w:bottom w:val="single" w:color="000000" w:sz="4" w:space="0"/>
              <w:right w:val="single" w:color="000000" w:sz="4" w:space="0"/>
            </w:tcBorders>
            <w:noWrap/>
            <w:vAlign w:val="center"/>
          </w:tcPr>
          <w:p w14:paraId="14CA3C76">
            <w:pPr>
              <w:spacing w:line="360" w:lineRule="auto"/>
              <w:jc w:val="center"/>
              <w:rPr>
                <w:color w:val="auto"/>
                <w:kern w:val="0"/>
                <w:sz w:val="24"/>
                <w:highlight w:val="none"/>
              </w:rPr>
            </w:pPr>
            <w:r>
              <w:rPr>
                <w:rFonts w:hint="eastAsia"/>
                <w:color w:val="auto"/>
                <w:kern w:val="0"/>
                <w:sz w:val="24"/>
                <w:highlight w:val="none"/>
              </w:rPr>
              <w:t>1</w:t>
            </w:r>
          </w:p>
        </w:tc>
        <w:tc>
          <w:tcPr>
            <w:tcW w:w="738" w:type="dxa"/>
            <w:tcBorders>
              <w:top w:val="single" w:color="000000" w:sz="4" w:space="0"/>
              <w:left w:val="single" w:color="000000" w:sz="4" w:space="0"/>
              <w:bottom w:val="single" w:color="000000" w:sz="4" w:space="0"/>
              <w:right w:val="single" w:color="000000" w:sz="4" w:space="0"/>
            </w:tcBorders>
            <w:noWrap/>
            <w:vAlign w:val="center"/>
          </w:tcPr>
          <w:p w14:paraId="2D7E4A98">
            <w:pPr>
              <w:spacing w:line="360" w:lineRule="auto"/>
              <w:jc w:val="center"/>
              <w:rPr>
                <w:color w:val="auto"/>
                <w:kern w:val="0"/>
                <w:sz w:val="24"/>
                <w:highlight w:val="none"/>
              </w:rPr>
            </w:pPr>
            <w:r>
              <w:rPr>
                <w:rFonts w:hint="eastAsia"/>
                <w:color w:val="auto"/>
                <w:kern w:val="0"/>
                <w:sz w:val="24"/>
                <w:highlight w:val="none"/>
              </w:rPr>
              <w:t>套</w:t>
            </w:r>
          </w:p>
        </w:tc>
      </w:tr>
      <w:tr w14:paraId="53ACE1A3">
        <w:tblPrEx>
          <w:tblCellMar>
            <w:top w:w="0" w:type="dxa"/>
            <w:left w:w="108" w:type="dxa"/>
            <w:bottom w:w="0" w:type="dxa"/>
            <w:right w:w="108" w:type="dxa"/>
          </w:tblCellMar>
        </w:tblPrEx>
        <w:trPr>
          <w:trHeight w:val="567" w:hRule="atLeast"/>
          <w:jc w:val="center"/>
        </w:trPr>
        <w:tc>
          <w:tcPr>
            <w:tcW w:w="803" w:type="dxa"/>
            <w:tcBorders>
              <w:top w:val="single" w:color="000000" w:sz="4" w:space="0"/>
              <w:left w:val="single" w:color="000000" w:sz="4" w:space="0"/>
              <w:bottom w:val="single" w:color="000000" w:sz="4" w:space="0"/>
              <w:right w:val="single" w:color="000000" w:sz="4" w:space="0"/>
            </w:tcBorders>
            <w:noWrap/>
            <w:vAlign w:val="center"/>
          </w:tcPr>
          <w:p w14:paraId="6777D8BF">
            <w:pPr>
              <w:spacing w:line="360" w:lineRule="auto"/>
              <w:jc w:val="center"/>
              <w:rPr>
                <w:color w:val="auto"/>
                <w:kern w:val="0"/>
                <w:sz w:val="24"/>
                <w:highlight w:val="none"/>
              </w:rPr>
            </w:pPr>
            <w:r>
              <w:rPr>
                <w:rFonts w:hint="eastAsia"/>
                <w:color w:val="auto"/>
                <w:kern w:val="0"/>
                <w:sz w:val="24"/>
                <w:highlight w:val="none"/>
              </w:rPr>
              <w:t>4</w:t>
            </w:r>
          </w:p>
        </w:tc>
        <w:tc>
          <w:tcPr>
            <w:tcW w:w="3559" w:type="dxa"/>
            <w:tcBorders>
              <w:top w:val="single" w:color="000000" w:sz="4" w:space="0"/>
              <w:left w:val="single" w:color="000000" w:sz="4" w:space="0"/>
              <w:bottom w:val="single" w:color="000000" w:sz="4" w:space="0"/>
              <w:right w:val="single" w:color="000000" w:sz="4" w:space="0"/>
            </w:tcBorders>
            <w:noWrap/>
            <w:vAlign w:val="center"/>
          </w:tcPr>
          <w:p w14:paraId="7BC2FFC2">
            <w:pPr>
              <w:spacing w:line="360" w:lineRule="auto"/>
              <w:jc w:val="center"/>
              <w:rPr>
                <w:color w:val="auto"/>
                <w:kern w:val="0"/>
                <w:sz w:val="24"/>
                <w:highlight w:val="none"/>
              </w:rPr>
            </w:pPr>
            <w:r>
              <w:rPr>
                <w:rFonts w:hint="eastAsia"/>
                <w:color w:val="auto"/>
                <w:kern w:val="0"/>
                <w:sz w:val="24"/>
                <w:highlight w:val="none"/>
              </w:rPr>
              <w:t>电子冷凝器</w:t>
            </w:r>
          </w:p>
        </w:tc>
        <w:tc>
          <w:tcPr>
            <w:tcW w:w="2974" w:type="dxa"/>
            <w:tcBorders>
              <w:top w:val="single" w:color="000000" w:sz="4" w:space="0"/>
              <w:left w:val="single" w:color="000000" w:sz="4" w:space="0"/>
              <w:bottom w:val="single" w:color="000000" w:sz="4" w:space="0"/>
              <w:right w:val="single" w:color="000000" w:sz="4" w:space="0"/>
            </w:tcBorders>
            <w:noWrap/>
            <w:vAlign w:val="center"/>
          </w:tcPr>
          <w:p w14:paraId="02DAB6A8">
            <w:pPr>
              <w:spacing w:line="360" w:lineRule="auto"/>
              <w:jc w:val="center"/>
              <w:rPr>
                <w:color w:val="auto"/>
                <w:kern w:val="0"/>
                <w:sz w:val="24"/>
                <w:highlight w:val="none"/>
              </w:rPr>
            </w:pPr>
            <w:r>
              <w:rPr>
                <w:rFonts w:hint="eastAsia"/>
                <w:color w:val="auto"/>
                <w:kern w:val="0"/>
                <w:sz w:val="24"/>
                <w:highlight w:val="none"/>
              </w:rPr>
              <w:t>CS-7A</w:t>
            </w:r>
          </w:p>
        </w:tc>
        <w:tc>
          <w:tcPr>
            <w:tcW w:w="857" w:type="dxa"/>
            <w:tcBorders>
              <w:top w:val="single" w:color="000000" w:sz="4" w:space="0"/>
              <w:left w:val="single" w:color="000000" w:sz="4" w:space="0"/>
              <w:bottom w:val="single" w:color="000000" w:sz="4" w:space="0"/>
              <w:right w:val="single" w:color="000000" w:sz="4" w:space="0"/>
            </w:tcBorders>
            <w:noWrap/>
            <w:vAlign w:val="center"/>
          </w:tcPr>
          <w:p w14:paraId="1B9E0434">
            <w:pPr>
              <w:spacing w:line="360" w:lineRule="auto"/>
              <w:jc w:val="center"/>
              <w:rPr>
                <w:color w:val="auto"/>
                <w:kern w:val="0"/>
                <w:sz w:val="24"/>
                <w:highlight w:val="none"/>
              </w:rPr>
            </w:pPr>
            <w:r>
              <w:rPr>
                <w:rFonts w:hint="eastAsia"/>
                <w:color w:val="auto"/>
                <w:kern w:val="0"/>
                <w:sz w:val="24"/>
                <w:highlight w:val="none"/>
              </w:rPr>
              <w:t>1</w:t>
            </w:r>
          </w:p>
        </w:tc>
        <w:tc>
          <w:tcPr>
            <w:tcW w:w="738" w:type="dxa"/>
            <w:tcBorders>
              <w:top w:val="single" w:color="000000" w:sz="4" w:space="0"/>
              <w:left w:val="single" w:color="000000" w:sz="4" w:space="0"/>
              <w:bottom w:val="single" w:color="000000" w:sz="4" w:space="0"/>
              <w:right w:val="single" w:color="000000" w:sz="4" w:space="0"/>
            </w:tcBorders>
            <w:noWrap/>
            <w:vAlign w:val="center"/>
          </w:tcPr>
          <w:p w14:paraId="18140913">
            <w:pPr>
              <w:spacing w:line="360" w:lineRule="auto"/>
              <w:jc w:val="center"/>
              <w:rPr>
                <w:color w:val="auto"/>
                <w:kern w:val="0"/>
                <w:sz w:val="24"/>
                <w:highlight w:val="none"/>
              </w:rPr>
            </w:pPr>
            <w:r>
              <w:rPr>
                <w:rFonts w:hint="eastAsia"/>
                <w:color w:val="auto"/>
                <w:kern w:val="0"/>
                <w:sz w:val="24"/>
                <w:highlight w:val="none"/>
              </w:rPr>
              <w:t>台</w:t>
            </w:r>
          </w:p>
        </w:tc>
      </w:tr>
      <w:tr w14:paraId="29CE2C3D">
        <w:tblPrEx>
          <w:tblCellMar>
            <w:top w:w="0" w:type="dxa"/>
            <w:left w:w="108" w:type="dxa"/>
            <w:bottom w:w="0" w:type="dxa"/>
            <w:right w:w="108" w:type="dxa"/>
          </w:tblCellMar>
        </w:tblPrEx>
        <w:trPr>
          <w:trHeight w:val="851" w:hRule="atLeast"/>
          <w:jc w:val="center"/>
        </w:trPr>
        <w:tc>
          <w:tcPr>
            <w:tcW w:w="803" w:type="dxa"/>
            <w:tcBorders>
              <w:top w:val="single" w:color="000000" w:sz="4" w:space="0"/>
              <w:left w:val="single" w:color="000000" w:sz="4" w:space="0"/>
              <w:bottom w:val="single" w:color="000000" w:sz="4" w:space="0"/>
              <w:right w:val="single" w:color="000000" w:sz="4" w:space="0"/>
            </w:tcBorders>
            <w:noWrap/>
            <w:vAlign w:val="center"/>
          </w:tcPr>
          <w:p w14:paraId="2A590BD9">
            <w:pPr>
              <w:spacing w:line="360" w:lineRule="auto"/>
              <w:jc w:val="center"/>
              <w:rPr>
                <w:color w:val="auto"/>
                <w:kern w:val="0"/>
                <w:sz w:val="24"/>
                <w:highlight w:val="none"/>
              </w:rPr>
            </w:pPr>
            <w:r>
              <w:rPr>
                <w:rFonts w:hint="eastAsia"/>
                <w:color w:val="auto"/>
                <w:kern w:val="0"/>
                <w:sz w:val="24"/>
                <w:highlight w:val="none"/>
              </w:rPr>
              <w:t>5</w:t>
            </w:r>
          </w:p>
        </w:tc>
        <w:tc>
          <w:tcPr>
            <w:tcW w:w="3559" w:type="dxa"/>
            <w:tcBorders>
              <w:top w:val="single" w:color="000000" w:sz="4" w:space="0"/>
              <w:left w:val="single" w:color="000000" w:sz="4" w:space="0"/>
              <w:bottom w:val="single" w:color="000000" w:sz="4" w:space="0"/>
              <w:right w:val="single" w:color="000000" w:sz="4" w:space="0"/>
            </w:tcBorders>
            <w:noWrap/>
            <w:vAlign w:val="center"/>
          </w:tcPr>
          <w:p w14:paraId="3528514F">
            <w:pPr>
              <w:spacing w:line="360" w:lineRule="auto"/>
              <w:jc w:val="center"/>
              <w:rPr>
                <w:color w:val="auto"/>
                <w:kern w:val="0"/>
                <w:sz w:val="24"/>
                <w:highlight w:val="none"/>
              </w:rPr>
            </w:pPr>
            <w:r>
              <w:rPr>
                <w:rFonts w:hint="eastAsia"/>
                <w:color w:val="auto"/>
                <w:kern w:val="0"/>
                <w:sz w:val="24"/>
                <w:highlight w:val="none"/>
              </w:rPr>
              <w:t>工控机</w:t>
            </w:r>
          </w:p>
        </w:tc>
        <w:tc>
          <w:tcPr>
            <w:tcW w:w="2974" w:type="dxa"/>
            <w:tcBorders>
              <w:top w:val="single" w:color="000000" w:sz="4" w:space="0"/>
              <w:left w:val="single" w:color="000000" w:sz="4" w:space="0"/>
              <w:bottom w:val="single" w:color="000000" w:sz="4" w:space="0"/>
              <w:right w:val="single" w:color="000000" w:sz="4" w:space="0"/>
            </w:tcBorders>
            <w:noWrap/>
            <w:vAlign w:val="center"/>
          </w:tcPr>
          <w:p w14:paraId="66C4167E">
            <w:pPr>
              <w:spacing w:line="360" w:lineRule="auto"/>
              <w:jc w:val="center"/>
              <w:rPr>
                <w:color w:val="auto"/>
                <w:kern w:val="0"/>
                <w:sz w:val="24"/>
                <w:highlight w:val="none"/>
              </w:rPr>
            </w:pPr>
            <w:r>
              <w:rPr>
                <w:rFonts w:hint="eastAsia"/>
                <w:color w:val="auto"/>
                <w:kern w:val="0"/>
                <w:sz w:val="24"/>
                <w:highlight w:val="none"/>
              </w:rPr>
              <w:t>研华ACP-40000/1PC-610 series</w:t>
            </w:r>
          </w:p>
        </w:tc>
        <w:tc>
          <w:tcPr>
            <w:tcW w:w="857" w:type="dxa"/>
            <w:tcBorders>
              <w:top w:val="single" w:color="000000" w:sz="4" w:space="0"/>
              <w:left w:val="single" w:color="000000" w:sz="4" w:space="0"/>
              <w:bottom w:val="single" w:color="000000" w:sz="4" w:space="0"/>
              <w:right w:val="single" w:color="000000" w:sz="4" w:space="0"/>
            </w:tcBorders>
            <w:noWrap/>
            <w:vAlign w:val="center"/>
          </w:tcPr>
          <w:p w14:paraId="0B9FD4F7">
            <w:pPr>
              <w:spacing w:line="360" w:lineRule="auto"/>
              <w:jc w:val="center"/>
              <w:rPr>
                <w:color w:val="auto"/>
                <w:kern w:val="0"/>
                <w:sz w:val="24"/>
                <w:highlight w:val="none"/>
              </w:rPr>
            </w:pPr>
            <w:r>
              <w:rPr>
                <w:rFonts w:hint="eastAsia"/>
                <w:color w:val="auto"/>
                <w:kern w:val="0"/>
                <w:sz w:val="24"/>
                <w:highlight w:val="none"/>
              </w:rPr>
              <w:t>1</w:t>
            </w:r>
          </w:p>
        </w:tc>
        <w:tc>
          <w:tcPr>
            <w:tcW w:w="738" w:type="dxa"/>
            <w:tcBorders>
              <w:top w:val="single" w:color="000000" w:sz="4" w:space="0"/>
              <w:left w:val="single" w:color="000000" w:sz="4" w:space="0"/>
              <w:bottom w:val="single" w:color="000000" w:sz="4" w:space="0"/>
              <w:right w:val="single" w:color="000000" w:sz="4" w:space="0"/>
            </w:tcBorders>
            <w:noWrap/>
            <w:vAlign w:val="center"/>
          </w:tcPr>
          <w:p w14:paraId="0DB9BE82">
            <w:pPr>
              <w:spacing w:line="360" w:lineRule="auto"/>
              <w:jc w:val="center"/>
              <w:rPr>
                <w:color w:val="auto"/>
                <w:kern w:val="0"/>
                <w:sz w:val="24"/>
                <w:highlight w:val="none"/>
              </w:rPr>
            </w:pPr>
            <w:r>
              <w:rPr>
                <w:rFonts w:hint="eastAsia"/>
                <w:color w:val="auto"/>
                <w:kern w:val="0"/>
                <w:sz w:val="24"/>
                <w:highlight w:val="none"/>
              </w:rPr>
              <w:t>台</w:t>
            </w:r>
          </w:p>
        </w:tc>
      </w:tr>
      <w:tr w14:paraId="49239C5F">
        <w:tblPrEx>
          <w:tblCellMar>
            <w:top w:w="0" w:type="dxa"/>
            <w:left w:w="108" w:type="dxa"/>
            <w:bottom w:w="0" w:type="dxa"/>
            <w:right w:w="108" w:type="dxa"/>
          </w:tblCellMar>
        </w:tblPrEx>
        <w:trPr>
          <w:trHeight w:val="567" w:hRule="atLeast"/>
          <w:jc w:val="center"/>
        </w:trPr>
        <w:tc>
          <w:tcPr>
            <w:tcW w:w="803" w:type="dxa"/>
            <w:tcBorders>
              <w:top w:val="single" w:color="000000" w:sz="4" w:space="0"/>
              <w:left w:val="single" w:color="000000" w:sz="4" w:space="0"/>
              <w:bottom w:val="single" w:color="000000" w:sz="4" w:space="0"/>
              <w:right w:val="single" w:color="000000" w:sz="4" w:space="0"/>
            </w:tcBorders>
            <w:noWrap/>
            <w:vAlign w:val="center"/>
          </w:tcPr>
          <w:p w14:paraId="6583DDAD">
            <w:pPr>
              <w:spacing w:line="360" w:lineRule="auto"/>
              <w:jc w:val="center"/>
              <w:rPr>
                <w:color w:val="auto"/>
                <w:kern w:val="0"/>
                <w:sz w:val="24"/>
                <w:highlight w:val="none"/>
              </w:rPr>
            </w:pPr>
            <w:r>
              <w:rPr>
                <w:rFonts w:hint="eastAsia"/>
                <w:color w:val="auto"/>
                <w:kern w:val="0"/>
                <w:sz w:val="24"/>
                <w:highlight w:val="none"/>
              </w:rPr>
              <w:t>6</w:t>
            </w:r>
          </w:p>
        </w:tc>
        <w:tc>
          <w:tcPr>
            <w:tcW w:w="3559" w:type="dxa"/>
            <w:tcBorders>
              <w:top w:val="single" w:color="000000" w:sz="4" w:space="0"/>
              <w:left w:val="single" w:color="000000" w:sz="4" w:space="0"/>
              <w:bottom w:val="single" w:color="000000" w:sz="4" w:space="0"/>
              <w:right w:val="single" w:color="000000" w:sz="4" w:space="0"/>
            </w:tcBorders>
            <w:noWrap/>
            <w:vAlign w:val="center"/>
          </w:tcPr>
          <w:p w14:paraId="0EDC148F">
            <w:pPr>
              <w:spacing w:line="360" w:lineRule="auto"/>
              <w:jc w:val="center"/>
              <w:rPr>
                <w:color w:val="auto"/>
                <w:kern w:val="0"/>
                <w:sz w:val="24"/>
                <w:highlight w:val="none"/>
              </w:rPr>
            </w:pPr>
            <w:r>
              <w:rPr>
                <w:rFonts w:hint="eastAsia"/>
                <w:color w:val="auto"/>
                <w:kern w:val="0"/>
                <w:sz w:val="24"/>
                <w:highlight w:val="none"/>
              </w:rPr>
              <w:t>LCDKVM切换器</w:t>
            </w:r>
          </w:p>
        </w:tc>
        <w:tc>
          <w:tcPr>
            <w:tcW w:w="2974" w:type="dxa"/>
            <w:tcBorders>
              <w:top w:val="single" w:color="000000" w:sz="4" w:space="0"/>
              <w:left w:val="single" w:color="000000" w:sz="4" w:space="0"/>
              <w:bottom w:val="single" w:color="000000" w:sz="4" w:space="0"/>
              <w:right w:val="single" w:color="000000" w:sz="4" w:space="0"/>
            </w:tcBorders>
            <w:noWrap/>
            <w:vAlign w:val="center"/>
          </w:tcPr>
          <w:p w14:paraId="2C0D7C34">
            <w:pPr>
              <w:spacing w:line="360" w:lineRule="auto"/>
              <w:jc w:val="center"/>
              <w:rPr>
                <w:color w:val="auto"/>
                <w:kern w:val="0"/>
                <w:sz w:val="24"/>
                <w:highlight w:val="none"/>
              </w:rPr>
            </w:pPr>
            <w:r>
              <w:rPr>
                <w:rFonts w:hint="eastAsia"/>
                <w:color w:val="auto"/>
                <w:kern w:val="0"/>
                <w:sz w:val="24"/>
                <w:highlight w:val="none"/>
              </w:rPr>
              <w:t>龙远恒信 KVM-1708-VGA-D</w:t>
            </w:r>
          </w:p>
        </w:tc>
        <w:tc>
          <w:tcPr>
            <w:tcW w:w="857" w:type="dxa"/>
            <w:tcBorders>
              <w:top w:val="single" w:color="000000" w:sz="4" w:space="0"/>
              <w:left w:val="single" w:color="000000" w:sz="4" w:space="0"/>
              <w:bottom w:val="single" w:color="000000" w:sz="4" w:space="0"/>
              <w:right w:val="single" w:color="000000" w:sz="4" w:space="0"/>
            </w:tcBorders>
            <w:noWrap/>
            <w:vAlign w:val="center"/>
          </w:tcPr>
          <w:p w14:paraId="1C62B0F5">
            <w:pPr>
              <w:spacing w:line="360" w:lineRule="auto"/>
              <w:jc w:val="center"/>
              <w:rPr>
                <w:color w:val="auto"/>
                <w:kern w:val="0"/>
                <w:sz w:val="24"/>
                <w:highlight w:val="none"/>
              </w:rPr>
            </w:pPr>
            <w:r>
              <w:rPr>
                <w:rFonts w:hint="eastAsia"/>
                <w:color w:val="auto"/>
                <w:kern w:val="0"/>
                <w:sz w:val="24"/>
                <w:highlight w:val="none"/>
              </w:rPr>
              <w:t>1</w:t>
            </w:r>
          </w:p>
        </w:tc>
        <w:tc>
          <w:tcPr>
            <w:tcW w:w="738" w:type="dxa"/>
            <w:tcBorders>
              <w:top w:val="single" w:color="000000" w:sz="4" w:space="0"/>
              <w:left w:val="single" w:color="000000" w:sz="4" w:space="0"/>
              <w:bottom w:val="single" w:color="000000" w:sz="4" w:space="0"/>
              <w:right w:val="single" w:color="000000" w:sz="4" w:space="0"/>
            </w:tcBorders>
            <w:noWrap/>
            <w:vAlign w:val="center"/>
          </w:tcPr>
          <w:p w14:paraId="112B6738">
            <w:pPr>
              <w:spacing w:line="360" w:lineRule="auto"/>
              <w:jc w:val="center"/>
              <w:rPr>
                <w:color w:val="auto"/>
                <w:kern w:val="0"/>
                <w:sz w:val="24"/>
                <w:highlight w:val="none"/>
              </w:rPr>
            </w:pPr>
            <w:r>
              <w:rPr>
                <w:rFonts w:hint="eastAsia"/>
                <w:color w:val="auto"/>
                <w:kern w:val="0"/>
                <w:sz w:val="24"/>
                <w:highlight w:val="none"/>
              </w:rPr>
              <w:t>台</w:t>
            </w:r>
          </w:p>
        </w:tc>
      </w:tr>
      <w:tr w14:paraId="72EC03D3">
        <w:tblPrEx>
          <w:tblCellMar>
            <w:top w:w="0" w:type="dxa"/>
            <w:left w:w="108" w:type="dxa"/>
            <w:bottom w:w="0" w:type="dxa"/>
            <w:right w:w="108" w:type="dxa"/>
          </w:tblCellMar>
        </w:tblPrEx>
        <w:trPr>
          <w:trHeight w:val="567" w:hRule="atLeast"/>
          <w:jc w:val="center"/>
        </w:trPr>
        <w:tc>
          <w:tcPr>
            <w:tcW w:w="803" w:type="dxa"/>
            <w:tcBorders>
              <w:top w:val="single" w:color="000000" w:sz="4" w:space="0"/>
              <w:left w:val="single" w:color="000000" w:sz="4" w:space="0"/>
              <w:bottom w:val="single" w:color="000000" w:sz="4" w:space="0"/>
              <w:right w:val="single" w:color="000000" w:sz="4" w:space="0"/>
            </w:tcBorders>
            <w:noWrap/>
            <w:vAlign w:val="center"/>
          </w:tcPr>
          <w:p w14:paraId="7632B7DC">
            <w:pPr>
              <w:spacing w:line="360" w:lineRule="auto"/>
              <w:jc w:val="center"/>
              <w:rPr>
                <w:color w:val="auto"/>
                <w:kern w:val="0"/>
                <w:sz w:val="24"/>
                <w:highlight w:val="none"/>
              </w:rPr>
            </w:pPr>
            <w:r>
              <w:rPr>
                <w:rFonts w:hint="eastAsia"/>
                <w:color w:val="auto"/>
                <w:kern w:val="0"/>
                <w:sz w:val="24"/>
                <w:highlight w:val="none"/>
              </w:rPr>
              <w:t>7</w:t>
            </w:r>
          </w:p>
        </w:tc>
        <w:tc>
          <w:tcPr>
            <w:tcW w:w="3559" w:type="dxa"/>
            <w:tcBorders>
              <w:top w:val="single" w:color="000000" w:sz="4" w:space="0"/>
              <w:left w:val="single" w:color="000000" w:sz="4" w:space="0"/>
              <w:bottom w:val="single" w:color="000000" w:sz="4" w:space="0"/>
              <w:right w:val="single" w:color="000000" w:sz="4" w:space="0"/>
            </w:tcBorders>
            <w:noWrap/>
            <w:vAlign w:val="center"/>
          </w:tcPr>
          <w:p w14:paraId="12C45A7A">
            <w:pPr>
              <w:spacing w:line="360" w:lineRule="auto"/>
              <w:jc w:val="center"/>
              <w:rPr>
                <w:color w:val="auto"/>
                <w:kern w:val="0"/>
                <w:sz w:val="24"/>
                <w:highlight w:val="none"/>
              </w:rPr>
            </w:pPr>
            <w:r>
              <w:rPr>
                <w:rFonts w:hint="eastAsia"/>
                <w:color w:val="auto"/>
                <w:kern w:val="0"/>
                <w:sz w:val="24"/>
                <w:highlight w:val="none"/>
              </w:rPr>
              <w:t>采样泵</w:t>
            </w:r>
          </w:p>
        </w:tc>
        <w:tc>
          <w:tcPr>
            <w:tcW w:w="2974" w:type="dxa"/>
            <w:tcBorders>
              <w:top w:val="single" w:color="000000" w:sz="4" w:space="0"/>
              <w:left w:val="single" w:color="000000" w:sz="4" w:space="0"/>
              <w:bottom w:val="single" w:color="000000" w:sz="4" w:space="0"/>
              <w:right w:val="single" w:color="000000" w:sz="4" w:space="0"/>
            </w:tcBorders>
            <w:noWrap/>
            <w:vAlign w:val="center"/>
          </w:tcPr>
          <w:p w14:paraId="11CFAF00">
            <w:pPr>
              <w:spacing w:line="360" w:lineRule="auto"/>
              <w:jc w:val="center"/>
              <w:rPr>
                <w:color w:val="auto"/>
                <w:kern w:val="0"/>
                <w:sz w:val="24"/>
                <w:highlight w:val="none"/>
              </w:rPr>
            </w:pPr>
            <w:r>
              <w:rPr>
                <w:rFonts w:hint="eastAsia"/>
                <w:color w:val="auto"/>
                <w:kern w:val="0"/>
                <w:sz w:val="24"/>
                <w:highlight w:val="none"/>
              </w:rPr>
              <w:t>Gast DOA-P504-BN</w:t>
            </w:r>
          </w:p>
        </w:tc>
        <w:tc>
          <w:tcPr>
            <w:tcW w:w="857" w:type="dxa"/>
            <w:tcBorders>
              <w:top w:val="single" w:color="000000" w:sz="4" w:space="0"/>
              <w:left w:val="single" w:color="000000" w:sz="4" w:space="0"/>
              <w:bottom w:val="single" w:color="000000" w:sz="4" w:space="0"/>
              <w:right w:val="single" w:color="000000" w:sz="4" w:space="0"/>
            </w:tcBorders>
            <w:noWrap/>
            <w:vAlign w:val="center"/>
          </w:tcPr>
          <w:p w14:paraId="67793AB6">
            <w:pPr>
              <w:spacing w:line="360" w:lineRule="auto"/>
              <w:jc w:val="center"/>
              <w:rPr>
                <w:color w:val="auto"/>
                <w:kern w:val="0"/>
                <w:sz w:val="24"/>
                <w:highlight w:val="none"/>
              </w:rPr>
            </w:pPr>
            <w:r>
              <w:rPr>
                <w:rFonts w:hint="eastAsia"/>
                <w:color w:val="auto"/>
                <w:kern w:val="0"/>
                <w:sz w:val="24"/>
                <w:highlight w:val="none"/>
              </w:rPr>
              <w:t>1</w:t>
            </w:r>
          </w:p>
        </w:tc>
        <w:tc>
          <w:tcPr>
            <w:tcW w:w="738" w:type="dxa"/>
            <w:tcBorders>
              <w:top w:val="single" w:color="000000" w:sz="4" w:space="0"/>
              <w:left w:val="single" w:color="000000" w:sz="4" w:space="0"/>
              <w:bottom w:val="single" w:color="000000" w:sz="4" w:space="0"/>
              <w:right w:val="single" w:color="000000" w:sz="4" w:space="0"/>
            </w:tcBorders>
            <w:noWrap/>
            <w:vAlign w:val="center"/>
          </w:tcPr>
          <w:p w14:paraId="30CE3C4C">
            <w:pPr>
              <w:spacing w:line="360" w:lineRule="auto"/>
              <w:jc w:val="center"/>
              <w:rPr>
                <w:color w:val="auto"/>
                <w:kern w:val="0"/>
                <w:sz w:val="24"/>
                <w:highlight w:val="none"/>
              </w:rPr>
            </w:pPr>
            <w:r>
              <w:rPr>
                <w:rFonts w:hint="eastAsia"/>
                <w:color w:val="auto"/>
                <w:kern w:val="0"/>
                <w:sz w:val="24"/>
                <w:highlight w:val="none"/>
              </w:rPr>
              <w:t>台</w:t>
            </w:r>
          </w:p>
        </w:tc>
      </w:tr>
      <w:tr w14:paraId="30D8F043">
        <w:tblPrEx>
          <w:tblCellMar>
            <w:top w:w="0" w:type="dxa"/>
            <w:left w:w="108" w:type="dxa"/>
            <w:bottom w:w="0" w:type="dxa"/>
            <w:right w:w="108" w:type="dxa"/>
          </w:tblCellMar>
        </w:tblPrEx>
        <w:trPr>
          <w:trHeight w:val="851" w:hRule="atLeast"/>
          <w:jc w:val="center"/>
        </w:trPr>
        <w:tc>
          <w:tcPr>
            <w:tcW w:w="803" w:type="dxa"/>
            <w:tcBorders>
              <w:top w:val="single" w:color="000000" w:sz="4" w:space="0"/>
              <w:left w:val="single" w:color="000000" w:sz="4" w:space="0"/>
              <w:bottom w:val="single" w:color="000000" w:sz="4" w:space="0"/>
              <w:right w:val="single" w:color="000000" w:sz="4" w:space="0"/>
            </w:tcBorders>
            <w:noWrap/>
            <w:vAlign w:val="center"/>
          </w:tcPr>
          <w:p w14:paraId="635BBC26">
            <w:pPr>
              <w:spacing w:line="360" w:lineRule="auto"/>
              <w:jc w:val="center"/>
              <w:rPr>
                <w:color w:val="auto"/>
                <w:kern w:val="0"/>
                <w:sz w:val="24"/>
                <w:highlight w:val="none"/>
              </w:rPr>
            </w:pPr>
            <w:r>
              <w:rPr>
                <w:rFonts w:hint="eastAsia"/>
                <w:color w:val="auto"/>
                <w:kern w:val="0"/>
                <w:sz w:val="24"/>
                <w:highlight w:val="none"/>
              </w:rPr>
              <w:t>8</w:t>
            </w:r>
          </w:p>
        </w:tc>
        <w:tc>
          <w:tcPr>
            <w:tcW w:w="3559" w:type="dxa"/>
            <w:tcBorders>
              <w:top w:val="single" w:color="000000" w:sz="4" w:space="0"/>
              <w:left w:val="single" w:color="000000" w:sz="4" w:space="0"/>
              <w:bottom w:val="single" w:color="000000" w:sz="4" w:space="0"/>
              <w:right w:val="single" w:color="000000" w:sz="4" w:space="0"/>
            </w:tcBorders>
            <w:noWrap/>
            <w:vAlign w:val="center"/>
          </w:tcPr>
          <w:p w14:paraId="514DD971">
            <w:pPr>
              <w:spacing w:line="360" w:lineRule="auto"/>
              <w:jc w:val="center"/>
              <w:rPr>
                <w:color w:val="auto"/>
                <w:kern w:val="0"/>
                <w:sz w:val="24"/>
                <w:highlight w:val="none"/>
              </w:rPr>
            </w:pPr>
            <w:r>
              <w:rPr>
                <w:rFonts w:hint="eastAsia"/>
                <w:color w:val="auto"/>
                <w:kern w:val="0"/>
                <w:sz w:val="24"/>
                <w:highlight w:val="none"/>
              </w:rPr>
              <w:t>智能气象传感器</w:t>
            </w:r>
          </w:p>
        </w:tc>
        <w:tc>
          <w:tcPr>
            <w:tcW w:w="2974" w:type="dxa"/>
            <w:tcBorders>
              <w:top w:val="single" w:color="000000" w:sz="4" w:space="0"/>
              <w:left w:val="single" w:color="000000" w:sz="4" w:space="0"/>
              <w:bottom w:val="single" w:color="000000" w:sz="4" w:space="0"/>
              <w:right w:val="single" w:color="000000" w:sz="4" w:space="0"/>
            </w:tcBorders>
            <w:noWrap/>
            <w:vAlign w:val="center"/>
          </w:tcPr>
          <w:p w14:paraId="329BA383">
            <w:pPr>
              <w:spacing w:line="360" w:lineRule="auto"/>
              <w:jc w:val="center"/>
              <w:rPr>
                <w:color w:val="auto"/>
                <w:kern w:val="0"/>
                <w:sz w:val="24"/>
                <w:highlight w:val="none"/>
              </w:rPr>
            </w:pPr>
            <w:r>
              <w:rPr>
                <w:rFonts w:hint="eastAsia"/>
                <w:color w:val="auto"/>
                <w:kern w:val="0"/>
                <w:sz w:val="24"/>
                <w:highlight w:val="none"/>
              </w:rPr>
              <w:t>lufft ws500</w:t>
            </w:r>
          </w:p>
        </w:tc>
        <w:tc>
          <w:tcPr>
            <w:tcW w:w="857" w:type="dxa"/>
            <w:tcBorders>
              <w:top w:val="single" w:color="000000" w:sz="4" w:space="0"/>
              <w:left w:val="single" w:color="000000" w:sz="4" w:space="0"/>
              <w:bottom w:val="single" w:color="000000" w:sz="4" w:space="0"/>
              <w:right w:val="single" w:color="000000" w:sz="4" w:space="0"/>
            </w:tcBorders>
            <w:noWrap/>
            <w:vAlign w:val="center"/>
          </w:tcPr>
          <w:p w14:paraId="17DC9BCE">
            <w:pPr>
              <w:spacing w:line="360" w:lineRule="auto"/>
              <w:jc w:val="center"/>
              <w:rPr>
                <w:color w:val="auto"/>
                <w:kern w:val="0"/>
                <w:sz w:val="24"/>
                <w:highlight w:val="none"/>
              </w:rPr>
            </w:pPr>
            <w:r>
              <w:rPr>
                <w:rFonts w:hint="eastAsia"/>
                <w:color w:val="auto"/>
                <w:kern w:val="0"/>
                <w:sz w:val="24"/>
                <w:highlight w:val="none"/>
              </w:rPr>
              <w:t>1</w:t>
            </w:r>
          </w:p>
        </w:tc>
        <w:tc>
          <w:tcPr>
            <w:tcW w:w="738" w:type="dxa"/>
            <w:tcBorders>
              <w:top w:val="single" w:color="000000" w:sz="4" w:space="0"/>
              <w:left w:val="single" w:color="000000" w:sz="4" w:space="0"/>
              <w:bottom w:val="single" w:color="000000" w:sz="4" w:space="0"/>
              <w:right w:val="single" w:color="000000" w:sz="4" w:space="0"/>
            </w:tcBorders>
            <w:noWrap/>
            <w:vAlign w:val="center"/>
          </w:tcPr>
          <w:p w14:paraId="0551DEB1">
            <w:pPr>
              <w:spacing w:line="360" w:lineRule="auto"/>
              <w:jc w:val="center"/>
              <w:rPr>
                <w:color w:val="auto"/>
                <w:kern w:val="0"/>
                <w:sz w:val="24"/>
                <w:highlight w:val="none"/>
              </w:rPr>
            </w:pPr>
            <w:r>
              <w:rPr>
                <w:rFonts w:hint="eastAsia"/>
                <w:color w:val="auto"/>
                <w:kern w:val="0"/>
                <w:sz w:val="24"/>
                <w:highlight w:val="none"/>
              </w:rPr>
              <w:t>套</w:t>
            </w:r>
          </w:p>
        </w:tc>
      </w:tr>
    </w:tbl>
    <w:p w14:paraId="0D860A84">
      <w:pPr>
        <w:spacing w:after="120" w:line="360" w:lineRule="auto"/>
        <w:rPr>
          <w:color w:val="auto"/>
          <w:sz w:val="24"/>
          <w:highlight w:val="none"/>
        </w:rPr>
      </w:pPr>
    </w:p>
    <w:p w14:paraId="6A4E2B10">
      <w:pPr>
        <w:spacing w:line="360" w:lineRule="auto"/>
        <w:jc w:val="center"/>
        <w:rPr>
          <w:b/>
          <w:color w:val="auto"/>
          <w:sz w:val="24"/>
          <w:highlight w:val="none"/>
        </w:rPr>
      </w:pPr>
      <w:r>
        <w:rPr>
          <w:b/>
          <w:color w:val="auto"/>
          <w:sz w:val="24"/>
          <w:highlight w:val="none"/>
        </w:rPr>
        <w:t>表6 临安大明山站仪器配置情况一览表</w:t>
      </w:r>
    </w:p>
    <w:tbl>
      <w:tblPr>
        <w:tblStyle w:val="62"/>
        <w:tblW w:w="7744" w:type="dxa"/>
        <w:jc w:val="center"/>
        <w:tblLayout w:type="fixed"/>
        <w:tblCellMar>
          <w:top w:w="0" w:type="dxa"/>
          <w:left w:w="108" w:type="dxa"/>
          <w:bottom w:w="0" w:type="dxa"/>
          <w:right w:w="108" w:type="dxa"/>
        </w:tblCellMar>
      </w:tblPr>
      <w:tblGrid>
        <w:gridCol w:w="919"/>
        <w:gridCol w:w="3527"/>
        <w:gridCol w:w="1623"/>
        <w:gridCol w:w="874"/>
        <w:gridCol w:w="801"/>
      </w:tblGrid>
      <w:tr w14:paraId="54D0B7E1">
        <w:tblPrEx>
          <w:tblCellMar>
            <w:top w:w="0" w:type="dxa"/>
            <w:left w:w="108" w:type="dxa"/>
            <w:bottom w:w="0" w:type="dxa"/>
            <w:right w:w="108" w:type="dxa"/>
          </w:tblCellMar>
        </w:tblPrEx>
        <w:trPr>
          <w:trHeight w:val="638" w:hRule="atLeast"/>
          <w:tblHeader/>
          <w:jc w:val="center"/>
        </w:trPr>
        <w:tc>
          <w:tcPr>
            <w:tcW w:w="919" w:type="dxa"/>
            <w:tcBorders>
              <w:top w:val="single" w:color="000000" w:sz="4" w:space="0"/>
              <w:left w:val="single" w:color="000000" w:sz="4" w:space="0"/>
              <w:bottom w:val="single" w:color="000000" w:sz="4" w:space="0"/>
              <w:right w:val="single" w:color="000000" w:sz="4" w:space="0"/>
            </w:tcBorders>
            <w:noWrap/>
            <w:vAlign w:val="center"/>
          </w:tcPr>
          <w:p w14:paraId="53D6FF18">
            <w:pPr>
              <w:spacing w:line="360" w:lineRule="auto"/>
              <w:jc w:val="center"/>
              <w:rPr>
                <w:color w:val="auto"/>
                <w:kern w:val="0"/>
                <w:sz w:val="24"/>
                <w:highlight w:val="none"/>
              </w:rPr>
            </w:pPr>
            <w:r>
              <w:rPr>
                <w:rFonts w:hint="eastAsia"/>
                <w:color w:val="auto"/>
                <w:kern w:val="0"/>
                <w:sz w:val="24"/>
                <w:highlight w:val="none"/>
              </w:rPr>
              <w:t>序号</w:t>
            </w:r>
          </w:p>
        </w:tc>
        <w:tc>
          <w:tcPr>
            <w:tcW w:w="3527" w:type="dxa"/>
            <w:tcBorders>
              <w:top w:val="single" w:color="000000" w:sz="4" w:space="0"/>
              <w:left w:val="single" w:color="000000" w:sz="4" w:space="0"/>
              <w:bottom w:val="single" w:color="000000" w:sz="4" w:space="0"/>
              <w:right w:val="single" w:color="000000" w:sz="4" w:space="0"/>
            </w:tcBorders>
            <w:noWrap/>
            <w:vAlign w:val="center"/>
          </w:tcPr>
          <w:p w14:paraId="7A052657">
            <w:pPr>
              <w:spacing w:line="360" w:lineRule="auto"/>
              <w:jc w:val="center"/>
              <w:rPr>
                <w:color w:val="auto"/>
                <w:kern w:val="0"/>
                <w:sz w:val="24"/>
                <w:highlight w:val="none"/>
              </w:rPr>
            </w:pPr>
            <w:r>
              <w:rPr>
                <w:rFonts w:hint="eastAsia"/>
                <w:color w:val="auto"/>
                <w:kern w:val="0"/>
                <w:sz w:val="24"/>
                <w:highlight w:val="none"/>
              </w:rPr>
              <w:t>设备名称</w:t>
            </w:r>
          </w:p>
        </w:tc>
        <w:tc>
          <w:tcPr>
            <w:tcW w:w="1623" w:type="dxa"/>
            <w:tcBorders>
              <w:top w:val="single" w:color="000000" w:sz="4" w:space="0"/>
              <w:left w:val="single" w:color="000000" w:sz="4" w:space="0"/>
              <w:bottom w:val="single" w:color="000000" w:sz="4" w:space="0"/>
              <w:right w:val="single" w:color="000000" w:sz="4" w:space="0"/>
            </w:tcBorders>
            <w:noWrap/>
            <w:vAlign w:val="center"/>
          </w:tcPr>
          <w:p w14:paraId="329CC3A7">
            <w:pPr>
              <w:spacing w:line="360" w:lineRule="auto"/>
              <w:jc w:val="center"/>
              <w:rPr>
                <w:color w:val="auto"/>
                <w:kern w:val="0"/>
                <w:sz w:val="24"/>
                <w:highlight w:val="none"/>
              </w:rPr>
            </w:pPr>
            <w:r>
              <w:rPr>
                <w:rFonts w:hint="eastAsia"/>
                <w:color w:val="auto"/>
                <w:kern w:val="0"/>
                <w:sz w:val="24"/>
                <w:highlight w:val="none"/>
              </w:rPr>
              <w:t>品牌型号</w:t>
            </w:r>
          </w:p>
        </w:tc>
        <w:tc>
          <w:tcPr>
            <w:tcW w:w="874" w:type="dxa"/>
            <w:tcBorders>
              <w:top w:val="single" w:color="000000" w:sz="4" w:space="0"/>
              <w:left w:val="single" w:color="000000" w:sz="4" w:space="0"/>
              <w:bottom w:val="single" w:color="000000" w:sz="4" w:space="0"/>
              <w:right w:val="single" w:color="000000" w:sz="4" w:space="0"/>
            </w:tcBorders>
            <w:noWrap/>
            <w:vAlign w:val="center"/>
          </w:tcPr>
          <w:p w14:paraId="430AB4CF">
            <w:pPr>
              <w:spacing w:line="360" w:lineRule="auto"/>
              <w:jc w:val="center"/>
              <w:rPr>
                <w:color w:val="auto"/>
                <w:kern w:val="0"/>
                <w:sz w:val="24"/>
                <w:highlight w:val="none"/>
              </w:rPr>
            </w:pPr>
            <w:r>
              <w:rPr>
                <w:rFonts w:hint="eastAsia"/>
                <w:color w:val="auto"/>
                <w:kern w:val="0"/>
                <w:sz w:val="24"/>
                <w:highlight w:val="none"/>
              </w:rPr>
              <w:t>数量</w:t>
            </w:r>
          </w:p>
        </w:tc>
        <w:tc>
          <w:tcPr>
            <w:tcW w:w="801" w:type="dxa"/>
            <w:tcBorders>
              <w:top w:val="single" w:color="000000" w:sz="4" w:space="0"/>
              <w:left w:val="single" w:color="000000" w:sz="4" w:space="0"/>
              <w:bottom w:val="single" w:color="000000" w:sz="4" w:space="0"/>
              <w:right w:val="single" w:color="000000" w:sz="4" w:space="0"/>
            </w:tcBorders>
            <w:noWrap/>
            <w:vAlign w:val="center"/>
          </w:tcPr>
          <w:p w14:paraId="0CC74C8F">
            <w:pPr>
              <w:spacing w:line="360" w:lineRule="auto"/>
              <w:jc w:val="center"/>
              <w:rPr>
                <w:color w:val="auto"/>
                <w:kern w:val="0"/>
                <w:sz w:val="24"/>
                <w:highlight w:val="none"/>
              </w:rPr>
            </w:pPr>
            <w:r>
              <w:rPr>
                <w:rFonts w:hint="eastAsia"/>
                <w:color w:val="auto"/>
                <w:kern w:val="0"/>
                <w:sz w:val="24"/>
                <w:highlight w:val="none"/>
              </w:rPr>
              <w:t>单位</w:t>
            </w:r>
          </w:p>
        </w:tc>
      </w:tr>
      <w:tr w14:paraId="3FBF8C76">
        <w:tblPrEx>
          <w:tblCellMar>
            <w:top w:w="0" w:type="dxa"/>
            <w:left w:w="108" w:type="dxa"/>
            <w:bottom w:w="0" w:type="dxa"/>
            <w:right w:w="108" w:type="dxa"/>
          </w:tblCellMar>
        </w:tblPrEx>
        <w:trPr>
          <w:trHeight w:val="567" w:hRule="atLeast"/>
          <w:jc w:val="center"/>
        </w:trPr>
        <w:tc>
          <w:tcPr>
            <w:tcW w:w="919" w:type="dxa"/>
            <w:tcBorders>
              <w:top w:val="single" w:color="000000" w:sz="4" w:space="0"/>
              <w:left w:val="single" w:color="000000" w:sz="4" w:space="0"/>
              <w:bottom w:val="single" w:color="000000" w:sz="4" w:space="0"/>
              <w:right w:val="single" w:color="000000" w:sz="4" w:space="0"/>
            </w:tcBorders>
            <w:noWrap/>
            <w:vAlign w:val="center"/>
          </w:tcPr>
          <w:p w14:paraId="662B19D6">
            <w:pPr>
              <w:spacing w:line="360" w:lineRule="auto"/>
              <w:jc w:val="center"/>
              <w:rPr>
                <w:color w:val="auto"/>
                <w:kern w:val="0"/>
                <w:sz w:val="24"/>
                <w:highlight w:val="none"/>
              </w:rPr>
            </w:pPr>
            <w:r>
              <w:rPr>
                <w:rFonts w:hint="eastAsia"/>
                <w:color w:val="auto"/>
                <w:kern w:val="0"/>
                <w:sz w:val="24"/>
                <w:highlight w:val="none"/>
              </w:rPr>
              <w:t>1</w:t>
            </w:r>
          </w:p>
        </w:tc>
        <w:tc>
          <w:tcPr>
            <w:tcW w:w="3527" w:type="dxa"/>
            <w:tcBorders>
              <w:top w:val="single" w:color="000000" w:sz="4" w:space="0"/>
              <w:left w:val="single" w:color="000000" w:sz="4" w:space="0"/>
              <w:bottom w:val="single" w:color="000000" w:sz="4" w:space="0"/>
              <w:right w:val="single" w:color="000000" w:sz="4" w:space="0"/>
            </w:tcBorders>
            <w:noWrap/>
            <w:vAlign w:val="center"/>
          </w:tcPr>
          <w:p w14:paraId="1E8B248D">
            <w:pPr>
              <w:spacing w:line="360" w:lineRule="auto"/>
              <w:jc w:val="center"/>
              <w:rPr>
                <w:color w:val="auto"/>
                <w:kern w:val="0"/>
                <w:sz w:val="24"/>
                <w:highlight w:val="none"/>
              </w:rPr>
            </w:pPr>
            <w:r>
              <w:rPr>
                <w:rFonts w:hint="eastAsia"/>
                <w:color w:val="auto"/>
                <w:kern w:val="0"/>
                <w:sz w:val="24"/>
                <w:highlight w:val="none"/>
              </w:rPr>
              <w:t>高精度N</w:t>
            </w:r>
            <w:r>
              <w:rPr>
                <w:rFonts w:hint="eastAsia"/>
                <w:color w:val="auto"/>
                <w:kern w:val="0"/>
                <w:sz w:val="24"/>
                <w:highlight w:val="none"/>
                <w:vertAlign w:val="subscript"/>
              </w:rPr>
              <w:t>2</w:t>
            </w:r>
            <w:r>
              <w:rPr>
                <w:rFonts w:hint="eastAsia"/>
                <w:color w:val="auto"/>
                <w:kern w:val="0"/>
                <w:sz w:val="24"/>
                <w:highlight w:val="none"/>
              </w:rPr>
              <w:t>O、CO温室气体分析仪</w:t>
            </w:r>
          </w:p>
        </w:tc>
        <w:tc>
          <w:tcPr>
            <w:tcW w:w="1623" w:type="dxa"/>
            <w:tcBorders>
              <w:top w:val="single" w:color="000000" w:sz="4" w:space="0"/>
              <w:left w:val="single" w:color="000000" w:sz="4" w:space="0"/>
              <w:bottom w:val="single" w:color="000000" w:sz="4" w:space="0"/>
              <w:right w:val="single" w:color="000000" w:sz="4" w:space="0"/>
            </w:tcBorders>
            <w:noWrap/>
            <w:vAlign w:val="center"/>
          </w:tcPr>
          <w:p w14:paraId="5B05E7B9">
            <w:pPr>
              <w:spacing w:line="360" w:lineRule="auto"/>
              <w:jc w:val="center"/>
              <w:rPr>
                <w:color w:val="auto"/>
                <w:kern w:val="0"/>
                <w:sz w:val="24"/>
                <w:highlight w:val="none"/>
              </w:rPr>
            </w:pPr>
            <w:r>
              <w:rPr>
                <w:rFonts w:hint="eastAsia"/>
                <w:color w:val="auto"/>
                <w:kern w:val="0"/>
                <w:sz w:val="24"/>
                <w:highlight w:val="none"/>
              </w:rPr>
              <w:t>PICARRO G5310</w:t>
            </w:r>
          </w:p>
        </w:tc>
        <w:tc>
          <w:tcPr>
            <w:tcW w:w="874" w:type="dxa"/>
            <w:tcBorders>
              <w:top w:val="single" w:color="000000" w:sz="4" w:space="0"/>
              <w:left w:val="single" w:color="000000" w:sz="4" w:space="0"/>
              <w:bottom w:val="single" w:color="000000" w:sz="4" w:space="0"/>
              <w:right w:val="single" w:color="000000" w:sz="4" w:space="0"/>
            </w:tcBorders>
            <w:noWrap/>
            <w:vAlign w:val="center"/>
          </w:tcPr>
          <w:p w14:paraId="0C978E62">
            <w:pPr>
              <w:spacing w:line="360" w:lineRule="auto"/>
              <w:jc w:val="center"/>
              <w:rPr>
                <w:color w:val="auto"/>
                <w:kern w:val="0"/>
                <w:sz w:val="24"/>
                <w:highlight w:val="none"/>
              </w:rPr>
            </w:pPr>
            <w:r>
              <w:rPr>
                <w:rFonts w:hint="eastAsia"/>
                <w:color w:val="auto"/>
                <w:kern w:val="0"/>
                <w:sz w:val="24"/>
                <w:highlight w:val="none"/>
              </w:rPr>
              <w:t>1</w:t>
            </w:r>
          </w:p>
        </w:tc>
        <w:tc>
          <w:tcPr>
            <w:tcW w:w="801" w:type="dxa"/>
            <w:tcBorders>
              <w:top w:val="single" w:color="000000" w:sz="4" w:space="0"/>
              <w:left w:val="single" w:color="000000" w:sz="4" w:space="0"/>
              <w:bottom w:val="single" w:color="000000" w:sz="4" w:space="0"/>
              <w:right w:val="single" w:color="000000" w:sz="4" w:space="0"/>
            </w:tcBorders>
            <w:noWrap/>
            <w:vAlign w:val="center"/>
          </w:tcPr>
          <w:p w14:paraId="2D3E07D7">
            <w:pPr>
              <w:spacing w:line="360" w:lineRule="auto"/>
              <w:jc w:val="center"/>
              <w:rPr>
                <w:color w:val="auto"/>
                <w:kern w:val="0"/>
                <w:sz w:val="24"/>
                <w:highlight w:val="none"/>
              </w:rPr>
            </w:pPr>
            <w:r>
              <w:rPr>
                <w:rFonts w:hint="eastAsia"/>
                <w:color w:val="auto"/>
                <w:kern w:val="0"/>
                <w:sz w:val="24"/>
                <w:highlight w:val="none"/>
              </w:rPr>
              <w:t>台</w:t>
            </w:r>
          </w:p>
        </w:tc>
      </w:tr>
      <w:tr w14:paraId="30F2D9E6">
        <w:tblPrEx>
          <w:tblCellMar>
            <w:top w:w="0" w:type="dxa"/>
            <w:left w:w="108" w:type="dxa"/>
            <w:bottom w:w="0" w:type="dxa"/>
            <w:right w:w="108" w:type="dxa"/>
          </w:tblCellMar>
        </w:tblPrEx>
        <w:trPr>
          <w:trHeight w:val="567" w:hRule="atLeast"/>
          <w:jc w:val="center"/>
        </w:trPr>
        <w:tc>
          <w:tcPr>
            <w:tcW w:w="919" w:type="dxa"/>
            <w:tcBorders>
              <w:top w:val="single" w:color="000000" w:sz="4" w:space="0"/>
              <w:left w:val="single" w:color="000000" w:sz="4" w:space="0"/>
              <w:bottom w:val="single" w:color="000000" w:sz="4" w:space="0"/>
              <w:right w:val="single" w:color="000000" w:sz="4" w:space="0"/>
            </w:tcBorders>
            <w:noWrap/>
            <w:vAlign w:val="center"/>
          </w:tcPr>
          <w:p w14:paraId="327C5E0A">
            <w:pPr>
              <w:spacing w:line="360" w:lineRule="auto"/>
              <w:jc w:val="center"/>
              <w:rPr>
                <w:color w:val="auto"/>
                <w:kern w:val="0"/>
                <w:sz w:val="24"/>
                <w:highlight w:val="none"/>
              </w:rPr>
            </w:pPr>
            <w:r>
              <w:rPr>
                <w:rFonts w:hint="eastAsia"/>
                <w:color w:val="auto"/>
                <w:kern w:val="0"/>
                <w:sz w:val="24"/>
                <w:highlight w:val="none"/>
              </w:rPr>
              <w:t>2</w:t>
            </w:r>
          </w:p>
        </w:tc>
        <w:tc>
          <w:tcPr>
            <w:tcW w:w="3527" w:type="dxa"/>
            <w:tcBorders>
              <w:top w:val="single" w:color="000000" w:sz="4" w:space="0"/>
              <w:left w:val="single" w:color="000000" w:sz="4" w:space="0"/>
              <w:bottom w:val="single" w:color="000000" w:sz="4" w:space="0"/>
              <w:right w:val="single" w:color="000000" w:sz="4" w:space="0"/>
            </w:tcBorders>
            <w:noWrap/>
            <w:vAlign w:val="center"/>
          </w:tcPr>
          <w:p w14:paraId="683070EF">
            <w:pPr>
              <w:spacing w:line="360" w:lineRule="auto"/>
              <w:jc w:val="center"/>
              <w:rPr>
                <w:color w:val="auto"/>
                <w:kern w:val="0"/>
                <w:sz w:val="24"/>
                <w:highlight w:val="none"/>
              </w:rPr>
            </w:pPr>
            <w:r>
              <w:rPr>
                <w:rFonts w:hint="eastAsia"/>
                <w:color w:val="auto"/>
                <w:kern w:val="0"/>
                <w:sz w:val="24"/>
                <w:highlight w:val="none"/>
              </w:rPr>
              <w:t>流量计</w:t>
            </w:r>
          </w:p>
        </w:tc>
        <w:tc>
          <w:tcPr>
            <w:tcW w:w="1623" w:type="dxa"/>
            <w:tcBorders>
              <w:top w:val="single" w:color="000000" w:sz="4" w:space="0"/>
              <w:left w:val="single" w:color="000000" w:sz="4" w:space="0"/>
              <w:bottom w:val="single" w:color="000000" w:sz="4" w:space="0"/>
              <w:right w:val="single" w:color="000000" w:sz="4" w:space="0"/>
            </w:tcBorders>
            <w:noWrap/>
            <w:vAlign w:val="center"/>
          </w:tcPr>
          <w:p w14:paraId="25696FB8">
            <w:pPr>
              <w:spacing w:line="360" w:lineRule="auto"/>
              <w:jc w:val="center"/>
              <w:rPr>
                <w:color w:val="auto"/>
                <w:kern w:val="0"/>
                <w:sz w:val="24"/>
                <w:highlight w:val="none"/>
              </w:rPr>
            </w:pPr>
            <w:r>
              <w:rPr>
                <w:rFonts w:hint="eastAsia"/>
                <w:color w:val="auto"/>
                <w:kern w:val="0"/>
                <w:sz w:val="24"/>
                <w:highlight w:val="none"/>
              </w:rPr>
              <w:t>Omega FLR1202</w:t>
            </w:r>
          </w:p>
        </w:tc>
        <w:tc>
          <w:tcPr>
            <w:tcW w:w="874" w:type="dxa"/>
            <w:tcBorders>
              <w:top w:val="single" w:color="000000" w:sz="4" w:space="0"/>
              <w:left w:val="single" w:color="000000" w:sz="4" w:space="0"/>
              <w:bottom w:val="single" w:color="000000" w:sz="4" w:space="0"/>
              <w:right w:val="single" w:color="000000" w:sz="4" w:space="0"/>
            </w:tcBorders>
            <w:noWrap/>
            <w:vAlign w:val="center"/>
          </w:tcPr>
          <w:p w14:paraId="58EFB916">
            <w:pPr>
              <w:spacing w:line="360" w:lineRule="auto"/>
              <w:jc w:val="center"/>
              <w:rPr>
                <w:color w:val="auto"/>
                <w:kern w:val="0"/>
                <w:sz w:val="24"/>
                <w:highlight w:val="none"/>
              </w:rPr>
            </w:pPr>
            <w:r>
              <w:rPr>
                <w:rFonts w:hint="eastAsia"/>
                <w:color w:val="auto"/>
                <w:kern w:val="0"/>
                <w:sz w:val="24"/>
                <w:highlight w:val="none"/>
              </w:rPr>
              <w:t>1</w:t>
            </w:r>
          </w:p>
        </w:tc>
        <w:tc>
          <w:tcPr>
            <w:tcW w:w="801" w:type="dxa"/>
            <w:tcBorders>
              <w:top w:val="single" w:color="000000" w:sz="4" w:space="0"/>
              <w:left w:val="single" w:color="000000" w:sz="4" w:space="0"/>
              <w:bottom w:val="single" w:color="000000" w:sz="4" w:space="0"/>
              <w:right w:val="single" w:color="000000" w:sz="4" w:space="0"/>
            </w:tcBorders>
            <w:noWrap/>
            <w:vAlign w:val="center"/>
          </w:tcPr>
          <w:p w14:paraId="7F9C79A0">
            <w:pPr>
              <w:spacing w:line="360" w:lineRule="auto"/>
              <w:jc w:val="center"/>
              <w:rPr>
                <w:color w:val="auto"/>
                <w:kern w:val="0"/>
                <w:sz w:val="24"/>
                <w:highlight w:val="none"/>
              </w:rPr>
            </w:pPr>
            <w:r>
              <w:rPr>
                <w:rFonts w:hint="eastAsia"/>
                <w:color w:val="auto"/>
                <w:kern w:val="0"/>
                <w:sz w:val="24"/>
                <w:highlight w:val="none"/>
              </w:rPr>
              <w:t>台</w:t>
            </w:r>
          </w:p>
        </w:tc>
      </w:tr>
      <w:tr w14:paraId="63DC3E2E">
        <w:tblPrEx>
          <w:tblCellMar>
            <w:top w:w="0" w:type="dxa"/>
            <w:left w:w="108" w:type="dxa"/>
            <w:bottom w:w="0" w:type="dxa"/>
            <w:right w:w="108" w:type="dxa"/>
          </w:tblCellMar>
        </w:tblPrEx>
        <w:trPr>
          <w:trHeight w:val="567" w:hRule="atLeast"/>
          <w:jc w:val="center"/>
        </w:trPr>
        <w:tc>
          <w:tcPr>
            <w:tcW w:w="919" w:type="dxa"/>
            <w:tcBorders>
              <w:top w:val="single" w:color="000000" w:sz="4" w:space="0"/>
              <w:left w:val="single" w:color="000000" w:sz="4" w:space="0"/>
              <w:bottom w:val="single" w:color="000000" w:sz="4" w:space="0"/>
              <w:right w:val="single" w:color="000000" w:sz="4" w:space="0"/>
            </w:tcBorders>
            <w:noWrap/>
            <w:vAlign w:val="center"/>
          </w:tcPr>
          <w:p w14:paraId="6F9E203F">
            <w:pPr>
              <w:spacing w:line="360" w:lineRule="auto"/>
              <w:jc w:val="center"/>
              <w:rPr>
                <w:color w:val="auto"/>
                <w:kern w:val="0"/>
                <w:sz w:val="24"/>
                <w:highlight w:val="none"/>
              </w:rPr>
            </w:pPr>
            <w:r>
              <w:rPr>
                <w:rFonts w:hint="eastAsia"/>
                <w:color w:val="auto"/>
                <w:kern w:val="0"/>
                <w:sz w:val="24"/>
                <w:highlight w:val="none"/>
              </w:rPr>
              <w:t>3</w:t>
            </w:r>
          </w:p>
        </w:tc>
        <w:tc>
          <w:tcPr>
            <w:tcW w:w="3527" w:type="dxa"/>
            <w:tcBorders>
              <w:top w:val="single" w:color="000000" w:sz="4" w:space="0"/>
              <w:left w:val="single" w:color="000000" w:sz="4" w:space="0"/>
              <w:bottom w:val="single" w:color="000000" w:sz="4" w:space="0"/>
              <w:right w:val="single" w:color="000000" w:sz="4" w:space="0"/>
            </w:tcBorders>
            <w:noWrap/>
            <w:vAlign w:val="center"/>
          </w:tcPr>
          <w:p w14:paraId="20480CF8">
            <w:pPr>
              <w:spacing w:line="360" w:lineRule="auto"/>
              <w:jc w:val="center"/>
              <w:rPr>
                <w:color w:val="auto"/>
                <w:kern w:val="0"/>
                <w:sz w:val="24"/>
                <w:highlight w:val="none"/>
              </w:rPr>
            </w:pPr>
            <w:r>
              <w:rPr>
                <w:rFonts w:hint="eastAsia"/>
                <w:color w:val="auto"/>
                <w:kern w:val="0"/>
                <w:sz w:val="24"/>
                <w:highlight w:val="none"/>
              </w:rPr>
              <w:t>8口阀</w:t>
            </w:r>
          </w:p>
        </w:tc>
        <w:tc>
          <w:tcPr>
            <w:tcW w:w="1623" w:type="dxa"/>
            <w:tcBorders>
              <w:top w:val="single" w:color="000000" w:sz="4" w:space="0"/>
              <w:left w:val="single" w:color="000000" w:sz="4" w:space="0"/>
              <w:bottom w:val="single" w:color="000000" w:sz="4" w:space="0"/>
              <w:right w:val="single" w:color="000000" w:sz="4" w:space="0"/>
            </w:tcBorders>
            <w:noWrap/>
            <w:vAlign w:val="center"/>
          </w:tcPr>
          <w:p w14:paraId="07265825">
            <w:pPr>
              <w:spacing w:line="360" w:lineRule="auto"/>
              <w:jc w:val="center"/>
              <w:rPr>
                <w:color w:val="auto"/>
                <w:kern w:val="0"/>
                <w:sz w:val="24"/>
                <w:highlight w:val="none"/>
              </w:rPr>
            </w:pPr>
            <w:r>
              <w:rPr>
                <w:rFonts w:hint="eastAsia"/>
                <w:color w:val="auto"/>
                <w:kern w:val="0"/>
                <w:sz w:val="24"/>
                <w:highlight w:val="none"/>
              </w:rPr>
              <w:t>VICI 1/8 8通道</w:t>
            </w:r>
          </w:p>
        </w:tc>
        <w:tc>
          <w:tcPr>
            <w:tcW w:w="874" w:type="dxa"/>
            <w:tcBorders>
              <w:top w:val="single" w:color="000000" w:sz="4" w:space="0"/>
              <w:left w:val="single" w:color="000000" w:sz="4" w:space="0"/>
              <w:bottom w:val="single" w:color="000000" w:sz="4" w:space="0"/>
              <w:right w:val="single" w:color="000000" w:sz="4" w:space="0"/>
            </w:tcBorders>
            <w:noWrap/>
            <w:vAlign w:val="center"/>
          </w:tcPr>
          <w:p w14:paraId="651032F2">
            <w:pPr>
              <w:spacing w:line="360" w:lineRule="auto"/>
              <w:jc w:val="center"/>
              <w:rPr>
                <w:color w:val="auto"/>
                <w:kern w:val="0"/>
                <w:sz w:val="24"/>
                <w:highlight w:val="none"/>
              </w:rPr>
            </w:pPr>
            <w:r>
              <w:rPr>
                <w:rFonts w:hint="eastAsia"/>
                <w:color w:val="auto"/>
                <w:kern w:val="0"/>
                <w:sz w:val="24"/>
                <w:highlight w:val="none"/>
              </w:rPr>
              <w:t>1</w:t>
            </w:r>
          </w:p>
        </w:tc>
        <w:tc>
          <w:tcPr>
            <w:tcW w:w="801" w:type="dxa"/>
            <w:tcBorders>
              <w:top w:val="single" w:color="000000" w:sz="4" w:space="0"/>
              <w:left w:val="single" w:color="000000" w:sz="4" w:space="0"/>
              <w:bottom w:val="single" w:color="000000" w:sz="4" w:space="0"/>
              <w:right w:val="single" w:color="000000" w:sz="4" w:space="0"/>
            </w:tcBorders>
            <w:noWrap/>
            <w:vAlign w:val="center"/>
          </w:tcPr>
          <w:p w14:paraId="397F4DE6">
            <w:pPr>
              <w:spacing w:line="360" w:lineRule="auto"/>
              <w:jc w:val="center"/>
              <w:rPr>
                <w:color w:val="auto"/>
                <w:kern w:val="0"/>
                <w:sz w:val="24"/>
                <w:highlight w:val="none"/>
              </w:rPr>
            </w:pPr>
            <w:r>
              <w:rPr>
                <w:rFonts w:hint="eastAsia"/>
                <w:color w:val="auto"/>
                <w:kern w:val="0"/>
                <w:sz w:val="24"/>
                <w:highlight w:val="none"/>
              </w:rPr>
              <w:t>个</w:t>
            </w:r>
          </w:p>
        </w:tc>
      </w:tr>
    </w:tbl>
    <w:p w14:paraId="134A4B72">
      <w:pPr>
        <w:spacing w:line="360" w:lineRule="auto"/>
        <w:rPr>
          <w:color w:val="auto"/>
          <w:sz w:val="24"/>
          <w:highlight w:val="none"/>
        </w:rPr>
      </w:pPr>
    </w:p>
    <w:p w14:paraId="243D1B00">
      <w:pPr>
        <w:spacing w:line="360" w:lineRule="auto"/>
        <w:jc w:val="left"/>
        <w:rPr>
          <w:rFonts w:hint="eastAsia" w:ascii="宋体" w:hAnsi="宋体" w:cs="宋体"/>
          <w:b/>
          <w:color w:val="auto"/>
          <w:sz w:val="24"/>
          <w:highlight w:val="none"/>
        </w:rPr>
      </w:pPr>
      <w:r>
        <w:rPr>
          <w:rFonts w:hint="eastAsia" w:ascii="宋体" w:hAnsi="宋体" w:cs="宋体"/>
          <w:b/>
          <w:color w:val="auto"/>
          <w:sz w:val="24"/>
          <w:highlight w:val="none"/>
        </w:rPr>
        <w:t>二、运维技术服务要求</w:t>
      </w:r>
    </w:p>
    <w:p w14:paraId="57418685">
      <w:pPr>
        <w:spacing w:line="360" w:lineRule="auto"/>
        <w:ind w:firstLine="482" w:firstLineChars="200"/>
        <w:contextualSpacing/>
        <w:rPr>
          <w:rFonts w:hint="eastAsia" w:ascii="宋体" w:hAnsi="宋体" w:cs="宋体"/>
          <w:b/>
          <w:bCs/>
          <w:color w:val="auto"/>
          <w:sz w:val="24"/>
          <w:highlight w:val="none"/>
        </w:rPr>
      </w:pPr>
      <w:r>
        <w:rPr>
          <w:rFonts w:hint="eastAsia" w:ascii="宋体" w:hAnsi="宋体" w:cs="宋体"/>
          <w:b/>
          <w:bCs/>
          <w:color w:val="auto"/>
          <w:sz w:val="24"/>
          <w:highlight w:val="none"/>
        </w:rPr>
        <w:t>（一）项目实施规范</w:t>
      </w:r>
    </w:p>
    <w:p w14:paraId="07D28D03">
      <w:pPr>
        <w:spacing w:line="360" w:lineRule="auto"/>
        <w:ind w:firstLine="480" w:firstLineChars="200"/>
        <w:contextualSpacing/>
        <w:rPr>
          <w:rFonts w:hint="eastAsia" w:ascii="宋体" w:hAnsi="宋体" w:cs="宋体"/>
          <w:bCs/>
          <w:color w:val="auto"/>
          <w:sz w:val="24"/>
          <w:highlight w:val="none"/>
        </w:rPr>
      </w:pPr>
      <w:r>
        <w:rPr>
          <w:rFonts w:hint="eastAsia" w:ascii="宋体" w:hAnsi="宋体" w:cs="宋体"/>
          <w:bCs/>
          <w:color w:val="auto"/>
          <w:sz w:val="24"/>
          <w:highlight w:val="none"/>
        </w:rPr>
        <w:t>参考《环境空气温室气体及其示踪物（CO</w:t>
      </w:r>
      <w:r>
        <w:rPr>
          <w:rFonts w:hint="eastAsia" w:ascii="宋体" w:hAnsi="宋体" w:cs="宋体"/>
          <w:bCs/>
          <w:color w:val="auto"/>
          <w:sz w:val="24"/>
          <w:highlight w:val="none"/>
          <w:vertAlign w:val="subscript"/>
        </w:rPr>
        <w:t>2</w:t>
      </w:r>
      <w:r>
        <w:rPr>
          <w:rFonts w:hint="eastAsia" w:ascii="宋体" w:hAnsi="宋体" w:cs="宋体"/>
          <w:bCs/>
          <w:color w:val="auto"/>
          <w:sz w:val="24"/>
          <w:highlight w:val="none"/>
        </w:rPr>
        <w:t>、CH</w:t>
      </w:r>
      <w:r>
        <w:rPr>
          <w:rFonts w:hint="eastAsia" w:ascii="宋体" w:hAnsi="宋体" w:cs="宋体"/>
          <w:bCs/>
          <w:color w:val="auto"/>
          <w:sz w:val="24"/>
          <w:highlight w:val="none"/>
          <w:vertAlign w:val="subscript"/>
        </w:rPr>
        <w:t>4</w:t>
      </w:r>
      <w:r>
        <w:rPr>
          <w:rFonts w:hint="eastAsia" w:ascii="宋体" w:hAnsi="宋体" w:cs="宋体"/>
          <w:bCs/>
          <w:color w:val="auto"/>
          <w:sz w:val="24"/>
          <w:highlight w:val="none"/>
        </w:rPr>
        <w:t>、N</w:t>
      </w:r>
      <w:r>
        <w:rPr>
          <w:rFonts w:hint="eastAsia" w:ascii="宋体" w:hAnsi="宋体" w:cs="宋体"/>
          <w:bCs/>
          <w:color w:val="auto"/>
          <w:sz w:val="24"/>
          <w:highlight w:val="none"/>
          <w:vertAlign w:val="subscript"/>
        </w:rPr>
        <w:t>2</w:t>
      </w:r>
      <w:r>
        <w:rPr>
          <w:rFonts w:hint="eastAsia" w:ascii="宋体" w:hAnsi="宋体" w:cs="宋体"/>
          <w:bCs/>
          <w:color w:val="auto"/>
          <w:sz w:val="24"/>
          <w:highlight w:val="none"/>
        </w:rPr>
        <w:t>O和CO）光腔衰荡光谱法连续自动监测系统运行和质控技术指南（第一版）》、《环境空气温室气体及其示踪物（CO</w:t>
      </w:r>
      <w:r>
        <w:rPr>
          <w:rFonts w:hint="eastAsia" w:ascii="宋体" w:hAnsi="宋体" w:cs="宋体"/>
          <w:bCs/>
          <w:color w:val="auto"/>
          <w:sz w:val="24"/>
          <w:highlight w:val="none"/>
          <w:vertAlign w:val="subscript"/>
        </w:rPr>
        <w:t>2</w:t>
      </w:r>
      <w:r>
        <w:rPr>
          <w:rFonts w:hint="eastAsia" w:ascii="宋体" w:hAnsi="宋体" w:cs="宋体"/>
          <w:bCs/>
          <w:color w:val="auto"/>
          <w:sz w:val="24"/>
          <w:highlight w:val="none"/>
        </w:rPr>
        <w:t>、CH</w:t>
      </w:r>
      <w:r>
        <w:rPr>
          <w:rFonts w:hint="eastAsia" w:ascii="宋体" w:hAnsi="宋体" w:cs="宋体"/>
          <w:bCs/>
          <w:color w:val="auto"/>
          <w:sz w:val="24"/>
          <w:highlight w:val="none"/>
          <w:vertAlign w:val="subscript"/>
        </w:rPr>
        <w:t>4</w:t>
      </w:r>
      <w:r>
        <w:rPr>
          <w:rFonts w:hint="eastAsia" w:ascii="宋体" w:hAnsi="宋体" w:cs="宋体"/>
          <w:bCs/>
          <w:color w:val="auto"/>
          <w:sz w:val="24"/>
          <w:highlight w:val="none"/>
        </w:rPr>
        <w:t>、N</w:t>
      </w:r>
      <w:r>
        <w:rPr>
          <w:rFonts w:hint="eastAsia" w:ascii="宋体" w:hAnsi="宋体" w:cs="宋体"/>
          <w:bCs/>
          <w:color w:val="auto"/>
          <w:sz w:val="24"/>
          <w:highlight w:val="none"/>
          <w:vertAlign w:val="subscript"/>
        </w:rPr>
        <w:t>2</w:t>
      </w:r>
      <w:r>
        <w:rPr>
          <w:rFonts w:hint="eastAsia" w:ascii="宋体" w:hAnsi="宋体" w:cs="宋体"/>
          <w:bCs/>
          <w:color w:val="auto"/>
          <w:sz w:val="24"/>
          <w:highlight w:val="none"/>
        </w:rPr>
        <w:t>O和CO）连续自动监测采样系统技术要求（第一版）》、《环境空气温室气体（CO</w:t>
      </w:r>
      <w:r>
        <w:rPr>
          <w:rFonts w:hint="eastAsia" w:ascii="宋体" w:hAnsi="宋体" w:cs="宋体"/>
          <w:bCs/>
          <w:color w:val="auto"/>
          <w:sz w:val="24"/>
          <w:highlight w:val="none"/>
          <w:vertAlign w:val="subscript"/>
        </w:rPr>
        <w:t>2</w:t>
      </w:r>
      <w:r>
        <w:rPr>
          <w:rFonts w:hint="eastAsia" w:ascii="宋体" w:hAnsi="宋体" w:cs="宋体"/>
          <w:bCs/>
          <w:color w:val="auto"/>
          <w:sz w:val="24"/>
          <w:highlight w:val="none"/>
        </w:rPr>
        <w:t>、CH</w:t>
      </w:r>
      <w:r>
        <w:rPr>
          <w:rFonts w:hint="eastAsia" w:ascii="宋体" w:hAnsi="宋体" w:cs="宋体"/>
          <w:bCs/>
          <w:color w:val="auto"/>
          <w:sz w:val="24"/>
          <w:highlight w:val="none"/>
          <w:vertAlign w:val="subscript"/>
        </w:rPr>
        <w:t>4</w:t>
      </w:r>
      <w:r>
        <w:rPr>
          <w:rFonts w:hint="eastAsia" w:ascii="宋体" w:hAnsi="宋体" w:cs="宋体"/>
          <w:bCs/>
          <w:color w:val="auto"/>
          <w:sz w:val="24"/>
          <w:highlight w:val="none"/>
        </w:rPr>
        <w:t>、N</w:t>
      </w:r>
      <w:r>
        <w:rPr>
          <w:rFonts w:hint="eastAsia" w:ascii="宋体" w:hAnsi="宋体" w:cs="宋体"/>
          <w:bCs/>
          <w:color w:val="auto"/>
          <w:sz w:val="24"/>
          <w:highlight w:val="none"/>
          <w:vertAlign w:val="subscript"/>
        </w:rPr>
        <w:t>2</w:t>
      </w:r>
      <w:r>
        <w:rPr>
          <w:rFonts w:hint="eastAsia" w:ascii="宋体" w:hAnsi="宋体" w:cs="宋体"/>
          <w:bCs/>
          <w:color w:val="auto"/>
          <w:sz w:val="24"/>
          <w:highlight w:val="none"/>
        </w:rPr>
        <w:t>O）光腔衰荡光谱法连续自动监测系统运行和质控技术规范》（T/HZAEPI 005-2024）等要求进行运行维护及管理。</w:t>
      </w:r>
    </w:p>
    <w:p w14:paraId="337866C3">
      <w:pPr>
        <w:spacing w:line="360" w:lineRule="auto"/>
        <w:ind w:firstLine="482" w:firstLineChars="200"/>
        <w:contextualSpacing/>
        <w:rPr>
          <w:rFonts w:hint="eastAsia" w:ascii="宋体" w:hAnsi="宋体" w:cs="宋体"/>
          <w:b/>
          <w:bCs/>
          <w:color w:val="auto"/>
          <w:sz w:val="24"/>
          <w:highlight w:val="none"/>
        </w:rPr>
      </w:pPr>
      <w:r>
        <w:rPr>
          <w:rFonts w:hint="eastAsia" w:ascii="宋体" w:hAnsi="宋体" w:cs="宋体"/>
          <w:b/>
          <w:bCs/>
          <w:color w:val="auto"/>
          <w:sz w:val="24"/>
          <w:highlight w:val="none"/>
        </w:rPr>
        <w:t>（二）总体要求</w:t>
      </w:r>
    </w:p>
    <w:p w14:paraId="2D0B02EF">
      <w:pPr>
        <w:spacing w:line="360" w:lineRule="auto"/>
        <w:ind w:firstLine="482" w:firstLineChars="200"/>
        <w:contextualSpacing/>
        <w:rPr>
          <w:rFonts w:hint="eastAsia" w:ascii="宋体" w:hAnsi="宋体" w:cs="宋体"/>
          <w:b/>
          <w:bCs/>
          <w:color w:val="auto"/>
          <w:sz w:val="24"/>
          <w:highlight w:val="none"/>
        </w:rPr>
      </w:pPr>
      <w:r>
        <w:rPr>
          <w:rFonts w:hint="eastAsia" w:ascii="宋体" w:hAnsi="宋体" w:cs="宋体"/>
          <w:b/>
          <w:bCs/>
          <w:color w:val="auto"/>
          <w:sz w:val="24"/>
          <w:highlight w:val="none"/>
        </w:rPr>
        <w:t>1、对运维单位的要求：</w:t>
      </w:r>
    </w:p>
    <w:p w14:paraId="1A7C583A">
      <w:pPr>
        <w:spacing w:line="360" w:lineRule="auto"/>
        <w:ind w:firstLine="480" w:firstLineChars="200"/>
        <w:contextualSpacing/>
        <w:rPr>
          <w:rFonts w:hint="eastAsia" w:ascii="宋体" w:hAnsi="宋体" w:cs="宋体"/>
          <w:bCs/>
          <w:color w:val="auto"/>
          <w:sz w:val="24"/>
          <w:highlight w:val="none"/>
        </w:rPr>
      </w:pPr>
      <w:r>
        <w:rPr>
          <w:rFonts w:hint="eastAsia" w:ascii="宋体" w:hAnsi="宋体" w:cs="宋体"/>
          <w:bCs/>
          <w:color w:val="auto"/>
          <w:sz w:val="24"/>
          <w:highlight w:val="none"/>
        </w:rPr>
        <w:t>1.1投标人要求聘用足够的专业技术人员，专业技术人员队伍应保持相对稳定，并提供聘用合同。应至少为本项目配置3名具有2年以上相关运维工作经验的专业技术人员（1名为项目负责人，1名为设备运维人员，1名为数据审核人员）和1辆运维车辆。运维车辆必须为项目专用。</w:t>
      </w:r>
    </w:p>
    <w:p w14:paraId="2F5174E6">
      <w:pPr>
        <w:spacing w:line="360" w:lineRule="auto"/>
        <w:ind w:firstLine="482" w:firstLineChars="200"/>
        <w:contextualSpacing/>
        <w:rPr>
          <w:rFonts w:hint="eastAsia" w:ascii="宋体" w:hAnsi="宋体" w:cs="宋体"/>
          <w:b/>
          <w:color w:val="auto"/>
          <w:sz w:val="24"/>
          <w:highlight w:val="none"/>
        </w:rPr>
      </w:pPr>
      <w:r>
        <w:rPr>
          <w:rFonts w:hint="eastAsia" w:ascii="宋体" w:hAnsi="宋体" w:cs="宋体"/>
          <w:b/>
          <w:color w:val="auto"/>
          <w:sz w:val="24"/>
          <w:highlight w:val="none"/>
        </w:rPr>
        <w:t>项目团队人员要求：</w:t>
      </w:r>
    </w:p>
    <w:p w14:paraId="62FE6E80">
      <w:pPr>
        <w:spacing w:line="360" w:lineRule="auto"/>
        <w:ind w:firstLine="480" w:firstLineChars="200"/>
        <w:contextualSpacing/>
        <w:rPr>
          <w:rFonts w:hint="eastAsia" w:ascii="宋体" w:hAnsi="宋体" w:cs="宋体"/>
          <w:bCs/>
          <w:color w:val="auto"/>
          <w:sz w:val="24"/>
          <w:highlight w:val="none"/>
        </w:rPr>
      </w:pPr>
      <w:r>
        <w:rPr>
          <w:rFonts w:hint="eastAsia" w:ascii="宋体" w:hAnsi="宋体" w:cs="宋体"/>
          <w:bCs/>
          <w:color w:val="auto"/>
          <w:sz w:val="24"/>
          <w:highlight w:val="none"/>
        </w:rPr>
        <w:t>1）项目负责人：具有2年以上相关项目管理经验；</w:t>
      </w:r>
    </w:p>
    <w:p w14:paraId="55E20143">
      <w:pPr>
        <w:spacing w:line="360" w:lineRule="auto"/>
        <w:ind w:firstLine="480" w:firstLineChars="200"/>
        <w:contextualSpacing/>
        <w:rPr>
          <w:rFonts w:hint="eastAsia" w:ascii="宋体" w:hAnsi="宋体" w:cs="宋体"/>
          <w:bCs/>
          <w:color w:val="auto"/>
          <w:sz w:val="24"/>
          <w:highlight w:val="none"/>
        </w:rPr>
      </w:pPr>
      <w:r>
        <w:rPr>
          <w:rFonts w:hint="eastAsia" w:ascii="宋体" w:hAnsi="宋体" w:cs="宋体"/>
          <w:bCs/>
          <w:color w:val="auto"/>
          <w:sz w:val="24"/>
          <w:highlight w:val="none"/>
        </w:rPr>
        <w:t>2）项目团队成员：不少于3人，具有2年以上相关运维工作经验的专业技术人员，其中高精度温室气体监测网络运维人员需具备光腔衰荡光谱分析仪运行及维护经验，能敏感识别仪器和数据异常情况；数据审核人员需具有高精度温室气体监测数据审核工作经验。</w:t>
      </w:r>
    </w:p>
    <w:p w14:paraId="5A573C3B">
      <w:pPr>
        <w:spacing w:line="360" w:lineRule="auto"/>
        <w:ind w:firstLine="480" w:firstLineChars="200"/>
        <w:contextualSpacing/>
        <w:rPr>
          <w:rFonts w:hint="eastAsia" w:ascii="宋体" w:hAnsi="宋体" w:cs="宋体"/>
          <w:bCs/>
          <w:color w:val="auto"/>
          <w:sz w:val="24"/>
          <w:highlight w:val="none"/>
        </w:rPr>
      </w:pPr>
      <w:r>
        <w:rPr>
          <w:rFonts w:hint="eastAsia" w:ascii="宋体" w:hAnsi="宋体" w:cs="宋体"/>
          <w:bCs/>
          <w:color w:val="auto"/>
          <w:sz w:val="24"/>
          <w:highlight w:val="none"/>
        </w:rPr>
        <w:t>1.2投标人应配备专用工具，包括笔记本电脑、万用表、流量计、工具包及常用零部件等；投标人应为运维和数据审核人员配备专用笔记本电脑和打印机等办公设施，以满足运维和数据审核需求。</w:t>
      </w:r>
    </w:p>
    <w:p w14:paraId="5FAE9BEB">
      <w:pPr>
        <w:spacing w:line="360" w:lineRule="auto"/>
        <w:ind w:firstLine="480" w:firstLineChars="200"/>
        <w:contextualSpacing/>
        <w:rPr>
          <w:rFonts w:hint="eastAsia" w:ascii="宋体" w:hAnsi="宋体" w:cs="宋体"/>
          <w:bCs/>
          <w:color w:val="auto"/>
          <w:sz w:val="24"/>
          <w:highlight w:val="none"/>
        </w:rPr>
      </w:pPr>
      <w:r>
        <w:rPr>
          <w:rFonts w:hint="eastAsia" w:ascii="宋体" w:hAnsi="宋体" w:cs="宋体"/>
          <w:bCs/>
          <w:color w:val="auto"/>
          <w:sz w:val="24"/>
          <w:highlight w:val="none"/>
        </w:rPr>
        <w:t>1.3投标人应为本项目配备足够的专用温室气体标气，满足高精度温室气体监测设备的质控要求，应溯源至我国温室气体测量基准标尺，并在有效期内使用；</w:t>
      </w:r>
    </w:p>
    <w:p w14:paraId="48A06335">
      <w:pPr>
        <w:spacing w:line="360" w:lineRule="auto"/>
        <w:ind w:firstLine="480" w:firstLineChars="200"/>
        <w:contextualSpacing/>
        <w:rPr>
          <w:rFonts w:hint="eastAsia" w:ascii="宋体" w:hAnsi="宋体" w:cs="宋体"/>
          <w:bCs/>
          <w:color w:val="auto"/>
          <w:sz w:val="24"/>
          <w:highlight w:val="none"/>
        </w:rPr>
      </w:pPr>
      <w:r>
        <w:rPr>
          <w:rFonts w:hint="eastAsia" w:ascii="宋体" w:hAnsi="宋体" w:cs="宋体"/>
          <w:bCs/>
          <w:color w:val="auto"/>
          <w:sz w:val="24"/>
          <w:highlight w:val="none"/>
        </w:rPr>
        <w:t>1.4投标人应掌握本项目所含高精度温室气体监测网络所有仪器的运行特性，运行维护专业技术人员必须掌握本项目所含主要分析仪器的日常维护、质量控制、数据审核和常见故障诊断方法。</w:t>
      </w:r>
    </w:p>
    <w:p w14:paraId="4C0AC41E">
      <w:pPr>
        <w:spacing w:line="360" w:lineRule="auto"/>
        <w:ind w:firstLine="480" w:firstLineChars="200"/>
        <w:contextualSpacing/>
        <w:rPr>
          <w:rFonts w:hint="eastAsia" w:ascii="宋体" w:hAnsi="宋体" w:cs="宋体"/>
          <w:bCs/>
          <w:color w:val="auto"/>
          <w:sz w:val="24"/>
          <w:highlight w:val="none"/>
        </w:rPr>
      </w:pPr>
      <w:r>
        <w:rPr>
          <w:rFonts w:hint="eastAsia" w:ascii="宋体" w:hAnsi="宋体" w:cs="宋体"/>
          <w:bCs/>
          <w:color w:val="auto"/>
          <w:sz w:val="24"/>
          <w:highlight w:val="none"/>
        </w:rPr>
        <w:t>1.5投标人应提供完整的杭州市高精度温室气体监测网络各站点运维实施方案（含应急事故处理方案），提出解决问题的措施，明确维护方法、周期、内容及技术保障（包含本项目所含主要分析设备的日常维护、质控和常见故障诊断方法）。</w:t>
      </w:r>
    </w:p>
    <w:p w14:paraId="541280E6">
      <w:pPr>
        <w:spacing w:line="360" w:lineRule="auto"/>
        <w:ind w:firstLine="480" w:firstLineChars="200"/>
        <w:contextualSpacing/>
        <w:rPr>
          <w:rFonts w:hint="eastAsia" w:ascii="宋体" w:hAnsi="宋体" w:cs="宋体"/>
          <w:bCs/>
          <w:color w:val="auto"/>
          <w:sz w:val="24"/>
          <w:highlight w:val="none"/>
        </w:rPr>
      </w:pPr>
      <w:r>
        <w:rPr>
          <w:rFonts w:hint="eastAsia" w:ascii="宋体" w:hAnsi="宋体" w:cs="宋体"/>
          <w:bCs/>
          <w:color w:val="auto"/>
          <w:sz w:val="24"/>
          <w:highlight w:val="none"/>
        </w:rPr>
        <w:t>1.6投标人有完善的管理制度及技术人员培训制度，指定项目负责人，并组织专职人员负责日常运营及质量管理。</w:t>
      </w:r>
    </w:p>
    <w:p w14:paraId="64E7D4C3">
      <w:pPr>
        <w:spacing w:line="360" w:lineRule="auto"/>
        <w:ind w:firstLine="480" w:firstLineChars="200"/>
        <w:contextualSpacing/>
        <w:rPr>
          <w:rFonts w:hint="eastAsia" w:ascii="宋体" w:hAnsi="宋体" w:cs="宋体"/>
          <w:bCs/>
          <w:color w:val="auto"/>
          <w:sz w:val="24"/>
          <w:highlight w:val="none"/>
        </w:rPr>
      </w:pPr>
      <w:r>
        <w:rPr>
          <w:rFonts w:hint="eastAsia" w:ascii="宋体" w:hAnsi="宋体" w:cs="宋体"/>
          <w:bCs/>
          <w:color w:val="auto"/>
          <w:sz w:val="24"/>
          <w:highlight w:val="none"/>
        </w:rPr>
        <w:t>1.7投标人应严格按照各级环保部门和采购人制订的操作规范和规章制度，对所管理的系统及仪器设备进行规范操作和精心维护及必要维修，保证系统及仪器设备的正常运行，达到采购人提出的系统及仪器设备考核指标要求。未经采购人同意不能以任何形式外包合同规定的运行维护任务。投标人应积极协助采购人完成生态环境部、总站和省中心等对高精度温室气体监测站点运行检查及考核工作。</w:t>
      </w:r>
    </w:p>
    <w:p w14:paraId="2CDA3B8C">
      <w:pPr>
        <w:spacing w:line="360" w:lineRule="auto"/>
        <w:ind w:firstLine="480" w:firstLineChars="200"/>
        <w:contextualSpacing/>
        <w:rPr>
          <w:rFonts w:hint="eastAsia" w:ascii="宋体" w:hAnsi="宋体" w:cs="宋体"/>
          <w:bCs/>
          <w:color w:val="auto"/>
          <w:sz w:val="24"/>
          <w:highlight w:val="none"/>
        </w:rPr>
      </w:pPr>
      <w:bookmarkStart w:id="32" w:name="_Hlk126592446"/>
      <w:r>
        <w:rPr>
          <w:rFonts w:hint="eastAsia" w:ascii="宋体" w:hAnsi="宋体" w:cs="宋体"/>
          <w:bCs/>
          <w:color w:val="auto"/>
          <w:sz w:val="24"/>
          <w:highlight w:val="none"/>
        </w:rPr>
        <w:t>1.8投标人负责整个项目的所有相关费用，包括系统运行维护的备件、</w:t>
      </w:r>
      <w:bookmarkEnd w:id="32"/>
      <w:r>
        <w:rPr>
          <w:rFonts w:hint="eastAsia" w:ascii="宋体" w:hAnsi="宋体" w:cs="宋体"/>
          <w:bCs/>
          <w:color w:val="auto"/>
          <w:sz w:val="24"/>
          <w:highlight w:val="none"/>
        </w:rPr>
        <w:t>耗材、标气、人工、水电、网络、站房租用、铁塔挂塔费用及其安全相关、设备维修维护所需配件、工具、车辆等费用。</w:t>
      </w:r>
    </w:p>
    <w:p w14:paraId="4B2B2341">
      <w:pPr>
        <w:spacing w:line="360" w:lineRule="auto"/>
        <w:ind w:firstLine="480" w:firstLineChars="200"/>
        <w:contextualSpacing/>
        <w:rPr>
          <w:rFonts w:hint="eastAsia" w:ascii="宋体" w:hAnsi="宋体" w:cs="宋体"/>
          <w:bCs/>
          <w:color w:val="auto"/>
          <w:sz w:val="24"/>
          <w:highlight w:val="none"/>
        </w:rPr>
      </w:pPr>
      <w:r>
        <w:rPr>
          <w:rFonts w:hint="eastAsia" w:ascii="宋体" w:hAnsi="宋体" w:cs="宋体"/>
          <w:bCs/>
          <w:color w:val="auto"/>
          <w:sz w:val="24"/>
          <w:highlight w:val="none"/>
        </w:rPr>
        <w:t>1.9投标人不得以任何形式对高精度温室气体监测网络所涉及的资产进行租用、出售、抵押、转移或处置；在委托运营维护及管理期间，投标人有责任保证上述全部资产的完整、安全并始终处于良好状态。</w:t>
      </w:r>
    </w:p>
    <w:p w14:paraId="50F453B2">
      <w:pPr>
        <w:spacing w:line="360" w:lineRule="auto"/>
        <w:ind w:firstLine="480" w:firstLineChars="200"/>
        <w:contextualSpacing/>
        <w:rPr>
          <w:rFonts w:hint="eastAsia" w:ascii="宋体" w:hAnsi="宋体" w:cs="宋体"/>
          <w:bCs/>
          <w:color w:val="auto"/>
          <w:sz w:val="24"/>
          <w:highlight w:val="none"/>
        </w:rPr>
      </w:pPr>
      <w:r>
        <w:rPr>
          <w:rFonts w:hint="eastAsia" w:ascii="宋体" w:hAnsi="宋体" w:cs="宋体"/>
          <w:bCs/>
          <w:color w:val="auto"/>
          <w:sz w:val="24"/>
          <w:highlight w:val="none"/>
        </w:rPr>
        <w:t>1.10委托运维期间，出现监测数据异常、仪器故障或通讯故障，投标人应在要求时限内处理故障，并将处理结果反馈至采购人。</w:t>
      </w:r>
    </w:p>
    <w:p w14:paraId="483BC0C2">
      <w:pPr>
        <w:spacing w:line="360" w:lineRule="auto"/>
        <w:ind w:firstLine="482" w:firstLineChars="200"/>
        <w:contextualSpacing/>
        <w:rPr>
          <w:rFonts w:hint="eastAsia" w:ascii="宋体" w:hAnsi="宋体" w:cs="宋体"/>
          <w:b/>
          <w:color w:val="auto"/>
          <w:sz w:val="24"/>
          <w:highlight w:val="none"/>
        </w:rPr>
      </w:pPr>
      <w:r>
        <w:rPr>
          <w:rFonts w:hint="eastAsia" w:ascii="宋体" w:hAnsi="宋体" w:cs="宋体"/>
          <w:b/>
          <w:color w:val="auto"/>
          <w:sz w:val="24"/>
          <w:highlight w:val="none"/>
        </w:rPr>
        <w:t>1.11监测数据保密与网络安全要求</w:t>
      </w:r>
    </w:p>
    <w:p w14:paraId="375EBE4D">
      <w:pPr>
        <w:numPr>
          <w:ilvl w:val="0"/>
          <w:numId w:val="2"/>
        </w:numPr>
        <w:spacing w:line="360" w:lineRule="auto"/>
        <w:ind w:firstLine="480" w:firstLineChars="200"/>
        <w:contextualSpacing/>
        <w:rPr>
          <w:rFonts w:hint="eastAsia" w:ascii="宋体" w:hAnsi="宋体" w:cs="宋体"/>
          <w:bCs/>
          <w:color w:val="auto"/>
          <w:sz w:val="24"/>
          <w:highlight w:val="none"/>
        </w:rPr>
      </w:pPr>
      <w:r>
        <w:rPr>
          <w:rFonts w:hint="eastAsia" w:ascii="宋体" w:hAnsi="宋体" w:cs="宋体"/>
          <w:bCs/>
          <w:color w:val="auto"/>
          <w:sz w:val="24"/>
          <w:highlight w:val="none"/>
        </w:rPr>
        <w:t>投标人应承担监测数据的保密责任，</w:t>
      </w:r>
      <w:r>
        <w:rPr>
          <w:rFonts w:ascii="宋体" w:hAnsi="宋体" w:cs="宋体"/>
          <w:bCs/>
          <w:color w:val="auto"/>
          <w:sz w:val="24"/>
          <w:highlight w:val="none"/>
        </w:rPr>
        <w:t>应提供完善的数据安全和信息安全管理制度</w:t>
      </w:r>
      <w:r>
        <w:rPr>
          <w:rFonts w:hint="eastAsia" w:ascii="宋体" w:hAnsi="宋体" w:cs="宋体"/>
          <w:bCs/>
          <w:color w:val="auto"/>
          <w:sz w:val="24"/>
          <w:highlight w:val="none"/>
        </w:rPr>
        <w:t>（需要证明材料）</w:t>
      </w:r>
      <w:r>
        <w:rPr>
          <w:rFonts w:ascii="宋体" w:hAnsi="宋体" w:cs="宋体"/>
          <w:bCs/>
          <w:color w:val="auto"/>
          <w:sz w:val="24"/>
          <w:highlight w:val="none"/>
        </w:rPr>
        <w:t>。</w:t>
      </w:r>
    </w:p>
    <w:p w14:paraId="48B7520F">
      <w:pPr>
        <w:numPr>
          <w:ilvl w:val="0"/>
          <w:numId w:val="2"/>
        </w:numPr>
        <w:spacing w:line="360" w:lineRule="auto"/>
        <w:ind w:firstLine="480" w:firstLineChars="200"/>
        <w:contextualSpacing/>
        <w:rPr>
          <w:rFonts w:hint="eastAsia" w:ascii="宋体" w:hAnsi="宋体" w:cs="宋体"/>
          <w:bCs/>
          <w:color w:val="auto"/>
          <w:sz w:val="24"/>
          <w:highlight w:val="none"/>
        </w:rPr>
      </w:pPr>
      <w:r>
        <w:rPr>
          <w:rFonts w:hint="eastAsia" w:ascii="宋体" w:hAnsi="宋体" w:cs="宋体"/>
          <w:bCs/>
          <w:color w:val="auto"/>
          <w:sz w:val="24"/>
          <w:highlight w:val="none"/>
        </w:rPr>
        <w:t>投标人应按照采购人的要求，报告和传输监测数据，不得以任何方式和渠道向外界传递任何监测数据。</w:t>
      </w:r>
    </w:p>
    <w:p w14:paraId="3BD3EB3B">
      <w:pPr>
        <w:spacing w:line="360" w:lineRule="auto"/>
        <w:ind w:firstLine="480" w:firstLineChars="200"/>
        <w:contextualSpacing/>
        <w:rPr>
          <w:rFonts w:hint="eastAsia" w:ascii="宋体" w:hAnsi="宋体" w:cs="宋体"/>
          <w:bCs/>
          <w:color w:val="auto"/>
          <w:sz w:val="24"/>
          <w:highlight w:val="none"/>
        </w:rPr>
      </w:pPr>
      <w:r>
        <w:rPr>
          <w:rFonts w:ascii="宋体" w:hAnsi="宋体" w:cs="宋体"/>
          <w:bCs/>
          <w:color w:val="auto"/>
          <w:sz w:val="24"/>
          <w:highlight w:val="none"/>
        </w:rPr>
        <w:t>3</w:t>
      </w:r>
      <w:r>
        <w:rPr>
          <w:rFonts w:hint="eastAsia" w:ascii="宋体" w:hAnsi="宋体" w:cs="宋体"/>
          <w:bCs/>
          <w:color w:val="auto"/>
          <w:sz w:val="24"/>
          <w:highlight w:val="none"/>
        </w:rPr>
        <w:t>）投标人在服务期间发生网络安全重大问题的，应及时向采购人口头报告，随后进行书面报告。</w:t>
      </w:r>
    </w:p>
    <w:p w14:paraId="4BF411D9">
      <w:pPr>
        <w:spacing w:line="360" w:lineRule="auto"/>
        <w:ind w:firstLine="480" w:firstLineChars="200"/>
        <w:contextualSpacing/>
        <w:rPr>
          <w:rFonts w:hint="eastAsia" w:ascii="宋体" w:hAnsi="宋体" w:cs="宋体"/>
          <w:bCs/>
          <w:color w:val="auto"/>
          <w:sz w:val="24"/>
          <w:highlight w:val="none"/>
        </w:rPr>
      </w:pPr>
      <w:r>
        <w:rPr>
          <w:rFonts w:ascii="宋体" w:hAnsi="宋体" w:cs="宋体"/>
          <w:bCs/>
          <w:color w:val="auto"/>
          <w:sz w:val="24"/>
          <w:highlight w:val="none"/>
        </w:rPr>
        <w:t>4</w:t>
      </w:r>
      <w:r>
        <w:rPr>
          <w:rFonts w:hint="eastAsia" w:ascii="宋体" w:hAnsi="宋体" w:cs="宋体"/>
          <w:bCs/>
          <w:color w:val="auto"/>
          <w:sz w:val="24"/>
          <w:highlight w:val="none"/>
        </w:rPr>
        <w:t>）投标人不能在境外使用、处理和存储该项目所包含的数据。</w:t>
      </w:r>
    </w:p>
    <w:p w14:paraId="6D5D7C62">
      <w:pPr>
        <w:spacing w:line="360" w:lineRule="auto"/>
        <w:ind w:firstLine="480" w:firstLineChars="200"/>
        <w:contextualSpacing/>
        <w:rPr>
          <w:rFonts w:hint="eastAsia" w:ascii="宋体" w:hAnsi="宋体" w:cs="宋体"/>
          <w:bCs/>
          <w:color w:val="auto"/>
          <w:sz w:val="24"/>
          <w:highlight w:val="none"/>
        </w:rPr>
      </w:pPr>
      <w:r>
        <w:rPr>
          <w:rFonts w:ascii="宋体" w:hAnsi="宋体" w:cs="宋体"/>
          <w:bCs/>
          <w:color w:val="auto"/>
          <w:sz w:val="24"/>
          <w:highlight w:val="none"/>
        </w:rPr>
        <w:t>5</w:t>
      </w:r>
      <w:r>
        <w:rPr>
          <w:rFonts w:hint="eastAsia" w:ascii="宋体" w:hAnsi="宋体" w:cs="宋体"/>
          <w:bCs/>
          <w:color w:val="auto"/>
          <w:sz w:val="24"/>
          <w:highlight w:val="none"/>
        </w:rPr>
        <w:t>）投标人的项目人员应与采购人签署年度网络安全、保密等协议，项目相关人员离职或调离，应该完成工作交接并留有记录，确保相关人员知晓网络安全管理规定和岗位网络安全责任。</w:t>
      </w:r>
    </w:p>
    <w:p w14:paraId="3679B18A">
      <w:pPr>
        <w:spacing w:line="360" w:lineRule="auto"/>
        <w:ind w:firstLine="480" w:firstLineChars="200"/>
        <w:contextualSpacing/>
        <w:rPr>
          <w:rFonts w:hint="eastAsia" w:ascii="宋体" w:hAnsi="宋体" w:cs="宋体"/>
          <w:bCs/>
          <w:color w:val="auto"/>
          <w:sz w:val="24"/>
          <w:highlight w:val="none"/>
        </w:rPr>
      </w:pPr>
      <w:bookmarkStart w:id="33" w:name="_Hlk126592474"/>
      <w:r>
        <w:rPr>
          <w:rFonts w:ascii="宋体" w:hAnsi="宋体" w:cs="宋体"/>
          <w:bCs/>
          <w:color w:val="auto"/>
          <w:sz w:val="24"/>
          <w:highlight w:val="none"/>
        </w:rPr>
        <w:t>6</w:t>
      </w:r>
      <w:r>
        <w:rPr>
          <w:rFonts w:hint="eastAsia" w:ascii="宋体" w:hAnsi="宋体" w:cs="宋体"/>
          <w:bCs/>
          <w:color w:val="auto"/>
          <w:sz w:val="24"/>
          <w:highlight w:val="none"/>
        </w:rPr>
        <w:t>）投标人应按照采购人的要求通过安全的方式按照指定的要求传输相关数据到采购人指定的平台。运维期内，投标人承担网络通讯费用，未经采购人书面批准不得私自接入其他网络联通本项目网络。</w:t>
      </w:r>
    </w:p>
    <w:bookmarkEnd w:id="33"/>
    <w:p w14:paraId="759CD15F">
      <w:pPr>
        <w:spacing w:line="360" w:lineRule="auto"/>
        <w:ind w:firstLine="480" w:firstLineChars="200"/>
        <w:contextualSpacing/>
        <w:rPr>
          <w:rFonts w:hint="eastAsia" w:ascii="宋体" w:hAnsi="宋体" w:cs="宋体"/>
          <w:bCs/>
          <w:color w:val="auto"/>
          <w:sz w:val="24"/>
          <w:highlight w:val="none"/>
        </w:rPr>
      </w:pPr>
      <w:r>
        <w:rPr>
          <w:rFonts w:ascii="宋体" w:hAnsi="宋体" w:cs="宋体"/>
          <w:bCs/>
          <w:color w:val="auto"/>
          <w:sz w:val="24"/>
          <w:highlight w:val="none"/>
        </w:rPr>
        <w:t>7</w:t>
      </w:r>
      <w:r>
        <w:rPr>
          <w:rFonts w:hint="eastAsia" w:ascii="宋体" w:hAnsi="宋体" w:cs="宋体"/>
          <w:bCs/>
          <w:color w:val="auto"/>
          <w:sz w:val="24"/>
          <w:highlight w:val="none"/>
        </w:rPr>
        <w:t>）投标人应确保监测设备、数采平台、传输线路、监测数据等各个方面的网络信息安全。</w:t>
      </w:r>
      <w:bookmarkStart w:id="34" w:name="_Hlk126592519"/>
    </w:p>
    <w:p w14:paraId="1C192C57">
      <w:pPr>
        <w:spacing w:line="360" w:lineRule="auto"/>
        <w:ind w:firstLine="480" w:firstLineChars="200"/>
        <w:contextualSpacing/>
        <w:rPr>
          <w:rFonts w:hint="eastAsia" w:ascii="宋体" w:hAnsi="宋体" w:cs="宋体"/>
          <w:bCs/>
          <w:color w:val="auto"/>
          <w:sz w:val="24"/>
          <w:highlight w:val="none"/>
        </w:rPr>
      </w:pPr>
      <w:r>
        <w:rPr>
          <w:rFonts w:ascii="宋体" w:hAnsi="宋体" w:cs="宋体"/>
          <w:bCs/>
          <w:color w:val="auto"/>
          <w:sz w:val="24"/>
          <w:highlight w:val="none"/>
        </w:rPr>
        <w:t>8)投标人如违反上述保密规定，采购人有权终止合同，并要求中标方承担相应违约责任，并支付违约金，违约金最高限价为合同金额的20%。本保密义务不因本项目合同期满、解除或终止而终止，除非采购人书面通知投标人解密，否则，投标人在合同终止后仍然负有保密义务。</w:t>
      </w:r>
    </w:p>
    <w:bookmarkEnd w:id="34"/>
    <w:p w14:paraId="0CC6BEC7">
      <w:pPr>
        <w:spacing w:line="360" w:lineRule="auto"/>
        <w:ind w:firstLine="482" w:firstLineChars="200"/>
        <w:contextualSpacing/>
        <w:rPr>
          <w:rFonts w:hint="eastAsia" w:ascii="宋体" w:hAnsi="宋体" w:cs="宋体"/>
          <w:b/>
          <w:bCs/>
          <w:color w:val="auto"/>
          <w:sz w:val="24"/>
          <w:highlight w:val="none"/>
        </w:rPr>
      </w:pPr>
      <w:r>
        <w:rPr>
          <w:rFonts w:hint="eastAsia" w:ascii="宋体" w:hAnsi="宋体" w:cs="宋体"/>
          <w:b/>
          <w:bCs/>
          <w:color w:val="auto"/>
          <w:sz w:val="24"/>
          <w:highlight w:val="none"/>
        </w:rPr>
        <w:t>2、高精度温室气体监测网络运维工作基本要求：</w:t>
      </w:r>
    </w:p>
    <w:p w14:paraId="3F91A279">
      <w:pPr>
        <w:spacing w:line="360" w:lineRule="auto"/>
        <w:ind w:firstLine="480" w:firstLineChars="200"/>
        <w:contextualSpacing/>
        <w:rPr>
          <w:rFonts w:hint="eastAsia" w:ascii="宋体" w:hAnsi="宋体" w:cs="宋体"/>
          <w:bCs/>
          <w:color w:val="auto"/>
          <w:sz w:val="24"/>
          <w:highlight w:val="none"/>
        </w:rPr>
      </w:pPr>
      <w:r>
        <w:rPr>
          <w:rFonts w:hint="eastAsia" w:ascii="宋体" w:hAnsi="宋体" w:cs="宋体"/>
          <w:bCs/>
          <w:color w:val="auto"/>
          <w:sz w:val="24"/>
          <w:highlight w:val="none"/>
        </w:rPr>
        <w:t>日常运维工作包括但不限于：</w:t>
      </w:r>
    </w:p>
    <w:p w14:paraId="5112CF0D">
      <w:pPr>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2.1子站日常巡检</w:t>
      </w:r>
    </w:p>
    <w:p w14:paraId="599E106B">
      <w:pPr>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应对子站站房及辅助设备定期巡检，每两周至少巡检1次，巡检工作主要包括：</w:t>
      </w:r>
    </w:p>
    <w:p w14:paraId="1FE8CBE3">
      <w:pPr>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a)检查站房内温度是否保持在25℃±5℃，建议24小时变化幅度不超过±2℃，相对湿度保持在80%以下。在冬、夏季节应注意站房内外温差，及时调整站房温度或对采样管采取适当的温控措施，防止因温差造成采样装置出现冷凝水的现象。</w:t>
      </w:r>
    </w:p>
    <w:p w14:paraId="40E29656">
      <w:pPr>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b)检查采样管进气、排气是否正常。检查抽气泵工作是否正常，检查进气总流量，采样流量是否正常；若配有阀箱，应检查阀箱是否正常，多口阀切换是否正常；检查前端多级除水装置是否正常。若配有阀箱，应检查阀箱是否正常，多口阀切换是否正常。</w:t>
      </w:r>
    </w:p>
    <w:p w14:paraId="4FAE3709">
      <w:pPr>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c)检查站房排风排气装置工作是否正常，站房内有无异味。</w:t>
      </w:r>
    </w:p>
    <w:p w14:paraId="69822D48">
      <w:pPr>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d)检查标气瓶是否漏气，检查标气消耗情况，压力值接近500psi时需更换标气瓶。检查标气瓶二级分压是否在正常范围（一般在15-20psi）内，并与样气进样压力保持一致。若分析仪测量水汽浓度，则应检查标气水汽浓度值（一般在0-0.008%），如出现水汽浓度值显著增高，应检查瓶阀、管路、进样系统是否漏气。</w:t>
      </w:r>
    </w:p>
    <w:p w14:paraId="42101B44">
      <w:pPr>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e)检查数据采集、传输与网络通讯是否正常。</w:t>
      </w:r>
    </w:p>
    <w:p w14:paraId="7EF2E00F">
      <w:pPr>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f)检查各种运维工具、仪器耗材、备件是否完好齐全。</w:t>
      </w:r>
    </w:p>
    <w:p w14:paraId="468A8FEB">
      <w:pPr>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g)检查空调、电源等辅助设备的运行状况是否正常，检查站房空调机的过滤网是否清洁，必要时进行清洗。</w:t>
      </w:r>
    </w:p>
    <w:p w14:paraId="4CBFF693">
      <w:pPr>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h)检查各种消防、安全设施是否完好齐全。</w:t>
      </w:r>
    </w:p>
    <w:p w14:paraId="7B6334D3">
      <w:pPr>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i)对站房周围的杂草和积水应及时清除，对监测有影响的树枝应及时进行剪除。</w:t>
      </w:r>
    </w:p>
    <w:p w14:paraId="27EE712C">
      <w:pPr>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j)检查避雷设施是否正常，子站房屋是否有漏雨现象。</w:t>
      </w:r>
    </w:p>
    <w:p w14:paraId="01787BD5">
      <w:pPr>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k)每年检查采样塔、采样管线等辅助设施。</w:t>
      </w:r>
    </w:p>
    <w:p w14:paraId="06333B80">
      <w:pPr>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l)记录巡检情况。</w:t>
      </w:r>
    </w:p>
    <w:p w14:paraId="767E5BEA">
      <w:pPr>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2.2监测仪器设备日常维护</w:t>
      </w:r>
    </w:p>
    <w:p w14:paraId="6899111B">
      <w:pPr>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应对监测子站的仪器设备进行定期维护，主要内容包括：</w:t>
      </w:r>
    </w:p>
    <w:p w14:paraId="53322561">
      <w:pPr>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a)每日远程查看监测数据及仪器工作状态参数，发现异常时，应及时至现场进行故障检测及排除。</w:t>
      </w:r>
    </w:p>
    <w:p w14:paraId="45D0DBA5">
      <w:pPr>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b)每次运维进行仪器、数据采集系统时钟检查，确保时钟偏差不超过30秒。应注意时区设置情况，监测仪器可使用自带时区，数据采集系统应使用北京时区。</w:t>
      </w:r>
    </w:p>
    <w:p w14:paraId="788727DF">
      <w:pPr>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c)每次运维检查仪器配备的干燥系统等，包括设备工作状态参数、干燥后水汽浓度、耗材使用情况、积水情况等，及时维护、更换耗材。</w:t>
      </w:r>
    </w:p>
    <w:p w14:paraId="74119B88">
      <w:pPr>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d)每季度检查抽气泵泵膜、阀片，必要时更换；每年至少更换1次。</w:t>
      </w:r>
    </w:p>
    <w:p w14:paraId="6288A49E">
      <w:pPr>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e)每季度使用检漏液对气路正压部分进行气密性检查，负压部分采用在管路接口附近释放高浓度 CO</w:t>
      </w:r>
      <w:r>
        <w:rPr>
          <w:rFonts w:hint="eastAsia" w:ascii="宋体" w:hAnsi="宋体" w:cs="宋体"/>
          <w:bCs/>
          <w:color w:val="auto"/>
          <w:sz w:val="24"/>
          <w:highlight w:val="none"/>
          <w:vertAlign w:val="subscript"/>
        </w:rPr>
        <w:t>2</w:t>
      </w:r>
      <w:r>
        <w:rPr>
          <w:rFonts w:hint="eastAsia" w:ascii="宋体" w:hAnsi="宋体" w:cs="宋体"/>
          <w:bCs/>
          <w:color w:val="auto"/>
          <w:sz w:val="24"/>
          <w:highlight w:val="none"/>
        </w:rPr>
        <w:t>的方式进行检漏。</w:t>
      </w:r>
    </w:p>
    <w:p w14:paraId="2F20371D">
      <w:pPr>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注：使用检漏液查看连接处是否漏气，漏气则有气泡出现；检漏液必须使用对连接处无腐蚀、无污染的专用液体。</w:t>
      </w:r>
    </w:p>
    <w:p w14:paraId="01EF14BA">
      <w:pPr>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f)根据仪器说明书的要求，定期更换和清洁仪器设备中的过滤装置。采样入口处和采样管路中的过滤器至少每年更换1次，颗粒物浓度较高地区或浓度较高季节，应视颗粒物过滤膜实际污染情况加大更换频次。</w:t>
      </w:r>
    </w:p>
    <w:p w14:paraId="4BFAD818">
      <w:pPr>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g)每年清洁1次室外采样管，每次清洁后，应进行检漏测试。</w:t>
      </w:r>
    </w:p>
    <w:p w14:paraId="7140F738">
      <w:pPr>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注：（1）使用超纯水冲洗，并用大流量泵抽干（连续抽 0.5 天），抽干后分析仪水汽含量测定应&lt;0.05%。（2）检漏测试方法为将采样管上的一个支路接头接上压力计，并将其他支路接头和采样口封死，然后抽真空至大约1.25hPa，将抽气口密封，使整个采样系统不与外界相通，15 分钟内真空度不应有变化。</w:t>
      </w:r>
    </w:p>
    <w:p w14:paraId="645922C4">
      <w:pPr>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h)根据仪器说明书的要求，定期检查、清洗、更换仪器重要部件。</w:t>
      </w:r>
    </w:p>
    <w:p w14:paraId="4A97AA1F">
      <w:pPr>
        <w:spacing w:line="360" w:lineRule="auto"/>
        <w:ind w:firstLine="482" w:firstLineChars="200"/>
        <w:jc w:val="left"/>
        <w:rPr>
          <w:rFonts w:hint="eastAsia" w:ascii="宋体" w:hAnsi="宋体" w:cs="宋体"/>
          <w:b/>
          <w:color w:val="auto"/>
          <w:sz w:val="24"/>
          <w:highlight w:val="none"/>
        </w:rPr>
      </w:pPr>
      <w:r>
        <w:rPr>
          <w:rFonts w:hint="eastAsia" w:ascii="宋体" w:hAnsi="宋体" w:cs="宋体"/>
          <w:b/>
          <w:color w:val="auto"/>
          <w:sz w:val="24"/>
          <w:highlight w:val="none"/>
        </w:rPr>
        <w:t>3、服务保障</w:t>
      </w:r>
    </w:p>
    <w:p w14:paraId="376636D6">
      <w:pPr>
        <w:spacing w:line="360" w:lineRule="auto"/>
        <w:ind w:firstLine="480" w:firstLineChars="200"/>
        <w:contextualSpacing/>
        <w:rPr>
          <w:rFonts w:hint="eastAsia" w:ascii="宋体" w:hAnsi="宋体" w:cs="宋体"/>
          <w:bCs/>
          <w:color w:val="auto"/>
          <w:sz w:val="24"/>
          <w:highlight w:val="none"/>
        </w:rPr>
      </w:pPr>
      <w:r>
        <w:rPr>
          <w:rFonts w:hint="eastAsia" w:ascii="宋体" w:hAnsi="宋体" w:cs="宋体"/>
          <w:bCs/>
          <w:color w:val="auto"/>
          <w:sz w:val="24"/>
          <w:highlight w:val="none"/>
        </w:rPr>
        <w:t>3.1投标人应建立一套完善的服务管理体系，明确维护方法、周期、内容及技术保障等。</w:t>
      </w:r>
    </w:p>
    <w:p w14:paraId="675285D5">
      <w:pPr>
        <w:spacing w:line="360" w:lineRule="auto"/>
        <w:ind w:firstLine="480" w:firstLineChars="200"/>
        <w:contextualSpacing/>
        <w:rPr>
          <w:rFonts w:hint="eastAsia" w:ascii="宋体" w:hAnsi="宋体" w:cs="宋体"/>
          <w:bCs/>
          <w:color w:val="auto"/>
          <w:sz w:val="24"/>
          <w:highlight w:val="none"/>
        </w:rPr>
      </w:pPr>
      <w:r>
        <w:rPr>
          <w:rFonts w:hint="eastAsia" w:ascii="宋体" w:hAnsi="宋体" w:cs="宋体"/>
          <w:bCs/>
          <w:color w:val="auto"/>
          <w:sz w:val="24"/>
          <w:highlight w:val="none"/>
        </w:rPr>
        <w:t>3.2运维技术人员每日查看仪器运行状况、工作参数、数据采集和传输情况是否正常（网络查看）。每日12点前完成前一日数据审核，整理各台仪器前一日的运行情况，并形成记录表汇报结果。</w:t>
      </w:r>
    </w:p>
    <w:p w14:paraId="63E53144">
      <w:pPr>
        <w:spacing w:line="360" w:lineRule="auto"/>
        <w:ind w:firstLine="480" w:firstLineChars="200"/>
        <w:contextualSpacing/>
        <w:rPr>
          <w:rFonts w:hint="eastAsia" w:ascii="宋体" w:hAnsi="宋体" w:cs="宋体"/>
          <w:bCs/>
          <w:color w:val="auto"/>
          <w:sz w:val="24"/>
          <w:highlight w:val="none"/>
        </w:rPr>
      </w:pPr>
      <w:r>
        <w:rPr>
          <w:rFonts w:hint="eastAsia" w:ascii="宋体" w:hAnsi="宋体" w:cs="宋体"/>
          <w:bCs/>
          <w:color w:val="auto"/>
          <w:sz w:val="24"/>
          <w:highlight w:val="none"/>
        </w:rPr>
        <w:t>3.3</w:t>
      </w:r>
      <w:r>
        <w:rPr>
          <w:rFonts w:ascii="宋体" w:hAnsi="宋体" w:cs="宋体"/>
          <w:bCs/>
          <w:color w:val="auto"/>
          <w:sz w:val="24"/>
          <w:highlight w:val="none"/>
        </w:rPr>
        <w:t>投标人应保证</w:t>
      </w:r>
      <w:r>
        <w:rPr>
          <w:rFonts w:hint="eastAsia" w:ascii="宋体" w:hAnsi="宋体" w:cs="宋体"/>
          <w:color w:val="auto"/>
          <w:sz w:val="24"/>
          <w:highlight w:val="none"/>
        </w:rPr>
        <w:t>服务与技术支持响应及时、解决问题迅速</w:t>
      </w:r>
      <w:r>
        <w:rPr>
          <w:rFonts w:ascii="宋体" w:hAnsi="宋体" w:cs="宋体"/>
          <w:color w:val="auto"/>
          <w:sz w:val="24"/>
          <w:highlight w:val="none"/>
        </w:rPr>
        <w:t>，并提供承诺函，承诺</w:t>
      </w:r>
      <w:r>
        <w:rPr>
          <w:rFonts w:hint="eastAsia" w:ascii="宋体" w:hAnsi="宋体" w:cs="宋体"/>
          <w:bCs/>
          <w:color w:val="auto"/>
          <w:sz w:val="24"/>
          <w:highlight w:val="none"/>
        </w:rPr>
        <w:t>出现监测数据异常、仪器故障或通讯故障</w:t>
      </w:r>
      <w:r>
        <w:rPr>
          <w:rFonts w:ascii="宋体" w:hAnsi="宋体" w:cs="宋体"/>
          <w:bCs/>
          <w:color w:val="auto"/>
          <w:sz w:val="24"/>
          <w:highlight w:val="none"/>
        </w:rPr>
        <w:t>等异常情况时</w:t>
      </w:r>
      <w:r>
        <w:rPr>
          <w:rFonts w:hint="eastAsia" w:ascii="宋体" w:hAnsi="宋体" w:cs="宋体"/>
          <w:bCs/>
          <w:color w:val="auto"/>
          <w:sz w:val="24"/>
          <w:highlight w:val="none"/>
        </w:rPr>
        <w:t>，提出排查方案并于12小时内完成故障处理，若远程无法排查时，24小时内前往现场解决并将信息反馈采购人；故障严重不能及时解决时，应关闭故障仪器的数据采集通道并告知采购人。如不能在72小时内排除故障，应更换备机，故障设备应及时修复，并做好相应的仪器质控工作和维修记录</w:t>
      </w:r>
      <w:r>
        <w:rPr>
          <w:rFonts w:ascii="宋体" w:hAnsi="宋体" w:cs="宋体"/>
          <w:bCs/>
          <w:color w:val="auto"/>
          <w:sz w:val="24"/>
          <w:highlight w:val="none"/>
        </w:rPr>
        <w:t>。</w:t>
      </w:r>
    </w:p>
    <w:p w14:paraId="6A9FE554">
      <w:pPr>
        <w:spacing w:line="360" w:lineRule="auto"/>
        <w:ind w:firstLine="480" w:firstLineChars="200"/>
        <w:contextualSpacing/>
        <w:rPr>
          <w:rFonts w:hint="eastAsia" w:ascii="宋体" w:hAnsi="宋体" w:cs="宋体"/>
          <w:bCs/>
          <w:color w:val="auto"/>
          <w:sz w:val="24"/>
          <w:highlight w:val="none"/>
        </w:rPr>
      </w:pPr>
      <w:r>
        <w:rPr>
          <w:rFonts w:hint="eastAsia" w:ascii="宋体" w:hAnsi="宋体" w:cs="宋体"/>
          <w:bCs/>
          <w:color w:val="auto"/>
          <w:sz w:val="24"/>
          <w:highlight w:val="none"/>
        </w:rPr>
        <w:t>3.4在运维期间，仪器故障由投标人负责修复。在维修过程中，未经采购人同意，不能随意从其他设备拆卸零件。维修过程中发现问题应及时汇报。</w:t>
      </w:r>
    </w:p>
    <w:p w14:paraId="132DA960">
      <w:pPr>
        <w:spacing w:line="360" w:lineRule="auto"/>
        <w:ind w:firstLine="480" w:firstLineChars="200"/>
        <w:contextualSpacing/>
        <w:rPr>
          <w:rFonts w:hint="eastAsia" w:ascii="宋体" w:hAnsi="宋体" w:cs="宋体"/>
          <w:bCs/>
          <w:color w:val="auto"/>
          <w:sz w:val="24"/>
          <w:highlight w:val="none"/>
        </w:rPr>
      </w:pPr>
      <w:r>
        <w:rPr>
          <w:rFonts w:hint="eastAsia" w:ascii="宋体" w:hAnsi="宋体" w:cs="宋体"/>
          <w:bCs/>
          <w:color w:val="auto"/>
          <w:sz w:val="24"/>
          <w:highlight w:val="none"/>
        </w:rPr>
        <w:t>3.5故障处理措施：投标人必须提供完善的故障处理预案。</w:t>
      </w:r>
    </w:p>
    <w:p w14:paraId="59C783E4">
      <w:pPr>
        <w:spacing w:line="360" w:lineRule="auto"/>
        <w:ind w:firstLine="480" w:firstLineChars="200"/>
        <w:contextualSpacing/>
        <w:rPr>
          <w:rFonts w:hint="eastAsia" w:ascii="宋体" w:hAnsi="宋体" w:cs="宋体"/>
          <w:bCs/>
          <w:color w:val="auto"/>
          <w:sz w:val="24"/>
          <w:highlight w:val="none"/>
        </w:rPr>
      </w:pPr>
      <w:r>
        <w:rPr>
          <w:rFonts w:hint="eastAsia" w:ascii="宋体" w:hAnsi="宋体" w:cs="宋体"/>
          <w:bCs/>
          <w:color w:val="auto"/>
          <w:sz w:val="24"/>
          <w:highlight w:val="none"/>
        </w:rPr>
        <w:t>3.6认真及时做好各类记录，包括：</w:t>
      </w:r>
    </w:p>
    <w:p w14:paraId="561BAE9F">
      <w:pPr>
        <w:spacing w:line="360" w:lineRule="auto"/>
        <w:ind w:firstLine="480" w:firstLineChars="200"/>
        <w:contextualSpacing/>
        <w:rPr>
          <w:rFonts w:hint="eastAsia" w:ascii="宋体" w:hAnsi="宋体" w:cs="宋体"/>
          <w:bCs/>
          <w:color w:val="auto"/>
          <w:sz w:val="24"/>
          <w:highlight w:val="none"/>
        </w:rPr>
      </w:pPr>
      <w:r>
        <w:rPr>
          <w:rFonts w:hint="eastAsia" w:ascii="宋体" w:hAnsi="宋体" w:cs="宋体"/>
          <w:bCs/>
          <w:color w:val="auto"/>
          <w:sz w:val="24"/>
          <w:highlight w:val="none"/>
        </w:rPr>
        <w:t>①监测子站巡检记录表</w:t>
      </w:r>
    </w:p>
    <w:p w14:paraId="7F070012">
      <w:pPr>
        <w:spacing w:line="360" w:lineRule="auto"/>
        <w:ind w:firstLine="480" w:firstLineChars="200"/>
        <w:contextualSpacing/>
        <w:rPr>
          <w:rFonts w:hint="eastAsia" w:ascii="宋体" w:hAnsi="宋体" w:cs="宋体"/>
          <w:bCs/>
          <w:color w:val="auto"/>
          <w:sz w:val="24"/>
          <w:highlight w:val="none"/>
        </w:rPr>
      </w:pPr>
      <w:r>
        <w:rPr>
          <w:rFonts w:hint="eastAsia" w:ascii="宋体" w:hAnsi="宋体" w:cs="宋体"/>
          <w:bCs/>
          <w:color w:val="auto"/>
          <w:sz w:val="24"/>
          <w:highlight w:val="none"/>
        </w:rPr>
        <w:t>②仪器运行状况检查记录表</w:t>
      </w:r>
    </w:p>
    <w:p w14:paraId="4A9AAB79">
      <w:pPr>
        <w:spacing w:line="360" w:lineRule="auto"/>
        <w:ind w:firstLine="480" w:firstLineChars="200"/>
        <w:contextualSpacing/>
        <w:rPr>
          <w:rFonts w:hint="eastAsia" w:ascii="宋体" w:hAnsi="宋体" w:cs="宋体"/>
          <w:bCs/>
          <w:color w:val="auto"/>
          <w:sz w:val="24"/>
          <w:highlight w:val="none"/>
        </w:rPr>
      </w:pPr>
      <w:r>
        <w:rPr>
          <w:rFonts w:hint="eastAsia" w:ascii="宋体" w:hAnsi="宋体" w:cs="宋体"/>
          <w:bCs/>
          <w:color w:val="auto"/>
          <w:sz w:val="24"/>
          <w:highlight w:val="none"/>
        </w:rPr>
        <w:t>③仪器校准记录表</w:t>
      </w:r>
    </w:p>
    <w:p w14:paraId="2AB12164">
      <w:pPr>
        <w:spacing w:line="360" w:lineRule="auto"/>
        <w:ind w:firstLine="480" w:firstLineChars="200"/>
        <w:contextualSpacing/>
        <w:rPr>
          <w:rFonts w:hint="eastAsia" w:ascii="宋体" w:hAnsi="宋体" w:cs="宋体"/>
          <w:bCs/>
          <w:color w:val="auto"/>
          <w:sz w:val="24"/>
          <w:highlight w:val="none"/>
        </w:rPr>
      </w:pPr>
      <w:r>
        <w:rPr>
          <w:rFonts w:hint="eastAsia" w:ascii="宋体" w:hAnsi="宋体" w:cs="宋体"/>
          <w:bCs/>
          <w:color w:val="auto"/>
          <w:sz w:val="24"/>
          <w:highlight w:val="none"/>
        </w:rPr>
        <w:t>④故障处理记录表</w:t>
      </w:r>
    </w:p>
    <w:p w14:paraId="685ACA66">
      <w:pPr>
        <w:spacing w:line="360" w:lineRule="auto"/>
        <w:ind w:firstLine="480" w:firstLineChars="200"/>
        <w:contextualSpacing/>
        <w:rPr>
          <w:rFonts w:hint="eastAsia" w:ascii="宋体" w:hAnsi="宋体" w:cs="宋体"/>
          <w:bCs/>
          <w:color w:val="auto"/>
          <w:sz w:val="24"/>
          <w:highlight w:val="none"/>
        </w:rPr>
      </w:pPr>
      <w:r>
        <w:rPr>
          <w:rFonts w:hint="eastAsia" w:ascii="宋体" w:hAnsi="宋体" w:cs="宋体"/>
          <w:bCs/>
          <w:color w:val="auto"/>
          <w:sz w:val="24"/>
          <w:highlight w:val="none"/>
        </w:rPr>
        <w:t>⑤标气更换记录表</w:t>
      </w:r>
    </w:p>
    <w:p w14:paraId="7E13996C">
      <w:pPr>
        <w:spacing w:line="360" w:lineRule="auto"/>
        <w:ind w:firstLine="480" w:firstLineChars="200"/>
        <w:contextualSpacing/>
        <w:rPr>
          <w:rFonts w:hint="eastAsia" w:ascii="宋体" w:hAnsi="宋体" w:cs="宋体"/>
          <w:bCs/>
          <w:color w:val="auto"/>
          <w:sz w:val="24"/>
          <w:highlight w:val="none"/>
        </w:rPr>
      </w:pPr>
      <w:r>
        <w:rPr>
          <w:rFonts w:hint="eastAsia" w:ascii="宋体" w:hAnsi="宋体" w:cs="宋体"/>
          <w:bCs/>
          <w:color w:val="auto"/>
          <w:sz w:val="24"/>
          <w:highlight w:val="none"/>
        </w:rPr>
        <w:t>3.7每月（季）运维结束后提交月（季）度运维总结报告，全年运维结束后提交年度运维总结报告。运维总结报告至少包括系统运行维护情况、运行质控工作日志、设备故障及维修情况、数据有效获取率统计及缺失情况说明、总结及改进措施。</w:t>
      </w:r>
    </w:p>
    <w:p w14:paraId="50F1B36D">
      <w:pPr>
        <w:spacing w:line="360" w:lineRule="auto"/>
        <w:ind w:firstLine="480" w:firstLineChars="200"/>
        <w:contextualSpacing/>
        <w:rPr>
          <w:rFonts w:hint="eastAsia" w:ascii="宋体" w:hAnsi="宋体" w:cs="宋体"/>
          <w:bCs/>
          <w:color w:val="auto"/>
          <w:sz w:val="24"/>
          <w:highlight w:val="none"/>
        </w:rPr>
      </w:pPr>
      <w:r>
        <w:rPr>
          <w:rFonts w:hint="eastAsia" w:ascii="宋体" w:hAnsi="宋体" w:cs="宋体"/>
          <w:bCs/>
          <w:color w:val="auto"/>
          <w:sz w:val="24"/>
          <w:highlight w:val="none"/>
        </w:rPr>
        <w:t>3.8配合浙江省杭州生态环境监测中心、浙江省生态环境监测中心、中国环境监测总站等进行站点质量保证和质量控制检查工作，随时接受其工作考核及质量考核。配合浙江省杭州生态环境监测中心完成其他相关工作。</w:t>
      </w:r>
    </w:p>
    <w:p w14:paraId="637D4BB7">
      <w:pPr>
        <w:spacing w:line="360" w:lineRule="auto"/>
        <w:ind w:firstLine="482" w:firstLineChars="200"/>
        <w:jc w:val="left"/>
        <w:rPr>
          <w:rFonts w:hint="eastAsia" w:ascii="宋体" w:hAnsi="宋体" w:cs="宋体"/>
          <w:b/>
          <w:color w:val="auto"/>
          <w:sz w:val="24"/>
          <w:highlight w:val="none"/>
        </w:rPr>
      </w:pPr>
      <w:r>
        <w:rPr>
          <w:rFonts w:hint="eastAsia" w:ascii="宋体" w:hAnsi="宋体" w:cs="宋体"/>
          <w:b/>
          <w:color w:val="auto"/>
          <w:sz w:val="24"/>
          <w:highlight w:val="none"/>
        </w:rPr>
        <w:t>4、数据审核</w:t>
      </w:r>
    </w:p>
    <w:p w14:paraId="58CE93A1">
      <w:pPr>
        <w:spacing w:line="360" w:lineRule="auto"/>
        <w:ind w:firstLine="480" w:firstLineChars="200"/>
        <w:contextualSpacing/>
        <w:rPr>
          <w:rFonts w:hint="eastAsia" w:ascii="宋体" w:hAnsi="宋体" w:cs="宋体"/>
          <w:bCs/>
          <w:color w:val="auto"/>
          <w:sz w:val="24"/>
          <w:highlight w:val="none"/>
        </w:rPr>
      </w:pPr>
      <w:r>
        <w:rPr>
          <w:rFonts w:hint="eastAsia" w:ascii="宋体" w:hAnsi="宋体" w:cs="宋体"/>
          <w:bCs/>
          <w:color w:val="auto"/>
          <w:sz w:val="24"/>
          <w:highlight w:val="none"/>
        </w:rPr>
        <w:t>每日12点前完成前一日平台数据审核，整理各台仪器前一日的运行情况，并形成记录表汇报结果。</w:t>
      </w:r>
    </w:p>
    <w:p w14:paraId="080273C3">
      <w:pPr>
        <w:spacing w:line="360" w:lineRule="auto"/>
        <w:ind w:firstLine="482" w:firstLineChars="200"/>
        <w:jc w:val="left"/>
        <w:rPr>
          <w:rFonts w:hint="eastAsia" w:ascii="宋体" w:hAnsi="宋体" w:cs="宋体"/>
          <w:b/>
          <w:color w:val="auto"/>
          <w:sz w:val="24"/>
          <w:highlight w:val="none"/>
        </w:rPr>
      </w:pPr>
      <w:r>
        <w:rPr>
          <w:rFonts w:hint="eastAsia" w:ascii="宋体" w:hAnsi="宋体" w:cs="宋体"/>
          <w:b/>
          <w:color w:val="auto"/>
          <w:sz w:val="24"/>
          <w:highlight w:val="none"/>
        </w:rPr>
        <w:t>5、数据要求</w:t>
      </w:r>
    </w:p>
    <w:p w14:paraId="611FC55F">
      <w:pPr>
        <w:spacing w:line="360" w:lineRule="auto"/>
        <w:ind w:firstLine="480" w:firstLineChars="200"/>
        <w:contextualSpacing/>
        <w:rPr>
          <w:rFonts w:hint="eastAsia" w:ascii="宋体" w:hAnsi="宋体" w:cs="宋体"/>
          <w:bCs/>
          <w:color w:val="auto"/>
          <w:sz w:val="24"/>
          <w:highlight w:val="none"/>
        </w:rPr>
      </w:pPr>
      <w:r>
        <w:rPr>
          <w:rFonts w:hint="eastAsia" w:ascii="宋体" w:hAnsi="宋体" w:cs="宋体"/>
          <w:bCs/>
          <w:color w:val="auto"/>
          <w:sz w:val="24"/>
          <w:highlight w:val="none"/>
        </w:rPr>
        <w:t>单站点有效数据获取率应达到85%以上。</w:t>
      </w:r>
    </w:p>
    <w:p w14:paraId="1AE3BCEF">
      <w:pPr>
        <w:spacing w:line="360" w:lineRule="auto"/>
        <w:ind w:firstLine="482" w:firstLineChars="200"/>
        <w:jc w:val="left"/>
        <w:rPr>
          <w:rFonts w:hint="eastAsia" w:ascii="宋体" w:hAnsi="宋体" w:cs="宋体"/>
          <w:b/>
          <w:color w:val="auto"/>
          <w:sz w:val="24"/>
          <w:highlight w:val="none"/>
        </w:rPr>
      </w:pPr>
      <w:r>
        <w:rPr>
          <w:rFonts w:hint="eastAsia" w:ascii="宋体" w:hAnsi="宋体" w:cs="宋体"/>
          <w:b/>
          <w:color w:val="auto"/>
          <w:sz w:val="24"/>
          <w:highlight w:val="none"/>
        </w:rPr>
        <w:t>6、汇报总结</w:t>
      </w:r>
    </w:p>
    <w:p w14:paraId="2DD3D41F">
      <w:pPr>
        <w:spacing w:line="360" w:lineRule="auto"/>
        <w:ind w:firstLine="480" w:firstLineChars="200"/>
        <w:contextualSpacing/>
        <w:rPr>
          <w:rFonts w:hint="eastAsia" w:ascii="宋体" w:hAnsi="宋体" w:cs="宋体"/>
          <w:bCs/>
          <w:color w:val="auto"/>
          <w:sz w:val="24"/>
          <w:highlight w:val="none"/>
        </w:rPr>
      </w:pPr>
      <w:r>
        <w:rPr>
          <w:rFonts w:hint="eastAsia" w:ascii="宋体" w:hAnsi="宋体" w:cs="宋体"/>
          <w:bCs/>
          <w:color w:val="auto"/>
          <w:sz w:val="24"/>
          <w:highlight w:val="none"/>
        </w:rPr>
        <w:t>6.1每月召开运维工作交流会，交流总结子站运行情况、运维工作开展情况、故障处理情况、数据异常原因分析等内容。</w:t>
      </w:r>
    </w:p>
    <w:p w14:paraId="327D850D">
      <w:pPr>
        <w:spacing w:line="360" w:lineRule="auto"/>
        <w:ind w:firstLine="480" w:firstLineChars="200"/>
        <w:contextualSpacing/>
        <w:rPr>
          <w:rFonts w:hint="eastAsia" w:ascii="宋体" w:hAnsi="宋体" w:cs="宋体"/>
          <w:bCs/>
          <w:color w:val="auto"/>
          <w:sz w:val="24"/>
          <w:highlight w:val="none"/>
        </w:rPr>
      </w:pPr>
      <w:r>
        <w:rPr>
          <w:rFonts w:hint="eastAsia" w:ascii="宋体" w:hAnsi="宋体" w:cs="宋体"/>
          <w:bCs/>
          <w:color w:val="auto"/>
          <w:sz w:val="24"/>
          <w:highlight w:val="none"/>
        </w:rPr>
        <w:t>6.2月（季）度运维总结报告：每月15日前提供一份上月（季）运维总结报告。</w:t>
      </w:r>
      <w:bookmarkStart w:id="35" w:name="_Hlk119487231"/>
      <w:r>
        <w:rPr>
          <w:rFonts w:hint="eastAsia" w:ascii="宋体" w:hAnsi="宋体" w:cs="宋体"/>
          <w:bCs/>
          <w:color w:val="auto"/>
          <w:sz w:val="24"/>
          <w:highlight w:val="none"/>
        </w:rPr>
        <w:t xml:space="preserve"> </w:t>
      </w:r>
    </w:p>
    <w:bookmarkEnd w:id="35"/>
    <w:p w14:paraId="14660AC2">
      <w:pPr>
        <w:spacing w:line="360" w:lineRule="auto"/>
        <w:ind w:firstLine="480" w:firstLineChars="200"/>
        <w:contextualSpacing/>
        <w:rPr>
          <w:rFonts w:hint="eastAsia" w:ascii="宋体" w:hAnsi="宋体" w:cs="宋体"/>
          <w:bCs/>
          <w:color w:val="auto"/>
          <w:sz w:val="24"/>
          <w:highlight w:val="none"/>
        </w:rPr>
      </w:pPr>
      <w:r>
        <w:rPr>
          <w:rFonts w:hint="eastAsia" w:ascii="宋体" w:hAnsi="宋体" w:cs="宋体"/>
          <w:bCs/>
          <w:color w:val="auto"/>
          <w:sz w:val="24"/>
          <w:highlight w:val="none"/>
        </w:rPr>
        <w:t>6.3项目总结报告：项目结束后10日内提供一份项目总结报告。</w:t>
      </w:r>
    </w:p>
    <w:p w14:paraId="29B76F72">
      <w:pPr>
        <w:spacing w:line="360" w:lineRule="auto"/>
        <w:jc w:val="left"/>
        <w:rPr>
          <w:rFonts w:hint="eastAsia" w:ascii="宋体" w:hAnsi="宋体" w:cs="宋体"/>
          <w:b/>
          <w:color w:val="auto"/>
          <w:sz w:val="24"/>
          <w:highlight w:val="none"/>
        </w:rPr>
      </w:pPr>
      <w:r>
        <w:rPr>
          <w:rFonts w:hint="eastAsia" w:ascii="宋体" w:hAnsi="宋体" w:cs="宋体"/>
          <w:b/>
          <w:color w:val="auto"/>
          <w:sz w:val="24"/>
          <w:highlight w:val="none"/>
        </w:rPr>
        <w:t>（三）考核要求</w:t>
      </w:r>
    </w:p>
    <w:p w14:paraId="7D3B4060">
      <w:pPr>
        <w:spacing w:line="360" w:lineRule="auto"/>
        <w:ind w:firstLine="480" w:firstLineChars="200"/>
        <w:contextualSpacing/>
        <w:rPr>
          <w:rFonts w:hint="eastAsia" w:ascii="宋体" w:hAnsi="宋体" w:cs="宋体"/>
          <w:bCs/>
          <w:color w:val="auto"/>
          <w:sz w:val="24"/>
          <w:highlight w:val="none"/>
        </w:rPr>
      </w:pPr>
      <w:r>
        <w:rPr>
          <w:rFonts w:hint="eastAsia" w:ascii="宋体" w:hAnsi="宋体" w:cs="宋体"/>
          <w:bCs/>
          <w:color w:val="auto"/>
          <w:sz w:val="24"/>
          <w:highlight w:val="none"/>
        </w:rPr>
        <w:t>采购人组织开展运维管理和质控考核，对达不到运维要求或违规操作的，扣减相应的运维费，并有权终止运维合同。</w:t>
      </w:r>
    </w:p>
    <w:p w14:paraId="6521AC84">
      <w:pPr>
        <w:spacing w:line="360" w:lineRule="auto"/>
        <w:ind w:firstLine="480" w:firstLineChars="200"/>
        <w:contextualSpacing/>
        <w:rPr>
          <w:rFonts w:hint="eastAsia" w:ascii="宋体" w:hAnsi="宋体" w:cs="宋体"/>
          <w:bCs/>
          <w:color w:val="auto"/>
          <w:sz w:val="24"/>
          <w:highlight w:val="none"/>
        </w:rPr>
      </w:pPr>
      <w:r>
        <w:rPr>
          <w:rFonts w:hint="eastAsia" w:ascii="宋体" w:hAnsi="宋体" w:cs="宋体"/>
          <w:bCs/>
          <w:color w:val="auto"/>
          <w:sz w:val="24"/>
          <w:highlight w:val="none"/>
        </w:rPr>
        <w:t>1、考核办法</w:t>
      </w:r>
    </w:p>
    <w:p w14:paraId="57E437B7">
      <w:pPr>
        <w:spacing w:line="360" w:lineRule="auto"/>
        <w:ind w:firstLine="480" w:firstLineChars="200"/>
        <w:jc w:val="left"/>
        <w:rPr>
          <w:rFonts w:hint="eastAsia" w:ascii="宋体" w:hAnsi="宋体" w:cs="宋体"/>
          <w:bCs/>
          <w:color w:val="auto"/>
          <w:sz w:val="24"/>
          <w:highlight w:val="none"/>
        </w:rPr>
      </w:pPr>
      <w:r>
        <w:rPr>
          <w:rFonts w:ascii="宋体" w:hAnsi="宋体" w:cs="宋体"/>
          <w:bCs/>
          <w:color w:val="auto"/>
          <w:sz w:val="24"/>
          <w:highlight w:val="none"/>
        </w:rPr>
        <w:t>分两次</w:t>
      </w:r>
      <w:r>
        <w:rPr>
          <w:rFonts w:hint="eastAsia" w:ascii="宋体" w:hAnsi="宋体" w:cs="宋体"/>
          <w:bCs/>
          <w:color w:val="auto"/>
          <w:sz w:val="24"/>
          <w:highlight w:val="none"/>
        </w:rPr>
        <w:t>组织开展运维管理和质控考核</w:t>
      </w:r>
      <w:r>
        <w:rPr>
          <w:rFonts w:ascii="宋体" w:hAnsi="宋体" w:cs="宋体"/>
          <w:bCs/>
          <w:color w:val="auto"/>
          <w:sz w:val="24"/>
          <w:highlight w:val="none"/>
        </w:rPr>
        <w:t>，</w:t>
      </w:r>
      <w:r>
        <w:rPr>
          <w:rFonts w:hint="eastAsia" w:ascii="宋体" w:hAnsi="宋体" w:cs="宋体"/>
          <w:bCs/>
          <w:color w:val="auto"/>
          <w:sz w:val="24"/>
          <w:highlight w:val="none"/>
        </w:rPr>
        <w:t>考核采取百分制、单站考核的方式，主要包括单个站点有效数据获取率和运行维护的内容。</w:t>
      </w:r>
    </w:p>
    <w:p w14:paraId="693A59AB">
      <w:pPr>
        <w:spacing w:line="360" w:lineRule="auto"/>
        <w:ind w:firstLine="480" w:firstLineChars="200"/>
        <w:jc w:val="left"/>
        <w:rPr>
          <w:rFonts w:hint="eastAsia" w:ascii="宋体" w:hAnsi="宋体" w:cs="宋体"/>
          <w:bCs/>
          <w:color w:val="auto"/>
          <w:sz w:val="24"/>
          <w:highlight w:val="none"/>
        </w:rPr>
      </w:pPr>
      <w:r>
        <w:rPr>
          <w:rFonts w:hint="eastAsia" w:ascii="宋体" w:hAnsi="宋体" w:cs="宋体"/>
          <w:bCs/>
          <w:color w:val="auto"/>
          <w:sz w:val="24"/>
          <w:highlight w:val="none"/>
        </w:rPr>
        <w:t>单站点考核结果均在 80分（含）以上的，支付</w:t>
      </w:r>
      <w:r>
        <w:rPr>
          <w:rFonts w:ascii="宋体" w:hAnsi="宋体" w:cs="宋体"/>
          <w:bCs/>
          <w:color w:val="auto"/>
          <w:sz w:val="24"/>
          <w:highlight w:val="none"/>
        </w:rPr>
        <w:t>考核时间段</w:t>
      </w:r>
      <w:r>
        <w:rPr>
          <w:rFonts w:hint="eastAsia" w:ascii="宋体" w:hAnsi="宋体" w:cs="宋体"/>
          <w:bCs/>
          <w:color w:val="auto"/>
          <w:sz w:val="24"/>
          <w:highlight w:val="none"/>
        </w:rPr>
        <w:t>运维费；</w:t>
      </w:r>
    </w:p>
    <w:p w14:paraId="7E8EEE6D">
      <w:pPr>
        <w:spacing w:line="360" w:lineRule="auto"/>
        <w:ind w:firstLine="480" w:firstLineChars="200"/>
        <w:jc w:val="left"/>
        <w:rPr>
          <w:rFonts w:hint="eastAsia" w:ascii="宋体" w:hAnsi="宋体" w:cs="宋体"/>
          <w:bCs/>
          <w:color w:val="auto"/>
          <w:sz w:val="24"/>
          <w:highlight w:val="none"/>
        </w:rPr>
      </w:pPr>
      <w:r>
        <w:rPr>
          <w:rFonts w:hint="eastAsia" w:ascii="宋体" w:hAnsi="宋体" w:cs="宋体"/>
          <w:bCs/>
          <w:color w:val="auto"/>
          <w:sz w:val="24"/>
          <w:highlight w:val="none"/>
        </w:rPr>
        <w:t>单站点考核结果在70分（含）以上，80分以下，为初级警告，扣除全部站点</w:t>
      </w:r>
      <w:r>
        <w:rPr>
          <w:rFonts w:ascii="宋体" w:hAnsi="宋体" w:cs="宋体"/>
          <w:bCs/>
          <w:color w:val="auto"/>
          <w:sz w:val="24"/>
          <w:highlight w:val="none"/>
        </w:rPr>
        <w:t>考核时间段</w:t>
      </w:r>
      <w:r>
        <w:rPr>
          <w:rFonts w:hint="eastAsia" w:ascii="宋体" w:hAnsi="宋体" w:cs="宋体"/>
          <w:bCs/>
          <w:color w:val="auto"/>
          <w:sz w:val="24"/>
          <w:highlight w:val="none"/>
        </w:rPr>
        <w:t>整体运维费的</w:t>
      </w:r>
      <w:r>
        <w:rPr>
          <w:rFonts w:ascii="宋体" w:hAnsi="宋体" w:cs="宋体"/>
          <w:bCs/>
          <w:color w:val="auto"/>
          <w:sz w:val="24"/>
          <w:highlight w:val="none"/>
        </w:rPr>
        <w:t>5</w:t>
      </w:r>
      <w:r>
        <w:rPr>
          <w:rFonts w:hint="eastAsia" w:ascii="宋体" w:hAnsi="宋体" w:cs="宋体"/>
          <w:bCs/>
          <w:color w:val="auto"/>
          <w:sz w:val="24"/>
          <w:highlight w:val="none"/>
        </w:rPr>
        <w:t>%，并责令整改；</w:t>
      </w:r>
    </w:p>
    <w:p w14:paraId="4C5DCEB9">
      <w:pPr>
        <w:spacing w:line="360" w:lineRule="auto"/>
        <w:ind w:firstLine="480" w:firstLineChars="200"/>
        <w:jc w:val="left"/>
        <w:rPr>
          <w:rFonts w:hint="eastAsia" w:ascii="宋体" w:hAnsi="宋体" w:cs="宋体"/>
          <w:bCs/>
          <w:color w:val="auto"/>
          <w:sz w:val="24"/>
          <w:highlight w:val="none"/>
        </w:rPr>
      </w:pPr>
      <w:r>
        <w:rPr>
          <w:rFonts w:hint="eastAsia" w:ascii="宋体" w:hAnsi="宋体" w:cs="宋体"/>
          <w:bCs/>
          <w:color w:val="auto"/>
          <w:sz w:val="24"/>
          <w:highlight w:val="none"/>
        </w:rPr>
        <w:t>单站点考核结果在60分（含）以上，70分以下，为二级警告，扣除全部站点</w:t>
      </w:r>
      <w:r>
        <w:rPr>
          <w:rFonts w:ascii="宋体" w:hAnsi="宋体" w:cs="宋体"/>
          <w:bCs/>
          <w:color w:val="auto"/>
          <w:sz w:val="24"/>
          <w:highlight w:val="none"/>
        </w:rPr>
        <w:t>考核时间段</w:t>
      </w:r>
      <w:r>
        <w:rPr>
          <w:rFonts w:hint="eastAsia" w:ascii="宋体" w:hAnsi="宋体" w:cs="宋体"/>
          <w:bCs/>
          <w:color w:val="auto"/>
          <w:sz w:val="24"/>
          <w:highlight w:val="none"/>
        </w:rPr>
        <w:t>整体运维费的</w:t>
      </w:r>
      <w:r>
        <w:rPr>
          <w:rFonts w:ascii="宋体" w:hAnsi="宋体" w:cs="宋体"/>
          <w:bCs/>
          <w:color w:val="auto"/>
          <w:sz w:val="24"/>
          <w:highlight w:val="none"/>
        </w:rPr>
        <w:t>15</w:t>
      </w:r>
      <w:r>
        <w:rPr>
          <w:rFonts w:hint="eastAsia" w:ascii="宋体" w:hAnsi="宋体" w:cs="宋体"/>
          <w:bCs/>
          <w:color w:val="auto"/>
          <w:sz w:val="24"/>
          <w:highlight w:val="none"/>
        </w:rPr>
        <w:t>%，并责令整改；</w:t>
      </w:r>
    </w:p>
    <w:p w14:paraId="45D06440">
      <w:pPr>
        <w:spacing w:line="360" w:lineRule="auto"/>
        <w:ind w:firstLine="480" w:firstLineChars="200"/>
        <w:jc w:val="left"/>
        <w:rPr>
          <w:rFonts w:hint="eastAsia" w:ascii="宋体" w:hAnsi="宋体" w:cs="宋体"/>
          <w:bCs/>
          <w:color w:val="auto"/>
          <w:sz w:val="24"/>
          <w:highlight w:val="none"/>
        </w:rPr>
      </w:pPr>
      <w:r>
        <w:rPr>
          <w:rFonts w:hint="eastAsia" w:ascii="宋体" w:hAnsi="宋体" w:cs="宋体"/>
          <w:bCs/>
          <w:color w:val="auto"/>
          <w:sz w:val="24"/>
          <w:highlight w:val="none"/>
        </w:rPr>
        <w:t>单站点考核结果在60分以下，扣除全部站点</w:t>
      </w:r>
      <w:r>
        <w:rPr>
          <w:rFonts w:ascii="宋体" w:hAnsi="宋体" w:cs="宋体"/>
          <w:bCs/>
          <w:color w:val="auto"/>
          <w:sz w:val="24"/>
          <w:highlight w:val="none"/>
        </w:rPr>
        <w:t>考核时间段</w:t>
      </w:r>
      <w:r>
        <w:rPr>
          <w:rFonts w:hint="eastAsia" w:ascii="宋体" w:hAnsi="宋体" w:cs="宋体"/>
          <w:bCs/>
          <w:color w:val="auto"/>
          <w:sz w:val="24"/>
          <w:highlight w:val="none"/>
        </w:rPr>
        <w:t>整体运维费的</w:t>
      </w:r>
      <w:r>
        <w:rPr>
          <w:rFonts w:ascii="宋体" w:hAnsi="宋体" w:cs="宋体"/>
          <w:bCs/>
          <w:color w:val="auto"/>
          <w:sz w:val="24"/>
          <w:highlight w:val="none"/>
        </w:rPr>
        <w:t>3</w:t>
      </w:r>
      <w:r>
        <w:rPr>
          <w:rFonts w:hint="eastAsia" w:ascii="宋体" w:hAnsi="宋体" w:cs="宋体"/>
          <w:bCs/>
          <w:color w:val="auto"/>
          <w:sz w:val="24"/>
          <w:highlight w:val="none"/>
        </w:rPr>
        <w:t>0%，并责令整改；</w:t>
      </w:r>
    </w:p>
    <w:p w14:paraId="66A2CB4E">
      <w:pPr>
        <w:spacing w:line="360" w:lineRule="auto"/>
        <w:ind w:firstLine="480" w:firstLineChars="200"/>
        <w:jc w:val="left"/>
        <w:rPr>
          <w:color w:val="auto"/>
          <w:highlight w:val="none"/>
        </w:rPr>
      </w:pPr>
      <w:r>
        <w:rPr>
          <w:rFonts w:hint="eastAsia" w:ascii="宋体" w:hAnsi="宋体" w:cs="宋体"/>
          <w:bCs/>
          <w:color w:val="auto"/>
          <w:sz w:val="24"/>
          <w:highlight w:val="none"/>
        </w:rPr>
        <w:t>如有三个及以上站点考核结果在80分以下，扣除全部站点</w:t>
      </w:r>
      <w:r>
        <w:rPr>
          <w:rFonts w:ascii="宋体" w:hAnsi="宋体" w:cs="宋体"/>
          <w:bCs/>
          <w:color w:val="auto"/>
          <w:sz w:val="24"/>
          <w:highlight w:val="none"/>
        </w:rPr>
        <w:t>考核时间段</w:t>
      </w:r>
      <w:r>
        <w:rPr>
          <w:rFonts w:hint="eastAsia" w:ascii="宋体" w:hAnsi="宋体" w:cs="宋体"/>
          <w:bCs/>
          <w:color w:val="auto"/>
          <w:sz w:val="24"/>
          <w:highlight w:val="none"/>
        </w:rPr>
        <w:t>运维费，并责令整改，且采购人有权取消运维合同。</w:t>
      </w:r>
    </w:p>
    <w:p w14:paraId="0E5E6A4C">
      <w:pPr>
        <w:spacing w:line="360" w:lineRule="auto"/>
        <w:jc w:val="left"/>
        <w:rPr>
          <w:rFonts w:hint="eastAsia" w:ascii="宋体" w:hAnsi="宋体" w:cs="宋体"/>
          <w:b/>
          <w:color w:val="auto"/>
          <w:sz w:val="24"/>
          <w:highlight w:val="none"/>
        </w:rPr>
      </w:pPr>
      <w:r>
        <w:rPr>
          <w:rFonts w:hint="eastAsia" w:ascii="宋体" w:hAnsi="宋体" w:cs="宋体"/>
          <w:b/>
          <w:color w:val="auto"/>
          <w:sz w:val="24"/>
          <w:highlight w:val="none"/>
        </w:rPr>
        <w:t>三、其他规定</w:t>
      </w:r>
    </w:p>
    <w:p w14:paraId="57209BDB">
      <w:pPr>
        <w:spacing w:line="360" w:lineRule="auto"/>
        <w:ind w:firstLine="480" w:firstLineChars="200"/>
        <w:contextualSpacing/>
        <w:rPr>
          <w:rFonts w:hint="eastAsia" w:ascii="宋体" w:hAnsi="宋体" w:cs="宋体"/>
          <w:bCs/>
          <w:color w:val="auto"/>
          <w:sz w:val="24"/>
          <w:highlight w:val="none"/>
        </w:rPr>
      </w:pPr>
      <w:r>
        <w:rPr>
          <w:rFonts w:hint="eastAsia" w:ascii="宋体" w:hAnsi="宋体" w:cs="宋体"/>
          <w:bCs/>
          <w:color w:val="auto"/>
          <w:sz w:val="24"/>
          <w:highlight w:val="none"/>
        </w:rPr>
        <w:t>投标人有下列情形之一的，扣除相应站点</w:t>
      </w:r>
      <w:r>
        <w:rPr>
          <w:rFonts w:ascii="宋体" w:hAnsi="宋体" w:cs="宋体"/>
          <w:bCs/>
          <w:color w:val="auto"/>
          <w:sz w:val="24"/>
          <w:highlight w:val="none"/>
        </w:rPr>
        <w:t>考核时间段</w:t>
      </w:r>
      <w:r>
        <w:rPr>
          <w:rFonts w:hint="eastAsia" w:ascii="宋体" w:hAnsi="宋体" w:cs="宋体"/>
          <w:bCs/>
          <w:color w:val="auto"/>
          <w:sz w:val="24"/>
          <w:highlight w:val="none"/>
        </w:rPr>
        <w:t>运维经费：拖延、阻碍、拒绝质量检查或飞行检查的；发现采样、分析、数据采集和传输等过程人为干扰，未按要求及时向采购人报告的；因工作疏漏，未发现采样、分析、数据采集和传输等过程人为干扰的；其他不履行规定职责的情形。若情节严重，采购人有权终止运维合同。</w:t>
      </w:r>
    </w:p>
    <w:p w14:paraId="19080DE2">
      <w:pPr>
        <w:spacing w:line="360" w:lineRule="auto"/>
        <w:contextualSpacing/>
        <w:jc w:val="center"/>
        <w:rPr>
          <w:b/>
          <w:color w:val="auto"/>
          <w:sz w:val="24"/>
          <w:highlight w:val="none"/>
        </w:rPr>
      </w:pPr>
      <w:r>
        <w:rPr>
          <w:b/>
          <w:color w:val="auto"/>
          <w:sz w:val="24"/>
          <w:highlight w:val="none"/>
        </w:rPr>
        <w:t>表6 杭州市高精度温室气体监测网络运行管理考核表</w:t>
      </w:r>
    </w:p>
    <w:p w14:paraId="65094B1A">
      <w:pPr>
        <w:spacing w:line="360" w:lineRule="auto"/>
        <w:contextualSpacing/>
        <w:jc w:val="center"/>
        <w:rPr>
          <w:b/>
          <w:color w:val="auto"/>
          <w:sz w:val="24"/>
          <w:highlight w:val="none"/>
        </w:rPr>
      </w:pPr>
      <w:r>
        <w:rPr>
          <w:b/>
          <w:color w:val="auto"/>
          <w:sz w:val="24"/>
          <w:highlight w:val="none"/>
        </w:rPr>
        <w:t>（202  年第  季度）</w:t>
      </w:r>
    </w:p>
    <w:tbl>
      <w:tblPr>
        <w:tblStyle w:val="62"/>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7"/>
        <w:gridCol w:w="1322"/>
        <w:gridCol w:w="1187"/>
        <w:gridCol w:w="1714"/>
        <w:gridCol w:w="1514"/>
        <w:gridCol w:w="1227"/>
        <w:gridCol w:w="1167"/>
      </w:tblGrid>
      <w:tr w14:paraId="14867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97" w:type="dxa"/>
            <w:tcBorders>
              <w:tl2br w:val="single" w:color="auto" w:sz="4" w:space="0"/>
            </w:tcBorders>
            <w:vAlign w:val="center"/>
          </w:tcPr>
          <w:p w14:paraId="30930089">
            <w:pPr>
              <w:snapToGrid w:val="0"/>
              <w:spacing w:line="360" w:lineRule="auto"/>
              <w:ind w:firstLine="480" w:firstLineChars="200"/>
              <w:rPr>
                <w:color w:val="auto"/>
                <w:kern w:val="0"/>
                <w:sz w:val="24"/>
                <w:highlight w:val="none"/>
              </w:rPr>
            </w:pPr>
            <w:r>
              <w:rPr>
                <w:rFonts w:hint="eastAsia"/>
                <w:color w:val="auto"/>
                <w:kern w:val="0"/>
                <w:sz w:val="24"/>
                <w:highlight w:val="none"/>
              </w:rPr>
              <w:t>项目</w:t>
            </w:r>
          </w:p>
          <w:p w14:paraId="12884451">
            <w:pPr>
              <w:snapToGrid w:val="0"/>
              <w:spacing w:line="360" w:lineRule="auto"/>
              <w:rPr>
                <w:color w:val="auto"/>
                <w:sz w:val="24"/>
                <w:highlight w:val="none"/>
              </w:rPr>
            </w:pPr>
            <w:r>
              <w:rPr>
                <w:rFonts w:hint="eastAsia"/>
                <w:color w:val="auto"/>
                <w:sz w:val="24"/>
                <w:highlight w:val="none"/>
              </w:rPr>
              <w:t>站点</w:t>
            </w:r>
          </w:p>
        </w:tc>
        <w:tc>
          <w:tcPr>
            <w:tcW w:w="1322" w:type="dxa"/>
            <w:vAlign w:val="center"/>
          </w:tcPr>
          <w:p w14:paraId="10B181EA">
            <w:pPr>
              <w:snapToGrid w:val="0"/>
              <w:spacing w:line="360" w:lineRule="auto"/>
              <w:jc w:val="center"/>
              <w:rPr>
                <w:color w:val="auto"/>
                <w:kern w:val="0"/>
                <w:sz w:val="24"/>
                <w:highlight w:val="none"/>
              </w:rPr>
            </w:pPr>
            <w:r>
              <w:rPr>
                <w:rFonts w:hint="eastAsia"/>
                <w:color w:val="auto"/>
                <w:kern w:val="0"/>
                <w:sz w:val="24"/>
                <w:highlight w:val="none"/>
              </w:rPr>
              <w:t>站房与环境</w:t>
            </w:r>
          </w:p>
          <w:p w14:paraId="04D1A11D">
            <w:pPr>
              <w:snapToGrid w:val="0"/>
              <w:spacing w:line="360" w:lineRule="auto"/>
              <w:rPr>
                <w:color w:val="auto"/>
                <w:kern w:val="0"/>
                <w:sz w:val="24"/>
                <w:highlight w:val="none"/>
              </w:rPr>
            </w:pPr>
            <w:r>
              <w:rPr>
                <w:rFonts w:hint="eastAsia"/>
                <w:color w:val="auto"/>
                <w:kern w:val="0"/>
                <w:sz w:val="24"/>
                <w:highlight w:val="none"/>
              </w:rPr>
              <w:t>（15分）</w:t>
            </w:r>
          </w:p>
        </w:tc>
        <w:tc>
          <w:tcPr>
            <w:tcW w:w="1187" w:type="dxa"/>
            <w:vAlign w:val="center"/>
          </w:tcPr>
          <w:p w14:paraId="791E845D">
            <w:pPr>
              <w:snapToGrid w:val="0"/>
              <w:spacing w:line="360" w:lineRule="auto"/>
              <w:jc w:val="center"/>
              <w:rPr>
                <w:color w:val="auto"/>
                <w:kern w:val="0"/>
                <w:sz w:val="24"/>
                <w:highlight w:val="none"/>
              </w:rPr>
            </w:pPr>
            <w:r>
              <w:rPr>
                <w:rFonts w:hint="eastAsia"/>
                <w:color w:val="auto"/>
                <w:kern w:val="0"/>
                <w:sz w:val="24"/>
                <w:highlight w:val="none"/>
              </w:rPr>
              <w:t>仪器性能</w:t>
            </w:r>
          </w:p>
          <w:p w14:paraId="22C8D1C8">
            <w:pPr>
              <w:snapToGrid w:val="0"/>
              <w:spacing w:line="360" w:lineRule="auto"/>
              <w:jc w:val="center"/>
              <w:rPr>
                <w:color w:val="auto"/>
                <w:kern w:val="0"/>
                <w:sz w:val="24"/>
                <w:highlight w:val="none"/>
              </w:rPr>
            </w:pPr>
            <w:r>
              <w:rPr>
                <w:rFonts w:hint="eastAsia"/>
                <w:color w:val="auto"/>
                <w:kern w:val="0"/>
                <w:sz w:val="24"/>
                <w:highlight w:val="none"/>
              </w:rPr>
              <w:t>（25分）</w:t>
            </w:r>
          </w:p>
        </w:tc>
        <w:tc>
          <w:tcPr>
            <w:tcW w:w="1714" w:type="dxa"/>
            <w:vAlign w:val="center"/>
          </w:tcPr>
          <w:p w14:paraId="0D24B203">
            <w:pPr>
              <w:snapToGrid w:val="0"/>
              <w:spacing w:line="360" w:lineRule="auto"/>
              <w:jc w:val="center"/>
              <w:rPr>
                <w:color w:val="auto"/>
                <w:kern w:val="0"/>
                <w:sz w:val="24"/>
                <w:highlight w:val="none"/>
              </w:rPr>
            </w:pPr>
            <w:r>
              <w:rPr>
                <w:rFonts w:hint="eastAsia"/>
                <w:color w:val="auto"/>
                <w:kern w:val="0"/>
                <w:sz w:val="24"/>
                <w:highlight w:val="none"/>
              </w:rPr>
              <w:t>有效数据获取率</w:t>
            </w:r>
          </w:p>
          <w:p w14:paraId="53CDD416">
            <w:pPr>
              <w:snapToGrid w:val="0"/>
              <w:spacing w:line="360" w:lineRule="auto"/>
              <w:jc w:val="center"/>
              <w:rPr>
                <w:color w:val="auto"/>
                <w:kern w:val="0"/>
                <w:sz w:val="24"/>
                <w:highlight w:val="none"/>
              </w:rPr>
            </w:pPr>
            <w:r>
              <w:rPr>
                <w:rFonts w:hint="eastAsia"/>
                <w:color w:val="auto"/>
                <w:kern w:val="0"/>
                <w:sz w:val="24"/>
                <w:highlight w:val="none"/>
              </w:rPr>
              <w:t>（15分）</w:t>
            </w:r>
          </w:p>
        </w:tc>
        <w:tc>
          <w:tcPr>
            <w:tcW w:w="1514" w:type="dxa"/>
            <w:vAlign w:val="center"/>
          </w:tcPr>
          <w:p w14:paraId="1A4E3646">
            <w:pPr>
              <w:snapToGrid w:val="0"/>
              <w:spacing w:line="360" w:lineRule="auto"/>
              <w:jc w:val="center"/>
              <w:rPr>
                <w:color w:val="auto"/>
                <w:kern w:val="0"/>
                <w:sz w:val="24"/>
                <w:highlight w:val="none"/>
              </w:rPr>
            </w:pPr>
            <w:r>
              <w:rPr>
                <w:rFonts w:hint="eastAsia"/>
                <w:color w:val="auto"/>
                <w:kern w:val="0"/>
                <w:sz w:val="24"/>
                <w:highlight w:val="none"/>
              </w:rPr>
              <w:t>数据审核</w:t>
            </w:r>
          </w:p>
          <w:p w14:paraId="4584CC95">
            <w:pPr>
              <w:snapToGrid w:val="0"/>
              <w:spacing w:line="360" w:lineRule="auto"/>
              <w:jc w:val="center"/>
              <w:rPr>
                <w:color w:val="auto"/>
                <w:kern w:val="0"/>
                <w:sz w:val="24"/>
                <w:highlight w:val="none"/>
              </w:rPr>
            </w:pPr>
            <w:r>
              <w:rPr>
                <w:rFonts w:hint="eastAsia"/>
                <w:color w:val="auto"/>
                <w:kern w:val="0"/>
                <w:sz w:val="24"/>
                <w:highlight w:val="none"/>
              </w:rPr>
              <w:t>（25分）</w:t>
            </w:r>
          </w:p>
        </w:tc>
        <w:tc>
          <w:tcPr>
            <w:tcW w:w="1227" w:type="dxa"/>
            <w:vAlign w:val="center"/>
          </w:tcPr>
          <w:p w14:paraId="12A94FF7">
            <w:pPr>
              <w:snapToGrid w:val="0"/>
              <w:spacing w:line="360" w:lineRule="auto"/>
              <w:jc w:val="center"/>
              <w:rPr>
                <w:color w:val="auto"/>
                <w:kern w:val="0"/>
                <w:sz w:val="24"/>
                <w:highlight w:val="none"/>
              </w:rPr>
            </w:pPr>
            <w:r>
              <w:rPr>
                <w:rFonts w:hint="eastAsia"/>
                <w:color w:val="auto"/>
                <w:kern w:val="0"/>
                <w:sz w:val="24"/>
                <w:highlight w:val="none"/>
              </w:rPr>
              <w:t>记录文档</w:t>
            </w:r>
          </w:p>
          <w:p w14:paraId="046D766C">
            <w:pPr>
              <w:snapToGrid w:val="0"/>
              <w:spacing w:line="360" w:lineRule="auto"/>
              <w:jc w:val="center"/>
              <w:rPr>
                <w:color w:val="auto"/>
                <w:kern w:val="0"/>
                <w:sz w:val="24"/>
                <w:highlight w:val="none"/>
              </w:rPr>
            </w:pPr>
            <w:r>
              <w:rPr>
                <w:rFonts w:hint="eastAsia"/>
                <w:color w:val="auto"/>
                <w:kern w:val="0"/>
                <w:sz w:val="24"/>
                <w:highlight w:val="none"/>
              </w:rPr>
              <w:t>（20分）</w:t>
            </w:r>
          </w:p>
        </w:tc>
        <w:tc>
          <w:tcPr>
            <w:tcW w:w="1167" w:type="dxa"/>
            <w:vAlign w:val="center"/>
          </w:tcPr>
          <w:p w14:paraId="7664CFD8">
            <w:pPr>
              <w:snapToGrid w:val="0"/>
              <w:spacing w:line="360" w:lineRule="auto"/>
              <w:jc w:val="center"/>
              <w:rPr>
                <w:color w:val="auto"/>
                <w:kern w:val="0"/>
                <w:sz w:val="24"/>
                <w:highlight w:val="none"/>
              </w:rPr>
            </w:pPr>
            <w:r>
              <w:rPr>
                <w:rFonts w:hint="eastAsia"/>
                <w:color w:val="auto"/>
                <w:kern w:val="0"/>
                <w:sz w:val="24"/>
                <w:highlight w:val="none"/>
              </w:rPr>
              <w:t>得分</w:t>
            </w:r>
          </w:p>
        </w:tc>
      </w:tr>
      <w:tr w14:paraId="717DD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97" w:type="dxa"/>
            <w:vAlign w:val="center"/>
          </w:tcPr>
          <w:p w14:paraId="068FC7B1">
            <w:pPr>
              <w:snapToGrid w:val="0"/>
              <w:spacing w:line="360" w:lineRule="auto"/>
              <w:jc w:val="center"/>
              <w:rPr>
                <w:color w:val="auto"/>
                <w:kern w:val="0"/>
                <w:sz w:val="24"/>
                <w:highlight w:val="none"/>
              </w:rPr>
            </w:pPr>
            <w:r>
              <w:rPr>
                <w:rFonts w:hint="eastAsia"/>
                <w:color w:val="auto"/>
                <w:kern w:val="0"/>
                <w:sz w:val="24"/>
                <w:highlight w:val="none"/>
              </w:rPr>
              <w:t>景芳站</w:t>
            </w:r>
          </w:p>
        </w:tc>
        <w:tc>
          <w:tcPr>
            <w:tcW w:w="1322" w:type="dxa"/>
            <w:vAlign w:val="center"/>
          </w:tcPr>
          <w:p w14:paraId="54EC781D">
            <w:pPr>
              <w:snapToGrid w:val="0"/>
              <w:spacing w:line="360" w:lineRule="auto"/>
              <w:jc w:val="center"/>
              <w:rPr>
                <w:color w:val="auto"/>
                <w:kern w:val="0"/>
                <w:sz w:val="24"/>
                <w:highlight w:val="none"/>
              </w:rPr>
            </w:pPr>
          </w:p>
        </w:tc>
        <w:tc>
          <w:tcPr>
            <w:tcW w:w="1187" w:type="dxa"/>
            <w:vAlign w:val="center"/>
          </w:tcPr>
          <w:p w14:paraId="0EC8CDD3">
            <w:pPr>
              <w:snapToGrid w:val="0"/>
              <w:spacing w:line="360" w:lineRule="auto"/>
              <w:jc w:val="center"/>
              <w:rPr>
                <w:color w:val="auto"/>
                <w:kern w:val="0"/>
                <w:sz w:val="24"/>
                <w:highlight w:val="none"/>
              </w:rPr>
            </w:pPr>
          </w:p>
        </w:tc>
        <w:tc>
          <w:tcPr>
            <w:tcW w:w="1714" w:type="dxa"/>
            <w:vAlign w:val="center"/>
          </w:tcPr>
          <w:p w14:paraId="488CD099">
            <w:pPr>
              <w:snapToGrid w:val="0"/>
              <w:spacing w:line="360" w:lineRule="auto"/>
              <w:jc w:val="center"/>
              <w:rPr>
                <w:color w:val="auto"/>
                <w:kern w:val="0"/>
                <w:sz w:val="24"/>
                <w:highlight w:val="none"/>
              </w:rPr>
            </w:pPr>
          </w:p>
        </w:tc>
        <w:tc>
          <w:tcPr>
            <w:tcW w:w="1514" w:type="dxa"/>
          </w:tcPr>
          <w:p w14:paraId="5D2B5938">
            <w:pPr>
              <w:snapToGrid w:val="0"/>
              <w:spacing w:line="360" w:lineRule="auto"/>
              <w:jc w:val="center"/>
              <w:rPr>
                <w:color w:val="auto"/>
                <w:kern w:val="0"/>
                <w:sz w:val="24"/>
                <w:highlight w:val="none"/>
              </w:rPr>
            </w:pPr>
          </w:p>
        </w:tc>
        <w:tc>
          <w:tcPr>
            <w:tcW w:w="1227" w:type="dxa"/>
          </w:tcPr>
          <w:p w14:paraId="630A98CD">
            <w:pPr>
              <w:snapToGrid w:val="0"/>
              <w:spacing w:line="360" w:lineRule="auto"/>
              <w:jc w:val="center"/>
              <w:rPr>
                <w:color w:val="auto"/>
                <w:kern w:val="0"/>
                <w:sz w:val="24"/>
                <w:highlight w:val="none"/>
              </w:rPr>
            </w:pPr>
          </w:p>
        </w:tc>
        <w:tc>
          <w:tcPr>
            <w:tcW w:w="1167" w:type="dxa"/>
          </w:tcPr>
          <w:p w14:paraId="2894DA0C">
            <w:pPr>
              <w:snapToGrid w:val="0"/>
              <w:spacing w:line="360" w:lineRule="auto"/>
              <w:jc w:val="center"/>
              <w:rPr>
                <w:color w:val="auto"/>
                <w:kern w:val="0"/>
                <w:sz w:val="24"/>
                <w:highlight w:val="none"/>
              </w:rPr>
            </w:pPr>
          </w:p>
        </w:tc>
      </w:tr>
      <w:tr w14:paraId="61CC6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97" w:type="dxa"/>
            <w:vAlign w:val="center"/>
          </w:tcPr>
          <w:p w14:paraId="037752BB">
            <w:pPr>
              <w:snapToGrid w:val="0"/>
              <w:spacing w:line="360" w:lineRule="auto"/>
              <w:jc w:val="center"/>
              <w:rPr>
                <w:color w:val="auto"/>
                <w:kern w:val="0"/>
                <w:sz w:val="24"/>
                <w:highlight w:val="none"/>
              </w:rPr>
            </w:pPr>
            <w:r>
              <w:rPr>
                <w:rFonts w:hint="eastAsia"/>
                <w:color w:val="auto"/>
                <w:kern w:val="0"/>
                <w:sz w:val="24"/>
                <w:highlight w:val="none"/>
              </w:rPr>
              <w:t>临平工业区站</w:t>
            </w:r>
          </w:p>
        </w:tc>
        <w:tc>
          <w:tcPr>
            <w:tcW w:w="1322" w:type="dxa"/>
            <w:vAlign w:val="center"/>
          </w:tcPr>
          <w:p w14:paraId="13AD79D2">
            <w:pPr>
              <w:snapToGrid w:val="0"/>
              <w:spacing w:line="360" w:lineRule="auto"/>
              <w:jc w:val="center"/>
              <w:rPr>
                <w:color w:val="auto"/>
                <w:kern w:val="0"/>
                <w:sz w:val="24"/>
                <w:highlight w:val="none"/>
              </w:rPr>
            </w:pPr>
          </w:p>
        </w:tc>
        <w:tc>
          <w:tcPr>
            <w:tcW w:w="1187" w:type="dxa"/>
            <w:vAlign w:val="center"/>
          </w:tcPr>
          <w:p w14:paraId="01273560">
            <w:pPr>
              <w:snapToGrid w:val="0"/>
              <w:spacing w:line="360" w:lineRule="auto"/>
              <w:jc w:val="center"/>
              <w:rPr>
                <w:color w:val="auto"/>
                <w:kern w:val="0"/>
                <w:sz w:val="24"/>
                <w:highlight w:val="none"/>
              </w:rPr>
            </w:pPr>
          </w:p>
        </w:tc>
        <w:tc>
          <w:tcPr>
            <w:tcW w:w="1714" w:type="dxa"/>
            <w:vAlign w:val="center"/>
          </w:tcPr>
          <w:p w14:paraId="58374D4F">
            <w:pPr>
              <w:snapToGrid w:val="0"/>
              <w:spacing w:line="360" w:lineRule="auto"/>
              <w:jc w:val="center"/>
              <w:rPr>
                <w:color w:val="auto"/>
                <w:kern w:val="0"/>
                <w:sz w:val="24"/>
                <w:highlight w:val="none"/>
              </w:rPr>
            </w:pPr>
          </w:p>
        </w:tc>
        <w:tc>
          <w:tcPr>
            <w:tcW w:w="1514" w:type="dxa"/>
          </w:tcPr>
          <w:p w14:paraId="5C9DBAB2">
            <w:pPr>
              <w:snapToGrid w:val="0"/>
              <w:spacing w:line="360" w:lineRule="auto"/>
              <w:jc w:val="center"/>
              <w:rPr>
                <w:color w:val="auto"/>
                <w:kern w:val="0"/>
                <w:sz w:val="24"/>
                <w:highlight w:val="none"/>
              </w:rPr>
            </w:pPr>
          </w:p>
        </w:tc>
        <w:tc>
          <w:tcPr>
            <w:tcW w:w="1227" w:type="dxa"/>
          </w:tcPr>
          <w:p w14:paraId="2A1032A8">
            <w:pPr>
              <w:snapToGrid w:val="0"/>
              <w:spacing w:line="360" w:lineRule="auto"/>
              <w:jc w:val="center"/>
              <w:rPr>
                <w:color w:val="auto"/>
                <w:kern w:val="0"/>
                <w:sz w:val="24"/>
                <w:highlight w:val="none"/>
              </w:rPr>
            </w:pPr>
          </w:p>
        </w:tc>
        <w:tc>
          <w:tcPr>
            <w:tcW w:w="1167" w:type="dxa"/>
          </w:tcPr>
          <w:p w14:paraId="4A741166">
            <w:pPr>
              <w:snapToGrid w:val="0"/>
              <w:spacing w:line="360" w:lineRule="auto"/>
              <w:jc w:val="center"/>
              <w:rPr>
                <w:color w:val="auto"/>
                <w:kern w:val="0"/>
                <w:sz w:val="24"/>
                <w:highlight w:val="none"/>
              </w:rPr>
            </w:pPr>
          </w:p>
        </w:tc>
      </w:tr>
      <w:tr w14:paraId="19183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97" w:type="dxa"/>
            <w:vAlign w:val="center"/>
          </w:tcPr>
          <w:p w14:paraId="78FED4E2">
            <w:pPr>
              <w:snapToGrid w:val="0"/>
              <w:spacing w:line="360" w:lineRule="auto"/>
              <w:jc w:val="center"/>
              <w:rPr>
                <w:color w:val="auto"/>
                <w:kern w:val="0"/>
                <w:sz w:val="24"/>
                <w:highlight w:val="none"/>
              </w:rPr>
            </w:pPr>
            <w:r>
              <w:rPr>
                <w:rFonts w:hint="eastAsia"/>
                <w:color w:val="auto"/>
                <w:kern w:val="0"/>
                <w:sz w:val="24"/>
                <w:highlight w:val="none"/>
              </w:rPr>
              <w:t>大江东站</w:t>
            </w:r>
          </w:p>
        </w:tc>
        <w:tc>
          <w:tcPr>
            <w:tcW w:w="1322" w:type="dxa"/>
            <w:vAlign w:val="center"/>
          </w:tcPr>
          <w:p w14:paraId="6339D2CB">
            <w:pPr>
              <w:snapToGrid w:val="0"/>
              <w:spacing w:line="360" w:lineRule="auto"/>
              <w:jc w:val="center"/>
              <w:rPr>
                <w:color w:val="auto"/>
                <w:kern w:val="0"/>
                <w:sz w:val="24"/>
                <w:highlight w:val="none"/>
              </w:rPr>
            </w:pPr>
          </w:p>
        </w:tc>
        <w:tc>
          <w:tcPr>
            <w:tcW w:w="1187" w:type="dxa"/>
            <w:vAlign w:val="center"/>
          </w:tcPr>
          <w:p w14:paraId="3C5896C7">
            <w:pPr>
              <w:snapToGrid w:val="0"/>
              <w:spacing w:line="360" w:lineRule="auto"/>
              <w:jc w:val="center"/>
              <w:rPr>
                <w:color w:val="auto"/>
                <w:kern w:val="0"/>
                <w:sz w:val="24"/>
                <w:highlight w:val="none"/>
              </w:rPr>
            </w:pPr>
          </w:p>
        </w:tc>
        <w:tc>
          <w:tcPr>
            <w:tcW w:w="1714" w:type="dxa"/>
            <w:vAlign w:val="center"/>
          </w:tcPr>
          <w:p w14:paraId="2D9D32C0">
            <w:pPr>
              <w:snapToGrid w:val="0"/>
              <w:spacing w:line="360" w:lineRule="auto"/>
              <w:jc w:val="center"/>
              <w:rPr>
                <w:color w:val="auto"/>
                <w:kern w:val="0"/>
                <w:sz w:val="24"/>
                <w:highlight w:val="none"/>
              </w:rPr>
            </w:pPr>
          </w:p>
        </w:tc>
        <w:tc>
          <w:tcPr>
            <w:tcW w:w="1514" w:type="dxa"/>
          </w:tcPr>
          <w:p w14:paraId="02B0BD28">
            <w:pPr>
              <w:snapToGrid w:val="0"/>
              <w:spacing w:line="360" w:lineRule="auto"/>
              <w:jc w:val="center"/>
              <w:rPr>
                <w:color w:val="auto"/>
                <w:kern w:val="0"/>
                <w:sz w:val="24"/>
                <w:highlight w:val="none"/>
              </w:rPr>
            </w:pPr>
          </w:p>
        </w:tc>
        <w:tc>
          <w:tcPr>
            <w:tcW w:w="1227" w:type="dxa"/>
          </w:tcPr>
          <w:p w14:paraId="51554CFF">
            <w:pPr>
              <w:snapToGrid w:val="0"/>
              <w:spacing w:line="360" w:lineRule="auto"/>
              <w:jc w:val="center"/>
              <w:rPr>
                <w:color w:val="auto"/>
                <w:kern w:val="0"/>
                <w:sz w:val="24"/>
                <w:highlight w:val="none"/>
              </w:rPr>
            </w:pPr>
          </w:p>
        </w:tc>
        <w:tc>
          <w:tcPr>
            <w:tcW w:w="1167" w:type="dxa"/>
          </w:tcPr>
          <w:p w14:paraId="5077A596">
            <w:pPr>
              <w:snapToGrid w:val="0"/>
              <w:spacing w:line="360" w:lineRule="auto"/>
              <w:jc w:val="center"/>
              <w:rPr>
                <w:color w:val="auto"/>
                <w:kern w:val="0"/>
                <w:sz w:val="24"/>
                <w:highlight w:val="none"/>
              </w:rPr>
            </w:pPr>
          </w:p>
        </w:tc>
      </w:tr>
      <w:tr w14:paraId="4A1E1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97" w:type="dxa"/>
            <w:tcBorders>
              <w:bottom w:val="single" w:color="auto" w:sz="4" w:space="0"/>
            </w:tcBorders>
            <w:vAlign w:val="center"/>
          </w:tcPr>
          <w:p w14:paraId="514B7505">
            <w:pPr>
              <w:snapToGrid w:val="0"/>
              <w:spacing w:line="360" w:lineRule="auto"/>
              <w:jc w:val="center"/>
              <w:rPr>
                <w:color w:val="auto"/>
                <w:kern w:val="0"/>
                <w:sz w:val="24"/>
                <w:highlight w:val="none"/>
              </w:rPr>
            </w:pPr>
            <w:r>
              <w:rPr>
                <w:rFonts w:hint="eastAsia"/>
                <w:color w:val="auto"/>
                <w:kern w:val="0"/>
                <w:sz w:val="24"/>
                <w:highlight w:val="none"/>
              </w:rPr>
              <w:t>富阳骆村站</w:t>
            </w:r>
          </w:p>
        </w:tc>
        <w:tc>
          <w:tcPr>
            <w:tcW w:w="1322" w:type="dxa"/>
            <w:tcBorders>
              <w:bottom w:val="single" w:color="auto" w:sz="4" w:space="0"/>
            </w:tcBorders>
            <w:vAlign w:val="center"/>
          </w:tcPr>
          <w:p w14:paraId="56D513C3">
            <w:pPr>
              <w:snapToGrid w:val="0"/>
              <w:spacing w:line="360" w:lineRule="auto"/>
              <w:jc w:val="center"/>
              <w:rPr>
                <w:color w:val="auto"/>
                <w:kern w:val="0"/>
                <w:sz w:val="24"/>
                <w:highlight w:val="none"/>
              </w:rPr>
            </w:pPr>
          </w:p>
        </w:tc>
        <w:tc>
          <w:tcPr>
            <w:tcW w:w="1187" w:type="dxa"/>
            <w:tcBorders>
              <w:bottom w:val="single" w:color="auto" w:sz="4" w:space="0"/>
            </w:tcBorders>
            <w:vAlign w:val="center"/>
          </w:tcPr>
          <w:p w14:paraId="4763FC9A">
            <w:pPr>
              <w:snapToGrid w:val="0"/>
              <w:spacing w:line="360" w:lineRule="auto"/>
              <w:jc w:val="center"/>
              <w:rPr>
                <w:color w:val="auto"/>
                <w:kern w:val="0"/>
                <w:sz w:val="24"/>
                <w:highlight w:val="none"/>
              </w:rPr>
            </w:pPr>
          </w:p>
        </w:tc>
        <w:tc>
          <w:tcPr>
            <w:tcW w:w="1714" w:type="dxa"/>
            <w:tcBorders>
              <w:bottom w:val="single" w:color="auto" w:sz="4" w:space="0"/>
            </w:tcBorders>
            <w:vAlign w:val="center"/>
          </w:tcPr>
          <w:p w14:paraId="61DE74D6">
            <w:pPr>
              <w:snapToGrid w:val="0"/>
              <w:spacing w:line="360" w:lineRule="auto"/>
              <w:jc w:val="center"/>
              <w:rPr>
                <w:color w:val="auto"/>
                <w:kern w:val="0"/>
                <w:sz w:val="24"/>
                <w:highlight w:val="none"/>
              </w:rPr>
            </w:pPr>
          </w:p>
        </w:tc>
        <w:tc>
          <w:tcPr>
            <w:tcW w:w="1514" w:type="dxa"/>
            <w:tcBorders>
              <w:bottom w:val="single" w:color="auto" w:sz="4" w:space="0"/>
            </w:tcBorders>
          </w:tcPr>
          <w:p w14:paraId="2E352E3A">
            <w:pPr>
              <w:snapToGrid w:val="0"/>
              <w:spacing w:line="360" w:lineRule="auto"/>
              <w:jc w:val="center"/>
              <w:rPr>
                <w:color w:val="auto"/>
                <w:kern w:val="0"/>
                <w:sz w:val="24"/>
                <w:highlight w:val="none"/>
              </w:rPr>
            </w:pPr>
          </w:p>
        </w:tc>
        <w:tc>
          <w:tcPr>
            <w:tcW w:w="1227" w:type="dxa"/>
            <w:tcBorders>
              <w:bottom w:val="single" w:color="auto" w:sz="4" w:space="0"/>
            </w:tcBorders>
          </w:tcPr>
          <w:p w14:paraId="493B43E8">
            <w:pPr>
              <w:snapToGrid w:val="0"/>
              <w:spacing w:line="360" w:lineRule="auto"/>
              <w:jc w:val="center"/>
              <w:rPr>
                <w:color w:val="auto"/>
                <w:kern w:val="0"/>
                <w:sz w:val="24"/>
                <w:highlight w:val="none"/>
              </w:rPr>
            </w:pPr>
          </w:p>
        </w:tc>
        <w:tc>
          <w:tcPr>
            <w:tcW w:w="1167" w:type="dxa"/>
            <w:tcBorders>
              <w:bottom w:val="single" w:color="auto" w:sz="4" w:space="0"/>
            </w:tcBorders>
          </w:tcPr>
          <w:p w14:paraId="01A8F726">
            <w:pPr>
              <w:snapToGrid w:val="0"/>
              <w:spacing w:line="360" w:lineRule="auto"/>
              <w:jc w:val="center"/>
              <w:rPr>
                <w:color w:val="auto"/>
                <w:kern w:val="0"/>
                <w:sz w:val="24"/>
                <w:highlight w:val="none"/>
              </w:rPr>
            </w:pPr>
          </w:p>
        </w:tc>
      </w:tr>
      <w:tr w14:paraId="5B993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97" w:type="dxa"/>
            <w:tcBorders>
              <w:bottom w:val="single" w:color="auto" w:sz="4" w:space="0"/>
            </w:tcBorders>
            <w:vAlign w:val="center"/>
          </w:tcPr>
          <w:p w14:paraId="7F031042">
            <w:pPr>
              <w:snapToGrid w:val="0"/>
              <w:spacing w:line="360" w:lineRule="auto"/>
              <w:jc w:val="center"/>
              <w:rPr>
                <w:color w:val="auto"/>
                <w:kern w:val="0"/>
                <w:sz w:val="24"/>
                <w:highlight w:val="none"/>
              </w:rPr>
            </w:pPr>
            <w:r>
              <w:rPr>
                <w:rFonts w:hint="eastAsia"/>
                <w:color w:val="auto"/>
                <w:kern w:val="0"/>
                <w:sz w:val="24"/>
                <w:highlight w:val="none"/>
              </w:rPr>
              <w:t>淳安燕山站</w:t>
            </w:r>
          </w:p>
        </w:tc>
        <w:tc>
          <w:tcPr>
            <w:tcW w:w="1322" w:type="dxa"/>
            <w:tcBorders>
              <w:bottom w:val="single" w:color="auto" w:sz="4" w:space="0"/>
            </w:tcBorders>
            <w:vAlign w:val="center"/>
          </w:tcPr>
          <w:p w14:paraId="3393BE25">
            <w:pPr>
              <w:snapToGrid w:val="0"/>
              <w:spacing w:line="360" w:lineRule="auto"/>
              <w:jc w:val="center"/>
              <w:rPr>
                <w:color w:val="auto"/>
                <w:kern w:val="0"/>
                <w:sz w:val="24"/>
                <w:highlight w:val="none"/>
              </w:rPr>
            </w:pPr>
          </w:p>
        </w:tc>
        <w:tc>
          <w:tcPr>
            <w:tcW w:w="1187" w:type="dxa"/>
            <w:tcBorders>
              <w:bottom w:val="single" w:color="auto" w:sz="4" w:space="0"/>
            </w:tcBorders>
            <w:vAlign w:val="center"/>
          </w:tcPr>
          <w:p w14:paraId="45F2692F">
            <w:pPr>
              <w:snapToGrid w:val="0"/>
              <w:spacing w:line="360" w:lineRule="auto"/>
              <w:jc w:val="center"/>
              <w:rPr>
                <w:color w:val="auto"/>
                <w:kern w:val="0"/>
                <w:sz w:val="24"/>
                <w:highlight w:val="none"/>
              </w:rPr>
            </w:pPr>
          </w:p>
        </w:tc>
        <w:tc>
          <w:tcPr>
            <w:tcW w:w="1714" w:type="dxa"/>
            <w:tcBorders>
              <w:bottom w:val="single" w:color="auto" w:sz="4" w:space="0"/>
            </w:tcBorders>
            <w:vAlign w:val="center"/>
          </w:tcPr>
          <w:p w14:paraId="7FB9FE72">
            <w:pPr>
              <w:snapToGrid w:val="0"/>
              <w:spacing w:line="360" w:lineRule="auto"/>
              <w:jc w:val="center"/>
              <w:rPr>
                <w:color w:val="auto"/>
                <w:kern w:val="0"/>
                <w:sz w:val="24"/>
                <w:highlight w:val="none"/>
              </w:rPr>
            </w:pPr>
          </w:p>
        </w:tc>
        <w:tc>
          <w:tcPr>
            <w:tcW w:w="1514" w:type="dxa"/>
            <w:tcBorders>
              <w:bottom w:val="single" w:color="auto" w:sz="4" w:space="0"/>
            </w:tcBorders>
          </w:tcPr>
          <w:p w14:paraId="1D635B78">
            <w:pPr>
              <w:snapToGrid w:val="0"/>
              <w:spacing w:line="360" w:lineRule="auto"/>
              <w:jc w:val="center"/>
              <w:rPr>
                <w:color w:val="auto"/>
                <w:kern w:val="0"/>
                <w:sz w:val="24"/>
                <w:highlight w:val="none"/>
              </w:rPr>
            </w:pPr>
          </w:p>
        </w:tc>
        <w:tc>
          <w:tcPr>
            <w:tcW w:w="1227" w:type="dxa"/>
            <w:tcBorders>
              <w:bottom w:val="single" w:color="auto" w:sz="4" w:space="0"/>
            </w:tcBorders>
          </w:tcPr>
          <w:p w14:paraId="07B8CE68">
            <w:pPr>
              <w:snapToGrid w:val="0"/>
              <w:spacing w:line="360" w:lineRule="auto"/>
              <w:jc w:val="center"/>
              <w:rPr>
                <w:color w:val="auto"/>
                <w:kern w:val="0"/>
                <w:sz w:val="24"/>
                <w:highlight w:val="none"/>
              </w:rPr>
            </w:pPr>
          </w:p>
        </w:tc>
        <w:tc>
          <w:tcPr>
            <w:tcW w:w="1167" w:type="dxa"/>
            <w:tcBorders>
              <w:bottom w:val="single" w:color="auto" w:sz="4" w:space="0"/>
            </w:tcBorders>
          </w:tcPr>
          <w:p w14:paraId="57D32E04">
            <w:pPr>
              <w:snapToGrid w:val="0"/>
              <w:spacing w:line="360" w:lineRule="auto"/>
              <w:jc w:val="center"/>
              <w:rPr>
                <w:color w:val="auto"/>
                <w:kern w:val="0"/>
                <w:sz w:val="24"/>
                <w:highlight w:val="none"/>
              </w:rPr>
            </w:pPr>
          </w:p>
        </w:tc>
      </w:tr>
      <w:tr w14:paraId="5ACAF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97" w:type="dxa"/>
            <w:tcBorders>
              <w:bottom w:val="single" w:color="auto" w:sz="4" w:space="0"/>
            </w:tcBorders>
            <w:vAlign w:val="center"/>
          </w:tcPr>
          <w:p w14:paraId="21194E28">
            <w:pPr>
              <w:snapToGrid w:val="0"/>
              <w:spacing w:line="360" w:lineRule="auto"/>
              <w:jc w:val="center"/>
              <w:rPr>
                <w:color w:val="auto"/>
                <w:kern w:val="0"/>
                <w:sz w:val="24"/>
                <w:highlight w:val="none"/>
              </w:rPr>
            </w:pPr>
            <w:r>
              <w:rPr>
                <w:rFonts w:hint="eastAsia"/>
                <w:color w:val="auto"/>
                <w:kern w:val="0"/>
                <w:sz w:val="24"/>
                <w:highlight w:val="none"/>
              </w:rPr>
              <w:t>临安大明山站</w:t>
            </w:r>
          </w:p>
        </w:tc>
        <w:tc>
          <w:tcPr>
            <w:tcW w:w="1322" w:type="dxa"/>
            <w:tcBorders>
              <w:bottom w:val="single" w:color="auto" w:sz="4" w:space="0"/>
            </w:tcBorders>
            <w:vAlign w:val="center"/>
          </w:tcPr>
          <w:p w14:paraId="62D81FD5">
            <w:pPr>
              <w:snapToGrid w:val="0"/>
              <w:spacing w:line="360" w:lineRule="auto"/>
              <w:jc w:val="center"/>
              <w:rPr>
                <w:color w:val="auto"/>
                <w:kern w:val="0"/>
                <w:sz w:val="24"/>
                <w:highlight w:val="none"/>
              </w:rPr>
            </w:pPr>
          </w:p>
        </w:tc>
        <w:tc>
          <w:tcPr>
            <w:tcW w:w="1187" w:type="dxa"/>
            <w:tcBorders>
              <w:bottom w:val="single" w:color="auto" w:sz="4" w:space="0"/>
            </w:tcBorders>
            <w:vAlign w:val="center"/>
          </w:tcPr>
          <w:p w14:paraId="184A1D47">
            <w:pPr>
              <w:snapToGrid w:val="0"/>
              <w:spacing w:line="360" w:lineRule="auto"/>
              <w:jc w:val="center"/>
              <w:rPr>
                <w:color w:val="auto"/>
                <w:kern w:val="0"/>
                <w:sz w:val="24"/>
                <w:highlight w:val="none"/>
              </w:rPr>
            </w:pPr>
          </w:p>
        </w:tc>
        <w:tc>
          <w:tcPr>
            <w:tcW w:w="1714" w:type="dxa"/>
            <w:tcBorders>
              <w:bottom w:val="single" w:color="auto" w:sz="4" w:space="0"/>
            </w:tcBorders>
            <w:vAlign w:val="center"/>
          </w:tcPr>
          <w:p w14:paraId="6E51D9AC">
            <w:pPr>
              <w:snapToGrid w:val="0"/>
              <w:spacing w:line="360" w:lineRule="auto"/>
              <w:jc w:val="center"/>
              <w:rPr>
                <w:color w:val="auto"/>
                <w:kern w:val="0"/>
                <w:sz w:val="24"/>
                <w:highlight w:val="none"/>
              </w:rPr>
            </w:pPr>
          </w:p>
        </w:tc>
        <w:tc>
          <w:tcPr>
            <w:tcW w:w="1514" w:type="dxa"/>
            <w:tcBorders>
              <w:bottom w:val="single" w:color="auto" w:sz="4" w:space="0"/>
            </w:tcBorders>
          </w:tcPr>
          <w:p w14:paraId="5518941E">
            <w:pPr>
              <w:snapToGrid w:val="0"/>
              <w:spacing w:line="360" w:lineRule="auto"/>
              <w:jc w:val="center"/>
              <w:rPr>
                <w:color w:val="auto"/>
                <w:kern w:val="0"/>
                <w:sz w:val="24"/>
                <w:highlight w:val="none"/>
              </w:rPr>
            </w:pPr>
          </w:p>
        </w:tc>
        <w:tc>
          <w:tcPr>
            <w:tcW w:w="1227" w:type="dxa"/>
            <w:tcBorders>
              <w:bottom w:val="single" w:color="auto" w:sz="4" w:space="0"/>
            </w:tcBorders>
          </w:tcPr>
          <w:p w14:paraId="2AF72DD3">
            <w:pPr>
              <w:snapToGrid w:val="0"/>
              <w:spacing w:line="360" w:lineRule="auto"/>
              <w:jc w:val="center"/>
              <w:rPr>
                <w:color w:val="auto"/>
                <w:kern w:val="0"/>
                <w:sz w:val="24"/>
                <w:highlight w:val="none"/>
              </w:rPr>
            </w:pPr>
          </w:p>
        </w:tc>
        <w:tc>
          <w:tcPr>
            <w:tcW w:w="1167" w:type="dxa"/>
            <w:tcBorders>
              <w:bottom w:val="single" w:color="auto" w:sz="4" w:space="0"/>
            </w:tcBorders>
          </w:tcPr>
          <w:p w14:paraId="67A5B2D8">
            <w:pPr>
              <w:snapToGrid w:val="0"/>
              <w:spacing w:line="360" w:lineRule="auto"/>
              <w:jc w:val="center"/>
              <w:rPr>
                <w:color w:val="auto"/>
                <w:kern w:val="0"/>
                <w:sz w:val="24"/>
                <w:highlight w:val="none"/>
              </w:rPr>
            </w:pPr>
          </w:p>
        </w:tc>
      </w:tr>
      <w:tr w14:paraId="0724F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28" w:type="dxa"/>
            <w:gridSpan w:val="7"/>
            <w:tcBorders>
              <w:bottom w:val="single" w:color="auto" w:sz="4" w:space="0"/>
            </w:tcBorders>
          </w:tcPr>
          <w:p w14:paraId="3732E186">
            <w:pPr>
              <w:snapToGrid w:val="0"/>
              <w:spacing w:line="360" w:lineRule="auto"/>
              <w:rPr>
                <w:color w:val="auto"/>
                <w:kern w:val="0"/>
                <w:sz w:val="24"/>
                <w:highlight w:val="none"/>
              </w:rPr>
            </w:pPr>
            <w:r>
              <w:rPr>
                <w:rFonts w:hint="eastAsia"/>
                <w:color w:val="auto"/>
                <w:kern w:val="0"/>
                <w:sz w:val="24"/>
                <w:highlight w:val="none"/>
              </w:rPr>
              <w:t>评分要点：</w:t>
            </w:r>
          </w:p>
          <w:p w14:paraId="3602A021">
            <w:pPr>
              <w:snapToGrid w:val="0"/>
              <w:spacing w:line="360" w:lineRule="auto"/>
              <w:rPr>
                <w:color w:val="auto"/>
                <w:kern w:val="0"/>
                <w:sz w:val="24"/>
                <w:highlight w:val="none"/>
              </w:rPr>
            </w:pPr>
            <w:r>
              <w:rPr>
                <w:rFonts w:hint="eastAsia"/>
                <w:color w:val="auto"/>
                <w:kern w:val="0"/>
                <w:sz w:val="24"/>
                <w:highlight w:val="none"/>
              </w:rPr>
              <w:t>1.站房及周边是否保持清洁，水、电、空调等是否满足要求；采样系统设置是否符合相关技术规范要求，根据运维、巡检、校准和质控结果判断打分。</w:t>
            </w:r>
          </w:p>
          <w:p w14:paraId="1DC5F2A6">
            <w:pPr>
              <w:snapToGrid w:val="0"/>
              <w:spacing w:line="360" w:lineRule="auto"/>
              <w:rPr>
                <w:color w:val="auto"/>
                <w:kern w:val="0"/>
                <w:sz w:val="24"/>
                <w:highlight w:val="none"/>
              </w:rPr>
            </w:pPr>
            <w:r>
              <w:rPr>
                <w:rFonts w:hint="eastAsia"/>
                <w:color w:val="auto"/>
                <w:kern w:val="0"/>
                <w:sz w:val="24"/>
                <w:highlight w:val="none"/>
              </w:rPr>
              <w:t>2.仪器性能是否良好，性能测试是否合格，根据运维、巡检、校准和质控结果判断打分。</w:t>
            </w:r>
          </w:p>
          <w:p w14:paraId="4DFA89EB">
            <w:pPr>
              <w:snapToGrid w:val="0"/>
              <w:spacing w:line="360" w:lineRule="auto"/>
              <w:rPr>
                <w:color w:val="auto"/>
                <w:kern w:val="0"/>
                <w:sz w:val="24"/>
                <w:highlight w:val="none"/>
              </w:rPr>
            </w:pPr>
            <w:r>
              <w:rPr>
                <w:rFonts w:hint="eastAsia"/>
                <w:color w:val="auto"/>
                <w:kern w:val="0"/>
                <w:sz w:val="24"/>
                <w:highlight w:val="none"/>
              </w:rPr>
              <w:t>3.单站点有效数据获取率≥85%，任意一项指标不达标均不得分。</w:t>
            </w:r>
          </w:p>
          <w:p w14:paraId="54C2B438">
            <w:pPr>
              <w:snapToGrid w:val="0"/>
              <w:spacing w:line="360" w:lineRule="auto"/>
              <w:rPr>
                <w:color w:val="auto"/>
                <w:kern w:val="0"/>
                <w:sz w:val="24"/>
                <w:highlight w:val="none"/>
              </w:rPr>
            </w:pPr>
            <w:r>
              <w:rPr>
                <w:rFonts w:hint="eastAsia"/>
                <w:color w:val="auto"/>
                <w:kern w:val="0"/>
                <w:sz w:val="24"/>
                <w:highlight w:val="none"/>
              </w:rPr>
              <w:t>4.数据审核是否符合时效要求，对于异常值、无效值的取舍判定是否符合规范。</w:t>
            </w:r>
          </w:p>
          <w:p w14:paraId="1F89DE61">
            <w:pPr>
              <w:snapToGrid w:val="0"/>
              <w:spacing w:line="360" w:lineRule="auto"/>
              <w:rPr>
                <w:color w:val="auto"/>
                <w:kern w:val="0"/>
                <w:sz w:val="24"/>
                <w:highlight w:val="none"/>
              </w:rPr>
            </w:pPr>
            <w:r>
              <w:rPr>
                <w:rFonts w:hint="eastAsia"/>
                <w:color w:val="auto"/>
                <w:kern w:val="0"/>
                <w:sz w:val="24"/>
                <w:highlight w:val="none"/>
              </w:rPr>
              <w:t>5.运维记录、质控校准记录、设备维修记录、运维报告等是否填写完整、规范、及时。</w:t>
            </w:r>
          </w:p>
        </w:tc>
      </w:tr>
    </w:tbl>
    <w:p w14:paraId="3078B15B">
      <w:pPr>
        <w:snapToGrid w:val="0"/>
        <w:spacing w:line="360" w:lineRule="auto"/>
        <w:rPr>
          <w:b/>
          <w:bCs/>
          <w:color w:val="auto"/>
          <w:sz w:val="24"/>
          <w:highlight w:val="none"/>
        </w:rPr>
      </w:pPr>
    </w:p>
    <w:p w14:paraId="2138C0C2">
      <w:pPr>
        <w:snapToGrid w:val="0"/>
        <w:spacing w:line="360" w:lineRule="auto"/>
        <w:ind w:right="420"/>
        <w:rPr>
          <w:color w:val="auto"/>
          <w:sz w:val="24"/>
          <w:highlight w:val="none"/>
        </w:rPr>
      </w:pPr>
    </w:p>
    <w:p w14:paraId="19479E02">
      <w:pPr>
        <w:spacing w:line="360" w:lineRule="auto"/>
        <w:contextualSpacing/>
        <w:rPr>
          <w:color w:val="auto"/>
          <w:kern w:val="0"/>
          <w:sz w:val="24"/>
          <w:highlight w:val="none"/>
        </w:rPr>
      </w:pPr>
      <w:r>
        <w:rPr>
          <w:color w:val="auto"/>
          <w:kern w:val="0"/>
          <w:sz w:val="24"/>
          <w:highlight w:val="none"/>
        </w:rPr>
        <w:br w:type="page"/>
      </w:r>
      <w:r>
        <w:rPr>
          <w:rFonts w:hint="eastAsia"/>
          <w:b/>
          <w:bCs/>
          <w:color w:val="auto"/>
          <w:kern w:val="0"/>
          <w:sz w:val="24"/>
          <w:highlight w:val="none"/>
        </w:rPr>
        <w:t>（二）</w:t>
      </w:r>
      <w:r>
        <w:rPr>
          <w:rFonts w:hint="eastAsia" w:ascii="宋体" w:hAnsi="宋体" w:cs="宋体"/>
          <w:b/>
          <w:bCs/>
          <w:color w:val="auto"/>
          <w:sz w:val="24"/>
          <w:highlight w:val="none"/>
        </w:rPr>
        <w:t>碳通量监测系统运维服务项目采购要求</w:t>
      </w:r>
    </w:p>
    <w:p w14:paraId="6B8569CC">
      <w:pPr>
        <w:spacing w:line="360" w:lineRule="auto"/>
        <w:jc w:val="left"/>
        <w:rPr>
          <w:rFonts w:hint="eastAsia" w:ascii="宋体" w:hAnsi="宋体" w:cs="宋体"/>
          <w:b/>
          <w:color w:val="auto"/>
          <w:sz w:val="24"/>
          <w:highlight w:val="none"/>
        </w:rPr>
      </w:pPr>
      <w:r>
        <w:rPr>
          <w:rFonts w:hint="eastAsia" w:ascii="宋体" w:hAnsi="宋体" w:cs="宋体"/>
          <w:b/>
          <w:color w:val="auto"/>
          <w:sz w:val="24"/>
          <w:highlight w:val="none"/>
        </w:rPr>
        <w:t>一、项目概况</w:t>
      </w:r>
    </w:p>
    <w:p w14:paraId="7838A45A">
      <w:pPr>
        <w:spacing w:line="360" w:lineRule="auto"/>
        <w:ind w:firstLine="480" w:firstLineChars="200"/>
        <w:rPr>
          <w:rFonts w:hint="eastAsia" w:ascii="宋体" w:hAnsi="宋体" w:cs="宋体"/>
          <w:color w:val="auto"/>
          <w:kern w:val="28"/>
          <w:sz w:val="24"/>
          <w:highlight w:val="none"/>
          <w:lang w:val="zh-CN"/>
        </w:rPr>
      </w:pPr>
      <w:r>
        <w:rPr>
          <w:rFonts w:hint="eastAsia" w:ascii="宋体" w:hAnsi="宋体" w:cs="宋体"/>
          <w:bCs/>
          <w:color w:val="auto"/>
          <w:sz w:val="24"/>
          <w:highlight w:val="none"/>
        </w:rPr>
        <w:t>为保障杭州市</w:t>
      </w:r>
      <w:r>
        <w:rPr>
          <w:rFonts w:hint="eastAsia" w:ascii="宋体" w:hAnsi="宋体" w:cs="宋体"/>
          <w:color w:val="auto"/>
          <w:sz w:val="24"/>
          <w:highlight w:val="none"/>
        </w:rPr>
        <w:t>马尾松森林碳通量监测系统</w:t>
      </w:r>
      <w:r>
        <w:rPr>
          <w:rFonts w:hint="eastAsia" w:ascii="宋体" w:hAnsi="宋体" w:cs="宋体"/>
          <w:bCs/>
          <w:color w:val="auto"/>
          <w:sz w:val="24"/>
          <w:highlight w:val="none"/>
        </w:rPr>
        <w:t>正常运行，更好地服务于管理，现采取委托第三方运行维护的方式对该</w:t>
      </w:r>
      <w:r>
        <w:rPr>
          <w:rFonts w:hint="eastAsia" w:ascii="宋体" w:hAnsi="宋体" w:cs="宋体"/>
          <w:color w:val="auto"/>
          <w:sz w:val="24"/>
          <w:highlight w:val="none"/>
        </w:rPr>
        <w:t>系统</w:t>
      </w:r>
      <w:r>
        <w:rPr>
          <w:rFonts w:hint="eastAsia" w:ascii="宋体" w:hAnsi="宋体" w:cs="宋体"/>
          <w:bCs/>
          <w:color w:val="auto"/>
          <w:sz w:val="24"/>
          <w:highlight w:val="none"/>
        </w:rPr>
        <w:t>进行运维管理。</w:t>
      </w:r>
      <w:r>
        <w:rPr>
          <w:rFonts w:hint="eastAsia" w:ascii="宋体" w:hAnsi="宋体" w:cs="宋体"/>
          <w:color w:val="auto"/>
          <w:sz w:val="24"/>
          <w:highlight w:val="none"/>
        </w:rPr>
        <w:t>根据投标人提供的服务方案先进性、科学性、完整性、合理性以及需求吻合程度，结合投标人的技术水平和业务能力的优劣程度等各方面因素，</w:t>
      </w:r>
      <w:r>
        <w:rPr>
          <w:rFonts w:hint="eastAsia" w:ascii="宋体" w:hAnsi="宋体" w:cs="宋体"/>
          <w:color w:val="auto"/>
          <w:kern w:val="28"/>
          <w:sz w:val="24"/>
          <w:highlight w:val="none"/>
          <w:lang w:val="zh-CN"/>
        </w:rPr>
        <w:t>通过公开招标方式确定。</w:t>
      </w:r>
    </w:p>
    <w:p w14:paraId="30060A9B">
      <w:pPr>
        <w:spacing w:line="360" w:lineRule="auto"/>
        <w:jc w:val="left"/>
        <w:rPr>
          <w:rFonts w:hint="eastAsia" w:ascii="宋体" w:hAnsi="宋体" w:cs="宋体"/>
          <w:b/>
          <w:color w:val="auto"/>
          <w:sz w:val="24"/>
          <w:highlight w:val="none"/>
        </w:rPr>
      </w:pPr>
      <w:r>
        <w:rPr>
          <w:rFonts w:hint="eastAsia" w:ascii="宋体" w:hAnsi="宋体" w:cs="宋体"/>
          <w:b/>
          <w:color w:val="auto"/>
          <w:sz w:val="24"/>
          <w:highlight w:val="none"/>
        </w:rPr>
        <w:t>二、采购内容</w:t>
      </w:r>
    </w:p>
    <w:tbl>
      <w:tblPr>
        <w:tblStyle w:val="62"/>
        <w:tblW w:w="88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9"/>
        <w:gridCol w:w="2319"/>
        <w:gridCol w:w="1798"/>
        <w:gridCol w:w="2458"/>
      </w:tblGrid>
      <w:tr w14:paraId="4B591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259" w:type="dxa"/>
            <w:vAlign w:val="center"/>
          </w:tcPr>
          <w:p w14:paraId="72D1A429">
            <w:pPr>
              <w:spacing w:line="360" w:lineRule="auto"/>
              <w:jc w:val="center"/>
              <w:rPr>
                <w:rFonts w:hint="eastAsia" w:ascii="宋体" w:hAnsi="宋体" w:cs="宋体"/>
                <w:b/>
                <w:bCs/>
                <w:color w:val="auto"/>
                <w:sz w:val="24"/>
                <w:highlight w:val="none"/>
              </w:rPr>
            </w:pPr>
            <w:r>
              <w:rPr>
                <w:rFonts w:hint="eastAsia" w:ascii="宋体" w:hAnsi="宋体" w:cs="宋体"/>
                <w:b/>
                <w:bCs/>
                <w:color w:val="auto"/>
                <w:sz w:val="24"/>
                <w:highlight w:val="none"/>
              </w:rPr>
              <w:t>名称</w:t>
            </w:r>
          </w:p>
        </w:tc>
        <w:tc>
          <w:tcPr>
            <w:tcW w:w="2319" w:type="dxa"/>
            <w:vAlign w:val="center"/>
          </w:tcPr>
          <w:p w14:paraId="6F93C083">
            <w:pPr>
              <w:spacing w:line="360" w:lineRule="auto"/>
              <w:jc w:val="center"/>
              <w:rPr>
                <w:rFonts w:hint="eastAsia" w:ascii="宋体" w:hAnsi="宋体" w:cs="宋体"/>
                <w:b/>
                <w:bCs/>
                <w:color w:val="auto"/>
                <w:sz w:val="24"/>
                <w:highlight w:val="none"/>
              </w:rPr>
            </w:pPr>
            <w:r>
              <w:rPr>
                <w:rFonts w:hint="eastAsia" w:ascii="宋体" w:hAnsi="宋体" w:cs="宋体"/>
                <w:b/>
                <w:bCs/>
                <w:color w:val="auto"/>
                <w:sz w:val="24"/>
                <w:highlight w:val="none"/>
              </w:rPr>
              <w:t>运维服务期限</w:t>
            </w:r>
          </w:p>
        </w:tc>
        <w:tc>
          <w:tcPr>
            <w:tcW w:w="1798" w:type="dxa"/>
            <w:vAlign w:val="center"/>
          </w:tcPr>
          <w:p w14:paraId="124D591B">
            <w:pPr>
              <w:spacing w:line="360" w:lineRule="auto"/>
              <w:jc w:val="center"/>
              <w:rPr>
                <w:rFonts w:hint="eastAsia" w:ascii="宋体" w:hAnsi="宋体" w:cs="宋体"/>
                <w:b/>
                <w:bCs/>
                <w:color w:val="auto"/>
                <w:sz w:val="24"/>
                <w:highlight w:val="none"/>
              </w:rPr>
            </w:pPr>
            <w:r>
              <w:rPr>
                <w:rFonts w:hint="eastAsia" w:ascii="宋体" w:hAnsi="宋体" w:cs="宋体"/>
                <w:b/>
                <w:bCs/>
                <w:color w:val="auto"/>
                <w:sz w:val="24"/>
                <w:highlight w:val="none"/>
              </w:rPr>
              <w:t>运维地点</w:t>
            </w:r>
          </w:p>
        </w:tc>
        <w:tc>
          <w:tcPr>
            <w:tcW w:w="2458" w:type="dxa"/>
            <w:vAlign w:val="center"/>
          </w:tcPr>
          <w:p w14:paraId="3C60097F">
            <w:pPr>
              <w:spacing w:line="360" w:lineRule="auto"/>
              <w:jc w:val="center"/>
              <w:rPr>
                <w:rFonts w:hint="eastAsia" w:ascii="宋体" w:hAnsi="宋体" w:cs="宋体"/>
                <w:b/>
                <w:bCs/>
                <w:color w:val="auto"/>
                <w:sz w:val="24"/>
                <w:highlight w:val="none"/>
              </w:rPr>
            </w:pPr>
            <w:r>
              <w:rPr>
                <w:rFonts w:hint="eastAsia" w:ascii="宋体" w:hAnsi="宋体" w:cs="宋体"/>
                <w:b/>
                <w:bCs/>
                <w:color w:val="auto"/>
                <w:sz w:val="24"/>
                <w:highlight w:val="none"/>
              </w:rPr>
              <w:t>运维服务内容</w:t>
            </w:r>
          </w:p>
        </w:tc>
      </w:tr>
      <w:tr w14:paraId="1BF13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2259" w:type="dxa"/>
            <w:vAlign w:val="center"/>
          </w:tcPr>
          <w:p w14:paraId="3419CEF0">
            <w:pPr>
              <w:spacing w:line="360" w:lineRule="auto"/>
              <w:jc w:val="center"/>
              <w:outlineLvl w:val="1"/>
              <w:rPr>
                <w:rFonts w:hint="eastAsia" w:ascii="宋体" w:hAnsi="宋体" w:cs="宋体"/>
                <w:color w:val="auto"/>
                <w:sz w:val="24"/>
                <w:highlight w:val="none"/>
              </w:rPr>
            </w:pPr>
            <w:r>
              <w:rPr>
                <w:rFonts w:hint="eastAsia" w:ascii="宋体" w:hAnsi="宋体" w:cs="宋体"/>
                <w:color w:val="auto"/>
                <w:sz w:val="24"/>
                <w:highlight w:val="none"/>
              </w:rPr>
              <w:t>杭州市淳安森林碳通量监测系统运维服务</w:t>
            </w:r>
          </w:p>
        </w:tc>
        <w:tc>
          <w:tcPr>
            <w:tcW w:w="2319" w:type="dxa"/>
            <w:vAlign w:val="center"/>
          </w:tcPr>
          <w:p w14:paraId="5D248BD3">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合同签订后5个月</w:t>
            </w:r>
          </w:p>
        </w:tc>
        <w:tc>
          <w:tcPr>
            <w:tcW w:w="1798" w:type="dxa"/>
            <w:vAlign w:val="center"/>
          </w:tcPr>
          <w:p w14:paraId="5E151829">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杭州市金峰乡马尾松森林碳通量监测站</w:t>
            </w:r>
          </w:p>
        </w:tc>
        <w:tc>
          <w:tcPr>
            <w:tcW w:w="2458" w:type="dxa"/>
            <w:vAlign w:val="center"/>
          </w:tcPr>
          <w:p w14:paraId="6A4CB60F">
            <w:pPr>
              <w:spacing w:line="360" w:lineRule="auto"/>
              <w:jc w:val="center"/>
              <w:rPr>
                <w:rFonts w:hint="eastAsia" w:ascii="宋体" w:hAnsi="宋体" w:cs="宋体"/>
                <w:color w:val="auto"/>
                <w:sz w:val="24"/>
                <w:highlight w:val="none"/>
              </w:rPr>
            </w:pPr>
            <w:r>
              <w:rPr>
                <w:rFonts w:hint="eastAsia" w:ascii="宋体" w:hAnsi="宋体" w:cs="宋体"/>
                <w:bCs/>
                <w:color w:val="auto"/>
                <w:sz w:val="24"/>
                <w:highlight w:val="none"/>
              </w:rPr>
              <w:t>对</w:t>
            </w:r>
            <w:r>
              <w:rPr>
                <w:rFonts w:hint="eastAsia" w:ascii="宋体" w:hAnsi="宋体" w:cs="宋体"/>
                <w:color w:val="auto"/>
                <w:sz w:val="24"/>
                <w:highlight w:val="none"/>
              </w:rPr>
              <w:t>森林碳通量监测系统</w:t>
            </w:r>
            <w:r>
              <w:rPr>
                <w:rFonts w:hint="eastAsia" w:ascii="宋体" w:hAnsi="宋体" w:cs="宋体"/>
                <w:bCs/>
                <w:color w:val="auto"/>
                <w:sz w:val="24"/>
                <w:highlight w:val="none"/>
              </w:rPr>
              <w:t>进行运行维护、数据分析工作</w:t>
            </w:r>
          </w:p>
        </w:tc>
      </w:tr>
    </w:tbl>
    <w:p w14:paraId="10C31978">
      <w:pPr>
        <w:spacing w:line="360" w:lineRule="auto"/>
        <w:jc w:val="left"/>
        <w:rPr>
          <w:rFonts w:hint="eastAsia" w:ascii="宋体" w:hAnsi="宋体" w:cs="宋体"/>
          <w:b/>
          <w:color w:val="auto"/>
          <w:sz w:val="24"/>
          <w:highlight w:val="none"/>
        </w:rPr>
      </w:pPr>
      <w:r>
        <w:rPr>
          <w:rFonts w:hint="eastAsia" w:ascii="宋体" w:hAnsi="宋体" w:cs="宋体"/>
          <w:b/>
          <w:color w:val="auto"/>
          <w:sz w:val="24"/>
          <w:highlight w:val="none"/>
        </w:rPr>
        <w:t>三、技术服务要求</w:t>
      </w:r>
    </w:p>
    <w:p w14:paraId="27B4DB73">
      <w:pPr>
        <w:spacing w:line="36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1.运行维护内容</w:t>
      </w:r>
    </w:p>
    <w:p w14:paraId="60538FDC">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1.1 维护范围</w:t>
      </w:r>
    </w:p>
    <w:p w14:paraId="00C2D6E6">
      <w:pPr>
        <w:spacing w:line="360" w:lineRule="auto"/>
        <w:ind w:firstLine="480" w:firstLineChars="200"/>
        <w:rPr>
          <w:bCs/>
          <w:color w:val="auto"/>
          <w:sz w:val="24"/>
          <w:highlight w:val="none"/>
        </w:rPr>
      </w:pPr>
      <w:r>
        <w:rPr>
          <w:rFonts w:hint="eastAsia" w:ascii="宋体" w:hAnsi="宋体" w:cs="宋体"/>
          <w:bCs/>
          <w:color w:val="auto"/>
          <w:sz w:val="24"/>
          <w:highlight w:val="none"/>
        </w:rPr>
        <w:t>采购服务期内包含森林碳通量监测系统主要设备及配件、铁塔及站房、数据平台的日常维护工作，按规定开展定期巡检，及时解决仪器出现的所有故障维修，更换监测设备的所有备件和耗材。</w:t>
      </w:r>
    </w:p>
    <w:p w14:paraId="4DBADF37">
      <w:pPr>
        <w:snapToGrid w:val="0"/>
        <w:jc w:val="center"/>
        <w:rPr>
          <w:b/>
          <w:color w:val="auto"/>
          <w:sz w:val="24"/>
          <w:highlight w:val="none"/>
        </w:rPr>
      </w:pPr>
      <w:r>
        <w:rPr>
          <w:b/>
          <w:color w:val="auto"/>
          <w:sz w:val="24"/>
          <w:highlight w:val="none"/>
        </w:rPr>
        <w:t>表1  运行维护设备清单一览表</w:t>
      </w:r>
    </w:p>
    <w:tbl>
      <w:tblPr>
        <w:tblStyle w:val="62"/>
        <w:tblW w:w="8815" w:type="dxa"/>
        <w:jc w:val="center"/>
        <w:tblLayout w:type="fixed"/>
        <w:tblCellMar>
          <w:top w:w="0" w:type="dxa"/>
          <w:left w:w="108" w:type="dxa"/>
          <w:bottom w:w="0" w:type="dxa"/>
          <w:right w:w="108" w:type="dxa"/>
        </w:tblCellMar>
      </w:tblPr>
      <w:tblGrid>
        <w:gridCol w:w="751"/>
        <w:gridCol w:w="3463"/>
        <w:gridCol w:w="2105"/>
        <w:gridCol w:w="1565"/>
        <w:gridCol w:w="931"/>
      </w:tblGrid>
      <w:tr w14:paraId="68A18107">
        <w:tblPrEx>
          <w:tblCellMar>
            <w:top w:w="0" w:type="dxa"/>
            <w:left w:w="108" w:type="dxa"/>
            <w:bottom w:w="0" w:type="dxa"/>
            <w:right w:w="108" w:type="dxa"/>
          </w:tblCellMar>
        </w:tblPrEx>
        <w:trPr>
          <w:trHeight w:val="25" w:hRule="atLeast"/>
          <w:tblHeader/>
          <w:jc w:val="center"/>
        </w:trPr>
        <w:tc>
          <w:tcPr>
            <w:tcW w:w="751" w:type="dxa"/>
            <w:tcBorders>
              <w:top w:val="single" w:color="auto" w:sz="4" w:space="0"/>
              <w:left w:val="single" w:color="auto" w:sz="4" w:space="0"/>
              <w:bottom w:val="single" w:color="auto" w:sz="4" w:space="0"/>
              <w:right w:val="single" w:color="auto" w:sz="4" w:space="0"/>
            </w:tcBorders>
            <w:noWrap/>
            <w:vAlign w:val="center"/>
          </w:tcPr>
          <w:p w14:paraId="15121A86">
            <w:pPr>
              <w:snapToGrid w:val="0"/>
              <w:jc w:val="center"/>
              <w:rPr>
                <w:b/>
                <w:bCs/>
                <w:color w:val="auto"/>
                <w:sz w:val="24"/>
                <w:highlight w:val="none"/>
              </w:rPr>
            </w:pPr>
            <w:r>
              <w:rPr>
                <w:rFonts w:hint="eastAsia"/>
                <w:b/>
                <w:bCs/>
                <w:color w:val="auto"/>
                <w:sz w:val="24"/>
                <w:highlight w:val="none"/>
              </w:rPr>
              <w:t>类别</w:t>
            </w:r>
          </w:p>
        </w:tc>
        <w:tc>
          <w:tcPr>
            <w:tcW w:w="3463" w:type="dxa"/>
            <w:tcBorders>
              <w:top w:val="single" w:color="auto" w:sz="4" w:space="0"/>
              <w:left w:val="single" w:color="auto" w:sz="4" w:space="0"/>
              <w:bottom w:val="single" w:color="auto" w:sz="4" w:space="0"/>
              <w:right w:val="single" w:color="auto" w:sz="4" w:space="0"/>
            </w:tcBorders>
            <w:noWrap/>
            <w:vAlign w:val="center"/>
          </w:tcPr>
          <w:p w14:paraId="729047F1">
            <w:pPr>
              <w:snapToGrid w:val="0"/>
              <w:jc w:val="center"/>
              <w:rPr>
                <w:b/>
                <w:bCs/>
                <w:color w:val="auto"/>
                <w:sz w:val="24"/>
                <w:highlight w:val="none"/>
              </w:rPr>
            </w:pPr>
            <w:r>
              <w:rPr>
                <w:rFonts w:hint="eastAsia"/>
                <w:b/>
                <w:bCs/>
                <w:color w:val="auto"/>
                <w:sz w:val="24"/>
                <w:highlight w:val="none"/>
              </w:rPr>
              <w:t>设备名称</w:t>
            </w:r>
          </w:p>
        </w:tc>
        <w:tc>
          <w:tcPr>
            <w:tcW w:w="2105" w:type="dxa"/>
            <w:tcBorders>
              <w:top w:val="single" w:color="auto" w:sz="4" w:space="0"/>
              <w:left w:val="single" w:color="auto" w:sz="4" w:space="0"/>
              <w:bottom w:val="single" w:color="auto" w:sz="4" w:space="0"/>
              <w:right w:val="single" w:color="auto" w:sz="4" w:space="0"/>
            </w:tcBorders>
            <w:vAlign w:val="center"/>
          </w:tcPr>
          <w:p w14:paraId="2424CA69">
            <w:pPr>
              <w:snapToGrid w:val="0"/>
              <w:jc w:val="center"/>
              <w:rPr>
                <w:b/>
                <w:bCs/>
                <w:color w:val="auto"/>
                <w:sz w:val="24"/>
                <w:highlight w:val="none"/>
              </w:rPr>
            </w:pPr>
            <w:r>
              <w:rPr>
                <w:rFonts w:hint="eastAsia"/>
                <w:b/>
                <w:bCs/>
                <w:color w:val="auto"/>
                <w:sz w:val="24"/>
                <w:highlight w:val="none"/>
              </w:rPr>
              <w:t>品牌</w:t>
            </w:r>
          </w:p>
        </w:tc>
        <w:tc>
          <w:tcPr>
            <w:tcW w:w="1565" w:type="dxa"/>
            <w:tcBorders>
              <w:top w:val="single" w:color="auto" w:sz="4" w:space="0"/>
              <w:left w:val="single" w:color="auto" w:sz="4" w:space="0"/>
              <w:bottom w:val="single" w:color="auto" w:sz="4" w:space="0"/>
              <w:right w:val="single" w:color="auto" w:sz="4" w:space="0"/>
            </w:tcBorders>
            <w:vAlign w:val="center"/>
          </w:tcPr>
          <w:p w14:paraId="3275DA50">
            <w:pPr>
              <w:snapToGrid w:val="0"/>
              <w:jc w:val="center"/>
              <w:rPr>
                <w:b/>
                <w:bCs/>
                <w:color w:val="auto"/>
                <w:sz w:val="24"/>
                <w:highlight w:val="none"/>
              </w:rPr>
            </w:pPr>
            <w:r>
              <w:rPr>
                <w:rFonts w:hint="eastAsia"/>
                <w:b/>
                <w:bCs/>
                <w:color w:val="auto"/>
                <w:sz w:val="24"/>
                <w:highlight w:val="none"/>
              </w:rPr>
              <w:t>仪器型号</w:t>
            </w:r>
          </w:p>
        </w:tc>
        <w:tc>
          <w:tcPr>
            <w:tcW w:w="931" w:type="dxa"/>
            <w:tcBorders>
              <w:top w:val="single" w:color="auto" w:sz="4" w:space="0"/>
              <w:left w:val="single" w:color="auto" w:sz="4" w:space="0"/>
              <w:bottom w:val="single" w:color="auto" w:sz="4" w:space="0"/>
              <w:right w:val="single" w:color="auto" w:sz="4" w:space="0"/>
            </w:tcBorders>
            <w:noWrap/>
            <w:vAlign w:val="center"/>
          </w:tcPr>
          <w:p w14:paraId="6E45036E">
            <w:pPr>
              <w:snapToGrid w:val="0"/>
              <w:jc w:val="center"/>
              <w:rPr>
                <w:b/>
                <w:bCs/>
                <w:color w:val="auto"/>
                <w:sz w:val="24"/>
                <w:highlight w:val="none"/>
              </w:rPr>
            </w:pPr>
            <w:r>
              <w:rPr>
                <w:rFonts w:hint="eastAsia"/>
                <w:b/>
                <w:bCs/>
                <w:color w:val="auto"/>
                <w:sz w:val="24"/>
                <w:highlight w:val="none"/>
              </w:rPr>
              <w:t>数量</w:t>
            </w:r>
          </w:p>
        </w:tc>
      </w:tr>
      <w:tr w14:paraId="261FE12F">
        <w:tblPrEx>
          <w:tblCellMar>
            <w:top w:w="0" w:type="dxa"/>
            <w:left w:w="108" w:type="dxa"/>
            <w:bottom w:w="0" w:type="dxa"/>
            <w:right w:w="108" w:type="dxa"/>
          </w:tblCellMar>
        </w:tblPrEx>
        <w:trPr>
          <w:trHeight w:val="446" w:hRule="atLeast"/>
          <w:jc w:val="center"/>
        </w:trPr>
        <w:tc>
          <w:tcPr>
            <w:tcW w:w="8815" w:type="dxa"/>
            <w:gridSpan w:val="5"/>
            <w:tcBorders>
              <w:top w:val="single" w:color="auto" w:sz="4" w:space="0"/>
              <w:left w:val="single" w:color="auto" w:sz="4" w:space="0"/>
              <w:bottom w:val="single" w:color="auto" w:sz="4" w:space="0"/>
              <w:right w:val="single" w:color="auto" w:sz="4" w:space="0"/>
            </w:tcBorders>
            <w:noWrap/>
            <w:vAlign w:val="center"/>
          </w:tcPr>
          <w:p w14:paraId="16DFE34E">
            <w:pPr>
              <w:snapToGrid w:val="0"/>
              <w:jc w:val="center"/>
              <w:rPr>
                <w:b/>
                <w:color w:val="auto"/>
                <w:sz w:val="24"/>
                <w:highlight w:val="none"/>
              </w:rPr>
            </w:pPr>
            <w:r>
              <w:rPr>
                <w:rFonts w:hint="eastAsia"/>
                <w:b/>
                <w:color w:val="auto"/>
                <w:sz w:val="24"/>
                <w:highlight w:val="none"/>
              </w:rPr>
              <w:t>森林碳通量监测系统主要设备</w:t>
            </w:r>
          </w:p>
        </w:tc>
      </w:tr>
      <w:tr w14:paraId="12AC33B1">
        <w:tblPrEx>
          <w:tblCellMar>
            <w:top w:w="0" w:type="dxa"/>
            <w:left w:w="108" w:type="dxa"/>
            <w:bottom w:w="0" w:type="dxa"/>
            <w:right w:w="108" w:type="dxa"/>
          </w:tblCellMar>
        </w:tblPrEx>
        <w:trPr>
          <w:trHeight w:val="25" w:hRule="atLeast"/>
          <w:jc w:val="center"/>
        </w:trPr>
        <w:tc>
          <w:tcPr>
            <w:tcW w:w="751" w:type="dxa"/>
            <w:tcBorders>
              <w:top w:val="single" w:color="auto" w:sz="4" w:space="0"/>
              <w:left w:val="single" w:color="auto" w:sz="4" w:space="0"/>
              <w:bottom w:val="single" w:color="auto" w:sz="4" w:space="0"/>
              <w:right w:val="single" w:color="auto" w:sz="4" w:space="0"/>
            </w:tcBorders>
            <w:noWrap/>
            <w:vAlign w:val="center"/>
          </w:tcPr>
          <w:p w14:paraId="300E843E">
            <w:pPr>
              <w:snapToGrid w:val="0"/>
              <w:jc w:val="center"/>
              <w:rPr>
                <w:bCs/>
                <w:color w:val="auto"/>
                <w:sz w:val="24"/>
                <w:highlight w:val="none"/>
              </w:rPr>
            </w:pPr>
            <w:r>
              <w:rPr>
                <w:rFonts w:hint="eastAsia"/>
                <w:bCs/>
                <w:color w:val="auto"/>
                <w:sz w:val="24"/>
                <w:highlight w:val="none"/>
              </w:rPr>
              <w:t>1</w:t>
            </w:r>
          </w:p>
        </w:tc>
        <w:tc>
          <w:tcPr>
            <w:tcW w:w="3463" w:type="dxa"/>
            <w:tcBorders>
              <w:top w:val="single" w:color="auto" w:sz="4" w:space="0"/>
              <w:left w:val="single" w:color="auto" w:sz="4" w:space="0"/>
              <w:bottom w:val="single" w:color="auto" w:sz="4" w:space="0"/>
              <w:right w:val="single" w:color="auto" w:sz="4" w:space="0"/>
            </w:tcBorders>
            <w:noWrap/>
            <w:vAlign w:val="center"/>
          </w:tcPr>
          <w:p w14:paraId="37F412E5">
            <w:pPr>
              <w:snapToGrid w:val="0"/>
              <w:jc w:val="center"/>
              <w:rPr>
                <w:bCs/>
                <w:color w:val="auto"/>
                <w:sz w:val="24"/>
                <w:highlight w:val="none"/>
              </w:rPr>
            </w:pPr>
            <w:r>
              <w:rPr>
                <w:rFonts w:hint="eastAsia"/>
                <w:color w:val="auto"/>
                <w:sz w:val="24"/>
                <w:highlight w:val="none"/>
              </w:rPr>
              <w:t>闭路涡度系统（含数据采集单元，内存卡、运输箱等）</w:t>
            </w:r>
          </w:p>
        </w:tc>
        <w:tc>
          <w:tcPr>
            <w:tcW w:w="2105" w:type="dxa"/>
            <w:tcBorders>
              <w:top w:val="single" w:color="auto" w:sz="4" w:space="0"/>
              <w:left w:val="single" w:color="auto" w:sz="4" w:space="0"/>
              <w:bottom w:val="single" w:color="auto" w:sz="4" w:space="0"/>
              <w:right w:val="single" w:color="auto" w:sz="4" w:space="0"/>
            </w:tcBorders>
            <w:vAlign w:val="center"/>
          </w:tcPr>
          <w:p w14:paraId="2985A2E6">
            <w:pPr>
              <w:snapToGrid w:val="0"/>
              <w:jc w:val="center"/>
              <w:rPr>
                <w:bCs/>
                <w:color w:val="auto"/>
                <w:sz w:val="24"/>
                <w:highlight w:val="none"/>
              </w:rPr>
            </w:pPr>
            <w:r>
              <w:rPr>
                <w:rFonts w:hint="eastAsia"/>
                <w:color w:val="auto"/>
                <w:sz w:val="24"/>
                <w:highlight w:val="none"/>
              </w:rPr>
              <w:t>美国Campbell</w:t>
            </w:r>
          </w:p>
        </w:tc>
        <w:tc>
          <w:tcPr>
            <w:tcW w:w="1565" w:type="dxa"/>
            <w:tcBorders>
              <w:top w:val="single" w:color="auto" w:sz="4" w:space="0"/>
              <w:left w:val="single" w:color="auto" w:sz="4" w:space="0"/>
              <w:bottom w:val="single" w:color="auto" w:sz="4" w:space="0"/>
              <w:right w:val="single" w:color="auto" w:sz="4" w:space="0"/>
            </w:tcBorders>
            <w:vAlign w:val="center"/>
          </w:tcPr>
          <w:p w14:paraId="06C724E1">
            <w:pPr>
              <w:snapToGrid w:val="0"/>
              <w:jc w:val="center"/>
              <w:rPr>
                <w:bCs/>
                <w:color w:val="auto"/>
                <w:sz w:val="24"/>
                <w:highlight w:val="none"/>
              </w:rPr>
            </w:pPr>
            <w:r>
              <w:rPr>
                <w:rFonts w:hint="eastAsia"/>
                <w:color w:val="auto"/>
                <w:sz w:val="24"/>
                <w:highlight w:val="none"/>
              </w:rPr>
              <w:t>CPEC310</w:t>
            </w:r>
          </w:p>
        </w:tc>
        <w:tc>
          <w:tcPr>
            <w:tcW w:w="931" w:type="dxa"/>
            <w:tcBorders>
              <w:top w:val="single" w:color="auto" w:sz="4" w:space="0"/>
              <w:left w:val="single" w:color="auto" w:sz="4" w:space="0"/>
              <w:bottom w:val="single" w:color="auto" w:sz="4" w:space="0"/>
              <w:right w:val="single" w:color="auto" w:sz="4" w:space="0"/>
            </w:tcBorders>
            <w:noWrap/>
            <w:vAlign w:val="center"/>
          </w:tcPr>
          <w:p w14:paraId="20DE7E9E">
            <w:pPr>
              <w:snapToGrid w:val="0"/>
              <w:jc w:val="center"/>
              <w:rPr>
                <w:bCs/>
                <w:color w:val="auto"/>
                <w:sz w:val="24"/>
                <w:highlight w:val="none"/>
              </w:rPr>
            </w:pPr>
            <w:r>
              <w:rPr>
                <w:rFonts w:hint="eastAsia"/>
                <w:color w:val="auto"/>
                <w:sz w:val="24"/>
                <w:highlight w:val="none"/>
              </w:rPr>
              <w:t>1</w:t>
            </w:r>
          </w:p>
        </w:tc>
      </w:tr>
      <w:tr w14:paraId="477AEE46">
        <w:tblPrEx>
          <w:tblCellMar>
            <w:top w:w="0" w:type="dxa"/>
            <w:left w:w="108" w:type="dxa"/>
            <w:bottom w:w="0" w:type="dxa"/>
            <w:right w:w="108" w:type="dxa"/>
          </w:tblCellMar>
        </w:tblPrEx>
        <w:trPr>
          <w:trHeight w:val="25" w:hRule="atLeast"/>
          <w:jc w:val="center"/>
        </w:trPr>
        <w:tc>
          <w:tcPr>
            <w:tcW w:w="751" w:type="dxa"/>
            <w:tcBorders>
              <w:top w:val="single" w:color="auto" w:sz="4" w:space="0"/>
              <w:left w:val="single" w:color="auto" w:sz="4" w:space="0"/>
              <w:bottom w:val="single" w:color="auto" w:sz="4" w:space="0"/>
              <w:right w:val="single" w:color="auto" w:sz="4" w:space="0"/>
            </w:tcBorders>
            <w:noWrap/>
            <w:vAlign w:val="center"/>
          </w:tcPr>
          <w:p w14:paraId="7347BAEE">
            <w:pPr>
              <w:snapToGrid w:val="0"/>
              <w:jc w:val="center"/>
              <w:rPr>
                <w:bCs/>
                <w:color w:val="auto"/>
                <w:sz w:val="24"/>
                <w:highlight w:val="none"/>
              </w:rPr>
            </w:pPr>
            <w:r>
              <w:rPr>
                <w:rFonts w:hint="eastAsia"/>
                <w:bCs/>
                <w:color w:val="auto"/>
                <w:sz w:val="24"/>
                <w:highlight w:val="none"/>
              </w:rPr>
              <w:t>2</w:t>
            </w:r>
          </w:p>
        </w:tc>
        <w:tc>
          <w:tcPr>
            <w:tcW w:w="3463" w:type="dxa"/>
            <w:tcBorders>
              <w:top w:val="single" w:color="auto" w:sz="4" w:space="0"/>
              <w:left w:val="single" w:color="auto" w:sz="4" w:space="0"/>
              <w:bottom w:val="single" w:color="auto" w:sz="4" w:space="0"/>
              <w:right w:val="single" w:color="auto" w:sz="4" w:space="0"/>
            </w:tcBorders>
            <w:noWrap/>
            <w:vAlign w:val="center"/>
          </w:tcPr>
          <w:p w14:paraId="21DB2E0E">
            <w:pPr>
              <w:snapToGrid w:val="0"/>
              <w:jc w:val="center"/>
              <w:rPr>
                <w:bCs/>
                <w:color w:val="auto"/>
                <w:sz w:val="24"/>
                <w:highlight w:val="none"/>
              </w:rPr>
            </w:pPr>
            <w:r>
              <w:rPr>
                <w:rFonts w:hint="eastAsia"/>
                <w:color w:val="auto"/>
                <w:sz w:val="24"/>
                <w:highlight w:val="none"/>
              </w:rPr>
              <w:t>空气温湿度传感器</w:t>
            </w:r>
          </w:p>
        </w:tc>
        <w:tc>
          <w:tcPr>
            <w:tcW w:w="2105" w:type="dxa"/>
            <w:tcBorders>
              <w:top w:val="single" w:color="auto" w:sz="4" w:space="0"/>
              <w:left w:val="single" w:color="auto" w:sz="4" w:space="0"/>
              <w:bottom w:val="single" w:color="auto" w:sz="4" w:space="0"/>
              <w:right w:val="single" w:color="auto" w:sz="4" w:space="0"/>
            </w:tcBorders>
            <w:vAlign w:val="center"/>
          </w:tcPr>
          <w:p w14:paraId="708290A5">
            <w:pPr>
              <w:snapToGrid w:val="0"/>
              <w:jc w:val="center"/>
              <w:rPr>
                <w:bCs/>
                <w:color w:val="auto"/>
                <w:sz w:val="24"/>
                <w:highlight w:val="none"/>
              </w:rPr>
            </w:pPr>
            <w:r>
              <w:rPr>
                <w:rFonts w:hint="eastAsia"/>
                <w:color w:val="auto"/>
                <w:sz w:val="24"/>
                <w:highlight w:val="none"/>
              </w:rPr>
              <w:t>美国Campbell</w:t>
            </w:r>
          </w:p>
        </w:tc>
        <w:tc>
          <w:tcPr>
            <w:tcW w:w="1565" w:type="dxa"/>
            <w:tcBorders>
              <w:top w:val="single" w:color="auto" w:sz="4" w:space="0"/>
              <w:left w:val="single" w:color="auto" w:sz="4" w:space="0"/>
              <w:bottom w:val="single" w:color="auto" w:sz="4" w:space="0"/>
              <w:right w:val="single" w:color="auto" w:sz="4" w:space="0"/>
            </w:tcBorders>
            <w:vAlign w:val="center"/>
          </w:tcPr>
          <w:p w14:paraId="5BF407AB">
            <w:pPr>
              <w:snapToGrid w:val="0"/>
              <w:jc w:val="center"/>
              <w:rPr>
                <w:bCs/>
                <w:color w:val="auto"/>
                <w:sz w:val="24"/>
                <w:highlight w:val="none"/>
              </w:rPr>
            </w:pPr>
            <w:r>
              <w:rPr>
                <w:rFonts w:hint="eastAsia"/>
                <w:color w:val="auto"/>
                <w:sz w:val="24"/>
                <w:highlight w:val="none"/>
              </w:rPr>
              <w:t>HMP60</w:t>
            </w:r>
          </w:p>
        </w:tc>
        <w:tc>
          <w:tcPr>
            <w:tcW w:w="931" w:type="dxa"/>
            <w:tcBorders>
              <w:top w:val="single" w:color="auto" w:sz="4" w:space="0"/>
              <w:left w:val="single" w:color="auto" w:sz="4" w:space="0"/>
              <w:bottom w:val="single" w:color="auto" w:sz="4" w:space="0"/>
              <w:right w:val="single" w:color="auto" w:sz="4" w:space="0"/>
            </w:tcBorders>
            <w:noWrap/>
            <w:vAlign w:val="center"/>
          </w:tcPr>
          <w:p w14:paraId="3BD72388">
            <w:pPr>
              <w:snapToGrid w:val="0"/>
              <w:jc w:val="center"/>
              <w:rPr>
                <w:bCs/>
                <w:color w:val="auto"/>
                <w:sz w:val="24"/>
                <w:highlight w:val="none"/>
              </w:rPr>
            </w:pPr>
            <w:r>
              <w:rPr>
                <w:rFonts w:hint="eastAsia"/>
                <w:bCs/>
                <w:color w:val="auto"/>
                <w:kern w:val="0"/>
                <w:sz w:val="24"/>
                <w:highlight w:val="none"/>
                <w:u w:val="single" w:color="FFFFFF"/>
              </w:rPr>
              <w:t>5</w:t>
            </w:r>
          </w:p>
        </w:tc>
      </w:tr>
      <w:tr w14:paraId="1F171837">
        <w:tblPrEx>
          <w:tblCellMar>
            <w:top w:w="0" w:type="dxa"/>
            <w:left w:w="108" w:type="dxa"/>
            <w:bottom w:w="0" w:type="dxa"/>
            <w:right w:w="108" w:type="dxa"/>
          </w:tblCellMar>
        </w:tblPrEx>
        <w:trPr>
          <w:trHeight w:val="25" w:hRule="atLeast"/>
          <w:jc w:val="center"/>
        </w:trPr>
        <w:tc>
          <w:tcPr>
            <w:tcW w:w="751" w:type="dxa"/>
            <w:tcBorders>
              <w:top w:val="single" w:color="auto" w:sz="4" w:space="0"/>
              <w:left w:val="single" w:color="auto" w:sz="4" w:space="0"/>
              <w:bottom w:val="single" w:color="auto" w:sz="4" w:space="0"/>
              <w:right w:val="single" w:color="auto" w:sz="4" w:space="0"/>
            </w:tcBorders>
            <w:noWrap/>
            <w:vAlign w:val="center"/>
          </w:tcPr>
          <w:p w14:paraId="5213D369">
            <w:pPr>
              <w:snapToGrid w:val="0"/>
              <w:jc w:val="center"/>
              <w:rPr>
                <w:bCs/>
                <w:color w:val="auto"/>
                <w:sz w:val="24"/>
                <w:highlight w:val="none"/>
              </w:rPr>
            </w:pPr>
            <w:r>
              <w:rPr>
                <w:rFonts w:hint="eastAsia"/>
                <w:bCs/>
                <w:color w:val="auto"/>
                <w:sz w:val="24"/>
                <w:highlight w:val="none"/>
              </w:rPr>
              <w:t>3</w:t>
            </w:r>
          </w:p>
        </w:tc>
        <w:tc>
          <w:tcPr>
            <w:tcW w:w="3463" w:type="dxa"/>
            <w:tcBorders>
              <w:top w:val="single" w:color="auto" w:sz="4" w:space="0"/>
              <w:left w:val="single" w:color="auto" w:sz="4" w:space="0"/>
              <w:bottom w:val="single" w:color="auto" w:sz="4" w:space="0"/>
              <w:right w:val="single" w:color="auto" w:sz="4" w:space="0"/>
            </w:tcBorders>
            <w:noWrap/>
            <w:vAlign w:val="center"/>
          </w:tcPr>
          <w:p w14:paraId="5DA25722">
            <w:pPr>
              <w:snapToGrid w:val="0"/>
              <w:jc w:val="center"/>
              <w:rPr>
                <w:bCs/>
                <w:color w:val="auto"/>
                <w:sz w:val="24"/>
                <w:highlight w:val="none"/>
              </w:rPr>
            </w:pPr>
            <w:r>
              <w:rPr>
                <w:rFonts w:hint="eastAsia"/>
                <w:color w:val="auto"/>
                <w:sz w:val="24"/>
                <w:highlight w:val="none"/>
              </w:rPr>
              <w:t>风速传感器</w:t>
            </w:r>
          </w:p>
        </w:tc>
        <w:tc>
          <w:tcPr>
            <w:tcW w:w="2105" w:type="dxa"/>
            <w:tcBorders>
              <w:top w:val="single" w:color="auto" w:sz="4" w:space="0"/>
              <w:left w:val="single" w:color="auto" w:sz="4" w:space="0"/>
              <w:bottom w:val="single" w:color="auto" w:sz="4" w:space="0"/>
              <w:right w:val="single" w:color="auto" w:sz="4" w:space="0"/>
            </w:tcBorders>
            <w:vAlign w:val="center"/>
          </w:tcPr>
          <w:p w14:paraId="37F59416">
            <w:pPr>
              <w:snapToGrid w:val="0"/>
              <w:jc w:val="center"/>
              <w:rPr>
                <w:bCs/>
                <w:color w:val="auto"/>
                <w:sz w:val="24"/>
                <w:highlight w:val="none"/>
              </w:rPr>
            </w:pPr>
            <w:r>
              <w:rPr>
                <w:rFonts w:hint="eastAsia"/>
                <w:color w:val="auto"/>
                <w:sz w:val="24"/>
                <w:highlight w:val="none"/>
              </w:rPr>
              <w:t>美国Campbell</w:t>
            </w:r>
          </w:p>
        </w:tc>
        <w:tc>
          <w:tcPr>
            <w:tcW w:w="1565" w:type="dxa"/>
            <w:tcBorders>
              <w:top w:val="single" w:color="auto" w:sz="4" w:space="0"/>
              <w:left w:val="single" w:color="auto" w:sz="4" w:space="0"/>
              <w:bottom w:val="single" w:color="auto" w:sz="4" w:space="0"/>
              <w:right w:val="single" w:color="auto" w:sz="4" w:space="0"/>
            </w:tcBorders>
            <w:vAlign w:val="center"/>
          </w:tcPr>
          <w:p w14:paraId="633ED693">
            <w:pPr>
              <w:snapToGrid w:val="0"/>
              <w:jc w:val="center"/>
              <w:rPr>
                <w:bCs/>
                <w:color w:val="auto"/>
                <w:sz w:val="24"/>
                <w:highlight w:val="none"/>
              </w:rPr>
            </w:pPr>
            <w:r>
              <w:rPr>
                <w:rFonts w:hint="eastAsia"/>
                <w:color w:val="auto"/>
                <w:sz w:val="24"/>
                <w:highlight w:val="none"/>
              </w:rPr>
              <w:t>010C</w:t>
            </w:r>
          </w:p>
        </w:tc>
        <w:tc>
          <w:tcPr>
            <w:tcW w:w="931" w:type="dxa"/>
            <w:tcBorders>
              <w:top w:val="single" w:color="auto" w:sz="4" w:space="0"/>
              <w:left w:val="single" w:color="auto" w:sz="4" w:space="0"/>
              <w:bottom w:val="single" w:color="auto" w:sz="4" w:space="0"/>
              <w:right w:val="single" w:color="auto" w:sz="4" w:space="0"/>
            </w:tcBorders>
            <w:noWrap/>
            <w:vAlign w:val="center"/>
          </w:tcPr>
          <w:p w14:paraId="7CBAA349">
            <w:pPr>
              <w:snapToGrid w:val="0"/>
              <w:jc w:val="center"/>
              <w:rPr>
                <w:bCs/>
                <w:color w:val="auto"/>
                <w:sz w:val="24"/>
                <w:highlight w:val="none"/>
              </w:rPr>
            </w:pPr>
            <w:r>
              <w:rPr>
                <w:rFonts w:hint="eastAsia"/>
                <w:bCs/>
                <w:color w:val="auto"/>
                <w:kern w:val="0"/>
                <w:sz w:val="24"/>
                <w:highlight w:val="none"/>
                <w:u w:val="single" w:color="FFFFFF"/>
              </w:rPr>
              <w:t>5</w:t>
            </w:r>
          </w:p>
        </w:tc>
      </w:tr>
      <w:tr w14:paraId="7CF8433A">
        <w:tblPrEx>
          <w:tblCellMar>
            <w:top w:w="0" w:type="dxa"/>
            <w:left w:w="108" w:type="dxa"/>
            <w:bottom w:w="0" w:type="dxa"/>
            <w:right w:w="108" w:type="dxa"/>
          </w:tblCellMar>
        </w:tblPrEx>
        <w:trPr>
          <w:trHeight w:val="25" w:hRule="atLeast"/>
          <w:jc w:val="center"/>
        </w:trPr>
        <w:tc>
          <w:tcPr>
            <w:tcW w:w="751" w:type="dxa"/>
            <w:tcBorders>
              <w:top w:val="single" w:color="auto" w:sz="4" w:space="0"/>
              <w:left w:val="single" w:color="auto" w:sz="4" w:space="0"/>
              <w:bottom w:val="single" w:color="auto" w:sz="4" w:space="0"/>
              <w:right w:val="single" w:color="auto" w:sz="4" w:space="0"/>
            </w:tcBorders>
            <w:noWrap/>
            <w:vAlign w:val="center"/>
          </w:tcPr>
          <w:p w14:paraId="5408B0A6">
            <w:pPr>
              <w:snapToGrid w:val="0"/>
              <w:jc w:val="center"/>
              <w:rPr>
                <w:bCs/>
                <w:color w:val="auto"/>
                <w:sz w:val="24"/>
                <w:highlight w:val="none"/>
              </w:rPr>
            </w:pPr>
            <w:r>
              <w:rPr>
                <w:rFonts w:hint="eastAsia"/>
                <w:bCs/>
                <w:color w:val="auto"/>
                <w:sz w:val="24"/>
                <w:highlight w:val="none"/>
              </w:rPr>
              <w:t>4</w:t>
            </w:r>
          </w:p>
        </w:tc>
        <w:tc>
          <w:tcPr>
            <w:tcW w:w="3463" w:type="dxa"/>
            <w:tcBorders>
              <w:top w:val="single" w:color="auto" w:sz="4" w:space="0"/>
              <w:left w:val="single" w:color="auto" w:sz="4" w:space="0"/>
              <w:bottom w:val="single" w:color="auto" w:sz="4" w:space="0"/>
              <w:right w:val="single" w:color="auto" w:sz="4" w:space="0"/>
            </w:tcBorders>
            <w:noWrap/>
            <w:vAlign w:val="center"/>
          </w:tcPr>
          <w:p w14:paraId="6C6DB2C2">
            <w:pPr>
              <w:snapToGrid w:val="0"/>
              <w:jc w:val="center"/>
              <w:rPr>
                <w:bCs/>
                <w:color w:val="auto"/>
                <w:sz w:val="24"/>
                <w:highlight w:val="none"/>
              </w:rPr>
            </w:pPr>
            <w:r>
              <w:rPr>
                <w:rFonts w:hint="eastAsia"/>
                <w:color w:val="auto"/>
                <w:sz w:val="24"/>
                <w:highlight w:val="none"/>
              </w:rPr>
              <w:t>降水传感器</w:t>
            </w:r>
          </w:p>
        </w:tc>
        <w:tc>
          <w:tcPr>
            <w:tcW w:w="2105" w:type="dxa"/>
            <w:tcBorders>
              <w:top w:val="single" w:color="auto" w:sz="4" w:space="0"/>
              <w:left w:val="single" w:color="auto" w:sz="4" w:space="0"/>
              <w:bottom w:val="single" w:color="auto" w:sz="4" w:space="0"/>
              <w:right w:val="single" w:color="auto" w:sz="4" w:space="0"/>
            </w:tcBorders>
            <w:vAlign w:val="center"/>
          </w:tcPr>
          <w:p w14:paraId="476FB03E">
            <w:pPr>
              <w:snapToGrid w:val="0"/>
              <w:jc w:val="center"/>
              <w:rPr>
                <w:bCs/>
                <w:color w:val="auto"/>
                <w:sz w:val="24"/>
                <w:highlight w:val="none"/>
              </w:rPr>
            </w:pPr>
            <w:r>
              <w:rPr>
                <w:rFonts w:hint="eastAsia"/>
                <w:color w:val="auto"/>
                <w:sz w:val="24"/>
                <w:highlight w:val="none"/>
              </w:rPr>
              <w:t>美国Campbell</w:t>
            </w:r>
          </w:p>
        </w:tc>
        <w:tc>
          <w:tcPr>
            <w:tcW w:w="1565" w:type="dxa"/>
            <w:tcBorders>
              <w:top w:val="single" w:color="auto" w:sz="4" w:space="0"/>
              <w:left w:val="single" w:color="auto" w:sz="4" w:space="0"/>
              <w:bottom w:val="single" w:color="auto" w:sz="4" w:space="0"/>
              <w:right w:val="single" w:color="auto" w:sz="4" w:space="0"/>
            </w:tcBorders>
            <w:vAlign w:val="center"/>
          </w:tcPr>
          <w:p w14:paraId="22C9066E">
            <w:pPr>
              <w:snapToGrid w:val="0"/>
              <w:jc w:val="center"/>
              <w:rPr>
                <w:bCs/>
                <w:color w:val="auto"/>
                <w:sz w:val="24"/>
                <w:highlight w:val="none"/>
              </w:rPr>
            </w:pPr>
            <w:r>
              <w:rPr>
                <w:rFonts w:hint="eastAsia"/>
                <w:color w:val="auto"/>
                <w:sz w:val="24"/>
                <w:highlight w:val="none"/>
              </w:rPr>
              <w:t>TE525MM</w:t>
            </w:r>
          </w:p>
        </w:tc>
        <w:tc>
          <w:tcPr>
            <w:tcW w:w="931" w:type="dxa"/>
            <w:tcBorders>
              <w:top w:val="single" w:color="auto" w:sz="4" w:space="0"/>
              <w:left w:val="single" w:color="auto" w:sz="4" w:space="0"/>
              <w:bottom w:val="single" w:color="auto" w:sz="4" w:space="0"/>
              <w:right w:val="single" w:color="auto" w:sz="4" w:space="0"/>
            </w:tcBorders>
            <w:noWrap/>
            <w:vAlign w:val="center"/>
          </w:tcPr>
          <w:p w14:paraId="15085D84">
            <w:pPr>
              <w:snapToGrid w:val="0"/>
              <w:jc w:val="center"/>
              <w:rPr>
                <w:bCs/>
                <w:color w:val="auto"/>
                <w:sz w:val="24"/>
                <w:highlight w:val="none"/>
              </w:rPr>
            </w:pPr>
            <w:r>
              <w:rPr>
                <w:rFonts w:hint="eastAsia"/>
                <w:bCs/>
                <w:color w:val="auto"/>
                <w:kern w:val="0"/>
                <w:sz w:val="24"/>
                <w:highlight w:val="none"/>
                <w:u w:val="single" w:color="FFFFFF"/>
              </w:rPr>
              <w:t>1</w:t>
            </w:r>
          </w:p>
        </w:tc>
      </w:tr>
      <w:tr w14:paraId="28C6C342">
        <w:tblPrEx>
          <w:tblCellMar>
            <w:top w:w="0" w:type="dxa"/>
            <w:left w:w="108" w:type="dxa"/>
            <w:bottom w:w="0" w:type="dxa"/>
            <w:right w:w="108" w:type="dxa"/>
          </w:tblCellMar>
        </w:tblPrEx>
        <w:trPr>
          <w:trHeight w:val="25" w:hRule="atLeast"/>
          <w:jc w:val="center"/>
        </w:trPr>
        <w:tc>
          <w:tcPr>
            <w:tcW w:w="751" w:type="dxa"/>
            <w:tcBorders>
              <w:top w:val="single" w:color="auto" w:sz="4" w:space="0"/>
              <w:left w:val="single" w:color="auto" w:sz="4" w:space="0"/>
              <w:bottom w:val="single" w:color="auto" w:sz="4" w:space="0"/>
              <w:right w:val="single" w:color="auto" w:sz="4" w:space="0"/>
            </w:tcBorders>
            <w:noWrap/>
            <w:vAlign w:val="center"/>
          </w:tcPr>
          <w:p w14:paraId="5B3803B3">
            <w:pPr>
              <w:snapToGrid w:val="0"/>
              <w:jc w:val="center"/>
              <w:rPr>
                <w:bCs/>
                <w:color w:val="auto"/>
                <w:sz w:val="24"/>
                <w:highlight w:val="none"/>
              </w:rPr>
            </w:pPr>
            <w:r>
              <w:rPr>
                <w:rFonts w:hint="eastAsia"/>
                <w:bCs/>
                <w:color w:val="auto"/>
                <w:sz w:val="24"/>
                <w:highlight w:val="none"/>
              </w:rPr>
              <w:t>5</w:t>
            </w:r>
          </w:p>
        </w:tc>
        <w:tc>
          <w:tcPr>
            <w:tcW w:w="3463" w:type="dxa"/>
            <w:tcBorders>
              <w:top w:val="single" w:color="auto" w:sz="4" w:space="0"/>
              <w:left w:val="single" w:color="auto" w:sz="4" w:space="0"/>
              <w:bottom w:val="single" w:color="auto" w:sz="4" w:space="0"/>
              <w:right w:val="single" w:color="auto" w:sz="4" w:space="0"/>
            </w:tcBorders>
            <w:noWrap/>
            <w:vAlign w:val="center"/>
          </w:tcPr>
          <w:p w14:paraId="0EF2DF25">
            <w:pPr>
              <w:snapToGrid w:val="0"/>
              <w:jc w:val="center"/>
              <w:rPr>
                <w:bCs/>
                <w:color w:val="auto"/>
                <w:sz w:val="24"/>
                <w:highlight w:val="none"/>
              </w:rPr>
            </w:pPr>
            <w:r>
              <w:rPr>
                <w:rFonts w:hint="eastAsia"/>
                <w:color w:val="auto"/>
                <w:sz w:val="24"/>
                <w:highlight w:val="none"/>
              </w:rPr>
              <w:t>四分量辐射</w:t>
            </w:r>
          </w:p>
        </w:tc>
        <w:tc>
          <w:tcPr>
            <w:tcW w:w="2105" w:type="dxa"/>
            <w:tcBorders>
              <w:top w:val="single" w:color="auto" w:sz="4" w:space="0"/>
              <w:left w:val="single" w:color="auto" w:sz="4" w:space="0"/>
              <w:bottom w:val="single" w:color="auto" w:sz="4" w:space="0"/>
              <w:right w:val="single" w:color="auto" w:sz="4" w:space="0"/>
            </w:tcBorders>
            <w:vAlign w:val="center"/>
          </w:tcPr>
          <w:p w14:paraId="16673E40">
            <w:pPr>
              <w:snapToGrid w:val="0"/>
              <w:jc w:val="center"/>
              <w:rPr>
                <w:bCs/>
                <w:color w:val="auto"/>
                <w:sz w:val="24"/>
                <w:highlight w:val="none"/>
              </w:rPr>
            </w:pPr>
            <w:r>
              <w:rPr>
                <w:rFonts w:hint="eastAsia"/>
                <w:color w:val="auto"/>
                <w:sz w:val="24"/>
                <w:highlight w:val="none"/>
              </w:rPr>
              <w:t>美国Campbell</w:t>
            </w:r>
          </w:p>
        </w:tc>
        <w:tc>
          <w:tcPr>
            <w:tcW w:w="1565" w:type="dxa"/>
            <w:tcBorders>
              <w:top w:val="single" w:color="auto" w:sz="4" w:space="0"/>
              <w:left w:val="single" w:color="auto" w:sz="4" w:space="0"/>
              <w:bottom w:val="single" w:color="auto" w:sz="4" w:space="0"/>
              <w:right w:val="single" w:color="auto" w:sz="4" w:space="0"/>
            </w:tcBorders>
            <w:vAlign w:val="center"/>
          </w:tcPr>
          <w:p w14:paraId="11CBCC62">
            <w:pPr>
              <w:snapToGrid w:val="0"/>
              <w:jc w:val="center"/>
              <w:rPr>
                <w:bCs/>
                <w:color w:val="auto"/>
                <w:sz w:val="24"/>
                <w:highlight w:val="none"/>
              </w:rPr>
            </w:pPr>
            <w:r>
              <w:rPr>
                <w:rFonts w:hint="eastAsia"/>
                <w:color w:val="auto"/>
                <w:sz w:val="24"/>
                <w:highlight w:val="none"/>
              </w:rPr>
              <w:t>SN500</w:t>
            </w:r>
          </w:p>
        </w:tc>
        <w:tc>
          <w:tcPr>
            <w:tcW w:w="931" w:type="dxa"/>
            <w:tcBorders>
              <w:top w:val="single" w:color="auto" w:sz="4" w:space="0"/>
              <w:left w:val="single" w:color="auto" w:sz="4" w:space="0"/>
              <w:bottom w:val="single" w:color="auto" w:sz="4" w:space="0"/>
              <w:right w:val="single" w:color="auto" w:sz="4" w:space="0"/>
            </w:tcBorders>
            <w:noWrap/>
            <w:vAlign w:val="center"/>
          </w:tcPr>
          <w:p w14:paraId="526C88BE">
            <w:pPr>
              <w:snapToGrid w:val="0"/>
              <w:jc w:val="center"/>
              <w:rPr>
                <w:bCs/>
                <w:color w:val="auto"/>
                <w:sz w:val="24"/>
                <w:highlight w:val="none"/>
              </w:rPr>
            </w:pPr>
            <w:r>
              <w:rPr>
                <w:rFonts w:hint="eastAsia"/>
                <w:bCs/>
                <w:color w:val="auto"/>
                <w:kern w:val="0"/>
                <w:sz w:val="24"/>
                <w:highlight w:val="none"/>
              </w:rPr>
              <w:t>1</w:t>
            </w:r>
          </w:p>
        </w:tc>
      </w:tr>
      <w:tr w14:paraId="2C403955">
        <w:tblPrEx>
          <w:tblCellMar>
            <w:top w:w="0" w:type="dxa"/>
            <w:left w:w="108" w:type="dxa"/>
            <w:bottom w:w="0" w:type="dxa"/>
            <w:right w:w="108" w:type="dxa"/>
          </w:tblCellMar>
        </w:tblPrEx>
        <w:trPr>
          <w:trHeight w:val="25" w:hRule="atLeast"/>
          <w:jc w:val="center"/>
        </w:trPr>
        <w:tc>
          <w:tcPr>
            <w:tcW w:w="751" w:type="dxa"/>
            <w:tcBorders>
              <w:top w:val="single" w:color="auto" w:sz="4" w:space="0"/>
              <w:left w:val="single" w:color="auto" w:sz="4" w:space="0"/>
              <w:bottom w:val="single" w:color="auto" w:sz="4" w:space="0"/>
              <w:right w:val="single" w:color="auto" w:sz="4" w:space="0"/>
            </w:tcBorders>
            <w:noWrap/>
            <w:vAlign w:val="center"/>
          </w:tcPr>
          <w:p w14:paraId="6C3D7378">
            <w:pPr>
              <w:snapToGrid w:val="0"/>
              <w:jc w:val="center"/>
              <w:rPr>
                <w:bCs/>
                <w:color w:val="auto"/>
                <w:sz w:val="24"/>
                <w:highlight w:val="none"/>
              </w:rPr>
            </w:pPr>
            <w:r>
              <w:rPr>
                <w:rFonts w:hint="eastAsia"/>
                <w:bCs/>
                <w:color w:val="auto"/>
                <w:sz w:val="24"/>
                <w:highlight w:val="none"/>
              </w:rPr>
              <w:t>6</w:t>
            </w:r>
          </w:p>
        </w:tc>
        <w:tc>
          <w:tcPr>
            <w:tcW w:w="3463" w:type="dxa"/>
            <w:tcBorders>
              <w:top w:val="single" w:color="auto" w:sz="4" w:space="0"/>
              <w:left w:val="single" w:color="auto" w:sz="4" w:space="0"/>
              <w:bottom w:val="single" w:color="auto" w:sz="4" w:space="0"/>
              <w:right w:val="single" w:color="auto" w:sz="4" w:space="0"/>
            </w:tcBorders>
            <w:noWrap/>
            <w:vAlign w:val="center"/>
          </w:tcPr>
          <w:p w14:paraId="0C83C127">
            <w:pPr>
              <w:snapToGrid w:val="0"/>
              <w:jc w:val="center"/>
              <w:rPr>
                <w:bCs/>
                <w:color w:val="auto"/>
                <w:sz w:val="24"/>
                <w:highlight w:val="none"/>
              </w:rPr>
            </w:pPr>
            <w:r>
              <w:rPr>
                <w:rFonts w:hint="eastAsia"/>
                <w:color w:val="auto"/>
                <w:sz w:val="24"/>
                <w:highlight w:val="none"/>
              </w:rPr>
              <w:t>红外冠层温度传感器</w:t>
            </w:r>
          </w:p>
        </w:tc>
        <w:tc>
          <w:tcPr>
            <w:tcW w:w="2105" w:type="dxa"/>
            <w:tcBorders>
              <w:top w:val="single" w:color="auto" w:sz="4" w:space="0"/>
              <w:left w:val="single" w:color="auto" w:sz="4" w:space="0"/>
              <w:bottom w:val="single" w:color="auto" w:sz="4" w:space="0"/>
              <w:right w:val="single" w:color="auto" w:sz="4" w:space="0"/>
            </w:tcBorders>
            <w:vAlign w:val="center"/>
          </w:tcPr>
          <w:p w14:paraId="3595A0B4">
            <w:pPr>
              <w:snapToGrid w:val="0"/>
              <w:jc w:val="center"/>
              <w:rPr>
                <w:bCs/>
                <w:color w:val="auto"/>
                <w:sz w:val="24"/>
                <w:highlight w:val="none"/>
              </w:rPr>
            </w:pPr>
            <w:r>
              <w:rPr>
                <w:rFonts w:hint="eastAsia"/>
                <w:color w:val="auto"/>
                <w:sz w:val="24"/>
                <w:highlight w:val="none"/>
              </w:rPr>
              <w:t>美国Campbell</w:t>
            </w:r>
          </w:p>
        </w:tc>
        <w:tc>
          <w:tcPr>
            <w:tcW w:w="1565" w:type="dxa"/>
            <w:tcBorders>
              <w:top w:val="single" w:color="auto" w:sz="4" w:space="0"/>
              <w:left w:val="single" w:color="auto" w:sz="4" w:space="0"/>
              <w:bottom w:val="single" w:color="auto" w:sz="4" w:space="0"/>
              <w:right w:val="single" w:color="auto" w:sz="4" w:space="0"/>
            </w:tcBorders>
            <w:vAlign w:val="center"/>
          </w:tcPr>
          <w:p w14:paraId="4842E152">
            <w:pPr>
              <w:snapToGrid w:val="0"/>
              <w:jc w:val="center"/>
              <w:rPr>
                <w:bCs/>
                <w:color w:val="auto"/>
                <w:sz w:val="24"/>
                <w:highlight w:val="none"/>
              </w:rPr>
            </w:pPr>
            <w:r>
              <w:rPr>
                <w:rFonts w:hint="eastAsia"/>
                <w:color w:val="auto"/>
                <w:sz w:val="24"/>
                <w:highlight w:val="none"/>
              </w:rPr>
              <w:t>SI-111</w:t>
            </w:r>
          </w:p>
        </w:tc>
        <w:tc>
          <w:tcPr>
            <w:tcW w:w="931" w:type="dxa"/>
            <w:tcBorders>
              <w:top w:val="single" w:color="auto" w:sz="4" w:space="0"/>
              <w:left w:val="single" w:color="auto" w:sz="4" w:space="0"/>
              <w:bottom w:val="single" w:color="auto" w:sz="4" w:space="0"/>
              <w:right w:val="single" w:color="auto" w:sz="4" w:space="0"/>
            </w:tcBorders>
            <w:noWrap/>
            <w:vAlign w:val="center"/>
          </w:tcPr>
          <w:p w14:paraId="48CAEF04">
            <w:pPr>
              <w:snapToGrid w:val="0"/>
              <w:jc w:val="center"/>
              <w:rPr>
                <w:bCs/>
                <w:color w:val="auto"/>
                <w:sz w:val="24"/>
                <w:highlight w:val="none"/>
              </w:rPr>
            </w:pPr>
            <w:r>
              <w:rPr>
                <w:rFonts w:hint="eastAsia"/>
                <w:bCs/>
                <w:color w:val="auto"/>
                <w:kern w:val="0"/>
                <w:sz w:val="24"/>
                <w:highlight w:val="none"/>
              </w:rPr>
              <w:t>1</w:t>
            </w:r>
          </w:p>
        </w:tc>
      </w:tr>
      <w:tr w14:paraId="416E64BD">
        <w:tblPrEx>
          <w:tblCellMar>
            <w:top w:w="0" w:type="dxa"/>
            <w:left w:w="108" w:type="dxa"/>
            <w:bottom w:w="0" w:type="dxa"/>
            <w:right w:w="108" w:type="dxa"/>
          </w:tblCellMar>
        </w:tblPrEx>
        <w:trPr>
          <w:trHeight w:val="25" w:hRule="atLeast"/>
          <w:jc w:val="center"/>
        </w:trPr>
        <w:tc>
          <w:tcPr>
            <w:tcW w:w="751" w:type="dxa"/>
            <w:tcBorders>
              <w:top w:val="single" w:color="auto" w:sz="4" w:space="0"/>
              <w:left w:val="single" w:color="auto" w:sz="4" w:space="0"/>
              <w:bottom w:val="single" w:color="auto" w:sz="4" w:space="0"/>
              <w:right w:val="single" w:color="auto" w:sz="4" w:space="0"/>
            </w:tcBorders>
            <w:noWrap/>
            <w:vAlign w:val="center"/>
          </w:tcPr>
          <w:p w14:paraId="36E4334B">
            <w:pPr>
              <w:snapToGrid w:val="0"/>
              <w:jc w:val="center"/>
              <w:rPr>
                <w:bCs/>
                <w:color w:val="auto"/>
                <w:sz w:val="24"/>
                <w:highlight w:val="none"/>
              </w:rPr>
            </w:pPr>
            <w:r>
              <w:rPr>
                <w:rFonts w:hint="eastAsia"/>
                <w:bCs/>
                <w:color w:val="auto"/>
                <w:sz w:val="24"/>
                <w:highlight w:val="none"/>
              </w:rPr>
              <w:t>7</w:t>
            </w:r>
          </w:p>
        </w:tc>
        <w:tc>
          <w:tcPr>
            <w:tcW w:w="3463" w:type="dxa"/>
            <w:tcBorders>
              <w:top w:val="single" w:color="auto" w:sz="4" w:space="0"/>
              <w:left w:val="single" w:color="auto" w:sz="4" w:space="0"/>
              <w:bottom w:val="single" w:color="auto" w:sz="4" w:space="0"/>
              <w:right w:val="single" w:color="auto" w:sz="4" w:space="0"/>
            </w:tcBorders>
            <w:noWrap/>
            <w:vAlign w:val="center"/>
          </w:tcPr>
          <w:p w14:paraId="6B908DAC">
            <w:pPr>
              <w:snapToGrid w:val="0"/>
              <w:jc w:val="center"/>
              <w:rPr>
                <w:bCs/>
                <w:color w:val="auto"/>
                <w:sz w:val="24"/>
                <w:highlight w:val="none"/>
              </w:rPr>
            </w:pPr>
            <w:r>
              <w:rPr>
                <w:rFonts w:hint="eastAsia"/>
                <w:color w:val="auto"/>
                <w:sz w:val="24"/>
                <w:highlight w:val="none"/>
              </w:rPr>
              <w:t>土壤温度、水分、电导率传感器</w:t>
            </w:r>
          </w:p>
        </w:tc>
        <w:tc>
          <w:tcPr>
            <w:tcW w:w="2105" w:type="dxa"/>
            <w:tcBorders>
              <w:top w:val="single" w:color="auto" w:sz="4" w:space="0"/>
              <w:left w:val="single" w:color="auto" w:sz="4" w:space="0"/>
              <w:bottom w:val="single" w:color="auto" w:sz="4" w:space="0"/>
              <w:right w:val="single" w:color="auto" w:sz="4" w:space="0"/>
            </w:tcBorders>
            <w:vAlign w:val="center"/>
          </w:tcPr>
          <w:p w14:paraId="2397FFFD">
            <w:pPr>
              <w:snapToGrid w:val="0"/>
              <w:jc w:val="center"/>
              <w:rPr>
                <w:bCs/>
                <w:color w:val="auto"/>
                <w:sz w:val="24"/>
                <w:highlight w:val="none"/>
              </w:rPr>
            </w:pPr>
            <w:r>
              <w:rPr>
                <w:rFonts w:hint="eastAsia"/>
                <w:color w:val="auto"/>
                <w:sz w:val="24"/>
                <w:highlight w:val="none"/>
              </w:rPr>
              <w:t>美国Campbell</w:t>
            </w:r>
          </w:p>
        </w:tc>
        <w:tc>
          <w:tcPr>
            <w:tcW w:w="1565" w:type="dxa"/>
            <w:tcBorders>
              <w:top w:val="single" w:color="auto" w:sz="4" w:space="0"/>
              <w:left w:val="single" w:color="auto" w:sz="4" w:space="0"/>
              <w:bottom w:val="single" w:color="auto" w:sz="4" w:space="0"/>
              <w:right w:val="single" w:color="auto" w:sz="4" w:space="0"/>
            </w:tcBorders>
            <w:vAlign w:val="center"/>
          </w:tcPr>
          <w:p w14:paraId="1944542B">
            <w:pPr>
              <w:snapToGrid w:val="0"/>
              <w:jc w:val="center"/>
              <w:rPr>
                <w:bCs/>
                <w:color w:val="auto"/>
                <w:sz w:val="24"/>
                <w:highlight w:val="none"/>
              </w:rPr>
            </w:pPr>
            <w:r>
              <w:rPr>
                <w:rFonts w:hint="eastAsia"/>
                <w:color w:val="auto"/>
                <w:sz w:val="24"/>
                <w:highlight w:val="none"/>
              </w:rPr>
              <w:t>CS655</w:t>
            </w:r>
          </w:p>
        </w:tc>
        <w:tc>
          <w:tcPr>
            <w:tcW w:w="931" w:type="dxa"/>
            <w:tcBorders>
              <w:top w:val="single" w:color="auto" w:sz="4" w:space="0"/>
              <w:left w:val="single" w:color="auto" w:sz="4" w:space="0"/>
              <w:bottom w:val="single" w:color="auto" w:sz="4" w:space="0"/>
              <w:right w:val="single" w:color="auto" w:sz="4" w:space="0"/>
            </w:tcBorders>
            <w:noWrap/>
            <w:vAlign w:val="center"/>
          </w:tcPr>
          <w:p w14:paraId="6D5DC57E">
            <w:pPr>
              <w:snapToGrid w:val="0"/>
              <w:jc w:val="center"/>
              <w:rPr>
                <w:bCs/>
                <w:color w:val="auto"/>
                <w:sz w:val="24"/>
                <w:highlight w:val="none"/>
              </w:rPr>
            </w:pPr>
            <w:r>
              <w:rPr>
                <w:rFonts w:hint="eastAsia"/>
                <w:bCs/>
                <w:color w:val="auto"/>
                <w:kern w:val="0"/>
                <w:sz w:val="24"/>
                <w:highlight w:val="none"/>
              </w:rPr>
              <w:t>5</w:t>
            </w:r>
          </w:p>
        </w:tc>
      </w:tr>
      <w:tr w14:paraId="2FE90838">
        <w:tblPrEx>
          <w:tblCellMar>
            <w:top w:w="0" w:type="dxa"/>
            <w:left w:w="108" w:type="dxa"/>
            <w:bottom w:w="0" w:type="dxa"/>
            <w:right w:w="108" w:type="dxa"/>
          </w:tblCellMar>
        </w:tblPrEx>
        <w:trPr>
          <w:trHeight w:val="25" w:hRule="atLeast"/>
          <w:jc w:val="center"/>
        </w:trPr>
        <w:tc>
          <w:tcPr>
            <w:tcW w:w="751" w:type="dxa"/>
            <w:tcBorders>
              <w:top w:val="single" w:color="auto" w:sz="4" w:space="0"/>
              <w:left w:val="single" w:color="auto" w:sz="4" w:space="0"/>
              <w:bottom w:val="single" w:color="auto" w:sz="4" w:space="0"/>
              <w:right w:val="single" w:color="auto" w:sz="4" w:space="0"/>
            </w:tcBorders>
            <w:noWrap/>
            <w:vAlign w:val="center"/>
          </w:tcPr>
          <w:p w14:paraId="431B8B24">
            <w:pPr>
              <w:snapToGrid w:val="0"/>
              <w:jc w:val="center"/>
              <w:rPr>
                <w:bCs/>
                <w:color w:val="auto"/>
                <w:sz w:val="24"/>
                <w:highlight w:val="none"/>
              </w:rPr>
            </w:pPr>
            <w:r>
              <w:rPr>
                <w:rFonts w:hint="eastAsia"/>
                <w:bCs/>
                <w:color w:val="auto"/>
                <w:sz w:val="24"/>
                <w:highlight w:val="none"/>
              </w:rPr>
              <w:t>8</w:t>
            </w:r>
          </w:p>
        </w:tc>
        <w:tc>
          <w:tcPr>
            <w:tcW w:w="3463" w:type="dxa"/>
            <w:tcBorders>
              <w:top w:val="single" w:color="auto" w:sz="4" w:space="0"/>
              <w:left w:val="single" w:color="auto" w:sz="4" w:space="0"/>
              <w:bottom w:val="single" w:color="auto" w:sz="4" w:space="0"/>
              <w:right w:val="single" w:color="auto" w:sz="4" w:space="0"/>
            </w:tcBorders>
            <w:noWrap/>
            <w:vAlign w:val="center"/>
          </w:tcPr>
          <w:p w14:paraId="12B5ADD0">
            <w:pPr>
              <w:snapToGrid w:val="0"/>
              <w:jc w:val="center"/>
              <w:rPr>
                <w:bCs/>
                <w:color w:val="auto"/>
                <w:sz w:val="24"/>
                <w:highlight w:val="none"/>
              </w:rPr>
            </w:pPr>
            <w:r>
              <w:rPr>
                <w:rFonts w:hint="eastAsia"/>
                <w:color w:val="auto"/>
                <w:sz w:val="24"/>
                <w:highlight w:val="none"/>
              </w:rPr>
              <w:t>气压传感器</w:t>
            </w:r>
          </w:p>
        </w:tc>
        <w:tc>
          <w:tcPr>
            <w:tcW w:w="2105" w:type="dxa"/>
            <w:tcBorders>
              <w:top w:val="single" w:color="auto" w:sz="4" w:space="0"/>
              <w:left w:val="single" w:color="auto" w:sz="4" w:space="0"/>
              <w:bottom w:val="single" w:color="auto" w:sz="4" w:space="0"/>
              <w:right w:val="single" w:color="auto" w:sz="4" w:space="0"/>
            </w:tcBorders>
            <w:vAlign w:val="center"/>
          </w:tcPr>
          <w:p w14:paraId="5ED9ADD9">
            <w:pPr>
              <w:snapToGrid w:val="0"/>
              <w:jc w:val="center"/>
              <w:rPr>
                <w:bCs/>
                <w:color w:val="auto"/>
                <w:sz w:val="24"/>
                <w:highlight w:val="none"/>
              </w:rPr>
            </w:pPr>
            <w:r>
              <w:rPr>
                <w:rFonts w:hint="eastAsia"/>
                <w:color w:val="auto"/>
                <w:sz w:val="24"/>
                <w:highlight w:val="none"/>
              </w:rPr>
              <w:t>美国Campbell</w:t>
            </w:r>
          </w:p>
        </w:tc>
        <w:tc>
          <w:tcPr>
            <w:tcW w:w="1565" w:type="dxa"/>
            <w:tcBorders>
              <w:top w:val="single" w:color="auto" w:sz="4" w:space="0"/>
              <w:left w:val="single" w:color="auto" w:sz="4" w:space="0"/>
              <w:bottom w:val="single" w:color="auto" w:sz="4" w:space="0"/>
              <w:right w:val="single" w:color="auto" w:sz="4" w:space="0"/>
            </w:tcBorders>
            <w:vAlign w:val="center"/>
          </w:tcPr>
          <w:p w14:paraId="5FEF3AE4">
            <w:pPr>
              <w:snapToGrid w:val="0"/>
              <w:jc w:val="center"/>
              <w:rPr>
                <w:bCs/>
                <w:color w:val="auto"/>
                <w:sz w:val="24"/>
                <w:highlight w:val="none"/>
              </w:rPr>
            </w:pPr>
            <w:r>
              <w:rPr>
                <w:rFonts w:hint="eastAsia"/>
                <w:color w:val="auto"/>
                <w:sz w:val="24"/>
                <w:highlight w:val="none"/>
              </w:rPr>
              <w:t>CS106</w:t>
            </w:r>
          </w:p>
        </w:tc>
        <w:tc>
          <w:tcPr>
            <w:tcW w:w="931" w:type="dxa"/>
            <w:tcBorders>
              <w:top w:val="single" w:color="auto" w:sz="4" w:space="0"/>
              <w:left w:val="single" w:color="auto" w:sz="4" w:space="0"/>
              <w:bottom w:val="single" w:color="auto" w:sz="4" w:space="0"/>
              <w:right w:val="single" w:color="auto" w:sz="4" w:space="0"/>
            </w:tcBorders>
            <w:noWrap/>
            <w:vAlign w:val="center"/>
          </w:tcPr>
          <w:p w14:paraId="77B32D98">
            <w:pPr>
              <w:snapToGrid w:val="0"/>
              <w:jc w:val="center"/>
              <w:rPr>
                <w:bCs/>
                <w:color w:val="auto"/>
                <w:sz w:val="24"/>
                <w:highlight w:val="none"/>
              </w:rPr>
            </w:pPr>
            <w:r>
              <w:rPr>
                <w:rFonts w:hint="eastAsia"/>
                <w:bCs/>
                <w:color w:val="auto"/>
                <w:kern w:val="0"/>
                <w:sz w:val="24"/>
                <w:highlight w:val="none"/>
              </w:rPr>
              <w:t>1</w:t>
            </w:r>
          </w:p>
        </w:tc>
      </w:tr>
      <w:tr w14:paraId="60DC80E7">
        <w:tblPrEx>
          <w:tblCellMar>
            <w:top w:w="0" w:type="dxa"/>
            <w:left w:w="108" w:type="dxa"/>
            <w:bottom w:w="0" w:type="dxa"/>
            <w:right w:w="108" w:type="dxa"/>
          </w:tblCellMar>
        </w:tblPrEx>
        <w:trPr>
          <w:trHeight w:val="25" w:hRule="atLeast"/>
          <w:jc w:val="center"/>
        </w:trPr>
        <w:tc>
          <w:tcPr>
            <w:tcW w:w="751" w:type="dxa"/>
            <w:tcBorders>
              <w:top w:val="single" w:color="auto" w:sz="4" w:space="0"/>
              <w:left w:val="single" w:color="auto" w:sz="4" w:space="0"/>
              <w:bottom w:val="single" w:color="auto" w:sz="4" w:space="0"/>
              <w:right w:val="single" w:color="auto" w:sz="4" w:space="0"/>
            </w:tcBorders>
            <w:noWrap/>
            <w:vAlign w:val="center"/>
          </w:tcPr>
          <w:p w14:paraId="19ED2AAE">
            <w:pPr>
              <w:snapToGrid w:val="0"/>
              <w:jc w:val="center"/>
              <w:rPr>
                <w:bCs/>
                <w:color w:val="auto"/>
                <w:sz w:val="24"/>
                <w:highlight w:val="none"/>
              </w:rPr>
            </w:pPr>
            <w:r>
              <w:rPr>
                <w:rFonts w:hint="eastAsia"/>
                <w:bCs/>
                <w:color w:val="auto"/>
                <w:sz w:val="24"/>
                <w:highlight w:val="none"/>
              </w:rPr>
              <w:t>9</w:t>
            </w:r>
          </w:p>
        </w:tc>
        <w:tc>
          <w:tcPr>
            <w:tcW w:w="3463" w:type="dxa"/>
            <w:tcBorders>
              <w:top w:val="single" w:color="auto" w:sz="4" w:space="0"/>
              <w:left w:val="single" w:color="auto" w:sz="4" w:space="0"/>
              <w:bottom w:val="single" w:color="auto" w:sz="4" w:space="0"/>
              <w:right w:val="single" w:color="auto" w:sz="4" w:space="0"/>
            </w:tcBorders>
            <w:noWrap/>
            <w:vAlign w:val="center"/>
          </w:tcPr>
          <w:p w14:paraId="3A8B22FD">
            <w:pPr>
              <w:snapToGrid w:val="0"/>
              <w:jc w:val="center"/>
              <w:rPr>
                <w:bCs/>
                <w:color w:val="auto"/>
                <w:sz w:val="24"/>
                <w:highlight w:val="none"/>
              </w:rPr>
            </w:pPr>
            <w:r>
              <w:rPr>
                <w:rFonts w:hint="eastAsia"/>
                <w:color w:val="auto"/>
                <w:sz w:val="24"/>
                <w:highlight w:val="none"/>
              </w:rPr>
              <w:t>CO</w:t>
            </w:r>
            <w:r>
              <w:rPr>
                <w:rFonts w:hint="eastAsia"/>
                <w:color w:val="auto"/>
                <w:sz w:val="24"/>
                <w:highlight w:val="none"/>
                <w:vertAlign w:val="subscript"/>
              </w:rPr>
              <w:t>2</w:t>
            </w:r>
            <w:r>
              <w:rPr>
                <w:rFonts w:hint="eastAsia"/>
                <w:color w:val="auto"/>
                <w:sz w:val="24"/>
                <w:highlight w:val="none"/>
              </w:rPr>
              <w:t>/H</w:t>
            </w:r>
            <w:r>
              <w:rPr>
                <w:rFonts w:hint="eastAsia"/>
                <w:color w:val="auto"/>
                <w:sz w:val="24"/>
                <w:highlight w:val="none"/>
                <w:vertAlign w:val="subscript"/>
              </w:rPr>
              <w:t>2</w:t>
            </w:r>
            <w:r>
              <w:rPr>
                <w:rFonts w:hint="eastAsia"/>
                <w:color w:val="auto"/>
                <w:sz w:val="24"/>
                <w:highlight w:val="none"/>
              </w:rPr>
              <w:t>O廓线测量系统</w:t>
            </w:r>
          </w:p>
        </w:tc>
        <w:tc>
          <w:tcPr>
            <w:tcW w:w="2105" w:type="dxa"/>
            <w:tcBorders>
              <w:top w:val="single" w:color="auto" w:sz="4" w:space="0"/>
              <w:left w:val="single" w:color="auto" w:sz="4" w:space="0"/>
              <w:bottom w:val="single" w:color="auto" w:sz="4" w:space="0"/>
              <w:right w:val="single" w:color="auto" w:sz="4" w:space="0"/>
            </w:tcBorders>
            <w:vAlign w:val="center"/>
          </w:tcPr>
          <w:p w14:paraId="06CA0C38">
            <w:pPr>
              <w:snapToGrid w:val="0"/>
              <w:jc w:val="center"/>
              <w:rPr>
                <w:bCs/>
                <w:color w:val="auto"/>
                <w:sz w:val="24"/>
                <w:highlight w:val="none"/>
              </w:rPr>
            </w:pPr>
            <w:r>
              <w:rPr>
                <w:rFonts w:hint="eastAsia"/>
                <w:color w:val="auto"/>
                <w:sz w:val="24"/>
                <w:highlight w:val="none"/>
              </w:rPr>
              <w:t>美国Campbell</w:t>
            </w:r>
          </w:p>
        </w:tc>
        <w:tc>
          <w:tcPr>
            <w:tcW w:w="1565" w:type="dxa"/>
            <w:tcBorders>
              <w:top w:val="single" w:color="auto" w:sz="4" w:space="0"/>
              <w:left w:val="single" w:color="auto" w:sz="4" w:space="0"/>
              <w:bottom w:val="single" w:color="auto" w:sz="4" w:space="0"/>
              <w:right w:val="single" w:color="auto" w:sz="4" w:space="0"/>
            </w:tcBorders>
            <w:vAlign w:val="center"/>
          </w:tcPr>
          <w:p w14:paraId="10437EB0">
            <w:pPr>
              <w:snapToGrid w:val="0"/>
              <w:jc w:val="center"/>
              <w:rPr>
                <w:bCs/>
                <w:color w:val="auto"/>
                <w:sz w:val="24"/>
                <w:highlight w:val="none"/>
              </w:rPr>
            </w:pPr>
            <w:r>
              <w:rPr>
                <w:rFonts w:hint="eastAsia"/>
                <w:color w:val="auto"/>
                <w:sz w:val="24"/>
                <w:highlight w:val="none"/>
              </w:rPr>
              <w:t>AP200</w:t>
            </w:r>
          </w:p>
        </w:tc>
        <w:tc>
          <w:tcPr>
            <w:tcW w:w="931" w:type="dxa"/>
            <w:tcBorders>
              <w:top w:val="single" w:color="auto" w:sz="4" w:space="0"/>
              <w:left w:val="single" w:color="auto" w:sz="4" w:space="0"/>
              <w:bottom w:val="single" w:color="auto" w:sz="4" w:space="0"/>
              <w:right w:val="single" w:color="auto" w:sz="4" w:space="0"/>
            </w:tcBorders>
            <w:noWrap/>
            <w:vAlign w:val="center"/>
          </w:tcPr>
          <w:p w14:paraId="085FDE36">
            <w:pPr>
              <w:snapToGrid w:val="0"/>
              <w:jc w:val="center"/>
              <w:rPr>
                <w:bCs/>
                <w:color w:val="auto"/>
                <w:sz w:val="24"/>
                <w:highlight w:val="none"/>
              </w:rPr>
            </w:pPr>
            <w:r>
              <w:rPr>
                <w:rFonts w:hint="eastAsia"/>
                <w:bCs/>
                <w:color w:val="auto"/>
                <w:kern w:val="0"/>
                <w:sz w:val="24"/>
                <w:highlight w:val="none"/>
              </w:rPr>
              <w:t>1</w:t>
            </w:r>
          </w:p>
        </w:tc>
      </w:tr>
      <w:tr w14:paraId="5F5957A5">
        <w:tblPrEx>
          <w:tblCellMar>
            <w:top w:w="0" w:type="dxa"/>
            <w:left w:w="108" w:type="dxa"/>
            <w:bottom w:w="0" w:type="dxa"/>
            <w:right w:w="108" w:type="dxa"/>
          </w:tblCellMar>
        </w:tblPrEx>
        <w:trPr>
          <w:trHeight w:val="373" w:hRule="atLeast"/>
          <w:jc w:val="center"/>
        </w:trPr>
        <w:tc>
          <w:tcPr>
            <w:tcW w:w="8815" w:type="dxa"/>
            <w:gridSpan w:val="5"/>
            <w:tcBorders>
              <w:top w:val="single" w:color="auto" w:sz="4" w:space="0"/>
              <w:left w:val="single" w:color="auto" w:sz="4" w:space="0"/>
              <w:bottom w:val="single" w:color="auto" w:sz="4" w:space="0"/>
              <w:right w:val="single" w:color="auto" w:sz="4" w:space="0"/>
            </w:tcBorders>
            <w:noWrap/>
            <w:vAlign w:val="center"/>
          </w:tcPr>
          <w:p w14:paraId="0649FC1B">
            <w:pPr>
              <w:snapToGrid w:val="0"/>
              <w:jc w:val="center"/>
              <w:rPr>
                <w:b/>
                <w:bCs/>
                <w:color w:val="auto"/>
                <w:kern w:val="0"/>
                <w:sz w:val="24"/>
                <w:highlight w:val="none"/>
              </w:rPr>
            </w:pPr>
            <w:r>
              <w:rPr>
                <w:rFonts w:hint="eastAsia"/>
                <w:b/>
                <w:bCs/>
                <w:color w:val="auto"/>
                <w:kern w:val="0"/>
                <w:sz w:val="24"/>
                <w:highlight w:val="none"/>
              </w:rPr>
              <w:t>其他配件及配套设施</w:t>
            </w:r>
          </w:p>
        </w:tc>
      </w:tr>
      <w:tr w14:paraId="0E18D522">
        <w:tblPrEx>
          <w:tblCellMar>
            <w:top w:w="0" w:type="dxa"/>
            <w:left w:w="108" w:type="dxa"/>
            <w:bottom w:w="0" w:type="dxa"/>
            <w:right w:w="108" w:type="dxa"/>
          </w:tblCellMar>
        </w:tblPrEx>
        <w:trPr>
          <w:trHeight w:val="25" w:hRule="atLeast"/>
          <w:jc w:val="center"/>
        </w:trPr>
        <w:tc>
          <w:tcPr>
            <w:tcW w:w="751" w:type="dxa"/>
            <w:tcBorders>
              <w:top w:val="single" w:color="auto" w:sz="4" w:space="0"/>
              <w:left w:val="single" w:color="auto" w:sz="4" w:space="0"/>
              <w:bottom w:val="single" w:color="auto" w:sz="4" w:space="0"/>
              <w:right w:val="single" w:color="auto" w:sz="4" w:space="0"/>
            </w:tcBorders>
            <w:noWrap/>
            <w:vAlign w:val="center"/>
          </w:tcPr>
          <w:p w14:paraId="01844BDB">
            <w:pPr>
              <w:snapToGrid w:val="0"/>
              <w:jc w:val="center"/>
              <w:rPr>
                <w:bCs/>
                <w:color w:val="auto"/>
                <w:sz w:val="24"/>
                <w:highlight w:val="none"/>
              </w:rPr>
            </w:pPr>
            <w:r>
              <w:rPr>
                <w:rFonts w:hint="eastAsia"/>
                <w:bCs/>
                <w:color w:val="auto"/>
                <w:sz w:val="24"/>
                <w:highlight w:val="none"/>
              </w:rPr>
              <w:t>10</w:t>
            </w:r>
          </w:p>
        </w:tc>
        <w:tc>
          <w:tcPr>
            <w:tcW w:w="3463" w:type="dxa"/>
            <w:tcBorders>
              <w:top w:val="single" w:color="auto" w:sz="4" w:space="0"/>
              <w:left w:val="single" w:color="auto" w:sz="4" w:space="0"/>
              <w:bottom w:val="single" w:color="auto" w:sz="4" w:space="0"/>
              <w:right w:val="single" w:color="auto" w:sz="4" w:space="0"/>
            </w:tcBorders>
            <w:noWrap/>
            <w:vAlign w:val="center"/>
          </w:tcPr>
          <w:p w14:paraId="4B5ECE26">
            <w:pPr>
              <w:snapToGrid w:val="0"/>
              <w:jc w:val="center"/>
              <w:rPr>
                <w:bCs/>
                <w:color w:val="auto"/>
                <w:sz w:val="24"/>
                <w:highlight w:val="none"/>
              </w:rPr>
            </w:pPr>
            <w:r>
              <w:rPr>
                <w:rFonts w:hint="eastAsia"/>
                <w:color w:val="auto"/>
                <w:sz w:val="24"/>
                <w:highlight w:val="none"/>
              </w:rPr>
              <w:t>无线模块</w:t>
            </w:r>
          </w:p>
        </w:tc>
        <w:tc>
          <w:tcPr>
            <w:tcW w:w="2105" w:type="dxa"/>
            <w:tcBorders>
              <w:top w:val="single" w:color="auto" w:sz="4" w:space="0"/>
              <w:left w:val="single" w:color="auto" w:sz="4" w:space="0"/>
              <w:bottom w:val="single" w:color="auto" w:sz="4" w:space="0"/>
              <w:right w:val="single" w:color="auto" w:sz="4" w:space="0"/>
            </w:tcBorders>
            <w:vAlign w:val="center"/>
          </w:tcPr>
          <w:p w14:paraId="0F176D7D">
            <w:pPr>
              <w:snapToGrid w:val="0"/>
              <w:jc w:val="center"/>
              <w:rPr>
                <w:bCs/>
                <w:color w:val="auto"/>
                <w:sz w:val="24"/>
                <w:highlight w:val="none"/>
              </w:rPr>
            </w:pPr>
            <w:r>
              <w:rPr>
                <w:rFonts w:hint="eastAsia"/>
                <w:color w:val="auto"/>
                <w:sz w:val="24"/>
                <w:highlight w:val="none"/>
              </w:rPr>
              <w:t>/</w:t>
            </w:r>
          </w:p>
        </w:tc>
        <w:tc>
          <w:tcPr>
            <w:tcW w:w="1565" w:type="dxa"/>
            <w:tcBorders>
              <w:top w:val="single" w:color="auto" w:sz="4" w:space="0"/>
              <w:left w:val="single" w:color="auto" w:sz="4" w:space="0"/>
              <w:bottom w:val="single" w:color="auto" w:sz="4" w:space="0"/>
              <w:right w:val="single" w:color="auto" w:sz="4" w:space="0"/>
            </w:tcBorders>
            <w:vAlign w:val="center"/>
          </w:tcPr>
          <w:p w14:paraId="10CFFFA6">
            <w:pPr>
              <w:snapToGrid w:val="0"/>
              <w:jc w:val="center"/>
              <w:rPr>
                <w:bCs/>
                <w:color w:val="auto"/>
                <w:sz w:val="24"/>
                <w:highlight w:val="none"/>
              </w:rPr>
            </w:pPr>
            <w:r>
              <w:rPr>
                <w:rFonts w:hint="eastAsia"/>
                <w:color w:val="auto"/>
                <w:sz w:val="24"/>
                <w:highlight w:val="none"/>
              </w:rPr>
              <w:t>ZY8922</w:t>
            </w:r>
          </w:p>
        </w:tc>
        <w:tc>
          <w:tcPr>
            <w:tcW w:w="931" w:type="dxa"/>
            <w:tcBorders>
              <w:top w:val="single" w:color="auto" w:sz="4" w:space="0"/>
              <w:left w:val="single" w:color="auto" w:sz="4" w:space="0"/>
              <w:bottom w:val="single" w:color="auto" w:sz="4" w:space="0"/>
              <w:right w:val="single" w:color="auto" w:sz="4" w:space="0"/>
            </w:tcBorders>
            <w:noWrap/>
            <w:vAlign w:val="center"/>
          </w:tcPr>
          <w:p w14:paraId="168F2F5E">
            <w:pPr>
              <w:snapToGrid w:val="0"/>
              <w:jc w:val="center"/>
              <w:rPr>
                <w:bCs/>
                <w:color w:val="auto"/>
                <w:sz w:val="24"/>
                <w:highlight w:val="none"/>
              </w:rPr>
            </w:pPr>
            <w:r>
              <w:rPr>
                <w:rFonts w:hint="eastAsia"/>
                <w:bCs/>
                <w:color w:val="auto"/>
                <w:kern w:val="0"/>
                <w:sz w:val="24"/>
                <w:highlight w:val="none"/>
              </w:rPr>
              <w:t>2</w:t>
            </w:r>
          </w:p>
        </w:tc>
      </w:tr>
      <w:tr w14:paraId="4A878493">
        <w:tblPrEx>
          <w:tblCellMar>
            <w:top w:w="0" w:type="dxa"/>
            <w:left w:w="108" w:type="dxa"/>
            <w:bottom w:w="0" w:type="dxa"/>
            <w:right w:w="108" w:type="dxa"/>
          </w:tblCellMar>
        </w:tblPrEx>
        <w:trPr>
          <w:trHeight w:val="25" w:hRule="atLeast"/>
          <w:jc w:val="center"/>
        </w:trPr>
        <w:tc>
          <w:tcPr>
            <w:tcW w:w="751" w:type="dxa"/>
            <w:tcBorders>
              <w:top w:val="single" w:color="auto" w:sz="4" w:space="0"/>
              <w:left w:val="single" w:color="auto" w:sz="4" w:space="0"/>
              <w:bottom w:val="single" w:color="auto" w:sz="4" w:space="0"/>
              <w:right w:val="single" w:color="auto" w:sz="4" w:space="0"/>
            </w:tcBorders>
            <w:noWrap/>
            <w:vAlign w:val="center"/>
          </w:tcPr>
          <w:p w14:paraId="69B544BA">
            <w:pPr>
              <w:snapToGrid w:val="0"/>
              <w:jc w:val="center"/>
              <w:rPr>
                <w:bCs/>
                <w:color w:val="auto"/>
                <w:sz w:val="24"/>
                <w:highlight w:val="none"/>
              </w:rPr>
            </w:pPr>
            <w:r>
              <w:rPr>
                <w:rFonts w:hint="eastAsia"/>
                <w:bCs/>
                <w:color w:val="auto"/>
                <w:sz w:val="24"/>
                <w:highlight w:val="none"/>
              </w:rPr>
              <w:t>11</w:t>
            </w:r>
          </w:p>
        </w:tc>
        <w:tc>
          <w:tcPr>
            <w:tcW w:w="3463" w:type="dxa"/>
            <w:tcBorders>
              <w:top w:val="single" w:color="auto" w:sz="4" w:space="0"/>
              <w:left w:val="single" w:color="auto" w:sz="4" w:space="0"/>
              <w:bottom w:val="single" w:color="auto" w:sz="4" w:space="0"/>
              <w:right w:val="single" w:color="auto" w:sz="4" w:space="0"/>
            </w:tcBorders>
            <w:noWrap/>
            <w:vAlign w:val="center"/>
          </w:tcPr>
          <w:p w14:paraId="6A1A896E">
            <w:pPr>
              <w:snapToGrid w:val="0"/>
              <w:jc w:val="center"/>
              <w:rPr>
                <w:bCs/>
                <w:color w:val="auto"/>
                <w:sz w:val="24"/>
                <w:highlight w:val="none"/>
              </w:rPr>
            </w:pPr>
            <w:r>
              <w:rPr>
                <w:rFonts w:hint="eastAsia"/>
                <w:color w:val="auto"/>
                <w:sz w:val="24"/>
                <w:highlight w:val="none"/>
              </w:rPr>
              <w:t>CO</w:t>
            </w:r>
            <w:r>
              <w:rPr>
                <w:rFonts w:hint="eastAsia"/>
                <w:color w:val="auto"/>
                <w:sz w:val="24"/>
                <w:highlight w:val="none"/>
                <w:vertAlign w:val="subscript"/>
              </w:rPr>
              <w:t>2</w:t>
            </w:r>
            <w:r>
              <w:rPr>
                <w:rFonts w:hint="eastAsia"/>
                <w:color w:val="auto"/>
                <w:sz w:val="24"/>
                <w:highlight w:val="none"/>
              </w:rPr>
              <w:t>/H</w:t>
            </w:r>
            <w:r>
              <w:rPr>
                <w:rFonts w:hint="eastAsia"/>
                <w:color w:val="auto"/>
                <w:sz w:val="24"/>
                <w:highlight w:val="none"/>
                <w:vertAlign w:val="subscript"/>
              </w:rPr>
              <w:t>2</w:t>
            </w:r>
            <w:r>
              <w:rPr>
                <w:rFonts w:hint="eastAsia"/>
                <w:color w:val="auto"/>
                <w:sz w:val="24"/>
                <w:highlight w:val="none"/>
              </w:rPr>
              <w:t>O进气口</w:t>
            </w:r>
          </w:p>
        </w:tc>
        <w:tc>
          <w:tcPr>
            <w:tcW w:w="2105" w:type="dxa"/>
            <w:tcBorders>
              <w:top w:val="single" w:color="auto" w:sz="4" w:space="0"/>
              <w:left w:val="single" w:color="auto" w:sz="4" w:space="0"/>
              <w:bottom w:val="single" w:color="auto" w:sz="4" w:space="0"/>
              <w:right w:val="single" w:color="auto" w:sz="4" w:space="0"/>
            </w:tcBorders>
            <w:vAlign w:val="center"/>
          </w:tcPr>
          <w:p w14:paraId="17173674">
            <w:pPr>
              <w:snapToGrid w:val="0"/>
              <w:jc w:val="center"/>
              <w:rPr>
                <w:bCs/>
                <w:color w:val="auto"/>
                <w:sz w:val="24"/>
                <w:highlight w:val="none"/>
              </w:rPr>
            </w:pPr>
            <w:r>
              <w:rPr>
                <w:rFonts w:hint="eastAsia"/>
                <w:color w:val="auto"/>
                <w:sz w:val="24"/>
                <w:highlight w:val="none"/>
              </w:rPr>
              <w:t>/</w:t>
            </w:r>
          </w:p>
        </w:tc>
        <w:tc>
          <w:tcPr>
            <w:tcW w:w="1565" w:type="dxa"/>
            <w:tcBorders>
              <w:top w:val="single" w:color="auto" w:sz="4" w:space="0"/>
              <w:left w:val="single" w:color="auto" w:sz="4" w:space="0"/>
              <w:bottom w:val="single" w:color="auto" w:sz="4" w:space="0"/>
              <w:right w:val="single" w:color="auto" w:sz="4" w:space="0"/>
            </w:tcBorders>
            <w:vAlign w:val="center"/>
          </w:tcPr>
          <w:p w14:paraId="7090AC6C">
            <w:pPr>
              <w:snapToGrid w:val="0"/>
              <w:jc w:val="center"/>
              <w:rPr>
                <w:bCs/>
                <w:color w:val="auto"/>
                <w:sz w:val="24"/>
                <w:highlight w:val="none"/>
              </w:rPr>
            </w:pPr>
            <w:r>
              <w:rPr>
                <w:rFonts w:hint="eastAsia"/>
                <w:color w:val="auto"/>
                <w:sz w:val="24"/>
                <w:highlight w:val="none"/>
              </w:rPr>
              <w:t>GS-A05</w:t>
            </w:r>
          </w:p>
        </w:tc>
        <w:tc>
          <w:tcPr>
            <w:tcW w:w="931" w:type="dxa"/>
            <w:tcBorders>
              <w:top w:val="single" w:color="auto" w:sz="4" w:space="0"/>
              <w:left w:val="single" w:color="auto" w:sz="4" w:space="0"/>
              <w:bottom w:val="single" w:color="auto" w:sz="4" w:space="0"/>
              <w:right w:val="single" w:color="auto" w:sz="4" w:space="0"/>
            </w:tcBorders>
            <w:noWrap/>
            <w:vAlign w:val="center"/>
          </w:tcPr>
          <w:p w14:paraId="7933927B">
            <w:pPr>
              <w:snapToGrid w:val="0"/>
              <w:jc w:val="center"/>
              <w:rPr>
                <w:bCs/>
                <w:color w:val="auto"/>
                <w:sz w:val="24"/>
                <w:highlight w:val="none"/>
              </w:rPr>
            </w:pPr>
            <w:r>
              <w:rPr>
                <w:rFonts w:hint="eastAsia"/>
                <w:bCs/>
                <w:color w:val="auto"/>
                <w:kern w:val="0"/>
                <w:sz w:val="24"/>
                <w:highlight w:val="none"/>
              </w:rPr>
              <w:t>5</w:t>
            </w:r>
          </w:p>
        </w:tc>
      </w:tr>
      <w:tr w14:paraId="0040A16B">
        <w:tblPrEx>
          <w:tblCellMar>
            <w:top w:w="0" w:type="dxa"/>
            <w:left w:w="108" w:type="dxa"/>
            <w:bottom w:w="0" w:type="dxa"/>
            <w:right w:w="108" w:type="dxa"/>
          </w:tblCellMar>
        </w:tblPrEx>
        <w:trPr>
          <w:trHeight w:val="25" w:hRule="atLeast"/>
          <w:jc w:val="center"/>
        </w:trPr>
        <w:tc>
          <w:tcPr>
            <w:tcW w:w="751" w:type="dxa"/>
            <w:tcBorders>
              <w:top w:val="single" w:color="auto" w:sz="4" w:space="0"/>
              <w:left w:val="single" w:color="auto" w:sz="4" w:space="0"/>
              <w:bottom w:val="single" w:color="auto" w:sz="4" w:space="0"/>
              <w:right w:val="single" w:color="auto" w:sz="4" w:space="0"/>
            </w:tcBorders>
            <w:noWrap/>
            <w:vAlign w:val="center"/>
          </w:tcPr>
          <w:p w14:paraId="4BF5DA09">
            <w:pPr>
              <w:snapToGrid w:val="0"/>
              <w:jc w:val="center"/>
              <w:rPr>
                <w:bCs/>
                <w:color w:val="auto"/>
                <w:sz w:val="24"/>
                <w:highlight w:val="none"/>
              </w:rPr>
            </w:pPr>
            <w:r>
              <w:rPr>
                <w:rFonts w:hint="eastAsia"/>
                <w:bCs/>
                <w:color w:val="auto"/>
                <w:sz w:val="24"/>
                <w:highlight w:val="none"/>
              </w:rPr>
              <w:t>12</w:t>
            </w:r>
          </w:p>
        </w:tc>
        <w:tc>
          <w:tcPr>
            <w:tcW w:w="3463" w:type="dxa"/>
            <w:tcBorders>
              <w:top w:val="single" w:color="auto" w:sz="4" w:space="0"/>
              <w:left w:val="single" w:color="auto" w:sz="4" w:space="0"/>
              <w:bottom w:val="single" w:color="auto" w:sz="4" w:space="0"/>
              <w:right w:val="single" w:color="auto" w:sz="4" w:space="0"/>
            </w:tcBorders>
            <w:noWrap/>
            <w:vAlign w:val="center"/>
          </w:tcPr>
          <w:p w14:paraId="31BA74EB">
            <w:pPr>
              <w:snapToGrid w:val="0"/>
              <w:jc w:val="center"/>
              <w:rPr>
                <w:bCs/>
                <w:color w:val="auto"/>
                <w:sz w:val="24"/>
                <w:highlight w:val="none"/>
              </w:rPr>
            </w:pPr>
            <w:r>
              <w:rPr>
                <w:rFonts w:hint="eastAsia"/>
                <w:color w:val="auto"/>
                <w:sz w:val="24"/>
                <w:highlight w:val="none"/>
              </w:rPr>
              <w:t>200Ah蓄电池含防雨箱</w:t>
            </w:r>
          </w:p>
        </w:tc>
        <w:tc>
          <w:tcPr>
            <w:tcW w:w="2105" w:type="dxa"/>
            <w:tcBorders>
              <w:top w:val="single" w:color="auto" w:sz="4" w:space="0"/>
              <w:left w:val="single" w:color="auto" w:sz="4" w:space="0"/>
              <w:bottom w:val="single" w:color="auto" w:sz="4" w:space="0"/>
              <w:right w:val="single" w:color="auto" w:sz="4" w:space="0"/>
            </w:tcBorders>
            <w:vAlign w:val="center"/>
          </w:tcPr>
          <w:p w14:paraId="5924398E">
            <w:pPr>
              <w:snapToGrid w:val="0"/>
              <w:jc w:val="center"/>
              <w:rPr>
                <w:bCs/>
                <w:color w:val="auto"/>
                <w:sz w:val="24"/>
                <w:highlight w:val="none"/>
              </w:rPr>
            </w:pPr>
            <w:r>
              <w:rPr>
                <w:rFonts w:hint="eastAsia"/>
                <w:color w:val="auto"/>
                <w:sz w:val="24"/>
                <w:highlight w:val="none"/>
              </w:rPr>
              <w:t>/</w:t>
            </w:r>
          </w:p>
        </w:tc>
        <w:tc>
          <w:tcPr>
            <w:tcW w:w="1565" w:type="dxa"/>
            <w:tcBorders>
              <w:top w:val="single" w:color="auto" w:sz="4" w:space="0"/>
              <w:left w:val="single" w:color="auto" w:sz="4" w:space="0"/>
              <w:bottom w:val="single" w:color="auto" w:sz="4" w:space="0"/>
              <w:right w:val="single" w:color="auto" w:sz="4" w:space="0"/>
            </w:tcBorders>
            <w:vAlign w:val="center"/>
          </w:tcPr>
          <w:p w14:paraId="5DC0E2C9">
            <w:pPr>
              <w:snapToGrid w:val="0"/>
              <w:jc w:val="center"/>
              <w:rPr>
                <w:bCs/>
                <w:color w:val="auto"/>
                <w:sz w:val="24"/>
                <w:highlight w:val="none"/>
              </w:rPr>
            </w:pPr>
            <w:r>
              <w:rPr>
                <w:rFonts w:hint="eastAsia"/>
                <w:color w:val="auto"/>
                <w:sz w:val="24"/>
                <w:highlight w:val="none"/>
              </w:rPr>
              <w:t>HPY200</w:t>
            </w:r>
          </w:p>
        </w:tc>
        <w:tc>
          <w:tcPr>
            <w:tcW w:w="931" w:type="dxa"/>
            <w:tcBorders>
              <w:top w:val="single" w:color="auto" w:sz="4" w:space="0"/>
              <w:left w:val="single" w:color="auto" w:sz="4" w:space="0"/>
              <w:bottom w:val="single" w:color="auto" w:sz="4" w:space="0"/>
              <w:right w:val="single" w:color="auto" w:sz="4" w:space="0"/>
            </w:tcBorders>
            <w:noWrap/>
            <w:vAlign w:val="center"/>
          </w:tcPr>
          <w:p w14:paraId="4BC92FEE">
            <w:pPr>
              <w:snapToGrid w:val="0"/>
              <w:jc w:val="center"/>
              <w:rPr>
                <w:bCs/>
                <w:color w:val="auto"/>
                <w:sz w:val="24"/>
                <w:highlight w:val="none"/>
              </w:rPr>
            </w:pPr>
            <w:r>
              <w:rPr>
                <w:rFonts w:hint="eastAsia"/>
                <w:bCs/>
                <w:color w:val="auto"/>
                <w:kern w:val="0"/>
                <w:sz w:val="24"/>
                <w:highlight w:val="none"/>
              </w:rPr>
              <w:t>2</w:t>
            </w:r>
          </w:p>
        </w:tc>
      </w:tr>
      <w:tr w14:paraId="053EDA8D">
        <w:tblPrEx>
          <w:tblCellMar>
            <w:top w:w="0" w:type="dxa"/>
            <w:left w:w="108" w:type="dxa"/>
            <w:bottom w:w="0" w:type="dxa"/>
            <w:right w:w="108" w:type="dxa"/>
          </w:tblCellMar>
        </w:tblPrEx>
        <w:trPr>
          <w:trHeight w:val="25" w:hRule="atLeast"/>
          <w:jc w:val="center"/>
        </w:trPr>
        <w:tc>
          <w:tcPr>
            <w:tcW w:w="751" w:type="dxa"/>
            <w:tcBorders>
              <w:top w:val="single" w:color="auto" w:sz="4" w:space="0"/>
              <w:left w:val="single" w:color="auto" w:sz="4" w:space="0"/>
              <w:bottom w:val="single" w:color="auto" w:sz="4" w:space="0"/>
              <w:right w:val="single" w:color="auto" w:sz="4" w:space="0"/>
            </w:tcBorders>
            <w:noWrap/>
            <w:vAlign w:val="center"/>
          </w:tcPr>
          <w:p w14:paraId="4A7D452F">
            <w:pPr>
              <w:snapToGrid w:val="0"/>
              <w:jc w:val="center"/>
              <w:rPr>
                <w:bCs/>
                <w:color w:val="auto"/>
                <w:sz w:val="24"/>
                <w:highlight w:val="none"/>
              </w:rPr>
            </w:pPr>
            <w:r>
              <w:rPr>
                <w:rFonts w:hint="eastAsia"/>
                <w:bCs/>
                <w:color w:val="auto"/>
                <w:sz w:val="24"/>
                <w:highlight w:val="none"/>
              </w:rPr>
              <w:t>13</w:t>
            </w:r>
          </w:p>
        </w:tc>
        <w:tc>
          <w:tcPr>
            <w:tcW w:w="3463" w:type="dxa"/>
            <w:tcBorders>
              <w:top w:val="single" w:color="auto" w:sz="4" w:space="0"/>
              <w:left w:val="single" w:color="auto" w:sz="4" w:space="0"/>
              <w:bottom w:val="single" w:color="auto" w:sz="4" w:space="0"/>
              <w:right w:val="single" w:color="auto" w:sz="4" w:space="0"/>
            </w:tcBorders>
            <w:noWrap/>
            <w:vAlign w:val="center"/>
          </w:tcPr>
          <w:p w14:paraId="42D40892">
            <w:pPr>
              <w:snapToGrid w:val="0"/>
              <w:jc w:val="center"/>
              <w:rPr>
                <w:bCs/>
                <w:color w:val="auto"/>
                <w:sz w:val="24"/>
                <w:highlight w:val="none"/>
              </w:rPr>
            </w:pPr>
            <w:r>
              <w:rPr>
                <w:rFonts w:hint="eastAsia"/>
                <w:color w:val="auto"/>
                <w:sz w:val="24"/>
                <w:highlight w:val="none"/>
              </w:rPr>
              <w:t>远程监控</w:t>
            </w:r>
          </w:p>
        </w:tc>
        <w:tc>
          <w:tcPr>
            <w:tcW w:w="2105" w:type="dxa"/>
            <w:tcBorders>
              <w:top w:val="single" w:color="auto" w:sz="4" w:space="0"/>
              <w:left w:val="single" w:color="auto" w:sz="4" w:space="0"/>
              <w:bottom w:val="single" w:color="auto" w:sz="4" w:space="0"/>
              <w:right w:val="single" w:color="auto" w:sz="4" w:space="0"/>
            </w:tcBorders>
            <w:vAlign w:val="center"/>
          </w:tcPr>
          <w:p w14:paraId="5B59B1DD">
            <w:pPr>
              <w:snapToGrid w:val="0"/>
              <w:jc w:val="center"/>
              <w:rPr>
                <w:bCs/>
                <w:color w:val="auto"/>
                <w:sz w:val="24"/>
                <w:highlight w:val="none"/>
              </w:rPr>
            </w:pPr>
            <w:r>
              <w:rPr>
                <w:rFonts w:hint="eastAsia"/>
                <w:color w:val="auto"/>
                <w:sz w:val="24"/>
                <w:highlight w:val="none"/>
              </w:rPr>
              <w:t>海康威视</w:t>
            </w:r>
          </w:p>
        </w:tc>
        <w:tc>
          <w:tcPr>
            <w:tcW w:w="1565" w:type="dxa"/>
            <w:tcBorders>
              <w:top w:val="single" w:color="auto" w:sz="4" w:space="0"/>
              <w:left w:val="single" w:color="auto" w:sz="4" w:space="0"/>
              <w:bottom w:val="single" w:color="auto" w:sz="4" w:space="0"/>
              <w:right w:val="single" w:color="auto" w:sz="4" w:space="0"/>
            </w:tcBorders>
            <w:vAlign w:val="center"/>
          </w:tcPr>
          <w:p w14:paraId="1B09498C">
            <w:pPr>
              <w:snapToGrid w:val="0"/>
              <w:jc w:val="center"/>
              <w:rPr>
                <w:bCs/>
                <w:color w:val="auto"/>
                <w:sz w:val="24"/>
                <w:highlight w:val="none"/>
              </w:rPr>
            </w:pPr>
            <w:r>
              <w:rPr>
                <w:rFonts w:hint="eastAsia"/>
                <w:color w:val="auto"/>
                <w:sz w:val="24"/>
                <w:highlight w:val="none"/>
              </w:rPr>
              <w:t>DS-2CD4124F-I</w:t>
            </w:r>
          </w:p>
        </w:tc>
        <w:tc>
          <w:tcPr>
            <w:tcW w:w="931" w:type="dxa"/>
            <w:tcBorders>
              <w:top w:val="single" w:color="auto" w:sz="4" w:space="0"/>
              <w:left w:val="single" w:color="auto" w:sz="4" w:space="0"/>
              <w:bottom w:val="single" w:color="auto" w:sz="4" w:space="0"/>
              <w:right w:val="single" w:color="auto" w:sz="4" w:space="0"/>
            </w:tcBorders>
            <w:noWrap/>
            <w:vAlign w:val="center"/>
          </w:tcPr>
          <w:p w14:paraId="4E5746AB">
            <w:pPr>
              <w:snapToGrid w:val="0"/>
              <w:jc w:val="center"/>
              <w:rPr>
                <w:bCs/>
                <w:color w:val="auto"/>
                <w:sz w:val="24"/>
                <w:highlight w:val="none"/>
              </w:rPr>
            </w:pPr>
            <w:r>
              <w:rPr>
                <w:rFonts w:hint="eastAsia"/>
                <w:bCs/>
                <w:color w:val="auto"/>
                <w:kern w:val="0"/>
                <w:sz w:val="24"/>
                <w:highlight w:val="none"/>
              </w:rPr>
              <w:t>2</w:t>
            </w:r>
          </w:p>
        </w:tc>
      </w:tr>
      <w:tr w14:paraId="46BB339F">
        <w:tblPrEx>
          <w:tblCellMar>
            <w:top w:w="0" w:type="dxa"/>
            <w:left w:w="108" w:type="dxa"/>
            <w:bottom w:w="0" w:type="dxa"/>
            <w:right w:w="108" w:type="dxa"/>
          </w:tblCellMar>
        </w:tblPrEx>
        <w:trPr>
          <w:trHeight w:val="25" w:hRule="atLeast"/>
          <w:jc w:val="center"/>
        </w:trPr>
        <w:tc>
          <w:tcPr>
            <w:tcW w:w="751" w:type="dxa"/>
            <w:tcBorders>
              <w:top w:val="single" w:color="auto" w:sz="4" w:space="0"/>
              <w:left w:val="single" w:color="auto" w:sz="4" w:space="0"/>
              <w:bottom w:val="single" w:color="auto" w:sz="4" w:space="0"/>
              <w:right w:val="single" w:color="auto" w:sz="4" w:space="0"/>
            </w:tcBorders>
            <w:noWrap/>
            <w:vAlign w:val="center"/>
          </w:tcPr>
          <w:p w14:paraId="57531130">
            <w:pPr>
              <w:snapToGrid w:val="0"/>
              <w:jc w:val="center"/>
              <w:rPr>
                <w:bCs/>
                <w:color w:val="auto"/>
                <w:sz w:val="24"/>
                <w:highlight w:val="none"/>
              </w:rPr>
            </w:pPr>
            <w:r>
              <w:rPr>
                <w:rFonts w:hint="eastAsia"/>
                <w:bCs/>
                <w:color w:val="auto"/>
                <w:sz w:val="24"/>
                <w:highlight w:val="none"/>
              </w:rPr>
              <w:t>14</w:t>
            </w:r>
          </w:p>
        </w:tc>
        <w:tc>
          <w:tcPr>
            <w:tcW w:w="3463" w:type="dxa"/>
            <w:tcBorders>
              <w:top w:val="single" w:color="auto" w:sz="4" w:space="0"/>
              <w:left w:val="single" w:color="auto" w:sz="4" w:space="0"/>
              <w:bottom w:val="single" w:color="auto" w:sz="4" w:space="0"/>
              <w:right w:val="single" w:color="auto" w:sz="4" w:space="0"/>
            </w:tcBorders>
            <w:noWrap/>
            <w:vAlign w:val="center"/>
          </w:tcPr>
          <w:p w14:paraId="28C74098">
            <w:pPr>
              <w:snapToGrid w:val="0"/>
              <w:jc w:val="center"/>
              <w:rPr>
                <w:bCs/>
                <w:color w:val="auto"/>
                <w:sz w:val="24"/>
                <w:highlight w:val="none"/>
              </w:rPr>
            </w:pPr>
            <w:r>
              <w:rPr>
                <w:rFonts w:hint="eastAsia"/>
                <w:color w:val="auto"/>
                <w:sz w:val="24"/>
                <w:highlight w:val="none"/>
              </w:rPr>
              <w:t>交流转直流适配器</w:t>
            </w:r>
          </w:p>
        </w:tc>
        <w:tc>
          <w:tcPr>
            <w:tcW w:w="2105" w:type="dxa"/>
            <w:tcBorders>
              <w:top w:val="single" w:color="auto" w:sz="4" w:space="0"/>
              <w:left w:val="single" w:color="auto" w:sz="4" w:space="0"/>
              <w:bottom w:val="single" w:color="auto" w:sz="4" w:space="0"/>
              <w:right w:val="single" w:color="auto" w:sz="4" w:space="0"/>
            </w:tcBorders>
            <w:vAlign w:val="center"/>
          </w:tcPr>
          <w:p w14:paraId="7F05DF1B">
            <w:pPr>
              <w:snapToGrid w:val="0"/>
              <w:jc w:val="center"/>
              <w:rPr>
                <w:bCs/>
                <w:color w:val="auto"/>
                <w:sz w:val="24"/>
                <w:highlight w:val="none"/>
              </w:rPr>
            </w:pPr>
            <w:r>
              <w:rPr>
                <w:rFonts w:hint="eastAsia"/>
                <w:color w:val="auto"/>
                <w:sz w:val="24"/>
                <w:highlight w:val="none"/>
              </w:rPr>
              <w:t>潍坊五洲浩特电气有限公司</w:t>
            </w:r>
          </w:p>
        </w:tc>
        <w:tc>
          <w:tcPr>
            <w:tcW w:w="1565" w:type="dxa"/>
            <w:tcBorders>
              <w:top w:val="single" w:color="auto" w:sz="4" w:space="0"/>
              <w:left w:val="single" w:color="auto" w:sz="4" w:space="0"/>
              <w:bottom w:val="single" w:color="auto" w:sz="4" w:space="0"/>
              <w:right w:val="single" w:color="auto" w:sz="4" w:space="0"/>
            </w:tcBorders>
            <w:vAlign w:val="center"/>
          </w:tcPr>
          <w:p w14:paraId="1F4D117C">
            <w:pPr>
              <w:snapToGrid w:val="0"/>
              <w:jc w:val="center"/>
              <w:rPr>
                <w:bCs/>
                <w:color w:val="auto"/>
                <w:sz w:val="24"/>
                <w:highlight w:val="none"/>
              </w:rPr>
            </w:pPr>
            <w:r>
              <w:rPr>
                <w:rFonts w:hint="eastAsia"/>
                <w:color w:val="auto"/>
                <w:sz w:val="24"/>
                <w:highlight w:val="none"/>
              </w:rPr>
              <w:t>S-M-160/10-NX2</w:t>
            </w:r>
          </w:p>
        </w:tc>
        <w:tc>
          <w:tcPr>
            <w:tcW w:w="931" w:type="dxa"/>
            <w:tcBorders>
              <w:top w:val="single" w:color="auto" w:sz="4" w:space="0"/>
              <w:left w:val="single" w:color="auto" w:sz="4" w:space="0"/>
              <w:bottom w:val="single" w:color="auto" w:sz="4" w:space="0"/>
              <w:right w:val="single" w:color="auto" w:sz="4" w:space="0"/>
            </w:tcBorders>
            <w:noWrap/>
            <w:vAlign w:val="center"/>
          </w:tcPr>
          <w:p w14:paraId="6AA4937E">
            <w:pPr>
              <w:snapToGrid w:val="0"/>
              <w:jc w:val="center"/>
              <w:rPr>
                <w:bCs/>
                <w:color w:val="auto"/>
                <w:sz w:val="24"/>
                <w:highlight w:val="none"/>
              </w:rPr>
            </w:pPr>
            <w:r>
              <w:rPr>
                <w:rFonts w:hint="eastAsia"/>
                <w:bCs/>
                <w:color w:val="auto"/>
                <w:kern w:val="0"/>
                <w:sz w:val="24"/>
                <w:highlight w:val="none"/>
              </w:rPr>
              <w:t>1</w:t>
            </w:r>
          </w:p>
        </w:tc>
      </w:tr>
      <w:tr w14:paraId="5B305CA3">
        <w:tblPrEx>
          <w:tblCellMar>
            <w:top w:w="0" w:type="dxa"/>
            <w:left w:w="108" w:type="dxa"/>
            <w:bottom w:w="0" w:type="dxa"/>
            <w:right w:w="108" w:type="dxa"/>
          </w:tblCellMar>
        </w:tblPrEx>
        <w:trPr>
          <w:trHeight w:val="25" w:hRule="atLeast"/>
          <w:jc w:val="center"/>
        </w:trPr>
        <w:tc>
          <w:tcPr>
            <w:tcW w:w="751" w:type="dxa"/>
            <w:tcBorders>
              <w:top w:val="single" w:color="auto" w:sz="4" w:space="0"/>
              <w:left w:val="single" w:color="auto" w:sz="4" w:space="0"/>
              <w:bottom w:val="single" w:color="auto" w:sz="4" w:space="0"/>
              <w:right w:val="single" w:color="auto" w:sz="4" w:space="0"/>
            </w:tcBorders>
            <w:noWrap/>
            <w:vAlign w:val="center"/>
          </w:tcPr>
          <w:p w14:paraId="16B8355A">
            <w:pPr>
              <w:snapToGrid w:val="0"/>
              <w:jc w:val="center"/>
              <w:rPr>
                <w:bCs/>
                <w:color w:val="auto"/>
                <w:sz w:val="24"/>
                <w:highlight w:val="none"/>
              </w:rPr>
            </w:pPr>
            <w:r>
              <w:rPr>
                <w:rFonts w:hint="eastAsia"/>
                <w:bCs/>
                <w:color w:val="auto"/>
                <w:sz w:val="24"/>
                <w:highlight w:val="none"/>
              </w:rPr>
              <w:t>15</w:t>
            </w:r>
          </w:p>
        </w:tc>
        <w:tc>
          <w:tcPr>
            <w:tcW w:w="3463" w:type="dxa"/>
            <w:tcBorders>
              <w:top w:val="single" w:color="auto" w:sz="4" w:space="0"/>
              <w:left w:val="single" w:color="auto" w:sz="4" w:space="0"/>
              <w:bottom w:val="single" w:color="auto" w:sz="4" w:space="0"/>
              <w:right w:val="single" w:color="auto" w:sz="4" w:space="0"/>
            </w:tcBorders>
            <w:noWrap/>
            <w:vAlign w:val="center"/>
          </w:tcPr>
          <w:p w14:paraId="33E38853">
            <w:pPr>
              <w:snapToGrid w:val="0"/>
              <w:jc w:val="center"/>
              <w:rPr>
                <w:bCs/>
                <w:color w:val="auto"/>
                <w:sz w:val="24"/>
                <w:highlight w:val="none"/>
              </w:rPr>
            </w:pPr>
            <w:r>
              <w:rPr>
                <w:rFonts w:hint="eastAsia"/>
                <w:color w:val="auto"/>
                <w:sz w:val="24"/>
                <w:highlight w:val="none"/>
              </w:rPr>
              <w:t>35米高五层平台正方形Z字型爬梯拉线式四柱角钢铁塔</w:t>
            </w:r>
          </w:p>
        </w:tc>
        <w:tc>
          <w:tcPr>
            <w:tcW w:w="2105" w:type="dxa"/>
            <w:tcBorders>
              <w:top w:val="single" w:color="auto" w:sz="4" w:space="0"/>
              <w:left w:val="single" w:color="auto" w:sz="4" w:space="0"/>
              <w:bottom w:val="single" w:color="auto" w:sz="4" w:space="0"/>
              <w:right w:val="single" w:color="auto" w:sz="4" w:space="0"/>
            </w:tcBorders>
            <w:vAlign w:val="center"/>
          </w:tcPr>
          <w:p w14:paraId="3AF1AEB2">
            <w:pPr>
              <w:snapToGrid w:val="0"/>
              <w:jc w:val="center"/>
              <w:rPr>
                <w:bCs/>
                <w:color w:val="auto"/>
                <w:sz w:val="24"/>
                <w:highlight w:val="none"/>
              </w:rPr>
            </w:pPr>
            <w:r>
              <w:rPr>
                <w:rFonts w:hint="eastAsia"/>
                <w:color w:val="auto"/>
                <w:sz w:val="24"/>
                <w:highlight w:val="none"/>
              </w:rPr>
              <w:t>/</w:t>
            </w:r>
          </w:p>
        </w:tc>
        <w:tc>
          <w:tcPr>
            <w:tcW w:w="1565" w:type="dxa"/>
            <w:tcBorders>
              <w:top w:val="single" w:color="auto" w:sz="4" w:space="0"/>
              <w:left w:val="single" w:color="auto" w:sz="4" w:space="0"/>
              <w:bottom w:val="single" w:color="auto" w:sz="4" w:space="0"/>
              <w:right w:val="single" w:color="auto" w:sz="4" w:space="0"/>
            </w:tcBorders>
            <w:vAlign w:val="center"/>
          </w:tcPr>
          <w:p w14:paraId="64C7B4A2">
            <w:pPr>
              <w:snapToGrid w:val="0"/>
              <w:jc w:val="center"/>
              <w:rPr>
                <w:bCs/>
                <w:color w:val="auto"/>
                <w:sz w:val="24"/>
                <w:highlight w:val="none"/>
              </w:rPr>
            </w:pPr>
            <w:r>
              <w:rPr>
                <w:rFonts w:hint="eastAsia"/>
                <w:color w:val="auto"/>
                <w:sz w:val="24"/>
                <w:highlight w:val="none"/>
              </w:rPr>
              <w:t>ZY-TW35</w:t>
            </w:r>
          </w:p>
        </w:tc>
        <w:tc>
          <w:tcPr>
            <w:tcW w:w="931" w:type="dxa"/>
            <w:tcBorders>
              <w:top w:val="single" w:color="auto" w:sz="4" w:space="0"/>
              <w:left w:val="single" w:color="auto" w:sz="4" w:space="0"/>
              <w:bottom w:val="single" w:color="auto" w:sz="4" w:space="0"/>
              <w:right w:val="single" w:color="auto" w:sz="4" w:space="0"/>
            </w:tcBorders>
            <w:noWrap/>
            <w:vAlign w:val="center"/>
          </w:tcPr>
          <w:p w14:paraId="5C69A01D">
            <w:pPr>
              <w:snapToGrid w:val="0"/>
              <w:jc w:val="center"/>
              <w:rPr>
                <w:bCs/>
                <w:color w:val="auto"/>
                <w:sz w:val="24"/>
                <w:highlight w:val="none"/>
              </w:rPr>
            </w:pPr>
            <w:r>
              <w:rPr>
                <w:rFonts w:hint="eastAsia"/>
                <w:bCs/>
                <w:color w:val="auto"/>
                <w:kern w:val="0"/>
                <w:sz w:val="24"/>
                <w:highlight w:val="none"/>
              </w:rPr>
              <w:t>1</w:t>
            </w:r>
          </w:p>
        </w:tc>
      </w:tr>
      <w:tr w14:paraId="6EBA52AB">
        <w:tblPrEx>
          <w:tblCellMar>
            <w:top w:w="0" w:type="dxa"/>
            <w:left w:w="108" w:type="dxa"/>
            <w:bottom w:w="0" w:type="dxa"/>
            <w:right w:w="108" w:type="dxa"/>
          </w:tblCellMar>
        </w:tblPrEx>
        <w:trPr>
          <w:trHeight w:val="285" w:hRule="atLeast"/>
          <w:jc w:val="center"/>
        </w:trPr>
        <w:tc>
          <w:tcPr>
            <w:tcW w:w="751" w:type="dxa"/>
            <w:tcBorders>
              <w:top w:val="single" w:color="auto" w:sz="4" w:space="0"/>
              <w:left w:val="single" w:color="auto" w:sz="4" w:space="0"/>
              <w:bottom w:val="single" w:color="auto" w:sz="4" w:space="0"/>
              <w:right w:val="single" w:color="auto" w:sz="4" w:space="0"/>
            </w:tcBorders>
            <w:noWrap/>
            <w:vAlign w:val="center"/>
          </w:tcPr>
          <w:p w14:paraId="695ECCD4">
            <w:pPr>
              <w:snapToGrid w:val="0"/>
              <w:jc w:val="center"/>
              <w:rPr>
                <w:bCs/>
                <w:color w:val="auto"/>
                <w:sz w:val="24"/>
                <w:highlight w:val="none"/>
              </w:rPr>
            </w:pPr>
            <w:r>
              <w:rPr>
                <w:rFonts w:hint="eastAsia"/>
                <w:bCs/>
                <w:color w:val="auto"/>
                <w:sz w:val="24"/>
                <w:highlight w:val="none"/>
              </w:rPr>
              <w:t>16</w:t>
            </w:r>
          </w:p>
        </w:tc>
        <w:tc>
          <w:tcPr>
            <w:tcW w:w="3463" w:type="dxa"/>
            <w:tcBorders>
              <w:top w:val="single" w:color="auto" w:sz="4" w:space="0"/>
              <w:left w:val="single" w:color="auto" w:sz="4" w:space="0"/>
              <w:bottom w:val="single" w:color="auto" w:sz="4" w:space="0"/>
              <w:right w:val="single" w:color="auto" w:sz="4" w:space="0"/>
            </w:tcBorders>
            <w:noWrap/>
            <w:vAlign w:val="center"/>
          </w:tcPr>
          <w:p w14:paraId="74E4C544">
            <w:pPr>
              <w:snapToGrid w:val="0"/>
              <w:jc w:val="center"/>
              <w:rPr>
                <w:bCs/>
                <w:color w:val="auto"/>
                <w:sz w:val="24"/>
                <w:highlight w:val="none"/>
              </w:rPr>
            </w:pPr>
            <w:r>
              <w:rPr>
                <w:rFonts w:hint="eastAsia"/>
                <w:color w:val="auto"/>
                <w:sz w:val="24"/>
                <w:highlight w:val="none"/>
              </w:rPr>
              <w:t>移动简易站房</w:t>
            </w:r>
          </w:p>
        </w:tc>
        <w:tc>
          <w:tcPr>
            <w:tcW w:w="2105" w:type="dxa"/>
            <w:tcBorders>
              <w:top w:val="single" w:color="auto" w:sz="4" w:space="0"/>
              <w:left w:val="single" w:color="auto" w:sz="4" w:space="0"/>
              <w:bottom w:val="single" w:color="auto" w:sz="4" w:space="0"/>
              <w:right w:val="single" w:color="auto" w:sz="4" w:space="0"/>
            </w:tcBorders>
            <w:vAlign w:val="center"/>
          </w:tcPr>
          <w:p w14:paraId="0770C342">
            <w:pPr>
              <w:snapToGrid w:val="0"/>
              <w:jc w:val="center"/>
              <w:rPr>
                <w:bCs/>
                <w:color w:val="auto"/>
                <w:sz w:val="24"/>
                <w:highlight w:val="none"/>
              </w:rPr>
            </w:pPr>
            <w:r>
              <w:rPr>
                <w:rFonts w:hint="eastAsia"/>
                <w:color w:val="auto"/>
                <w:sz w:val="24"/>
                <w:highlight w:val="none"/>
              </w:rPr>
              <w:t>/</w:t>
            </w:r>
          </w:p>
        </w:tc>
        <w:tc>
          <w:tcPr>
            <w:tcW w:w="1565" w:type="dxa"/>
            <w:tcBorders>
              <w:top w:val="single" w:color="auto" w:sz="4" w:space="0"/>
              <w:left w:val="single" w:color="auto" w:sz="4" w:space="0"/>
              <w:bottom w:val="single" w:color="auto" w:sz="4" w:space="0"/>
              <w:right w:val="single" w:color="auto" w:sz="4" w:space="0"/>
            </w:tcBorders>
            <w:vAlign w:val="center"/>
          </w:tcPr>
          <w:p w14:paraId="0BFF70B4">
            <w:pPr>
              <w:snapToGrid w:val="0"/>
              <w:jc w:val="center"/>
              <w:rPr>
                <w:bCs/>
                <w:color w:val="auto"/>
                <w:sz w:val="24"/>
                <w:highlight w:val="none"/>
              </w:rPr>
            </w:pPr>
            <w:r>
              <w:rPr>
                <w:rFonts w:hint="eastAsia"/>
                <w:color w:val="auto"/>
                <w:sz w:val="24"/>
                <w:highlight w:val="none"/>
              </w:rPr>
              <w:t>ZY-HS10</w:t>
            </w:r>
          </w:p>
        </w:tc>
        <w:tc>
          <w:tcPr>
            <w:tcW w:w="931" w:type="dxa"/>
            <w:tcBorders>
              <w:top w:val="single" w:color="auto" w:sz="4" w:space="0"/>
              <w:left w:val="single" w:color="auto" w:sz="4" w:space="0"/>
              <w:bottom w:val="single" w:color="auto" w:sz="4" w:space="0"/>
              <w:right w:val="single" w:color="auto" w:sz="4" w:space="0"/>
            </w:tcBorders>
            <w:noWrap/>
            <w:vAlign w:val="center"/>
          </w:tcPr>
          <w:p w14:paraId="619365EE">
            <w:pPr>
              <w:snapToGrid w:val="0"/>
              <w:jc w:val="center"/>
              <w:rPr>
                <w:bCs/>
                <w:color w:val="auto"/>
                <w:sz w:val="24"/>
                <w:highlight w:val="none"/>
              </w:rPr>
            </w:pPr>
            <w:r>
              <w:rPr>
                <w:rFonts w:hint="eastAsia"/>
                <w:bCs/>
                <w:color w:val="auto"/>
                <w:kern w:val="0"/>
                <w:sz w:val="24"/>
                <w:highlight w:val="none"/>
              </w:rPr>
              <w:t>1</w:t>
            </w:r>
          </w:p>
        </w:tc>
      </w:tr>
    </w:tbl>
    <w:p w14:paraId="7D0269F2">
      <w:pPr>
        <w:snapToGrid w:val="0"/>
        <w:spacing w:before="120" w:beforeLines="50" w:line="360" w:lineRule="auto"/>
        <w:ind w:firstLine="482" w:firstLineChars="200"/>
        <w:rPr>
          <w:b/>
          <w:bCs/>
          <w:color w:val="auto"/>
          <w:sz w:val="24"/>
          <w:highlight w:val="none"/>
        </w:rPr>
      </w:pPr>
      <w:r>
        <w:rPr>
          <w:b/>
          <w:bCs/>
          <w:color w:val="auto"/>
          <w:sz w:val="24"/>
          <w:highlight w:val="none"/>
        </w:rPr>
        <w:t>1.2具体维护内容</w:t>
      </w:r>
    </w:p>
    <w:p w14:paraId="60A7649E">
      <w:pPr>
        <w:snapToGrid w:val="0"/>
        <w:spacing w:line="360" w:lineRule="auto"/>
        <w:ind w:firstLine="482" w:firstLineChars="200"/>
        <w:rPr>
          <w:b/>
          <w:bCs/>
          <w:color w:val="auto"/>
          <w:sz w:val="24"/>
          <w:highlight w:val="none"/>
        </w:rPr>
      </w:pPr>
      <w:r>
        <w:rPr>
          <w:b/>
          <w:bCs/>
          <w:color w:val="auto"/>
          <w:sz w:val="24"/>
          <w:highlight w:val="none"/>
        </w:rPr>
        <w:t>1.2.1 仪器设备维护内容</w:t>
      </w:r>
    </w:p>
    <w:p w14:paraId="10CBFD68">
      <w:pPr>
        <w:pStyle w:val="2"/>
        <w:snapToGrid w:val="0"/>
        <w:jc w:val="center"/>
        <w:rPr>
          <w:b/>
          <w:color w:val="auto"/>
          <w:highlight w:val="none"/>
        </w:rPr>
      </w:pPr>
      <w:r>
        <w:rPr>
          <w:b/>
          <w:color w:val="auto"/>
          <w:highlight w:val="none"/>
        </w:rPr>
        <w:t>表2   仪器设备维护内容</w:t>
      </w:r>
    </w:p>
    <w:tbl>
      <w:tblPr>
        <w:tblStyle w:val="62"/>
        <w:tblW w:w="8834"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8"/>
        <w:gridCol w:w="2417"/>
        <w:gridCol w:w="4309"/>
      </w:tblGrid>
      <w:tr w14:paraId="689A5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blHeader/>
        </w:trPr>
        <w:tc>
          <w:tcPr>
            <w:tcW w:w="2108" w:type="dxa"/>
            <w:vAlign w:val="center"/>
          </w:tcPr>
          <w:p w14:paraId="7CC549DB">
            <w:pPr>
              <w:snapToGrid w:val="0"/>
              <w:jc w:val="center"/>
              <w:rPr>
                <w:b/>
                <w:bCs/>
                <w:color w:val="auto"/>
                <w:sz w:val="24"/>
                <w:highlight w:val="none"/>
              </w:rPr>
            </w:pPr>
            <w:r>
              <w:rPr>
                <w:rFonts w:hint="eastAsia"/>
                <w:b/>
                <w:bCs/>
                <w:color w:val="auto"/>
                <w:sz w:val="24"/>
                <w:highlight w:val="none"/>
              </w:rPr>
              <w:t>项目</w:t>
            </w:r>
          </w:p>
        </w:tc>
        <w:tc>
          <w:tcPr>
            <w:tcW w:w="2417" w:type="dxa"/>
            <w:vAlign w:val="center"/>
          </w:tcPr>
          <w:p w14:paraId="37AF56E9">
            <w:pPr>
              <w:snapToGrid w:val="0"/>
              <w:jc w:val="center"/>
              <w:rPr>
                <w:b/>
                <w:bCs/>
                <w:color w:val="auto"/>
                <w:sz w:val="24"/>
                <w:highlight w:val="none"/>
              </w:rPr>
            </w:pPr>
            <w:r>
              <w:rPr>
                <w:rFonts w:hint="eastAsia"/>
                <w:b/>
                <w:bCs/>
                <w:color w:val="auto"/>
                <w:sz w:val="24"/>
                <w:highlight w:val="none"/>
              </w:rPr>
              <w:t>维护内容</w:t>
            </w:r>
          </w:p>
        </w:tc>
        <w:tc>
          <w:tcPr>
            <w:tcW w:w="4309" w:type="dxa"/>
            <w:vAlign w:val="center"/>
          </w:tcPr>
          <w:p w14:paraId="5CA60854">
            <w:pPr>
              <w:snapToGrid w:val="0"/>
              <w:jc w:val="center"/>
              <w:rPr>
                <w:b/>
                <w:bCs/>
                <w:color w:val="auto"/>
                <w:sz w:val="24"/>
                <w:highlight w:val="none"/>
              </w:rPr>
            </w:pPr>
            <w:r>
              <w:rPr>
                <w:rFonts w:hint="eastAsia"/>
                <w:b/>
                <w:bCs/>
                <w:color w:val="auto"/>
                <w:sz w:val="24"/>
                <w:highlight w:val="none"/>
              </w:rPr>
              <w:t>维护目标</w:t>
            </w:r>
          </w:p>
        </w:tc>
      </w:tr>
      <w:tr w14:paraId="484FB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trPr>
        <w:tc>
          <w:tcPr>
            <w:tcW w:w="2108" w:type="dxa"/>
            <w:vMerge w:val="restart"/>
            <w:vAlign w:val="center"/>
          </w:tcPr>
          <w:p w14:paraId="03FA4FB5">
            <w:pPr>
              <w:snapToGrid w:val="0"/>
              <w:jc w:val="center"/>
              <w:rPr>
                <w:color w:val="auto"/>
                <w:sz w:val="24"/>
                <w:highlight w:val="none"/>
              </w:rPr>
            </w:pPr>
            <w:r>
              <w:rPr>
                <w:rFonts w:hint="eastAsia"/>
                <w:color w:val="auto"/>
                <w:sz w:val="24"/>
                <w:highlight w:val="none"/>
              </w:rPr>
              <w:t>机箱</w:t>
            </w:r>
          </w:p>
        </w:tc>
        <w:tc>
          <w:tcPr>
            <w:tcW w:w="2417" w:type="dxa"/>
            <w:vAlign w:val="center"/>
          </w:tcPr>
          <w:p w14:paraId="34D097D7">
            <w:pPr>
              <w:snapToGrid w:val="0"/>
              <w:jc w:val="center"/>
              <w:rPr>
                <w:color w:val="auto"/>
                <w:sz w:val="24"/>
                <w:highlight w:val="none"/>
              </w:rPr>
            </w:pPr>
            <w:r>
              <w:rPr>
                <w:rFonts w:hint="eastAsia"/>
                <w:color w:val="auto"/>
                <w:sz w:val="24"/>
                <w:highlight w:val="none"/>
              </w:rPr>
              <w:t>清洁机箱内部</w:t>
            </w:r>
          </w:p>
        </w:tc>
        <w:tc>
          <w:tcPr>
            <w:tcW w:w="4309" w:type="dxa"/>
            <w:vAlign w:val="center"/>
          </w:tcPr>
          <w:p w14:paraId="415DD8B7">
            <w:pPr>
              <w:snapToGrid w:val="0"/>
              <w:jc w:val="center"/>
              <w:rPr>
                <w:color w:val="auto"/>
                <w:sz w:val="24"/>
                <w:highlight w:val="none"/>
              </w:rPr>
            </w:pPr>
            <w:r>
              <w:rPr>
                <w:rFonts w:hint="eastAsia"/>
                <w:color w:val="auto"/>
                <w:sz w:val="24"/>
                <w:highlight w:val="none"/>
              </w:rPr>
              <w:t>无蚊虫，无污物</w:t>
            </w:r>
          </w:p>
        </w:tc>
      </w:tr>
      <w:tr w14:paraId="7DF37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trPr>
        <w:tc>
          <w:tcPr>
            <w:tcW w:w="2108" w:type="dxa"/>
            <w:vMerge w:val="continue"/>
            <w:vAlign w:val="center"/>
          </w:tcPr>
          <w:p w14:paraId="34CC9267">
            <w:pPr>
              <w:snapToGrid w:val="0"/>
              <w:jc w:val="center"/>
              <w:rPr>
                <w:color w:val="auto"/>
                <w:sz w:val="24"/>
                <w:highlight w:val="none"/>
              </w:rPr>
            </w:pPr>
          </w:p>
        </w:tc>
        <w:tc>
          <w:tcPr>
            <w:tcW w:w="2417" w:type="dxa"/>
            <w:vAlign w:val="center"/>
          </w:tcPr>
          <w:p w14:paraId="27195595">
            <w:pPr>
              <w:snapToGrid w:val="0"/>
              <w:jc w:val="center"/>
              <w:rPr>
                <w:color w:val="auto"/>
                <w:sz w:val="24"/>
                <w:highlight w:val="none"/>
              </w:rPr>
            </w:pPr>
            <w:r>
              <w:rPr>
                <w:rFonts w:hint="eastAsia"/>
                <w:color w:val="auto"/>
                <w:sz w:val="24"/>
                <w:highlight w:val="none"/>
              </w:rPr>
              <w:t>定期更换干燥剂</w:t>
            </w:r>
          </w:p>
        </w:tc>
        <w:tc>
          <w:tcPr>
            <w:tcW w:w="4309" w:type="dxa"/>
            <w:vAlign w:val="center"/>
          </w:tcPr>
          <w:p w14:paraId="11F4F8A4">
            <w:pPr>
              <w:snapToGrid w:val="0"/>
              <w:jc w:val="center"/>
              <w:rPr>
                <w:color w:val="auto"/>
                <w:sz w:val="24"/>
                <w:highlight w:val="none"/>
              </w:rPr>
            </w:pPr>
            <w:r>
              <w:rPr>
                <w:rFonts w:hint="eastAsia"/>
                <w:color w:val="auto"/>
                <w:sz w:val="24"/>
                <w:highlight w:val="none"/>
              </w:rPr>
              <w:t>保障机箱内干燥</w:t>
            </w:r>
          </w:p>
        </w:tc>
      </w:tr>
      <w:tr w14:paraId="40058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trPr>
        <w:tc>
          <w:tcPr>
            <w:tcW w:w="2108" w:type="dxa"/>
            <w:vAlign w:val="center"/>
          </w:tcPr>
          <w:p w14:paraId="005B222E">
            <w:pPr>
              <w:snapToGrid w:val="0"/>
              <w:jc w:val="center"/>
              <w:rPr>
                <w:color w:val="auto"/>
                <w:sz w:val="24"/>
                <w:highlight w:val="none"/>
              </w:rPr>
            </w:pPr>
            <w:r>
              <w:rPr>
                <w:rFonts w:hint="eastAsia"/>
                <w:color w:val="auto"/>
                <w:sz w:val="24"/>
                <w:highlight w:val="none"/>
              </w:rPr>
              <w:t>线缆</w:t>
            </w:r>
          </w:p>
        </w:tc>
        <w:tc>
          <w:tcPr>
            <w:tcW w:w="2417" w:type="dxa"/>
            <w:vAlign w:val="center"/>
          </w:tcPr>
          <w:p w14:paraId="433AEA18">
            <w:pPr>
              <w:snapToGrid w:val="0"/>
              <w:jc w:val="center"/>
              <w:rPr>
                <w:color w:val="auto"/>
                <w:sz w:val="24"/>
                <w:highlight w:val="none"/>
              </w:rPr>
            </w:pPr>
            <w:r>
              <w:rPr>
                <w:rFonts w:hint="eastAsia"/>
                <w:color w:val="auto"/>
                <w:sz w:val="24"/>
                <w:highlight w:val="none"/>
              </w:rPr>
              <w:t>接线、线缆检查</w:t>
            </w:r>
          </w:p>
        </w:tc>
        <w:tc>
          <w:tcPr>
            <w:tcW w:w="4309" w:type="dxa"/>
            <w:vAlign w:val="center"/>
          </w:tcPr>
          <w:p w14:paraId="46337B14">
            <w:pPr>
              <w:snapToGrid w:val="0"/>
              <w:jc w:val="center"/>
              <w:rPr>
                <w:color w:val="auto"/>
                <w:sz w:val="24"/>
                <w:highlight w:val="none"/>
              </w:rPr>
            </w:pPr>
            <w:r>
              <w:rPr>
                <w:rFonts w:hint="eastAsia"/>
                <w:color w:val="auto"/>
                <w:sz w:val="24"/>
                <w:highlight w:val="none"/>
              </w:rPr>
              <w:t>线缆接头完好，线皮无破损</w:t>
            </w:r>
          </w:p>
        </w:tc>
      </w:tr>
      <w:tr w14:paraId="402C2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trPr>
        <w:tc>
          <w:tcPr>
            <w:tcW w:w="2108" w:type="dxa"/>
            <w:vAlign w:val="center"/>
          </w:tcPr>
          <w:p w14:paraId="2F0F87CF">
            <w:pPr>
              <w:snapToGrid w:val="0"/>
              <w:jc w:val="center"/>
              <w:rPr>
                <w:color w:val="auto"/>
                <w:sz w:val="24"/>
                <w:highlight w:val="none"/>
              </w:rPr>
            </w:pPr>
            <w:r>
              <w:rPr>
                <w:rFonts w:hint="eastAsia"/>
                <w:color w:val="auto"/>
                <w:sz w:val="24"/>
                <w:highlight w:val="none"/>
              </w:rPr>
              <w:t>供电</w:t>
            </w:r>
          </w:p>
        </w:tc>
        <w:tc>
          <w:tcPr>
            <w:tcW w:w="2417" w:type="dxa"/>
            <w:vAlign w:val="center"/>
          </w:tcPr>
          <w:p w14:paraId="01D9E70C">
            <w:pPr>
              <w:snapToGrid w:val="0"/>
              <w:jc w:val="center"/>
              <w:rPr>
                <w:color w:val="auto"/>
                <w:sz w:val="24"/>
                <w:highlight w:val="none"/>
              </w:rPr>
            </w:pPr>
            <w:r>
              <w:rPr>
                <w:rFonts w:hint="eastAsia"/>
                <w:color w:val="auto"/>
                <w:sz w:val="24"/>
                <w:highlight w:val="none"/>
              </w:rPr>
              <w:t>电压测量</w:t>
            </w:r>
          </w:p>
        </w:tc>
        <w:tc>
          <w:tcPr>
            <w:tcW w:w="4309" w:type="dxa"/>
            <w:vAlign w:val="center"/>
          </w:tcPr>
          <w:p w14:paraId="1F81587B">
            <w:pPr>
              <w:snapToGrid w:val="0"/>
              <w:jc w:val="center"/>
              <w:rPr>
                <w:color w:val="auto"/>
                <w:sz w:val="24"/>
                <w:highlight w:val="none"/>
              </w:rPr>
            </w:pPr>
            <w:r>
              <w:rPr>
                <w:rFonts w:hint="eastAsia"/>
                <w:color w:val="auto"/>
                <w:sz w:val="24"/>
                <w:highlight w:val="none"/>
              </w:rPr>
              <w:t>保障供电正常</w:t>
            </w:r>
          </w:p>
        </w:tc>
      </w:tr>
      <w:tr w14:paraId="30C0E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trPr>
        <w:tc>
          <w:tcPr>
            <w:tcW w:w="2108" w:type="dxa"/>
            <w:vMerge w:val="restart"/>
            <w:vAlign w:val="center"/>
          </w:tcPr>
          <w:p w14:paraId="78982CAF">
            <w:pPr>
              <w:snapToGrid w:val="0"/>
              <w:jc w:val="center"/>
              <w:rPr>
                <w:color w:val="auto"/>
                <w:sz w:val="24"/>
                <w:highlight w:val="none"/>
              </w:rPr>
            </w:pPr>
            <w:r>
              <w:rPr>
                <w:rFonts w:hint="eastAsia"/>
                <w:color w:val="auto"/>
                <w:sz w:val="24"/>
                <w:highlight w:val="none"/>
              </w:rPr>
              <w:t>数据采集器</w:t>
            </w:r>
          </w:p>
        </w:tc>
        <w:tc>
          <w:tcPr>
            <w:tcW w:w="2417" w:type="dxa"/>
            <w:vAlign w:val="center"/>
          </w:tcPr>
          <w:p w14:paraId="00F73867">
            <w:pPr>
              <w:snapToGrid w:val="0"/>
              <w:jc w:val="center"/>
              <w:rPr>
                <w:color w:val="auto"/>
                <w:sz w:val="24"/>
                <w:highlight w:val="none"/>
              </w:rPr>
            </w:pPr>
            <w:r>
              <w:rPr>
                <w:rFonts w:hint="eastAsia"/>
                <w:color w:val="auto"/>
                <w:sz w:val="24"/>
                <w:highlight w:val="none"/>
              </w:rPr>
              <w:t>数采状态</w:t>
            </w:r>
          </w:p>
        </w:tc>
        <w:tc>
          <w:tcPr>
            <w:tcW w:w="4309" w:type="dxa"/>
            <w:vAlign w:val="center"/>
          </w:tcPr>
          <w:p w14:paraId="273B8097">
            <w:pPr>
              <w:snapToGrid w:val="0"/>
              <w:jc w:val="center"/>
              <w:rPr>
                <w:color w:val="auto"/>
                <w:sz w:val="24"/>
                <w:highlight w:val="none"/>
              </w:rPr>
            </w:pPr>
            <w:r>
              <w:rPr>
                <w:rFonts w:hint="eastAsia"/>
                <w:color w:val="auto"/>
                <w:sz w:val="24"/>
                <w:highlight w:val="none"/>
              </w:rPr>
              <w:t>状态无异常</w:t>
            </w:r>
          </w:p>
        </w:tc>
      </w:tr>
      <w:tr w14:paraId="42F24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trPr>
        <w:tc>
          <w:tcPr>
            <w:tcW w:w="2108" w:type="dxa"/>
            <w:vMerge w:val="continue"/>
            <w:vAlign w:val="center"/>
          </w:tcPr>
          <w:p w14:paraId="740596DD">
            <w:pPr>
              <w:snapToGrid w:val="0"/>
              <w:jc w:val="center"/>
              <w:rPr>
                <w:color w:val="auto"/>
                <w:sz w:val="24"/>
                <w:highlight w:val="none"/>
              </w:rPr>
            </w:pPr>
          </w:p>
        </w:tc>
        <w:tc>
          <w:tcPr>
            <w:tcW w:w="2417" w:type="dxa"/>
            <w:vAlign w:val="center"/>
          </w:tcPr>
          <w:p w14:paraId="157995A2">
            <w:pPr>
              <w:snapToGrid w:val="0"/>
              <w:jc w:val="center"/>
              <w:rPr>
                <w:color w:val="auto"/>
                <w:sz w:val="24"/>
                <w:highlight w:val="none"/>
              </w:rPr>
            </w:pPr>
            <w:r>
              <w:rPr>
                <w:rFonts w:hint="eastAsia"/>
                <w:color w:val="auto"/>
                <w:sz w:val="24"/>
                <w:highlight w:val="none"/>
              </w:rPr>
              <w:t>数据完整性</w:t>
            </w:r>
          </w:p>
        </w:tc>
        <w:tc>
          <w:tcPr>
            <w:tcW w:w="4309" w:type="dxa"/>
            <w:vAlign w:val="center"/>
          </w:tcPr>
          <w:p w14:paraId="746E34F3">
            <w:pPr>
              <w:snapToGrid w:val="0"/>
              <w:jc w:val="center"/>
              <w:rPr>
                <w:color w:val="auto"/>
                <w:sz w:val="24"/>
                <w:highlight w:val="none"/>
              </w:rPr>
            </w:pPr>
            <w:r>
              <w:rPr>
                <w:rFonts w:hint="eastAsia"/>
                <w:color w:val="auto"/>
                <w:sz w:val="24"/>
                <w:highlight w:val="none"/>
              </w:rPr>
              <w:t>定期下载数据，格式化数据卡</w:t>
            </w:r>
          </w:p>
        </w:tc>
      </w:tr>
      <w:tr w14:paraId="23125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trPr>
        <w:tc>
          <w:tcPr>
            <w:tcW w:w="2108" w:type="dxa"/>
            <w:vMerge w:val="restart"/>
            <w:vAlign w:val="center"/>
          </w:tcPr>
          <w:p w14:paraId="64327C6F">
            <w:pPr>
              <w:snapToGrid w:val="0"/>
              <w:jc w:val="center"/>
              <w:rPr>
                <w:color w:val="auto"/>
                <w:sz w:val="24"/>
                <w:highlight w:val="none"/>
              </w:rPr>
            </w:pPr>
            <w:r>
              <w:rPr>
                <w:rFonts w:hint="eastAsia"/>
                <w:color w:val="auto"/>
                <w:sz w:val="24"/>
                <w:highlight w:val="none"/>
              </w:rPr>
              <w:t>空气温湿度</w:t>
            </w:r>
          </w:p>
        </w:tc>
        <w:tc>
          <w:tcPr>
            <w:tcW w:w="2417" w:type="dxa"/>
            <w:vAlign w:val="center"/>
          </w:tcPr>
          <w:p w14:paraId="7FDC8995">
            <w:pPr>
              <w:snapToGrid w:val="0"/>
              <w:jc w:val="center"/>
              <w:rPr>
                <w:color w:val="auto"/>
                <w:sz w:val="24"/>
                <w:highlight w:val="none"/>
              </w:rPr>
            </w:pPr>
            <w:r>
              <w:rPr>
                <w:rFonts w:hint="eastAsia"/>
                <w:color w:val="auto"/>
                <w:sz w:val="24"/>
                <w:highlight w:val="none"/>
              </w:rPr>
              <w:t>辐射罩</w:t>
            </w:r>
          </w:p>
        </w:tc>
        <w:tc>
          <w:tcPr>
            <w:tcW w:w="4309" w:type="dxa"/>
            <w:vAlign w:val="center"/>
          </w:tcPr>
          <w:p w14:paraId="4A972279">
            <w:pPr>
              <w:snapToGrid w:val="0"/>
              <w:jc w:val="center"/>
              <w:rPr>
                <w:color w:val="auto"/>
                <w:sz w:val="24"/>
                <w:highlight w:val="none"/>
              </w:rPr>
            </w:pPr>
            <w:r>
              <w:rPr>
                <w:rFonts w:hint="eastAsia"/>
                <w:color w:val="auto"/>
                <w:sz w:val="24"/>
                <w:highlight w:val="none"/>
              </w:rPr>
              <w:t>辐射罩无破损，无脏污</w:t>
            </w:r>
          </w:p>
        </w:tc>
      </w:tr>
      <w:tr w14:paraId="35FB8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trPr>
        <w:tc>
          <w:tcPr>
            <w:tcW w:w="2108" w:type="dxa"/>
            <w:vMerge w:val="continue"/>
            <w:vAlign w:val="center"/>
          </w:tcPr>
          <w:p w14:paraId="11278826">
            <w:pPr>
              <w:snapToGrid w:val="0"/>
              <w:jc w:val="center"/>
              <w:rPr>
                <w:color w:val="auto"/>
                <w:sz w:val="24"/>
                <w:highlight w:val="none"/>
              </w:rPr>
            </w:pPr>
          </w:p>
        </w:tc>
        <w:tc>
          <w:tcPr>
            <w:tcW w:w="2417" w:type="dxa"/>
            <w:vAlign w:val="center"/>
          </w:tcPr>
          <w:p w14:paraId="349EC4E4">
            <w:pPr>
              <w:snapToGrid w:val="0"/>
              <w:jc w:val="center"/>
              <w:rPr>
                <w:color w:val="auto"/>
                <w:sz w:val="24"/>
                <w:highlight w:val="none"/>
              </w:rPr>
            </w:pPr>
            <w:r>
              <w:rPr>
                <w:rFonts w:hint="eastAsia"/>
                <w:color w:val="auto"/>
                <w:sz w:val="24"/>
                <w:highlight w:val="none"/>
              </w:rPr>
              <w:t>数据检查</w:t>
            </w:r>
          </w:p>
        </w:tc>
        <w:tc>
          <w:tcPr>
            <w:tcW w:w="4309" w:type="dxa"/>
            <w:vAlign w:val="center"/>
          </w:tcPr>
          <w:p w14:paraId="49F42350">
            <w:pPr>
              <w:snapToGrid w:val="0"/>
              <w:jc w:val="center"/>
              <w:rPr>
                <w:color w:val="auto"/>
                <w:sz w:val="24"/>
                <w:highlight w:val="none"/>
              </w:rPr>
            </w:pPr>
            <w:r>
              <w:rPr>
                <w:rFonts w:hint="eastAsia"/>
                <w:color w:val="auto"/>
                <w:sz w:val="24"/>
                <w:highlight w:val="none"/>
              </w:rPr>
              <w:t>数据正常</w:t>
            </w:r>
          </w:p>
        </w:tc>
      </w:tr>
      <w:tr w14:paraId="03738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2108" w:type="dxa"/>
            <w:vMerge w:val="restart"/>
            <w:vAlign w:val="center"/>
          </w:tcPr>
          <w:p w14:paraId="0E9C674D">
            <w:pPr>
              <w:snapToGrid w:val="0"/>
              <w:jc w:val="center"/>
              <w:rPr>
                <w:color w:val="auto"/>
                <w:sz w:val="24"/>
                <w:highlight w:val="none"/>
              </w:rPr>
            </w:pPr>
            <w:r>
              <w:rPr>
                <w:rFonts w:hint="eastAsia"/>
                <w:color w:val="auto"/>
                <w:sz w:val="24"/>
                <w:highlight w:val="none"/>
              </w:rPr>
              <w:t>风速风向传感器</w:t>
            </w:r>
          </w:p>
        </w:tc>
        <w:tc>
          <w:tcPr>
            <w:tcW w:w="2417" w:type="dxa"/>
            <w:vAlign w:val="center"/>
          </w:tcPr>
          <w:p w14:paraId="2133A527">
            <w:pPr>
              <w:snapToGrid w:val="0"/>
              <w:jc w:val="center"/>
              <w:rPr>
                <w:color w:val="auto"/>
                <w:sz w:val="24"/>
                <w:highlight w:val="none"/>
              </w:rPr>
            </w:pPr>
            <w:r>
              <w:rPr>
                <w:rFonts w:hint="eastAsia"/>
                <w:color w:val="auto"/>
                <w:sz w:val="24"/>
                <w:highlight w:val="none"/>
              </w:rPr>
              <w:t>转动情况</w:t>
            </w:r>
          </w:p>
        </w:tc>
        <w:tc>
          <w:tcPr>
            <w:tcW w:w="4309" w:type="dxa"/>
            <w:vAlign w:val="center"/>
          </w:tcPr>
          <w:p w14:paraId="55539B23">
            <w:pPr>
              <w:snapToGrid w:val="0"/>
              <w:jc w:val="center"/>
              <w:rPr>
                <w:color w:val="auto"/>
                <w:sz w:val="24"/>
                <w:highlight w:val="none"/>
              </w:rPr>
            </w:pPr>
            <w:r>
              <w:rPr>
                <w:rFonts w:hint="eastAsia"/>
                <w:color w:val="auto"/>
                <w:sz w:val="24"/>
                <w:highlight w:val="none"/>
              </w:rPr>
              <w:t>转动轴无阻碍，风向数据正常</w:t>
            </w:r>
          </w:p>
        </w:tc>
      </w:tr>
      <w:tr w14:paraId="62E9F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trPr>
        <w:tc>
          <w:tcPr>
            <w:tcW w:w="2108" w:type="dxa"/>
            <w:vMerge w:val="continue"/>
            <w:vAlign w:val="center"/>
          </w:tcPr>
          <w:p w14:paraId="017494EE">
            <w:pPr>
              <w:snapToGrid w:val="0"/>
              <w:jc w:val="center"/>
              <w:rPr>
                <w:color w:val="auto"/>
                <w:sz w:val="24"/>
                <w:highlight w:val="none"/>
              </w:rPr>
            </w:pPr>
          </w:p>
        </w:tc>
        <w:tc>
          <w:tcPr>
            <w:tcW w:w="2417" w:type="dxa"/>
            <w:vAlign w:val="center"/>
          </w:tcPr>
          <w:p w14:paraId="70821559">
            <w:pPr>
              <w:snapToGrid w:val="0"/>
              <w:jc w:val="center"/>
              <w:rPr>
                <w:color w:val="auto"/>
                <w:sz w:val="24"/>
                <w:highlight w:val="none"/>
              </w:rPr>
            </w:pPr>
            <w:r>
              <w:rPr>
                <w:rFonts w:hint="eastAsia"/>
                <w:color w:val="auto"/>
                <w:sz w:val="24"/>
                <w:highlight w:val="none"/>
              </w:rPr>
              <w:t>数据检查</w:t>
            </w:r>
          </w:p>
        </w:tc>
        <w:tc>
          <w:tcPr>
            <w:tcW w:w="4309" w:type="dxa"/>
            <w:vAlign w:val="center"/>
          </w:tcPr>
          <w:p w14:paraId="4979DB96">
            <w:pPr>
              <w:snapToGrid w:val="0"/>
              <w:jc w:val="center"/>
              <w:rPr>
                <w:color w:val="auto"/>
                <w:sz w:val="24"/>
                <w:highlight w:val="none"/>
              </w:rPr>
            </w:pPr>
            <w:r>
              <w:rPr>
                <w:rFonts w:hint="eastAsia"/>
                <w:color w:val="auto"/>
                <w:sz w:val="24"/>
                <w:highlight w:val="none"/>
              </w:rPr>
              <w:t>数据正常</w:t>
            </w:r>
          </w:p>
        </w:tc>
      </w:tr>
      <w:tr w14:paraId="7CEEC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trPr>
        <w:tc>
          <w:tcPr>
            <w:tcW w:w="2108" w:type="dxa"/>
            <w:vMerge w:val="restart"/>
            <w:vAlign w:val="center"/>
          </w:tcPr>
          <w:p w14:paraId="43B16F4F">
            <w:pPr>
              <w:snapToGrid w:val="0"/>
              <w:jc w:val="center"/>
              <w:rPr>
                <w:color w:val="auto"/>
                <w:sz w:val="24"/>
                <w:highlight w:val="none"/>
              </w:rPr>
            </w:pPr>
            <w:r>
              <w:rPr>
                <w:rFonts w:hint="eastAsia"/>
                <w:color w:val="auto"/>
                <w:sz w:val="24"/>
                <w:highlight w:val="none"/>
              </w:rPr>
              <w:t>四分量净辐射</w:t>
            </w:r>
          </w:p>
        </w:tc>
        <w:tc>
          <w:tcPr>
            <w:tcW w:w="2417" w:type="dxa"/>
            <w:vAlign w:val="center"/>
          </w:tcPr>
          <w:p w14:paraId="0907F0CF">
            <w:pPr>
              <w:snapToGrid w:val="0"/>
              <w:jc w:val="center"/>
              <w:rPr>
                <w:color w:val="auto"/>
                <w:sz w:val="24"/>
                <w:highlight w:val="none"/>
              </w:rPr>
            </w:pPr>
            <w:r>
              <w:rPr>
                <w:rFonts w:hint="eastAsia"/>
                <w:color w:val="auto"/>
                <w:sz w:val="24"/>
                <w:highlight w:val="none"/>
              </w:rPr>
              <w:t>镜面清洁</w:t>
            </w:r>
          </w:p>
        </w:tc>
        <w:tc>
          <w:tcPr>
            <w:tcW w:w="4309" w:type="dxa"/>
            <w:vAlign w:val="center"/>
          </w:tcPr>
          <w:p w14:paraId="10ADF724">
            <w:pPr>
              <w:snapToGrid w:val="0"/>
              <w:jc w:val="center"/>
              <w:rPr>
                <w:color w:val="auto"/>
                <w:sz w:val="24"/>
                <w:highlight w:val="none"/>
              </w:rPr>
            </w:pPr>
            <w:r>
              <w:rPr>
                <w:rFonts w:hint="eastAsia"/>
                <w:color w:val="auto"/>
                <w:sz w:val="24"/>
                <w:highlight w:val="none"/>
              </w:rPr>
              <w:t>定期擦拭上下镜面</w:t>
            </w:r>
          </w:p>
        </w:tc>
      </w:tr>
      <w:tr w14:paraId="09798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trPr>
        <w:tc>
          <w:tcPr>
            <w:tcW w:w="2108" w:type="dxa"/>
            <w:vMerge w:val="continue"/>
            <w:vAlign w:val="center"/>
          </w:tcPr>
          <w:p w14:paraId="7050CA9A">
            <w:pPr>
              <w:snapToGrid w:val="0"/>
              <w:jc w:val="center"/>
              <w:rPr>
                <w:color w:val="auto"/>
                <w:sz w:val="24"/>
                <w:highlight w:val="none"/>
              </w:rPr>
            </w:pPr>
          </w:p>
        </w:tc>
        <w:tc>
          <w:tcPr>
            <w:tcW w:w="2417" w:type="dxa"/>
            <w:vAlign w:val="center"/>
          </w:tcPr>
          <w:p w14:paraId="66796643">
            <w:pPr>
              <w:snapToGrid w:val="0"/>
              <w:jc w:val="center"/>
              <w:rPr>
                <w:color w:val="auto"/>
                <w:sz w:val="24"/>
                <w:highlight w:val="none"/>
              </w:rPr>
            </w:pPr>
            <w:r>
              <w:rPr>
                <w:rFonts w:hint="eastAsia"/>
                <w:color w:val="auto"/>
                <w:sz w:val="24"/>
                <w:highlight w:val="none"/>
              </w:rPr>
              <w:t>水平性检查</w:t>
            </w:r>
          </w:p>
        </w:tc>
        <w:tc>
          <w:tcPr>
            <w:tcW w:w="4309" w:type="dxa"/>
            <w:vAlign w:val="center"/>
          </w:tcPr>
          <w:p w14:paraId="5A54FCF8">
            <w:pPr>
              <w:snapToGrid w:val="0"/>
              <w:jc w:val="center"/>
              <w:rPr>
                <w:color w:val="auto"/>
                <w:sz w:val="24"/>
                <w:highlight w:val="none"/>
              </w:rPr>
            </w:pPr>
            <w:r>
              <w:rPr>
                <w:rFonts w:hint="eastAsia"/>
                <w:color w:val="auto"/>
                <w:sz w:val="24"/>
                <w:highlight w:val="none"/>
              </w:rPr>
              <w:t>定期检查水平泡，调整保持水平</w:t>
            </w:r>
          </w:p>
        </w:tc>
      </w:tr>
      <w:tr w14:paraId="62A39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trPr>
        <w:tc>
          <w:tcPr>
            <w:tcW w:w="2108" w:type="dxa"/>
            <w:vMerge w:val="continue"/>
            <w:vAlign w:val="center"/>
          </w:tcPr>
          <w:p w14:paraId="17403940">
            <w:pPr>
              <w:snapToGrid w:val="0"/>
              <w:jc w:val="center"/>
              <w:rPr>
                <w:color w:val="auto"/>
                <w:sz w:val="24"/>
                <w:highlight w:val="none"/>
              </w:rPr>
            </w:pPr>
          </w:p>
        </w:tc>
        <w:tc>
          <w:tcPr>
            <w:tcW w:w="2417" w:type="dxa"/>
            <w:vAlign w:val="center"/>
          </w:tcPr>
          <w:p w14:paraId="15E103B3">
            <w:pPr>
              <w:snapToGrid w:val="0"/>
              <w:jc w:val="center"/>
              <w:rPr>
                <w:color w:val="auto"/>
                <w:sz w:val="24"/>
                <w:highlight w:val="none"/>
              </w:rPr>
            </w:pPr>
            <w:r>
              <w:rPr>
                <w:rFonts w:hint="eastAsia"/>
                <w:color w:val="auto"/>
                <w:sz w:val="24"/>
                <w:highlight w:val="none"/>
              </w:rPr>
              <w:t>数据检查</w:t>
            </w:r>
          </w:p>
        </w:tc>
        <w:tc>
          <w:tcPr>
            <w:tcW w:w="4309" w:type="dxa"/>
            <w:vAlign w:val="center"/>
          </w:tcPr>
          <w:p w14:paraId="7457AD63">
            <w:pPr>
              <w:snapToGrid w:val="0"/>
              <w:jc w:val="center"/>
              <w:rPr>
                <w:color w:val="auto"/>
                <w:sz w:val="24"/>
                <w:highlight w:val="none"/>
              </w:rPr>
            </w:pPr>
            <w:r>
              <w:rPr>
                <w:rFonts w:hint="eastAsia"/>
                <w:color w:val="auto"/>
                <w:sz w:val="24"/>
                <w:highlight w:val="none"/>
              </w:rPr>
              <w:t>数据正常</w:t>
            </w:r>
          </w:p>
        </w:tc>
      </w:tr>
      <w:tr w14:paraId="34198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trPr>
        <w:tc>
          <w:tcPr>
            <w:tcW w:w="2108" w:type="dxa"/>
            <w:vMerge w:val="restart"/>
            <w:vAlign w:val="center"/>
          </w:tcPr>
          <w:p w14:paraId="38762521">
            <w:pPr>
              <w:snapToGrid w:val="0"/>
              <w:jc w:val="center"/>
              <w:rPr>
                <w:color w:val="auto"/>
                <w:sz w:val="24"/>
                <w:highlight w:val="none"/>
              </w:rPr>
            </w:pPr>
            <w:r>
              <w:rPr>
                <w:rFonts w:hint="eastAsia"/>
                <w:color w:val="auto"/>
                <w:sz w:val="24"/>
                <w:highlight w:val="none"/>
              </w:rPr>
              <w:t>二氧化碳、水汽分析仪</w:t>
            </w:r>
          </w:p>
        </w:tc>
        <w:tc>
          <w:tcPr>
            <w:tcW w:w="2417" w:type="dxa"/>
            <w:vAlign w:val="center"/>
          </w:tcPr>
          <w:p w14:paraId="277B41D9">
            <w:pPr>
              <w:snapToGrid w:val="0"/>
              <w:jc w:val="center"/>
              <w:rPr>
                <w:color w:val="auto"/>
                <w:sz w:val="24"/>
                <w:highlight w:val="none"/>
              </w:rPr>
            </w:pPr>
            <w:r>
              <w:rPr>
                <w:rFonts w:hint="eastAsia"/>
                <w:color w:val="auto"/>
                <w:sz w:val="24"/>
                <w:highlight w:val="none"/>
              </w:rPr>
              <w:t>镜面清理</w:t>
            </w:r>
          </w:p>
        </w:tc>
        <w:tc>
          <w:tcPr>
            <w:tcW w:w="4309" w:type="dxa"/>
            <w:vAlign w:val="center"/>
          </w:tcPr>
          <w:p w14:paraId="3E99FA06">
            <w:pPr>
              <w:snapToGrid w:val="0"/>
              <w:jc w:val="center"/>
              <w:rPr>
                <w:color w:val="auto"/>
                <w:sz w:val="24"/>
                <w:highlight w:val="none"/>
              </w:rPr>
            </w:pPr>
            <w:r>
              <w:rPr>
                <w:rFonts w:hint="eastAsia"/>
                <w:color w:val="auto"/>
                <w:sz w:val="24"/>
                <w:highlight w:val="none"/>
              </w:rPr>
              <w:t>定期查看信号强度，及时清洁镜面</w:t>
            </w:r>
          </w:p>
        </w:tc>
      </w:tr>
      <w:tr w14:paraId="68DA8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trPr>
        <w:tc>
          <w:tcPr>
            <w:tcW w:w="2108" w:type="dxa"/>
            <w:vMerge w:val="continue"/>
            <w:vAlign w:val="center"/>
          </w:tcPr>
          <w:p w14:paraId="52D00953">
            <w:pPr>
              <w:snapToGrid w:val="0"/>
              <w:jc w:val="center"/>
              <w:rPr>
                <w:color w:val="auto"/>
                <w:sz w:val="24"/>
                <w:highlight w:val="none"/>
              </w:rPr>
            </w:pPr>
          </w:p>
        </w:tc>
        <w:tc>
          <w:tcPr>
            <w:tcW w:w="2417" w:type="dxa"/>
            <w:vAlign w:val="center"/>
          </w:tcPr>
          <w:p w14:paraId="1202A180">
            <w:pPr>
              <w:snapToGrid w:val="0"/>
              <w:jc w:val="center"/>
              <w:rPr>
                <w:color w:val="auto"/>
                <w:sz w:val="24"/>
                <w:highlight w:val="none"/>
              </w:rPr>
            </w:pPr>
            <w:r>
              <w:rPr>
                <w:rFonts w:hint="eastAsia"/>
                <w:color w:val="auto"/>
                <w:sz w:val="24"/>
                <w:highlight w:val="none"/>
              </w:rPr>
              <w:t>标气检查</w:t>
            </w:r>
          </w:p>
        </w:tc>
        <w:tc>
          <w:tcPr>
            <w:tcW w:w="4309" w:type="dxa"/>
            <w:vAlign w:val="center"/>
          </w:tcPr>
          <w:p w14:paraId="09FA7801">
            <w:pPr>
              <w:snapToGrid w:val="0"/>
              <w:jc w:val="center"/>
              <w:rPr>
                <w:color w:val="auto"/>
                <w:sz w:val="24"/>
                <w:highlight w:val="none"/>
              </w:rPr>
            </w:pPr>
            <w:r>
              <w:rPr>
                <w:rFonts w:hint="eastAsia"/>
                <w:color w:val="auto"/>
                <w:sz w:val="24"/>
                <w:highlight w:val="none"/>
              </w:rPr>
              <w:t>定期检查标气瓶压力，保证自标定运行，及时更换标气</w:t>
            </w:r>
          </w:p>
        </w:tc>
      </w:tr>
      <w:tr w14:paraId="753CC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trPr>
        <w:tc>
          <w:tcPr>
            <w:tcW w:w="2108" w:type="dxa"/>
            <w:vMerge w:val="continue"/>
            <w:vAlign w:val="center"/>
          </w:tcPr>
          <w:p w14:paraId="21EBD8A6">
            <w:pPr>
              <w:snapToGrid w:val="0"/>
              <w:jc w:val="center"/>
              <w:rPr>
                <w:color w:val="auto"/>
                <w:sz w:val="24"/>
                <w:highlight w:val="none"/>
              </w:rPr>
            </w:pPr>
          </w:p>
        </w:tc>
        <w:tc>
          <w:tcPr>
            <w:tcW w:w="2417" w:type="dxa"/>
            <w:vAlign w:val="center"/>
          </w:tcPr>
          <w:p w14:paraId="6FE30A34">
            <w:pPr>
              <w:snapToGrid w:val="0"/>
              <w:jc w:val="center"/>
              <w:rPr>
                <w:color w:val="auto"/>
                <w:sz w:val="24"/>
                <w:highlight w:val="none"/>
              </w:rPr>
            </w:pPr>
            <w:r>
              <w:rPr>
                <w:rFonts w:hint="eastAsia"/>
                <w:color w:val="auto"/>
                <w:sz w:val="24"/>
                <w:highlight w:val="none"/>
              </w:rPr>
              <w:t>Vortex进气口检查</w:t>
            </w:r>
          </w:p>
        </w:tc>
        <w:tc>
          <w:tcPr>
            <w:tcW w:w="4309" w:type="dxa"/>
            <w:vAlign w:val="center"/>
          </w:tcPr>
          <w:p w14:paraId="740B6C0B">
            <w:pPr>
              <w:snapToGrid w:val="0"/>
              <w:jc w:val="center"/>
              <w:rPr>
                <w:color w:val="auto"/>
                <w:sz w:val="24"/>
                <w:highlight w:val="none"/>
              </w:rPr>
            </w:pPr>
            <w:r>
              <w:rPr>
                <w:rFonts w:hint="eastAsia"/>
                <w:color w:val="auto"/>
                <w:sz w:val="24"/>
                <w:highlight w:val="none"/>
              </w:rPr>
              <w:t>定期检查Vortex进气口，适时更换过滤器</w:t>
            </w:r>
          </w:p>
        </w:tc>
      </w:tr>
      <w:tr w14:paraId="70F97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trPr>
        <w:tc>
          <w:tcPr>
            <w:tcW w:w="2108" w:type="dxa"/>
            <w:vMerge w:val="continue"/>
            <w:vAlign w:val="center"/>
          </w:tcPr>
          <w:p w14:paraId="37690232">
            <w:pPr>
              <w:snapToGrid w:val="0"/>
              <w:jc w:val="center"/>
              <w:rPr>
                <w:color w:val="auto"/>
                <w:sz w:val="24"/>
                <w:highlight w:val="none"/>
              </w:rPr>
            </w:pPr>
          </w:p>
        </w:tc>
        <w:tc>
          <w:tcPr>
            <w:tcW w:w="2417" w:type="dxa"/>
            <w:vAlign w:val="center"/>
          </w:tcPr>
          <w:p w14:paraId="52860411">
            <w:pPr>
              <w:snapToGrid w:val="0"/>
              <w:jc w:val="center"/>
              <w:rPr>
                <w:color w:val="auto"/>
                <w:sz w:val="24"/>
                <w:highlight w:val="none"/>
              </w:rPr>
            </w:pPr>
            <w:r>
              <w:rPr>
                <w:rFonts w:hint="eastAsia"/>
                <w:color w:val="auto"/>
                <w:sz w:val="24"/>
                <w:highlight w:val="none"/>
              </w:rPr>
              <w:t>流速检查</w:t>
            </w:r>
          </w:p>
        </w:tc>
        <w:tc>
          <w:tcPr>
            <w:tcW w:w="4309" w:type="dxa"/>
            <w:vAlign w:val="center"/>
          </w:tcPr>
          <w:p w14:paraId="7A56DA16">
            <w:pPr>
              <w:snapToGrid w:val="0"/>
              <w:jc w:val="center"/>
              <w:rPr>
                <w:color w:val="auto"/>
                <w:sz w:val="24"/>
                <w:highlight w:val="none"/>
              </w:rPr>
            </w:pPr>
            <w:r>
              <w:rPr>
                <w:rFonts w:hint="eastAsia"/>
                <w:color w:val="auto"/>
                <w:sz w:val="24"/>
                <w:highlight w:val="none"/>
              </w:rPr>
              <w:t>定期检查泵流速，做好配件更换准备</w:t>
            </w:r>
          </w:p>
        </w:tc>
      </w:tr>
      <w:tr w14:paraId="548FB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trPr>
        <w:tc>
          <w:tcPr>
            <w:tcW w:w="2108" w:type="dxa"/>
            <w:vMerge w:val="restart"/>
            <w:vAlign w:val="center"/>
          </w:tcPr>
          <w:p w14:paraId="2E3D17FB">
            <w:pPr>
              <w:snapToGrid w:val="0"/>
              <w:jc w:val="center"/>
              <w:rPr>
                <w:color w:val="auto"/>
                <w:sz w:val="24"/>
                <w:highlight w:val="none"/>
              </w:rPr>
            </w:pPr>
            <w:r>
              <w:rPr>
                <w:rFonts w:hint="eastAsia"/>
                <w:color w:val="auto"/>
                <w:sz w:val="24"/>
                <w:highlight w:val="none"/>
              </w:rPr>
              <w:t>三维超声风</w:t>
            </w:r>
          </w:p>
        </w:tc>
        <w:tc>
          <w:tcPr>
            <w:tcW w:w="2417" w:type="dxa"/>
            <w:vAlign w:val="center"/>
          </w:tcPr>
          <w:p w14:paraId="78CDCDD3">
            <w:pPr>
              <w:snapToGrid w:val="0"/>
              <w:jc w:val="center"/>
              <w:rPr>
                <w:color w:val="auto"/>
                <w:sz w:val="24"/>
                <w:highlight w:val="none"/>
              </w:rPr>
            </w:pPr>
            <w:r>
              <w:rPr>
                <w:rFonts w:hint="eastAsia"/>
                <w:color w:val="auto"/>
                <w:sz w:val="24"/>
                <w:highlight w:val="none"/>
              </w:rPr>
              <w:t>探头清理</w:t>
            </w:r>
          </w:p>
        </w:tc>
        <w:tc>
          <w:tcPr>
            <w:tcW w:w="4309" w:type="dxa"/>
            <w:vAlign w:val="center"/>
          </w:tcPr>
          <w:p w14:paraId="0A5E0919">
            <w:pPr>
              <w:snapToGrid w:val="0"/>
              <w:jc w:val="center"/>
              <w:rPr>
                <w:color w:val="auto"/>
                <w:sz w:val="24"/>
                <w:highlight w:val="none"/>
              </w:rPr>
            </w:pPr>
            <w:r>
              <w:rPr>
                <w:rFonts w:hint="eastAsia"/>
                <w:color w:val="auto"/>
                <w:sz w:val="24"/>
                <w:highlight w:val="none"/>
              </w:rPr>
              <w:t>无尘无污染</w:t>
            </w:r>
          </w:p>
        </w:tc>
      </w:tr>
      <w:tr w14:paraId="38671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trPr>
        <w:tc>
          <w:tcPr>
            <w:tcW w:w="2108" w:type="dxa"/>
            <w:vMerge w:val="continue"/>
            <w:vAlign w:val="center"/>
          </w:tcPr>
          <w:p w14:paraId="288D3A1B">
            <w:pPr>
              <w:snapToGrid w:val="0"/>
              <w:jc w:val="center"/>
              <w:rPr>
                <w:color w:val="auto"/>
                <w:sz w:val="24"/>
                <w:highlight w:val="none"/>
              </w:rPr>
            </w:pPr>
          </w:p>
        </w:tc>
        <w:tc>
          <w:tcPr>
            <w:tcW w:w="2417" w:type="dxa"/>
            <w:vAlign w:val="center"/>
          </w:tcPr>
          <w:p w14:paraId="4CFAE6B7">
            <w:pPr>
              <w:snapToGrid w:val="0"/>
              <w:jc w:val="center"/>
              <w:rPr>
                <w:color w:val="auto"/>
                <w:sz w:val="24"/>
                <w:highlight w:val="none"/>
              </w:rPr>
            </w:pPr>
            <w:r>
              <w:rPr>
                <w:rFonts w:hint="eastAsia"/>
                <w:color w:val="auto"/>
                <w:sz w:val="24"/>
                <w:highlight w:val="none"/>
              </w:rPr>
              <w:t>防雨网检查</w:t>
            </w:r>
          </w:p>
        </w:tc>
        <w:tc>
          <w:tcPr>
            <w:tcW w:w="4309" w:type="dxa"/>
            <w:vAlign w:val="center"/>
          </w:tcPr>
          <w:p w14:paraId="5071CA34">
            <w:pPr>
              <w:snapToGrid w:val="0"/>
              <w:jc w:val="center"/>
              <w:rPr>
                <w:color w:val="auto"/>
                <w:sz w:val="24"/>
                <w:highlight w:val="none"/>
              </w:rPr>
            </w:pPr>
            <w:r>
              <w:rPr>
                <w:rFonts w:hint="eastAsia"/>
                <w:color w:val="auto"/>
                <w:sz w:val="24"/>
                <w:highlight w:val="none"/>
              </w:rPr>
              <w:t>防雨刷完整无破损</w:t>
            </w:r>
          </w:p>
        </w:tc>
      </w:tr>
      <w:tr w14:paraId="62787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trPr>
        <w:tc>
          <w:tcPr>
            <w:tcW w:w="2108" w:type="dxa"/>
            <w:vMerge w:val="continue"/>
            <w:vAlign w:val="center"/>
          </w:tcPr>
          <w:p w14:paraId="6500F404">
            <w:pPr>
              <w:snapToGrid w:val="0"/>
              <w:jc w:val="center"/>
              <w:rPr>
                <w:color w:val="auto"/>
                <w:sz w:val="24"/>
                <w:highlight w:val="none"/>
              </w:rPr>
            </w:pPr>
          </w:p>
        </w:tc>
        <w:tc>
          <w:tcPr>
            <w:tcW w:w="2417" w:type="dxa"/>
            <w:vAlign w:val="center"/>
          </w:tcPr>
          <w:p w14:paraId="709E25D3">
            <w:pPr>
              <w:snapToGrid w:val="0"/>
              <w:jc w:val="center"/>
              <w:rPr>
                <w:color w:val="auto"/>
                <w:sz w:val="24"/>
                <w:highlight w:val="none"/>
              </w:rPr>
            </w:pPr>
            <w:r>
              <w:rPr>
                <w:rFonts w:hint="eastAsia"/>
                <w:color w:val="auto"/>
                <w:sz w:val="24"/>
                <w:highlight w:val="none"/>
              </w:rPr>
              <w:t>垂直检查</w:t>
            </w:r>
          </w:p>
        </w:tc>
        <w:tc>
          <w:tcPr>
            <w:tcW w:w="4309" w:type="dxa"/>
            <w:vAlign w:val="center"/>
          </w:tcPr>
          <w:p w14:paraId="7E1E10D3">
            <w:pPr>
              <w:snapToGrid w:val="0"/>
              <w:jc w:val="center"/>
              <w:rPr>
                <w:color w:val="auto"/>
                <w:sz w:val="24"/>
                <w:highlight w:val="none"/>
              </w:rPr>
            </w:pPr>
            <w:r>
              <w:rPr>
                <w:rFonts w:hint="eastAsia"/>
                <w:color w:val="auto"/>
                <w:sz w:val="24"/>
                <w:highlight w:val="none"/>
              </w:rPr>
              <w:t>检查三维风是否垂直，及时调整</w:t>
            </w:r>
          </w:p>
        </w:tc>
      </w:tr>
      <w:tr w14:paraId="452D2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trPr>
        <w:tc>
          <w:tcPr>
            <w:tcW w:w="2108" w:type="dxa"/>
            <w:vAlign w:val="center"/>
          </w:tcPr>
          <w:p w14:paraId="421C0F7A">
            <w:pPr>
              <w:snapToGrid w:val="0"/>
              <w:jc w:val="center"/>
              <w:rPr>
                <w:color w:val="auto"/>
                <w:sz w:val="24"/>
                <w:highlight w:val="none"/>
              </w:rPr>
            </w:pPr>
            <w:r>
              <w:rPr>
                <w:rFonts w:hint="eastAsia"/>
                <w:color w:val="auto"/>
                <w:sz w:val="24"/>
                <w:highlight w:val="none"/>
              </w:rPr>
              <w:t>土壤热通量板</w:t>
            </w:r>
          </w:p>
        </w:tc>
        <w:tc>
          <w:tcPr>
            <w:tcW w:w="2417" w:type="dxa"/>
            <w:vAlign w:val="center"/>
          </w:tcPr>
          <w:p w14:paraId="498A9562">
            <w:pPr>
              <w:snapToGrid w:val="0"/>
              <w:jc w:val="center"/>
              <w:rPr>
                <w:color w:val="auto"/>
                <w:sz w:val="24"/>
                <w:highlight w:val="none"/>
              </w:rPr>
            </w:pPr>
            <w:r>
              <w:rPr>
                <w:rFonts w:hint="eastAsia"/>
                <w:color w:val="auto"/>
                <w:sz w:val="24"/>
                <w:highlight w:val="none"/>
              </w:rPr>
              <w:t>检查是否漏出地面</w:t>
            </w:r>
          </w:p>
        </w:tc>
        <w:tc>
          <w:tcPr>
            <w:tcW w:w="4309" w:type="dxa"/>
            <w:vAlign w:val="center"/>
          </w:tcPr>
          <w:p w14:paraId="6491B72D">
            <w:pPr>
              <w:snapToGrid w:val="0"/>
              <w:jc w:val="center"/>
              <w:rPr>
                <w:color w:val="auto"/>
                <w:sz w:val="24"/>
                <w:highlight w:val="none"/>
              </w:rPr>
            </w:pPr>
            <w:r>
              <w:rPr>
                <w:rFonts w:hint="eastAsia"/>
                <w:color w:val="auto"/>
                <w:sz w:val="24"/>
                <w:highlight w:val="none"/>
              </w:rPr>
              <w:t>确保安装深度为3-5cm，若漏出，及时掩埋</w:t>
            </w:r>
          </w:p>
        </w:tc>
      </w:tr>
      <w:tr w14:paraId="0F1DE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trPr>
        <w:tc>
          <w:tcPr>
            <w:tcW w:w="2108" w:type="dxa"/>
            <w:vAlign w:val="center"/>
          </w:tcPr>
          <w:p w14:paraId="711A1E02">
            <w:pPr>
              <w:snapToGrid w:val="0"/>
              <w:jc w:val="center"/>
              <w:rPr>
                <w:color w:val="auto"/>
                <w:sz w:val="24"/>
                <w:highlight w:val="none"/>
              </w:rPr>
            </w:pPr>
            <w:r>
              <w:rPr>
                <w:rFonts w:hint="eastAsia"/>
                <w:color w:val="auto"/>
                <w:sz w:val="24"/>
                <w:highlight w:val="none"/>
              </w:rPr>
              <w:t>土壤温湿度传感器</w:t>
            </w:r>
          </w:p>
        </w:tc>
        <w:tc>
          <w:tcPr>
            <w:tcW w:w="2417" w:type="dxa"/>
            <w:vAlign w:val="center"/>
          </w:tcPr>
          <w:p w14:paraId="11FE1A48">
            <w:pPr>
              <w:snapToGrid w:val="0"/>
              <w:jc w:val="center"/>
              <w:rPr>
                <w:color w:val="auto"/>
                <w:sz w:val="24"/>
                <w:highlight w:val="none"/>
              </w:rPr>
            </w:pPr>
            <w:r>
              <w:rPr>
                <w:rFonts w:hint="eastAsia"/>
                <w:color w:val="auto"/>
                <w:sz w:val="24"/>
                <w:highlight w:val="none"/>
              </w:rPr>
              <w:t>检查数据</w:t>
            </w:r>
          </w:p>
        </w:tc>
        <w:tc>
          <w:tcPr>
            <w:tcW w:w="4309" w:type="dxa"/>
            <w:vAlign w:val="center"/>
          </w:tcPr>
          <w:p w14:paraId="5C42F0D4">
            <w:pPr>
              <w:snapToGrid w:val="0"/>
              <w:jc w:val="center"/>
              <w:rPr>
                <w:color w:val="auto"/>
                <w:sz w:val="24"/>
                <w:highlight w:val="none"/>
              </w:rPr>
            </w:pPr>
            <w:r>
              <w:rPr>
                <w:rFonts w:hint="eastAsia"/>
                <w:color w:val="auto"/>
                <w:sz w:val="24"/>
                <w:highlight w:val="none"/>
              </w:rPr>
              <w:t>保证正常</w:t>
            </w:r>
          </w:p>
        </w:tc>
      </w:tr>
      <w:tr w14:paraId="77CEF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trPr>
        <w:tc>
          <w:tcPr>
            <w:tcW w:w="2108" w:type="dxa"/>
            <w:vAlign w:val="center"/>
          </w:tcPr>
          <w:p w14:paraId="0991EB53">
            <w:pPr>
              <w:snapToGrid w:val="0"/>
              <w:jc w:val="center"/>
              <w:rPr>
                <w:color w:val="auto"/>
                <w:sz w:val="24"/>
                <w:highlight w:val="none"/>
              </w:rPr>
            </w:pPr>
            <w:r>
              <w:rPr>
                <w:rFonts w:hint="eastAsia"/>
                <w:color w:val="auto"/>
                <w:sz w:val="24"/>
                <w:highlight w:val="none"/>
              </w:rPr>
              <w:t>土壤水分传感器</w:t>
            </w:r>
          </w:p>
        </w:tc>
        <w:tc>
          <w:tcPr>
            <w:tcW w:w="2417" w:type="dxa"/>
            <w:vAlign w:val="center"/>
          </w:tcPr>
          <w:p w14:paraId="3DFD7D02">
            <w:pPr>
              <w:snapToGrid w:val="0"/>
              <w:jc w:val="center"/>
              <w:rPr>
                <w:color w:val="auto"/>
                <w:sz w:val="24"/>
                <w:highlight w:val="none"/>
              </w:rPr>
            </w:pPr>
            <w:r>
              <w:rPr>
                <w:rFonts w:hint="eastAsia"/>
                <w:color w:val="auto"/>
                <w:sz w:val="24"/>
                <w:highlight w:val="none"/>
              </w:rPr>
              <w:t>检查数据</w:t>
            </w:r>
          </w:p>
        </w:tc>
        <w:tc>
          <w:tcPr>
            <w:tcW w:w="4309" w:type="dxa"/>
            <w:vAlign w:val="center"/>
          </w:tcPr>
          <w:p w14:paraId="40B195DC">
            <w:pPr>
              <w:snapToGrid w:val="0"/>
              <w:jc w:val="center"/>
              <w:rPr>
                <w:color w:val="auto"/>
                <w:sz w:val="24"/>
                <w:highlight w:val="none"/>
              </w:rPr>
            </w:pPr>
            <w:r>
              <w:rPr>
                <w:rFonts w:hint="eastAsia"/>
                <w:color w:val="auto"/>
                <w:sz w:val="24"/>
                <w:highlight w:val="none"/>
              </w:rPr>
              <w:t>保证正常</w:t>
            </w:r>
          </w:p>
        </w:tc>
      </w:tr>
      <w:tr w14:paraId="3C8EB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trPr>
        <w:tc>
          <w:tcPr>
            <w:tcW w:w="2108" w:type="dxa"/>
            <w:vAlign w:val="center"/>
          </w:tcPr>
          <w:p w14:paraId="59861189">
            <w:pPr>
              <w:snapToGrid w:val="0"/>
              <w:jc w:val="center"/>
              <w:rPr>
                <w:color w:val="auto"/>
                <w:sz w:val="24"/>
                <w:highlight w:val="none"/>
              </w:rPr>
            </w:pPr>
            <w:r>
              <w:rPr>
                <w:rFonts w:hint="eastAsia"/>
                <w:color w:val="auto"/>
                <w:sz w:val="24"/>
                <w:highlight w:val="none"/>
              </w:rPr>
              <w:t>雨量筒</w:t>
            </w:r>
          </w:p>
        </w:tc>
        <w:tc>
          <w:tcPr>
            <w:tcW w:w="2417" w:type="dxa"/>
            <w:vAlign w:val="center"/>
          </w:tcPr>
          <w:p w14:paraId="075BA28B">
            <w:pPr>
              <w:snapToGrid w:val="0"/>
              <w:jc w:val="center"/>
              <w:rPr>
                <w:color w:val="auto"/>
                <w:sz w:val="24"/>
                <w:highlight w:val="none"/>
              </w:rPr>
            </w:pPr>
            <w:r>
              <w:rPr>
                <w:rFonts w:hint="eastAsia"/>
                <w:color w:val="auto"/>
                <w:sz w:val="24"/>
                <w:highlight w:val="none"/>
              </w:rPr>
              <w:t>翻斗检查</w:t>
            </w:r>
          </w:p>
        </w:tc>
        <w:tc>
          <w:tcPr>
            <w:tcW w:w="4309" w:type="dxa"/>
            <w:vAlign w:val="center"/>
          </w:tcPr>
          <w:p w14:paraId="617765F1">
            <w:pPr>
              <w:snapToGrid w:val="0"/>
              <w:jc w:val="center"/>
              <w:rPr>
                <w:color w:val="auto"/>
                <w:sz w:val="24"/>
                <w:highlight w:val="none"/>
              </w:rPr>
            </w:pPr>
            <w:r>
              <w:rPr>
                <w:rFonts w:hint="eastAsia"/>
                <w:color w:val="auto"/>
                <w:sz w:val="24"/>
                <w:highlight w:val="none"/>
              </w:rPr>
              <w:t>保证排水正常</w:t>
            </w:r>
          </w:p>
        </w:tc>
      </w:tr>
      <w:tr w14:paraId="123E5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trPr>
        <w:tc>
          <w:tcPr>
            <w:tcW w:w="2108" w:type="dxa"/>
            <w:vMerge w:val="restart"/>
            <w:vAlign w:val="center"/>
          </w:tcPr>
          <w:p w14:paraId="4A403A95">
            <w:pPr>
              <w:snapToGrid w:val="0"/>
              <w:jc w:val="center"/>
              <w:rPr>
                <w:color w:val="auto"/>
                <w:sz w:val="24"/>
                <w:highlight w:val="none"/>
              </w:rPr>
            </w:pPr>
            <w:r>
              <w:rPr>
                <w:rFonts w:hint="eastAsia"/>
                <w:color w:val="auto"/>
                <w:sz w:val="24"/>
                <w:highlight w:val="none"/>
              </w:rPr>
              <w:t>AP200廓线</w:t>
            </w:r>
          </w:p>
        </w:tc>
        <w:tc>
          <w:tcPr>
            <w:tcW w:w="2417" w:type="dxa"/>
            <w:vAlign w:val="center"/>
          </w:tcPr>
          <w:p w14:paraId="1D144836">
            <w:pPr>
              <w:snapToGrid w:val="0"/>
              <w:jc w:val="center"/>
              <w:rPr>
                <w:color w:val="auto"/>
                <w:sz w:val="24"/>
                <w:highlight w:val="none"/>
              </w:rPr>
            </w:pPr>
            <w:r>
              <w:rPr>
                <w:rFonts w:hint="eastAsia"/>
                <w:color w:val="auto"/>
                <w:sz w:val="24"/>
                <w:highlight w:val="none"/>
              </w:rPr>
              <w:t>分析仪检查</w:t>
            </w:r>
          </w:p>
        </w:tc>
        <w:tc>
          <w:tcPr>
            <w:tcW w:w="4309" w:type="dxa"/>
            <w:vAlign w:val="center"/>
          </w:tcPr>
          <w:p w14:paraId="2E23108B">
            <w:pPr>
              <w:snapToGrid w:val="0"/>
              <w:jc w:val="center"/>
              <w:rPr>
                <w:color w:val="auto"/>
                <w:sz w:val="24"/>
                <w:highlight w:val="none"/>
              </w:rPr>
            </w:pPr>
            <w:r>
              <w:rPr>
                <w:rFonts w:hint="eastAsia"/>
                <w:color w:val="auto"/>
                <w:sz w:val="24"/>
                <w:highlight w:val="none"/>
              </w:rPr>
              <w:t>检查分析仪零点，及时标定</w:t>
            </w:r>
          </w:p>
        </w:tc>
      </w:tr>
      <w:tr w14:paraId="358C3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trPr>
        <w:tc>
          <w:tcPr>
            <w:tcW w:w="2108" w:type="dxa"/>
            <w:vMerge w:val="continue"/>
            <w:vAlign w:val="center"/>
          </w:tcPr>
          <w:p w14:paraId="7DBEB1BF">
            <w:pPr>
              <w:snapToGrid w:val="0"/>
              <w:jc w:val="center"/>
              <w:rPr>
                <w:color w:val="auto"/>
                <w:sz w:val="24"/>
                <w:highlight w:val="none"/>
              </w:rPr>
            </w:pPr>
          </w:p>
        </w:tc>
        <w:tc>
          <w:tcPr>
            <w:tcW w:w="2417" w:type="dxa"/>
            <w:vAlign w:val="center"/>
          </w:tcPr>
          <w:p w14:paraId="17B5DAC2">
            <w:pPr>
              <w:snapToGrid w:val="0"/>
              <w:jc w:val="center"/>
              <w:rPr>
                <w:color w:val="auto"/>
                <w:sz w:val="24"/>
                <w:highlight w:val="none"/>
              </w:rPr>
            </w:pPr>
            <w:r>
              <w:rPr>
                <w:rFonts w:hint="eastAsia"/>
                <w:color w:val="auto"/>
                <w:sz w:val="24"/>
                <w:highlight w:val="none"/>
              </w:rPr>
              <w:t>进气口检查</w:t>
            </w:r>
          </w:p>
        </w:tc>
        <w:tc>
          <w:tcPr>
            <w:tcW w:w="4309" w:type="dxa"/>
            <w:vAlign w:val="center"/>
          </w:tcPr>
          <w:p w14:paraId="36960D62">
            <w:pPr>
              <w:snapToGrid w:val="0"/>
              <w:jc w:val="center"/>
              <w:rPr>
                <w:color w:val="auto"/>
                <w:sz w:val="24"/>
                <w:highlight w:val="none"/>
              </w:rPr>
            </w:pPr>
            <w:r>
              <w:rPr>
                <w:rFonts w:hint="eastAsia"/>
                <w:color w:val="auto"/>
                <w:sz w:val="24"/>
                <w:highlight w:val="none"/>
              </w:rPr>
              <w:t>及时检查进气口是否堵塞，定期更换过滤器并进行清理</w:t>
            </w:r>
          </w:p>
        </w:tc>
      </w:tr>
      <w:tr w14:paraId="66607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trPr>
        <w:tc>
          <w:tcPr>
            <w:tcW w:w="2108" w:type="dxa"/>
            <w:vMerge w:val="continue"/>
            <w:vAlign w:val="center"/>
          </w:tcPr>
          <w:p w14:paraId="5F59AC2E">
            <w:pPr>
              <w:snapToGrid w:val="0"/>
              <w:jc w:val="center"/>
              <w:rPr>
                <w:color w:val="auto"/>
                <w:sz w:val="24"/>
                <w:highlight w:val="none"/>
              </w:rPr>
            </w:pPr>
          </w:p>
        </w:tc>
        <w:tc>
          <w:tcPr>
            <w:tcW w:w="2417" w:type="dxa"/>
            <w:vAlign w:val="center"/>
          </w:tcPr>
          <w:p w14:paraId="0E2F4D5C">
            <w:pPr>
              <w:snapToGrid w:val="0"/>
              <w:jc w:val="center"/>
              <w:rPr>
                <w:color w:val="auto"/>
                <w:sz w:val="24"/>
                <w:highlight w:val="none"/>
              </w:rPr>
            </w:pPr>
            <w:r>
              <w:rPr>
                <w:rFonts w:hint="eastAsia"/>
                <w:color w:val="auto"/>
                <w:sz w:val="24"/>
                <w:highlight w:val="none"/>
              </w:rPr>
              <w:t>流速检查</w:t>
            </w:r>
          </w:p>
        </w:tc>
        <w:tc>
          <w:tcPr>
            <w:tcW w:w="4309" w:type="dxa"/>
            <w:vAlign w:val="center"/>
          </w:tcPr>
          <w:p w14:paraId="47B7846F">
            <w:pPr>
              <w:snapToGrid w:val="0"/>
              <w:jc w:val="center"/>
              <w:rPr>
                <w:color w:val="auto"/>
                <w:sz w:val="24"/>
                <w:highlight w:val="none"/>
              </w:rPr>
            </w:pPr>
            <w:r>
              <w:rPr>
                <w:rFonts w:hint="eastAsia"/>
                <w:color w:val="auto"/>
                <w:sz w:val="24"/>
                <w:highlight w:val="none"/>
              </w:rPr>
              <w:t>定期检查泵流速，做好配件更换准备</w:t>
            </w:r>
          </w:p>
        </w:tc>
      </w:tr>
    </w:tbl>
    <w:p w14:paraId="1CE12B40">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1.2.2 铁塔及站房维护内容</w:t>
      </w:r>
    </w:p>
    <w:p w14:paraId="0545006F">
      <w:pPr>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1）基础检测：进行塔脚水平测量，检测基础相对沉降度，并对比历史记录数据，检查铁塔基础接地是否良好。检查塔脚地脚螺栓、螺母规格是否符合、是否缺损，对有问题的进行补缺更换，检查塔脚地脚螺栓防腐防盗措施是否有效，并对防腐防盗问题进行整改处理。垂直度检测：</w:t>
      </w:r>
    </w:p>
    <w:p w14:paraId="432E4F0E">
      <w:pPr>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（2）螺栓补缺紧固：检查全塔螺栓有无缺损、锈蚀、松动，补全缺失螺栓，更换锈蚀损坏螺栓，对全塔螺丝全面紧固。</w:t>
      </w:r>
    </w:p>
    <w:p w14:paraId="629BB6C8">
      <w:pPr>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3）构件检查：检查塔身构件，焊缝有无开裂、镀锌或涂覆层是否损坏、构件有无明显变形，发现不合格构件进行更换，局部生锈的构件进行除锈补漆。对塔段连接处、桅杆、避雷针等铁塔关键部位进行重点维护、紧固，对存在问题及时进行处理。对拉线塔检查拉线松紧程度，拉线固定环、金具是否固定可靠，有无缺损，对存在问题及时进行处理。</w:t>
      </w:r>
    </w:p>
    <w:p w14:paraId="0AC009AD">
      <w:pPr>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（4）防锈处理：根据铁塔构件的生锈情况，必须进行除锈补漆。</w:t>
      </w:r>
    </w:p>
    <w:p w14:paraId="043FDE5C">
      <w:pPr>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（5）围栏防护检查：检查塔周围围栏牢固性，及时清理周边沉积泥土，防止大雨时冲刷引起滑坡，影响铁塔稳固性。</w:t>
      </w:r>
    </w:p>
    <w:p w14:paraId="21421EDB">
      <w:pPr>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（6）站房清理：定期清理站房，检查防水防潮。</w:t>
      </w:r>
    </w:p>
    <w:p w14:paraId="00A66A37">
      <w:pPr>
        <w:spacing w:line="36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1.3 运行维护要求</w:t>
      </w:r>
    </w:p>
    <w:p w14:paraId="0B456B5E">
      <w:pPr>
        <w:spacing w:line="36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1.3.1 每日工作</w:t>
      </w:r>
    </w:p>
    <w:p w14:paraId="0134AF26">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（1）结合站点管理软件，每天查看1次数据采集情况，全面监控各个参数，做好记录；</w:t>
      </w:r>
    </w:p>
    <w:p w14:paraId="5D2FF40C">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w:t>
      </w:r>
      <w:r>
        <w:rPr>
          <w:color w:val="auto"/>
          <w:sz w:val="24"/>
          <w:szCs w:val="28"/>
          <w:highlight w:val="none"/>
        </w:rPr>
        <w:t>保证服务与技术支持响应及时、解决问题迅速，并提供承诺函，承诺</w:t>
      </w:r>
      <w:r>
        <w:rPr>
          <w:rFonts w:hint="eastAsia" w:ascii="宋体" w:hAnsi="宋体" w:cs="宋体"/>
          <w:color w:val="auto"/>
          <w:sz w:val="24"/>
          <w:highlight w:val="none"/>
        </w:rPr>
        <w:t>及时发现异常状况（包括数值异常以及通讯异常），如有故障则分析故障原因，提出排查方案及时告知客户，并于12小时内完成故障处理，若远程无法排查时，24小时内前往现场解决。</w:t>
      </w:r>
    </w:p>
    <w:p w14:paraId="13B24B24">
      <w:pPr>
        <w:spacing w:line="36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1.3.2 每月工作</w:t>
      </w:r>
    </w:p>
    <w:p w14:paraId="39F95216">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（1）结合站点管理软件，每月回顾数据情况获取率情况，检查通量、梯度和CO</w:t>
      </w:r>
      <w:r>
        <w:rPr>
          <w:rFonts w:hint="eastAsia" w:ascii="宋体" w:hAnsi="宋体" w:cs="宋体"/>
          <w:color w:val="auto"/>
          <w:sz w:val="24"/>
          <w:highlight w:val="none"/>
          <w:vertAlign w:val="subscript"/>
        </w:rPr>
        <w:t>2</w:t>
      </w:r>
      <w:r>
        <w:rPr>
          <w:rFonts w:hint="eastAsia" w:ascii="宋体" w:hAnsi="宋体" w:cs="宋体"/>
          <w:color w:val="auto"/>
          <w:sz w:val="24"/>
          <w:highlight w:val="none"/>
        </w:rPr>
        <w:t>廓线等系统数据，并做好记录；</w:t>
      </w:r>
    </w:p>
    <w:p w14:paraId="2CCEDDB3">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（2）查看仪器状态，对照各指标范围说明书检查各类传感器、气体分析仪及三维风状态</w:t>
      </w:r>
      <w:r>
        <w:rPr>
          <w:rFonts w:ascii="宋体" w:hAnsi="宋体" w:cs="宋体"/>
          <w:color w:val="auto"/>
          <w:sz w:val="24"/>
          <w:highlight w:val="none"/>
        </w:rPr>
        <w:t>，</w:t>
      </w:r>
      <w:r>
        <w:rPr>
          <w:rFonts w:hint="eastAsia" w:ascii="宋体" w:hAnsi="宋体" w:cs="宋体"/>
          <w:color w:val="auto"/>
          <w:sz w:val="24"/>
          <w:highlight w:val="none"/>
        </w:rPr>
        <w:t>核对仪器数据质量指标、系统供电电压、H</w:t>
      </w:r>
      <w:r>
        <w:rPr>
          <w:rFonts w:hint="eastAsia" w:ascii="宋体" w:hAnsi="宋体" w:cs="宋体"/>
          <w:color w:val="auto"/>
          <w:sz w:val="24"/>
          <w:highlight w:val="none"/>
          <w:vertAlign w:val="subscript"/>
        </w:rPr>
        <w:t>2</w:t>
      </w:r>
      <w:r>
        <w:rPr>
          <w:rFonts w:hint="eastAsia" w:ascii="宋体" w:hAnsi="宋体" w:cs="宋体"/>
          <w:color w:val="auto"/>
          <w:sz w:val="24"/>
          <w:highlight w:val="none"/>
        </w:rPr>
        <w:t>O和CO</w:t>
      </w:r>
      <w:r>
        <w:rPr>
          <w:rFonts w:hint="eastAsia" w:ascii="宋体" w:hAnsi="宋体" w:cs="宋体"/>
          <w:color w:val="auto"/>
          <w:sz w:val="24"/>
          <w:highlight w:val="none"/>
          <w:vertAlign w:val="subscript"/>
        </w:rPr>
        <w:t>2</w:t>
      </w:r>
      <w:r>
        <w:rPr>
          <w:rFonts w:hint="eastAsia" w:ascii="宋体" w:hAnsi="宋体" w:cs="宋体"/>
          <w:color w:val="auto"/>
          <w:sz w:val="24"/>
          <w:highlight w:val="none"/>
        </w:rPr>
        <w:t>信号强度、泵转速、气体流速等变量，确保仪器工作正常，</w:t>
      </w:r>
      <w:bookmarkStart w:id="36" w:name="OLE_LINK3"/>
      <w:r>
        <w:rPr>
          <w:rFonts w:hint="eastAsia" w:ascii="宋体" w:hAnsi="宋体" w:cs="宋体"/>
          <w:color w:val="auto"/>
          <w:sz w:val="24"/>
          <w:highlight w:val="none"/>
        </w:rPr>
        <w:t>做好记录</w:t>
      </w:r>
      <w:bookmarkEnd w:id="36"/>
      <w:r>
        <w:rPr>
          <w:rFonts w:hint="eastAsia" w:ascii="宋体" w:hAnsi="宋体" w:cs="宋体"/>
          <w:color w:val="auto"/>
          <w:sz w:val="24"/>
          <w:highlight w:val="none"/>
        </w:rPr>
        <w:t>；</w:t>
      </w:r>
    </w:p>
    <w:p w14:paraId="171BEF5A">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）检查数据质量和完整度，做好记录</w:t>
      </w:r>
      <w:r>
        <w:rPr>
          <w:rFonts w:ascii="宋体" w:hAnsi="宋体" w:cs="宋体"/>
          <w:color w:val="auto"/>
          <w:sz w:val="24"/>
          <w:highlight w:val="none"/>
        </w:rPr>
        <w:t>；</w:t>
      </w:r>
    </w:p>
    <w:p w14:paraId="25BA0293">
      <w:pPr>
        <w:spacing w:line="36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1.3.3 每季工作</w:t>
      </w:r>
    </w:p>
    <w:p w14:paraId="6C0181B0">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每季度安排1次工程师到现场，检查各气象传感器工作状态，清洁温湿度辐射罩表面脏污；清洁四分量辐射、光合有效辐射镜面；检查雨量筒翻转情况，及时清理杂物；检查风速方向传感器是否有损坏或旋转异常，及时发现并维修或更换；</w:t>
      </w:r>
    </w:p>
    <w:p w14:paraId="10D9374C">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（2）对于涡动相关系统，做二氧化碳气体分析仪镜面清理，检查标气瓶压力，保证自标定运行，及时更换标气，检查Vortex进气口，适时更换过滤器等；</w:t>
      </w:r>
    </w:p>
    <w:p w14:paraId="782B29E9">
      <w:pPr>
        <w:pStyle w:val="2"/>
        <w:ind w:firstLine="480" w:firstLineChars="200"/>
        <w:rPr>
          <w:rFonts w:hint="eastAsia" w:hAnsi="宋体" w:cs="宋体"/>
          <w:color w:val="auto"/>
          <w:highlight w:val="none"/>
        </w:rPr>
      </w:pPr>
      <w:r>
        <w:rPr>
          <w:rFonts w:hint="eastAsia" w:hAnsi="宋体" w:cs="宋体"/>
          <w:color w:val="auto"/>
          <w:highlight w:val="none"/>
        </w:rPr>
        <w:t>（3）对于二氧化碳水汽廓线系统，检查抽气泵流速，检查标气瓶压力，保证自标定运行，及时更换标气，检查进气口并适时更换过滤器等；</w:t>
      </w:r>
    </w:p>
    <w:p w14:paraId="2AF3BE8A">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（4）检查太阳能板表面是否有灰尘堆积或积雪堆积，如有及时进行清洁；检查并及时更换机箱内干燥剂；检查电池电压及电量情况；从采集器里备份通量10Hz原始数据，与远程下载的其它数据一起归档保存；</w:t>
      </w:r>
    </w:p>
    <w:p w14:paraId="63E18760">
      <w:pPr>
        <w:pStyle w:val="2"/>
        <w:ind w:firstLine="480" w:firstLineChars="200"/>
        <w:rPr>
          <w:rFonts w:hint="eastAsia" w:hAnsi="宋体" w:cs="宋体"/>
          <w:color w:val="auto"/>
          <w:highlight w:val="none"/>
        </w:rPr>
      </w:pPr>
      <w:r>
        <w:rPr>
          <w:rFonts w:hint="eastAsia" w:hAnsi="宋体" w:cs="宋体"/>
          <w:color w:val="auto"/>
          <w:highlight w:val="none"/>
        </w:rPr>
        <w:t>（5）对于铁塔及围栏系统，检查铁塔及围栏构件基础检测，保证稳定性；</w:t>
      </w:r>
    </w:p>
    <w:p w14:paraId="5E136682">
      <w:pPr>
        <w:pStyle w:val="2"/>
        <w:ind w:firstLine="480" w:firstLineChars="200"/>
        <w:rPr>
          <w:rFonts w:hint="eastAsia" w:hAnsi="宋体" w:cs="宋体"/>
          <w:color w:val="auto"/>
          <w:highlight w:val="none"/>
        </w:rPr>
      </w:pPr>
      <w:r>
        <w:rPr>
          <w:rFonts w:hAnsi="宋体" w:cs="宋体"/>
          <w:color w:val="auto"/>
          <w:highlight w:val="none"/>
        </w:rPr>
        <w:t xml:space="preserve">（6）所有仪器配件更换时，应使用原厂配件或能确保仪器正常运行的等效配件；   </w:t>
      </w:r>
    </w:p>
    <w:p w14:paraId="29507400">
      <w:pPr>
        <w:pStyle w:val="2"/>
        <w:ind w:firstLine="480" w:firstLineChars="200"/>
        <w:rPr>
          <w:rFonts w:hint="eastAsia" w:hAnsi="宋体" w:cs="宋体"/>
          <w:color w:val="auto"/>
          <w:highlight w:val="none"/>
        </w:rPr>
      </w:pPr>
      <w:r>
        <w:rPr>
          <w:rFonts w:hint="eastAsia" w:hAnsi="宋体" w:cs="宋体"/>
          <w:color w:val="auto"/>
          <w:highlight w:val="none"/>
        </w:rPr>
        <w:t>（</w:t>
      </w:r>
      <w:r>
        <w:rPr>
          <w:rFonts w:hAnsi="宋体" w:cs="宋体"/>
          <w:color w:val="auto"/>
          <w:highlight w:val="none"/>
        </w:rPr>
        <w:t>7</w:t>
      </w:r>
      <w:r>
        <w:rPr>
          <w:rFonts w:hint="eastAsia" w:hAnsi="宋体" w:cs="宋体"/>
          <w:color w:val="auto"/>
          <w:highlight w:val="none"/>
        </w:rPr>
        <w:t>）进行现场运维后，需及时填写运维巡检表，拍照记录运维质控和故障处置情况，形成相关报告。</w:t>
      </w:r>
    </w:p>
    <w:p w14:paraId="0E7EF7A0">
      <w:pPr>
        <w:spacing w:line="36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2.数据服务要求</w:t>
      </w:r>
    </w:p>
    <w:p w14:paraId="37EE5D83">
      <w:pPr>
        <w:pStyle w:val="2"/>
        <w:ind w:firstLine="482" w:firstLineChars="200"/>
        <w:rPr>
          <w:rFonts w:hint="eastAsia" w:hAnsi="宋体" w:cs="宋体"/>
          <w:b/>
          <w:color w:val="auto"/>
          <w:highlight w:val="none"/>
        </w:rPr>
      </w:pPr>
      <w:r>
        <w:rPr>
          <w:rFonts w:hint="eastAsia" w:hAnsi="宋体" w:cs="宋体"/>
          <w:b/>
          <w:color w:val="auto"/>
          <w:highlight w:val="none"/>
        </w:rPr>
        <w:t>2.1 数据要求</w:t>
      </w:r>
    </w:p>
    <w:p w14:paraId="4E8640C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闭路涡度系统有效数据获取率应达到80%以上。</w:t>
      </w:r>
    </w:p>
    <w:p w14:paraId="0F6F27F9">
      <w:pPr>
        <w:pStyle w:val="2"/>
        <w:ind w:firstLine="482" w:firstLineChars="200"/>
        <w:rPr>
          <w:rFonts w:hint="eastAsia" w:hAnsi="宋体" w:cs="宋体"/>
          <w:b/>
          <w:color w:val="auto"/>
          <w:highlight w:val="none"/>
        </w:rPr>
      </w:pPr>
      <w:r>
        <w:rPr>
          <w:rFonts w:hint="eastAsia" w:hAnsi="宋体" w:cs="宋体"/>
          <w:b/>
          <w:color w:val="auto"/>
          <w:highlight w:val="none"/>
        </w:rPr>
        <w:t>2.2 数据处理</w:t>
      </w:r>
    </w:p>
    <w:p w14:paraId="365D3899">
      <w:pPr>
        <w:pStyle w:val="2"/>
        <w:ind w:firstLine="480" w:firstLineChars="200"/>
        <w:rPr>
          <w:rFonts w:hint="eastAsia" w:hAnsi="宋体" w:cs="宋体"/>
          <w:color w:val="auto"/>
          <w:highlight w:val="none"/>
        </w:rPr>
      </w:pPr>
      <w:r>
        <w:rPr>
          <w:rFonts w:hint="eastAsia" w:hAnsi="宋体" w:cs="宋体"/>
          <w:color w:val="auto"/>
          <w:highlight w:val="none"/>
        </w:rPr>
        <w:t>进行常规数据处理（坐标旋转、WPL校正、数据同步、谱修正等），获取半小时通量结果，并结合常规气象数据，选择合适的方法进行数据插补，提交完整连续的年通量结果。主要包括以下步骤：</w:t>
      </w:r>
    </w:p>
    <w:p w14:paraId="315127D0">
      <w:pPr>
        <w:pStyle w:val="2"/>
        <w:ind w:firstLine="480" w:firstLineChars="200"/>
        <w:rPr>
          <w:rFonts w:hint="eastAsia" w:hAnsi="宋体" w:cs="宋体"/>
          <w:color w:val="auto"/>
          <w:highlight w:val="none"/>
        </w:rPr>
      </w:pPr>
      <w:r>
        <w:rPr>
          <w:rFonts w:hint="eastAsia" w:hAnsi="宋体" w:cs="宋体"/>
          <w:color w:val="auto"/>
          <w:highlight w:val="none"/>
        </w:rPr>
        <w:t>根据Mauder和Foken（2004）或根据Foken（2003）或者Gockede（2004）进行标记和质量检查；</w:t>
      </w:r>
    </w:p>
    <w:p w14:paraId="1171356D">
      <w:pPr>
        <w:pStyle w:val="2"/>
        <w:ind w:firstLine="480" w:firstLineChars="200"/>
        <w:rPr>
          <w:rFonts w:hint="eastAsia" w:hAnsi="宋体" w:cs="宋体"/>
          <w:color w:val="auto"/>
          <w:highlight w:val="none"/>
        </w:rPr>
      </w:pPr>
      <w:r>
        <w:rPr>
          <w:rFonts w:hint="eastAsia" w:hAnsi="宋体" w:cs="宋体"/>
          <w:color w:val="auto"/>
          <w:highlight w:val="none"/>
        </w:rPr>
        <w:t>野点去除：采用Vickers和Mahrt（1997）或Mauder等（2013）的方法进行；</w:t>
      </w:r>
    </w:p>
    <w:p w14:paraId="3F1B486D">
      <w:pPr>
        <w:pStyle w:val="2"/>
        <w:ind w:firstLine="480" w:firstLineChars="200"/>
        <w:rPr>
          <w:rFonts w:hint="eastAsia" w:hAnsi="宋体" w:cs="宋体"/>
          <w:color w:val="auto"/>
          <w:highlight w:val="none"/>
        </w:rPr>
      </w:pPr>
      <w:r>
        <w:rPr>
          <w:rFonts w:hint="eastAsia" w:hAnsi="宋体" w:cs="宋体"/>
          <w:color w:val="auto"/>
          <w:highlight w:val="none"/>
        </w:rPr>
        <w:t>采用最大协方差方法进行消除时滞；</w:t>
      </w:r>
    </w:p>
    <w:p w14:paraId="14B64F6C">
      <w:pPr>
        <w:pStyle w:val="2"/>
        <w:ind w:firstLine="480" w:firstLineChars="200"/>
        <w:rPr>
          <w:rFonts w:hint="eastAsia" w:hAnsi="宋体" w:cs="宋体"/>
          <w:color w:val="auto"/>
          <w:highlight w:val="none"/>
        </w:rPr>
      </w:pPr>
      <w:r>
        <w:rPr>
          <w:rFonts w:hint="eastAsia" w:hAnsi="宋体" w:cs="宋体"/>
          <w:color w:val="auto"/>
          <w:highlight w:val="none"/>
        </w:rPr>
        <w:t>二次坐标轴旋转、三次坐标轴旋转、基于风区的平面坐标拟合或基于风区无速率偏差的平面坐标拟合；</w:t>
      </w:r>
    </w:p>
    <w:p w14:paraId="3111A333">
      <w:pPr>
        <w:pStyle w:val="2"/>
        <w:ind w:firstLine="480" w:firstLineChars="200"/>
        <w:rPr>
          <w:rFonts w:hint="eastAsia" w:hAnsi="宋体" w:cs="宋体"/>
          <w:color w:val="auto"/>
          <w:highlight w:val="none"/>
        </w:rPr>
      </w:pPr>
      <w:r>
        <w:rPr>
          <w:rFonts w:hint="eastAsia" w:hAnsi="宋体" w:cs="宋体"/>
          <w:color w:val="auto"/>
          <w:highlight w:val="none"/>
        </w:rPr>
        <w:t>WPL订正：使用（或换算成）混合比（Burba 等，2011），闭路涡度系统，通过lbrom 等，（2007）方法进行修正；</w:t>
      </w:r>
    </w:p>
    <w:p w14:paraId="0CAEA184">
      <w:pPr>
        <w:pStyle w:val="2"/>
        <w:ind w:firstLine="480" w:firstLineChars="200"/>
        <w:rPr>
          <w:rFonts w:hint="eastAsia" w:hAnsi="宋体" w:cs="宋体"/>
          <w:color w:val="auto"/>
          <w:highlight w:val="none"/>
        </w:rPr>
      </w:pPr>
      <w:r>
        <w:rPr>
          <w:rFonts w:hint="eastAsia" w:hAnsi="宋体" w:cs="宋体"/>
          <w:color w:val="auto"/>
          <w:highlight w:val="none"/>
        </w:rPr>
        <w:t>数据插补：采用边缘分布抽样技术（MDS Gap Fill (MDSGF) tool），针对CO</w:t>
      </w:r>
      <w:r>
        <w:rPr>
          <w:rFonts w:hint="eastAsia" w:hAnsi="宋体" w:cs="宋体"/>
          <w:color w:val="auto"/>
          <w:highlight w:val="none"/>
          <w:vertAlign w:val="subscript"/>
        </w:rPr>
        <w:t>2</w:t>
      </w:r>
      <w:r>
        <w:rPr>
          <w:rFonts w:hint="eastAsia" w:hAnsi="宋体" w:cs="宋体"/>
          <w:color w:val="auto"/>
          <w:highlight w:val="none"/>
        </w:rPr>
        <w:t>、感热、潜热进行数据插补工作。</w:t>
      </w:r>
    </w:p>
    <w:p w14:paraId="2276EB18">
      <w:pPr>
        <w:pStyle w:val="2"/>
        <w:ind w:firstLine="482" w:firstLineChars="200"/>
        <w:rPr>
          <w:rFonts w:hint="eastAsia" w:hAnsi="宋体" w:cs="宋体"/>
          <w:b/>
          <w:color w:val="auto"/>
          <w:highlight w:val="none"/>
        </w:rPr>
      </w:pPr>
      <w:r>
        <w:rPr>
          <w:rFonts w:hint="eastAsia" w:hAnsi="宋体" w:cs="宋体"/>
          <w:b/>
          <w:color w:val="auto"/>
          <w:highlight w:val="none"/>
        </w:rPr>
        <w:t>2.3 数据成果报告</w:t>
      </w:r>
    </w:p>
    <w:p w14:paraId="4725BCA7">
      <w:pPr>
        <w:pStyle w:val="2"/>
        <w:ind w:firstLine="482" w:firstLineChars="200"/>
        <w:rPr>
          <w:rFonts w:hint="eastAsia" w:hAnsi="宋体" w:cs="宋体"/>
          <w:b/>
          <w:color w:val="auto"/>
          <w:highlight w:val="none"/>
        </w:rPr>
      </w:pPr>
      <w:r>
        <w:rPr>
          <w:rFonts w:hint="eastAsia" w:hAnsi="宋体" w:cs="宋体"/>
          <w:b/>
          <w:color w:val="auto"/>
          <w:highlight w:val="none"/>
        </w:rPr>
        <w:t>2.3.1 月度分析报告</w:t>
      </w:r>
    </w:p>
    <w:p w14:paraId="0DC330B5">
      <w:pPr>
        <w:pStyle w:val="2"/>
        <w:ind w:firstLine="480" w:firstLineChars="200"/>
        <w:rPr>
          <w:rFonts w:hint="eastAsia" w:hAnsi="宋体" w:cs="宋体"/>
          <w:color w:val="auto"/>
          <w:highlight w:val="none"/>
        </w:rPr>
      </w:pPr>
      <w:r>
        <w:rPr>
          <w:rFonts w:hint="eastAsia" w:hAnsi="宋体" w:cs="宋体"/>
          <w:color w:val="auto"/>
          <w:highlight w:val="none"/>
        </w:rPr>
        <w:t xml:space="preserve">完成碳通量观测数据的错误剔除、插补和贡献区分析，每月10日前提供上月数据分析报告，并通过腾讯会议作简要情况汇报，主要包括： </w:t>
      </w:r>
    </w:p>
    <w:p w14:paraId="143041A9">
      <w:pPr>
        <w:pStyle w:val="2"/>
        <w:ind w:firstLine="480" w:firstLineChars="200"/>
        <w:rPr>
          <w:rFonts w:hint="eastAsia" w:hAnsi="宋体" w:cs="宋体"/>
          <w:color w:val="auto"/>
          <w:highlight w:val="none"/>
        </w:rPr>
      </w:pPr>
      <w:r>
        <w:rPr>
          <w:rFonts w:hint="eastAsia" w:hAnsi="宋体" w:cs="宋体"/>
          <w:color w:val="auto"/>
          <w:highlight w:val="none"/>
        </w:rPr>
        <w:t>（1）每月数据获取率情况（缺失数据需作情况说明）；</w:t>
      </w:r>
    </w:p>
    <w:p w14:paraId="1A53A2D3">
      <w:pPr>
        <w:pStyle w:val="2"/>
        <w:ind w:firstLine="480" w:firstLineChars="200"/>
        <w:rPr>
          <w:rFonts w:hint="eastAsia" w:hAnsi="宋体" w:cs="宋体"/>
          <w:color w:val="auto"/>
          <w:highlight w:val="none"/>
        </w:rPr>
      </w:pPr>
      <w:r>
        <w:rPr>
          <w:rFonts w:hint="eastAsia" w:hAnsi="宋体" w:cs="宋体"/>
          <w:color w:val="auto"/>
          <w:highlight w:val="none"/>
        </w:rPr>
        <w:t>（2）各传感器数据趋势变化分析：CO</w:t>
      </w:r>
      <w:r>
        <w:rPr>
          <w:rFonts w:hint="eastAsia" w:hAnsi="宋体" w:cs="宋体"/>
          <w:color w:val="auto"/>
          <w:highlight w:val="none"/>
          <w:vertAlign w:val="subscript"/>
        </w:rPr>
        <w:t>2</w:t>
      </w:r>
      <w:r>
        <w:rPr>
          <w:rFonts w:hint="eastAsia" w:hAnsi="宋体" w:cs="宋体"/>
          <w:color w:val="auto"/>
          <w:highlight w:val="none"/>
        </w:rPr>
        <w:t>通量数据、四分量辐射数据、5层温湿度梯度数据、5层风速梯度数据、5层土壤温度数据、5层土壤含水量数据等；</w:t>
      </w:r>
    </w:p>
    <w:p w14:paraId="159A357F">
      <w:pPr>
        <w:pStyle w:val="2"/>
        <w:ind w:firstLine="482" w:firstLineChars="200"/>
        <w:rPr>
          <w:rFonts w:hint="eastAsia" w:hAnsi="宋体" w:cs="宋体"/>
          <w:b/>
          <w:color w:val="auto"/>
          <w:highlight w:val="none"/>
        </w:rPr>
      </w:pPr>
      <w:r>
        <w:rPr>
          <w:rFonts w:hint="eastAsia" w:hAnsi="宋体" w:cs="宋体"/>
          <w:b/>
          <w:color w:val="auto"/>
          <w:highlight w:val="none"/>
        </w:rPr>
        <w:t>2.3.2 季度通量反演报告</w:t>
      </w:r>
    </w:p>
    <w:p w14:paraId="58030F7E">
      <w:pPr>
        <w:pStyle w:val="2"/>
        <w:ind w:firstLine="480" w:firstLineChars="200"/>
        <w:rPr>
          <w:rFonts w:hint="eastAsia" w:hAnsi="宋体" w:cs="宋体"/>
          <w:color w:val="auto"/>
          <w:highlight w:val="none"/>
        </w:rPr>
      </w:pPr>
      <w:r>
        <w:rPr>
          <w:rFonts w:hint="eastAsia" w:hAnsi="宋体" w:cs="宋体"/>
          <w:color w:val="auto"/>
          <w:highlight w:val="none"/>
        </w:rPr>
        <w:t>提供每季度通量分析报告，主要包括气象参数分析，碳通量变化分析，GPP、NEE和呼吸分析，相较2023-2024年的变化情况分析等其它必要内容。</w:t>
      </w:r>
    </w:p>
    <w:p w14:paraId="0876441F">
      <w:pPr>
        <w:pStyle w:val="2"/>
        <w:ind w:firstLine="482" w:firstLineChars="200"/>
        <w:rPr>
          <w:rFonts w:hint="eastAsia" w:hAnsi="宋体" w:cs="宋体"/>
          <w:b/>
          <w:color w:val="auto"/>
          <w:highlight w:val="none"/>
        </w:rPr>
      </w:pPr>
      <w:r>
        <w:rPr>
          <w:rFonts w:hint="eastAsia" w:hAnsi="宋体" w:cs="宋体"/>
          <w:b/>
          <w:color w:val="auto"/>
          <w:highlight w:val="none"/>
        </w:rPr>
        <w:t>2.3.3 项目总结报告</w:t>
      </w:r>
    </w:p>
    <w:p w14:paraId="3C200997">
      <w:pPr>
        <w:pStyle w:val="2"/>
        <w:ind w:firstLine="480" w:firstLineChars="200"/>
        <w:rPr>
          <w:rFonts w:hint="eastAsia" w:hAnsi="宋体" w:cs="宋体"/>
          <w:color w:val="auto"/>
          <w:highlight w:val="none"/>
        </w:rPr>
      </w:pPr>
      <w:r>
        <w:rPr>
          <w:rFonts w:hint="eastAsia" w:hAnsi="宋体" w:cs="宋体"/>
          <w:color w:val="auto"/>
          <w:highlight w:val="none"/>
        </w:rPr>
        <w:t>提供项目期间研究区域气象、通量变化情况分析和同比变化情况，分析马尾松林不同时间尺度碳储量和碳交换能力的时空演变趋势，揭示气候变化对其影响，并预估碳汇潜力和发展趋势。</w:t>
      </w:r>
    </w:p>
    <w:p w14:paraId="341CC5C4">
      <w:pPr>
        <w:pStyle w:val="2"/>
        <w:ind w:firstLine="482" w:firstLineChars="200"/>
        <w:rPr>
          <w:rFonts w:hint="eastAsia" w:hAnsi="宋体" w:cs="宋体"/>
          <w:b/>
          <w:color w:val="auto"/>
          <w:highlight w:val="none"/>
        </w:rPr>
      </w:pPr>
      <w:r>
        <w:rPr>
          <w:rFonts w:hint="eastAsia" w:hAnsi="宋体" w:cs="宋体"/>
          <w:b/>
          <w:color w:val="auto"/>
          <w:highlight w:val="none"/>
        </w:rPr>
        <w:t>2.3.4 运维质控和故障处置报告</w:t>
      </w:r>
    </w:p>
    <w:p w14:paraId="4EDBB6DC">
      <w:pPr>
        <w:pStyle w:val="2"/>
        <w:ind w:firstLine="480" w:firstLineChars="200"/>
        <w:rPr>
          <w:rFonts w:hint="eastAsia" w:hAnsi="宋体" w:cs="宋体"/>
          <w:color w:val="auto"/>
          <w:highlight w:val="none"/>
        </w:rPr>
      </w:pPr>
      <w:r>
        <w:rPr>
          <w:rFonts w:hint="eastAsia" w:hAnsi="宋体" w:cs="宋体"/>
          <w:color w:val="auto"/>
          <w:highlight w:val="none"/>
        </w:rPr>
        <w:t>开展现场运维或故障处置后，提供相关报告，说明主要开展工作、问题排查和处置情况。</w:t>
      </w:r>
    </w:p>
    <w:p w14:paraId="5E02FAC6">
      <w:pPr>
        <w:pStyle w:val="2"/>
        <w:ind w:firstLine="482" w:firstLineChars="200"/>
        <w:rPr>
          <w:rFonts w:hint="eastAsia" w:hAnsi="宋体" w:cs="宋体"/>
          <w:b/>
          <w:color w:val="auto"/>
          <w:highlight w:val="none"/>
        </w:rPr>
      </w:pPr>
      <w:r>
        <w:rPr>
          <w:rFonts w:hint="eastAsia" w:hAnsi="宋体" w:cs="宋体"/>
          <w:b/>
          <w:color w:val="auto"/>
          <w:highlight w:val="none"/>
        </w:rPr>
        <w:t>2.4 数据下载</w:t>
      </w:r>
    </w:p>
    <w:p w14:paraId="335B6A80">
      <w:pPr>
        <w:pStyle w:val="2"/>
        <w:ind w:firstLine="480" w:firstLineChars="200"/>
        <w:rPr>
          <w:rFonts w:hint="eastAsia" w:hAnsi="宋体" w:cs="宋体"/>
          <w:color w:val="auto"/>
          <w:highlight w:val="none"/>
        </w:rPr>
      </w:pPr>
      <w:r>
        <w:rPr>
          <w:rFonts w:hAnsi="宋体" w:cs="宋体"/>
          <w:color w:val="auto"/>
          <w:highlight w:val="none"/>
        </w:rPr>
        <w:t>做好</w:t>
      </w:r>
      <w:r>
        <w:rPr>
          <w:rFonts w:hint="eastAsia" w:hAnsi="宋体" w:cs="宋体"/>
          <w:color w:val="auto"/>
          <w:highlight w:val="none"/>
        </w:rPr>
        <w:t>原始数据、半小时数据的下载和备份工作，按需提交给采购方</w:t>
      </w:r>
      <w:r>
        <w:rPr>
          <w:rFonts w:hAnsi="宋体" w:cs="宋体"/>
          <w:color w:val="auto"/>
          <w:highlight w:val="none"/>
        </w:rPr>
        <w:t>，对于缺失数据分段做好原因说明。</w:t>
      </w:r>
    </w:p>
    <w:p w14:paraId="551191E8">
      <w:pPr>
        <w:pStyle w:val="2"/>
        <w:ind w:firstLine="482" w:firstLineChars="200"/>
        <w:rPr>
          <w:rFonts w:hint="eastAsia" w:hAnsi="宋体" w:cs="宋体"/>
          <w:b/>
          <w:color w:val="auto"/>
          <w:highlight w:val="none"/>
        </w:rPr>
      </w:pPr>
      <w:r>
        <w:rPr>
          <w:rFonts w:hint="eastAsia" w:hAnsi="宋体" w:cs="宋体"/>
          <w:b/>
          <w:color w:val="auto"/>
          <w:highlight w:val="none"/>
        </w:rPr>
        <w:t xml:space="preserve">3.投标人员要求 </w:t>
      </w:r>
    </w:p>
    <w:p w14:paraId="1E175038">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3.1 投标人配备1名项目负责人，需具有2年以上碳通量监测领域工作经验；1名技术负责人，需具有常规数据处理、数据插补等能力，能够出具可靠的通量分析报告；1名专业运维人员，需具备2年以上碳通量监测设备运维服务工作经验，能熟练掌握本项目设备日常维护和常见故障诊断方法。相关人员应保持相对稳定，如变更需征得采购人同意。</w:t>
      </w:r>
    </w:p>
    <w:p w14:paraId="7F6D2D23">
      <w:pPr>
        <w:spacing w:line="360" w:lineRule="auto"/>
        <w:ind w:firstLine="480" w:firstLineChars="200"/>
        <w:rPr>
          <w:rFonts w:hint="eastAsia" w:ascii="宋体" w:hAnsi="宋体" w:cs="宋体"/>
          <w:bCs/>
          <w:color w:val="auto"/>
          <w:sz w:val="24"/>
          <w:highlight w:val="none"/>
        </w:rPr>
      </w:pPr>
      <w:r>
        <w:rPr>
          <w:rFonts w:hint="eastAsia" w:ascii="宋体" w:hAnsi="宋体" w:cs="宋体"/>
          <w:color w:val="auto"/>
          <w:sz w:val="24"/>
          <w:highlight w:val="none"/>
        </w:rPr>
        <w:t>3.2 投标人应掌握本项目所含通量塔的所有仪器的运行特性，运行维护专业技术人</w:t>
      </w:r>
      <w:r>
        <w:rPr>
          <w:rFonts w:hint="eastAsia" w:ascii="宋体" w:hAnsi="宋体" w:cs="宋体"/>
          <w:bCs/>
          <w:color w:val="auto"/>
          <w:sz w:val="24"/>
          <w:highlight w:val="none"/>
        </w:rPr>
        <w:t>员需掌握本项目所含主要分析仪器的日常维护、质量控制和常见故障诊断方法。</w:t>
      </w:r>
    </w:p>
    <w:p w14:paraId="1A698BC8">
      <w:pPr>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3.3投标人有完善的管理制度及技术人员培训制度，指定项目负责人，并组织专职人员负责日常运营及质量管理。</w:t>
      </w:r>
    </w:p>
    <w:p w14:paraId="5E243911">
      <w:pPr>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3.4 投标人应提供完整的马尾松林森林碳通量监测系统运维实施方案（含应急事故处理方案），提出解决问题的措施，明确维护方法、周期、内容及技术保障（包含本项目所含主要分析设备的日常维护和常见故障诊断方法）。</w:t>
      </w:r>
    </w:p>
    <w:p w14:paraId="2EAE30F8">
      <w:pPr>
        <w:pStyle w:val="2"/>
        <w:ind w:firstLine="482" w:firstLineChars="200"/>
        <w:rPr>
          <w:rFonts w:hint="eastAsia" w:hAnsi="宋体" w:cs="宋体"/>
          <w:b/>
          <w:color w:val="auto"/>
          <w:highlight w:val="none"/>
        </w:rPr>
      </w:pPr>
      <w:r>
        <w:rPr>
          <w:rFonts w:hint="eastAsia" w:hAnsi="宋体" w:cs="宋体"/>
          <w:b/>
          <w:color w:val="auto"/>
          <w:highlight w:val="none"/>
        </w:rPr>
        <w:t xml:space="preserve">4.考核要求 </w:t>
      </w:r>
    </w:p>
    <w:p w14:paraId="6B99743B">
      <w:pPr>
        <w:spacing w:line="36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4.1考核办法</w:t>
      </w:r>
    </w:p>
    <w:p w14:paraId="790CE8FA">
      <w:pPr>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由采购人组织有关人员进行评审，</w:t>
      </w:r>
      <w:r>
        <w:rPr>
          <w:rFonts w:ascii="宋体" w:hAnsi="宋体" w:cs="宋体"/>
          <w:bCs/>
          <w:color w:val="auto"/>
          <w:sz w:val="24"/>
          <w:highlight w:val="none"/>
        </w:rPr>
        <w:t>分两次</w:t>
      </w:r>
      <w:r>
        <w:rPr>
          <w:rFonts w:hint="eastAsia" w:ascii="宋体" w:hAnsi="宋体" w:cs="宋体"/>
          <w:bCs/>
          <w:color w:val="auto"/>
          <w:sz w:val="24"/>
          <w:highlight w:val="none"/>
        </w:rPr>
        <w:t>组织开展运维管理考核。依据维护内容和维护质量、分析报告质量、材料汇总等进行评分（详见考核表）。考核得分大于80分为合格，低于80分按4.2惩罚办法中相应条款执行。具体考核内容详见考核表，考核合格后按照合同规定支付该季度的运行费。</w:t>
      </w:r>
    </w:p>
    <w:p w14:paraId="7F52AE3C">
      <w:pPr>
        <w:spacing w:line="36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4.2惩罚办法</w:t>
      </w:r>
    </w:p>
    <w:p w14:paraId="21F337E6">
      <w:pPr>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4.2.1一旦发现乙方有干扰监测或数据造假等情况，采购人有权终止合同，并追究相关责任。</w:t>
      </w:r>
    </w:p>
    <w:p w14:paraId="0AB42F07">
      <w:pPr>
        <w:spacing w:line="36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4.2.2</w:t>
      </w:r>
      <w:r>
        <w:rPr>
          <w:rFonts w:ascii="宋体" w:hAnsi="宋体" w:cs="宋体"/>
          <w:b/>
          <w:color w:val="auto"/>
          <w:sz w:val="24"/>
          <w:highlight w:val="none"/>
        </w:rPr>
        <w:t>考核办法</w:t>
      </w:r>
      <w:r>
        <w:rPr>
          <w:rFonts w:hint="eastAsia" w:ascii="宋体" w:hAnsi="宋体" w:cs="宋体"/>
          <w:b/>
          <w:color w:val="auto"/>
          <w:sz w:val="24"/>
          <w:highlight w:val="none"/>
        </w:rPr>
        <w:t>，其中</w:t>
      </w:r>
    </w:p>
    <w:p w14:paraId="3D7CC30F">
      <w:pPr>
        <w:spacing w:line="360" w:lineRule="auto"/>
        <w:ind w:firstLine="480" w:firstLineChars="200"/>
        <w:jc w:val="left"/>
        <w:rPr>
          <w:rFonts w:hint="eastAsia" w:ascii="宋体" w:hAnsi="宋体" w:cs="宋体"/>
          <w:bCs/>
          <w:color w:val="auto"/>
          <w:sz w:val="24"/>
          <w:highlight w:val="none"/>
        </w:rPr>
      </w:pPr>
      <w:r>
        <w:rPr>
          <w:rFonts w:hint="eastAsia" w:ascii="宋体" w:hAnsi="宋体" w:cs="宋体"/>
          <w:bCs/>
          <w:color w:val="auto"/>
          <w:sz w:val="24"/>
          <w:highlight w:val="none"/>
        </w:rPr>
        <w:t>（1）考核结果在 80分（含）以上的，支付</w:t>
      </w:r>
      <w:r>
        <w:rPr>
          <w:rFonts w:ascii="宋体" w:hAnsi="宋体" w:cs="宋体"/>
          <w:bCs/>
          <w:color w:val="auto"/>
          <w:sz w:val="24"/>
          <w:highlight w:val="none"/>
        </w:rPr>
        <w:t>考核时间段</w:t>
      </w:r>
      <w:r>
        <w:rPr>
          <w:rFonts w:hint="eastAsia" w:ascii="宋体" w:hAnsi="宋体" w:cs="宋体"/>
          <w:bCs/>
          <w:color w:val="auto"/>
          <w:sz w:val="24"/>
          <w:highlight w:val="none"/>
        </w:rPr>
        <w:t>运维费；</w:t>
      </w:r>
    </w:p>
    <w:p w14:paraId="7653F408">
      <w:pPr>
        <w:spacing w:line="360" w:lineRule="auto"/>
        <w:ind w:firstLine="480" w:firstLineChars="200"/>
        <w:rPr>
          <w:rFonts w:hint="eastAsia" w:ascii="宋体" w:hAnsi="宋体" w:cs="宋体"/>
          <w:bCs/>
          <w:color w:val="auto"/>
          <w:sz w:val="24"/>
          <w:highlight w:val="none"/>
        </w:rPr>
      </w:pPr>
      <w:r>
        <w:rPr>
          <w:rFonts w:ascii="宋体" w:hAnsi="宋体" w:cs="宋体"/>
          <w:bCs/>
          <w:color w:val="auto"/>
          <w:sz w:val="24"/>
          <w:highlight w:val="none"/>
        </w:rPr>
        <w:t>（2）</w:t>
      </w:r>
      <w:r>
        <w:rPr>
          <w:rFonts w:hint="eastAsia" w:ascii="宋体" w:hAnsi="宋体" w:cs="宋体"/>
          <w:bCs/>
          <w:color w:val="auto"/>
          <w:sz w:val="24"/>
          <w:highlight w:val="none"/>
        </w:rPr>
        <w:t>考核结果在70分（含）以上，80分以下，为初级警告，扣除</w:t>
      </w:r>
      <w:r>
        <w:rPr>
          <w:rFonts w:ascii="宋体" w:hAnsi="宋体" w:cs="宋体"/>
          <w:bCs/>
          <w:color w:val="auto"/>
          <w:sz w:val="24"/>
          <w:highlight w:val="none"/>
        </w:rPr>
        <w:t>考核时间段</w:t>
      </w:r>
      <w:r>
        <w:rPr>
          <w:rFonts w:hint="eastAsia" w:ascii="宋体" w:hAnsi="宋体" w:cs="宋体"/>
          <w:bCs/>
          <w:color w:val="auto"/>
          <w:sz w:val="24"/>
          <w:highlight w:val="none"/>
        </w:rPr>
        <w:t>运维费的</w:t>
      </w:r>
      <w:r>
        <w:rPr>
          <w:rFonts w:ascii="宋体" w:hAnsi="宋体" w:cs="宋体"/>
          <w:bCs/>
          <w:color w:val="auto"/>
          <w:sz w:val="24"/>
          <w:highlight w:val="none"/>
        </w:rPr>
        <w:t>5</w:t>
      </w:r>
      <w:r>
        <w:rPr>
          <w:rFonts w:hint="eastAsia" w:ascii="宋体" w:hAnsi="宋体" w:cs="宋体"/>
          <w:bCs/>
          <w:color w:val="auto"/>
          <w:sz w:val="24"/>
          <w:highlight w:val="none"/>
        </w:rPr>
        <w:t>%，并责令整改；</w:t>
      </w:r>
    </w:p>
    <w:p w14:paraId="0DC5D217">
      <w:pPr>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w:t>
      </w:r>
      <w:r>
        <w:rPr>
          <w:rFonts w:ascii="宋体" w:hAnsi="宋体" w:cs="宋体"/>
          <w:bCs/>
          <w:color w:val="auto"/>
          <w:sz w:val="24"/>
          <w:highlight w:val="none"/>
        </w:rPr>
        <w:t>3</w:t>
      </w:r>
      <w:r>
        <w:rPr>
          <w:rFonts w:hint="eastAsia" w:ascii="宋体" w:hAnsi="宋体" w:cs="宋体"/>
          <w:bCs/>
          <w:color w:val="auto"/>
          <w:sz w:val="24"/>
          <w:highlight w:val="none"/>
        </w:rPr>
        <w:t>）考核结果在60分（含）以上，70分以下，为二级警告，扣除</w:t>
      </w:r>
      <w:r>
        <w:rPr>
          <w:rFonts w:ascii="宋体" w:hAnsi="宋体" w:cs="宋体"/>
          <w:bCs/>
          <w:color w:val="auto"/>
          <w:sz w:val="24"/>
          <w:highlight w:val="none"/>
        </w:rPr>
        <w:t>考核时间段</w:t>
      </w:r>
      <w:r>
        <w:rPr>
          <w:rFonts w:hint="eastAsia" w:ascii="宋体" w:hAnsi="宋体" w:cs="宋体"/>
          <w:bCs/>
          <w:color w:val="auto"/>
          <w:sz w:val="24"/>
          <w:highlight w:val="none"/>
        </w:rPr>
        <w:t>运维费的</w:t>
      </w:r>
      <w:r>
        <w:rPr>
          <w:rFonts w:ascii="宋体" w:hAnsi="宋体" w:cs="宋体"/>
          <w:bCs/>
          <w:color w:val="auto"/>
          <w:sz w:val="24"/>
          <w:highlight w:val="none"/>
        </w:rPr>
        <w:t>15</w:t>
      </w:r>
      <w:r>
        <w:rPr>
          <w:rFonts w:hint="eastAsia" w:ascii="宋体" w:hAnsi="宋体" w:cs="宋体"/>
          <w:bCs/>
          <w:color w:val="auto"/>
          <w:sz w:val="24"/>
          <w:highlight w:val="none"/>
        </w:rPr>
        <w:t>%，并责令整改；</w:t>
      </w:r>
    </w:p>
    <w:p w14:paraId="79198781">
      <w:pPr>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w:t>
      </w:r>
      <w:r>
        <w:rPr>
          <w:rFonts w:ascii="宋体" w:hAnsi="宋体" w:cs="宋体"/>
          <w:bCs/>
          <w:color w:val="auto"/>
          <w:sz w:val="24"/>
          <w:highlight w:val="none"/>
        </w:rPr>
        <w:t>4</w:t>
      </w:r>
      <w:r>
        <w:rPr>
          <w:rFonts w:hint="eastAsia" w:ascii="宋体" w:hAnsi="宋体" w:cs="宋体"/>
          <w:bCs/>
          <w:color w:val="auto"/>
          <w:sz w:val="24"/>
          <w:highlight w:val="none"/>
        </w:rPr>
        <w:t>）考核结果在60分以下，扣除</w:t>
      </w:r>
      <w:r>
        <w:rPr>
          <w:rFonts w:ascii="宋体" w:hAnsi="宋体" w:cs="宋体"/>
          <w:bCs/>
          <w:color w:val="auto"/>
          <w:sz w:val="24"/>
          <w:highlight w:val="none"/>
        </w:rPr>
        <w:t>考核时间段全部</w:t>
      </w:r>
      <w:r>
        <w:rPr>
          <w:rFonts w:hint="eastAsia" w:ascii="宋体" w:hAnsi="宋体" w:cs="宋体"/>
          <w:bCs/>
          <w:color w:val="auto"/>
          <w:sz w:val="24"/>
          <w:highlight w:val="none"/>
        </w:rPr>
        <w:t>运维费，并责令整改</w:t>
      </w:r>
      <w:r>
        <w:rPr>
          <w:rFonts w:ascii="宋体" w:hAnsi="宋体" w:cs="宋体"/>
          <w:bCs/>
          <w:color w:val="auto"/>
          <w:sz w:val="24"/>
          <w:highlight w:val="none"/>
        </w:rPr>
        <w:t>，</w:t>
      </w:r>
      <w:r>
        <w:rPr>
          <w:rFonts w:hint="eastAsia" w:ascii="宋体" w:hAnsi="宋体" w:cs="宋体"/>
          <w:bCs/>
          <w:color w:val="auto"/>
          <w:sz w:val="24"/>
          <w:highlight w:val="none"/>
        </w:rPr>
        <w:t>且采购人有权取消运维合同</w:t>
      </w:r>
      <w:r>
        <w:rPr>
          <w:rFonts w:ascii="宋体" w:hAnsi="宋体" w:cs="宋体"/>
          <w:bCs/>
          <w:color w:val="auto"/>
          <w:sz w:val="24"/>
          <w:highlight w:val="none"/>
        </w:rPr>
        <w:t>。</w:t>
      </w:r>
    </w:p>
    <w:p w14:paraId="6370672F">
      <w:pPr>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4.2.3如遇到4.2.1或4.2.2（3）状况解除合同后，投标人必须对所运维的站点按接手时的仪器配置品牌型号进行维修，要求不低于交接时仪器状况，所需费用由投标人承担。</w:t>
      </w:r>
    </w:p>
    <w:p w14:paraId="6A3351B6">
      <w:pPr>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4.2.4因投标人原因造成合同终止所产生的各类损失，由投标人承担。</w:t>
      </w:r>
    </w:p>
    <w:p w14:paraId="4DD29293">
      <w:pPr>
        <w:snapToGrid w:val="0"/>
        <w:spacing w:line="360" w:lineRule="auto"/>
        <w:jc w:val="center"/>
        <w:rPr>
          <w:b/>
          <w:color w:val="auto"/>
          <w:sz w:val="24"/>
          <w:highlight w:val="none"/>
        </w:rPr>
      </w:pPr>
      <w:r>
        <w:rPr>
          <w:b/>
          <w:color w:val="auto"/>
          <w:sz w:val="24"/>
          <w:highlight w:val="none"/>
        </w:rPr>
        <w:t>考 核 表</w:t>
      </w:r>
    </w:p>
    <w:tbl>
      <w:tblPr>
        <w:tblStyle w:val="62"/>
        <w:tblW w:w="88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2"/>
        <w:gridCol w:w="2477"/>
        <w:gridCol w:w="3085"/>
        <w:gridCol w:w="1081"/>
        <w:gridCol w:w="989"/>
      </w:tblGrid>
      <w:tr w14:paraId="5E4CE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02" w:type="dxa"/>
            <w:vAlign w:val="center"/>
          </w:tcPr>
          <w:p w14:paraId="224DFAFA">
            <w:pPr>
              <w:snapToGrid w:val="0"/>
              <w:spacing w:line="288" w:lineRule="auto"/>
              <w:jc w:val="center"/>
              <w:rPr>
                <w:b/>
                <w:bCs/>
                <w:color w:val="auto"/>
                <w:sz w:val="24"/>
                <w:highlight w:val="none"/>
              </w:rPr>
            </w:pPr>
            <w:r>
              <w:rPr>
                <w:rFonts w:hint="eastAsia"/>
                <w:b/>
                <w:bCs/>
                <w:color w:val="auto"/>
                <w:sz w:val="24"/>
                <w:highlight w:val="none"/>
              </w:rPr>
              <w:t>考核项目</w:t>
            </w:r>
          </w:p>
        </w:tc>
        <w:tc>
          <w:tcPr>
            <w:tcW w:w="2477" w:type="dxa"/>
            <w:vAlign w:val="center"/>
          </w:tcPr>
          <w:p w14:paraId="24A2200A">
            <w:pPr>
              <w:snapToGrid w:val="0"/>
              <w:spacing w:line="288" w:lineRule="auto"/>
              <w:jc w:val="center"/>
              <w:rPr>
                <w:b/>
                <w:bCs/>
                <w:color w:val="auto"/>
                <w:sz w:val="24"/>
                <w:highlight w:val="none"/>
              </w:rPr>
            </w:pPr>
            <w:r>
              <w:rPr>
                <w:rFonts w:hint="eastAsia"/>
                <w:b/>
                <w:bCs/>
                <w:color w:val="auto"/>
                <w:sz w:val="24"/>
                <w:highlight w:val="none"/>
              </w:rPr>
              <w:t>评分项目</w:t>
            </w:r>
          </w:p>
        </w:tc>
        <w:tc>
          <w:tcPr>
            <w:tcW w:w="3085" w:type="dxa"/>
            <w:vAlign w:val="center"/>
          </w:tcPr>
          <w:p w14:paraId="7AB3E397">
            <w:pPr>
              <w:snapToGrid w:val="0"/>
              <w:spacing w:line="288" w:lineRule="auto"/>
              <w:jc w:val="center"/>
              <w:rPr>
                <w:b/>
                <w:bCs/>
                <w:color w:val="auto"/>
                <w:sz w:val="24"/>
                <w:highlight w:val="none"/>
              </w:rPr>
            </w:pPr>
            <w:r>
              <w:rPr>
                <w:rFonts w:hint="eastAsia"/>
                <w:b/>
                <w:bCs/>
                <w:color w:val="auto"/>
                <w:sz w:val="24"/>
                <w:highlight w:val="none"/>
              </w:rPr>
              <w:t>评分标准</w:t>
            </w:r>
          </w:p>
        </w:tc>
        <w:tc>
          <w:tcPr>
            <w:tcW w:w="1081" w:type="dxa"/>
            <w:vAlign w:val="center"/>
          </w:tcPr>
          <w:p w14:paraId="622F0E64">
            <w:pPr>
              <w:snapToGrid w:val="0"/>
              <w:spacing w:line="288" w:lineRule="auto"/>
              <w:jc w:val="center"/>
              <w:rPr>
                <w:b/>
                <w:bCs/>
                <w:color w:val="auto"/>
                <w:sz w:val="24"/>
                <w:highlight w:val="none"/>
              </w:rPr>
            </w:pPr>
            <w:r>
              <w:rPr>
                <w:rFonts w:hint="eastAsia"/>
                <w:b/>
                <w:bCs/>
                <w:color w:val="auto"/>
                <w:sz w:val="24"/>
                <w:highlight w:val="none"/>
              </w:rPr>
              <w:t>总分</w:t>
            </w:r>
          </w:p>
        </w:tc>
        <w:tc>
          <w:tcPr>
            <w:tcW w:w="989" w:type="dxa"/>
            <w:vAlign w:val="center"/>
          </w:tcPr>
          <w:p w14:paraId="4247F9F4">
            <w:pPr>
              <w:snapToGrid w:val="0"/>
              <w:spacing w:line="288" w:lineRule="auto"/>
              <w:jc w:val="center"/>
              <w:rPr>
                <w:b/>
                <w:bCs/>
                <w:color w:val="auto"/>
                <w:sz w:val="24"/>
                <w:highlight w:val="none"/>
              </w:rPr>
            </w:pPr>
            <w:r>
              <w:rPr>
                <w:rFonts w:hint="eastAsia"/>
                <w:b/>
                <w:bCs/>
                <w:color w:val="auto"/>
                <w:sz w:val="24"/>
                <w:highlight w:val="none"/>
              </w:rPr>
              <w:t>备注</w:t>
            </w:r>
          </w:p>
        </w:tc>
      </w:tr>
      <w:tr w14:paraId="677C1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1202" w:type="dxa"/>
            <w:vMerge w:val="restart"/>
            <w:vAlign w:val="center"/>
          </w:tcPr>
          <w:p w14:paraId="4759D584">
            <w:pPr>
              <w:snapToGrid w:val="0"/>
              <w:spacing w:line="288" w:lineRule="auto"/>
              <w:jc w:val="center"/>
              <w:rPr>
                <w:b/>
                <w:bCs/>
                <w:color w:val="auto"/>
                <w:sz w:val="24"/>
                <w:highlight w:val="none"/>
              </w:rPr>
            </w:pPr>
            <w:r>
              <w:rPr>
                <w:rFonts w:hint="eastAsia"/>
                <w:b/>
                <w:bCs/>
                <w:color w:val="auto"/>
                <w:sz w:val="24"/>
                <w:highlight w:val="none"/>
              </w:rPr>
              <w:t>运维质量情况</w:t>
            </w:r>
          </w:p>
        </w:tc>
        <w:tc>
          <w:tcPr>
            <w:tcW w:w="2477" w:type="dxa"/>
            <w:vAlign w:val="center"/>
          </w:tcPr>
          <w:p w14:paraId="5C6115BF">
            <w:pPr>
              <w:snapToGrid w:val="0"/>
              <w:spacing w:line="288" w:lineRule="auto"/>
              <w:jc w:val="center"/>
              <w:rPr>
                <w:b/>
                <w:bCs/>
                <w:color w:val="auto"/>
                <w:sz w:val="24"/>
                <w:highlight w:val="none"/>
              </w:rPr>
            </w:pPr>
            <w:r>
              <w:rPr>
                <w:rFonts w:hint="eastAsia"/>
                <w:bCs/>
                <w:color w:val="auto"/>
                <w:sz w:val="24"/>
                <w:highlight w:val="none"/>
              </w:rPr>
              <w:t>站点与环境、采样系统、仪器性能、档案记录等情况</w:t>
            </w:r>
          </w:p>
        </w:tc>
        <w:tc>
          <w:tcPr>
            <w:tcW w:w="3085" w:type="dxa"/>
            <w:vAlign w:val="center"/>
          </w:tcPr>
          <w:p w14:paraId="138C36B4">
            <w:pPr>
              <w:snapToGrid w:val="0"/>
              <w:spacing w:line="288" w:lineRule="auto"/>
              <w:jc w:val="center"/>
              <w:rPr>
                <w:bCs/>
                <w:color w:val="auto"/>
                <w:sz w:val="24"/>
                <w:highlight w:val="none"/>
              </w:rPr>
            </w:pPr>
            <w:r>
              <w:rPr>
                <w:rFonts w:hint="eastAsia"/>
                <w:bCs/>
                <w:color w:val="auto"/>
                <w:sz w:val="24"/>
                <w:highlight w:val="none"/>
              </w:rPr>
              <w:t>保证系统正常运行</w:t>
            </w:r>
          </w:p>
        </w:tc>
        <w:tc>
          <w:tcPr>
            <w:tcW w:w="1081" w:type="dxa"/>
            <w:vAlign w:val="center"/>
          </w:tcPr>
          <w:p w14:paraId="051B439A">
            <w:pPr>
              <w:snapToGrid w:val="0"/>
              <w:spacing w:line="288" w:lineRule="auto"/>
              <w:jc w:val="center"/>
              <w:rPr>
                <w:bCs/>
                <w:color w:val="auto"/>
                <w:sz w:val="24"/>
                <w:highlight w:val="none"/>
              </w:rPr>
            </w:pPr>
            <w:r>
              <w:rPr>
                <w:rFonts w:hint="eastAsia"/>
                <w:bCs/>
                <w:color w:val="auto"/>
                <w:sz w:val="24"/>
                <w:highlight w:val="none"/>
              </w:rPr>
              <w:t>10分</w:t>
            </w:r>
          </w:p>
        </w:tc>
        <w:tc>
          <w:tcPr>
            <w:tcW w:w="989" w:type="dxa"/>
            <w:vAlign w:val="center"/>
          </w:tcPr>
          <w:p w14:paraId="01FD24DE">
            <w:pPr>
              <w:snapToGrid w:val="0"/>
              <w:spacing w:line="288" w:lineRule="auto"/>
              <w:jc w:val="center"/>
              <w:rPr>
                <w:b/>
                <w:bCs/>
                <w:color w:val="auto"/>
                <w:sz w:val="24"/>
                <w:highlight w:val="none"/>
              </w:rPr>
            </w:pPr>
          </w:p>
        </w:tc>
      </w:tr>
      <w:tr w14:paraId="4C403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1202" w:type="dxa"/>
            <w:vMerge w:val="continue"/>
            <w:vAlign w:val="center"/>
          </w:tcPr>
          <w:p w14:paraId="1F42BE46">
            <w:pPr>
              <w:snapToGrid w:val="0"/>
              <w:spacing w:line="288" w:lineRule="auto"/>
              <w:jc w:val="center"/>
              <w:rPr>
                <w:b/>
                <w:bCs/>
                <w:color w:val="auto"/>
                <w:sz w:val="24"/>
                <w:highlight w:val="none"/>
              </w:rPr>
            </w:pPr>
          </w:p>
        </w:tc>
        <w:tc>
          <w:tcPr>
            <w:tcW w:w="2477" w:type="dxa"/>
            <w:vAlign w:val="center"/>
          </w:tcPr>
          <w:p w14:paraId="5E8A3C26">
            <w:pPr>
              <w:snapToGrid w:val="0"/>
              <w:spacing w:line="288" w:lineRule="auto"/>
              <w:jc w:val="center"/>
              <w:rPr>
                <w:bCs/>
                <w:color w:val="auto"/>
                <w:sz w:val="24"/>
                <w:highlight w:val="none"/>
              </w:rPr>
            </w:pPr>
            <w:r>
              <w:rPr>
                <w:rFonts w:hint="eastAsia"/>
                <w:bCs/>
                <w:color w:val="auto"/>
                <w:sz w:val="24"/>
                <w:highlight w:val="none"/>
              </w:rPr>
              <w:t>数据获取率</w:t>
            </w:r>
          </w:p>
        </w:tc>
        <w:tc>
          <w:tcPr>
            <w:tcW w:w="3085" w:type="dxa"/>
            <w:vAlign w:val="center"/>
          </w:tcPr>
          <w:p w14:paraId="78326AE6">
            <w:pPr>
              <w:snapToGrid w:val="0"/>
              <w:spacing w:line="288" w:lineRule="auto"/>
              <w:jc w:val="center"/>
              <w:rPr>
                <w:b/>
                <w:bCs/>
                <w:color w:val="auto"/>
                <w:sz w:val="24"/>
                <w:highlight w:val="none"/>
              </w:rPr>
            </w:pPr>
            <w:r>
              <w:rPr>
                <w:rFonts w:hint="eastAsia"/>
                <w:bCs/>
                <w:color w:val="auto"/>
                <w:sz w:val="24"/>
                <w:highlight w:val="none"/>
              </w:rPr>
              <w:t>不得低于80%。获取率在75%-80%，扣5分，获取率在75%以下，扣10分</w:t>
            </w:r>
          </w:p>
        </w:tc>
        <w:tc>
          <w:tcPr>
            <w:tcW w:w="1081" w:type="dxa"/>
            <w:vAlign w:val="center"/>
          </w:tcPr>
          <w:p w14:paraId="413BE560">
            <w:pPr>
              <w:snapToGrid w:val="0"/>
              <w:spacing w:line="288" w:lineRule="auto"/>
              <w:jc w:val="center"/>
              <w:rPr>
                <w:bCs/>
                <w:color w:val="auto"/>
                <w:sz w:val="24"/>
                <w:highlight w:val="none"/>
              </w:rPr>
            </w:pPr>
            <w:r>
              <w:rPr>
                <w:rFonts w:hint="eastAsia"/>
                <w:bCs/>
                <w:color w:val="auto"/>
                <w:sz w:val="24"/>
                <w:highlight w:val="none"/>
              </w:rPr>
              <w:t>30分</w:t>
            </w:r>
          </w:p>
        </w:tc>
        <w:tc>
          <w:tcPr>
            <w:tcW w:w="989" w:type="dxa"/>
            <w:vAlign w:val="center"/>
          </w:tcPr>
          <w:p w14:paraId="31DB7C67">
            <w:pPr>
              <w:snapToGrid w:val="0"/>
              <w:spacing w:line="288" w:lineRule="auto"/>
              <w:jc w:val="center"/>
              <w:rPr>
                <w:b/>
                <w:bCs/>
                <w:color w:val="auto"/>
                <w:sz w:val="24"/>
                <w:highlight w:val="none"/>
              </w:rPr>
            </w:pPr>
          </w:p>
        </w:tc>
      </w:tr>
      <w:tr w14:paraId="4A51C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202" w:type="dxa"/>
            <w:vMerge w:val="restart"/>
            <w:vAlign w:val="center"/>
          </w:tcPr>
          <w:p w14:paraId="578FDF20">
            <w:pPr>
              <w:snapToGrid w:val="0"/>
              <w:spacing w:line="288" w:lineRule="auto"/>
              <w:jc w:val="center"/>
              <w:rPr>
                <w:b/>
                <w:bCs/>
                <w:color w:val="auto"/>
                <w:sz w:val="24"/>
                <w:highlight w:val="none"/>
              </w:rPr>
            </w:pPr>
            <w:r>
              <w:rPr>
                <w:rFonts w:hint="eastAsia"/>
                <w:b/>
                <w:bCs/>
                <w:color w:val="auto"/>
                <w:sz w:val="24"/>
                <w:highlight w:val="none"/>
              </w:rPr>
              <w:t>数据报告情况</w:t>
            </w:r>
          </w:p>
        </w:tc>
        <w:tc>
          <w:tcPr>
            <w:tcW w:w="2477" w:type="dxa"/>
            <w:vAlign w:val="center"/>
          </w:tcPr>
          <w:p w14:paraId="456FBFEB">
            <w:pPr>
              <w:snapToGrid w:val="0"/>
              <w:spacing w:line="288" w:lineRule="auto"/>
              <w:jc w:val="center"/>
              <w:rPr>
                <w:bCs/>
                <w:color w:val="auto"/>
                <w:sz w:val="24"/>
                <w:highlight w:val="none"/>
              </w:rPr>
            </w:pPr>
            <w:r>
              <w:rPr>
                <w:rFonts w:hint="eastAsia"/>
                <w:bCs/>
                <w:color w:val="auto"/>
                <w:sz w:val="24"/>
                <w:highlight w:val="none"/>
              </w:rPr>
              <w:t>月度报告数量</w:t>
            </w:r>
          </w:p>
        </w:tc>
        <w:tc>
          <w:tcPr>
            <w:tcW w:w="3085" w:type="dxa"/>
            <w:vAlign w:val="center"/>
          </w:tcPr>
          <w:p w14:paraId="6B22666C">
            <w:pPr>
              <w:snapToGrid w:val="0"/>
              <w:spacing w:line="288" w:lineRule="auto"/>
              <w:jc w:val="center"/>
              <w:rPr>
                <w:bCs/>
                <w:color w:val="auto"/>
                <w:sz w:val="24"/>
                <w:highlight w:val="none"/>
              </w:rPr>
            </w:pPr>
            <w:r>
              <w:rPr>
                <w:rFonts w:hint="eastAsia"/>
                <w:bCs/>
                <w:color w:val="auto"/>
                <w:sz w:val="24"/>
                <w:highlight w:val="none"/>
              </w:rPr>
              <w:t>合同期内每月提交一份，缺失一份扣5分</w:t>
            </w:r>
          </w:p>
        </w:tc>
        <w:tc>
          <w:tcPr>
            <w:tcW w:w="1081" w:type="dxa"/>
            <w:vAlign w:val="center"/>
          </w:tcPr>
          <w:p w14:paraId="21C02516">
            <w:pPr>
              <w:snapToGrid w:val="0"/>
              <w:spacing w:line="288" w:lineRule="auto"/>
              <w:jc w:val="center"/>
              <w:rPr>
                <w:bCs/>
                <w:color w:val="auto"/>
                <w:sz w:val="24"/>
                <w:highlight w:val="none"/>
              </w:rPr>
            </w:pPr>
            <w:r>
              <w:rPr>
                <w:rFonts w:hint="eastAsia"/>
                <w:bCs/>
                <w:color w:val="auto"/>
                <w:sz w:val="24"/>
                <w:highlight w:val="none"/>
              </w:rPr>
              <w:t>15分</w:t>
            </w:r>
          </w:p>
        </w:tc>
        <w:tc>
          <w:tcPr>
            <w:tcW w:w="989" w:type="dxa"/>
            <w:vAlign w:val="center"/>
          </w:tcPr>
          <w:p w14:paraId="635B8D8A">
            <w:pPr>
              <w:snapToGrid w:val="0"/>
              <w:spacing w:line="288" w:lineRule="auto"/>
              <w:jc w:val="center"/>
              <w:rPr>
                <w:bCs/>
                <w:color w:val="auto"/>
                <w:sz w:val="24"/>
                <w:highlight w:val="none"/>
              </w:rPr>
            </w:pPr>
          </w:p>
        </w:tc>
      </w:tr>
      <w:tr w14:paraId="6FE78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02" w:type="dxa"/>
            <w:vMerge w:val="continue"/>
            <w:vAlign w:val="center"/>
          </w:tcPr>
          <w:p w14:paraId="3EE8F0AC">
            <w:pPr>
              <w:snapToGrid w:val="0"/>
              <w:spacing w:line="288" w:lineRule="auto"/>
              <w:jc w:val="center"/>
              <w:rPr>
                <w:bCs/>
                <w:color w:val="auto"/>
                <w:sz w:val="24"/>
                <w:highlight w:val="none"/>
              </w:rPr>
            </w:pPr>
          </w:p>
        </w:tc>
        <w:tc>
          <w:tcPr>
            <w:tcW w:w="2477" w:type="dxa"/>
            <w:vAlign w:val="center"/>
          </w:tcPr>
          <w:p w14:paraId="0965BC9F">
            <w:pPr>
              <w:snapToGrid w:val="0"/>
              <w:spacing w:line="288" w:lineRule="auto"/>
              <w:jc w:val="center"/>
              <w:rPr>
                <w:bCs/>
                <w:color w:val="auto"/>
                <w:sz w:val="24"/>
                <w:highlight w:val="none"/>
              </w:rPr>
            </w:pPr>
            <w:r>
              <w:rPr>
                <w:rFonts w:hint="eastAsia"/>
                <w:bCs/>
                <w:color w:val="auto"/>
                <w:sz w:val="24"/>
                <w:highlight w:val="none"/>
              </w:rPr>
              <w:t>季度报告数量</w:t>
            </w:r>
          </w:p>
        </w:tc>
        <w:tc>
          <w:tcPr>
            <w:tcW w:w="3085" w:type="dxa"/>
            <w:vAlign w:val="center"/>
          </w:tcPr>
          <w:p w14:paraId="1F01D3D7">
            <w:pPr>
              <w:snapToGrid w:val="0"/>
              <w:spacing w:line="288" w:lineRule="auto"/>
              <w:jc w:val="center"/>
              <w:rPr>
                <w:bCs/>
                <w:color w:val="auto"/>
                <w:sz w:val="24"/>
                <w:highlight w:val="none"/>
              </w:rPr>
            </w:pPr>
            <w:r>
              <w:rPr>
                <w:rFonts w:hint="eastAsia"/>
                <w:bCs/>
                <w:color w:val="auto"/>
                <w:sz w:val="24"/>
                <w:highlight w:val="none"/>
              </w:rPr>
              <w:t>合同期内每季度提交一份，缺失一份扣5分</w:t>
            </w:r>
          </w:p>
        </w:tc>
        <w:tc>
          <w:tcPr>
            <w:tcW w:w="1081" w:type="dxa"/>
            <w:vAlign w:val="center"/>
          </w:tcPr>
          <w:p w14:paraId="24289BCD">
            <w:pPr>
              <w:snapToGrid w:val="0"/>
              <w:spacing w:line="288" w:lineRule="auto"/>
              <w:jc w:val="center"/>
              <w:rPr>
                <w:bCs/>
                <w:color w:val="auto"/>
                <w:sz w:val="24"/>
                <w:highlight w:val="none"/>
              </w:rPr>
            </w:pPr>
            <w:r>
              <w:rPr>
                <w:rFonts w:hint="eastAsia"/>
                <w:bCs/>
                <w:color w:val="auto"/>
                <w:sz w:val="24"/>
                <w:highlight w:val="none"/>
              </w:rPr>
              <w:t>15分</w:t>
            </w:r>
          </w:p>
        </w:tc>
        <w:tc>
          <w:tcPr>
            <w:tcW w:w="989" w:type="dxa"/>
            <w:vAlign w:val="center"/>
          </w:tcPr>
          <w:p w14:paraId="44EDBFE5">
            <w:pPr>
              <w:snapToGrid w:val="0"/>
              <w:spacing w:line="288" w:lineRule="auto"/>
              <w:jc w:val="center"/>
              <w:rPr>
                <w:bCs/>
                <w:color w:val="auto"/>
                <w:sz w:val="24"/>
                <w:highlight w:val="none"/>
              </w:rPr>
            </w:pPr>
          </w:p>
        </w:tc>
      </w:tr>
      <w:tr w14:paraId="234CE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02" w:type="dxa"/>
            <w:vMerge w:val="continue"/>
            <w:vAlign w:val="center"/>
          </w:tcPr>
          <w:p w14:paraId="1FF60974">
            <w:pPr>
              <w:snapToGrid w:val="0"/>
              <w:spacing w:line="288" w:lineRule="auto"/>
              <w:jc w:val="center"/>
              <w:rPr>
                <w:bCs/>
                <w:color w:val="auto"/>
                <w:sz w:val="24"/>
                <w:highlight w:val="none"/>
              </w:rPr>
            </w:pPr>
          </w:p>
        </w:tc>
        <w:tc>
          <w:tcPr>
            <w:tcW w:w="2477" w:type="dxa"/>
            <w:vAlign w:val="center"/>
          </w:tcPr>
          <w:p w14:paraId="3CD567CE">
            <w:pPr>
              <w:snapToGrid w:val="0"/>
              <w:spacing w:line="288" w:lineRule="auto"/>
              <w:jc w:val="center"/>
              <w:rPr>
                <w:bCs/>
                <w:color w:val="auto"/>
                <w:sz w:val="24"/>
                <w:highlight w:val="none"/>
              </w:rPr>
            </w:pPr>
            <w:r>
              <w:rPr>
                <w:rFonts w:hint="eastAsia"/>
                <w:bCs/>
                <w:color w:val="auto"/>
                <w:sz w:val="24"/>
                <w:highlight w:val="none"/>
              </w:rPr>
              <w:t>巡检记录及故障报告数量</w:t>
            </w:r>
          </w:p>
        </w:tc>
        <w:tc>
          <w:tcPr>
            <w:tcW w:w="3085" w:type="dxa"/>
            <w:vAlign w:val="center"/>
          </w:tcPr>
          <w:p w14:paraId="61FC1A4F">
            <w:pPr>
              <w:snapToGrid w:val="0"/>
              <w:spacing w:line="288" w:lineRule="auto"/>
              <w:jc w:val="center"/>
              <w:rPr>
                <w:bCs/>
                <w:color w:val="auto"/>
                <w:sz w:val="24"/>
                <w:highlight w:val="none"/>
              </w:rPr>
            </w:pPr>
            <w:r>
              <w:rPr>
                <w:rFonts w:hint="eastAsia"/>
                <w:bCs/>
                <w:color w:val="auto"/>
                <w:sz w:val="24"/>
                <w:highlight w:val="none"/>
              </w:rPr>
              <w:t>根据实际发生情况酌情给分</w:t>
            </w:r>
          </w:p>
        </w:tc>
        <w:tc>
          <w:tcPr>
            <w:tcW w:w="1081" w:type="dxa"/>
            <w:vAlign w:val="center"/>
          </w:tcPr>
          <w:p w14:paraId="1F8A25B0">
            <w:pPr>
              <w:snapToGrid w:val="0"/>
              <w:spacing w:line="288" w:lineRule="auto"/>
              <w:jc w:val="center"/>
              <w:rPr>
                <w:bCs/>
                <w:color w:val="auto"/>
                <w:sz w:val="24"/>
                <w:highlight w:val="none"/>
              </w:rPr>
            </w:pPr>
            <w:r>
              <w:rPr>
                <w:rFonts w:hint="eastAsia"/>
                <w:bCs/>
                <w:color w:val="auto"/>
                <w:sz w:val="24"/>
                <w:highlight w:val="none"/>
              </w:rPr>
              <w:t>15分</w:t>
            </w:r>
          </w:p>
        </w:tc>
        <w:tc>
          <w:tcPr>
            <w:tcW w:w="989" w:type="dxa"/>
            <w:vAlign w:val="center"/>
          </w:tcPr>
          <w:p w14:paraId="11D49460">
            <w:pPr>
              <w:snapToGrid w:val="0"/>
              <w:spacing w:line="288" w:lineRule="auto"/>
              <w:jc w:val="center"/>
              <w:rPr>
                <w:bCs/>
                <w:color w:val="auto"/>
                <w:sz w:val="24"/>
                <w:highlight w:val="none"/>
              </w:rPr>
            </w:pPr>
          </w:p>
        </w:tc>
      </w:tr>
      <w:tr w14:paraId="0846A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02" w:type="dxa"/>
            <w:vMerge w:val="continue"/>
            <w:vAlign w:val="center"/>
          </w:tcPr>
          <w:p w14:paraId="591EE0CF">
            <w:pPr>
              <w:snapToGrid w:val="0"/>
              <w:spacing w:line="288" w:lineRule="auto"/>
              <w:jc w:val="center"/>
              <w:rPr>
                <w:bCs/>
                <w:color w:val="auto"/>
                <w:sz w:val="24"/>
                <w:highlight w:val="none"/>
              </w:rPr>
            </w:pPr>
          </w:p>
        </w:tc>
        <w:tc>
          <w:tcPr>
            <w:tcW w:w="2477" w:type="dxa"/>
            <w:vAlign w:val="center"/>
          </w:tcPr>
          <w:p w14:paraId="10A35CDD">
            <w:pPr>
              <w:snapToGrid w:val="0"/>
              <w:spacing w:line="288" w:lineRule="auto"/>
              <w:jc w:val="center"/>
              <w:rPr>
                <w:bCs/>
                <w:color w:val="auto"/>
                <w:sz w:val="24"/>
                <w:highlight w:val="none"/>
              </w:rPr>
            </w:pPr>
            <w:r>
              <w:rPr>
                <w:rFonts w:hint="eastAsia"/>
                <w:bCs/>
                <w:color w:val="auto"/>
                <w:sz w:val="24"/>
                <w:highlight w:val="none"/>
              </w:rPr>
              <w:t>报告质量</w:t>
            </w:r>
          </w:p>
        </w:tc>
        <w:tc>
          <w:tcPr>
            <w:tcW w:w="3085" w:type="dxa"/>
            <w:vAlign w:val="center"/>
          </w:tcPr>
          <w:p w14:paraId="662E40D5">
            <w:pPr>
              <w:snapToGrid w:val="0"/>
              <w:spacing w:line="288" w:lineRule="auto"/>
              <w:jc w:val="center"/>
              <w:rPr>
                <w:bCs/>
                <w:color w:val="auto"/>
                <w:sz w:val="24"/>
                <w:highlight w:val="none"/>
              </w:rPr>
            </w:pPr>
            <w:r>
              <w:rPr>
                <w:rFonts w:hint="eastAsia"/>
                <w:bCs/>
                <w:color w:val="auto"/>
                <w:sz w:val="24"/>
                <w:highlight w:val="none"/>
              </w:rPr>
              <w:t>报告的文字、图标格式是否规范美观，分析是否深入，数据处理和分析是否合理等</w:t>
            </w:r>
          </w:p>
        </w:tc>
        <w:tc>
          <w:tcPr>
            <w:tcW w:w="1081" w:type="dxa"/>
            <w:vAlign w:val="center"/>
          </w:tcPr>
          <w:p w14:paraId="177A0E36">
            <w:pPr>
              <w:snapToGrid w:val="0"/>
              <w:spacing w:line="288" w:lineRule="auto"/>
              <w:jc w:val="center"/>
              <w:rPr>
                <w:bCs/>
                <w:color w:val="auto"/>
                <w:sz w:val="24"/>
                <w:highlight w:val="none"/>
              </w:rPr>
            </w:pPr>
            <w:r>
              <w:rPr>
                <w:rFonts w:hint="eastAsia"/>
                <w:bCs/>
                <w:color w:val="auto"/>
                <w:sz w:val="24"/>
                <w:highlight w:val="none"/>
              </w:rPr>
              <w:t>15分</w:t>
            </w:r>
          </w:p>
        </w:tc>
        <w:tc>
          <w:tcPr>
            <w:tcW w:w="989" w:type="dxa"/>
            <w:vAlign w:val="center"/>
          </w:tcPr>
          <w:p w14:paraId="407FF77F">
            <w:pPr>
              <w:snapToGrid w:val="0"/>
              <w:spacing w:line="288" w:lineRule="auto"/>
              <w:jc w:val="center"/>
              <w:rPr>
                <w:bCs/>
                <w:color w:val="auto"/>
                <w:sz w:val="24"/>
                <w:highlight w:val="none"/>
              </w:rPr>
            </w:pPr>
          </w:p>
        </w:tc>
      </w:tr>
    </w:tbl>
    <w:p w14:paraId="1890AE07">
      <w:pPr>
        <w:snapToGrid w:val="0"/>
        <w:spacing w:line="360" w:lineRule="auto"/>
        <w:ind w:firstLine="482" w:firstLineChars="200"/>
        <w:rPr>
          <w:b/>
          <w:color w:val="auto"/>
          <w:sz w:val="24"/>
          <w:highlight w:val="none"/>
        </w:rPr>
      </w:pPr>
    </w:p>
    <w:p w14:paraId="01710DB3">
      <w:pPr>
        <w:spacing w:line="36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5.其他要求</w:t>
      </w:r>
    </w:p>
    <w:p w14:paraId="6927469E">
      <w:pPr>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5.1 在运维及管理期间，投标人应严格按照各级环保部门和采购人制订的操作规范和规章制度，对所管理的系统及仪器设备进行规范操作和精心维护及必要维修，保证系统及仪器设备的正常运行，达到采购人提出的系统及仪器设备考核指标要求。</w:t>
      </w:r>
    </w:p>
    <w:p w14:paraId="22CD1D41">
      <w:pPr>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5.2 承担运营维护服务单位需积极配合采购人，做好接受各级管理部门的检查、监督工作；协助其他服务单位开展工作；</w:t>
      </w:r>
    </w:p>
    <w:p w14:paraId="31E7FD3D">
      <w:pPr>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5.3 投标人负责森林碳通量监测系统运营及管理期间的各项费用预算开支，包括系统运行维护的备件、耗材、标气、人工、分析报告、平台维护、水电、网络及其安全相关、站房防雷检测设备、维修维护所需配件、工具、车辆和人员工资等相关费用。</w:t>
      </w:r>
    </w:p>
    <w:p w14:paraId="2BEAD099">
      <w:pPr>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5.4 中标人需对所有监测数据及相关信息资料保密，未经采购人书面许可不得以任何方式公开展示、发表或透露给第三方。参与本项目服务的中标人及所有人员，对工作中所涉的数据、资料及文件等负有保密义务，任何情况不得向第三方泄露。如存在上述情况</w:t>
      </w:r>
      <w:r>
        <w:rPr>
          <w:rFonts w:ascii="宋体" w:hAnsi="宋体" w:cs="宋体"/>
          <w:bCs/>
          <w:color w:val="auto"/>
          <w:sz w:val="24"/>
          <w:highlight w:val="none"/>
        </w:rPr>
        <w:t>，采购人有权终止合同，并要求中标方承担相应违约责任，并支付违约金，违约金最高限价为合同金额的</w:t>
      </w:r>
      <w:r>
        <w:rPr>
          <w:bCs/>
          <w:color w:val="auto"/>
          <w:sz w:val="24"/>
          <w:highlight w:val="none"/>
        </w:rPr>
        <w:t>20%</w:t>
      </w:r>
      <w:r>
        <w:rPr>
          <w:rFonts w:ascii="宋体" w:hAnsi="宋体" w:cs="宋体"/>
          <w:bCs/>
          <w:color w:val="auto"/>
          <w:sz w:val="24"/>
          <w:highlight w:val="none"/>
        </w:rPr>
        <w:t>。本保密义务不因本项目合同期满、解除或终止而终止，除非采购人书面通知投标人解密，否则，投标人在合同终止后仍然负有保密义务。</w:t>
      </w:r>
    </w:p>
    <w:p w14:paraId="6A514357">
      <w:pPr>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5.5 委托运营维护及管理的全部资产（包括全部产权和建筑物、设备、软件、配套设施、传感器和配套监控系统产生的各类数据信息及相关文档资料）属采购人所有。未经采购人同意，中标人不得以任何方式对各类财产进行出售、抵押或转移；在委托运营及管理期间，投标人有责任保证上述全部资产的完整、安全并处于良好状态。</w:t>
      </w:r>
    </w:p>
    <w:p w14:paraId="4A913E91">
      <w:pPr>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5.6 本项目涉及设备、铁塔的运维作业，由于作业环境主要位于野外高塔，维护场景复杂，受自然环境影响较大，可能造成铁塔物理性破坏、环境条件恶劣等问题，影响人员安全。人员执行施工、运维等工作期间，必须严格遵守中华人民共和国《安全法》等相关规定，按照操作规程作业，特殊工种必须持证上岗，并配备足够的应急措施。投标人对后续作业过程负全责，对从业人员定期开展安全教育培训，做好运维期间的防范措施，购买高空作业人身意外险等与作业内容相关的保险，如人员出现意外事故伤害（如触电、高空作业坠落等）均由投标人负责。</w:t>
      </w:r>
    </w:p>
    <w:p w14:paraId="411A11F9">
      <w:pPr>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5.7 在运维及管理期间，不能将合同规定的运行维护任务主体任务外包。</w:t>
      </w:r>
    </w:p>
    <w:p w14:paraId="20305A5F">
      <w:pPr>
        <w:rPr>
          <w:bCs/>
          <w:color w:val="auto"/>
          <w:sz w:val="24"/>
          <w:highlight w:val="none"/>
        </w:rPr>
      </w:pPr>
    </w:p>
    <w:p w14:paraId="7A07AAFA">
      <w:pPr>
        <w:spacing w:line="360" w:lineRule="auto"/>
        <w:jc w:val="left"/>
        <w:rPr>
          <w:rFonts w:hint="eastAsia" w:ascii="宋体" w:hAnsi="宋体" w:cs="宋体"/>
          <w:b/>
          <w:color w:val="auto"/>
          <w:sz w:val="24"/>
          <w:highlight w:val="none"/>
        </w:rPr>
      </w:pPr>
      <w:r>
        <w:rPr>
          <w:rFonts w:hint="eastAsia" w:ascii="宋体" w:hAnsi="宋体" w:cs="宋体"/>
          <w:b/>
          <w:color w:val="auto"/>
          <w:sz w:val="24"/>
          <w:highlight w:val="none"/>
        </w:rPr>
        <w:t>（三）付款方式</w:t>
      </w:r>
    </w:p>
    <w:p w14:paraId="13372911">
      <w:pPr>
        <w:spacing w:line="360" w:lineRule="auto"/>
        <w:ind w:firstLine="480" w:firstLineChars="200"/>
        <w:jc w:val="left"/>
        <w:rPr>
          <w:rFonts w:hint="eastAsia" w:ascii="宋体" w:hAnsi="宋体" w:cs="宋体"/>
          <w:b/>
          <w:color w:val="auto"/>
          <w:sz w:val="24"/>
          <w:highlight w:val="none"/>
        </w:rPr>
      </w:pPr>
      <w:r>
        <w:rPr>
          <w:color w:val="auto"/>
          <w:sz w:val="24"/>
          <w:highlight w:val="none"/>
        </w:rPr>
        <w:t>分阶段支付，合同签订且财政资金到位后5个工作日内，甲方凭乙方开具的正规发票向乙方支付合同金额的50 %作为预付款；项目考核合格后（凭正规发票）向乙方支付合同金额的剩余50 %。</w:t>
      </w:r>
    </w:p>
    <w:p w14:paraId="462F288C">
      <w:pPr>
        <w:rPr>
          <w:bCs/>
          <w:color w:val="auto"/>
          <w:sz w:val="24"/>
          <w:highlight w:val="none"/>
        </w:rPr>
      </w:pPr>
      <w:r>
        <w:rPr>
          <w:bCs/>
          <w:color w:val="auto"/>
          <w:sz w:val="24"/>
          <w:highlight w:val="none"/>
        </w:rPr>
        <w:br w:type="page"/>
      </w:r>
    </w:p>
    <w:p w14:paraId="1A33659E">
      <w:pPr>
        <w:snapToGrid w:val="0"/>
        <w:spacing w:line="360" w:lineRule="auto"/>
        <w:rPr>
          <w:b/>
          <w:color w:val="auto"/>
          <w:sz w:val="28"/>
          <w:highlight w:val="none"/>
        </w:rPr>
      </w:pPr>
      <w:r>
        <w:rPr>
          <w:rFonts w:hint="eastAsia"/>
          <w:b/>
          <w:color w:val="auto"/>
          <w:sz w:val="28"/>
          <w:highlight w:val="none"/>
        </w:rPr>
        <w:t>标项二：杭州市碳排放反演与通量核算项目</w:t>
      </w:r>
      <w:r>
        <w:rPr>
          <w:b/>
          <w:color w:val="auto"/>
          <w:sz w:val="28"/>
          <w:highlight w:val="none"/>
        </w:rPr>
        <w:t>采购需求</w:t>
      </w:r>
    </w:p>
    <w:p w14:paraId="40CE214F">
      <w:pPr>
        <w:widowControl/>
        <w:autoSpaceDE w:val="0"/>
        <w:autoSpaceDN w:val="0"/>
        <w:spacing w:line="360" w:lineRule="auto"/>
        <w:textAlignment w:val="bottom"/>
        <w:rPr>
          <w:b/>
          <w:color w:val="auto"/>
          <w:sz w:val="24"/>
          <w:highlight w:val="none"/>
        </w:rPr>
      </w:pPr>
      <w:r>
        <w:rPr>
          <w:rFonts w:hint="eastAsia"/>
          <w:b/>
          <w:color w:val="auto"/>
          <w:sz w:val="24"/>
          <w:highlight w:val="none"/>
        </w:rPr>
        <w:t>一、项目概述</w:t>
      </w:r>
    </w:p>
    <w:p w14:paraId="3EE0B568">
      <w:pPr>
        <w:spacing w:line="360" w:lineRule="auto"/>
        <w:ind w:firstLine="480" w:firstLineChars="200"/>
        <w:rPr>
          <w:color w:val="auto"/>
          <w:sz w:val="24"/>
          <w:highlight w:val="none"/>
        </w:rPr>
      </w:pPr>
      <w:r>
        <w:rPr>
          <w:color w:val="auto"/>
          <w:sz w:val="24"/>
          <w:highlight w:val="none"/>
        </w:rPr>
        <w:t>根据生态环境部下发的《碳监测评估试点工作方案》、《深化碳监测评估试点工作方案》以及《杭州市碳达峰试点城市实施方案》等文件的要求，利用CO</w:t>
      </w:r>
      <w:r>
        <w:rPr>
          <w:color w:val="auto"/>
          <w:sz w:val="24"/>
          <w:highlight w:val="none"/>
          <w:vertAlign w:val="subscript"/>
        </w:rPr>
        <w:t>2</w:t>
      </w:r>
      <w:r>
        <w:rPr>
          <w:color w:val="auto"/>
          <w:sz w:val="24"/>
          <w:highlight w:val="none"/>
        </w:rPr>
        <w:t>和CH</w:t>
      </w:r>
      <w:r>
        <w:rPr>
          <w:color w:val="auto"/>
          <w:sz w:val="24"/>
          <w:highlight w:val="none"/>
          <w:vertAlign w:val="subscript"/>
        </w:rPr>
        <w:t>4</w:t>
      </w:r>
      <w:r>
        <w:rPr>
          <w:color w:val="auto"/>
          <w:sz w:val="24"/>
          <w:highlight w:val="none"/>
        </w:rPr>
        <w:t>观测数据，分析区域碳浓度分布和传输特征，结合温室气体同化反演核算方法，开展碳同化反演分析工作。本项目主要针对杭州市CO</w:t>
      </w:r>
      <w:r>
        <w:rPr>
          <w:color w:val="auto"/>
          <w:sz w:val="24"/>
          <w:highlight w:val="none"/>
          <w:vertAlign w:val="subscript"/>
        </w:rPr>
        <w:t>2</w:t>
      </w:r>
      <w:r>
        <w:rPr>
          <w:color w:val="auto"/>
          <w:sz w:val="24"/>
          <w:highlight w:val="none"/>
        </w:rPr>
        <w:t>、CH</w:t>
      </w:r>
      <w:r>
        <w:rPr>
          <w:color w:val="auto"/>
          <w:sz w:val="24"/>
          <w:highlight w:val="none"/>
          <w:vertAlign w:val="subscript"/>
        </w:rPr>
        <w:t>4</w:t>
      </w:r>
      <w:r>
        <w:rPr>
          <w:color w:val="auto"/>
          <w:sz w:val="24"/>
          <w:highlight w:val="none"/>
        </w:rPr>
        <w:t>监测数据分析及排放反演评估服务进行招标</w:t>
      </w:r>
      <w:r>
        <w:rPr>
          <w:rFonts w:hint="eastAsia" w:ascii="宋体" w:hAnsi="宋体" w:cs="宋体"/>
          <w:color w:val="auto"/>
          <w:sz w:val="24"/>
          <w:highlight w:val="none"/>
        </w:rPr>
        <w:t>。</w:t>
      </w:r>
    </w:p>
    <w:p w14:paraId="4D9C2B3A">
      <w:pPr>
        <w:widowControl/>
        <w:autoSpaceDE w:val="0"/>
        <w:autoSpaceDN w:val="0"/>
        <w:spacing w:line="360" w:lineRule="auto"/>
        <w:textAlignment w:val="bottom"/>
        <w:rPr>
          <w:b/>
          <w:color w:val="auto"/>
          <w:sz w:val="24"/>
          <w:highlight w:val="none"/>
        </w:rPr>
      </w:pPr>
      <w:r>
        <w:rPr>
          <w:rFonts w:hint="eastAsia"/>
          <w:b/>
          <w:color w:val="auto"/>
          <w:sz w:val="24"/>
          <w:highlight w:val="none"/>
        </w:rPr>
        <w:t>二、服务内容</w:t>
      </w:r>
    </w:p>
    <w:p w14:paraId="7B331EBE">
      <w:pPr>
        <w:spacing w:line="360" w:lineRule="auto"/>
        <w:ind w:firstLine="480" w:firstLineChars="200"/>
        <w:rPr>
          <w:color w:val="auto"/>
          <w:sz w:val="24"/>
          <w:highlight w:val="none"/>
        </w:rPr>
      </w:pPr>
      <w:r>
        <w:rPr>
          <w:rFonts w:hint="eastAsia"/>
          <w:color w:val="auto"/>
          <w:sz w:val="24"/>
          <w:highlight w:val="none"/>
        </w:rPr>
        <w:t>利用杭州市高精度地面温室气体观测数据，基于全球及区域同化算法、数值模型等手段，定期开展杭州市温室气体（CO</w:t>
      </w:r>
      <w:r>
        <w:rPr>
          <w:rFonts w:hint="eastAsia"/>
          <w:color w:val="auto"/>
          <w:sz w:val="24"/>
          <w:highlight w:val="none"/>
          <w:vertAlign w:val="subscript"/>
        </w:rPr>
        <w:t>2</w:t>
      </w:r>
      <w:r>
        <w:rPr>
          <w:rFonts w:hint="eastAsia"/>
          <w:color w:val="auto"/>
          <w:sz w:val="24"/>
          <w:highlight w:val="none"/>
        </w:rPr>
        <w:t>、CH</w:t>
      </w:r>
      <w:r>
        <w:rPr>
          <w:rFonts w:hint="eastAsia"/>
          <w:color w:val="auto"/>
          <w:sz w:val="24"/>
          <w:highlight w:val="none"/>
          <w:vertAlign w:val="subscript"/>
        </w:rPr>
        <w:t>4</w:t>
      </w:r>
      <w:r>
        <w:rPr>
          <w:rFonts w:hint="eastAsia"/>
          <w:color w:val="auto"/>
          <w:sz w:val="24"/>
          <w:highlight w:val="none"/>
        </w:rPr>
        <w:t>）融合分析及同化反演评估工作，</w:t>
      </w:r>
      <w:bookmarkStart w:id="37" w:name="_Hlk201150689"/>
      <w:r>
        <w:rPr>
          <w:rFonts w:hint="eastAsia"/>
          <w:color w:val="auto"/>
          <w:sz w:val="24"/>
          <w:highlight w:val="none"/>
        </w:rPr>
        <w:t>数据时段范围为2025年</w:t>
      </w:r>
      <w:r>
        <w:rPr>
          <w:color w:val="auto"/>
          <w:sz w:val="24"/>
          <w:highlight w:val="none"/>
        </w:rPr>
        <w:t>1</w:t>
      </w:r>
      <w:r>
        <w:rPr>
          <w:rFonts w:hint="eastAsia"/>
          <w:color w:val="auto"/>
          <w:sz w:val="24"/>
          <w:highlight w:val="none"/>
        </w:rPr>
        <w:t>月1日至</w:t>
      </w:r>
      <w:r>
        <w:rPr>
          <w:color w:val="auto"/>
          <w:sz w:val="24"/>
          <w:highlight w:val="none"/>
        </w:rPr>
        <w:t>11月30日</w:t>
      </w:r>
      <w:bookmarkEnd w:id="37"/>
      <w:r>
        <w:rPr>
          <w:rFonts w:hint="eastAsia"/>
          <w:color w:val="auto"/>
          <w:sz w:val="24"/>
          <w:highlight w:val="none"/>
        </w:rPr>
        <w:t>。具体内容如下：</w:t>
      </w:r>
    </w:p>
    <w:p w14:paraId="732F5495">
      <w:pPr>
        <w:spacing w:line="360" w:lineRule="auto"/>
        <w:ind w:firstLine="480" w:firstLineChars="200"/>
        <w:rPr>
          <w:color w:val="auto"/>
          <w:sz w:val="24"/>
          <w:highlight w:val="none"/>
        </w:rPr>
      </w:pPr>
      <w:r>
        <w:rPr>
          <w:rFonts w:hint="eastAsia"/>
          <w:color w:val="auto"/>
          <w:sz w:val="24"/>
          <w:highlight w:val="none"/>
        </w:rPr>
        <w:t>（1）收集及</w:t>
      </w:r>
      <w:r>
        <w:rPr>
          <w:rFonts w:hint="eastAsia" w:ascii="宋体" w:hAnsi="宋体" w:cs="宋体"/>
          <w:color w:val="auto"/>
          <w:sz w:val="24"/>
          <w:highlight w:val="none"/>
        </w:rPr>
        <w:t>解析</w:t>
      </w:r>
      <w:r>
        <w:rPr>
          <w:rFonts w:hint="eastAsia"/>
          <w:color w:val="auto"/>
          <w:sz w:val="24"/>
          <w:highlight w:val="none"/>
        </w:rPr>
        <w:t>杭州市高精度温室气体观测数据和卫星监测数据（卫星数据由中标方提供，每月提供1到10条杭州</w:t>
      </w:r>
      <w:r>
        <w:rPr>
          <w:color w:val="auto"/>
          <w:sz w:val="24"/>
          <w:highlight w:val="none"/>
        </w:rPr>
        <w:t>数据</w:t>
      </w:r>
      <w:r>
        <w:rPr>
          <w:rFonts w:hint="eastAsia"/>
          <w:color w:val="auto"/>
          <w:sz w:val="24"/>
          <w:highlight w:val="none"/>
        </w:rPr>
        <w:t>），开展温室气体监测数据分析，从监测层面直观了解区域温室气体时空变化特征；</w:t>
      </w:r>
    </w:p>
    <w:p w14:paraId="79CCD82E">
      <w:pPr>
        <w:spacing w:line="360" w:lineRule="auto"/>
        <w:ind w:firstLine="480" w:firstLineChars="200"/>
        <w:rPr>
          <w:color w:val="auto"/>
          <w:sz w:val="24"/>
          <w:highlight w:val="none"/>
        </w:rPr>
      </w:pPr>
      <w:r>
        <w:rPr>
          <w:rFonts w:hint="eastAsia"/>
          <w:color w:val="auto"/>
          <w:sz w:val="24"/>
          <w:highlight w:val="none"/>
        </w:rPr>
        <w:t>（2）依托杭州市温室气体排放清单报告，结合相关空间数据，完成高分辨率温室气体排放清单编制，体现区域温室气体空间分布特征，为后续反演提供低不确定性先验清单；</w:t>
      </w:r>
    </w:p>
    <w:p w14:paraId="428E46E2">
      <w:pPr>
        <w:spacing w:line="360" w:lineRule="auto"/>
        <w:ind w:firstLine="480" w:firstLineChars="200"/>
        <w:rPr>
          <w:color w:val="auto"/>
          <w:sz w:val="24"/>
          <w:highlight w:val="none"/>
        </w:rPr>
      </w:pPr>
      <w:r>
        <w:rPr>
          <w:rFonts w:hint="eastAsia"/>
          <w:color w:val="auto"/>
          <w:sz w:val="24"/>
          <w:highlight w:val="none"/>
        </w:rPr>
        <w:t>（3）为确保碳排放反演工作的准确性与时效性，及时对基准清单进行更新，优先选用最新的排放清单作为先验清单。</w:t>
      </w:r>
    </w:p>
    <w:p w14:paraId="674234C6">
      <w:pPr>
        <w:spacing w:line="360" w:lineRule="auto"/>
        <w:ind w:firstLine="480" w:firstLineChars="200"/>
        <w:rPr>
          <w:color w:val="auto"/>
          <w:sz w:val="24"/>
          <w:highlight w:val="none"/>
        </w:rPr>
      </w:pPr>
      <w:r>
        <w:rPr>
          <w:rFonts w:hint="eastAsia"/>
          <w:color w:val="auto"/>
          <w:sz w:val="24"/>
          <w:highlight w:val="none"/>
        </w:rPr>
        <w:t>（4）基于温室气体观测数据、温室气体先验清单，构建区域碳同化反演模型，定期（月度/年度）开展杭州市及区县市CO</w:t>
      </w:r>
      <w:r>
        <w:rPr>
          <w:rFonts w:hint="eastAsia"/>
          <w:color w:val="auto"/>
          <w:sz w:val="24"/>
          <w:highlight w:val="none"/>
          <w:vertAlign w:val="subscript"/>
        </w:rPr>
        <w:t>2</w:t>
      </w:r>
      <w:r>
        <w:rPr>
          <w:rFonts w:hint="eastAsia"/>
          <w:color w:val="auto"/>
          <w:sz w:val="24"/>
          <w:highlight w:val="none"/>
        </w:rPr>
        <w:t>、CH</w:t>
      </w:r>
      <w:r>
        <w:rPr>
          <w:rFonts w:hint="eastAsia"/>
          <w:color w:val="auto"/>
          <w:sz w:val="24"/>
          <w:highlight w:val="none"/>
          <w:vertAlign w:val="subscript"/>
        </w:rPr>
        <w:t>4</w:t>
      </w:r>
      <w:r>
        <w:rPr>
          <w:rFonts w:hint="eastAsia"/>
          <w:color w:val="auto"/>
          <w:sz w:val="24"/>
          <w:highlight w:val="none"/>
        </w:rPr>
        <w:t>同化反演核算及校验评估，编制监测及反演分析报告。</w:t>
      </w:r>
    </w:p>
    <w:p w14:paraId="71EF869D">
      <w:pPr>
        <w:widowControl/>
        <w:autoSpaceDE w:val="0"/>
        <w:autoSpaceDN w:val="0"/>
        <w:spacing w:line="360" w:lineRule="auto"/>
        <w:textAlignment w:val="bottom"/>
        <w:rPr>
          <w:b/>
          <w:color w:val="auto"/>
          <w:sz w:val="24"/>
          <w:highlight w:val="none"/>
        </w:rPr>
      </w:pPr>
      <w:r>
        <w:rPr>
          <w:rFonts w:hint="eastAsia"/>
          <w:b/>
          <w:color w:val="auto"/>
          <w:sz w:val="24"/>
          <w:highlight w:val="none"/>
        </w:rPr>
        <w:t>三、技术要求</w:t>
      </w:r>
    </w:p>
    <w:p w14:paraId="0D0C2A74">
      <w:pPr>
        <w:spacing w:line="360" w:lineRule="auto"/>
        <w:ind w:firstLine="482" w:firstLineChars="200"/>
        <w:rPr>
          <w:b/>
          <w:bCs/>
          <w:color w:val="auto"/>
          <w:sz w:val="24"/>
          <w:highlight w:val="none"/>
        </w:rPr>
      </w:pPr>
      <w:r>
        <w:rPr>
          <w:rFonts w:hint="eastAsia"/>
          <w:b/>
          <w:bCs/>
          <w:color w:val="auto"/>
          <w:sz w:val="24"/>
          <w:highlight w:val="none"/>
        </w:rPr>
        <w:t>（一）温室气体监测数据分析要求</w:t>
      </w:r>
    </w:p>
    <w:p w14:paraId="26C54988">
      <w:pPr>
        <w:spacing w:line="360" w:lineRule="auto"/>
        <w:ind w:firstLine="480" w:firstLineChars="200"/>
        <w:rPr>
          <w:color w:val="auto"/>
          <w:sz w:val="24"/>
          <w:highlight w:val="none"/>
        </w:rPr>
      </w:pPr>
      <w:r>
        <w:rPr>
          <w:color w:val="auto"/>
          <w:sz w:val="24"/>
          <w:highlight w:val="none"/>
        </w:rPr>
        <w:t>对杭州市温室气体站点监测数据、气象监测数据进行综合评估分析，具体要求如下：</w:t>
      </w:r>
    </w:p>
    <w:p w14:paraId="79A2B261">
      <w:pPr>
        <w:spacing w:line="360" w:lineRule="auto"/>
        <w:ind w:firstLine="480" w:firstLineChars="200"/>
        <w:rPr>
          <w:color w:val="auto"/>
          <w:sz w:val="24"/>
          <w:highlight w:val="none"/>
        </w:rPr>
      </w:pPr>
      <w:r>
        <w:rPr>
          <w:color w:val="auto"/>
          <w:sz w:val="24"/>
          <w:highlight w:val="none"/>
        </w:rPr>
        <w:t>（1）站点监测数据分析：结合站点在线监测数据，分析杭州市温室气体的浓度特征和时空变化规律，包括日变化、月变化、季节变化和年变化</w:t>
      </w:r>
      <w:r>
        <w:rPr>
          <w:rFonts w:hint="eastAsia"/>
          <w:color w:val="auto"/>
          <w:sz w:val="24"/>
          <w:highlight w:val="none"/>
        </w:rPr>
        <w:t>等</w:t>
      </w:r>
      <w:r>
        <w:rPr>
          <w:color w:val="auto"/>
          <w:sz w:val="24"/>
          <w:highlight w:val="none"/>
        </w:rPr>
        <w:t>；</w:t>
      </w:r>
    </w:p>
    <w:p w14:paraId="71A23A7B">
      <w:pPr>
        <w:spacing w:line="360" w:lineRule="auto"/>
        <w:ind w:firstLine="480" w:firstLineChars="200"/>
        <w:rPr>
          <w:color w:val="auto"/>
          <w:sz w:val="24"/>
          <w:highlight w:val="none"/>
        </w:rPr>
      </w:pPr>
      <w:r>
        <w:rPr>
          <w:color w:val="auto"/>
          <w:sz w:val="24"/>
          <w:highlight w:val="none"/>
        </w:rPr>
        <w:t>（2）气象因子关联综合分析：基于温室气体监测及气象监测数据，开展风向和潜在排放源方位与不同高度CO</w:t>
      </w:r>
      <w:r>
        <w:rPr>
          <w:color w:val="auto"/>
          <w:sz w:val="24"/>
          <w:highlight w:val="none"/>
          <w:vertAlign w:val="subscript"/>
        </w:rPr>
        <w:t>2</w:t>
      </w:r>
      <w:r>
        <w:rPr>
          <w:color w:val="auto"/>
          <w:sz w:val="24"/>
          <w:highlight w:val="none"/>
        </w:rPr>
        <w:t>和CH</w:t>
      </w:r>
      <w:r>
        <w:rPr>
          <w:color w:val="auto"/>
          <w:sz w:val="24"/>
          <w:highlight w:val="none"/>
          <w:vertAlign w:val="subscript"/>
        </w:rPr>
        <w:t>4</w:t>
      </w:r>
      <w:r>
        <w:rPr>
          <w:color w:val="auto"/>
          <w:sz w:val="24"/>
          <w:highlight w:val="none"/>
        </w:rPr>
        <w:t>浓度分析；</w:t>
      </w:r>
    </w:p>
    <w:p w14:paraId="77AA7BA3">
      <w:pPr>
        <w:spacing w:line="360" w:lineRule="auto"/>
        <w:ind w:firstLine="480" w:firstLineChars="200"/>
        <w:rPr>
          <w:color w:val="auto"/>
          <w:sz w:val="24"/>
          <w:highlight w:val="none"/>
        </w:rPr>
      </w:pPr>
      <w:r>
        <w:rPr>
          <w:color w:val="auto"/>
          <w:sz w:val="24"/>
          <w:highlight w:val="none"/>
        </w:rPr>
        <w:t>（3）大气环境污染物关联综合分析：深度结合大气环境中SO</w:t>
      </w:r>
      <w:r>
        <w:rPr>
          <w:color w:val="auto"/>
          <w:sz w:val="24"/>
          <w:highlight w:val="none"/>
          <w:vertAlign w:val="subscript"/>
        </w:rPr>
        <w:t>2</w:t>
      </w:r>
      <w:r>
        <w:rPr>
          <w:color w:val="auto"/>
          <w:sz w:val="24"/>
          <w:highlight w:val="none"/>
        </w:rPr>
        <w:t>、NOx、颗粒物等常规监测污染物的浓度数据、时空分布特征等信息，运用先进的数据分析与模型构建手段，系统性地开展碳污同源的深入剖析工作,为大气环境的协同治理和精准管控提供坚实的数据支撑与科学依据。</w:t>
      </w:r>
    </w:p>
    <w:p w14:paraId="62561F43">
      <w:pPr>
        <w:spacing w:line="360" w:lineRule="auto"/>
        <w:ind w:firstLine="482" w:firstLineChars="200"/>
        <w:rPr>
          <w:b/>
          <w:bCs/>
          <w:color w:val="auto"/>
          <w:sz w:val="24"/>
          <w:highlight w:val="none"/>
        </w:rPr>
      </w:pPr>
      <w:r>
        <w:rPr>
          <w:b/>
          <w:bCs/>
          <w:color w:val="auto"/>
          <w:sz w:val="24"/>
          <w:highlight w:val="none"/>
        </w:rPr>
        <w:t>（二）高分辨率温室气体排放清单编制要求</w:t>
      </w:r>
    </w:p>
    <w:p w14:paraId="1CFA41B5">
      <w:pPr>
        <w:spacing w:line="360" w:lineRule="auto"/>
        <w:ind w:firstLine="480" w:firstLineChars="200"/>
        <w:rPr>
          <w:color w:val="auto"/>
          <w:sz w:val="24"/>
          <w:highlight w:val="none"/>
        </w:rPr>
      </w:pPr>
      <w:r>
        <w:rPr>
          <w:color w:val="auto"/>
          <w:sz w:val="24"/>
          <w:highlight w:val="none"/>
        </w:rPr>
        <w:t>高分辨率温室气体排放清单的编制需要结合本地化温室气体排放清单报告和空间代理数据，实现排放量的空间分配。具体技术要求如下：</w:t>
      </w:r>
    </w:p>
    <w:p w14:paraId="47B7739A">
      <w:pPr>
        <w:spacing w:line="360" w:lineRule="auto"/>
        <w:ind w:firstLine="480" w:firstLineChars="200"/>
        <w:rPr>
          <w:color w:val="auto"/>
          <w:sz w:val="24"/>
          <w:highlight w:val="none"/>
        </w:rPr>
      </w:pPr>
      <w:r>
        <w:rPr>
          <w:color w:val="auto"/>
          <w:sz w:val="24"/>
          <w:highlight w:val="none"/>
        </w:rPr>
        <w:t>（1）高分辨率排放清单需要根据项目需求完成至少包括CO</w:t>
      </w:r>
      <w:r>
        <w:rPr>
          <w:color w:val="auto"/>
          <w:sz w:val="24"/>
          <w:highlight w:val="none"/>
          <w:vertAlign w:val="subscript"/>
        </w:rPr>
        <w:t>2</w:t>
      </w:r>
      <w:r>
        <w:rPr>
          <w:color w:val="auto"/>
          <w:sz w:val="24"/>
          <w:highlight w:val="none"/>
        </w:rPr>
        <w:t>、CH</w:t>
      </w:r>
      <w:r>
        <w:rPr>
          <w:color w:val="auto"/>
          <w:sz w:val="24"/>
          <w:highlight w:val="none"/>
          <w:vertAlign w:val="subscript"/>
        </w:rPr>
        <w:t>4</w:t>
      </w:r>
      <w:r>
        <w:rPr>
          <w:color w:val="auto"/>
          <w:sz w:val="24"/>
          <w:highlight w:val="none"/>
        </w:rPr>
        <w:t>等温室气体的清单编制工作，需要覆盖杭州市全境包括下辖各县市，空间分辨率为1 km；</w:t>
      </w:r>
    </w:p>
    <w:p w14:paraId="63DAB349">
      <w:pPr>
        <w:spacing w:line="360" w:lineRule="auto"/>
        <w:ind w:firstLine="480" w:firstLineChars="200"/>
        <w:rPr>
          <w:color w:val="auto"/>
          <w:sz w:val="24"/>
          <w:highlight w:val="none"/>
        </w:rPr>
      </w:pPr>
      <w:r>
        <w:rPr>
          <w:color w:val="auto"/>
          <w:sz w:val="24"/>
          <w:highlight w:val="none"/>
        </w:rPr>
        <w:t>（2）高分辨率排放清单</w:t>
      </w:r>
      <w:r>
        <w:rPr>
          <w:rFonts w:hint="eastAsia"/>
          <w:color w:val="auto"/>
          <w:sz w:val="24"/>
          <w:highlight w:val="none"/>
        </w:rPr>
        <w:t>需</w:t>
      </w:r>
      <w:r>
        <w:rPr>
          <w:color w:val="auto"/>
          <w:sz w:val="24"/>
          <w:highlight w:val="none"/>
        </w:rPr>
        <w:t>包括各子部门的排放清单，以及整合所有子清单的总清单；</w:t>
      </w:r>
    </w:p>
    <w:p w14:paraId="581CD747">
      <w:pPr>
        <w:spacing w:line="360" w:lineRule="auto"/>
        <w:ind w:firstLine="480" w:firstLineChars="200"/>
        <w:rPr>
          <w:color w:val="auto"/>
          <w:sz w:val="24"/>
          <w:highlight w:val="none"/>
        </w:rPr>
      </w:pPr>
      <w:r>
        <w:rPr>
          <w:color w:val="auto"/>
          <w:sz w:val="24"/>
          <w:highlight w:val="none"/>
        </w:rPr>
        <w:t>（3）高分辨率排放清单</w:t>
      </w:r>
      <w:r>
        <w:rPr>
          <w:rFonts w:hint="eastAsia"/>
          <w:color w:val="auto"/>
          <w:sz w:val="24"/>
          <w:highlight w:val="none"/>
        </w:rPr>
        <w:t>需</w:t>
      </w:r>
      <w:r>
        <w:rPr>
          <w:color w:val="auto"/>
          <w:sz w:val="24"/>
          <w:highlight w:val="none"/>
        </w:rPr>
        <w:t>能根据需求提供下辖各行政区划的排放子清单。</w:t>
      </w:r>
    </w:p>
    <w:p w14:paraId="657B9DE0">
      <w:pPr>
        <w:spacing w:line="360" w:lineRule="auto"/>
        <w:ind w:firstLine="482" w:firstLineChars="200"/>
        <w:rPr>
          <w:b/>
          <w:bCs/>
          <w:color w:val="auto"/>
          <w:sz w:val="24"/>
          <w:highlight w:val="none"/>
        </w:rPr>
      </w:pPr>
      <w:r>
        <w:rPr>
          <w:rFonts w:hint="eastAsia"/>
          <w:b/>
          <w:bCs/>
          <w:color w:val="auto"/>
          <w:sz w:val="24"/>
          <w:highlight w:val="none"/>
        </w:rPr>
        <w:t>（三）同化反演模型算法要求</w:t>
      </w:r>
    </w:p>
    <w:p w14:paraId="52648778">
      <w:pPr>
        <w:spacing w:line="360" w:lineRule="auto"/>
        <w:ind w:firstLine="480" w:firstLineChars="200"/>
        <w:rPr>
          <w:color w:val="auto"/>
          <w:sz w:val="24"/>
          <w:highlight w:val="none"/>
        </w:rPr>
      </w:pPr>
      <w:r>
        <w:rPr>
          <w:rFonts w:hint="eastAsia" w:ascii="宋体" w:hAnsi="宋体" w:cs="宋体"/>
          <w:color w:val="auto"/>
          <w:sz w:val="24"/>
          <w:highlight w:val="none"/>
        </w:rPr>
        <w:t>1、数</w:t>
      </w:r>
      <w:r>
        <w:rPr>
          <w:color w:val="auto"/>
          <w:sz w:val="24"/>
          <w:highlight w:val="none"/>
        </w:rPr>
        <w:t>值模型要求</w:t>
      </w:r>
    </w:p>
    <w:p w14:paraId="75ADF26A">
      <w:pPr>
        <w:spacing w:line="360" w:lineRule="auto"/>
        <w:ind w:firstLine="480" w:firstLineChars="200"/>
        <w:rPr>
          <w:color w:val="auto"/>
          <w:sz w:val="24"/>
          <w:highlight w:val="none"/>
        </w:rPr>
      </w:pPr>
      <w:r>
        <w:rPr>
          <w:color w:val="auto"/>
          <w:sz w:val="24"/>
          <w:highlight w:val="none"/>
        </w:rPr>
        <w:t>构建1套温室气体同化反应模型，制定杭州市本地化参数配置和运行方案，模型需采用WRF-Chem、WRF-CMAQ或WRF-GHG等先进气象-化学传输数值模型。具体技术指标如下：</w:t>
      </w:r>
    </w:p>
    <w:p w14:paraId="2D39B4F6">
      <w:pPr>
        <w:spacing w:line="360" w:lineRule="auto"/>
        <w:ind w:firstLine="480" w:firstLineChars="200"/>
        <w:rPr>
          <w:color w:val="auto"/>
          <w:sz w:val="24"/>
          <w:highlight w:val="none"/>
        </w:rPr>
      </w:pPr>
      <w:bookmarkStart w:id="38" w:name="_Hlk192754425"/>
      <w:r>
        <w:rPr>
          <w:color w:val="auto"/>
          <w:sz w:val="24"/>
          <w:highlight w:val="none"/>
        </w:rPr>
        <w:t>（1）主要数值模型应具有较</w:t>
      </w:r>
      <w:r>
        <w:rPr>
          <w:rFonts w:hint="eastAsia"/>
          <w:color w:val="auto"/>
          <w:sz w:val="24"/>
          <w:highlight w:val="none"/>
        </w:rPr>
        <w:t>新</w:t>
      </w:r>
      <w:r>
        <w:rPr>
          <w:color w:val="auto"/>
          <w:sz w:val="24"/>
          <w:highlight w:val="none"/>
        </w:rPr>
        <w:t>版本，如WRF模型版本不低于V3.9.1，从而</w:t>
      </w:r>
      <w:bookmarkEnd w:id="38"/>
      <w:r>
        <w:rPr>
          <w:color w:val="auto"/>
          <w:sz w:val="24"/>
          <w:highlight w:val="none"/>
        </w:rPr>
        <w:t>进一步为温室气体反演提供高精度模拟；</w:t>
      </w:r>
    </w:p>
    <w:p w14:paraId="19DFFCF0">
      <w:pPr>
        <w:spacing w:line="360" w:lineRule="auto"/>
        <w:ind w:firstLine="480" w:firstLineChars="200"/>
        <w:rPr>
          <w:color w:val="auto"/>
          <w:sz w:val="24"/>
          <w:highlight w:val="none"/>
        </w:rPr>
      </w:pPr>
      <w:r>
        <w:rPr>
          <w:color w:val="auto"/>
          <w:sz w:val="24"/>
          <w:highlight w:val="none"/>
        </w:rPr>
        <w:t>（2）气象传输模型需实现与同化模块的耦合，实现多维气象资料同化，为模型模拟提供更精准的气象驱动结果；</w:t>
      </w:r>
      <w:r>
        <w:rPr>
          <w:b/>
          <w:bCs/>
          <w:color w:val="auto"/>
          <w:sz w:val="24"/>
          <w:highlight w:val="none"/>
        </w:rPr>
        <w:t>（投标人需提供详细的气象同化方案）</w:t>
      </w:r>
    </w:p>
    <w:p w14:paraId="40F7462C">
      <w:pPr>
        <w:spacing w:line="360" w:lineRule="auto"/>
        <w:ind w:firstLine="480" w:firstLineChars="200"/>
        <w:rPr>
          <w:color w:val="auto"/>
          <w:sz w:val="24"/>
          <w:highlight w:val="none"/>
        </w:rPr>
      </w:pPr>
      <w:r>
        <w:rPr>
          <w:color w:val="auto"/>
          <w:sz w:val="24"/>
          <w:highlight w:val="none"/>
        </w:rPr>
        <w:t>（3）模型采用多层嵌套网格，其中杭州市区域内水平分辨率应不低于4km；垂直分层至少35层，近地面应进行垂直层加密，可实现风、温、湿、压等气象要素三维空间场模拟；</w:t>
      </w:r>
    </w:p>
    <w:p w14:paraId="694BEEA8">
      <w:pPr>
        <w:spacing w:line="360" w:lineRule="auto"/>
        <w:ind w:firstLine="480" w:firstLineChars="200"/>
        <w:rPr>
          <w:color w:val="auto"/>
          <w:sz w:val="24"/>
          <w:highlight w:val="none"/>
        </w:rPr>
      </w:pPr>
      <w:r>
        <w:rPr>
          <w:color w:val="auto"/>
          <w:sz w:val="24"/>
          <w:highlight w:val="none"/>
        </w:rPr>
        <w:t>（4）使用公开的高分辨率遥感地形地表覆盖数据（包括地形条件、城市分布情况、植被分布状况等），明确本地化参数方案，提高模式的模拟准确度。</w:t>
      </w:r>
    </w:p>
    <w:p w14:paraId="210F99B8">
      <w:pPr>
        <w:spacing w:line="360" w:lineRule="auto"/>
        <w:ind w:firstLine="480" w:firstLineChars="200"/>
        <w:rPr>
          <w:color w:val="auto"/>
          <w:sz w:val="24"/>
          <w:highlight w:val="none"/>
        </w:rPr>
      </w:pPr>
      <w:r>
        <w:rPr>
          <w:color w:val="auto"/>
          <w:sz w:val="24"/>
          <w:highlight w:val="none"/>
        </w:rPr>
        <w:t>2</w:t>
      </w:r>
      <w:r>
        <w:rPr>
          <w:rFonts w:hint="eastAsia"/>
          <w:color w:val="auto"/>
          <w:sz w:val="24"/>
          <w:highlight w:val="none"/>
        </w:rPr>
        <w:t>、</w:t>
      </w:r>
      <w:r>
        <w:rPr>
          <w:color w:val="auto"/>
          <w:sz w:val="24"/>
          <w:highlight w:val="none"/>
        </w:rPr>
        <w:t>温室气体同化反演要求</w:t>
      </w:r>
    </w:p>
    <w:p w14:paraId="6E88F6E4">
      <w:pPr>
        <w:spacing w:line="360" w:lineRule="auto"/>
        <w:ind w:firstLine="480" w:firstLineChars="200"/>
        <w:rPr>
          <w:color w:val="auto"/>
          <w:sz w:val="24"/>
          <w:highlight w:val="none"/>
        </w:rPr>
      </w:pPr>
      <w:r>
        <w:rPr>
          <w:color w:val="auto"/>
          <w:sz w:val="24"/>
          <w:highlight w:val="none"/>
        </w:rPr>
        <w:t>基于温室气体监测数据，采用同化反演模型，定期开展杭州市温室气体排放反演工作，支撑杭州市区域温室气体排放通量的校验和评估分析。具体技术指标如下：</w:t>
      </w:r>
    </w:p>
    <w:p w14:paraId="17747ADF">
      <w:pPr>
        <w:spacing w:line="360" w:lineRule="auto"/>
        <w:ind w:firstLine="480" w:firstLineChars="200"/>
        <w:rPr>
          <w:color w:val="auto"/>
          <w:sz w:val="24"/>
          <w:highlight w:val="none"/>
        </w:rPr>
      </w:pPr>
      <w:r>
        <w:rPr>
          <w:color w:val="auto"/>
          <w:sz w:val="24"/>
          <w:highlight w:val="none"/>
        </w:rPr>
        <w:t>（1）结合温室气体监测数据，对杭州市温室气体排放进行同化反演，反演至少包括CO</w:t>
      </w:r>
      <w:r>
        <w:rPr>
          <w:color w:val="auto"/>
          <w:sz w:val="24"/>
          <w:highlight w:val="none"/>
          <w:vertAlign w:val="subscript"/>
        </w:rPr>
        <w:t>2</w:t>
      </w:r>
      <w:r>
        <w:rPr>
          <w:color w:val="auto"/>
          <w:sz w:val="24"/>
          <w:highlight w:val="none"/>
        </w:rPr>
        <w:t>、CH</w:t>
      </w:r>
      <w:r>
        <w:rPr>
          <w:color w:val="auto"/>
          <w:sz w:val="24"/>
          <w:highlight w:val="none"/>
          <w:vertAlign w:val="subscript"/>
        </w:rPr>
        <w:t>4</w:t>
      </w:r>
      <w:r>
        <w:rPr>
          <w:color w:val="auto"/>
          <w:sz w:val="24"/>
          <w:highlight w:val="none"/>
        </w:rPr>
        <w:t>温室气体的地表人为源排放；（</w:t>
      </w:r>
      <w:r>
        <w:rPr>
          <w:b/>
          <w:color w:val="auto"/>
          <w:sz w:val="24"/>
          <w:highlight w:val="none"/>
        </w:rPr>
        <w:t>投标人需提供碳监测数据同化反演相关技术证明材料</w:t>
      </w:r>
      <w:r>
        <w:rPr>
          <w:color w:val="auto"/>
          <w:sz w:val="24"/>
          <w:highlight w:val="none"/>
        </w:rPr>
        <w:t>）</w:t>
      </w:r>
    </w:p>
    <w:p w14:paraId="6A9A822B">
      <w:pPr>
        <w:spacing w:line="360" w:lineRule="auto"/>
        <w:ind w:firstLine="480" w:firstLineChars="200"/>
        <w:rPr>
          <w:rFonts w:hint="eastAsia" w:eastAsia="宋体"/>
          <w:color w:val="auto"/>
          <w:sz w:val="24"/>
          <w:highlight w:val="none"/>
          <w:lang w:eastAsia="zh-CN"/>
        </w:rPr>
      </w:pPr>
      <w:r>
        <w:rPr>
          <w:color w:val="auto"/>
          <w:sz w:val="24"/>
          <w:highlight w:val="none"/>
        </w:rPr>
        <w:t>（2）反演模型需每月同化最新监测数据，输出优化后的温室气体地表人为源排放，并根据同化反演算法提供平均核矩阵（average kernel）、DOFS等结果，评估温室气体观测浓度对排放的约束能力，为多源观测对比评估、温室气体同化反演及通量评估分析做数据准备</w:t>
      </w:r>
      <w:r>
        <w:rPr>
          <w:rFonts w:hint="eastAsia"/>
          <w:color w:val="auto"/>
          <w:sz w:val="24"/>
          <w:highlight w:val="none"/>
          <w:lang w:eastAsia="zh-CN"/>
        </w:rPr>
        <w:t>。</w:t>
      </w:r>
    </w:p>
    <w:p w14:paraId="44809E90">
      <w:pPr>
        <w:widowControl/>
        <w:autoSpaceDE w:val="0"/>
        <w:autoSpaceDN w:val="0"/>
        <w:spacing w:line="360" w:lineRule="auto"/>
        <w:textAlignment w:val="bottom"/>
        <w:rPr>
          <w:b/>
          <w:color w:val="auto"/>
          <w:sz w:val="24"/>
          <w:highlight w:val="none"/>
        </w:rPr>
      </w:pPr>
      <w:r>
        <w:rPr>
          <w:rFonts w:hint="eastAsia"/>
          <w:b/>
          <w:color w:val="auto"/>
          <w:sz w:val="24"/>
          <w:highlight w:val="none"/>
        </w:rPr>
        <w:t>四、成果要求</w:t>
      </w:r>
    </w:p>
    <w:p w14:paraId="154FC638">
      <w:pPr>
        <w:spacing w:line="360" w:lineRule="auto"/>
        <w:ind w:firstLine="480" w:firstLineChars="200"/>
        <w:rPr>
          <w:rFonts w:hint="eastAsia" w:eastAsia="宋体"/>
          <w:color w:val="auto"/>
          <w:sz w:val="24"/>
          <w:highlight w:val="none"/>
          <w:lang w:eastAsia="zh-CN"/>
        </w:rPr>
      </w:pPr>
      <w:r>
        <w:rPr>
          <w:rFonts w:hint="eastAsia"/>
          <w:color w:val="auto"/>
          <w:sz w:val="24"/>
          <w:highlight w:val="none"/>
        </w:rPr>
        <w:t>每月20日前</w:t>
      </w:r>
      <w:r>
        <w:rPr>
          <w:color w:val="auto"/>
          <w:sz w:val="24"/>
          <w:highlight w:val="none"/>
        </w:rPr>
        <w:t>以月报形式递交《杭州市温室气体监测及同化反演结果分析报告》，报告内容至少包含</w:t>
      </w:r>
      <w:r>
        <w:rPr>
          <w:rFonts w:ascii="Cambria Math" w:hAnsi="Cambria Math" w:cs="Cambria Math"/>
          <w:color w:val="auto"/>
          <w:sz w:val="24"/>
          <w:highlight w:val="none"/>
        </w:rPr>
        <w:t>①</w:t>
      </w:r>
      <w:r>
        <w:rPr>
          <w:color w:val="auto"/>
          <w:sz w:val="24"/>
          <w:highlight w:val="none"/>
        </w:rPr>
        <w:t>温室气体监测数据时空分布特征；</w:t>
      </w:r>
      <w:r>
        <w:rPr>
          <w:rFonts w:ascii="Cambria Math" w:hAnsi="Cambria Math" w:cs="Cambria Math"/>
          <w:color w:val="auto"/>
          <w:sz w:val="24"/>
          <w:highlight w:val="none"/>
        </w:rPr>
        <w:t>②</w:t>
      </w:r>
      <w:r>
        <w:rPr>
          <w:color w:val="auto"/>
          <w:sz w:val="24"/>
          <w:highlight w:val="none"/>
        </w:rPr>
        <w:t>温室气体与常规污染的关联分析；</w:t>
      </w:r>
      <w:r>
        <w:rPr>
          <w:rFonts w:ascii="Cambria Math" w:hAnsi="Cambria Math" w:cs="Cambria Math"/>
          <w:color w:val="auto"/>
          <w:sz w:val="24"/>
          <w:highlight w:val="none"/>
        </w:rPr>
        <w:t>③</w:t>
      </w:r>
      <w:r>
        <w:rPr>
          <w:color w:val="auto"/>
          <w:sz w:val="24"/>
          <w:highlight w:val="none"/>
        </w:rPr>
        <w:t>温室气体与</w:t>
      </w:r>
      <w:r>
        <w:rPr>
          <w:bCs/>
          <w:color w:val="auto"/>
          <w:sz w:val="24"/>
          <w:highlight w:val="none"/>
        </w:rPr>
        <w:t>气象因子关联分析；</w:t>
      </w:r>
      <w:r>
        <w:rPr>
          <w:rFonts w:ascii="Cambria Math" w:hAnsi="Cambria Math" w:cs="Cambria Math"/>
          <w:color w:val="auto"/>
          <w:sz w:val="24"/>
          <w:highlight w:val="none"/>
        </w:rPr>
        <w:t>④</w:t>
      </w:r>
      <w:r>
        <w:rPr>
          <w:color w:val="auto"/>
          <w:sz w:val="24"/>
          <w:highlight w:val="none"/>
        </w:rPr>
        <w:t>模型反演方法详细介绍、参数设置；</w:t>
      </w:r>
      <w:r>
        <w:rPr>
          <w:rFonts w:ascii="Cambria Math" w:hAnsi="Cambria Math" w:cs="Cambria Math"/>
          <w:color w:val="auto"/>
          <w:sz w:val="24"/>
          <w:highlight w:val="none"/>
        </w:rPr>
        <w:t>⑤</w:t>
      </w:r>
      <w:r>
        <w:rPr>
          <w:color w:val="auto"/>
          <w:sz w:val="24"/>
          <w:highlight w:val="none"/>
        </w:rPr>
        <w:t>温室气体排放反演结果及校验评估；</w:t>
      </w:r>
      <w:r>
        <w:rPr>
          <w:rFonts w:ascii="Cambria Math" w:hAnsi="Cambria Math" w:cs="Cambria Math"/>
          <w:color w:val="auto"/>
          <w:sz w:val="24"/>
          <w:highlight w:val="none"/>
        </w:rPr>
        <w:t>⑥</w:t>
      </w:r>
      <w:r>
        <w:rPr>
          <w:color w:val="auto"/>
          <w:sz w:val="24"/>
          <w:highlight w:val="none"/>
        </w:rPr>
        <w:t>“双碳”管理工作建议。项目期间至少提供一份</w:t>
      </w:r>
      <w:r>
        <w:rPr>
          <w:rFonts w:hint="eastAsia"/>
          <w:color w:val="auto"/>
          <w:sz w:val="24"/>
          <w:highlight w:val="none"/>
        </w:rPr>
        <w:t>关于双碳</w:t>
      </w:r>
      <w:r>
        <w:rPr>
          <w:color w:val="auto"/>
          <w:sz w:val="24"/>
          <w:highlight w:val="none"/>
        </w:rPr>
        <w:t>工作</w:t>
      </w:r>
      <w:r>
        <w:rPr>
          <w:rFonts w:hint="eastAsia"/>
          <w:color w:val="auto"/>
          <w:sz w:val="24"/>
          <w:highlight w:val="none"/>
        </w:rPr>
        <w:t>的综合对策建议报告</w:t>
      </w:r>
      <w:r>
        <w:rPr>
          <w:rFonts w:hint="eastAsia"/>
          <w:color w:val="auto"/>
          <w:sz w:val="24"/>
          <w:highlight w:val="none"/>
          <w:lang w:eastAsia="zh-CN"/>
        </w:rPr>
        <w:t>。</w:t>
      </w:r>
    </w:p>
    <w:p w14:paraId="307405E5">
      <w:pPr>
        <w:widowControl/>
        <w:autoSpaceDE w:val="0"/>
        <w:autoSpaceDN w:val="0"/>
        <w:spacing w:line="360" w:lineRule="auto"/>
        <w:textAlignment w:val="bottom"/>
        <w:rPr>
          <w:b/>
          <w:color w:val="auto"/>
          <w:sz w:val="24"/>
          <w:highlight w:val="none"/>
        </w:rPr>
      </w:pPr>
      <w:r>
        <w:rPr>
          <w:rFonts w:hint="eastAsia"/>
          <w:b/>
          <w:color w:val="auto"/>
          <w:sz w:val="24"/>
          <w:highlight w:val="none"/>
        </w:rPr>
        <w:t>五、人员要求</w:t>
      </w:r>
    </w:p>
    <w:p w14:paraId="6E12FAD4">
      <w:pPr>
        <w:spacing w:line="360" w:lineRule="auto"/>
        <w:ind w:firstLine="480" w:firstLineChars="200"/>
        <w:rPr>
          <w:color w:val="auto"/>
          <w:sz w:val="24"/>
          <w:highlight w:val="none"/>
        </w:rPr>
      </w:pPr>
      <w:r>
        <w:rPr>
          <w:color w:val="auto"/>
          <w:sz w:val="24"/>
          <w:highlight w:val="none"/>
        </w:rPr>
        <w:t>为保证项目实施质量，投标人需成立合理的组织机构，安排至少5名高素质专业技术人员参加本项目建设工作，其中至少3名需具有气象学、大气科学或环境类专业硕士</w:t>
      </w:r>
      <w:r>
        <w:rPr>
          <w:rFonts w:hint="eastAsia"/>
          <w:color w:val="auto"/>
          <w:sz w:val="24"/>
          <w:highlight w:val="none"/>
        </w:rPr>
        <w:t>及以上</w:t>
      </w:r>
      <w:r>
        <w:rPr>
          <w:color w:val="auto"/>
          <w:sz w:val="24"/>
          <w:highlight w:val="none"/>
        </w:rPr>
        <w:t>学历背景，5名专业技术人员中必须明确1名项目技术负责人，技术负责人需具有高级职称；具备</w:t>
      </w:r>
      <w:r>
        <w:rPr>
          <w:rFonts w:hint="eastAsia"/>
          <w:color w:val="auto"/>
          <w:sz w:val="24"/>
          <w:highlight w:val="none"/>
        </w:rPr>
        <w:t>2</w:t>
      </w:r>
      <w:r>
        <w:rPr>
          <w:color w:val="auto"/>
          <w:sz w:val="24"/>
          <w:highlight w:val="none"/>
        </w:rPr>
        <w:t>年以上相关工作经验，若服务期间人员产生变动，须经采购人同意。</w:t>
      </w:r>
    </w:p>
    <w:p w14:paraId="692D92A5">
      <w:pPr>
        <w:widowControl/>
        <w:autoSpaceDE w:val="0"/>
        <w:autoSpaceDN w:val="0"/>
        <w:spacing w:line="360" w:lineRule="auto"/>
        <w:textAlignment w:val="bottom"/>
        <w:rPr>
          <w:b/>
          <w:color w:val="auto"/>
          <w:sz w:val="24"/>
          <w:highlight w:val="none"/>
        </w:rPr>
      </w:pPr>
      <w:r>
        <w:rPr>
          <w:rFonts w:hint="eastAsia"/>
          <w:b/>
          <w:color w:val="auto"/>
          <w:sz w:val="24"/>
          <w:highlight w:val="none"/>
        </w:rPr>
        <w:t>六、服务期限</w:t>
      </w:r>
    </w:p>
    <w:p w14:paraId="145FB90F">
      <w:pPr>
        <w:widowControl/>
        <w:spacing w:line="360" w:lineRule="auto"/>
        <w:ind w:firstLine="480" w:firstLineChars="200"/>
        <w:textAlignment w:val="bottom"/>
        <w:rPr>
          <w:rFonts w:hint="eastAsia" w:ascii="宋体" w:hAnsi="宋体" w:cs="宋体"/>
          <w:bCs/>
          <w:color w:val="auto"/>
          <w:sz w:val="24"/>
          <w:highlight w:val="none"/>
        </w:rPr>
      </w:pPr>
      <w:r>
        <w:rPr>
          <w:rFonts w:hint="eastAsia" w:ascii="宋体" w:hAnsi="宋体" w:cs="宋体"/>
          <w:bCs/>
          <w:color w:val="auto"/>
          <w:sz w:val="24"/>
          <w:highlight w:val="none"/>
        </w:rPr>
        <w:t xml:space="preserve">反演数据时段范围为2025年1月1日至11月30日 </w:t>
      </w:r>
    </w:p>
    <w:p w14:paraId="374B2441">
      <w:pPr>
        <w:widowControl/>
        <w:autoSpaceDE w:val="0"/>
        <w:autoSpaceDN w:val="0"/>
        <w:spacing w:line="360" w:lineRule="auto"/>
        <w:textAlignment w:val="bottom"/>
        <w:rPr>
          <w:b/>
          <w:color w:val="auto"/>
          <w:sz w:val="24"/>
          <w:highlight w:val="none"/>
        </w:rPr>
      </w:pPr>
      <w:r>
        <w:rPr>
          <w:rFonts w:hint="eastAsia"/>
          <w:b/>
          <w:color w:val="auto"/>
          <w:sz w:val="24"/>
          <w:highlight w:val="none"/>
        </w:rPr>
        <w:t>七、其他要求</w:t>
      </w:r>
    </w:p>
    <w:p w14:paraId="58BAA71B">
      <w:pPr>
        <w:spacing w:line="360" w:lineRule="auto"/>
        <w:ind w:firstLine="480" w:firstLineChars="200"/>
        <w:rPr>
          <w:color w:val="auto"/>
          <w:sz w:val="24"/>
          <w:highlight w:val="none"/>
        </w:rPr>
      </w:pPr>
      <w:r>
        <w:rPr>
          <w:color w:val="auto"/>
          <w:sz w:val="24"/>
          <w:highlight w:val="none"/>
        </w:rPr>
        <w:t>（1）服务期间需及时响应，做到24小时在线响应，按工作需求编制总结汇报材料，包括文字和PPT等形式；定期开展工作汇报交流；</w:t>
      </w:r>
    </w:p>
    <w:p w14:paraId="0BA99A51">
      <w:pPr>
        <w:spacing w:line="360" w:lineRule="auto"/>
        <w:ind w:firstLine="480" w:firstLineChars="200"/>
        <w:rPr>
          <w:color w:val="auto"/>
          <w:sz w:val="24"/>
          <w:highlight w:val="none"/>
        </w:rPr>
      </w:pPr>
      <w:r>
        <w:rPr>
          <w:color w:val="auto"/>
          <w:sz w:val="24"/>
          <w:highlight w:val="none"/>
        </w:rPr>
        <w:t>（2）</w:t>
      </w:r>
      <w:r>
        <w:rPr>
          <w:rFonts w:hint="eastAsia"/>
          <w:color w:val="auto"/>
          <w:sz w:val="24"/>
          <w:highlight w:val="none"/>
        </w:rPr>
        <w:t>具有超算等必要的技术设施，</w:t>
      </w:r>
      <w:r>
        <w:rPr>
          <w:color w:val="auto"/>
          <w:sz w:val="24"/>
          <w:highlight w:val="none"/>
        </w:rPr>
        <w:t>提供临时性的技术指导及模型分析等服务，配合采购人进行温室气体数据分析、模型模拟反演相关服务；</w:t>
      </w:r>
    </w:p>
    <w:p w14:paraId="0491D14C">
      <w:pPr>
        <w:spacing w:line="360" w:lineRule="auto"/>
        <w:ind w:firstLine="480" w:firstLineChars="200"/>
        <w:rPr>
          <w:color w:val="auto"/>
          <w:sz w:val="24"/>
          <w:highlight w:val="none"/>
        </w:rPr>
      </w:pPr>
      <w:r>
        <w:rPr>
          <w:color w:val="auto"/>
          <w:sz w:val="24"/>
          <w:highlight w:val="none"/>
        </w:rPr>
        <w:t>（3）提供与本项目相关的免费电话技术咨询及答疑。</w:t>
      </w:r>
    </w:p>
    <w:p w14:paraId="6917091A">
      <w:pPr>
        <w:pStyle w:val="4"/>
        <w:ind w:left="0" w:firstLine="480" w:firstLineChars="200"/>
        <w:rPr>
          <w:rFonts w:ascii="Times New Roman" w:hAnsi="Times New Roman" w:eastAsia="宋体"/>
          <w:b w:val="0"/>
          <w:bCs w:val="0"/>
          <w:color w:val="auto"/>
          <w:sz w:val="24"/>
          <w:szCs w:val="24"/>
          <w:highlight w:val="none"/>
          <w:lang w:val="en-US"/>
        </w:rPr>
      </w:pPr>
      <w:r>
        <w:rPr>
          <w:rFonts w:ascii="Times New Roman" w:hAnsi="Times New Roman" w:eastAsia="宋体"/>
          <w:b w:val="0"/>
          <w:bCs w:val="0"/>
          <w:color w:val="auto"/>
          <w:sz w:val="24"/>
          <w:szCs w:val="24"/>
          <w:highlight w:val="none"/>
          <w:lang w:val="en-US"/>
        </w:rPr>
        <w:t>（4）应数据保密要求，投标人需提供完善的数据安全和信息安全管理制度（提供证明材料）。</w:t>
      </w:r>
    </w:p>
    <w:p w14:paraId="33C52900">
      <w:pPr>
        <w:widowControl/>
        <w:autoSpaceDE w:val="0"/>
        <w:autoSpaceDN w:val="0"/>
        <w:spacing w:line="360" w:lineRule="auto"/>
        <w:textAlignment w:val="bottom"/>
        <w:rPr>
          <w:b/>
          <w:color w:val="auto"/>
          <w:sz w:val="24"/>
          <w:highlight w:val="none"/>
        </w:rPr>
      </w:pPr>
      <w:r>
        <w:rPr>
          <w:rFonts w:hint="eastAsia"/>
          <w:b/>
          <w:color w:val="auto"/>
          <w:sz w:val="24"/>
          <w:highlight w:val="none"/>
        </w:rPr>
        <w:t>八、考核要求及支付方式</w:t>
      </w:r>
    </w:p>
    <w:p w14:paraId="2DC2B6D3">
      <w:pPr>
        <w:pStyle w:val="25"/>
        <w:spacing w:line="360" w:lineRule="auto"/>
        <w:ind w:left="0" w:leftChars="0" w:firstLine="480"/>
        <w:rPr>
          <w:rFonts w:ascii="Times New Roman" w:hAnsi="Times New Roman"/>
          <w:color w:val="auto"/>
          <w:sz w:val="24"/>
          <w:highlight w:val="none"/>
        </w:rPr>
      </w:pPr>
      <w:r>
        <w:rPr>
          <w:rFonts w:ascii="Times New Roman" w:hAnsi="Times New Roman"/>
          <w:color w:val="auto"/>
          <w:sz w:val="24"/>
          <w:highlight w:val="none"/>
        </w:rPr>
        <w:t>（1）考核要求：服务期间，采购人按月对项目完成内容进行考核（详见考核表），包括提供的报告数量、报告涵盖的内容及质量，对不达要求的，扣减相应的服务费，并有权终止合同。服务费核算：</w:t>
      </w:r>
      <w:r>
        <w:rPr>
          <w:rFonts w:ascii="Cambria Math" w:hAnsi="Cambria Math" w:cs="Cambria Math"/>
          <w:color w:val="auto"/>
          <w:sz w:val="24"/>
          <w:highlight w:val="none"/>
        </w:rPr>
        <w:t>①</w:t>
      </w:r>
      <w:r>
        <w:rPr>
          <w:rFonts w:ascii="Times New Roman" w:hAnsi="Times New Roman"/>
          <w:color w:val="auto"/>
          <w:sz w:val="24"/>
          <w:highlight w:val="none"/>
        </w:rPr>
        <w:t>考核结果在70分（含）以上，80分以下，为初级警告，扣除当月费用的10%，并责令整改；</w:t>
      </w:r>
      <w:r>
        <w:rPr>
          <w:rFonts w:ascii="Cambria Math" w:hAnsi="Cambria Math" w:cs="Cambria Math"/>
          <w:color w:val="auto"/>
          <w:sz w:val="24"/>
          <w:highlight w:val="none"/>
        </w:rPr>
        <w:t>②</w:t>
      </w:r>
      <w:r>
        <w:rPr>
          <w:rFonts w:ascii="Times New Roman" w:hAnsi="Times New Roman"/>
          <w:color w:val="auto"/>
          <w:sz w:val="24"/>
          <w:highlight w:val="none"/>
        </w:rPr>
        <w:t>考核结果在60分（含）以上，70分以下，为二级警告，扣除当月费用的30%，并责令整改；</w:t>
      </w:r>
      <w:r>
        <w:rPr>
          <w:rFonts w:ascii="Cambria Math" w:hAnsi="Cambria Math" w:cs="Cambria Math"/>
          <w:color w:val="auto"/>
          <w:sz w:val="24"/>
          <w:highlight w:val="none"/>
        </w:rPr>
        <w:t>③</w:t>
      </w:r>
      <w:r>
        <w:rPr>
          <w:rFonts w:ascii="Times New Roman" w:hAnsi="Times New Roman"/>
          <w:color w:val="auto"/>
          <w:sz w:val="24"/>
          <w:highlight w:val="none"/>
        </w:rPr>
        <w:t>考核结果在60分以下，扣除当月费用，且采购人有权取消数据分析合同。</w:t>
      </w:r>
    </w:p>
    <w:p w14:paraId="21EC7D9E">
      <w:pPr>
        <w:pStyle w:val="25"/>
        <w:spacing w:line="360" w:lineRule="auto"/>
        <w:ind w:left="0" w:leftChars="0" w:firstLine="480"/>
        <w:rPr>
          <w:rFonts w:ascii="Times New Roman" w:hAnsi="Times New Roman"/>
          <w:color w:val="auto"/>
          <w:szCs w:val="21"/>
          <w:highlight w:val="none"/>
        </w:rPr>
      </w:pPr>
      <w:r>
        <w:rPr>
          <w:rFonts w:ascii="Times New Roman" w:hAnsi="Times New Roman"/>
          <w:color w:val="auto"/>
          <w:sz w:val="24"/>
          <w:highlight w:val="none"/>
        </w:rPr>
        <w:t>（2）支付方式：分阶段支付，合同签订且财政资金到位后5个工作日内，甲方凭乙方开具的正规发票向乙方支付合同金额的50 %作为预付款；项目考核合格后（凭正规发票）向乙方支付合同金额的剩余50 %。</w:t>
      </w:r>
    </w:p>
    <w:p w14:paraId="089BDC63">
      <w:pPr>
        <w:pStyle w:val="2"/>
        <w:rPr>
          <w:color w:val="auto"/>
          <w:highlight w:val="none"/>
        </w:rPr>
      </w:pPr>
    </w:p>
    <w:p w14:paraId="5E62681A">
      <w:pPr>
        <w:jc w:val="center"/>
        <w:rPr>
          <w:rFonts w:hint="eastAsia" w:ascii="黑体" w:hAnsi="黑体" w:eastAsia="黑体"/>
          <w:color w:val="auto"/>
          <w:highlight w:val="none"/>
        </w:rPr>
      </w:pPr>
      <w:r>
        <w:rPr>
          <w:rFonts w:hint="eastAsia" w:ascii="黑体" w:hAnsi="黑体" w:eastAsia="黑体"/>
          <w:color w:val="auto"/>
          <w:highlight w:val="none"/>
        </w:rPr>
        <w:t>杭州市碳排放反演与通量核算项目综合评议表</w:t>
      </w:r>
    </w:p>
    <w:p w14:paraId="004098BF">
      <w:pPr>
        <w:jc w:val="center"/>
        <w:rPr>
          <w:rFonts w:hint="eastAsia" w:ascii="黑体" w:hAnsi="黑体" w:eastAsia="黑体"/>
          <w:color w:val="auto"/>
          <w:highlight w:val="none"/>
        </w:rPr>
      </w:pPr>
      <w:r>
        <w:rPr>
          <w:rFonts w:hint="eastAsia" w:ascii="黑体" w:hAnsi="黑体" w:eastAsia="黑体"/>
          <w:color w:val="auto"/>
          <w:highlight w:val="none"/>
        </w:rPr>
        <w:t>（</w:t>
      </w:r>
      <w:r>
        <w:rPr>
          <w:rFonts w:ascii="黑体" w:hAnsi="黑体" w:eastAsia="黑体"/>
          <w:color w:val="auto"/>
          <w:highlight w:val="none"/>
        </w:rPr>
        <w:t>…</w:t>
      </w:r>
      <w:r>
        <w:rPr>
          <w:rFonts w:hint="eastAsia" w:ascii="黑体" w:hAnsi="黑体" w:eastAsia="黑体"/>
          <w:color w:val="auto"/>
          <w:highlight w:val="none"/>
        </w:rPr>
        <w:t>年</w:t>
      </w:r>
      <w:r>
        <w:rPr>
          <w:rFonts w:ascii="黑体" w:hAnsi="黑体" w:eastAsia="黑体"/>
          <w:color w:val="auto"/>
          <w:highlight w:val="none"/>
        </w:rPr>
        <w:t>…</w:t>
      </w:r>
      <w:r>
        <w:rPr>
          <w:rFonts w:hint="eastAsia" w:ascii="黑体" w:hAnsi="黑体" w:eastAsia="黑体"/>
          <w:color w:val="auto"/>
          <w:highlight w:val="none"/>
        </w:rPr>
        <w:t>月）</w:t>
      </w:r>
    </w:p>
    <w:tbl>
      <w:tblPr>
        <w:tblStyle w:val="62"/>
        <w:tblW w:w="89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431"/>
        <w:gridCol w:w="3417"/>
        <w:gridCol w:w="964"/>
        <w:gridCol w:w="708"/>
        <w:gridCol w:w="1695"/>
      </w:tblGrid>
      <w:tr w14:paraId="6860B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709" w:type="dxa"/>
            <w:vAlign w:val="center"/>
          </w:tcPr>
          <w:p w14:paraId="49308F0F">
            <w:pPr>
              <w:jc w:val="center"/>
              <w:rPr>
                <w:color w:val="auto"/>
                <w:highlight w:val="none"/>
              </w:rPr>
            </w:pPr>
            <w:r>
              <w:rPr>
                <w:rFonts w:hint="eastAsia"/>
                <w:color w:val="auto"/>
                <w:highlight w:val="none"/>
              </w:rPr>
              <w:t>序号</w:t>
            </w:r>
          </w:p>
        </w:tc>
        <w:tc>
          <w:tcPr>
            <w:tcW w:w="1431" w:type="dxa"/>
            <w:vAlign w:val="center"/>
          </w:tcPr>
          <w:p w14:paraId="66ED0AB7">
            <w:pPr>
              <w:jc w:val="center"/>
              <w:rPr>
                <w:color w:val="auto"/>
                <w:highlight w:val="none"/>
              </w:rPr>
            </w:pPr>
            <w:r>
              <w:rPr>
                <w:rFonts w:hint="eastAsia"/>
                <w:color w:val="auto"/>
                <w:highlight w:val="none"/>
              </w:rPr>
              <w:t>类别</w:t>
            </w:r>
          </w:p>
        </w:tc>
        <w:tc>
          <w:tcPr>
            <w:tcW w:w="3417" w:type="dxa"/>
            <w:vAlign w:val="center"/>
          </w:tcPr>
          <w:p w14:paraId="2EC0F5A8">
            <w:pPr>
              <w:jc w:val="center"/>
              <w:rPr>
                <w:color w:val="auto"/>
                <w:highlight w:val="none"/>
              </w:rPr>
            </w:pPr>
            <w:r>
              <w:rPr>
                <w:rFonts w:hint="eastAsia"/>
                <w:color w:val="auto"/>
                <w:highlight w:val="none"/>
              </w:rPr>
              <w:t>考核指标</w:t>
            </w:r>
          </w:p>
        </w:tc>
        <w:tc>
          <w:tcPr>
            <w:tcW w:w="964" w:type="dxa"/>
            <w:vAlign w:val="center"/>
          </w:tcPr>
          <w:p w14:paraId="3B9D0C71">
            <w:pPr>
              <w:jc w:val="center"/>
              <w:rPr>
                <w:color w:val="auto"/>
                <w:highlight w:val="none"/>
              </w:rPr>
            </w:pPr>
            <w:r>
              <w:rPr>
                <w:rFonts w:hint="eastAsia"/>
                <w:color w:val="auto"/>
                <w:highlight w:val="none"/>
              </w:rPr>
              <w:t>满分</w:t>
            </w:r>
          </w:p>
        </w:tc>
        <w:tc>
          <w:tcPr>
            <w:tcW w:w="708" w:type="dxa"/>
            <w:vAlign w:val="center"/>
          </w:tcPr>
          <w:p w14:paraId="12F31FCC">
            <w:pPr>
              <w:jc w:val="center"/>
              <w:rPr>
                <w:color w:val="auto"/>
                <w:highlight w:val="none"/>
              </w:rPr>
            </w:pPr>
            <w:r>
              <w:rPr>
                <w:rFonts w:hint="eastAsia"/>
                <w:color w:val="auto"/>
                <w:highlight w:val="none"/>
              </w:rPr>
              <w:t>得分</w:t>
            </w:r>
          </w:p>
        </w:tc>
        <w:tc>
          <w:tcPr>
            <w:tcW w:w="1695" w:type="dxa"/>
            <w:vAlign w:val="center"/>
          </w:tcPr>
          <w:p w14:paraId="1417994C">
            <w:pPr>
              <w:jc w:val="center"/>
              <w:rPr>
                <w:color w:val="auto"/>
                <w:highlight w:val="none"/>
              </w:rPr>
            </w:pPr>
            <w:r>
              <w:rPr>
                <w:rFonts w:hint="eastAsia"/>
                <w:color w:val="auto"/>
                <w:highlight w:val="none"/>
              </w:rPr>
              <w:t>赋分说明</w:t>
            </w:r>
          </w:p>
        </w:tc>
      </w:tr>
      <w:tr w14:paraId="4B286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709" w:type="dxa"/>
            <w:vAlign w:val="center"/>
          </w:tcPr>
          <w:p w14:paraId="6165C643">
            <w:pPr>
              <w:jc w:val="center"/>
              <w:rPr>
                <w:color w:val="auto"/>
                <w:highlight w:val="none"/>
              </w:rPr>
            </w:pPr>
            <w:r>
              <w:rPr>
                <w:rFonts w:hint="eastAsia"/>
                <w:color w:val="auto"/>
                <w:highlight w:val="none"/>
              </w:rPr>
              <w:t>1</w:t>
            </w:r>
          </w:p>
        </w:tc>
        <w:tc>
          <w:tcPr>
            <w:tcW w:w="1431" w:type="dxa"/>
            <w:vAlign w:val="center"/>
          </w:tcPr>
          <w:p w14:paraId="1873F3C0">
            <w:pPr>
              <w:jc w:val="center"/>
              <w:rPr>
                <w:color w:val="auto"/>
                <w:highlight w:val="none"/>
              </w:rPr>
            </w:pPr>
            <w:r>
              <w:rPr>
                <w:rFonts w:hint="eastAsia"/>
                <w:color w:val="auto"/>
                <w:highlight w:val="none"/>
              </w:rPr>
              <w:t>报告及时性</w:t>
            </w:r>
          </w:p>
        </w:tc>
        <w:tc>
          <w:tcPr>
            <w:tcW w:w="3417" w:type="dxa"/>
            <w:vAlign w:val="center"/>
          </w:tcPr>
          <w:p w14:paraId="335AC672">
            <w:pPr>
              <w:jc w:val="center"/>
              <w:rPr>
                <w:color w:val="auto"/>
                <w:highlight w:val="none"/>
              </w:rPr>
            </w:pPr>
            <w:r>
              <w:rPr>
                <w:rFonts w:hint="eastAsia"/>
                <w:color w:val="auto"/>
                <w:highlight w:val="none"/>
              </w:rPr>
              <w:t>每月20号前提交</w:t>
            </w:r>
          </w:p>
        </w:tc>
        <w:tc>
          <w:tcPr>
            <w:tcW w:w="964" w:type="dxa"/>
            <w:vAlign w:val="center"/>
          </w:tcPr>
          <w:p w14:paraId="3C7BD802">
            <w:pPr>
              <w:jc w:val="center"/>
              <w:rPr>
                <w:color w:val="auto"/>
                <w:highlight w:val="none"/>
              </w:rPr>
            </w:pPr>
            <w:r>
              <w:rPr>
                <w:rFonts w:hint="eastAsia"/>
                <w:color w:val="auto"/>
                <w:highlight w:val="none"/>
              </w:rPr>
              <w:t>20分</w:t>
            </w:r>
          </w:p>
        </w:tc>
        <w:tc>
          <w:tcPr>
            <w:tcW w:w="708" w:type="dxa"/>
            <w:vAlign w:val="center"/>
          </w:tcPr>
          <w:p w14:paraId="761AA156">
            <w:pPr>
              <w:jc w:val="center"/>
              <w:rPr>
                <w:color w:val="auto"/>
                <w:highlight w:val="none"/>
              </w:rPr>
            </w:pPr>
          </w:p>
        </w:tc>
        <w:tc>
          <w:tcPr>
            <w:tcW w:w="1695" w:type="dxa"/>
            <w:vAlign w:val="center"/>
          </w:tcPr>
          <w:p w14:paraId="76AC4D8F">
            <w:pPr>
              <w:jc w:val="center"/>
              <w:rPr>
                <w:color w:val="auto"/>
                <w:highlight w:val="none"/>
              </w:rPr>
            </w:pPr>
            <w:r>
              <w:rPr>
                <w:rFonts w:hint="eastAsia"/>
                <w:color w:val="auto"/>
                <w:highlight w:val="none"/>
              </w:rPr>
              <w:t>晚一天扣4分</w:t>
            </w:r>
          </w:p>
        </w:tc>
      </w:tr>
      <w:tr w14:paraId="2227D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709" w:type="dxa"/>
            <w:vMerge w:val="restart"/>
            <w:vAlign w:val="center"/>
          </w:tcPr>
          <w:p w14:paraId="682113E1">
            <w:pPr>
              <w:jc w:val="center"/>
              <w:rPr>
                <w:color w:val="auto"/>
                <w:highlight w:val="none"/>
              </w:rPr>
            </w:pPr>
            <w:r>
              <w:rPr>
                <w:rFonts w:hint="eastAsia"/>
                <w:color w:val="auto"/>
                <w:highlight w:val="none"/>
              </w:rPr>
              <w:t>2</w:t>
            </w:r>
          </w:p>
        </w:tc>
        <w:tc>
          <w:tcPr>
            <w:tcW w:w="1431" w:type="dxa"/>
            <w:vMerge w:val="restart"/>
            <w:vAlign w:val="center"/>
          </w:tcPr>
          <w:p w14:paraId="5804847D">
            <w:pPr>
              <w:jc w:val="center"/>
              <w:rPr>
                <w:color w:val="auto"/>
                <w:highlight w:val="none"/>
              </w:rPr>
            </w:pPr>
            <w:r>
              <w:rPr>
                <w:rFonts w:hint="eastAsia"/>
                <w:color w:val="auto"/>
                <w:highlight w:val="none"/>
              </w:rPr>
              <w:t>报告质量</w:t>
            </w:r>
          </w:p>
        </w:tc>
        <w:tc>
          <w:tcPr>
            <w:tcW w:w="3417" w:type="dxa"/>
            <w:vAlign w:val="center"/>
          </w:tcPr>
          <w:p w14:paraId="405BA2E0">
            <w:pPr>
              <w:rPr>
                <w:color w:val="auto"/>
                <w:highlight w:val="none"/>
              </w:rPr>
            </w:pPr>
            <w:r>
              <w:rPr>
                <w:rFonts w:hint="eastAsia"/>
                <w:color w:val="auto"/>
                <w:highlight w:val="none"/>
              </w:rPr>
              <w:t>内容完整程度，是否包括①温室气体监测数据时空分布特征；②温室气体与常规污染的关联分析；③温室气体与气象因子关联分析；④模型反演方法详细介绍、参数设置；⑤温室气体排放反演结果及校验评估；⑥“双碳”管理工作建议。</w:t>
            </w:r>
          </w:p>
        </w:tc>
        <w:tc>
          <w:tcPr>
            <w:tcW w:w="964" w:type="dxa"/>
            <w:vAlign w:val="center"/>
          </w:tcPr>
          <w:p w14:paraId="168441B2">
            <w:pPr>
              <w:jc w:val="center"/>
              <w:rPr>
                <w:color w:val="auto"/>
                <w:highlight w:val="none"/>
              </w:rPr>
            </w:pPr>
            <w:r>
              <w:rPr>
                <w:rFonts w:hint="eastAsia"/>
                <w:color w:val="auto"/>
                <w:highlight w:val="none"/>
              </w:rPr>
              <w:t>30分</w:t>
            </w:r>
          </w:p>
        </w:tc>
        <w:tc>
          <w:tcPr>
            <w:tcW w:w="708" w:type="dxa"/>
            <w:vAlign w:val="center"/>
          </w:tcPr>
          <w:p w14:paraId="6AD906BA">
            <w:pPr>
              <w:rPr>
                <w:color w:val="auto"/>
                <w:highlight w:val="none"/>
              </w:rPr>
            </w:pPr>
          </w:p>
        </w:tc>
        <w:tc>
          <w:tcPr>
            <w:tcW w:w="1695" w:type="dxa"/>
            <w:vAlign w:val="center"/>
          </w:tcPr>
          <w:p w14:paraId="22E40F33">
            <w:pPr>
              <w:rPr>
                <w:color w:val="auto"/>
                <w:highlight w:val="none"/>
              </w:rPr>
            </w:pPr>
            <w:r>
              <w:rPr>
                <w:rFonts w:hint="eastAsia"/>
                <w:color w:val="auto"/>
                <w:highlight w:val="none"/>
              </w:rPr>
              <w:t>每缺少一项内容扣10分</w:t>
            </w:r>
          </w:p>
        </w:tc>
      </w:tr>
      <w:tr w14:paraId="7DDE0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709" w:type="dxa"/>
            <w:vMerge w:val="continue"/>
            <w:vAlign w:val="center"/>
          </w:tcPr>
          <w:p w14:paraId="6D0826FF">
            <w:pPr>
              <w:rPr>
                <w:color w:val="auto"/>
                <w:highlight w:val="none"/>
              </w:rPr>
            </w:pPr>
          </w:p>
        </w:tc>
        <w:tc>
          <w:tcPr>
            <w:tcW w:w="1431" w:type="dxa"/>
            <w:vMerge w:val="continue"/>
            <w:vAlign w:val="center"/>
          </w:tcPr>
          <w:p w14:paraId="6CCCF819">
            <w:pPr>
              <w:rPr>
                <w:color w:val="auto"/>
                <w:highlight w:val="none"/>
              </w:rPr>
            </w:pPr>
          </w:p>
        </w:tc>
        <w:tc>
          <w:tcPr>
            <w:tcW w:w="3417" w:type="dxa"/>
            <w:vAlign w:val="center"/>
          </w:tcPr>
          <w:p w14:paraId="0E56D3D7">
            <w:pPr>
              <w:rPr>
                <w:color w:val="auto"/>
                <w:highlight w:val="none"/>
              </w:rPr>
            </w:pPr>
            <w:r>
              <w:rPr>
                <w:rFonts w:hint="eastAsia"/>
                <w:color w:val="auto"/>
                <w:highlight w:val="none"/>
              </w:rPr>
              <w:t>报告的文字、图标格式是否规范美观，分析是否深入，数据处理是否正确，反演结果是否合理等</w:t>
            </w:r>
          </w:p>
        </w:tc>
        <w:tc>
          <w:tcPr>
            <w:tcW w:w="964" w:type="dxa"/>
            <w:vAlign w:val="center"/>
          </w:tcPr>
          <w:p w14:paraId="3409A337">
            <w:pPr>
              <w:jc w:val="center"/>
              <w:rPr>
                <w:color w:val="auto"/>
                <w:highlight w:val="none"/>
              </w:rPr>
            </w:pPr>
            <w:r>
              <w:rPr>
                <w:rFonts w:hint="eastAsia"/>
                <w:color w:val="auto"/>
                <w:highlight w:val="none"/>
              </w:rPr>
              <w:t>30分</w:t>
            </w:r>
          </w:p>
        </w:tc>
        <w:tc>
          <w:tcPr>
            <w:tcW w:w="708" w:type="dxa"/>
            <w:vAlign w:val="center"/>
          </w:tcPr>
          <w:p w14:paraId="70C75316">
            <w:pPr>
              <w:rPr>
                <w:color w:val="auto"/>
                <w:highlight w:val="none"/>
              </w:rPr>
            </w:pPr>
          </w:p>
        </w:tc>
        <w:tc>
          <w:tcPr>
            <w:tcW w:w="1695" w:type="dxa"/>
            <w:vAlign w:val="center"/>
          </w:tcPr>
          <w:p w14:paraId="29CB7897">
            <w:pPr>
              <w:rPr>
                <w:color w:val="auto"/>
                <w:highlight w:val="none"/>
              </w:rPr>
            </w:pPr>
            <w:r>
              <w:rPr>
                <w:rFonts w:hint="eastAsia"/>
                <w:color w:val="auto"/>
                <w:highlight w:val="none"/>
              </w:rPr>
              <w:t>每发现一处明显错误扣2分</w:t>
            </w:r>
          </w:p>
        </w:tc>
      </w:tr>
      <w:tr w14:paraId="308F3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709" w:type="dxa"/>
            <w:vAlign w:val="center"/>
          </w:tcPr>
          <w:p w14:paraId="4ABC9121">
            <w:pPr>
              <w:jc w:val="center"/>
              <w:rPr>
                <w:color w:val="auto"/>
                <w:highlight w:val="none"/>
              </w:rPr>
            </w:pPr>
            <w:r>
              <w:rPr>
                <w:rFonts w:hint="eastAsia"/>
                <w:color w:val="auto"/>
                <w:highlight w:val="none"/>
              </w:rPr>
              <w:t>3</w:t>
            </w:r>
          </w:p>
        </w:tc>
        <w:tc>
          <w:tcPr>
            <w:tcW w:w="1431" w:type="dxa"/>
            <w:vAlign w:val="center"/>
          </w:tcPr>
          <w:p w14:paraId="3F188437">
            <w:pPr>
              <w:jc w:val="center"/>
              <w:rPr>
                <w:color w:val="auto"/>
                <w:highlight w:val="none"/>
              </w:rPr>
            </w:pPr>
            <w:r>
              <w:rPr>
                <w:rFonts w:hint="eastAsia"/>
                <w:color w:val="auto"/>
                <w:highlight w:val="none"/>
              </w:rPr>
              <w:t>其他工作</w:t>
            </w:r>
          </w:p>
        </w:tc>
        <w:tc>
          <w:tcPr>
            <w:tcW w:w="3417" w:type="dxa"/>
            <w:vAlign w:val="center"/>
          </w:tcPr>
          <w:p w14:paraId="2A951B08">
            <w:pPr>
              <w:rPr>
                <w:color w:val="auto"/>
                <w:highlight w:val="none"/>
              </w:rPr>
            </w:pPr>
            <w:r>
              <w:rPr>
                <w:rFonts w:hint="eastAsia"/>
                <w:color w:val="auto"/>
                <w:highlight w:val="none"/>
              </w:rPr>
              <w:t>其他工作如数据统计、汇报材料编制配合程度</w:t>
            </w:r>
          </w:p>
        </w:tc>
        <w:tc>
          <w:tcPr>
            <w:tcW w:w="964" w:type="dxa"/>
            <w:vAlign w:val="center"/>
          </w:tcPr>
          <w:p w14:paraId="353ACEB5">
            <w:pPr>
              <w:jc w:val="center"/>
              <w:rPr>
                <w:color w:val="auto"/>
                <w:highlight w:val="none"/>
              </w:rPr>
            </w:pPr>
            <w:r>
              <w:rPr>
                <w:rFonts w:hint="eastAsia"/>
                <w:color w:val="auto"/>
                <w:highlight w:val="none"/>
              </w:rPr>
              <w:t>20分</w:t>
            </w:r>
          </w:p>
        </w:tc>
        <w:tc>
          <w:tcPr>
            <w:tcW w:w="708" w:type="dxa"/>
            <w:vAlign w:val="center"/>
          </w:tcPr>
          <w:p w14:paraId="2C18D690">
            <w:pPr>
              <w:rPr>
                <w:color w:val="auto"/>
                <w:highlight w:val="none"/>
              </w:rPr>
            </w:pPr>
          </w:p>
        </w:tc>
        <w:tc>
          <w:tcPr>
            <w:tcW w:w="1695" w:type="dxa"/>
            <w:vAlign w:val="center"/>
          </w:tcPr>
          <w:p w14:paraId="4FEC1FDD">
            <w:pPr>
              <w:rPr>
                <w:color w:val="auto"/>
                <w:highlight w:val="none"/>
              </w:rPr>
            </w:pPr>
            <w:r>
              <w:rPr>
                <w:rFonts w:hint="eastAsia"/>
                <w:color w:val="auto"/>
                <w:highlight w:val="none"/>
              </w:rPr>
              <w:t>未及时完成一项扣5分</w:t>
            </w:r>
          </w:p>
        </w:tc>
      </w:tr>
    </w:tbl>
    <w:p w14:paraId="01D92C6E">
      <w:pPr>
        <w:widowControl/>
        <w:autoSpaceDE w:val="0"/>
        <w:autoSpaceDN w:val="0"/>
        <w:spacing w:line="360" w:lineRule="auto"/>
        <w:textAlignment w:val="bottom"/>
        <w:rPr>
          <w:b/>
          <w:color w:val="auto"/>
          <w:sz w:val="24"/>
          <w:highlight w:val="none"/>
        </w:rPr>
      </w:pPr>
    </w:p>
    <w:p w14:paraId="038A2F1D">
      <w:pPr>
        <w:widowControl/>
        <w:autoSpaceDE w:val="0"/>
        <w:autoSpaceDN w:val="0"/>
        <w:spacing w:line="360" w:lineRule="auto"/>
        <w:textAlignment w:val="bottom"/>
        <w:rPr>
          <w:b/>
          <w:color w:val="auto"/>
          <w:sz w:val="24"/>
          <w:highlight w:val="none"/>
        </w:rPr>
      </w:pPr>
      <w:r>
        <w:rPr>
          <w:rFonts w:hint="eastAsia"/>
          <w:b/>
          <w:color w:val="auto"/>
          <w:sz w:val="24"/>
          <w:highlight w:val="none"/>
        </w:rPr>
        <w:t>九、</w:t>
      </w:r>
      <w:r>
        <w:rPr>
          <w:b/>
          <w:color w:val="auto"/>
          <w:sz w:val="24"/>
          <w:highlight w:val="none"/>
        </w:rPr>
        <w:t>技术资料及知识产权</w:t>
      </w:r>
    </w:p>
    <w:p w14:paraId="673E1306">
      <w:pPr>
        <w:adjustRightInd/>
        <w:spacing w:line="360" w:lineRule="auto"/>
        <w:ind w:firstLine="480" w:firstLineChars="200"/>
        <w:jc w:val="left"/>
        <w:outlineLvl w:val="0"/>
        <w:rPr>
          <w:rFonts w:hint="eastAsia" w:ascii="宋体" w:hAnsi="宋体"/>
          <w:color w:val="auto"/>
          <w:sz w:val="24"/>
          <w:highlight w:val="none"/>
        </w:rPr>
      </w:pPr>
      <w:r>
        <w:rPr>
          <w:color w:val="auto"/>
          <w:sz w:val="24"/>
          <w:highlight w:val="none"/>
        </w:rPr>
        <w:t>本项目执行过程中所产生的数据资料和技术报告均为采购人所有，投标人未经同意不得擅自使用，由此产生的一切后果由投标人承担。投标人需和采购人签订相应的保密协议。投标人对在服务过程中接触到的采购人的任何资料、文件、数据以及对服务形成的任何交付物负有保密责任，未经采购人书面同意，投标人不得以任何形式进行利用，不得以任何方式向任何第三方提供或透露。投标人如违反上述保密规定，采购人</w:t>
      </w:r>
      <w:r>
        <w:rPr>
          <w:rFonts w:ascii="宋体" w:hAnsi="宋体"/>
          <w:color w:val="auto"/>
          <w:sz w:val="24"/>
          <w:highlight w:val="none"/>
        </w:rPr>
        <w:t>有权终止合同，并要求</w:t>
      </w:r>
      <w:r>
        <w:rPr>
          <w:color w:val="auto"/>
          <w:sz w:val="24"/>
          <w:highlight w:val="none"/>
        </w:rPr>
        <w:t>投标人</w:t>
      </w:r>
      <w:r>
        <w:rPr>
          <w:rFonts w:ascii="宋体" w:hAnsi="宋体"/>
          <w:color w:val="auto"/>
          <w:sz w:val="24"/>
          <w:highlight w:val="none"/>
        </w:rPr>
        <w:t>承担相应违约责任，并支付违约金，违约金最高限价为合同金额的20%。</w:t>
      </w:r>
      <w:r>
        <w:rPr>
          <w:color w:val="auto"/>
          <w:sz w:val="24"/>
          <w:highlight w:val="none"/>
        </w:rPr>
        <w:t>本保密义务不因本项目合同期满、解除或终止而终止，除非采购人书面通知投标人解密，否则，投标人在合同终止后仍然负有保</w:t>
      </w:r>
      <w:r>
        <w:rPr>
          <w:rFonts w:ascii="宋体" w:hAnsi="宋体"/>
          <w:color w:val="auto"/>
          <w:sz w:val="24"/>
          <w:highlight w:val="none"/>
        </w:rPr>
        <w:t>密义务。</w:t>
      </w:r>
    </w:p>
    <w:p w14:paraId="536CB372">
      <w:pPr>
        <w:adjustRightInd/>
        <w:spacing w:line="360" w:lineRule="auto"/>
        <w:ind w:firstLine="482" w:firstLineChars="200"/>
        <w:jc w:val="center"/>
        <w:outlineLvl w:val="0"/>
        <w:rPr>
          <w:rFonts w:hint="eastAsia" w:ascii="宋体" w:hAnsi="宋体" w:cs="宋体"/>
          <w:b/>
          <w:color w:val="auto"/>
          <w:sz w:val="36"/>
          <w:szCs w:val="36"/>
          <w:highlight w:val="none"/>
        </w:rPr>
      </w:pPr>
      <w:r>
        <w:rPr>
          <w:rFonts w:hint="eastAsia" w:ascii="宋体" w:hAnsi="宋体" w:cs="宋体"/>
          <w:b/>
          <w:color w:val="auto"/>
          <w:sz w:val="24"/>
          <w:highlight w:val="none"/>
        </w:rPr>
        <w:br w:type="page"/>
      </w:r>
      <w:r>
        <w:rPr>
          <w:rFonts w:hint="eastAsia" w:ascii="宋体" w:hAnsi="宋体" w:cs="宋体"/>
          <w:b/>
          <w:color w:val="auto"/>
          <w:sz w:val="36"/>
          <w:szCs w:val="36"/>
          <w:highlight w:val="none"/>
        </w:rPr>
        <w:t xml:space="preserve">第四部分   </w:t>
      </w:r>
      <w:bookmarkStart w:id="39" w:name="_Toc184310298"/>
      <w:bookmarkEnd w:id="39"/>
      <w:bookmarkStart w:id="40" w:name="_Toc184310297"/>
      <w:bookmarkEnd w:id="40"/>
      <w:bookmarkStart w:id="41" w:name="_Toc184313241"/>
      <w:bookmarkEnd w:id="41"/>
      <w:bookmarkStart w:id="42" w:name="_Toc184314465"/>
      <w:bookmarkEnd w:id="42"/>
      <w:bookmarkStart w:id="43" w:name="_Toc184313243"/>
      <w:bookmarkEnd w:id="43"/>
      <w:bookmarkStart w:id="44" w:name="_Toc184308062"/>
      <w:bookmarkEnd w:id="44"/>
      <w:bookmarkStart w:id="45" w:name="_Toc184310296"/>
      <w:bookmarkEnd w:id="45"/>
      <w:bookmarkStart w:id="46" w:name="_Toc184310316"/>
      <w:bookmarkEnd w:id="46"/>
      <w:bookmarkStart w:id="47" w:name="_Toc184312089"/>
      <w:bookmarkEnd w:id="47"/>
      <w:bookmarkStart w:id="48" w:name="_Toc184310340"/>
      <w:bookmarkEnd w:id="48"/>
      <w:bookmarkStart w:id="49" w:name="_Toc184314425"/>
      <w:bookmarkEnd w:id="49"/>
      <w:bookmarkStart w:id="50" w:name="_Toc184312098"/>
      <w:bookmarkEnd w:id="50"/>
      <w:bookmarkStart w:id="51" w:name="_Toc184310315"/>
      <w:bookmarkEnd w:id="51"/>
      <w:bookmarkStart w:id="52" w:name="_Toc184313283"/>
      <w:bookmarkEnd w:id="52"/>
      <w:bookmarkStart w:id="53" w:name="_Toc184308059"/>
      <w:bookmarkEnd w:id="53"/>
      <w:bookmarkStart w:id="54" w:name="_Toc184308050"/>
      <w:bookmarkEnd w:id="54"/>
      <w:bookmarkStart w:id="55" w:name="_Toc184308051"/>
      <w:bookmarkEnd w:id="55"/>
      <w:bookmarkStart w:id="56" w:name="_Toc184314461"/>
      <w:bookmarkEnd w:id="56"/>
      <w:bookmarkStart w:id="57" w:name="_Toc184313274"/>
      <w:bookmarkEnd w:id="57"/>
      <w:bookmarkStart w:id="58" w:name="_Toc184313249"/>
      <w:bookmarkEnd w:id="58"/>
      <w:bookmarkStart w:id="59" w:name="_Toc184312108"/>
      <w:bookmarkEnd w:id="59"/>
      <w:bookmarkStart w:id="60" w:name="_Toc184314481"/>
      <w:bookmarkEnd w:id="60"/>
      <w:bookmarkStart w:id="61" w:name="_Toc184312093"/>
      <w:bookmarkEnd w:id="61"/>
      <w:bookmarkStart w:id="62" w:name="_Toc184308095"/>
      <w:bookmarkEnd w:id="62"/>
      <w:bookmarkStart w:id="63" w:name="_Toc184310301"/>
      <w:bookmarkEnd w:id="63"/>
      <w:bookmarkStart w:id="64" w:name="_Toc184310317"/>
      <w:bookmarkEnd w:id="64"/>
      <w:bookmarkStart w:id="65" w:name="_Toc184313296"/>
      <w:bookmarkEnd w:id="65"/>
      <w:bookmarkStart w:id="66" w:name="_Toc184314454"/>
      <w:bookmarkEnd w:id="66"/>
      <w:bookmarkStart w:id="67" w:name="_Toc184312097"/>
      <w:bookmarkEnd w:id="67"/>
      <w:bookmarkStart w:id="68" w:name="_Toc184308096"/>
      <w:bookmarkEnd w:id="68"/>
      <w:bookmarkStart w:id="69" w:name="_Toc184313238"/>
      <w:bookmarkEnd w:id="69"/>
      <w:bookmarkStart w:id="70" w:name="_Toc184308057"/>
      <w:bookmarkEnd w:id="70"/>
      <w:bookmarkStart w:id="71" w:name="_Toc184314415"/>
      <w:bookmarkEnd w:id="71"/>
      <w:bookmarkStart w:id="72" w:name="_Toc184310308"/>
      <w:bookmarkEnd w:id="72"/>
      <w:bookmarkStart w:id="73" w:name="_Toc184310287"/>
      <w:bookmarkEnd w:id="73"/>
      <w:bookmarkStart w:id="74" w:name="_Toc184313270"/>
      <w:bookmarkEnd w:id="74"/>
      <w:bookmarkStart w:id="75" w:name="_Toc184313309"/>
      <w:bookmarkEnd w:id="75"/>
      <w:bookmarkStart w:id="76" w:name="_Toc184313291"/>
      <w:bookmarkEnd w:id="76"/>
      <w:bookmarkStart w:id="77" w:name="_Toc184308081"/>
      <w:bookmarkEnd w:id="77"/>
      <w:bookmarkStart w:id="78" w:name="_Toc184313295"/>
      <w:bookmarkEnd w:id="78"/>
      <w:bookmarkStart w:id="79" w:name="_Toc184310277"/>
      <w:bookmarkEnd w:id="79"/>
      <w:bookmarkStart w:id="80" w:name="_Toc184308053"/>
      <w:bookmarkEnd w:id="80"/>
      <w:bookmarkStart w:id="81" w:name="_Toc184308069"/>
      <w:bookmarkEnd w:id="81"/>
      <w:bookmarkStart w:id="82" w:name="_Toc184314422"/>
      <w:bookmarkEnd w:id="82"/>
      <w:bookmarkStart w:id="83" w:name="_Toc184312078"/>
      <w:bookmarkEnd w:id="83"/>
      <w:bookmarkStart w:id="84" w:name="_Toc184313259"/>
      <w:bookmarkEnd w:id="84"/>
      <w:bookmarkStart w:id="85" w:name="_Toc184312084"/>
      <w:bookmarkEnd w:id="85"/>
      <w:bookmarkStart w:id="86" w:name="_Toc184312114"/>
      <w:bookmarkEnd w:id="86"/>
      <w:bookmarkStart w:id="87" w:name="_Toc184308073"/>
      <w:bookmarkEnd w:id="87"/>
      <w:bookmarkStart w:id="88" w:name="_Toc184313267"/>
      <w:bookmarkEnd w:id="88"/>
      <w:bookmarkStart w:id="89" w:name="_Toc184314451"/>
      <w:bookmarkEnd w:id="89"/>
      <w:bookmarkStart w:id="90" w:name="_Toc184312115"/>
      <w:bookmarkEnd w:id="90"/>
      <w:bookmarkStart w:id="91" w:name="_Toc184312129"/>
      <w:bookmarkEnd w:id="91"/>
      <w:bookmarkStart w:id="92" w:name="_Toc184314419"/>
      <w:bookmarkEnd w:id="92"/>
      <w:bookmarkStart w:id="93" w:name="_Toc184310326"/>
      <w:bookmarkEnd w:id="93"/>
      <w:bookmarkStart w:id="94" w:name="_Toc184314437"/>
      <w:bookmarkEnd w:id="94"/>
      <w:bookmarkStart w:id="95" w:name="_Toc184310307"/>
      <w:bookmarkEnd w:id="95"/>
      <w:bookmarkStart w:id="96" w:name="_Toc184314480"/>
      <w:bookmarkEnd w:id="96"/>
      <w:bookmarkStart w:id="97" w:name="_Toc184310274"/>
      <w:bookmarkEnd w:id="97"/>
      <w:bookmarkStart w:id="98" w:name="_Toc184308084"/>
      <w:bookmarkEnd w:id="98"/>
      <w:bookmarkStart w:id="99" w:name="_Toc184314478"/>
      <w:bookmarkEnd w:id="99"/>
      <w:bookmarkStart w:id="100" w:name="_Toc184308061"/>
      <w:bookmarkEnd w:id="100"/>
      <w:bookmarkStart w:id="101" w:name="_Toc184312126"/>
      <w:bookmarkEnd w:id="101"/>
      <w:bookmarkStart w:id="102" w:name="_Toc184314440"/>
      <w:bookmarkEnd w:id="102"/>
      <w:bookmarkStart w:id="103" w:name="_Toc184308045"/>
      <w:bookmarkEnd w:id="103"/>
      <w:bookmarkStart w:id="104" w:name="_Toc184312103"/>
      <w:bookmarkEnd w:id="104"/>
      <w:bookmarkStart w:id="105" w:name="_Toc184310334"/>
      <w:bookmarkEnd w:id="105"/>
      <w:bookmarkStart w:id="106" w:name="_Toc184313305"/>
      <w:bookmarkEnd w:id="106"/>
      <w:bookmarkStart w:id="107" w:name="_Toc184313256"/>
      <w:bookmarkEnd w:id="107"/>
      <w:bookmarkStart w:id="108" w:name="_Toc184312081"/>
      <w:bookmarkEnd w:id="108"/>
      <w:bookmarkStart w:id="109" w:name="_Toc184313272"/>
      <w:bookmarkEnd w:id="109"/>
      <w:bookmarkStart w:id="110" w:name="_Toc184313303"/>
      <w:bookmarkEnd w:id="110"/>
      <w:bookmarkStart w:id="111" w:name="_Toc184314447"/>
      <w:bookmarkEnd w:id="111"/>
      <w:bookmarkStart w:id="112" w:name="_Toc184308072"/>
      <w:bookmarkEnd w:id="112"/>
      <w:bookmarkStart w:id="113" w:name="_Toc184312110"/>
      <w:bookmarkEnd w:id="113"/>
      <w:bookmarkStart w:id="114" w:name="_Toc184314428"/>
      <w:bookmarkEnd w:id="114"/>
      <w:bookmarkStart w:id="115" w:name="_Toc184314434"/>
      <w:bookmarkEnd w:id="115"/>
      <w:bookmarkStart w:id="116" w:name="_Toc184314445"/>
      <w:bookmarkEnd w:id="116"/>
      <w:bookmarkStart w:id="117" w:name="_Toc184313250"/>
      <w:bookmarkEnd w:id="117"/>
      <w:bookmarkStart w:id="118" w:name="_Toc184312083"/>
      <w:bookmarkEnd w:id="118"/>
      <w:bookmarkStart w:id="119" w:name="_Toc184310309"/>
      <w:bookmarkEnd w:id="119"/>
      <w:bookmarkStart w:id="120" w:name="_Toc184314417"/>
      <w:bookmarkEnd w:id="120"/>
      <w:bookmarkStart w:id="121" w:name="_Toc184314482"/>
      <w:bookmarkEnd w:id="121"/>
      <w:bookmarkStart w:id="122" w:name="_Toc184312082"/>
      <w:bookmarkEnd w:id="122"/>
      <w:bookmarkStart w:id="123" w:name="_Toc184310282"/>
      <w:bookmarkEnd w:id="123"/>
      <w:bookmarkStart w:id="124" w:name="_Toc184314462"/>
      <w:bookmarkEnd w:id="124"/>
      <w:bookmarkStart w:id="125" w:name="_Toc184312069"/>
      <w:bookmarkEnd w:id="125"/>
      <w:bookmarkStart w:id="126" w:name="_Toc184313269"/>
      <w:bookmarkEnd w:id="126"/>
      <w:bookmarkStart w:id="127" w:name="_Toc184308039"/>
      <w:bookmarkEnd w:id="127"/>
      <w:bookmarkStart w:id="128" w:name="_Toc184314455"/>
      <w:bookmarkEnd w:id="128"/>
      <w:bookmarkStart w:id="129" w:name="_Toc184312109"/>
      <w:bookmarkEnd w:id="129"/>
      <w:bookmarkStart w:id="130" w:name="_Toc184314453"/>
      <w:bookmarkEnd w:id="130"/>
      <w:bookmarkStart w:id="131" w:name="_Toc184310337"/>
      <w:bookmarkEnd w:id="131"/>
      <w:bookmarkStart w:id="132" w:name="_Toc184310320"/>
      <w:bookmarkEnd w:id="132"/>
      <w:bookmarkStart w:id="133" w:name="_Toc184308040"/>
      <w:bookmarkEnd w:id="133"/>
      <w:bookmarkStart w:id="134" w:name="_Toc184313273"/>
      <w:bookmarkEnd w:id="134"/>
      <w:bookmarkStart w:id="135" w:name="_Toc184310286"/>
      <w:bookmarkEnd w:id="135"/>
      <w:bookmarkStart w:id="136" w:name="_Toc184314459"/>
      <w:bookmarkEnd w:id="136"/>
      <w:bookmarkStart w:id="137" w:name="_Toc184312113"/>
      <w:bookmarkEnd w:id="137"/>
      <w:bookmarkStart w:id="138" w:name="_Toc184310343"/>
      <w:bookmarkEnd w:id="138"/>
      <w:bookmarkStart w:id="139" w:name="_Toc184313262"/>
      <w:bookmarkEnd w:id="139"/>
      <w:bookmarkStart w:id="140" w:name="_Toc184310321"/>
      <w:bookmarkEnd w:id="140"/>
      <w:bookmarkStart w:id="141" w:name="_Toc184312075"/>
      <w:bookmarkEnd w:id="141"/>
      <w:bookmarkStart w:id="142" w:name="_Toc184308067"/>
      <w:bookmarkEnd w:id="142"/>
      <w:bookmarkStart w:id="143" w:name="_Toc184313299"/>
      <w:bookmarkEnd w:id="143"/>
      <w:bookmarkStart w:id="144" w:name="_Toc184310275"/>
      <w:bookmarkEnd w:id="144"/>
      <w:bookmarkStart w:id="145" w:name="_Toc184313284"/>
      <w:bookmarkEnd w:id="145"/>
      <w:bookmarkStart w:id="146" w:name="_Toc184308094"/>
      <w:bookmarkEnd w:id="146"/>
      <w:bookmarkStart w:id="147" w:name="_Toc184312088"/>
      <w:bookmarkEnd w:id="147"/>
      <w:bookmarkStart w:id="148" w:name="_Toc184308108"/>
      <w:bookmarkEnd w:id="148"/>
      <w:bookmarkStart w:id="149" w:name="_Toc184308087"/>
      <w:bookmarkEnd w:id="149"/>
      <w:bookmarkStart w:id="150" w:name="_Toc184308046"/>
      <w:bookmarkEnd w:id="150"/>
      <w:bookmarkStart w:id="151" w:name="_Toc184313245"/>
      <w:bookmarkEnd w:id="151"/>
      <w:bookmarkStart w:id="152" w:name="_Toc184310344"/>
      <w:bookmarkEnd w:id="152"/>
      <w:bookmarkStart w:id="153" w:name="_Toc184312101"/>
      <w:bookmarkEnd w:id="153"/>
      <w:bookmarkStart w:id="154" w:name="_Toc184310341"/>
      <w:bookmarkEnd w:id="154"/>
      <w:bookmarkStart w:id="155" w:name="_Toc184308064"/>
      <w:bookmarkEnd w:id="155"/>
      <w:bookmarkStart w:id="156" w:name="_Toc184312074"/>
      <w:bookmarkEnd w:id="156"/>
      <w:bookmarkStart w:id="157" w:name="_Toc184308080"/>
      <w:bookmarkEnd w:id="157"/>
      <w:bookmarkStart w:id="158" w:name="_Toc184314452"/>
      <w:bookmarkEnd w:id="158"/>
      <w:bookmarkStart w:id="159" w:name="_Toc184310330"/>
      <w:bookmarkEnd w:id="159"/>
      <w:bookmarkStart w:id="160" w:name="_Toc184310319"/>
      <w:bookmarkEnd w:id="160"/>
      <w:bookmarkStart w:id="161" w:name="_Toc184314426"/>
      <w:bookmarkEnd w:id="161"/>
      <w:bookmarkStart w:id="162" w:name="_Toc184308098"/>
      <w:bookmarkEnd w:id="162"/>
      <w:bookmarkStart w:id="163" w:name="_Toc184312130"/>
      <w:bookmarkEnd w:id="163"/>
      <w:bookmarkStart w:id="164" w:name="_Toc184313276"/>
      <w:bookmarkEnd w:id="164"/>
      <w:bookmarkStart w:id="165" w:name="_Toc184308041"/>
      <w:bookmarkEnd w:id="165"/>
      <w:bookmarkStart w:id="166" w:name="_Toc184313293"/>
      <w:bookmarkEnd w:id="166"/>
      <w:bookmarkStart w:id="167" w:name="_Toc184308076"/>
      <w:bookmarkEnd w:id="167"/>
      <w:bookmarkStart w:id="168" w:name="_Toc184313310"/>
      <w:bookmarkEnd w:id="168"/>
      <w:bookmarkStart w:id="169" w:name="_Toc184312079"/>
      <w:bookmarkEnd w:id="169"/>
      <w:bookmarkStart w:id="170" w:name="_Toc184308074"/>
      <w:bookmarkEnd w:id="170"/>
      <w:bookmarkStart w:id="171" w:name="_Toc184313265"/>
      <w:bookmarkEnd w:id="171"/>
      <w:bookmarkStart w:id="172" w:name="_Toc184313279"/>
      <w:bookmarkEnd w:id="172"/>
      <w:bookmarkStart w:id="173" w:name="_Toc184308104"/>
      <w:bookmarkEnd w:id="173"/>
      <w:bookmarkStart w:id="174" w:name="_Toc184308099"/>
      <w:bookmarkEnd w:id="174"/>
      <w:bookmarkStart w:id="175" w:name="_Toc184314446"/>
      <w:bookmarkEnd w:id="175"/>
      <w:bookmarkStart w:id="176" w:name="_Toc184314436"/>
      <w:bookmarkEnd w:id="176"/>
      <w:bookmarkStart w:id="177" w:name="_Toc184310278"/>
      <w:bookmarkEnd w:id="177"/>
      <w:bookmarkStart w:id="178" w:name="_Toc184312100"/>
      <w:bookmarkEnd w:id="178"/>
      <w:bookmarkStart w:id="179" w:name="_Toc184314474"/>
      <w:bookmarkEnd w:id="179"/>
      <w:bookmarkStart w:id="180" w:name="_Toc184312137"/>
      <w:bookmarkEnd w:id="180"/>
      <w:bookmarkStart w:id="181" w:name="_Toc184308101"/>
      <w:bookmarkEnd w:id="181"/>
      <w:bookmarkStart w:id="182" w:name="_Toc184310292"/>
      <w:bookmarkEnd w:id="182"/>
      <w:bookmarkStart w:id="183" w:name="_Toc184312076"/>
      <w:bookmarkEnd w:id="183"/>
      <w:bookmarkStart w:id="184" w:name="_Toc184310281"/>
      <w:bookmarkEnd w:id="184"/>
      <w:bookmarkStart w:id="185" w:name="_Toc184314421"/>
      <w:bookmarkEnd w:id="185"/>
      <w:bookmarkStart w:id="186" w:name="_Toc184314431"/>
      <w:bookmarkEnd w:id="186"/>
      <w:bookmarkStart w:id="187" w:name="_Toc184310293"/>
      <w:bookmarkEnd w:id="187"/>
      <w:bookmarkStart w:id="188" w:name="_Toc184308058"/>
      <w:bookmarkEnd w:id="188"/>
      <w:bookmarkStart w:id="189" w:name="_Toc184314444"/>
      <w:bookmarkEnd w:id="189"/>
      <w:bookmarkStart w:id="190" w:name="_Toc184310314"/>
      <w:bookmarkEnd w:id="190"/>
      <w:bookmarkStart w:id="191" w:name="_Toc184314412"/>
      <w:bookmarkEnd w:id="191"/>
      <w:bookmarkStart w:id="192" w:name="_Toc184312134"/>
      <w:bookmarkEnd w:id="192"/>
      <w:bookmarkStart w:id="193" w:name="_Toc184312118"/>
      <w:bookmarkEnd w:id="193"/>
      <w:bookmarkStart w:id="194" w:name="_Toc184314469"/>
      <w:bookmarkEnd w:id="194"/>
      <w:bookmarkStart w:id="195" w:name="_Toc184310324"/>
      <w:bookmarkEnd w:id="195"/>
      <w:bookmarkStart w:id="196" w:name="_Toc184314473"/>
      <w:bookmarkEnd w:id="196"/>
      <w:bookmarkStart w:id="197" w:name="_Toc184310290"/>
      <w:bookmarkEnd w:id="197"/>
      <w:bookmarkStart w:id="198" w:name="_Toc184308068"/>
      <w:bookmarkEnd w:id="198"/>
      <w:bookmarkStart w:id="199" w:name="_Toc184314470"/>
      <w:bookmarkEnd w:id="199"/>
      <w:bookmarkStart w:id="200" w:name="_Toc184308065"/>
      <w:bookmarkEnd w:id="200"/>
      <w:bookmarkStart w:id="201" w:name="_Toc184310279"/>
      <w:bookmarkEnd w:id="201"/>
      <w:bookmarkStart w:id="202" w:name="_Toc184312122"/>
      <w:bookmarkEnd w:id="202"/>
      <w:bookmarkStart w:id="203" w:name="_Toc184313308"/>
      <w:bookmarkEnd w:id="203"/>
      <w:bookmarkStart w:id="204" w:name="_Toc184308048"/>
      <w:bookmarkEnd w:id="204"/>
      <w:bookmarkStart w:id="205" w:name="_Toc184310311"/>
      <w:bookmarkEnd w:id="205"/>
      <w:bookmarkStart w:id="206" w:name="_Toc184312106"/>
      <w:bookmarkEnd w:id="206"/>
      <w:bookmarkStart w:id="207" w:name="_Toc184308049"/>
      <w:bookmarkEnd w:id="207"/>
      <w:bookmarkStart w:id="208" w:name="_Toc184313251"/>
      <w:bookmarkEnd w:id="208"/>
      <w:bookmarkStart w:id="209" w:name="_Toc184314433"/>
      <w:bookmarkEnd w:id="209"/>
      <w:bookmarkStart w:id="210" w:name="_Toc184310331"/>
      <w:bookmarkEnd w:id="210"/>
      <w:bookmarkStart w:id="211" w:name="_Toc184313277"/>
      <w:bookmarkEnd w:id="211"/>
      <w:bookmarkStart w:id="212" w:name="_Toc184308093"/>
      <w:bookmarkEnd w:id="212"/>
      <w:bookmarkStart w:id="213" w:name="_Toc184310272"/>
      <w:bookmarkEnd w:id="213"/>
      <w:bookmarkStart w:id="214" w:name="_Toc184313255"/>
      <w:bookmarkEnd w:id="214"/>
      <w:bookmarkStart w:id="215" w:name="_Toc184314466"/>
      <w:bookmarkEnd w:id="215"/>
      <w:bookmarkStart w:id="216" w:name="_Toc184313246"/>
      <w:bookmarkEnd w:id="216"/>
      <w:bookmarkStart w:id="217" w:name="_Toc184310283"/>
      <w:bookmarkEnd w:id="217"/>
      <w:bookmarkStart w:id="218" w:name="_Toc184313286"/>
      <w:bookmarkEnd w:id="218"/>
      <w:bookmarkStart w:id="219" w:name="_Toc184314460"/>
      <w:bookmarkEnd w:id="219"/>
      <w:bookmarkStart w:id="220" w:name="_Toc184313278"/>
      <w:bookmarkEnd w:id="220"/>
      <w:bookmarkStart w:id="221" w:name="_Toc184313282"/>
      <w:bookmarkEnd w:id="221"/>
      <w:bookmarkStart w:id="222" w:name="_Toc184313271"/>
      <w:bookmarkEnd w:id="222"/>
      <w:bookmarkStart w:id="223" w:name="_Toc184310335"/>
      <w:bookmarkEnd w:id="223"/>
      <w:bookmarkStart w:id="224" w:name="_Toc184310310"/>
      <w:bookmarkEnd w:id="224"/>
      <w:bookmarkStart w:id="225" w:name="_Toc184310323"/>
      <w:bookmarkEnd w:id="225"/>
      <w:bookmarkStart w:id="226" w:name="_Toc184308056"/>
      <w:bookmarkEnd w:id="226"/>
      <w:bookmarkStart w:id="227" w:name="_Toc184312092"/>
      <w:bookmarkEnd w:id="227"/>
      <w:bookmarkStart w:id="228" w:name="_Toc184312117"/>
      <w:bookmarkEnd w:id="228"/>
      <w:bookmarkStart w:id="229" w:name="_Toc184308055"/>
      <w:bookmarkEnd w:id="229"/>
      <w:bookmarkStart w:id="230" w:name="_Toc184312111"/>
      <w:bookmarkEnd w:id="230"/>
      <w:bookmarkStart w:id="231" w:name="_Toc184312071"/>
      <w:bookmarkEnd w:id="231"/>
      <w:bookmarkStart w:id="232" w:name="_Toc184313307"/>
      <w:bookmarkEnd w:id="232"/>
      <w:bookmarkStart w:id="233" w:name="_Toc184314471"/>
      <w:bookmarkEnd w:id="233"/>
      <w:bookmarkStart w:id="234" w:name="_Toc184308107"/>
      <w:bookmarkEnd w:id="234"/>
      <w:bookmarkStart w:id="235" w:name="_Toc184313247"/>
      <w:bookmarkEnd w:id="235"/>
      <w:bookmarkStart w:id="236" w:name="_Toc184312087"/>
      <w:bookmarkEnd w:id="236"/>
      <w:bookmarkStart w:id="237" w:name="_Toc184313252"/>
      <w:bookmarkEnd w:id="237"/>
      <w:bookmarkStart w:id="238" w:name="_Toc184308042"/>
      <w:bookmarkEnd w:id="238"/>
      <w:bookmarkStart w:id="239" w:name="_Toc184308089"/>
      <w:bookmarkEnd w:id="239"/>
      <w:bookmarkStart w:id="240" w:name="_Toc184308100"/>
      <w:bookmarkEnd w:id="240"/>
      <w:bookmarkStart w:id="241" w:name="_Toc184308078"/>
      <w:bookmarkEnd w:id="241"/>
      <w:bookmarkStart w:id="242" w:name="_Toc184314448"/>
      <w:bookmarkEnd w:id="242"/>
      <w:bookmarkStart w:id="243" w:name="_Toc184310329"/>
      <w:bookmarkEnd w:id="243"/>
      <w:bookmarkStart w:id="244" w:name="_Toc184310289"/>
      <w:bookmarkEnd w:id="244"/>
      <w:bookmarkStart w:id="245" w:name="_Toc184310302"/>
      <w:bookmarkEnd w:id="245"/>
      <w:bookmarkStart w:id="246" w:name="_Toc184314432"/>
      <w:bookmarkEnd w:id="246"/>
      <w:bookmarkStart w:id="247" w:name="_Toc184313253"/>
      <w:bookmarkEnd w:id="247"/>
      <w:bookmarkStart w:id="248" w:name="_Toc184313287"/>
      <w:bookmarkEnd w:id="248"/>
      <w:bookmarkStart w:id="249" w:name="_Toc184314427"/>
      <w:bookmarkEnd w:id="249"/>
      <w:bookmarkStart w:id="250" w:name="_Toc184312116"/>
      <w:bookmarkEnd w:id="250"/>
      <w:bookmarkStart w:id="251" w:name="_Toc184308070"/>
      <w:bookmarkEnd w:id="251"/>
      <w:bookmarkStart w:id="252" w:name="_Toc184310327"/>
      <w:bookmarkEnd w:id="252"/>
      <w:bookmarkStart w:id="253" w:name="_Toc184314475"/>
      <w:bookmarkEnd w:id="253"/>
      <w:bookmarkStart w:id="254" w:name="_Toc184308047"/>
      <w:bookmarkEnd w:id="254"/>
      <w:bookmarkStart w:id="255" w:name="_Toc184314410"/>
      <w:bookmarkEnd w:id="255"/>
      <w:bookmarkStart w:id="256" w:name="_Toc184314472"/>
      <w:bookmarkEnd w:id="256"/>
      <w:bookmarkStart w:id="257" w:name="_Toc184308066"/>
      <w:bookmarkEnd w:id="257"/>
      <w:bookmarkStart w:id="258" w:name="_Toc184310342"/>
      <w:bookmarkEnd w:id="258"/>
      <w:bookmarkStart w:id="259" w:name="_Toc184314413"/>
      <w:bookmarkEnd w:id="259"/>
      <w:bookmarkStart w:id="260" w:name="_Toc184310328"/>
      <w:bookmarkEnd w:id="260"/>
      <w:bookmarkStart w:id="261" w:name="_Toc184314477"/>
      <w:bookmarkEnd w:id="261"/>
      <w:bookmarkStart w:id="262" w:name="_Toc184308052"/>
      <w:bookmarkEnd w:id="262"/>
      <w:bookmarkStart w:id="263" w:name="_Toc184310304"/>
      <w:bookmarkEnd w:id="263"/>
      <w:bookmarkStart w:id="264" w:name="_Toc184314449"/>
      <w:bookmarkEnd w:id="264"/>
      <w:bookmarkStart w:id="265" w:name="_Toc184312133"/>
      <w:bookmarkEnd w:id="265"/>
      <w:bookmarkStart w:id="266" w:name="_Toc184310305"/>
      <w:bookmarkEnd w:id="266"/>
      <w:bookmarkStart w:id="267" w:name="_Toc184314479"/>
      <w:bookmarkEnd w:id="267"/>
      <w:bookmarkStart w:id="268" w:name="_Toc184312128"/>
      <w:bookmarkEnd w:id="268"/>
      <w:bookmarkStart w:id="269" w:name="_Toc184308105"/>
      <w:bookmarkEnd w:id="269"/>
      <w:bookmarkStart w:id="270" w:name="_Toc184310280"/>
      <w:bookmarkEnd w:id="270"/>
      <w:bookmarkStart w:id="271" w:name="_Toc184312139"/>
      <w:bookmarkEnd w:id="271"/>
      <w:bookmarkStart w:id="272" w:name="_Toc184310338"/>
      <w:bookmarkEnd w:id="272"/>
      <w:bookmarkStart w:id="273" w:name="_Toc184310303"/>
      <w:bookmarkEnd w:id="273"/>
      <w:bookmarkStart w:id="274" w:name="_Toc184310339"/>
      <w:bookmarkEnd w:id="274"/>
      <w:bookmarkStart w:id="275" w:name="_Toc184308090"/>
      <w:bookmarkEnd w:id="275"/>
      <w:bookmarkStart w:id="276" w:name="_Toc184314441"/>
      <w:bookmarkEnd w:id="276"/>
      <w:bookmarkStart w:id="277" w:name="_Toc184313280"/>
      <w:bookmarkEnd w:id="277"/>
      <w:bookmarkStart w:id="278" w:name="_Toc184313258"/>
      <w:bookmarkEnd w:id="278"/>
      <w:bookmarkStart w:id="279" w:name="_Toc184308088"/>
      <w:bookmarkEnd w:id="279"/>
      <w:bookmarkStart w:id="280" w:name="_Toc184312132"/>
      <w:bookmarkEnd w:id="280"/>
      <w:bookmarkStart w:id="281" w:name="_Toc184312124"/>
      <w:bookmarkEnd w:id="281"/>
      <w:bookmarkStart w:id="282" w:name="_Toc184312080"/>
      <w:bookmarkEnd w:id="282"/>
      <w:bookmarkStart w:id="283" w:name="_Toc184313254"/>
      <w:bookmarkEnd w:id="283"/>
      <w:bookmarkStart w:id="284" w:name="_Toc184312072"/>
      <w:bookmarkEnd w:id="284"/>
      <w:bookmarkStart w:id="285" w:name="_Toc184308037"/>
      <w:bookmarkEnd w:id="285"/>
      <w:bookmarkStart w:id="286" w:name="_Toc184310333"/>
      <w:bookmarkEnd w:id="286"/>
      <w:bookmarkStart w:id="287" w:name="_Toc184313294"/>
      <w:bookmarkEnd w:id="287"/>
      <w:bookmarkStart w:id="288" w:name="_Toc184312085"/>
      <w:bookmarkEnd w:id="288"/>
      <w:bookmarkStart w:id="289" w:name="_Toc184313290"/>
      <w:bookmarkEnd w:id="289"/>
      <w:bookmarkStart w:id="290" w:name="_Toc184308063"/>
      <w:bookmarkEnd w:id="290"/>
      <w:bookmarkStart w:id="291" w:name="_Toc184310312"/>
      <w:bookmarkEnd w:id="291"/>
      <w:bookmarkStart w:id="292" w:name="_Toc184308054"/>
      <w:bookmarkEnd w:id="292"/>
      <w:bookmarkStart w:id="293" w:name="_Toc184312073"/>
      <w:bookmarkEnd w:id="293"/>
      <w:bookmarkStart w:id="294" w:name="_Toc184310299"/>
      <w:bookmarkEnd w:id="294"/>
      <w:bookmarkStart w:id="295" w:name="_Toc184308082"/>
      <w:bookmarkEnd w:id="295"/>
      <w:bookmarkStart w:id="296" w:name="_Toc184313239"/>
      <w:bookmarkEnd w:id="296"/>
      <w:bookmarkStart w:id="297" w:name="_Toc184314416"/>
      <w:bookmarkEnd w:id="297"/>
      <w:bookmarkStart w:id="298" w:name="_Toc184308102"/>
      <w:bookmarkEnd w:id="298"/>
      <w:bookmarkStart w:id="299" w:name="_Toc184312068"/>
      <w:bookmarkEnd w:id="299"/>
      <w:bookmarkStart w:id="300" w:name="_Toc184313261"/>
      <w:bookmarkEnd w:id="300"/>
      <w:bookmarkStart w:id="301" w:name="_Toc184310294"/>
      <w:bookmarkEnd w:id="301"/>
      <w:bookmarkStart w:id="302" w:name="_Toc184313289"/>
      <w:bookmarkEnd w:id="302"/>
      <w:bookmarkStart w:id="303" w:name="_Toc184308083"/>
      <w:bookmarkEnd w:id="303"/>
      <w:bookmarkStart w:id="304" w:name="_Toc184310322"/>
      <w:bookmarkEnd w:id="304"/>
      <w:bookmarkStart w:id="305" w:name="_Toc184310332"/>
      <w:bookmarkEnd w:id="305"/>
      <w:bookmarkStart w:id="306" w:name="_Toc184310285"/>
      <w:bookmarkEnd w:id="306"/>
      <w:bookmarkStart w:id="307" w:name="_Toc184312125"/>
      <w:bookmarkEnd w:id="307"/>
      <w:bookmarkStart w:id="308" w:name="_Toc184310288"/>
      <w:bookmarkEnd w:id="308"/>
      <w:bookmarkStart w:id="309" w:name="_Toc184313260"/>
      <w:bookmarkEnd w:id="309"/>
      <w:bookmarkStart w:id="310" w:name="_Toc184310325"/>
      <w:bookmarkEnd w:id="310"/>
      <w:bookmarkStart w:id="311" w:name="_Toc184313285"/>
      <w:bookmarkEnd w:id="311"/>
      <w:bookmarkStart w:id="312" w:name="_Toc184314464"/>
      <w:bookmarkEnd w:id="312"/>
      <w:bookmarkStart w:id="313" w:name="_Toc184310318"/>
      <w:bookmarkEnd w:id="313"/>
      <w:bookmarkStart w:id="314" w:name="_Toc184313298"/>
      <w:bookmarkEnd w:id="314"/>
      <w:bookmarkStart w:id="315" w:name="_Toc184312138"/>
      <w:bookmarkEnd w:id="315"/>
      <w:bookmarkStart w:id="316" w:name="_Toc184313257"/>
      <w:bookmarkEnd w:id="316"/>
      <w:bookmarkStart w:id="317" w:name="_Toc184314435"/>
      <w:bookmarkEnd w:id="317"/>
      <w:bookmarkStart w:id="318" w:name="_Toc184308038"/>
      <w:bookmarkEnd w:id="318"/>
      <w:bookmarkStart w:id="319" w:name="_Toc184313266"/>
      <w:bookmarkEnd w:id="319"/>
      <w:bookmarkStart w:id="320" w:name="_Toc184312105"/>
      <w:bookmarkEnd w:id="320"/>
      <w:bookmarkStart w:id="321" w:name="_Toc184310291"/>
      <w:bookmarkEnd w:id="321"/>
      <w:bookmarkStart w:id="322" w:name="_Toc184314430"/>
      <w:bookmarkEnd w:id="322"/>
      <w:bookmarkStart w:id="323" w:name="_Toc184312099"/>
      <w:bookmarkEnd w:id="323"/>
      <w:bookmarkStart w:id="324" w:name="_Toc184310336"/>
      <w:bookmarkEnd w:id="324"/>
      <w:bookmarkStart w:id="325" w:name="_Toc184314457"/>
      <w:bookmarkEnd w:id="325"/>
      <w:bookmarkStart w:id="326" w:name="_Toc184308079"/>
      <w:bookmarkEnd w:id="326"/>
      <w:bookmarkStart w:id="327" w:name="_Toc184312102"/>
      <w:bookmarkEnd w:id="327"/>
      <w:bookmarkStart w:id="328" w:name="_Toc184312136"/>
      <w:bookmarkEnd w:id="328"/>
      <w:bookmarkStart w:id="329" w:name="_Toc184314418"/>
      <w:bookmarkEnd w:id="329"/>
      <w:bookmarkStart w:id="330" w:name="_Toc184308086"/>
      <w:bookmarkEnd w:id="330"/>
      <w:bookmarkStart w:id="331" w:name="_Toc184314443"/>
      <w:bookmarkEnd w:id="331"/>
      <w:bookmarkStart w:id="332" w:name="_Toc184313242"/>
      <w:bookmarkEnd w:id="332"/>
      <w:bookmarkStart w:id="333" w:name="_Toc184312086"/>
      <w:bookmarkEnd w:id="333"/>
      <w:bookmarkStart w:id="334" w:name="_Toc184312119"/>
      <w:bookmarkEnd w:id="334"/>
      <w:bookmarkStart w:id="335" w:name="_Toc184314438"/>
      <w:bookmarkEnd w:id="335"/>
      <w:bookmarkStart w:id="336" w:name="_Toc184314458"/>
      <w:bookmarkEnd w:id="336"/>
      <w:bookmarkStart w:id="337" w:name="_Toc184312104"/>
      <w:bookmarkEnd w:id="337"/>
      <w:bookmarkStart w:id="338" w:name="_Toc184312131"/>
      <w:bookmarkEnd w:id="338"/>
      <w:bookmarkStart w:id="339" w:name="_Toc184312094"/>
      <w:bookmarkEnd w:id="339"/>
      <w:bookmarkStart w:id="340" w:name="_Toc184310276"/>
      <w:bookmarkEnd w:id="340"/>
      <w:bookmarkStart w:id="341" w:name="_Toc184313292"/>
      <w:bookmarkEnd w:id="341"/>
      <w:bookmarkStart w:id="342" w:name="_Toc184308036"/>
      <w:bookmarkEnd w:id="342"/>
      <w:bookmarkStart w:id="343" w:name="_Toc184308091"/>
      <w:bookmarkEnd w:id="343"/>
      <w:bookmarkStart w:id="344" w:name="_Toc184312107"/>
      <w:bookmarkEnd w:id="344"/>
      <w:bookmarkStart w:id="345" w:name="_Toc184313304"/>
      <w:bookmarkEnd w:id="345"/>
      <w:bookmarkStart w:id="346" w:name="_Toc184313240"/>
      <w:bookmarkEnd w:id="346"/>
      <w:bookmarkStart w:id="347" w:name="_Toc184314439"/>
      <w:bookmarkEnd w:id="347"/>
      <w:bookmarkStart w:id="348" w:name="_Toc184314467"/>
      <w:bookmarkEnd w:id="348"/>
      <w:bookmarkStart w:id="349" w:name="_Toc184314450"/>
      <w:bookmarkEnd w:id="349"/>
      <w:bookmarkStart w:id="350" w:name="_Toc184308103"/>
      <w:bookmarkEnd w:id="350"/>
      <w:bookmarkStart w:id="351" w:name="_Toc184313302"/>
      <w:bookmarkEnd w:id="351"/>
      <w:bookmarkStart w:id="352" w:name="_Toc184313275"/>
      <w:bookmarkEnd w:id="352"/>
      <w:bookmarkStart w:id="353" w:name="_Toc184308075"/>
      <w:bookmarkEnd w:id="353"/>
      <w:bookmarkStart w:id="354" w:name="_Toc184314442"/>
      <w:bookmarkEnd w:id="354"/>
      <w:bookmarkStart w:id="355" w:name="_Toc184308077"/>
      <w:bookmarkEnd w:id="355"/>
      <w:bookmarkStart w:id="356" w:name="_Toc184314476"/>
      <w:bookmarkEnd w:id="356"/>
      <w:bookmarkStart w:id="357" w:name="_Toc184308085"/>
      <w:bookmarkEnd w:id="357"/>
      <w:bookmarkStart w:id="358" w:name="_Toc184312135"/>
      <w:bookmarkEnd w:id="358"/>
      <w:bookmarkStart w:id="359" w:name="_Toc184313300"/>
      <w:bookmarkEnd w:id="359"/>
      <w:bookmarkStart w:id="360" w:name="_Toc184312127"/>
      <w:bookmarkEnd w:id="360"/>
      <w:bookmarkStart w:id="361" w:name="_Toc184314423"/>
      <w:bookmarkEnd w:id="361"/>
      <w:bookmarkStart w:id="362" w:name="_Toc184312120"/>
      <w:bookmarkEnd w:id="362"/>
      <w:bookmarkStart w:id="363" w:name="_Toc184314429"/>
      <w:bookmarkEnd w:id="363"/>
      <w:bookmarkStart w:id="364" w:name="_Toc184308106"/>
      <w:bookmarkEnd w:id="364"/>
      <w:bookmarkStart w:id="365" w:name="_Toc184310273"/>
      <w:bookmarkEnd w:id="365"/>
      <w:bookmarkStart w:id="366" w:name="_Toc184308043"/>
      <w:bookmarkEnd w:id="366"/>
      <w:bookmarkStart w:id="367" w:name="_Toc184314414"/>
      <w:bookmarkEnd w:id="367"/>
      <w:bookmarkStart w:id="368" w:name="_Toc184308060"/>
      <w:bookmarkEnd w:id="368"/>
      <w:bookmarkStart w:id="369" w:name="_Toc184313268"/>
      <w:bookmarkEnd w:id="369"/>
      <w:bookmarkStart w:id="370" w:name="_Toc184314456"/>
      <w:bookmarkEnd w:id="370"/>
      <w:bookmarkStart w:id="371" w:name="_Toc184312090"/>
      <w:bookmarkEnd w:id="371"/>
      <w:bookmarkStart w:id="372" w:name="_Toc184314420"/>
      <w:bookmarkEnd w:id="372"/>
      <w:bookmarkStart w:id="373" w:name="_Toc184310300"/>
      <w:bookmarkEnd w:id="373"/>
      <w:bookmarkStart w:id="374" w:name="_Toc184310284"/>
      <w:bookmarkEnd w:id="374"/>
      <w:bookmarkStart w:id="375" w:name="_Toc184313244"/>
      <w:bookmarkEnd w:id="375"/>
      <w:bookmarkStart w:id="376" w:name="_Toc184313301"/>
      <w:bookmarkEnd w:id="376"/>
      <w:bookmarkStart w:id="377" w:name="_Toc184312095"/>
      <w:bookmarkEnd w:id="377"/>
      <w:bookmarkStart w:id="378" w:name="_Toc184313297"/>
      <w:bookmarkEnd w:id="378"/>
      <w:bookmarkStart w:id="379" w:name="_Toc184314463"/>
      <w:bookmarkEnd w:id="379"/>
      <w:bookmarkStart w:id="380" w:name="_Toc184314468"/>
      <w:bookmarkEnd w:id="380"/>
      <w:bookmarkStart w:id="381" w:name="_Toc184310306"/>
      <w:bookmarkEnd w:id="381"/>
      <w:bookmarkStart w:id="382" w:name="_Toc184308092"/>
      <w:bookmarkEnd w:id="382"/>
      <w:bookmarkStart w:id="383" w:name="_Toc184312070"/>
      <w:bookmarkEnd w:id="383"/>
      <w:bookmarkStart w:id="384" w:name="_Toc184314411"/>
      <w:bookmarkEnd w:id="384"/>
      <w:bookmarkStart w:id="385" w:name="_Toc184313264"/>
      <w:bookmarkEnd w:id="385"/>
      <w:bookmarkStart w:id="386" w:name="_Toc184313263"/>
      <w:bookmarkEnd w:id="386"/>
      <w:bookmarkStart w:id="387" w:name="_Toc184314424"/>
      <w:bookmarkEnd w:id="387"/>
      <w:bookmarkStart w:id="388" w:name="_Toc184312077"/>
      <w:bookmarkEnd w:id="388"/>
      <w:bookmarkStart w:id="389" w:name="_Toc184312096"/>
      <w:bookmarkEnd w:id="389"/>
      <w:bookmarkStart w:id="390" w:name="_Toc184313248"/>
      <w:bookmarkEnd w:id="390"/>
      <w:bookmarkStart w:id="391" w:name="_Toc184308097"/>
      <w:bookmarkEnd w:id="391"/>
      <w:bookmarkStart w:id="392" w:name="_Toc184312091"/>
      <w:bookmarkEnd w:id="392"/>
      <w:bookmarkStart w:id="393" w:name="_Toc184313281"/>
      <w:bookmarkEnd w:id="393"/>
      <w:bookmarkStart w:id="394" w:name="_Toc184310313"/>
      <w:bookmarkEnd w:id="394"/>
      <w:bookmarkStart w:id="395" w:name="_Toc184312112"/>
      <w:bookmarkEnd w:id="395"/>
      <w:bookmarkStart w:id="396" w:name="_Toc184308044"/>
      <w:bookmarkEnd w:id="396"/>
      <w:bookmarkStart w:id="397" w:name="_Toc184310295"/>
      <w:bookmarkEnd w:id="397"/>
      <w:bookmarkStart w:id="398" w:name="_Toc184313288"/>
      <w:bookmarkEnd w:id="398"/>
      <w:bookmarkStart w:id="399" w:name="_Toc184308071"/>
      <w:bookmarkEnd w:id="399"/>
      <w:bookmarkStart w:id="400" w:name="_Toc184313306"/>
      <w:bookmarkEnd w:id="400"/>
      <w:bookmarkStart w:id="401" w:name="_Toc184312121"/>
      <w:bookmarkEnd w:id="401"/>
      <w:bookmarkStart w:id="402" w:name="_Toc184312123"/>
      <w:bookmarkEnd w:id="402"/>
      <w:bookmarkStart w:id="403" w:name="_Toc184312067"/>
      <w:bookmarkEnd w:id="403"/>
      <w:r>
        <w:rPr>
          <w:rFonts w:hint="eastAsia" w:ascii="宋体" w:hAnsi="宋体" w:cs="宋体"/>
          <w:b/>
          <w:color w:val="auto"/>
          <w:sz w:val="36"/>
          <w:szCs w:val="36"/>
          <w:highlight w:val="none"/>
        </w:rPr>
        <w:t>评标办法</w:t>
      </w:r>
    </w:p>
    <w:p w14:paraId="0C2D0B03">
      <w:pPr>
        <w:snapToGrid w:val="0"/>
        <w:spacing w:line="360" w:lineRule="auto"/>
        <w:jc w:val="center"/>
        <w:rPr>
          <w:rFonts w:hint="eastAsia" w:ascii="宋体" w:hAnsi="宋体" w:cs="宋体"/>
          <w:b/>
          <w:color w:val="auto"/>
          <w:sz w:val="32"/>
          <w:szCs w:val="20"/>
          <w:highlight w:val="none"/>
        </w:rPr>
      </w:pPr>
      <w:r>
        <w:rPr>
          <w:rFonts w:hint="eastAsia" w:ascii="宋体" w:hAnsi="宋体" w:cs="宋体"/>
          <w:b/>
          <w:color w:val="auto"/>
          <w:sz w:val="32"/>
          <w:szCs w:val="20"/>
          <w:highlight w:val="none"/>
        </w:rPr>
        <w:t>评标办法前附表</w:t>
      </w:r>
    </w:p>
    <w:p w14:paraId="370C2976">
      <w:pPr>
        <w:pStyle w:val="4"/>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标项一：杭州市温室气体监测系统运维项目</w:t>
      </w:r>
    </w:p>
    <w:tbl>
      <w:tblPr>
        <w:tblStyle w:val="62"/>
        <w:tblW w:w="0" w:type="auto"/>
        <w:tblInd w:w="-53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4455"/>
        <w:gridCol w:w="754"/>
        <w:gridCol w:w="1137"/>
        <w:gridCol w:w="1947"/>
      </w:tblGrid>
      <w:tr w14:paraId="7B148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689F769F">
            <w:pPr>
              <w:adjustRightInd/>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序号</w:t>
            </w:r>
          </w:p>
        </w:tc>
        <w:tc>
          <w:tcPr>
            <w:tcW w:w="4455" w:type="dxa"/>
            <w:vAlign w:val="center"/>
          </w:tcPr>
          <w:p w14:paraId="48969B09">
            <w:pPr>
              <w:adjustRightInd/>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评标标准</w:t>
            </w:r>
          </w:p>
        </w:tc>
        <w:tc>
          <w:tcPr>
            <w:tcW w:w="754" w:type="dxa"/>
            <w:vAlign w:val="center"/>
          </w:tcPr>
          <w:p w14:paraId="54C689FA">
            <w:pPr>
              <w:adjustRightInd/>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权重</w:t>
            </w:r>
          </w:p>
        </w:tc>
        <w:tc>
          <w:tcPr>
            <w:tcW w:w="1137" w:type="dxa"/>
            <w:vAlign w:val="center"/>
          </w:tcPr>
          <w:p w14:paraId="5FA81043">
            <w:pPr>
              <w:adjustRightInd/>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主观分/客观分属性</w:t>
            </w:r>
          </w:p>
        </w:tc>
        <w:tc>
          <w:tcPr>
            <w:tcW w:w="1947" w:type="dxa"/>
            <w:vAlign w:val="center"/>
          </w:tcPr>
          <w:p w14:paraId="4D84CF61">
            <w:pPr>
              <w:adjustRightInd/>
              <w:spacing w:line="360" w:lineRule="auto"/>
              <w:jc w:val="center"/>
              <w:rPr>
                <w:rFonts w:hint="eastAsia" w:ascii="宋体" w:hAnsi="宋体" w:cs="宋体"/>
                <w:color w:val="auto"/>
                <w:sz w:val="24"/>
                <w:highlight w:val="none"/>
              </w:rPr>
            </w:pPr>
            <w:r>
              <w:rPr>
                <w:rFonts w:hint="eastAsia" w:ascii="宋体" w:hAnsi="宋体" w:cs="宋体"/>
                <w:bCs/>
                <w:color w:val="auto"/>
                <w:sz w:val="24"/>
                <w:highlight w:val="none"/>
              </w:rPr>
              <w:t>投标文件中评标标准相应的商务技术资料目录*</w:t>
            </w:r>
          </w:p>
        </w:tc>
      </w:tr>
      <w:tr w14:paraId="0DA75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5E36214D">
            <w:pPr>
              <w:adjustRightInd/>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4455" w:type="dxa"/>
          </w:tcPr>
          <w:p w14:paraId="5DA86A1A">
            <w:pPr>
              <w:adjustRightInd/>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投标人自2022年1月1日以来（以合同签订时间为准）具有温室气体监测系统建设或运维成功案例，每提供一个案例得0.5分，满分1分。（注：须同时提供合同及验收报告（或用户证明）等相关材料，否则不予认可。）</w:t>
            </w:r>
          </w:p>
        </w:tc>
        <w:tc>
          <w:tcPr>
            <w:tcW w:w="754" w:type="dxa"/>
            <w:vAlign w:val="center"/>
          </w:tcPr>
          <w:p w14:paraId="20FB4D33">
            <w:pPr>
              <w:adjustRightInd/>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1137" w:type="dxa"/>
            <w:vAlign w:val="center"/>
          </w:tcPr>
          <w:p w14:paraId="63CD6AA0">
            <w:pPr>
              <w:adjustRightInd/>
              <w:spacing w:line="360" w:lineRule="auto"/>
              <w:jc w:val="center"/>
              <w:rPr>
                <w:rFonts w:hint="eastAsia" w:ascii="宋体" w:hAnsi="宋体" w:cs="宋体"/>
                <w:color w:val="auto"/>
                <w:sz w:val="24"/>
                <w:highlight w:val="none"/>
              </w:rPr>
            </w:pPr>
            <w:r>
              <w:rPr>
                <w:rFonts w:hint="eastAsia" w:ascii="宋体" w:hAnsi="宋体" w:cs="宋体"/>
                <w:bCs/>
                <w:color w:val="auto"/>
                <w:sz w:val="24"/>
                <w:highlight w:val="none"/>
              </w:rPr>
              <w:t>客观分</w:t>
            </w:r>
          </w:p>
        </w:tc>
        <w:tc>
          <w:tcPr>
            <w:tcW w:w="1947" w:type="dxa"/>
            <w:vAlign w:val="center"/>
          </w:tcPr>
          <w:p w14:paraId="5A8078CE">
            <w:pPr>
              <w:adjustRightInd/>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同类项目业绩</w:t>
            </w:r>
          </w:p>
        </w:tc>
      </w:tr>
      <w:tr w14:paraId="42F78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683EBDF7">
            <w:pPr>
              <w:adjustRightInd/>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4455" w:type="dxa"/>
          </w:tcPr>
          <w:p w14:paraId="4A0A8FB6">
            <w:pPr>
              <w:adjustRightInd/>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运维内容响应程度：投标文件完全响应运维内容要求得20分，一项不能完全响应扣1分，扣完为止。</w:t>
            </w:r>
          </w:p>
        </w:tc>
        <w:tc>
          <w:tcPr>
            <w:tcW w:w="754" w:type="dxa"/>
            <w:vAlign w:val="center"/>
          </w:tcPr>
          <w:p w14:paraId="123810F0">
            <w:pPr>
              <w:adjustRightInd/>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20</w:t>
            </w:r>
          </w:p>
        </w:tc>
        <w:tc>
          <w:tcPr>
            <w:tcW w:w="1137" w:type="dxa"/>
            <w:vAlign w:val="center"/>
          </w:tcPr>
          <w:p w14:paraId="0BEE762C">
            <w:pPr>
              <w:adjustRightInd/>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客观分</w:t>
            </w:r>
          </w:p>
        </w:tc>
        <w:tc>
          <w:tcPr>
            <w:tcW w:w="1947" w:type="dxa"/>
            <w:vAlign w:val="center"/>
          </w:tcPr>
          <w:p w14:paraId="56382530">
            <w:pPr>
              <w:adjustRightInd/>
              <w:spacing w:line="360" w:lineRule="auto"/>
              <w:jc w:val="center"/>
              <w:rPr>
                <w:rFonts w:hint="eastAsia" w:ascii="宋体" w:hAnsi="宋体" w:cs="宋体"/>
                <w:color w:val="auto"/>
                <w:sz w:val="24"/>
                <w:highlight w:val="none"/>
              </w:rPr>
            </w:pPr>
            <w:r>
              <w:rPr>
                <w:rFonts w:ascii="宋体" w:hAnsi="宋体" w:cs="宋体"/>
                <w:color w:val="auto"/>
                <w:sz w:val="24"/>
                <w:highlight w:val="none"/>
              </w:rPr>
              <w:t>技术指标条款响应情况</w:t>
            </w:r>
          </w:p>
        </w:tc>
      </w:tr>
      <w:tr w14:paraId="2BD97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2DE5A4C2">
            <w:pPr>
              <w:adjustRightInd/>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3</w:t>
            </w:r>
          </w:p>
        </w:tc>
        <w:tc>
          <w:tcPr>
            <w:tcW w:w="4455" w:type="dxa"/>
          </w:tcPr>
          <w:p w14:paraId="5DEE5F58">
            <w:pPr>
              <w:adjustRightInd/>
              <w:spacing w:line="360" w:lineRule="auto"/>
              <w:rPr>
                <w:rFonts w:hint="eastAsia" w:ascii="宋体" w:hAnsi="宋体" w:cs="宋体"/>
                <w:color w:val="auto"/>
                <w:sz w:val="24"/>
                <w:highlight w:val="none"/>
              </w:rPr>
            </w:pPr>
            <w:r>
              <w:rPr>
                <w:rFonts w:hint="eastAsia" w:ascii="宋体" w:hAnsi="宋体" w:cs="宋体"/>
                <w:color w:val="auto"/>
                <w:sz w:val="24"/>
                <w:highlight w:val="none"/>
              </w:rPr>
              <w:t>运维方案</w:t>
            </w:r>
          </w:p>
        </w:tc>
        <w:tc>
          <w:tcPr>
            <w:tcW w:w="754" w:type="dxa"/>
            <w:vAlign w:val="center"/>
          </w:tcPr>
          <w:p w14:paraId="1CCCAE01">
            <w:pPr>
              <w:adjustRightInd/>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25</w:t>
            </w:r>
          </w:p>
        </w:tc>
        <w:tc>
          <w:tcPr>
            <w:tcW w:w="1137" w:type="dxa"/>
            <w:vAlign w:val="center"/>
          </w:tcPr>
          <w:p w14:paraId="733C1994">
            <w:pPr>
              <w:adjustRightInd/>
              <w:spacing w:line="360" w:lineRule="auto"/>
              <w:jc w:val="center"/>
              <w:rPr>
                <w:rFonts w:hint="eastAsia" w:ascii="宋体" w:hAnsi="宋体" w:cs="宋体"/>
                <w:color w:val="auto"/>
                <w:sz w:val="24"/>
                <w:highlight w:val="none"/>
              </w:rPr>
            </w:pPr>
          </w:p>
        </w:tc>
        <w:tc>
          <w:tcPr>
            <w:tcW w:w="1947" w:type="dxa"/>
            <w:vAlign w:val="center"/>
          </w:tcPr>
          <w:p w14:paraId="63AE2BF7">
            <w:pPr>
              <w:adjustRightInd/>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运维方案</w:t>
            </w:r>
          </w:p>
        </w:tc>
      </w:tr>
      <w:tr w14:paraId="06465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51AF3D29">
            <w:pPr>
              <w:adjustRightInd/>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3.1</w:t>
            </w:r>
          </w:p>
        </w:tc>
        <w:tc>
          <w:tcPr>
            <w:tcW w:w="4455" w:type="dxa"/>
            <w:vAlign w:val="center"/>
          </w:tcPr>
          <w:p w14:paraId="4ACA1C32">
            <w:pPr>
              <w:adjustRightInd/>
              <w:spacing w:line="360" w:lineRule="auto"/>
              <w:rPr>
                <w:rFonts w:hint="eastAsia" w:ascii="宋体" w:hAnsi="宋体" w:cs="宋体"/>
                <w:bCs/>
                <w:color w:val="auto"/>
                <w:sz w:val="24"/>
                <w:highlight w:val="none"/>
              </w:rPr>
            </w:pPr>
            <w:r>
              <w:rPr>
                <w:rFonts w:hint="eastAsia" w:ascii="宋体" w:hAnsi="宋体" w:cs="宋体"/>
                <w:color w:val="auto"/>
                <w:sz w:val="24"/>
                <w:highlight w:val="none"/>
              </w:rPr>
              <w:t>投标人针对</w:t>
            </w:r>
            <w:r>
              <w:rPr>
                <w:rFonts w:hint="eastAsia" w:ascii="宋体" w:hAnsi="宋体" w:cs="宋体"/>
                <w:bCs/>
                <w:color w:val="auto"/>
                <w:sz w:val="24"/>
                <w:highlight w:val="none"/>
              </w:rPr>
              <w:t>杭州市高精度温室气体监测网络各站点运维实施方案，提出解决问题的措施，明确维护方法、周期、内容及技术保障（包含本项目所含主要分析设备的日常维护、质控和常见故障诊断方法）等。1.实施方案完善、详细的得5分；</w:t>
            </w:r>
          </w:p>
          <w:p w14:paraId="46A87CE3">
            <w:pPr>
              <w:adjustRightInd/>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2.实施方案较完善略有欠缺的得4分；</w:t>
            </w:r>
          </w:p>
          <w:p w14:paraId="48CBD852">
            <w:pPr>
              <w:adjustRightInd/>
              <w:spacing w:line="360" w:lineRule="auto"/>
              <w:rPr>
                <w:rFonts w:hint="eastAsia" w:ascii="宋体" w:hAnsi="宋体" w:cs="宋体"/>
                <w:bCs/>
                <w:color w:val="auto"/>
                <w:sz w:val="24"/>
                <w:highlight w:val="none"/>
              </w:rPr>
            </w:pPr>
            <w:r>
              <w:rPr>
                <w:rFonts w:ascii="宋体" w:hAnsi="宋体" w:cs="宋体"/>
                <w:bCs/>
                <w:color w:val="auto"/>
                <w:sz w:val="24"/>
                <w:highlight w:val="none"/>
              </w:rPr>
              <w:t>3.</w:t>
            </w:r>
            <w:r>
              <w:rPr>
                <w:rFonts w:hint="eastAsia" w:ascii="宋体" w:hAnsi="宋体" w:cs="宋体"/>
                <w:bCs/>
                <w:color w:val="auto"/>
                <w:sz w:val="24"/>
                <w:highlight w:val="none"/>
              </w:rPr>
              <w:t>实施方案基本合理、可行的得3分；</w:t>
            </w:r>
          </w:p>
          <w:p w14:paraId="4F36A30C">
            <w:pPr>
              <w:adjustRightInd/>
              <w:spacing w:line="360" w:lineRule="auto"/>
              <w:rPr>
                <w:rFonts w:hint="eastAsia" w:ascii="宋体" w:hAnsi="宋体" w:cs="宋体"/>
                <w:bCs/>
                <w:color w:val="auto"/>
                <w:sz w:val="24"/>
                <w:highlight w:val="none"/>
              </w:rPr>
            </w:pPr>
            <w:r>
              <w:rPr>
                <w:rFonts w:ascii="宋体" w:hAnsi="宋体" w:cs="宋体"/>
                <w:bCs/>
                <w:color w:val="auto"/>
                <w:sz w:val="24"/>
                <w:highlight w:val="none"/>
              </w:rPr>
              <w:t>4.</w:t>
            </w:r>
            <w:r>
              <w:rPr>
                <w:rFonts w:hint="eastAsia" w:ascii="宋体" w:hAnsi="宋体" w:cs="宋体"/>
                <w:bCs/>
                <w:color w:val="auto"/>
                <w:sz w:val="24"/>
                <w:highlight w:val="none"/>
              </w:rPr>
              <w:t>实施方案一般缺少部分内容的的2分；</w:t>
            </w:r>
          </w:p>
          <w:p w14:paraId="7E19D45A">
            <w:pPr>
              <w:adjustRightInd/>
              <w:spacing w:line="360" w:lineRule="auto"/>
              <w:rPr>
                <w:rFonts w:hint="eastAsia" w:ascii="宋体" w:hAnsi="宋体" w:cs="宋体"/>
                <w:bCs/>
                <w:color w:val="auto"/>
                <w:sz w:val="24"/>
                <w:highlight w:val="none"/>
              </w:rPr>
            </w:pPr>
            <w:r>
              <w:rPr>
                <w:rFonts w:ascii="宋体" w:hAnsi="宋体" w:cs="宋体"/>
                <w:bCs/>
                <w:color w:val="auto"/>
                <w:sz w:val="24"/>
                <w:highlight w:val="none"/>
              </w:rPr>
              <w:t>5.</w:t>
            </w:r>
            <w:r>
              <w:rPr>
                <w:rFonts w:hint="eastAsia" w:ascii="宋体" w:hAnsi="宋体" w:cs="宋体"/>
                <w:bCs/>
                <w:color w:val="auto"/>
                <w:sz w:val="24"/>
                <w:highlight w:val="none"/>
              </w:rPr>
              <w:t>描述简单，缺少详细内容的得1分；</w:t>
            </w:r>
          </w:p>
          <w:p w14:paraId="3FF48E76">
            <w:pPr>
              <w:adjustRightInd/>
              <w:spacing w:line="360" w:lineRule="auto"/>
              <w:rPr>
                <w:rFonts w:hint="eastAsia" w:ascii="宋体" w:hAnsi="宋体" w:cs="宋体"/>
                <w:color w:val="auto"/>
                <w:sz w:val="24"/>
                <w:highlight w:val="none"/>
              </w:rPr>
            </w:pPr>
            <w:r>
              <w:rPr>
                <w:rFonts w:hint="eastAsia" w:ascii="宋体" w:hAnsi="宋体" w:cs="宋体"/>
                <w:bCs/>
                <w:color w:val="auto"/>
                <w:sz w:val="24"/>
                <w:highlight w:val="none"/>
              </w:rPr>
              <w:t>6.未提供相关内容或不满足采购需求要求的不得分。</w:t>
            </w:r>
          </w:p>
        </w:tc>
        <w:tc>
          <w:tcPr>
            <w:tcW w:w="754" w:type="dxa"/>
            <w:vAlign w:val="center"/>
          </w:tcPr>
          <w:p w14:paraId="240A11D2">
            <w:pPr>
              <w:adjustRightInd/>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5</w:t>
            </w:r>
          </w:p>
        </w:tc>
        <w:tc>
          <w:tcPr>
            <w:tcW w:w="1137" w:type="dxa"/>
            <w:vAlign w:val="center"/>
          </w:tcPr>
          <w:p w14:paraId="315A6DAC">
            <w:pPr>
              <w:adjustRightInd/>
              <w:spacing w:line="360" w:lineRule="auto"/>
              <w:jc w:val="center"/>
              <w:rPr>
                <w:rFonts w:hint="eastAsia" w:ascii="宋体" w:hAnsi="宋体" w:cs="宋体"/>
                <w:color w:val="auto"/>
                <w:sz w:val="24"/>
                <w:highlight w:val="none"/>
              </w:rPr>
            </w:pPr>
            <w:r>
              <w:rPr>
                <w:rFonts w:hint="eastAsia" w:ascii="宋体" w:hAnsi="宋体" w:cs="宋体"/>
                <w:bCs/>
                <w:color w:val="auto"/>
                <w:sz w:val="24"/>
                <w:highlight w:val="none"/>
              </w:rPr>
              <w:t>主观分</w:t>
            </w:r>
          </w:p>
        </w:tc>
        <w:tc>
          <w:tcPr>
            <w:tcW w:w="1947" w:type="dxa"/>
            <w:vAlign w:val="center"/>
          </w:tcPr>
          <w:p w14:paraId="752E24CA">
            <w:pPr>
              <w:adjustRightInd/>
              <w:spacing w:line="360" w:lineRule="auto"/>
              <w:jc w:val="center"/>
              <w:rPr>
                <w:rFonts w:hint="eastAsia" w:ascii="宋体" w:hAnsi="宋体" w:cs="宋体"/>
                <w:color w:val="auto"/>
                <w:sz w:val="24"/>
                <w:highlight w:val="none"/>
              </w:rPr>
            </w:pPr>
          </w:p>
        </w:tc>
      </w:tr>
      <w:tr w14:paraId="08440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54018000">
            <w:pPr>
              <w:adjustRightInd/>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3.2</w:t>
            </w:r>
          </w:p>
        </w:tc>
        <w:tc>
          <w:tcPr>
            <w:tcW w:w="4455" w:type="dxa"/>
            <w:vAlign w:val="center"/>
          </w:tcPr>
          <w:p w14:paraId="58985AA9">
            <w:pPr>
              <w:adjustRightInd/>
              <w:spacing w:line="360" w:lineRule="auto"/>
              <w:rPr>
                <w:rFonts w:hint="eastAsia" w:ascii="宋体" w:hAnsi="宋体" w:cs="宋体"/>
                <w:color w:val="auto"/>
                <w:sz w:val="24"/>
                <w:highlight w:val="none"/>
              </w:rPr>
            </w:pPr>
            <w:r>
              <w:rPr>
                <w:rFonts w:hint="eastAsia" w:ascii="宋体" w:hAnsi="宋体" w:cs="宋体"/>
                <w:color w:val="auto"/>
                <w:sz w:val="24"/>
                <w:highlight w:val="none"/>
              </w:rPr>
              <w:t>投标人针对碳通量监测站点的</w:t>
            </w:r>
            <w:r>
              <w:rPr>
                <w:rFonts w:hint="eastAsia" w:ascii="宋体" w:hAnsi="宋体" w:cs="宋体"/>
                <w:bCs/>
                <w:color w:val="auto"/>
                <w:sz w:val="24"/>
                <w:highlight w:val="none"/>
              </w:rPr>
              <w:t>主要设备及配件</w:t>
            </w:r>
            <w:r>
              <w:rPr>
                <w:rFonts w:hint="eastAsia" w:ascii="宋体" w:hAnsi="宋体" w:cs="宋体"/>
                <w:color w:val="auto"/>
                <w:sz w:val="24"/>
                <w:highlight w:val="none"/>
              </w:rPr>
              <w:t>、铁塔及站房的</w:t>
            </w:r>
            <w:r>
              <w:rPr>
                <w:rFonts w:hint="eastAsia" w:ascii="宋体" w:hAnsi="宋体" w:cs="宋体"/>
                <w:bCs/>
                <w:color w:val="auto"/>
                <w:sz w:val="24"/>
                <w:highlight w:val="none"/>
              </w:rPr>
              <w:t>日常维护</w:t>
            </w:r>
            <w:r>
              <w:rPr>
                <w:rFonts w:hint="eastAsia" w:ascii="宋体" w:hAnsi="宋体" w:cs="宋体"/>
                <w:color w:val="auto"/>
                <w:sz w:val="24"/>
                <w:highlight w:val="none"/>
              </w:rPr>
              <w:t>方案，</w:t>
            </w:r>
            <w:r>
              <w:rPr>
                <w:rFonts w:hint="eastAsia" w:ascii="宋体" w:hAnsi="宋体" w:cs="宋体"/>
                <w:bCs/>
                <w:color w:val="auto"/>
                <w:sz w:val="24"/>
                <w:highlight w:val="none"/>
              </w:rPr>
              <w:t>提出解决问题的措施。方案的</w:t>
            </w:r>
            <w:r>
              <w:rPr>
                <w:rFonts w:hint="eastAsia" w:ascii="宋体" w:hAnsi="宋体" w:cs="宋体"/>
                <w:color w:val="auto"/>
                <w:sz w:val="24"/>
                <w:highlight w:val="none"/>
              </w:rPr>
              <w:t>科学性、合理性、可操作性。</w:t>
            </w:r>
          </w:p>
          <w:p w14:paraId="67DAFD5A">
            <w:pPr>
              <w:adjustRightInd/>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1.维护方案完善、详细的得5分；</w:t>
            </w:r>
          </w:p>
          <w:p w14:paraId="57365E7B">
            <w:pPr>
              <w:adjustRightInd/>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2.维护方案较完善略有欠缺的得4分；</w:t>
            </w:r>
          </w:p>
          <w:p w14:paraId="5BD36707">
            <w:pPr>
              <w:adjustRightInd/>
              <w:spacing w:line="360" w:lineRule="auto"/>
              <w:rPr>
                <w:rFonts w:hint="eastAsia" w:ascii="宋体" w:hAnsi="宋体" w:cs="宋体"/>
                <w:bCs/>
                <w:color w:val="auto"/>
                <w:sz w:val="24"/>
                <w:highlight w:val="none"/>
              </w:rPr>
            </w:pPr>
            <w:r>
              <w:rPr>
                <w:rFonts w:ascii="宋体" w:hAnsi="宋体" w:cs="宋体"/>
                <w:bCs/>
                <w:color w:val="auto"/>
                <w:sz w:val="24"/>
                <w:highlight w:val="none"/>
              </w:rPr>
              <w:t>3.</w:t>
            </w:r>
            <w:r>
              <w:rPr>
                <w:rFonts w:hint="eastAsia" w:ascii="宋体" w:hAnsi="宋体" w:cs="宋体"/>
                <w:bCs/>
                <w:color w:val="auto"/>
                <w:sz w:val="24"/>
                <w:highlight w:val="none"/>
              </w:rPr>
              <w:t>维护方案基本合理、可行的得3分；</w:t>
            </w:r>
          </w:p>
          <w:p w14:paraId="58246948">
            <w:pPr>
              <w:adjustRightInd/>
              <w:spacing w:line="360" w:lineRule="auto"/>
              <w:rPr>
                <w:rFonts w:hint="eastAsia" w:ascii="宋体" w:hAnsi="宋体" w:cs="宋体"/>
                <w:bCs/>
                <w:color w:val="auto"/>
                <w:sz w:val="24"/>
                <w:highlight w:val="none"/>
              </w:rPr>
            </w:pPr>
            <w:r>
              <w:rPr>
                <w:rFonts w:ascii="宋体" w:hAnsi="宋体" w:cs="宋体"/>
                <w:bCs/>
                <w:color w:val="auto"/>
                <w:sz w:val="24"/>
                <w:highlight w:val="none"/>
              </w:rPr>
              <w:t>4.</w:t>
            </w:r>
            <w:r>
              <w:rPr>
                <w:rFonts w:hint="eastAsia" w:ascii="宋体" w:hAnsi="宋体" w:cs="宋体"/>
                <w:bCs/>
                <w:color w:val="auto"/>
                <w:sz w:val="24"/>
                <w:highlight w:val="none"/>
              </w:rPr>
              <w:t>维护方案一般缺少部分内容的的2分；</w:t>
            </w:r>
          </w:p>
          <w:p w14:paraId="07E7E506">
            <w:pPr>
              <w:adjustRightInd/>
              <w:spacing w:line="360" w:lineRule="auto"/>
              <w:rPr>
                <w:rFonts w:hint="eastAsia" w:ascii="宋体" w:hAnsi="宋体" w:cs="宋体"/>
                <w:bCs/>
                <w:color w:val="auto"/>
                <w:sz w:val="24"/>
                <w:highlight w:val="none"/>
              </w:rPr>
            </w:pPr>
            <w:r>
              <w:rPr>
                <w:rFonts w:ascii="宋体" w:hAnsi="宋体" w:cs="宋体"/>
                <w:bCs/>
                <w:color w:val="auto"/>
                <w:sz w:val="24"/>
                <w:highlight w:val="none"/>
              </w:rPr>
              <w:t>5.</w:t>
            </w:r>
            <w:r>
              <w:rPr>
                <w:rFonts w:hint="eastAsia" w:ascii="宋体" w:hAnsi="宋体" w:cs="宋体"/>
                <w:bCs/>
                <w:color w:val="auto"/>
                <w:sz w:val="24"/>
                <w:highlight w:val="none"/>
              </w:rPr>
              <w:t>描述简单，缺少详细内容的得1分；</w:t>
            </w:r>
          </w:p>
          <w:p w14:paraId="6649BFF0">
            <w:pPr>
              <w:adjustRightInd/>
              <w:spacing w:line="360" w:lineRule="auto"/>
              <w:rPr>
                <w:rFonts w:hint="eastAsia" w:ascii="宋体" w:hAnsi="宋体" w:cs="宋体"/>
                <w:color w:val="auto"/>
                <w:sz w:val="24"/>
                <w:highlight w:val="none"/>
              </w:rPr>
            </w:pPr>
            <w:r>
              <w:rPr>
                <w:rFonts w:hint="eastAsia" w:ascii="宋体" w:hAnsi="宋体" w:cs="宋体"/>
                <w:bCs/>
                <w:color w:val="auto"/>
                <w:sz w:val="24"/>
                <w:highlight w:val="none"/>
              </w:rPr>
              <w:t>6.未提供相关内容或不满足采购需求要求的不得分。</w:t>
            </w:r>
          </w:p>
        </w:tc>
        <w:tc>
          <w:tcPr>
            <w:tcW w:w="754" w:type="dxa"/>
            <w:vAlign w:val="center"/>
          </w:tcPr>
          <w:p w14:paraId="36555333">
            <w:pPr>
              <w:adjustRightInd/>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5</w:t>
            </w:r>
          </w:p>
        </w:tc>
        <w:tc>
          <w:tcPr>
            <w:tcW w:w="1137" w:type="dxa"/>
            <w:vAlign w:val="center"/>
          </w:tcPr>
          <w:p w14:paraId="02658C6B">
            <w:pPr>
              <w:adjustRightInd/>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主观分</w:t>
            </w:r>
          </w:p>
        </w:tc>
        <w:tc>
          <w:tcPr>
            <w:tcW w:w="1947" w:type="dxa"/>
            <w:vAlign w:val="center"/>
          </w:tcPr>
          <w:p w14:paraId="0CC8A3E4">
            <w:pPr>
              <w:adjustRightInd/>
              <w:spacing w:line="360" w:lineRule="auto"/>
              <w:jc w:val="center"/>
              <w:rPr>
                <w:rFonts w:hint="eastAsia" w:ascii="宋体" w:hAnsi="宋体" w:cs="宋体"/>
                <w:color w:val="auto"/>
                <w:sz w:val="24"/>
                <w:highlight w:val="none"/>
              </w:rPr>
            </w:pPr>
          </w:p>
        </w:tc>
      </w:tr>
      <w:tr w14:paraId="18C9F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3590A9E9">
            <w:pPr>
              <w:adjustRightInd/>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3.3</w:t>
            </w:r>
          </w:p>
        </w:tc>
        <w:tc>
          <w:tcPr>
            <w:tcW w:w="4455" w:type="dxa"/>
            <w:vAlign w:val="center"/>
          </w:tcPr>
          <w:p w14:paraId="09D318E2">
            <w:pPr>
              <w:adjustRightInd/>
              <w:spacing w:line="360" w:lineRule="auto"/>
              <w:rPr>
                <w:rFonts w:hint="eastAsia" w:ascii="宋体" w:hAnsi="宋体" w:cs="宋体"/>
                <w:color w:val="auto"/>
                <w:sz w:val="24"/>
                <w:highlight w:val="none"/>
              </w:rPr>
            </w:pPr>
            <w:r>
              <w:rPr>
                <w:rFonts w:hint="eastAsia" w:ascii="宋体" w:hAnsi="宋体" w:cs="宋体"/>
                <w:color w:val="auto"/>
                <w:sz w:val="24"/>
                <w:highlight w:val="none"/>
              </w:rPr>
              <w:t>数据处理、分析服务方案，针对平台</w:t>
            </w:r>
            <w:r>
              <w:rPr>
                <w:rFonts w:hint="eastAsia" w:ascii="宋体" w:hAnsi="宋体" w:cs="宋体"/>
                <w:bCs/>
                <w:color w:val="auto"/>
                <w:sz w:val="24"/>
                <w:highlight w:val="none"/>
              </w:rPr>
              <w:t>数据采集及数据审核。</w:t>
            </w:r>
            <w:r>
              <w:rPr>
                <w:rFonts w:hint="eastAsia" w:ascii="宋体" w:hAnsi="宋体" w:cs="宋体"/>
                <w:color w:val="auto"/>
                <w:sz w:val="24"/>
                <w:highlight w:val="none"/>
              </w:rPr>
              <w:t>方案的科学性、合理性、可操作性。</w:t>
            </w:r>
          </w:p>
          <w:p w14:paraId="026E3C65">
            <w:pPr>
              <w:adjustRightInd/>
              <w:spacing w:line="360" w:lineRule="auto"/>
              <w:rPr>
                <w:rFonts w:hint="eastAsia" w:ascii="宋体" w:hAnsi="宋体" w:cs="宋体"/>
                <w:color w:val="auto"/>
                <w:sz w:val="24"/>
                <w:highlight w:val="none"/>
              </w:rPr>
            </w:pPr>
            <w:r>
              <w:rPr>
                <w:rFonts w:hint="eastAsia" w:ascii="宋体" w:hAnsi="宋体" w:cs="宋体"/>
                <w:color w:val="auto"/>
                <w:sz w:val="24"/>
                <w:highlight w:val="none"/>
              </w:rPr>
              <w:t>1.方案完善，数据分析、审核标准高，报告编制内容全面、深入的得5分；</w:t>
            </w:r>
          </w:p>
          <w:p w14:paraId="5A0F9B33">
            <w:pPr>
              <w:adjustRightInd/>
              <w:spacing w:line="360" w:lineRule="auto"/>
              <w:rPr>
                <w:rFonts w:hint="eastAsia" w:ascii="宋体" w:hAnsi="宋体" w:cs="宋体"/>
                <w:color w:val="auto"/>
                <w:sz w:val="24"/>
                <w:highlight w:val="none"/>
              </w:rPr>
            </w:pPr>
            <w:r>
              <w:rPr>
                <w:rFonts w:hint="eastAsia" w:ascii="宋体" w:hAnsi="宋体" w:cs="宋体"/>
                <w:color w:val="auto"/>
                <w:sz w:val="24"/>
                <w:highlight w:val="none"/>
              </w:rPr>
              <w:t>2.方案较完善，数据分析、审核标准高，报告编制内容全面、深入的得4分；</w:t>
            </w:r>
          </w:p>
          <w:p w14:paraId="23C1C953">
            <w:pPr>
              <w:adjustRightInd/>
              <w:spacing w:line="360" w:lineRule="auto"/>
              <w:rPr>
                <w:rFonts w:hint="eastAsia" w:ascii="宋体" w:hAnsi="宋体" w:cs="宋体"/>
                <w:color w:val="auto"/>
                <w:sz w:val="24"/>
                <w:highlight w:val="none"/>
              </w:rPr>
            </w:pPr>
            <w:r>
              <w:rPr>
                <w:rFonts w:hint="eastAsia" w:ascii="宋体" w:hAnsi="宋体" w:cs="宋体"/>
                <w:color w:val="auto"/>
                <w:sz w:val="24"/>
                <w:highlight w:val="none"/>
              </w:rPr>
              <w:t>3.方案基本完善，数据分析方法和工具审核、报告编制略有欠缺的得3分；</w:t>
            </w:r>
          </w:p>
          <w:p w14:paraId="5C553ECE">
            <w:pPr>
              <w:adjustRightInd/>
              <w:spacing w:line="360" w:lineRule="auto"/>
              <w:rPr>
                <w:rFonts w:hint="eastAsia" w:ascii="宋体" w:hAnsi="宋体" w:cs="宋体"/>
                <w:color w:val="auto"/>
                <w:sz w:val="24"/>
                <w:highlight w:val="none"/>
              </w:rPr>
            </w:pPr>
            <w:r>
              <w:rPr>
                <w:rFonts w:hint="eastAsia" w:ascii="宋体" w:hAnsi="宋体" w:cs="宋体"/>
                <w:color w:val="auto"/>
                <w:sz w:val="24"/>
                <w:highlight w:val="none"/>
              </w:rPr>
              <w:t>4.方案基本完善，数据分析方法和工具审核、报告编制内容简单的得2分；</w:t>
            </w:r>
          </w:p>
          <w:p w14:paraId="4D5753E1">
            <w:pPr>
              <w:adjustRightInd/>
              <w:spacing w:line="360" w:lineRule="auto"/>
              <w:rPr>
                <w:rFonts w:hint="eastAsia" w:ascii="宋体" w:hAnsi="宋体" w:cs="宋体"/>
                <w:color w:val="auto"/>
                <w:sz w:val="24"/>
                <w:highlight w:val="none"/>
              </w:rPr>
            </w:pPr>
            <w:r>
              <w:rPr>
                <w:rFonts w:hint="eastAsia" w:ascii="宋体" w:hAnsi="宋体" w:cs="宋体"/>
                <w:color w:val="auto"/>
                <w:sz w:val="24"/>
                <w:highlight w:val="none"/>
              </w:rPr>
              <w:t>5.方案粗糙，数据分析、审核无标准，报告编制粗糙的得1分；</w:t>
            </w:r>
          </w:p>
          <w:p w14:paraId="2A39BFEC">
            <w:pPr>
              <w:adjustRightInd/>
              <w:spacing w:line="360" w:lineRule="auto"/>
              <w:rPr>
                <w:rFonts w:hint="eastAsia" w:ascii="宋体" w:hAnsi="宋体" w:cs="宋体"/>
                <w:color w:val="auto"/>
                <w:sz w:val="24"/>
                <w:highlight w:val="none"/>
              </w:rPr>
            </w:pPr>
            <w:r>
              <w:rPr>
                <w:rFonts w:hint="eastAsia" w:ascii="宋体" w:hAnsi="宋体" w:cs="宋体"/>
                <w:color w:val="auto"/>
                <w:sz w:val="24"/>
                <w:highlight w:val="none"/>
              </w:rPr>
              <w:t>6.未提供相关内容或不满足采购需求要求的不得分。</w:t>
            </w:r>
          </w:p>
        </w:tc>
        <w:tc>
          <w:tcPr>
            <w:tcW w:w="754" w:type="dxa"/>
            <w:vAlign w:val="center"/>
          </w:tcPr>
          <w:p w14:paraId="04848AC4">
            <w:pPr>
              <w:adjustRightInd/>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5</w:t>
            </w:r>
          </w:p>
        </w:tc>
        <w:tc>
          <w:tcPr>
            <w:tcW w:w="1137" w:type="dxa"/>
            <w:vAlign w:val="center"/>
          </w:tcPr>
          <w:p w14:paraId="6BCC465C">
            <w:pPr>
              <w:adjustRightInd/>
              <w:spacing w:line="360" w:lineRule="auto"/>
              <w:jc w:val="center"/>
              <w:rPr>
                <w:rFonts w:hint="eastAsia" w:ascii="宋体" w:hAnsi="宋体" w:cs="宋体"/>
                <w:color w:val="auto"/>
                <w:sz w:val="24"/>
                <w:highlight w:val="none"/>
              </w:rPr>
            </w:pPr>
            <w:r>
              <w:rPr>
                <w:rFonts w:hint="eastAsia" w:ascii="宋体" w:hAnsi="宋体" w:cs="宋体"/>
                <w:bCs/>
                <w:color w:val="auto"/>
                <w:sz w:val="24"/>
                <w:highlight w:val="none"/>
              </w:rPr>
              <w:t>主观分</w:t>
            </w:r>
          </w:p>
        </w:tc>
        <w:tc>
          <w:tcPr>
            <w:tcW w:w="1947" w:type="dxa"/>
            <w:vAlign w:val="center"/>
          </w:tcPr>
          <w:p w14:paraId="16B42A5D">
            <w:pPr>
              <w:adjustRightInd/>
              <w:spacing w:line="360" w:lineRule="auto"/>
              <w:jc w:val="center"/>
              <w:rPr>
                <w:rFonts w:hint="eastAsia" w:ascii="宋体" w:hAnsi="宋体" w:cs="宋体"/>
                <w:color w:val="auto"/>
                <w:sz w:val="24"/>
                <w:highlight w:val="none"/>
              </w:rPr>
            </w:pPr>
          </w:p>
        </w:tc>
      </w:tr>
      <w:tr w14:paraId="1837C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181BE298">
            <w:pPr>
              <w:adjustRightInd/>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3.4</w:t>
            </w:r>
          </w:p>
        </w:tc>
        <w:tc>
          <w:tcPr>
            <w:tcW w:w="4455" w:type="dxa"/>
            <w:vAlign w:val="center"/>
          </w:tcPr>
          <w:p w14:paraId="00D0B19F">
            <w:pPr>
              <w:adjustRightInd/>
              <w:spacing w:line="360" w:lineRule="auto"/>
              <w:rPr>
                <w:rFonts w:hint="eastAsia" w:ascii="宋体" w:hAnsi="宋体" w:cs="宋体"/>
                <w:color w:val="auto"/>
                <w:sz w:val="24"/>
                <w:highlight w:val="none"/>
              </w:rPr>
            </w:pPr>
            <w:r>
              <w:rPr>
                <w:rFonts w:hint="eastAsia" w:ascii="宋体" w:hAnsi="宋体"/>
                <w:color w:val="auto"/>
                <w:sz w:val="24"/>
                <w:highlight w:val="none"/>
              </w:rPr>
              <w:t>投标人对项目发生紧急情况下的应急方案及措施，包括但不限于应急服务方案、解决问题时效、应急情况下人员配备情况</w:t>
            </w:r>
            <w:r>
              <w:rPr>
                <w:rFonts w:hint="eastAsia" w:ascii="宋体" w:hAnsi="宋体" w:cs="宋体"/>
                <w:color w:val="auto"/>
                <w:sz w:val="24"/>
                <w:highlight w:val="none"/>
              </w:rPr>
              <w:t>。</w:t>
            </w:r>
          </w:p>
          <w:p w14:paraId="613AD06A">
            <w:pPr>
              <w:adjustRightInd/>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1.</w:t>
            </w:r>
            <w:r>
              <w:rPr>
                <w:rFonts w:hint="eastAsia" w:ascii="宋体" w:hAnsi="宋体"/>
                <w:color w:val="auto"/>
                <w:sz w:val="24"/>
                <w:highlight w:val="none"/>
              </w:rPr>
              <w:t>应急</w:t>
            </w:r>
            <w:r>
              <w:rPr>
                <w:rFonts w:hint="eastAsia" w:ascii="宋体" w:hAnsi="宋体" w:cs="宋体"/>
                <w:bCs/>
                <w:color w:val="auto"/>
                <w:sz w:val="24"/>
                <w:highlight w:val="none"/>
              </w:rPr>
              <w:t>方案完善、详细的得4分；</w:t>
            </w:r>
          </w:p>
          <w:p w14:paraId="285A606E">
            <w:pPr>
              <w:adjustRightInd/>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2.</w:t>
            </w:r>
            <w:r>
              <w:rPr>
                <w:rFonts w:hint="eastAsia" w:ascii="宋体" w:hAnsi="宋体"/>
                <w:color w:val="auto"/>
                <w:sz w:val="24"/>
                <w:highlight w:val="none"/>
              </w:rPr>
              <w:t>应急</w:t>
            </w:r>
            <w:r>
              <w:rPr>
                <w:rFonts w:hint="eastAsia" w:ascii="宋体" w:hAnsi="宋体" w:cs="宋体"/>
                <w:bCs/>
                <w:color w:val="auto"/>
                <w:sz w:val="24"/>
                <w:highlight w:val="none"/>
              </w:rPr>
              <w:t>方案较完善略有欠缺的得3分；</w:t>
            </w:r>
          </w:p>
          <w:p w14:paraId="2E322CCF">
            <w:pPr>
              <w:adjustRightInd/>
              <w:spacing w:line="360" w:lineRule="auto"/>
              <w:rPr>
                <w:rFonts w:hint="eastAsia" w:ascii="宋体" w:hAnsi="宋体" w:cs="宋体"/>
                <w:bCs/>
                <w:color w:val="auto"/>
                <w:sz w:val="24"/>
                <w:highlight w:val="none"/>
              </w:rPr>
            </w:pPr>
            <w:r>
              <w:rPr>
                <w:rFonts w:ascii="宋体" w:hAnsi="宋体" w:cs="宋体"/>
                <w:bCs/>
                <w:color w:val="auto"/>
                <w:sz w:val="24"/>
                <w:highlight w:val="none"/>
              </w:rPr>
              <w:t>3.</w:t>
            </w:r>
            <w:r>
              <w:rPr>
                <w:rFonts w:hint="eastAsia" w:ascii="宋体" w:hAnsi="宋体"/>
                <w:color w:val="auto"/>
                <w:sz w:val="24"/>
                <w:highlight w:val="none"/>
              </w:rPr>
              <w:t>应急</w:t>
            </w:r>
            <w:r>
              <w:rPr>
                <w:rFonts w:hint="eastAsia" w:ascii="宋体" w:hAnsi="宋体" w:cs="宋体"/>
                <w:bCs/>
                <w:color w:val="auto"/>
                <w:sz w:val="24"/>
                <w:highlight w:val="none"/>
              </w:rPr>
              <w:t>方案基本合理、可行的得2分；</w:t>
            </w:r>
          </w:p>
          <w:p w14:paraId="55EDDAAA">
            <w:pPr>
              <w:adjustRightInd/>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4</w:t>
            </w:r>
            <w:r>
              <w:rPr>
                <w:rFonts w:ascii="宋体" w:hAnsi="宋体" w:cs="宋体"/>
                <w:bCs/>
                <w:color w:val="auto"/>
                <w:sz w:val="24"/>
                <w:highlight w:val="none"/>
              </w:rPr>
              <w:t>.</w:t>
            </w:r>
            <w:r>
              <w:rPr>
                <w:rFonts w:hint="eastAsia" w:ascii="宋体" w:hAnsi="宋体" w:cs="宋体"/>
                <w:bCs/>
                <w:color w:val="auto"/>
                <w:sz w:val="24"/>
                <w:highlight w:val="none"/>
              </w:rPr>
              <w:t>描述简单，缺少详细内容的得1分；</w:t>
            </w:r>
          </w:p>
          <w:p w14:paraId="20EA80F4">
            <w:pPr>
              <w:adjustRightInd/>
              <w:spacing w:line="360" w:lineRule="auto"/>
              <w:rPr>
                <w:rFonts w:hint="eastAsia" w:ascii="宋体" w:hAnsi="宋体" w:cs="宋体"/>
                <w:color w:val="auto"/>
                <w:sz w:val="24"/>
                <w:highlight w:val="none"/>
              </w:rPr>
            </w:pPr>
            <w:r>
              <w:rPr>
                <w:rFonts w:hint="eastAsia" w:ascii="宋体" w:hAnsi="宋体" w:cs="宋体"/>
                <w:bCs/>
                <w:color w:val="auto"/>
                <w:sz w:val="24"/>
                <w:highlight w:val="none"/>
              </w:rPr>
              <w:t>5.未提供相关内容或不满足采购需求要求的不得分。</w:t>
            </w:r>
          </w:p>
        </w:tc>
        <w:tc>
          <w:tcPr>
            <w:tcW w:w="754" w:type="dxa"/>
            <w:vAlign w:val="center"/>
          </w:tcPr>
          <w:p w14:paraId="5F61D845">
            <w:pPr>
              <w:adjustRightInd/>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4</w:t>
            </w:r>
          </w:p>
        </w:tc>
        <w:tc>
          <w:tcPr>
            <w:tcW w:w="1137" w:type="dxa"/>
            <w:vAlign w:val="center"/>
          </w:tcPr>
          <w:p w14:paraId="47B2C1C8">
            <w:pPr>
              <w:adjustRightInd/>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主观分</w:t>
            </w:r>
          </w:p>
        </w:tc>
        <w:tc>
          <w:tcPr>
            <w:tcW w:w="1947" w:type="dxa"/>
            <w:vAlign w:val="center"/>
          </w:tcPr>
          <w:p w14:paraId="2FC0F305">
            <w:pPr>
              <w:adjustRightInd/>
              <w:spacing w:line="360" w:lineRule="auto"/>
              <w:jc w:val="center"/>
              <w:rPr>
                <w:rFonts w:hint="eastAsia" w:ascii="宋体" w:hAnsi="宋体" w:cs="宋体"/>
                <w:color w:val="auto"/>
                <w:sz w:val="24"/>
                <w:highlight w:val="none"/>
              </w:rPr>
            </w:pPr>
          </w:p>
        </w:tc>
      </w:tr>
      <w:tr w14:paraId="4C511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2ECFCB74">
            <w:pPr>
              <w:adjustRightInd/>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3.5</w:t>
            </w:r>
          </w:p>
        </w:tc>
        <w:tc>
          <w:tcPr>
            <w:tcW w:w="4455" w:type="dxa"/>
            <w:vAlign w:val="center"/>
          </w:tcPr>
          <w:p w14:paraId="74BCDA9C">
            <w:pPr>
              <w:adjustRightInd/>
              <w:spacing w:line="360" w:lineRule="auto"/>
              <w:rPr>
                <w:rFonts w:hint="eastAsia" w:ascii="宋体" w:hAnsi="宋体" w:cs="宋体"/>
                <w:color w:val="auto"/>
                <w:sz w:val="24"/>
                <w:highlight w:val="none"/>
              </w:rPr>
            </w:pPr>
            <w:r>
              <w:rPr>
                <w:rFonts w:hint="eastAsia" w:ascii="宋体" w:hAnsi="宋体" w:cs="宋体"/>
                <w:color w:val="auto"/>
                <w:sz w:val="24"/>
                <w:highlight w:val="none"/>
              </w:rPr>
              <w:t>投标人内部管理制度（对项目的服务内容、范围、进度、人员安排、人员培训考核、文档等进行统一管理），是否全面、有针对性。</w:t>
            </w:r>
          </w:p>
          <w:p w14:paraId="0C1B78BA">
            <w:pPr>
              <w:adjustRightInd/>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1.管理制度完善全面的得3分；</w:t>
            </w:r>
          </w:p>
          <w:p w14:paraId="14F33A56">
            <w:pPr>
              <w:adjustRightInd/>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2.管理制度简单有欠缺的得2分；</w:t>
            </w:r>
          </w:p>
          <w:p w14:paraId="5211A2A6">
            <w:pPr>
              <w:adjustRightInd/>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3.管理制度粗糙的得1分；</w:t>
            </w:r>
          </w:p>
          <w:p w14:paraId="099996FF">
            <w:pPr>
              <w:adjustRightInd/>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4.未提供相关内容或不满足采购需求要求的不得分。</w:t>
            </w:r>
          </w:p>
        </w:tc>
        <w:tc>
          <w:tcPr>
            <w:tcW w:w="754" w:type="dxa"/>
            <w:vAlign w:val="center"/>
          </w:tcPr>
          <w:p w14:paraId="64425C32">
            <w:pPr>
              <w:adjustRightInd/>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3</w:t>
            </w:r>
          </w:p>
        </w:tc>
        <w:tc>
          <w:tcPr>
            <w:tcW w:w="1137" w:type="dxa"/>
            <w:vAlign w:val="center"/>
          </w:tcPr>
          <w:p w14:paraId="60D7E6C5">
            <w:pPr>
              <w:adjustRightInd/>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主观分</w:t>
            </w:r>
          </w:p>
        </w:tc>
        <w:tc>
          <w:tcPr>
            <w:tcW w:w="1947" w:type="dxa"/>
            <w:vAlign w:val="center"/>
          </w:tcPr>
          <w:p w14:paraId="55BCF007">
            <w:pPr>
              <w:adjustRightInd/>
              <w:spacing w:line="360" w:lineRule="auto"/>
              <w:jc w:val="center"/>
              <w:rPr>
                <w:rFonts w:hint="eastAsia" w:ascii="宋体" w:hAnsi="宋体" w:cs="宋体"/>
                <w:color w:val="auto"/>
                <w:sz w:val="24"/>
                <w:highlight w:val="none"/>
              </w:rPr>
            </w:pPr>
          </w:p>
        </w:tc>
      </w:tr>
      <w:tr w14:paraId="4F2C3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5EA935B4">
            <w:pPr>
              <w:adjustRightInd/>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3.6</w:t>
            </w:r>
          </w:p>
        </w:tc>
        <w:tc>
          <w:tcPr>
            <w:tcW w:w="4455" w:type="dxa"/>
            <w:vAlign w:val="center"/>
          </w:tcPr>
          <w:p w14:paraId="1C7E15BB">
            <w:pPr>
              <w:adjustRightInd/>
              <w:spacing w:line="360" w:lineRule="auto"/>
              <w:rPr>
                <w:rFonts w:hint="eastAsia" w:ascii="宋体" w:hAnsi="宋体" w:cs="宋体"/>
                <w:color w:val="auto"/>
                <w:sz w:val="24"/>
                <w:highlight w:val="none"/>
              </w:rPr>
            </w:pPr>
            <w:r>
              <w:rPr>
                <w:rFonts w:hint="eastAsia" w:ascii="宋体" w:hAnsi="宋体" w:cs="宋体"/>
                <w:color w:val="auto"/>
                <w:sz w:val="24"/>
                <w:highlight w:val="none"/>
              </w:rPr>
              <w:t>投标人运维档案管理制度（包括巡检、质控、维修、应急等内容，是否能全面记录整体运维情况），是否科学、合理，运维档案完备、齐全。</w:t>
            </w:r>
          </w:p>
          <w:p w14:paraId="2C146A85">
            <w:pPr>
              <w:adjustRightInd/>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1.管理制度完善全面的得3分；</w:t>
            </w:r>
          </w:p>
          <w:p w14:paraId="26474403">
            <w:pPr>
              <w:adjustRightInd/>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2.管理制度简单有欠缺的得2分；</w:t>
            </w:r>
          </w:p>
          <w:p w14:paraId="1708FCD0">
            <w:pPr>
              <w:adjustRightInd/>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3.管理制度粗糙的得1分；</w:t>
            </w:r>
          </w:p>
          <w:p w14:paraId="4ED7633F">
            <w:pPr>
              <w:adjustRightInd/>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4.未提供相关内容或不满足采购需求要求的不得分。</w:t>
            </w:r>
          </w:p>
        </w:tc>
        <w:tc>
          <w:tcPr>
            <w:tcW w:w="754" w:type="dxa"/>
            <w:vAlign w:val="center"/>
          </w:tcPr>
          <w:p w14:paraId="38073DC1">
            <w:pPr>
              <w:adjustRightInd/>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3</w:t>
            </w:r>
          </w:p>
        </w:tc>
        <w:tc>
          <w:tcPr>
            <w:tcW w:w="1137" w:type="dxa"/>
            <w:vAlign w:val="center"/>
          </w:tcPr>
          <w:p w14:paraId="08D8F51A">
            <w:pPr>
              <w:adjustRightInd/>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主观分</w:t>
            </w:r>
          </w:p>
        </w:tc>
        <w:tc>
          <w:tcPr>
            <w:tcW w:w="1947" w:type="dxa"/>
            <w:vAlign w:val="center"/>
          </w:tcPr>
          <w:p w14:paraId="063F8DB6">
            <w:pPr>
              <w:adjustRightInd/>
              <w:spacing w:line="360" w:lineRule="auto"/>
              <w:jc w:val="center"/>
              <w:rPr>
                <w:rFonts w:hint="eastAsia" w:ascii="宋体" w:hAnsi="宋体" w:cs="宋体"/>
                <w:color w:val="auto"/>
                <w:sz w:val="24"/>
                <w:highlight w:val="none"/>
              </w:rPr>
            </w:pPr>
          </w:p>
        </w:tc>
      </w:tr>
      <w:tr w14:paraId="66422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6EA636FD">
            <w:pPr>
              <w:adjustRightInd/>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4</w:t>
            </w:r>
          </w:p>
        </w:tc>
        <w:tc>
          <w:tcPr>
            <w:tcW w:w="4455" w:type="dxa"/>
          </w:tcPr>
          <w:p w14:paraId="79988C28">
            <w:pPr>
              <w:adjustRightInd/>
              <w:spacing w:line="360" w:lineRule="auto"/>
              <w:rPr>
                <w:rFonts w:hint="eastAsia" w:ascii="宋体" w:hAnsi="宋体" w:cs="宋体"/>
                <w:color w:val="auto"/>
                <w:sz w:val="24"/>
                <w:highlight w:val="none"/>
              </w:rPr>
            </w:pPr>
            <w:r>
              <w:rPr>
                <w:rFonts w:hint="eastAsia" w:ascii="宋体" w:hAnsi="宋体" w:cs="宋体"/>
                <w:color w:val="auto"/>
                <w:sz w:val="24"/>
                <w:highlight w:val="none"/>
              </w:rPr>
              <w:t>项目人员</w:t>
            </w:r>
          </w:p>
        </w:tc>
        <w:tc>
          <w:tcPr>
            <w:tcW w:w="754" w:type="dxa"/>
            <w:vAlign w:val="center"/>
          </w:tcPr>
          <w:p w14:paraId="6C45CB4C">
            <w:pPr>
              <w:adjustRightInd/>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19</w:t>
            </w:r>
          </w:p>
        </w:tc>
        <w:tc>
          <w:tcPr>
            <w:tcW w:w="1137" w:type="dxa"/>
            <w:vAlign w:val="center"/>
          </w:tcPr>
          <w:p w14:paraId="4C950AAF">
            <w:pPr>
              <w:adjustRightInd/>
              <w:spacing w:line="360" w:lineRule="auto"/>
              <w:jc w:val="center"/>
              <w:rPr>
                <w:rFonts w:hint="eastAsia" w:ascii="宋体" w:hAnsi="宋体" w:cs="宋体"/>
                <w:color w:val="auto"/>
                <w:sz w:val="24"/>
                <w:highlight w:val="none"/>
              </w:rPr>
            </w:pPr>
          </w:p>
        </w:tc>
        <w:tc>
          <w:tcPr>
            <w:tcW w:w="1947" w:type="dxa"/>
            <w:vAlign w:val="center"/>
          </w:tcPr>
          <w:p w14:paraId="0CC7C0F5">
            <w:pPr>
              <w:adjustRightInd/>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项目人员情况表</w:t>
            </w:r>
          </w:p>
        </w:tc>
      </w:tr>
      <w:tr w14:paraId="730E5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5" w:hRule="atLeast"/>
        </w:trPr>
        <w:tc>
          <w:tcPr>
            <w:tcW w:w="736" w:type="dxa"/>
            <w:vMerge w:val="restart"/>
            <w:vAlign w:val="center"/>
          </w:tcPr>
          <w:p w14:paraId="1202F244">
            <w:pPr>
              <w:adjustRightInd/>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4.1</w:t>
            </w:r>
          </w:p>
        </w:tc>
        <w:tc>
          <w:tcPr>
            <w:tcW w:w="4455" w:type="dxa"/>
          </w:tcPr>
          <w:p w14:paraId="1614D5E6">
            <w:pPr>
              <w:adjustRightInd/>
              <w:spacing w:line="360" w:lineRule="auto"/>
              <w:contextualSpacing/>
              <w:outlineLvl w:val="0"/>
              <w:rPr>
                <w:rFonts w:hint="eastAsia" w:ascii="宋体" w:hAnsi="宋体" w:cs="宋体"/>
                <w:color w:val="auto"/>
                <w:sz w:val="24"/>
                <w:highlight w:val="none"/>
              </w:rPr>
            </w:pPr>
            <w:r>
              <w:rPr>
                <w:rFonts w:hint="eastAsia" w:ascii="宋体" w:hAnsi="宋体" w:cs="宋体"/>
                <w:color w:val="auto"/>
                <w:sz w:val="24"/>
                <w:highlight w:val="none"/>
              </w:rPr>
              <w:t>拟派本项目专业技术人员组成：</w:t>
            </w:r>
          </w:p>
          <w:p w14:paraId="385E9F10">
            <w:pPr>
              <w:adjustRightInd/>
              <w:spacing w:line="360" w:lineRule="auto"/>
              <w:contextualSpacing/>
              <w:outlineLvl w:val="0"/>
              <w:rPr>
                <w:rFonts w:hint="eastAsia" w:ascii="宋体" w:hAnsi="宋体" w:cs="宋体"/>
                <w:color w:val="auto"/>
                <w:sz w:val="24"/>
                <w:highlight w:val="none"/>
              </w:rPr>
            </w:pPr>
            <w:r>
              <w:rPr>
                <w:rFonts w:hint="eastAsia" w:ascii="宋体" w:hAnsi="宋体" w:cs="宋体"/>
                <w:color w:val="auto"/>
                <w:sz w:val="24"/>
                <w:highlight w:val="none"/>
              </w:rPr>
              <w:t>①高精度温室气体监测网络运维：</w:t>
            </w:r>
            <w:r>
              <w:rPr>
                <w:rFonts w:hint="eastAsia" w:ascii="宋体" w:hAnsi="宋体" w:cs="宋体"/>
                <w:bCs/>
                <w:color w:val="auto"/>
                <w:sz w:val="24"/>
                <w:highlight w:val="none"/>
              </w:rPr>
              <w:t>配备3名</w:t>
            </w:r>
            <w:r>
              <w:rPr>
                <w:rFonts w:ascii="宋体" w:hAnsi="宋体" w:cs="宋体"/>
                <w:bCs/>
                <w:color w:val="auto"/>
                <w:sz w:val="24"/>
                <w:highlight w:val="none"/>
              </w:rPr>
              <w:t>专业</w:t>
            </w:r>
            <w:r>
              <w:rPr>
                <w:rFonts w:hint="eastAsia" w:ascii="宋体" w:hAnsi="宋体" w:cs="宋体"/>
                <w:bCs/>
                <w:color w:val="auto"/>
                <w:sz w:val="24"/>
                <w:highlight w:val="none"/>
              </w:rPr>
              <w:t>运维人员，</w:t>
            </w:r>
            <w:r>
              <w:rPr>
                <w:rFonts w:hint="eastAsia" w:ascii="宋体" w:hAnsi="宋体" w:cs="宋体"/>
                <w:color w:val="auto"/>
                <w:sz w:val="24"/>
                <w:highlight w:val="none"/>
              </w:rPr>
              <w:t>得3分；每少1人扣1分；扣完为止。</w:t>
            </w:r>
          </w:p>
          <w:p w14:paraId="2108FFBB">
            <w:pPr>
              <w:adjustRightInd/>
              <w:spacing w:line="360" w:lineRule="auto"/>
              <w:contextualSpacing/>
              <w:outlineLvl w:val="0"/>
              <w:rPr>
                <w:rFonts w:hint="eastAsia" w:ascii="宋体" w:hAnsi="宋体" w:cs="宋体"/>
                <w:color w:val="auto"/>
                <w:sz w:val="24"/>
                <w:highlight w:val="none"/>
              </w:rPr>
            </w:pPr>
            <w:r>
              <w:rPr>
                <w:rFonts w:hint="eastAsia" w:ascii="宋体" w:hAnsi="宋体" w:cs="宋体"/>
                <w:color w:val="auto"/>
                <w:sz w:val="24"/>
                <w:highlight w:val="none"/>
              </w:rPr>
              <w:t>运维人员具备2年光腔衰荡光谱分析仪运行及维护经验，每人得2分，满分4分。</w:t>
            </w:r>
          </w:p>
          <w:p w14:paraId="71477761">
            <w:pPr>
              <w:adjustRightInd/>
              <w:spacing w:line="360" w:lineRule="auto"/>
              <w:contextualSpacing/>
              <w:outlineLvl w:val="0"/>
              <w:rPr>
                <w:rFonts w:hint="eastAsia" w:ascii="宋体" w:hAnsi="宋体" w:cs="宋体"/>
                <w:color w:val="auto"/>
                <w:sz w:val="24"/>
                <w:highlight w:val="none"/>
              </w:rPr>
            </w:pPr>
            <w:r>
              <w:rPr>
                <w:rFonts w:ascii="宋体" w:hAnsi="宋体" w:cs="宋体"/>
                <w:color w:val="auto"/>
                <w:sz w:val="24"/>
                <w:highlight w:val="none"/>
              </w:rPr>
              <w:t>数据审核人员</w:t>
            </w:r>
            <w:r>
              <w:rPr>
                <w:rFonts w:hint="eastAsia" w:ascii="宋体" w:hAnsi="宋体" w:cs="宋体"/>
                <w:color w:val="auto"/>
                <w:sz w:val="24"/>
                <w:highlight w:val="none"/>
              </w:rPr>
              <w:t>具备</w:t>
            </w:r>
            <w:r>
              <w:rPr>
                <w:rFonts w:ascii="宋体" w:hAnsi="宋体" w:cs="宋体"/>
                <w:color w:val="auto"/>
                <w:sz w:val="24"/>
                <w:highlight w:val="none"/>
              </w:rPr>
              <w:t>高精度温室气体监测数据审核工作经验</w:t>
            </w:r>
            <w:r>
              <w:rPr>
                <w:rFonts w:hint="eastAsia" w:ascii="宋体" w:hAnsi="宋体" w:cs="宋体"/>
                <w:color w:val="auto"/>
                <w:sz w:val="24"/>
                <w:highlight w:val="none"/>
              </w:rPr>
              <w:t>的得1分，不满足不得分。</w:t>
            </w:r>
          </w:p>
          <w:p w14:paraId="5DBBCB42">
            <w:pPr>
              <w:adjustRightInd/>
              <w:spacing w:line="360" w:lineRule="auto"/>
              <w:contextualSpacing/>
              <w:outlineLvl w:val="0"/>
              <w:rPr>
                <w:rFonts w:hint="eastAsia" w:ascii="宋体" w:hAnsi="宋体" w:cs="宋体"/>
                <w:color w:val="auto"/>
                <w:sz w:val="24"/>
                <w:highlight w:val="none"/>
              </w:rPr>
            </w:pPr>
            <w:r>
              <w:rPr>
                <w:rFonts w:hint="eastAsia" w:ascii="宋体" w:hAnsi="宋体" w:cs="宋体"/>
                <w:color w:val="auto"/>
                <w:sz w:val="24"/>
                <w:highlight w:val="none"/>
              </w:rPr>
              <w:t>（提供劳动合同或投标单位在职社保证明及履历表和用户证明等相关资料）</w:t>
            </w:r>
          </w:p>
        </w:tc>
        <w:tc>
          <w:tcPr>
            <w:tcW w:w="754" w:type="dxa"/>
            <w:vAlign w:val="center"/>
          </w:tcPr>
          <w:p w14:paraId="0871891C">
            <w:pPr>
              <w:adjustRightInd/>
              <w:spacing w:line="360" w:lineRule="auto"/>
              <w:jc w:val="center"/>
              <w:rPr>
                <w:rFonts w:hint="eastAsia" w:ascii="宋体" w:hAnsi="宋体" w:cs="宋体"/>
                <w:color w:val="auto"/>
                <w:sz w:val="24"/>
                <w:highlight w:val="none"/>
              </w:rPr>
            </w:pPr>
            <w:r>
              <w:rPr>
                <w:rFonts w:ascii="宋体" w:hAnsi="宋体" w:cs="宋体"/>
                <w:color w:val="auto"/>
                <w:sz w:val="24"/>
                <w:highlight w:val="none"/>
              </w:rPr>
              <w:t>8</w:t>
            </w:r>
          </w:p>
        </w:tc>
        <w:tc>
          <w:tcPr>
            <w:tcW w:w="1137" w:type="dxa"/>
            <w:vAlign w:val="center"/>
          </w:tcPr>
          <w:p w14:paraId="06A59A64">
            <w:pPr>
              <w:adjustRightInd/>
              <w:spacing w:line="360" w:lineRule="auto"/>
              <w:jc w:val="center"/>
              <w:rPr>
                <w:rFonts w:hint="eastAsia" w:ascii="宋体" w:hAnsi="宋体" w:cs="宋体"/>
                <w:color w:val="auto"/>
                <w:sz w:val="24"/>
                <w:highlight w:val="none"/>
              </w:rPr>
            </w:pPr>
            <w:r>
              <w:rPr>
                <w:rFonts w:hint="eastAsia" w:ascii="宋体" w:hAnsi="宋体" w:cs="宋体"/>
                <w:bCs/>
                <w:color w:val="auto"/>
                <w:sz w:val="24"/>
                <w:highlight w:val="none"/>
              </w:rPr>
              <w:t>客观分</w:t>
            </w:r>
          </w:p>
        </w:tc>
        <w:tc>
          <w:tcPr>
            <w:tcW w:w="1947" w:type="dxa"/>
            <w:vAlign w:val="center"/>
          </w:tcPr>
          <w:p w14:paraId="1A20B00B">
            <w:pPr>
              <w:adjustRightInd/>
              <w:spacing w:line="360" w:lineRule="auto"/>
              <w:jc w:val="center"/>
              <w:rPr>
                <w:rFonts w:hint="eastAsia" w:ascii="宋体" w:hAnsi="宋体" w:cs="宋体"/>
                <w:color w:val="auto"/>
                <w:sz w:val="24"/>
                <w:highlight w:val="none"/>
              </w:rPr>
            </w:pPr>
          </w:p>
        </w:tc>
      </w:tr>
      <w:tr w14:paraId="4F051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2" w:hRule="atLeast"/>
        </w:trPr>
        <w:tc>
          <w:tcPr>
            <w:tcW w:w="736" w:type="dxa"/>
            <w:vMerge w:val="continue"/>
            <w:vAlign w:val="center"/>
          </w:tcPr>
          <w:p w14:paraId="07DD44D9">
            <w:pPr>
              <w:adjustRightInd/>
              <w:spacing w:line="360" w:lineRule="auto"/>
              <w:jc w:val="center"/>
              <w:rPr>
                <w:rFonts w:hint="eastAsia" w:ascii="宋体" w:hAnsi="宋体" w:cs="宋体"/>
                <w:color w:val="auto"/>
                <w:sz w:val="24"/>
                <w:highlight w:val="none"/>
              </w:rPr>
            </w:pPr>
          </w:p>
        </w:tc>
        <w:tc>
          <w:tcPr>
            <w:tcW w:w="4455" w:type="dxa"/>
            <w:vAlign w:val="center"/>
          </w:tcPr>
          <w:p w14:paraId="4EA6DB39">
            <w:pPr>
              <w:adjustRightInd/>
              <w:spacing w:line="360" w:lineRule="auto"/>
              <w:contextualSpacing/>
              <w:outlineLvl w:val="0"/>
              <w:rPr>
                <w:rFonts w:hint="eastAsia" w:ascii="宋体" w:hAnsi="宋体" w:cs="宋体"/>
                <w:bCs/>
                <w:color w:val="auto"/>
                <w:sz w:val="24"/>
                <w:highlight w:val="none"/>
              </w:rPr>
            </w:pPr>
            <w:r>
              <w:rPr>
                <w:rFonts w:hint="eastAsia" w:ascii="宋体" w:hAnsi="宋体" w:cs="宋体"/>
                <w:color w:val="auto"/>
                <w:sz w:val="24"/>
                <w:highlight w:val="none"/>
              </w:rPr>
              <w:t>②碳通量监测系统运维：</w:t>
            </w:r>
            <w:r>
              <w:rPr>
                <w:rFonts w:hint="eastAsia" w:ascii="宋体" w:hAnsi="宋体" w:cs="宋体"/>
                <w:bCs/>
                <w:color w:val="auto"/>
                <w:sz w:val="24"/>
                <w:highlight w:val="none"/>
              </w:rPr>
              <w:t>配备1名</w:t>
            </w:r>
            <w:r>
              <w:rPr>
                <w:rFonts w:ascii="宋体" w:hAnsi="宋体" w:cs="宋体"/>
                <w:bCs/>
                <w:color w:val="auto"/>
                <w:sz w:val="24"/>
                <w:highlight w:val="none"/>
              </w:rPr>
              <w:t>专业</w:t>
            </w:r>
            <w:r>
              <w:rPr>
                <w:rFonts w:hint="eastAsia" w:ascii="宋体" w:hAnsi="宋体" w:cs="宋体"/>
                <w:bCs/>
                <w:color w:val="auto"/>
                <w:sz w:val="24"/>
                <w:highlight w:val="none"/>
              </w:rPr>
              <w:t>运维人员得2分，没有不得分。</w:t>
            </w:r>
          </w:p>
          <w:p w14:paraId="723501DB">
            <w:pPr>
              <w:adjustRightInd/>
              <w:spacing w:line="360" w:lineRule="auto"/>
              <w:contextualSpacing/>
              <w:outlineLvl w:val="0"/>
              <w:rPr>
                <w:rFonts w:hint="eastAsia" w:ascii="宋体" w:hAnsi="宋体" w:cs="宋体"/>
                <w:color w:val="auto"/>
                <w:sz w:val="24"/>
                <w:highlight w:val="none"/>
              </w:rPr>
            </w:pPr>
            <w:r>
              <w:rPr>
                <w:rFonts w:hint="eastAsia" w:ascii="宋体" w:hAnsi="宋体" w:cs="宋体"/>
                <w:color w:val="auto"/>
                <w:sz w:val="24"/>
                <w:highlight w:val="none"/>
              </w:rPr>
              <w:t>技术负责人具有数据处理、数据插补能力的得2分，不满足不得分。</w:t>
            </w:r>
          </w:p>
          <w:p w14:paraId="76951AD4">
            <w:pPr>
              <w:adjustRightInd/>
              <w:spacing w:line="360" w:lineRule="auto"/>
              <w:contextualSpacing/>
              <w:outlineLvl w:val="0"/>
              <w:rPr>
                <w:rFonts w:hint="eastAsia" w:ascii="宋体" w:hAnsi="宋体" w:cs="宋体"/>
                <w:color w:val="auto"/>
                <w:sz w:val="24"/>
                <w:highlight w:val="none"/>
              </w:rPr>
            </w:pPr>
            <w:r>
              <w:rPr>
                <w:rFonts w:hint="eastAsia" w:ascii="宋体" w:hAnsi="宋体" w:cs="宋体"/>
                <w:color w:val="auto"/>
                <w:sz w:val="24"/>
                <w:highlight w:val="none"/>
              </w:rPr>
              <w:t>运维人员具备2年以上碳通量监测设备运维服务工作经验的得1分，没有不得分。</w:t>
            </w:r>
          </w:p>
          <w:p w14:paraId="513322FD">
            <w:pPr>
              <w:adjustRightInd/>
              <w:spacing w:line="360" w:lineRule="auto"/>
              <w:contextualSpacing/>
              <w:outlineLvl w:val="0"/>
              <w:rPr>
                <w:rFonts w:hint="eastAsia" w:ascii="宋体" w:hAnsi="宋体" w:cs="宋体"/>
                <w:color w:val="auto"/>
                <w:sz w:val="24"/>
                <w:highlight w:val="none"/>
              </w:rPr>
            </w:pPr>
            <w:r>
              <w:rPr>
                <w:rFonts w:hint="eastAsia" w:ascii="宋体" w:hAnsi="宋体" w:cs="宋体"/>
                <w:color w:val="auto"/>
                <w:sz w:val="24"/>
                <w:highlight w:val="none"/>
              </w:rPr>
              <w:t>（提供劳动合同或投标单位在职社保证明及履历表和用户证明等相关资料）</w:t>
            </w:r>
          </w:p>
        </w:tc>
        <w:tc>
          <w:tcPr>
            <w:tcW w:w="754" w:type="dxa"/>
            <w:vAlign w:val="center"/>
          </w:tcPr>
          <w:p w14:paraId="31D21402">
            <w:pPr>
              <w:adjustRightInd/>
              <w:spacing w:line="360" w:lineRule="auto"/>
              <w:jc w:val="center"/>
              <w:rPr>
                <w:rFonts w:hint="eastAsia" w:ascii="宋体" w:hAnsi="宋体" w:cs="宋体"/>
                <w:color w:val="auto"/>
                <w:sz w:val="24"/>
                <w:highlight w:val="none"/>
              </w:rPr>
            </w:pPr>
            <w:r>
              <w:rPr>
                <w:rFonts w:ascii="宋体" w:hAnsi="宋体" w:cs="宋体"/>
                <w:color w:val="auto"/>
                <w:sz w:val="24"/>
                <w:highlight w:val="none"/>
              </w:rPr>
              <w:t>5</w:t>
            </w:r>
          </w:p>
        </w:tc>
        <w:tc>
          <w:tcPr>
            <w:tcW w:w="1137" w:type="dxa"/>
            <w:vAlign w:val="center"/>
          </w:tcPr>
          <w:p w14:paraId="6356713B">
            <w:pPr>
              <w:adjustRightInd/>
              <w:spacing w:line="360" w:lineRule="auto"/>
              <w:jc w:val="center"/>
              <w:rPr>
                <w:rFonts w:hint="eastAsia" w:ascii="宋体" w:hAnsi="宋体" w:cs="宋体"/>
                <w:color w:val="auto"/>
                <w:sz w:val="24"/>
                <w:highlight w:val="none"/>
              </w:rPr>
            </w:pPr>
            <w:r>
              <w:rPr>
                <w:rFonts w:hint="eastAsia" w:ascii="宋体" w:hAnsi="宋体" w:cs="宋体"/>
                <w:bCs/>
                <w:color w:val="auto"/>
                <w:sz w:val="24"/>
                <w:highlight w:val="none"/>
              </w:rPr>
              <w:t>客观分</w:t>
            </w:r>
          </w:p>
        </w:tc>
        <w:tc>
          <w:tcPr>
            <w:tcW w:w="1947" w:type="dxa"/>
            <w:vAlign w:val="center"/>
          </w:tcPr>
          <w:p w14:paraId="0642E2D7">
            <w:pPr>
              <w:adjustRightInd/>
              <w:spacing w:line="360" w:lineRule="auto"/>
              <w:jc w:val="center"/>
              <w:rPr>
                <w:rFonts w:hint="eastAsia" w:ascii="宋体" w:hAnsi="宋体" w:cs="宋体"/>
                <w:color w:val="auto"/>
                <w:sz w:val="24"/>
                <w:highlight w:val="none"/>
              </w:rPr>
            </w:pPr>
          </w:p>
        </w:tc>
      </w:tr>
      <w:tr w14:paraId="36CF6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Merge w:val="restart"/>
            <w:vAlign w:val="center"/>
          </w:tcPr>
          <w:p w14:paraId="11297A7B">
            <w:pPr>
              <w:adjustRightInd/>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4.2</w:t>
            </w:r>
          </w:p>
        </w:tc>
        <w:tc>
          <w:tcPr>
            <w:tcW w:w="4455" w:type="dxa"/>
            <w:vAlign w:val="center"/>
          </w:tcPr>
          <w:p w14:paraId="7F4C85EA">
            <w:pPr>
              <w:adjustRightInd/>
              <w:spacing w:line="360" w:lineRule="auto"/>
              <w:contextualSpacing/>
              <w:outlineLvl w:val="0"/>
              <w:rPr>
                <w:rFonts w:hint="eastAsia" w:ascii="宋体" w:hAnsi="宋体" w:cs="宋体"/>
                <w:color w:val="auto"/>
                <w:sz w:val="24"/>
                <w:highlight w:val="none"/>
              </w:rPr>
            </w:pPr>
            <w:r>
              <w:rPr>
                <w:rFonts w:hint="eastAsia" w:ascii="宋体" w:hAnsi="宋体" w:cs="宋体"/>
                <w:color w:val="auto"/>
                <w:sz w:val="24"/>
                <w:highlight w:val="none"/>
              </w:rPr>
              <w:t>项目负责人：</w:t>
            </w:r>
          </w:p>
          <w:p w14:paraId="35BA5BEB">
            <w:pPr>
              <w:adjustRightInd/>
              <w:spacing w:line="360" w:lineRule="auto"/>
              <w:contextualSpacing/>
              <w:outlineLvl w:val="0"/>
              <w:rPr>
                <w:rFonts w:hint="eastAsia" w:ascii="宋体" w:hAnsi="宋体" w:cs="宋体"/>
                <w:color w:val="auto"/>
                <w:sz w:val="24"/>
                <w:highlight w:val="none"/>
              </w:rPr>
            </w:pPr>
            <w:r>
              <w:rPr>
                <w:rFonts w:hint="eastAsia" w:ascii="宋体" w:hAnsi="宋体" w:cs="宋体"/>
                <w:color w:val="auto"/>
                <w:sz w:val="24"/>
                <w:highlight w:val="none"/>
              </w:rPr>
              <w:t>①高精度温室气体监测网络运维：具备2年及以上相关项目管理经验的，得3分；具备1年（含）-2年（不含）相关项目管理经验的，得1分；不足1年的，得0分。</w:t>
            </w:r>
          </w:p>
          <w:p w14:paraId="49650E3A">
            <w:pPr>
              <w:adjustRightInd/>
              <w:spacing w:line="360" w:lineRule="auto"/>
              <w:contextualSpacing/>
              <w:outlineLvl w:val="0"/>
              <w:rPr>
                <w:rFonts w:hint="eastAsia" w:ascii="宋体" w:hAnsi="宋体" w:cs="宋体"/>
                <w:color w:val="auto"/>
                <w:sz w:val="24"/>
                <w:highlight w:val="none"/>
              </w:rPr>
            </w:pPr>
            <w:r>
              <w:rPr>
                <w:rFonts w:hint="eastAsia" w:ascii="宋体" w:hAnsi="宋体" w:cs="宋体"/>
                <w:color w:val="auto"/>
                <w:sz w:val="24"/>
                <w:highlight w:val="none"/>
              </w:rPr>
              <w:t>（提供劳动合同或投标单位在职社保证明及履历表和用户证明等相关资料）</w:t>
            </w:r>
          </w:p>
        </w:tc>
        <w:tc>
          <w:tcPr>
            <w:tcW w:w="754" w:type="dxa"/>
            <w:vAlign w:val="center"/>
          </w:tcPr>
          <w:p w14:paraId="44DFA854">
            <w:pPr>
              <w:adjustRightInd/>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3</w:t>
            </w:r>
          </w:p>
        </w:tc>
        <w:tc>
          <w:tcPr>
            <w:tcW w:w="1137" w:type="dxa"/>
            <w:vAlign w:val="center"/>
          </w:tcPr>
          <w:p w14:paraId="53496F83">
            <w:pPr>
              <w:adjustRightInd/>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客观分</w:t>
            </w:r>
          </w:p>
        </w:tc>
        <w:tc>
          <w:tcPr>
            <w:tcW w:w="1947" w:type="dxa"/>
            <w:vAlign w:val="center"/>
          </w:tcPr>
          <w:p w14:paraId="4347DBFE">
            <w:pPr>
              <w:adjustRightInd/>
              <w:spacing w:line="360" w:lineRule="auto"/>
              <w:jc w:val="center"/>
              <w:rPr>
                <w:rFonts w:hint="eastAsia" w:ascii="宋体" w:hAnsi="宋体" w:cs="宋体"/>
                <w:color w:val="auto"/>
                <w:sz w:val="24"/>
                <w:highlight w:val="none"/>
              </w:rPr>
            </w:pPr>
          </w:p>
        </w:tc>
      </w:tr>
      <w:tr w14:paraId="12934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Merge w:val="continue"/>
            <w:vAlign w:val="center"/>
          </w:tcPr>
          <w:p w14:paraId="4E77B573">
            <w:pPr>
              <w:adjustRightInd/>
              <w:spacing w:line="360" w:lineRule="auto"/>
              <w:jc w:val="center"/>
              <w:rPr>
                <w:rFonts w:hint="eastAsia" w:ascii="宋体" w:hAnsi="宋体" w:cs="宋体"/>
                <w:color w:val="auto"/>
                <w:sz w:val="24"/>
                <w:highlight w:val="none"/>
              </w:rPr>
            </w:pPr>
          </w:p>
        </w:tc>
        <w:tc>
          <w:tcPr>
            <w:tcW w:w="4455" w:type="dxa"/>
            <w:vAlign w:val="center"/>
          </w:tcPr>
          <w:p w14:paraId="6178E873">
            <w:pPr>
              <w:adjustRightInd/>
              <w:spacing w:line="360" w:lineRule="auto"/>
              <w:contextualSpacing/>
              <w:outlineLvl w:val="0"/>
              <w:rPr>
                <w:rFonts w:hint="eastAsia" w:ascii="宋体" w:hAnsi="宋体" w:cs="宋体"/>
                <w:color w:val="auto"/>
                <w:sz w:val="24"/>
                <w:highlight w:val="none"/>
              </w:rPr>
            </w:pPr>
            <w:r>
              <w:rPr>
                <w:rFonts w:hint="eastAsia" w:ascii="宋体" w:hAnsi="宋体" w:cs="宋体"/>
                <w:color w:val="auto"/>
                <w:sz w:val="24"/>
                <w:highlight w:val="none"/>
              </w:rPr>
              <w:t>②碳通量监测系统运维：具备2年及以上碳通量监测领域工作经验的，得3分；具备1年（含）-2年碳通量监测领域工作经验的，得2分；不足1年的，得0分。</w:t>
            </w:r>
          </w:p>
          <w:p w14:paraId="767A5E4A">
            <w:pPr>
              <w:adjustRightInd/>
              <w:spacing w:line="360" w:lineRule="auto"/>
              <w:contextualSpacing/>
              <w:outlineLvl w:val="0"/>
              <w:rPr>
                <w:rFonts w:hint="eastAsia" w:ascii="宋体" w:hAnsi="宋体" w:cs="宋体"/>
                <w:color w:val="auto"/>
                <w:sz w:val="24"/>
                <w:highlight w:val="none"/>
              </w:rPr>
            </w:pPr>
            <w:r>
              <w:rPr>
                <w:rFonts w:hint="eastAsia" w:ascii="宋体" w:hAnsi="宋体" w:cs="宋体"/>
                <w:color w:val="auto"/>
                <w:sz w:val="24"/>
                <w:highlight w:val="none"/>
              </w:rPr>
              <w:t>（提供劳动合同或投标单位在职社保证明及履历表和用户证明等相关资料）</w:t>
            </w:r>
          </w:p>
        </w:tc>
        <w:tc>
          <w:tcPr>
            <w:tcW w:w="754" w:type="dxa"/>
            <w:vAlign w:val="center"/>
          </w:tcPr>
          <w:p w14:paraId="4F8026E8">
            <w:pPr>
              <w:adjustRightInd/>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3</w:t>
            </w:r>
          </w:p>
        </w:tc>
        <w:tc>
          <w:tcPr>
            <w:tcW w:w="1137" w:type="dxa"/>
            <w:vAlign w:val="center"/>
          </w:tcPr>
          <w:p w14:paraId="02616D06">
            <w:pPr>
              <w:adjustRightInd/>
              <w:spacing w:line="360" w:lineRule="auto"/>
              <w:jc w:val="center"/>
              <w:rPr>
                <w:rFonts w:hint="eastAsia" w:ascii="宋体" w:hAnsi="宋体" w:cs="宋体"/>
                <w:color w:val="auto"/>
                <w:sz w:val="24"/>
                <w:highlight w:val="none"/>
              </w:rPr>
            </w:pPr>
            <w:r>
              <w:rPr>
                <w:rFonts w:hint="eastAsia" w:ascii="宋体" w:hAnsi="宋体" w:cs="宋体"/>
                <w:bCs/>
                <w:color w:val="auto"/>
                <w:sz w:val="24"/>
                <w:highlight w:val="none"/>
              </w:rPr>
              <w:t>客观分</w:t>
            </w:r>
          </w:p>
        </w:tc>
        <w:tc>
          <w:tcPr>
            <w:tcW w:w="1947" w:type="dxa"/>
            <w:vAlign w:val="center"/>
          </w:tcPr>
          <w:p w14:paraId="6EA03161">
            <w:pPr>
              <w:adjustRightInd/>
              <w:spacing w:line="360" w:lineRule="auto"/>
              <w:jc w:val="center"/>
              <w:rPr>
                <w:rFonts w:hint="eastAsia" w:ascii="宋体" w:hAnsi="宋体" w:cs="宋体"/>
                <w:color w:val="auto"/>
                <w:sz w:val="24"/>
                <w:highlight w:val="none"/>
              </w:rPr>
            </w:pPr>
          </w:p>
        </w:tc>
      </w:tr>
      <w:tr w14:paraId="1BA78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37AD69A5">
            <w:pPr>
              <w:adjustRightInd/>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5</w:t>
            </w:r>
          </w:p>
        </w:tc>
        <w:tc>
          <w:tcPr>
            <w:tcW w:w="4455" w:type="dxa"/>
            <w:vAlign w:val="center"/>
          </w:tcPr>
          <w:p w14:paraId="12BA9DBC">
            <w:pPr>
              <w:adjustRightInd/>
              <w:spacing w:line="360" w:lineRule="auto"/>
              <w:contextualSpacing/>
              <w:rPr>
                <w:rFonts w:hint="eastAsia" w:ascii="宋体" w:hAnsi="宋体" w:cs="宋体"/>
                <w:color w:val="auto"/>
                <w:sz w:val="24"/>
                <w:highlight w:val="none"/>
              </w:rPr>
            </w:pPr>
            <w:r>
              <w:rPr>
                <w:rFonts w:hint="eastAsia" w:ascii="宋体" w:hAnsi="宋体" w:cs="宋体"/>
                <w:color w:val="auto"/>
                <w:sz w:val="24"/>
                <w:highlight w:val="none"/>
              </w:rPr>
              <w:t>拟派本项目运维车辆。配备2辆运维车辆须为项目专用，每少1辆扣2分；扣完为止。</w:t>
            </w:r>
          </w:p>
          <w:p w14:paraId="1C41F104">
            <w:pPr>
              <w:adjustRightInd/>
              <w:spacing w:line="360" w:lineRule="auto"/>
              <w:contextualSpacing/>
              <w:rPr>
                <w:rFonts w:hint="eastAsia" w:ascii="宋体" w:hAnsi="宋体" w:cs="宋体"/>
                <w:color w:val="auto"/>
                <w:sz w:val="24"/>
                <w:highlight w:val="none"/>
              </w:rPr>
            </w:pPr>
            <w:r>
              <w:rPr>
                <w:rFonts w:hint="eastAsia" w:ascii="宋体" w:hAnsi="宋体" w:cs="宋体"/>
                <w:color w:val="auto"/>
                <w:sz w:val="24"/>
                <w:highlight w:val="none"/>
              </w:rPr>
              <w:t>（提供车辆照片、购车发票或租赁协议、车辆行驶证及机动车登记证书）</w:t>
            </w:r>
          </w:p>
        </w:tc>
        <w:tc>
          <w:tcPr>
            <w:tcW w:w="754" w:type="dxa"/>
            <w:vAlign w:val="center"/>
          </w:tcPr>
          <w:p w14:paraId="28C7F761">
            <w:pPr>
              <w:adjustRightInd/>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4</w:t>
            </w:r>
          </w:p>
        </w:tc>
        <w:tc>
          <w:tcPr>
            <w:tcW w:w="1137" w:type="dxa"/>
            <w:vAlign w:val="center"/>
          </w:tcPr>
          <w:p w14:paraId="1A69FE4F">
            <w:pPr>
              <w:adjustRightInd/>
              <w:spacing w:line="360" w:lineRule="auto"/>
              <w:jc w:val="center"/>
              <w:rPr>
                <w:rFonts w:hint="eastAsia" w:ascii="宋体" w:hAnsi="宋体" w:cs="宋体"/>
                <w:color w:val="auto"/>
                <w:sz w:val="24"/>
                <w:highlight w:val="none"/>
              </w:rPr>
            </w:pPr>
            <w:r>
              <w:rPr>
                <w:rFonts w:hint="eastAsia" w:ascii="宋体" w:hAnsi="宋体" w:cs="宋体"/>
                <w:bCs/>
                <w:color w:val="auto"/>
                <w:sz w:val="24"/>
                <w:highlight w:val="none"/>
              </w:rPr>
              <w:t>客观分</w:t>
            </w:r>
          </w:p>
        </w:tc>
        <w:tc>
          <w:tcPr>
            <w:tcW w:w="1947" w:type="dxa"/>
            <w:vAlign w:val="center"/>
          </w:tcPr>
          <w:p w14:paraId="6F4DEDC5">
            <w:pPr>
              <w:adjustRightInd/>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车辆配置情况</w:t>
            </w:r>
          </w:p>
        </w:tc>
      </w:tr>
      <w:tr w14:paraId="63A63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736" w:type="dxa"/>
            <w:vAlign w:val="center"/>
          </w:tcPr>
          <w:p w14:paraId="05D69C19">
            <w:pPr>
              <w:adjustRightInd/>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6</w:t>
            </w:r>
          </w:p>
        </w:tc>
        <w:tc>
          <w:tcPr>
            <w:tcW w:w="4455" w:type="dxa"/>
          </w:tcPr>
          <w:p w14:paraId="152F1472">
            <w:pPr>
              <w:adjustRightInd/>
              <w:spacing w:line="360" w:lineRule="auto"/>
              <w:rPr>
                <w:rFonts w:hint="eastAsia" w:ascii="宋体" w:hAnsi="宋体" w:cs="宋体"/>
                <w:color w:val="auto"/>
                <w:sz w:val="24"/>
                <w:highlight w:val="none"/>
              </w:rPr>
            </w:pPr>
            <w:r>
              <w:rPr>
                <w:rFonts w:hint="eastAsia" w:ascii="宋体" w:hAnsi="宋体" w:cs="宋体"/>
                <w:color w:val="auto"/>
                <w:sz w:val="24"/>
                <w:highlight w:val="none"/>
              </w:rPr>
              <w:t>合理化建议</w:t>
            </w:r>
          </w:p>
        </w:tc>
        <w:tc>
          <w:tcPr>
            <w:tcW w:w="754" w:type="dxa"/>
            <w:vAlign w:val="center"/>
          </w:tcPr>
          <w:p w14:paraId="4A301714">
            <w:pPr>
              <w:adjustRightInd/>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6</w:t>
            </w:r>
          </w:p>
        </w:tc>
        <w:tc>
          <w:tcPr>
            <w:tcW w:w="1137" w:type="dxa"/>
            <w:vAlign w:val="center"/>
          </w:tcPr>
          <w:p w14:paraId="31F246EA">
            <w:pPr>
              <w:adjustRightInd/>
              <w:spacing w:line="360" w:lineRule="auto"/>
              <w:jc w:val="center"/>
              <w:rPr>
                <w:rFonts w:hint="eastAsia" w:ascii="宋体" w:hAnsi="宋体" w:cs="宋体"/>
                <w:color w:val="auto"/>
                <w:sz w:val="24"/>
                <w:highlight w:val="none"/>
              </w:rPr>
            </w:pPr>
          </w:p>
        </w:tc>
        <w:tc>
          <w:tcPr>
            <w:tcW w:w="1947" w:type="dxa"/>
            <w:vAlign w:val="center"/>
          </w:tcPr>
          <w:p w14:paraId="36974105">
            <w:pPr>
              <w:adjustRightInd/>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合理化建议</w:t>
            </w:r>
          </w:p>
        </w:tc>
      </w:tr>
      <w:tr w14:paraId="6DABA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7AB0FB05">
            <w:pPr>
              <w:adjustRightInd/>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6.1</w:t>
            </w:r>
          </w:p>
        </w:tc>
        <w:tc>
          <w:tcPr>
            <w:tcW w:w="4455" w:type="dxa"/>
            <w:vAlign w:val="center"/>
          </w:tcPr>
          <w:p w14:paraId="729ADF5B">
            <w:pPr>
              <w:adjustRightInd/>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对本项目的了解程度及针对本项目提出的建议是否合理，且所提建议确实能对项目的实施产生有益作用的。每提供一项有利于项目实施的建议得1分，满分3分。</w:t>
            </w:r>
          </w:p>
        </w:tc>
        <w:tc>
          <w:tcPr>
            <w:tcW w:w="754" w:type="dxa"/>
            <w:vAlign w:val="center"/>
          </w:tcPr>
          <w:p w14:paraId="3A779FAB">
            <w:pPr>
              <w:adjustRightInd/>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3</w:t>
            </w:r>
          </w:p>
        </w:tc>
        <w:tc>
          <w:tcPr>
            <w:tcW w:w="1137" w:type="dxa"/>
            <w:vAlign w:val="center"/>
          </w:tcPr>
          <w:p w14:paraId="1A353578">
            <w:pPr>
              <w:adjustRightInd/>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客观分</w:t>
            </w:r>
          </w:p>
        </w:tc>
        <w:tc>
          <w:tcPr>
            <w:tcW w:w="1947" w:type="dxa"/>
            <w:vAlign w:val="center"/>
          </w:tcPr>
          <w:p w14:paraId="065107FA">
            <w:pPr>
              <w:adjustRightInd/>
              <w:spacing w:line="360" w:lineRule="auto"/>
              <w:jc w:val="center"/>
              <w:rPr>
                <w:rFonts w:hint="eastAsia" w:ascii="宋体" w:hAnsi="宋体" w:cs="宋体"/>
                <w:color w:val="auto"/>
                <w:sz w:val="24"/>
                <w:highlight w:val="none"/>
              </w:rPr>
            </w:pPr>
          </w:p>
        </w:tc>
      </w:tr>
      <w:tr w14:paraId="77A97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6DCA4820">
            <w:pPr>
              <w:adjustRightInd/>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6.2</w:t>
            </w:r>
          </w:p>
        </w:tc>
        <w:tc>
          <w:tcPr>
            <w:tcW w:w="4455" w:type="dxa"/>
            <w:vAlign w:val="center"/>
          </w:tcPr>
          <w:p w14:paraId="043DECA3">
            <w:pPr>
              <w:adjustRightInd/>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对本项目的综合分析、对重点、难点和疑点问题把握、关键点诊断。</w:t>
            </w:r>
          </w:p>
          <w:p w14:paraId="56ABEA2D">
            <w:pPr>
              <w:adjustRightInd/>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1.问题及关键点把握精准、专业的得3分；</w:t>
            </w:r>
          </w:p>
          <w:p w14:paraId="1C43ACB2">
            <w:pPr>
              <w:adjustRightInd/>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2.问题及关键点把握略有欠缺的得2分；</w:t>
            </w:r>
          </w:p>
          <w:p w14:paraId="6B44F52A">
            <w:pPr>
              <w:adjustRightInd/>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3.问题及关键点把握一般的得1分；</w:t>
            </w:r>
          </w:p>
          <w:p w14:paraId="4F7E378E">
            <w:pPr>
              <w:adjustRightInd/>
              <w:spacing w:line="360" w:lineRule="auto"/>
              <w:rPr>
                <w:rFonts w:hint="eastAsia" w:ascii="宋体" w:hAnsi="宋体" w:cs="宋体"/>
                <w:color w:val="auto"/>
                <w:sz w:val="24"/>
                <w:highlight w:val="none"/>
              </w:rPr>
            </w:pPr>
            <w:r>
              <w:rPr>
                <w:rFonts w:hint="eastAsia" w:ascii="宋体" w:hAnsi="宋体" w:cs="宋体"/>
                <w:color w:val="auto"/>
                <w:kern w:val="0"/>
                <w:sz w:val="24"/>
                <w:highlight w:val="none"/>
              </w:rPr>
              <w:t>3.未提供相关内容或不满足采购需求要求的不得分。</w:t>
            </w:r>
          </w:p>
        </w:tc>
        <w:tc>
          <w:tcPr>
            <w:tcW w:w="754" w:type="dxa"/>
            <w:vAlign w:val="center"/>
          </w:tcPr>
          <w:p w14:paraId="3826209F">
            <w:pPr>
              <w:adjustRightInd/>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3</w:t>
            </w:r>
          </w:p>
        </w:tc>
        <w:tc>
          <w:tcPr>
            <w:tcW w:w="1137" w:type="dxa"/>
            <w:vAlign w:val="center"/>
          </w:tcPr>
          <w:p w14:paraId="29BE4C07">
            <w:pPr>
              <w:adjustRightInd/>
              <w:spacing w:line="360" w:lineRule="auto"/>
              <w:jc w:val="center"/>
              <w:rPr>
                <w:rFonts w:hint="eastAsia" w:ascii="宋体" w:hAnsi="宋体" w:cs="宋体"/>
                <w:color w:val="auto"/>
                <w:sz w:val="24"/>
                <w:highlight w:val="none"/>
              </w:rPr>
            </w:pPr>
            <w:r>
              <w:rPr>
                <w:rFonts w:hint="eastAsia" w:ascii="宋体" w:hAnsi="宋体" w:cs="宋体"/>
                <w:bCs/>
                <w:color w:val="auto"/>
                <w:sz w:val="24"/>
                <w:highlight w:val="none"/>
              </w:rPr>
              <w:t>主观分</w:t>
            </w:r>
          </w:p>
        </w:tc>
        <w:tc>
          <w:tcPr>
            <w:tcW w:w="1947" w:type="dxa"/>
            <w:vAlign w:val="center"/>
          </w:tcPr>
          <w:p w14:paraId="04778156">
            <w:pPr>
              <w:adjustRightInd/>
              <w:spacing w:line="360" w:lineRule="auto"/>
              <w:jc w:val="center"/>
              <w:rPr>
                <w:rFonts w:hint="eastAsia" w:ascii="宋体" w:hAnsi="宋体" w:cs="宋体"/>
                <w:color w:val="auto"/>
                <w:sz w:val="24"/>
                <w:highlight w:val="none"/>
              </w:rPr>
            </w:pPr>
          </w:p>
        </w:tc>
      </w:tr>
      <w:tr w14:paraId="67BF7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3C307B5A">
            <w:pPr>
              <w:adjustRightInd/>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7</w:t>
            </w:r>
          </w:p>
        </w:tc>
        <w:tc>
          <w:tcPr>
            <w:tcW w:w="4455" w:type="dxa"/>
          </w:tcPr>
          <w:p w14:paraId="2AF8F4C1">
            <w:pPr>
              <w:adjustRightInd/>
              <w:spacing w:line="360" w:lineRule="auto"/>
              <w:rPr>
                <w:rFonts w:hint="eastAsia" w:ascii="宋体" w:hAnsi="宋体" w:cs="宋体"/>
                <w:color w:val="auto"/>
                <w:sz w:val="24"/>
                <w:highlight w:val="none"/>
              </w:rPr>
            </w:pPr>
            <w:r>
              <w:rPr>
                <w:rFonts w:hint="eastAsia" w:ascii="宋体" w:hAnsi="宋体" w:cs="宋体"/>
                <w:color w:val="auto"/>
                <w:sz w:val="24"/>
                <w:highlight w:val="none"/>
              </w:rPr>
              <w:t>服务承诺</w:t>
            </w:r>
          </w:p>
        </w:tc>
        <w:tc>
          <w:tcPr>
            <w:tcW w:w="754" w:type="dxa"/>
            <w:vAlign w:val="center"/>
          </w:tcPr>
          <w:p w14:paraId="2BD24769">
            <w:pPr>
              <w:adjustRightInd/>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15</w:t>
            </w:r>
          </w:p>
        </w:tc>
        <w:tc>
          <w:tcPr>
            <w:tcW w:w="1137" w:type="dxa"/>
            <w:vAlign w:val="center"/>
          </w:tcPr>
          <w:p w14:paraId="3D0A62EF">
            <w:pPr>
              <w:adjustRightInd/>
              <w:spacing w:line="360" w:lineRule="auto"/>
              <w:jc w:val="center"/>
              <w:rPr>
                <w:rFonts w:hint="eastAsia" w:ascii="宋体" w:hAnsi="宋体" w:cs="宋体"/>
                <w:color w:val="auto"/>
                <w:sz w:val="24"/>
                <w:highlight w:val="none"/>
              </w:rPr>
            </w:pPr>
          </w:p>
        </w:tc>
        <w:tc>
          <w:tcPr>
            <w:tcW w:w="1947" w:type="dxa"/>
            <w:vAlign w:val="center"/>
          </w:tcPr>
          <w:p w14:paraId="528231DB">
            <w:pPr>
              <w:adjustRightInd/>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服务承诺</w:t>
            </w:r>
          </w:p>
        </w:tc>
      </w:tr>
      <w:tr w14:paraId="5E0EE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389A25CB">
            <w:pPr>
              <w:adjustRightInd/>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7.1</w:t>
            </w:r>
          </w:p>
        </w:tc>
        <w:tc>
          <w:tcPr>
            <w:tcW w:w="4455" w:type="dxa"/>
            <w:vAlign w:val="center"/>
          </w:tcPr>
          <w:p w14:paraId="0CA8C008">
            <w:pPr>
              <w:adjustRightInd/>
              <w:spacing w:line="360" w:lineRule="auto"/>
              <w:rPr>
                <w:rFonts w:hint="eastAsia" w:ascii="宋体" w:hAnsi="宋体" w:cs="宋体"/>
                <w:color w:val="auto"/>
                <w:sz w:val="24"/>
                <w:highlight w:val="none"/>
              </w:rPr>
            </w:pPr>
            <w:r>
              <w:rPr>
                <w:rFonts w:hint="eastAsia" w:ascii="宋体" w:hAnsi="宋体" w:cs="宋体"/>
                <w:color w:val="auto"/>
                <w:sz w:val="24"/>
                <w:highlight w:val="none"/>
              </w:rPr>
              <w:t>质量保证措施方案。投标人具备一套完善的服务管理体系，在服务过程中能确保服务质量。</w:t>
            </w:r>
          </w:p>
          <w:p w14:paraId="40DB99DF">
            <w:pPr>
              <w:adjustRightInd/>
              <w:spacing w:line="360" w:lineRule="auto"/>
              <w:rPr>
                <w:rFonts w:hint="eastAsia" w:ascii="宋体" w:hAnsi="宋体" w:cs="宋体"/>
                <w:color w:val="auto"/>
                <w:sz w:val="24"/>
                <w:highlight w:val="none"/>
              </w:rPr>
            </w:pPr>
            <w:r>
              <w:rPr>
                <w:rFonts w:hint="eastAsia" w:ascii="宋体" w:hAnsi="宋体" w:cs="宋体"/>
                <w:color w:val="auto"/>
                <w:sz w:val="24"/>
                <w:highlight w:val="none"/>
              </w:rPr>
              <w:t>1.服务质量保证措施完善，设立严格的服务标准和质量监控体系的得4分；</w:t>
            </w:r>
          </w:p>
          <w:p w14:paraId="43AAC4DF">
            <w:pPr>
              <w:adjustRightInd/>
              <w:spacing w:line="360" w:lineRule="auto"/>
              <w:rPr>
                <w:rFonts w:hint="eastAsia" w:ascii="宋体" w:hAnsi="宋体" w:cs="宋体"/>
                <w:color w:val="auto"/>
                <w:sz w:val="24"/>
                <w:highlight w:val="none"/>
              </w:rPr>
            </w:pPr>
            <w:r>
              <w:rPr>
                <w:rFonts w:hint="eastAsia" w:ascii="宋体" w:hAnsi="宋体" w:cs="宋体"/>
                <w:color w:val="auto"/>
                <w:sz w:val="24"/>
                <w:highlight w:val="none"/>
              </w:rPr>
              <w:t>2.服务质量保证措施较完善，建立健全的服务流程和操作规范的得3分；</w:t>
            </w:r>
          </w:p>
          <w:p w14:paraId="094F7615">
            <w:pPr>
              <w:adjustRightInd/>
              <w:spacing w:line="360" w:lineRule="auto"/>
              <w:rPr>
                <w:rFonts w:hint="eastAsia" w:ascii="宋体" w:hAnsi="宋体" w:cs="宋体"/>
                <w:color w:val="auto"/>
                <w:sz w:val="24"/>
                <w:highlight w:val="none"/>
              </w:rPr>
            </w:pPr>
            <w:r>
              <w:rPr>
                <w:rFonts w:hint="eastAsia" w:ascii="宋体" w:hAnsi="宋体" w:cs="宋体"/>
                <w:color w:val="auto"/>
                <w:sz w:val="24"/>
                <w:highlight w:val="none"/>
              </w:rPr>
              <w:t>3.服务质量保证措施一般，制定基本的服务标准和操作规范的得2分；</w:t>
            </w:r>
          </w:p>
          <w:p w14:paraId="4871B9A7">
            <w:pPr>
              <w:adjustRightInd/>
              <w:spacing w:line="360" w:lineRule="auto"/>
              <w:rPr>
                <w:rFonts w:hint="eastAsia" w:ascii="宋体" w:hAnsi="宋体" w:cs="宋体"/>
                <w:color w:val="auto"/>
                <w:sz w:val="24"/>
                <w:highlight w:val="none"/>
              </w:rPr>
            </w:pPr>
            <w:r>
              <w:rPr>
                <w:rFonts w:hint="eastAsia" w:ascii="宋体" w:hAnsi="宋体" w:cs="宋体"/>
                <w:color w:val="auto"/>
                <w:sz w:val="24"/>
                <w:highlight w:val="none"/>
              </w:rPr>
              <w:t>4.保证服务质量的措施较差，服务流程和规范相对简单的得1分；</w:t>
            </w:r>
          </w:p>
          <w:p w14:paraId="4DEC1415">
            <w:pPr>
              <w:adjustRightInd/>
              <w:spacing w:line="360" w:lineRule="auto"/>
              <w:rPr>
                <w:color w:val="auto"/>
                <w:highlight w:val="none"/>
              </w:rPr>
            </w:pPr>
            <w:r>
              <w:rPr>
                <w:rFonts w:hint="eastAsia" w:ascii="宋体" w:hAnsi="宋体" w:cs="宋体"/>
                <w:color w:val="auto"/>
                <w:sz w:val="24"/>
                <w:highlight w:val="none"/>
              </w:rPr>
              <w:t>5.未提供相关内容或不满足采购需求要求的不得分。</w:t>
            </w:r>
          </w:p>
        </w:tc>
        <w:tc>
          <w:tcPr>
            <w:tcW w:w="754" w:type="dxa"/>
            <w:vAlign w:val="center"/>
          </w:tcPr>
          <w:p w14:paraId="74CB505A">
            <w:pPr>
              <w:adjustRightInd/>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4</w:t>
            </w:r>
          </w:p>
        </w:tc>
        <w:tc>
          <w:tcPr>
            <w:tcW w:w="1137" w:type="dxa"/>
            <w:vAlign w:val="center"/>
          </w:tcPr>
          <w:p w14:paraId="36D68E06">
            <w:pPr>
              <w:adjustRightInd/>
              <w:spacing w:line="360" w:lineRule="auto"/>
              <w:jc w:val="center"/>
              <w:rPr>
                <w:rFonts w:hint="eastAsia" w:ascii="宋体" w:hAnsi="宋体" w:cs="宋体"/>
                <w:color w:val="auto"/>
                <w:sz w:val="24"/>
                <w:highlight w:val="none"/>
              </w:rPr>
            </w:pPr>
            <w:r>
              <w:rPr>
                <w:rFonts w:hint="eastAsia" w:ascii="宋体" w:hAnsi="宋体" w:cs="宋体"/>
                <w:bCs/>
                <w:color w:val="auto"/>
                <w:sz w:val="24"/>
                <w:highlight w:val="none"/>
              </w:rPr>
              <w:t>主观分</w:t>
            </w:r>
          </w:p>
        </w:tc>
        <w:tc>
          <w:tcPr>
            <w:tcW w:w="1947" w:type="dxa"/>
            <w:vAlign w:val="center"/>
          </w:tcPr>
          <w:p w14:paraId="6013436F">
            <w:pPr>
              <w:adjustRightInd/>
              <w:spacing w:line="360" w:lineRule="auto"/>
              <w:jc w:val="center"/>
              <w:rPr>
                <w:rFonts w:hint="eastAsia" w:ascii="宋体" w:hAnsi="宋体" w:cs="宋体"/>
                <w:color w:val="auto"/>
                <w:sz w:val="24"/>
                <w:highlight w:val="none"/>
              </w:rPr>
            </w:pPr>
          </w:p>
        </w:tc>
      </w:tr>
      <w:tr w14:paraId="731D8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7E0932E9">
            <w:pPr>
              <w:adjustRightInd/>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7.2</w:t>
            </w:r>
          </w:p>
        </w:tc>
        <w:tc>
          <w:tcPr>
            <w:tcW w:w="4455" w:type="dxa"/>
            <w:vAlign w:val="center"/>
          </w:tcPr>
          <w:p w14:paraId="41F31F69">
            <w:pPr>
              <w:adjustRightInd/>
              <w:spacing w:line="360" w:lineRule="auto"/>
              <w:rPr>
                <w:rFonts w:hint="eastAsia" w:ascii="宋体" w:hAnsi="宋体" w:cs="宋体"/>
                <w:color w:val="auto"/>
                <w:sz w:val="24"/>
                <w:highlight w:val="none"/>
              </w:rPr>
            </w:pPr>
            <w:r>
              <w:rPr>
                <w:rFonts w:hint="eastAsia" w:ascii="宋体" w:hAnsi="宋体" w:cs="宋体"/>
                <w:color w:val="auto"/>
                <w:sz w:val="24"/>
                <w:highlight w:val="none"/>
              </w:rPr>
              <w:t>应急服务能力。</w:t>
            </w:r>
          </w:p>
          <w:p w14:paraId="2708E845">
            <w:pPr>
              <w:adjustRightInd/>
              <w:spacing w:line="360" w:lineRule="auto"/>
              <w:rPr>
                <w:rFonts w:hint="eastAsia" w:ascii="宋体" w:hAnsi="宋体" w:cs="宋体"/>
                <w:color w:val="auto"/>
                <w:sz w:val="24"/>
                <w:highlight w:val="none"/>
              </w:rPr>
            </w:pPr>
            <w:r>
              <w:rPr>
                <w:rFonts w:hint="eastAsia" w:ascii="宋体" w:hAnsi="宋体" w:cs="宋体"/>
                <w:color w:val="auto"/>
                <w:sz w:val="24"/>
                <w:highlight w:val="none"/>
              </w:rPr>
              <w:t>1.应急服务能力高效、专业，拥有全面、先进的应急响应机制的得3分；</w:t>
            </w:r>
          </w:p>
          <w:p w14:paraId="1BC372D7">
            <w:pPr>
              <w:adjustRightInd/>
              <w:spacing w:line="360" w:lineRule="auto"/>
              <w:rPr>
                <w:rFonts w:hint="eastAsia" w:ascii="宋体" w:hAnsi="宋体" w:cs="宋体"/>
                <w:color w:val="auto"/>
                <w:sz w:val="24"/>
                <w:highlight w:val="none"/>
              </w:rPr>
            </w:pPr>
            <w:r>
              <w:rPr>
                <w:rFonts w:hint="eastAsia" w:ascii="宋体" w:hAnsi="宋体" w:cs="宋体"/>
                <w:color w:val="auto"/>
                <w:sz w:val="24"/>
                <w:highlight w:val="none"/>
              </w:rPr>
              <w:t>2.应急服务能力较完善，了基本的应急响应机制的得2分；</w:t>
            </w:r>
          </w:p>
          <w:p w14:paraId="3419586E">
            <w:pPr>
              <w:adjustRightInd/>
              <w:spacing w:line="360" w:lineRule="auto"/>
              <w:rPr>
                <w:rFonts w:hint="eastAsia" w:ascii="宋体" w:hAnsi="宋体" w:cs="宋体"/>
                <w:color w:val="auto"/>
                <w:sz w:val="24"/>
                <w:highlight w:val="none"/>
              </w:rPr>
            </w:pPr>
            <w:r>
              <w:rPr>
                <w:rFonts w:hint="eastAsia" w:ascii="宋体" w:hAnsi="宋体" w:cs="宋体"/>
                <w:color w:val="auto"/>
                <w:sz w:val="24"/>
                <w:highlight w:val="none"/>
              </w:rPr>
              <w:t>3.应急服务能力较差，应急响应机制相对简单的得1分。</w:t>
            </w:r>
          </w:p>
          <w:p w14:paraId="4B6241E3">
            <w:pPr>
              <w:adjustRightInd/>
              <w:spacing w:line="360" w:lineRule="auto"/>
              <w:rPr>
                <w:rFonts w:hint="eastAsia" w:ascii="宋体" w:hAnsi="宋体" w:cs="宋体"/>
                <w:color w:val="auto"/>
                <w:sz w:val="24"/>
                <w:highlight w:val="none"/>
              </w:rPr>
            </w:pPr>
            <w:r>
              <w:rPr>
                <w:rFonts w:hint="eastAsia" w:ascii="宋体" w:hAnsi="宋体" w:cs="宋体"/>
                <w:color w:val="auto"/>
                <w:sz w:val="24"/>
                <w:highlight w:val="none"/>
              </w:rPr>
              <w:t>4.未提供相关内容或不满足采购需求要求的不得分。</w:t>
            </w:r>
          </w:p>
        </w:tc>
        <w:tc>
          <w:tcPr>
            <w:tcW w:w="754" w:type="dxa"/>
            <w:vAlign w:val="center"/>
          </w:tcPr>
          <w:p w14:paraId="138677B6">
            <w:pPr>
              <w:adjustRightInd/>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3</w:t>
            </w:r>
          </w:p>
        </w:tc>
        <w:tc>
          <w:tcPr>
            <w:tcW w:w="1137" w:type="dxa"/>
            <w:vAlign w:val="center"/>
          </w:tcPr>
          <w:p w14:paraId="28AB3738">
            <w:pPr>
              <w:adjustRightInd/>
              <w:spacing w:line="360" w:lineRule="auto"/>
              <w:jc w:val="center"/>
              <w:rPr>
                <w:rFonts w:hint="eastAsia" w:ascii="宋体" w:hAnsi="宋体" w:cs="宋体"/>
                <w:color w:val="auto"/>
                <w:sz w:val="24"/>
                <w:highlight w:val="none"/>
              </w:rPr>
            </w:pPr>
            <w:r>
              <w:rPr>
                <w:rFonts w:hint="eastAsia" w:ascii="宋体" w:hAnsi="宋体" w:cs="宋体"/>
                <w:bCs/>
                <w:color w:val="auto"/>
                <w:sz w:val="24"/>
                <w:highlight w:val="none"/>
              </w:rPr>
              <w:t>主观分</w:t>
            </w:r>
          </w:p>
        </w:tc>
        <w:tc>
          <w:tcPr>
            <w:tcW w:w="1947" w:type="dxa"/>
            <w:vAlign w:val="center"/>
          </w:tcPr>
          <w:p w14:paraId="4B72185D">
            <w:pPr>
              <w:adjustRightInd/>
              <w:spacing w:line="360" w:lineRule="auto"/>
              <w:jc w:val="center"/>
              <w:rPr>
                <w:rFonts w:hint="eastAsia" w:ascii="宋体" w:hAnsi="宋体" w:cs="宋体"/>
                <w:color w:val="auto"/>
                <w:sz w:val="24"/>
                <w:highlight w:val="none"/>
              </w:rPr>
            </w:pPr>
          </w:p>
        </w:tc>
      </w:tr>
      <w:tr w14:paraId="02463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4F52F9AA">
            <w:pPr>
              <w:adjustRightInd/>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7.3</w:t>
            </w:r>
          </w:p>
        </w:tc>
        <w:tc>
          <w:tcPr>
            <w:tcW w:w="4455" w:type="dxa"/>
            <w:vAlign w:val="center"/>
          </w:tcPr>
          <w:p w14:paraId="3D40D8C8">
            <w:pPr>
              <w:adjustRightInd/>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服务与技术支持。服务与技术支持响应及时、解决问题迅速。承诺发现异常状况时，提出排查方案并于12小时内完成故障处理，若远程无法排查时，24小时内前往现场解决。提供承诺函，承诺函格式自拟，不承诺不得分。</w:t>
            </w:r>
          </w:p>
        </w:tc>
        <w:tc>
          <w:tcPr>
            <w:tcW w:w="754" w:type="dxa"/>
            <w:vAlign w:val="center"/>
          </w:tcPr>
          <w:p w14:paraId="7BC94B51">
            <w:pPr>
              <w:adjustRightInd/>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3</w:t>
            </w:r>
          </w:p>
        </w:tc>
        <w:tc>
          <w:tcPr>
            <w:tcW w:w="1137" w:type="dxa"/>
            <w:vAlign w:val="center"/>
          </w:tcPr>
          <w:p w14:paraId="745B5A62">
            <w:pPr>
              <w:adjustRightInd/>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客观分</w:t>
            </w:r>
          </w:p>
        </w:tc>
        <w:tc>
          <w:tcPr>
            <w:tcW w:w="1947" w:type="dxa"/>
            <w:vAlign w:val="center"/>
          </w:tcPr>
          <w:p w14:paraId="6FA75A75">
            <w:pPr>
              <w:adjustRightInd/>
              <w:spacing w:line="360" w:lineRule="auto"/>
              <w:jc w:val="center"/>
              <w:rPr>
                <w:rFonts w:hint="eastAsia" w:ascii="宋体" w:hAnsi="宋体" w:cs="宋体"/>
                <w:color w:val="auto"/>
                <w:sz w:val="24"/>
                <w:highlight w:val="none"/>
              </w:rPr>
            </w:pPr>
          </w:p>
        </w:tc>
      </w:tr>
      <w:tr w14:paraId="387D8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5B35C446">
            <w:pPr>
              <w:adjustRightInd/>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7.4</w:t>
            </w:r>
          </w:p>
        </w:tc>
        <w:tc>
          <w:tcPr>
            <w:tcW w:w="4455" w:type="dxa"/>
            <w:vAlign w:val="center"/>
          </w:tcPr>
          <w:p w14:paraId="38B7AA84">
            <w:pPr>
              <w:adjustRightInd/>
              <w:spacing w:line="360" w:lineRule="auto"/>
              <w:rPr>
                <w:rFonts w:hint="eastAsia" w:ascii="宋体" w:hAnsi="宋体" w:cs="宋体"/>
                <w:color w:val="auto"/>
                <w:sz w:val="24"/>
                <w:highlight w:val="none"/>
              </w:rPr>
            </w:pPr>
            <w:r>
              <w:rPr>
                <w:rFonts w:hint="eastAsia" w:ascii="宋体" w:hAnsi="宋体" w:cs="宋体"/>
                <w:color w:val="auto"/>
                <w:sz w:val="24"/>
                <w:highlight w:val="none"/>
              </w:rPr>
              <w:t>备品备件库情况。备品备件及耗材品类及数量满足采购需求。</w:t>
            </w:r>
          </w:p>
          <w:p w14:paraId="791568CF">
            <w:pPr>
              <w:adjustRightInd/>
              <w:spacing w:line="360" w:lineRule="auto"/>
              <w:rPr>
                <w:rFonts w:hint="eastAsia" w:ascii="宋体" w:hAnsi="宋体" w:cs="宋体"/>
                <w:color w:val="auto"/>
                <w:sz w:val="24"/>
                <w:highlight w:val="none"/>
              </w:rPr>
            </w:pPr>
            <w:r>
              <w:rPr>
                <w:rFonts w:hint="eastAsia" w:ascii="宋体" w:hAnsi="宋体" w:cs="宋体"/>
                <w:color w:val="auto"/>
                <w:sz w:val="24"/>
                <w:highlight w:val="none"/>
              </w:rPr>
              <w:t>1.备品</w:t>
            </w:r>
            <w:r>
              <w:rPr>
                <w:rFonts w:hint="eastAsia" w:ascii="宋体" w:hAnsi="宋体" w:cs="宋体"/>
                <w:bCs/>
                <w:color w:val="auto"/>
                <w:sz w:val="24"/>
                <w:highlight w:val="none"/>
              </w:rPr>
              <w:t>备</w:t>
            </w:r>
            <w:r>
              <w:rPr>
                <w:rFonts w:hint="eastAsia" w:ascii="宋体" w:hAnsi="宋体" w:cs="宋体"/>
                <w:color w:val="auto"/>
                <w:sz w:val="24"/>
                <w:highlight w:val="none"/>
              </w:rPr>
              <w:t>件、耗材及配件充足，完全满足采购需求的得3分；</w:t>
            </w:r>
          </w:p>
          <w:p w14:paraId="4562CBC1">
            <w:pPr>
              <w:adjustRightInd/>
              <w:spacing w:line="360" w:lineRule="auto"/>
              <w:rPr>
                <w:rFonts w:hint="eastAsia" w:ascii="宋体" w:hAnsi="宋体" w:cs="宋体"/>
                <w:color w:val="auto"/>
                <w:sz w:val="24"/>
                <w:highlight w:val="none"/>
              </w:rPr>
            </w:pPr>
            <w:r>
              <w:rPr>
                <w:rFonts w:ascii="宋体" w:hAnsi="宋体" w:cs="宋体"/>
                <w:color w:val="auto"/>
                <w:sz w:val="24"/>
                <w:highlight w:val="none"/>
              </w:rPr>
              <w:t>2.</w:t>
            </w:r>
            <w:r>
              <w:rPr>
                <w:rFonts w:hint="eastAsia" w:ascii="宋体" w:hAnsi="宋体" w:cs="宋体"/>
                <w:color w:val="auto"/>
                <w:sz w:val="24"/>
                <w:highlight w:val="none"/>
              </w:rPr>
              <w:t>备品</w:t>
            </w:r>
            <w:r>
              <w:rPr>
                <w:rFonts w:hint="eastAsia" w:ascii="宋体" w:hAnsi="宋体" w:cs="宋体"/>
                <w:bCs/>
                <w:color w:val="auto"/>
                <w:sz w:val="24"/>
                <w:highlight w:val="none"/>
              </w:rPr>
              <w:t>备</w:t>
            </w:r>
            <w:r>
              <w:rPr>
                <w:rFonts w:hint="eastAsia" w:ascii="宋体" w:hAnsi="宋体" w:cs="宋体"/>
                <w:color w:val="auto"/>
                <w:sz w:val="24"/>
                <w:highlight w:val="none"/>
              </w:rPr>
              <w:t>件、耗材及配件略有欠缺，但基本满足采购需求的得2分；</w:t>
            </w:r>
          </w:p>
          <w:p w14:paraId="7A2F7D02">
            <w:pPr>
              <w:adjustRightInd/>
              <w:spacing w:line="360" w:lineRule="auto"/>
              <w:rPr>
                <w:rFonts w:hint="eastAsia" w:ascii="宋体" w:hAnsi="宋体" w:cs="宋体"/>
                <w:color w:val="auto"/>
                <w:sz w:val="24"/>
                <w:highlight w:val="none"/>
              </w:rPr>
            </w:pPr>
            <w:r>
              <w:rPr>
                <w:rFonts w:hint="eastAsia" w:ascii="宋体" w:hAnsi="宋体" w:cs="宋体"/>
                <w:color w:val="auto"/>
                <w:sz w:val="24"/>
                <w:highlight w:val="none"/>
              </w:rPr>
              <w:t>3.备品</w:t>
            </w:r>
            <w:r>
              <w:rPr>
                <w:rFonts w:hint="eastAsia" w:ascii="宋体" w:hAnsi="宋体" w:cs="宋体"/>
                <w:bCs/>
                <w:color w:val="auto"/>
                <w:sz w:val="24"/>
                <w:highlight w:val="none"/>
              </w:rPr>
              <w:t>备</w:t>
            </w:r>
            <w:r>
              <w:rPr>
                <w:rFonts w:hint="eastAsia" w:ascii="宋体" w:hAnsi="宋体" w:cs="宋体"/>
                <w:color w:val="auto"/>
                <w:sz w:val="24"/>
                <w:highlight w:val="none"/>
              </w:rPr>
              <w:t>件、耗材及配件配备较少，满足采购需求度一般的得1分；</w:t>
            </w:r>
          </w:p>
          <w:p w14:paraId="0ADBA406">
            <w:pPr>
              <w:adjustRightInd/>
              <w:spacing w:line="360" w:lineRule="auto"/>
              <w:rPr>
                <w:rFonts w:hint="eastAsia" w:ascii="宋体" w:hAnsi="宋体" w:cs="宋体"/>
                <w:color w:val="auto"/>
                <w:sz w:val="24"/>
                <w:highlight w:val="none"/>
              </w:rPr>
            </w:pPr>
            <w:r>
              <w:rPr>
                <w:rFonts w:hint="eastAsia" w:ascii="宋体" w:hAnsi="宋体" w:cs="宋体"/>
                <w:color w:val="auto"/>
                <w:sz w:val="24"/>
                <w:highlight w:val="none"/>
              </w:rPr>
              <w:t>4.未提供备品</w:t>
            </w:r>
            <w:r>
              <w:rPr>
                <w:rFonts w:hint="eastAsia" w:ascii="宋体" w:hAnsi="宋体" w:cs="宋体"/>
                <w:bCs/>
                <w:color w:val="auto"/>
                <w:sz w:val="24"/>
                <w:highlight w:val="none"/>
              </w:rPr>
              <w:t>备</w:t>
            </w:r>
            <w:r>
              <w:rPr>
                <w:rFonts w:hint="eastAsia" w:ascii="宋体" w:hAnsi="宋体" w:cs="宋体"/>
                <w:color w:val="auto"/>
                <w:sz w:val="24"/>
                <w:highlight w:val="none"/>
              </w:rPr>
              <w:t>件或不满足采购需求要求的不得分。</w:t>
            </w:r>
          </w:p>
        </w:tc>
        <w:tc>
          <w:tcPr>
            <w:tcW w:w="754" w:type="dxa"/>
            <w:vAlign w:val="center"/>
          </w:tcPr>
          <w:p w14:paraId="27303C0B">
            <w:pPr>
              <w:adjustRightInd/>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3</w:t>
            </w:r>
          </w:p>
        </w:tc>
        <w:tc>
          <w:tcPr>
            <w:tcW w:w="1137" w:type="dxa"/>
            <w:vAlign w:val="center"/>
          </w:tcPr>
          <w:p w14:paraId="007C3EE0">
            <w:pPr>
              <w:adjustRightInd/>
              <w:spacing w:line="360" w:lineRule="auto"/>
              <w:jc w:val="center"/>
              <w:rPr>
                <w:rFonts w:hint="eastAsia" w:ascii="宋体" w:hAnsi="宋体" w:cs="宋体"/>
                <w:color w:val="auto"/>
                <w:sz w:val="24"/>
                <w:highlight w:val="none"/>
              </w:rPr>
            </w:pPr>
            <w:r>
              <w:rPr>
                <w:rFonts w:hint="eastAsia" w:ascii="宋体" w:hAnsi="宋体" w:cs="宋体"/>
                <w:bCs/>
                <w:color w:val="auto"/>
                <w:sz w:val="24"/>
                <w:highlight w:val="none"/>
              </w:rPr>
              <w:t>主观分</w:t>
            </w:r>
          </w:p>
        </w:tc>
        <w:tc>
          <w:tcPr>
            <w:tcW w:w="1947" w:type="dxa"/>
            <w:vAlign w:val="center"/>
          </w:tcPr>
          <w:p w14:paraId="3984D8CA">
            <w:pPr>
              <w:adjustRightInd/>
              <w:spacing w:line="360" w:lineRule="auto"/>
              <w:jc w:val="center"/>
              <w:rPr>
                <w:rFonts w:hint="eastAsia" w:ascii="宋体" w:hAnsi="宋体" w:cs="宋体"/>
                <w:color w:val="auto"/>
                <w:sz w:val="24"/>
                <w:highlight w:val="none"/>
              </w:rPr>
            </w:pPr>
          </w:p>
        </w:tc>
      </w:tr>
      <w:tr w14:paraId="31F29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42A9BF2A">
            <w:pPr>
              <w:adjustRightInd/>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7.5</w:t>
            </w:r>
          </w:p>
        </w:tc>
        <w:tc>
          <w:tcPr>
            <w:tcW w:w="4455" w:type="dxa"/>
            <w:vAlign w:val="center"/>
          </w:tcPr>
          <w:p w14:paraId="051793CA">
            <w:pPr>
              <w:adjustRightInd/>
              <w:spacing w:line="360" w:lineRule="auto"/>
              <w:rPr>
                <w:rFonts w:hint="eastAsia" w:ascii="宋体" w:hAnsi="宋体" w:cs="宋体"/>
                <w:color w:val="auto"/>
                <w:sz w:val="24"/>
                <w:highlight w:val="none"/>
              </w:rPr>
            </w:pPr>
            <w:r>
              <w:rPr>
                <w:rFonts w:hint="eastAsia" w:ascii="宋体" w:hAnsi="宋体" w:cs="宋体"/>
                <w:color w:val="auto"/>
                <w:sz w:val="24"/>
                <w:highlight w:val="none"/>
              </w:rPr>
              <w:t>设备维修能力，包含提供配件、软件升级服务等服务承诺，满足得2分。提供</w:t>
            </w:r>
            <w:r>
              <w:rPr>
                <w:rFonts w:ascii="宋体" w:hAnsi="宋体" w:cs="宋体"/>
                <w:color w:val="auto"/>
                <w:sz w:val="24"/>
                <w:highlight w:val="none"/>
              </w:rPr>
              <w:t>承诺书</w:t>
            </w:r>
            <w:r>
              <w:rPr>
                <w:rFonts w:hint="eastAsia" w:ascii="宋体" w:hAnsi="宋体" w:cs="宋体"/>
                <w:color w:val="auto"/>
                <w:sz w:val="24"/>
                <w:highlight w:val="none"/>
              </w:rPr>
              <w:t>，不提供不得分。</w:t>
            </w:r>
          </w:p>
        </w:tc>
        <w:tc>
          <w:tcPr>
            <w:tcW w:w="754" w:type="dxa"/>
            <w:vAlign w:val="center"/>
          </w:tcPr>
          <w:p w14:paraId="748D6493">
            <w:pPr>
              <w:adjustRightInd/>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1137" w:type="dxa"/>
            <w:vAlign w:val="center"/>
          </w:tcPr>
          <w:p w14:paraId="6F586472">
            <w:pPr>
              <w:adjustRightInd/>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客观分</w:t>
            </w:r>
          </w:p>
        </w:tc>
        <w:tc>
          <w:tcPr>
            <w:tcW w:w="1947" w:type="dxa"/>
            <w:vAlign w:val="center"/>
          </w:tcPr>
          <w:p w14:paraId="2D124BCC">
            <w:pPr>
              <w:adjustRightInd/>
              <w:spacing w:line="360" w:lineRule="auto"/>
              <w:jc w:val="center"/>
              <w:rPr>
                <w:rFonts w:hint="eastAsia" w:ascii="宋体" w:hAnsi="宋体" w:cs="宋体"/>
                <w:color w:val="auto"/>
                <w:sz w:val="24"/>
                <w:highlight w:val="none"/>
              </w:rPr>
            </w:pPr>
          </w:p>
        </w:tc>
      </w:tr>
      <w:tr w14:paraId="65C0B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42AF5F51">
            <w:pPr>
              <w:adjustRightInd/>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8</w:t>
            </w:r>
          </w:p>
        </w:tc>
        <w:tc>
          <w:tcPr>
            <w:tcW w:w="4455" w:type="dxa"/>
          </w:tcPr>
          <w:p w14:paraId="5CE874E0">
            <w:pPr>
              <w:adjustRightInd/>
              <w:spacing w:line="360" w:lineRule="auto"/>
              <w:outlineLvl w:val="0"/>
              <w:rPr>
                <w:rFonts w:hint="eastAsia" w:ascii="宋体" w:hAnsi="宋体" w:cs="宋体"/>
                <w:color w:val="auto"/>
                <w:sz w:val="24"/>
                <w:highlight w:val="none"/>
              </w:rPr>
            </w:pPr>
            <w:r>
              <w:rPr>
                <w:rFonts w:hint="eastAsia" w:ascii="宋体" w:hAnsi="宋体" w:cs="宋体"/>
                <w:color w:val="auto"/>
                <w:sz w:val="24"/>
                <w:highlight w:val="none"/>
              </w:rPr>
              <w:t>有效投标报价的最低价作为评标基准价，其最低报价为满分；按［投标报价得分=（评标基准价/投标报价）*权重］的计算公式计算。</w:t>
            </w:r>
          </w:p>
          <w:p w14:paraId="5CD89608">
            <w:pPr>
              <w:widowControl/>
              <w:shd w:val="clear" w:color="auto" w:fill="FFFFFF"/>
              <w:adjustRightInd/>
              <w:spacing w:line="360" w:lineRule="auto"/>
              <w:ind w:firstLine="420"/>
              <w:jc w:val="left"/>
              <w:rPr>
                <w:rFonts w:hint="eastAsia" w:ascii="宋体" w:hAnsi="宋体" w:cs="宋体"/>
                <w:color w:val="auto"/>
                <w:sz w:val="24"/>
                <w:highlight w:val="none"/>
              </w:rPr>
            </w:pPr>
            <w:r>
              <w:rPr>
                <w:rFonts w:hint="eastAsia" w:ascii="宋体" w:hAnsi="宋体" w:cs="宋体"/>
                <w:color w:val="auto"/>
                <w:sz w:val="24"/>
                <w:highlight w:val="none"/>
              </w:rPr>
              <w:t>评标过程中，不得去掉报价中的最高报价和最低报价。</w:t>
            </w:r>
          </w:p>
          <w:p w14:paraId="7C0096E1">
            <w:pPr>
              <w:widowControl/>
              <w:shd w:val="clear" w:color="auto" w:fill="FFFFFF"/>
              <w:adjustRightInd/>
              <w:spacing w:line="360" w:lineRule="auto"/>
              <w:ind w:firstLine="420"/>
              <w:jc w:val="left"/>
              <w:rPr>
                <w:rFonts w:hint="eastAsia" w:ascii="宋体" w:hAnsi="宋体" w:cs="宋体"/>
                <w:color w:val="auto"/>
                <w:sz w:val="24"/>
                <w:highlight w:val="none"/>
              </w:rPr>
            </w:pPr>
            <w:r>
              <w:rPr>
                <w:rFonts w:hint="eastAsia" w:ascii="宋体" w:hAnsi="宋体" w:cs="宋体"/>
                <w:color w:val="auto"/>
                <w:sz w:val="24"/>
                <w:highlight w:val="none"/>
              </w:rPr>
              <w:t>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w:t>
            </w:r>
          </w:p>
        </w:tc>
        <w:tc>
          <w:tcPr>
            <w:tcW w:w="754" w:type="dxa"/>
            <w:vAlign w:val="center"/>
          </w:tcPr>
          <w:p w14:paraId="3DA93E1C">
            <w:pPr>
              <w:adjustRightInd/>
              <w:spacing w:line="360" w:lineRule="auto"/>
              <w:jc w:val="center"/>
              <w:outlineLvl w:val="0"/>
              <w:rPr>
                <w:rFonts w:hint="eastAsia" w:ascii="宋体" w:hAnsi="宋体" w:cs="宋体"/>
                <w:color w:val="auto"/>
                <w:sz w:val="24"/>
                <w:highlight w:val="none"/>
              </w:rPr>
            </w:pPr>
            <w:r>
              <w:rPr>
                <w:rFonts w:hint="eastAsia" w:ascii="宋体" w:hAnsi="宋体" w:cs="宋体"/>
                <w:color w:val="auto"/>
                <w:sz w:val="24"/>
                <w:highlight w:val="none"/>
              </w:rPr>
              <w:t>10</w:t>
            </w:r>
          </w:p>
        </w:tc>
        <w:tc>
          <w:tcPr>
            <w:tcW w:w="1137" w:type="dxa"/>
            <w:vAlign w:val="center"/>
          </w:tcPr>
          <w:p w14:paraId="20C08221">
            <w:pPr>
              <w:adjustRightInd/>
              <w:spacing w:line="360" w:lineRule="auto"/>
              <w:jc w:val="center"/>
              <w:outlineLvl w:val="0"/>
              <w:rPr>
                <w:rFonts w:hint="eastAsia" w:ascii="宋体" w:hAnsi="宋体" w:cs="宋体"/>
                <w:color w:val="auto"/>
                <w:sz w:val="24"/>
                <w:highlight w:val="none"/>
              </w:rPr>
            </w:pPr>
            <w:r>
              <w:rPr>
                <w:rFonts w:hint="eastAsia" w:ascii="宋体" w:hAnsi="宋体" w:cs="宋体"/>
                <w:color w:val="auto"/>
                <w:sz w:val="24"/>
                <w:highlight w:val="none"/>
              </w:rPr>
              <w:t>价格分</w:t>
            </w:r>
          </w:p>
        </w:tc>
        <w:tc>
          <w:tcPr>
            <w:tcW w:w="1947" w:type="dxa"/>
            <w:vAlign w:val="center"/>
          </w:tcPr>
          <w:p w14:paraId="144CEA2F">
            <w:pPr>
              <w:adjustRightInd/>
              <w:spacing w:line="360" w:lineRule="auto"/>
              <w:jc w:val="center"/>
              <w:outlineLvl w:val="0"/>
              <w:rPr>
                <w:rFonts w:hint="eastAsia" w:ascii="宋体" w:hAnsi="宋体" w:cs="宋体"/>
                <w:color w:val="auto"/>
                <w:sz w:val="24"/>
                <w:highlight w:val="none"/>
              </w:rPr>
            </w:pPr>
            <w:r>
              <w:rPr>
                <w:rFonts w:hint="eastAsia" w:ascii="宋体" w:hAnsi="宋体" w:cs="宋体"/>
                <w:color w:val="auto"/>
                <w:sz w:val="24"/>
                <w:highlight w:val="none"/>
              </w:rPr>
              <w:t>/</w:t>
            </w:r>
          </w:p>
        </w:tc>
      </w:tr>
    </w:tbl>
    <w:p w14:paraId="2D4902AC">
      <w:pPr>
        <w:rPr>
          <w:rFonts w:hint="eastAsia" w:ascii="宋体" w:hAnsi="宋体" w:cs="宋体"/>
          <w:b/>
          <w:bCs/>
          <w:color w:val="auto"/>
          <w:sz w:val="24"/>
          <w:highlight w:val="none"/>
        </w:rPr>
      </w:pPr>
      <w:r>
        <w:rPr>
          <w:rFonts w:hint="eastAsia" w:ascii="宋体" w:hAnsi="宋体" w:cs="宋体"/>
          <w:color w:val="auto"/>
          <w:sz w:val="20"/>
          <w:szCs w:val="20"/>
          <w:highlight w:val="none"/>
          <w:shd w:val="clear" w:color="auto" w:fill="FFFFFF"/>
        </w:rPr>
        <w:t>*</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w:t>
      </w:r>
      <w:r>
        <w:rPr>
          <w:rFonts w:hint="eastAsia" w:ascii="宋体" w:hAnsi="宋体" w:cs="宋体"/>
          <w:b/>
          <w:color w:val="auto"/>
          <w:sz w:val="32"/>
          <w:highlight w:val="none"/>
        </w:rPr>
        <w:br w:type="page"/>
      </w:r>
      <w:r>
        <w:rPr>
          <w:rFonts w:hint="eastAsia" w:ascii="宋体" w:hAnsi="宋体" w:cs="宋体"/>
          <w:b/>
          <w:bCs/>
          <w:color w:val="auto"/>
          <w:sz w:val="24"/>
          <w:highlight w:val="none"/>
        </w:rPr>
        <w:t>标项二：杭州市碳排放反演与通量核算项目</w:t>
      </w:r>
    </w:p>
    <w:tbl>
      <w:tblPr>
        <w:tblStyle w:val="62"/>
        <w:tblW w:w="0" w:type="auto"/>
        <w:tblInd w:w="-53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4455"/>
        <w:gridCol w:w="754"/>
        <w:gridCol w:w="1137"/>
        <w:gridCol w:w="1947"/>
      </w:tblGrid>
      <w:tr w14:paraId="44331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64F85DEB">
            <w:pPr>
              <w:adjustRightInd/>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序号</w:t>
            </w:r>
          </w:p>
        </w:tc>
        <w:tc>
          <w:tcPr>
            <w:tcW w:w="4455" w:type="dxa"/>
            <w:vAlign w:val="center"/>
          </w:tcPr>
          <w:p w14:paraId="2737ED9E">
            <w:pPr>
              <w:adjustRightInd/>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评标标准</w:t>
            </w:r>
          </w:p>
        </w:tc>
        <w:tc>
          <w:tcPr>
            <w:tcW w:w="754" w:type="dxa"/>
            <w:vAlign w:val="center"/>
          </w:tcPr>
          <w:p w14:paraId="27A399CC">
            <w:pPr>
              <w:adjustRightInd/>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权重</w:t>
            </w:r>
          </w:p>
        </w:tc>
        <w:tc>
          <w:tcPr>
            <w:tcW w:w="1137" w:type="dxa"/>
            <w:vAlign w:val="center"/>
          </w:tcPr>
          <w:p w14:paraId="4A4FE0F4">
            <w:pPr>
              <w:adjustRightInd/>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主观分/客观分属性</w:t>
            </w:r>
          </w:p>
        </w:tc>
        <w:tc>
          <w:tcPr>
            <w:tcW w:w="1947" w:type="dxa"/>
            <w:vAlign w:val="center"/>
          </w:tcPr>
          <w:p w14:paraId="7575D32B">
            <w:pPr>
              <w:adjustRightInd/>
              <w:spacing w:line="360" w:lineRule="auto"/>
              <w:jc w:val="center"/>
              <w:rPr>
                <w:rFonts w:hint="eastAsia" w:ascii="宋体" w:hAnsi="宋体" w:cs="宋体"/>
                <w:color w:val="auto"/>
                <w:sz w:val="24"/>
                <w:highlight w:val="none"/>
              </w:rPr>
            </w:pPr>
            <w:r>
              <w:rPr>
                <w:rFonts w:hint="eastAsia" w:ascii="宋体" w:hAnsi="宋体" w:cs="宋体"/>
                <w:bCs/>
                <w:color w:val="auto"/>
                <w:sz w:val="24"/>
                <w:highlight w:val="none"/>
              </w:rPr>
              <w:t>投标文件中评标标准相应的商务技术资料目录*</w:t>
            </w:r>
          </w:p>
        </w:tc>
      </w:tr>
      <w:tr w14:paraId="61153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767A51E9">
            <w:pPr>
              <w:adjustRightInd/>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4455" w:type="dxa"/>
          </w:tcPr>
          <w:p w14:paraId="4DA55F44">
            <w:pPr>
              <w:adjustRightInd/>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投标人自2022年1月1日以来（以合同签订时间为准）承担过温室气体通量反演相关项目的业绩，每提供一个业绩得0.5分，满分1分。（注：须同时提供合同及验收报告（或用户证明）等相关材料，否则不予认可。）</w:t>
            </w:r>
          </w:p>
        </w:tc>
        <w:tc>
          <w:tcPr>
            <w:tcW w:w="754" w:type="dxa"/>
            <w:vAlign w:val="center"/>
          </w:tcPr>
          <w:p w14:paraId="5C4484D9">
            <w:pPr>
              <w:adjustRightInd/>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1137" w:type="dxa"/>
            <w:vAlign w:val="center"/>
          </w:tcPr>
          <w:p w14:paraId="4BA96E2B">
            <w:pPr>
              <w:adjustRightInd/>
              <w:spacing w:line="360" w:lineRule="auto"/>
              <w:jc w:val="center"/>
              <w:rPr>
                <w:rFonts w:hint="eastAsia" w:ascii="宋体" w:hAnsi="宋体" w:cs="宋体"/>
                <w:color w:val="auto"/>
                <w:sz w:val="24"/>
                <w:highlight w:val="none"/>
              </w:rPr>
            </w:pPr>
            <w:r>
              <w:rPr>
                <w:rFonts w:hint="eastAsia" w:ascii="宋体" w:hAnsi="宋体" w:cs="宋体"/>
                <w:bCs/>
                <w:color w:val="auto"/>
                <w:sz w:val="24"/>
                <w:highlight w:val="none"/>
              </w:rPr>
              <w:t>客观分</w:t>
            </w:r>
          </w:p>
        </w:tc>
        <w:tc>
          <w:tcPr>
            <w:tcW w:w="1947" w:type="dxa"/>
            <w:vAlign w:val="center"/>
          </w:tcPr>
          <w:p w14:paraId="3DF452B2">
            <w:pPr>
              <w:adjustRightInd/>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同类项目业绩</w:t>
            </w:r>
          </w:p>
        </w:tc>
      </w:tr>
      <w:tr w14:paraId="60425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073D3361">
            <w:pPr>
              <w:adjustRightInd/>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4455" w:type="dxa"/>
          </w:tcPr>
          <w:p w14:paraId="51E8C18A">
            <w:pPr>
              <w:adjustRightInd/>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根据投标人针对本项目“四、技术要求”，针对指标逐条响应情况进行逐条对照打分，完全满足招标文件所有技术要求的得20分，每负偏离一项扣2分，扣完为止。</w:t>
            </w:r>
          </w:p>
        </w:tc>
        <w:tc>
          <w:tcPr>
            <w:tcW w:w="754" w:type="dxa"/>
            <w:vAlign w:val="center"/>
          </w:tcPr>
          <w:p w14:paraId="6955B8E7">
            <w:pPr>
              <w:adjustRightInd/>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20</w:t>
            </w:r>
          </w:p>
        </w:tc>
        <w:tc>
          <w:tcPr>
            <w:tcW w:w="1137" w:type="dxa"/>
            <w:vAlign w:val="center"/>
          </w:tcPr>
          <w:p w14:paraId="18A353BB">
            <w:pPr>
              <w:adjustRightInd/>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客观分</w:t>
            </w:r>
          </w:p>
        </w:tc>
        <w:tc>
          <w:tcPr>
            <w:tcW w:w="1947" w:type="dxa"/>
            <w:vAlign w:val="center"/>
          </w:tcPr>
          <w:p w14:paraId="4CCFF04B">
            <w:pPr>
              <w:adjustRightInd/>
              <w:spacing w:line="360" w:lineRule="auto"/>
              <w:jc w:val="center"/>
              <w:rPr>
                <w:rFonts w:hint="eastAsia" w:ascii="宋体" w:hAnsi="宋体" w:cs="宋体"/>
                <w:color w:val="auto"/>
                <w:sz w:val="24"/>
                <w:highlight w:val="none"/>
              </w:rPr>
            </w:pPr>
            <w:r>
              <w:rPr>
                <w:rFonts w:ascii="宋体" w:hAnsi="宋体" w:cs="宋体"/>
                <w:color w:val="auto"/>
                <w:sz w:val="24"/>
                <w:highlight w:val="none"/>
              </w:rPr>
              <w:t>技术指标条款响应情况</w:t>
            </w:r>
          </w:p>
        </w:tc>
      </w:tr>
      <w:tr w14:paraId="7BB93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6B5FF522">
            <w:pPr>
              <w:adjustRightInd/>
              <w:spacing w:line="360" w:lineRule="auto"/>
              <w:jc w:val="center"/>
              <w:rPr>
                <w:rFonts w:hint="eastAsia" w:ascii="宋体" w:hAnsi="宋体" w:cs="宋体"/>
                <w:color w:val="auto"/>
                <w:sz w:val="24"/>
                <w:highlight w:val="none"/>
              </w:rPr>
            </w:pPr>
            <w:r>
              <w:rPr>
                <w:rFonts w:ascii="宋体" w:hAnsi="宋体" w:cs="宋体"/>
                <w:color w:val="auto"/>
                <w:sz w:val="24"/>
                <w:highlight w:val="none"/>
              </w:rPr>
              <w:t>3</w:t>
            </w:r>
          </w:p>
        </w:tc>
        <w:tc>
          <w:tcPr>
            <w:tcW w:w="4455" w:type="dxa"/>
            <w:vAlign w:val="center"/>
          </w:tcPr>
          <w:p w14:paraId="5B4C10A3">
            <w:pPr>
              <w:adjustRightInd/>
              <w:spacing w:line="360" w:lineRule="auto"/>
              <w:rPr>
                <w:color w:val="auto"/>
                <w:sz w:val="24"/>
                <w:highlight w:val="none"/>
              </w:rPr>
            </w:pPr>
            <w:r>
              <w:rPr>
                <w:rFonts w:hint="eastAsia"/>
                <w:color w:val="auto"/>
                <w:sz w:val="24"/>
                <w:highlight w:val="none"/>
              </w:rPr>
              <w:t>提供必要基础设施和数据</w:t>
            </w:r>
          </w:p>
        </w:tc>
        <w:tc>
          <w:tcPr>
            <w:tcW w:w="754" w:type="dxa"/>
            <w:vAlign w:val="center"/>
          </w:tcPr>
          <w:p w14:paraId="10271DA7">
            <w:pPr>
              <w:adjustRightInd/>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14</w:t>
            </w:r>
          </w:p>
        </w:tc>
        <w:tc>
          <w:tcPr>
            <w:tcW w:w="1137" w:type="dxa"/>
            <w:vAlign w:val="center"/>
          </w:tcPr>
          <w:p w14:paraId="47A93A61">
            <w:pPr>
              <w:adjustRightInd/>
              <w:spacing w:line="360" w:lineRule="auto"/>
              <w:jc w:val="center"/>
              <w:rPr>
                <w:rFonts w:hint="eastAsia" w:ascii="宋体" w:hAnsi="宋体" w:cs="宋体"/>
                <w:bCs/>
                <w:color w:val="auto"/>
                <w:sz w:val="24"/>
                <w:highlight w:val="none"/>
              </w:rPr>
            </w:pPr>
          </w:p>
        </w:tc>
        <w:tc>
          <w:tcPr>
            <w:tcW w:w="1947" w:type="dxa"/>
            <w:vAlign w:val="center"/>
          </w:tcPr>
          <w:p w14:paraId="4231633F">
            <w:pPr>
              <w:adjustRightInd/>
              <w:spacing w:line="360" w:lineRule="auto"/>
              <w:jc w:val="center"/>
              <w:rPr>
                <w:rFonts w:hint="eastAsia" w:ascii="宋体" w:hAnsi="宋体" w:cs="宋体"/>
                <w:color w:val="auto"/>
                <w:sz w:val="24"/>
                <w:highlight w:val="none"/>
              </w:rPr>
            </w:pPr>
            <w:r>
              <w:rPr>
                <w:rFonts w:hint="eastAsia"/>
                <w:color w:val="auto"/>
                <w:sz w:val="24"/>
                <w:highlight w:val="none"/>
              </w:rPr>
              <w:t>基础设施和数据支持能力</w:t>
            </w:r>
          </w:p>
        </w:tc>
      </w:tr>
      <w:tr w14:paraId="0730E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0A8ECB9A">
            <w:pPr>
              <w:adjustRightInd/>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3.1</w:t>
            </w:r>
          </w:p>
        </w:tc>
        <w:tc>
          <w:tcPr>
            <w:tcW w:w="4455" w:type="dxa"/>
          </w:tcPr>
          <w:p w14:paraId="232594CF">
            <w:pPr>
              <w:adjustRightInd/>
              <w:spacing w:line="360" w:lineRule="auto"/>
              <w:rPr>
                <w:color w:val="auto"/>
                <w:sz w:val="24"/>
                <w:highlight w:val="none"/>
              </w:rPr>
            </w:pPr>
            <w:r>
              <w:rPr>
                <w:rFonts w:hint="eastAsia"/>
                <w:color w:val="auto"/>
                <w:sz w:val="24"/>
                <w:highlight w:val="none"/>
              </w:rPr>
              <w:t>应标单位应具有反演计算的独立安全管理的算力资源，根据招标内容，对项目需要超算等资源设施进行评估，具有7天内完成反演计算的算力资源得4分，具有14天内完成反演计算的算力资源得3分，具有21天内完成反演计算的算力资源得2分，具有28天内完成反演计算的算力资源得1分.(需要提供评估过程和算力证明)</w:t>
            </w:r>
          </w:p>
        </w:tc>
        <w:tc>
          <w:tcPr>
            <w:tcW w:w="754" w:type="dxa"/>
            <w:vAlign w:val="center"/>
          </w:tcPr>
          <w:p w14:paraId="73CA9613">
            <w:pPr>
              <w:adjustRightInd/>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4</w:t>
            </w:r>
          </w:p>
        </w:tc>
        <w:tc>
          <w:tcPr>
            <w:tcW w:w="1137" w:type="dxa"/>
            <w:vAlign w:val="center"/>
          </w:tcPr>
          <w:p w14:paraId="3DEC3EAE">
            <w:pPr>
              <w:adjustRightInd/>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客观分</w:t>
            </w:r>
          </w:p>
        </w:tc>
        <w:tc>
          <w:tcPr>
            <w:tcW w:w="1947" w:type="dxa"/>
            <w:vAlign w:val="center"/>
          </w:tcPr>
          <w:p w14:paraId="2B2D62B8">
            <w:pPr>
              <w:adjustRightInd/>
              <w:spacing w:line="360" w:lineRule="auto"/>
              <w:jc w:val="center"/>
              <w:rPr>
                <w:rFonts w:hint="eastAsia" w:ascii="宋体" w:hAnsi="宋体" w:cs="宋体"/>
                <w:color w:val="auto"/>
                <w:sz w:val="24"/>
                <w:highlight w:val="none"/>
              </w:rPr>
            </w:pPr>
          </w:p>
        </w:tc>
      </w:tr>
      <w:tr w14:paraId="4F5E1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7A314EEA">
            <w:pPr>
              <w:adjustRightInd/>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3.2</w:t>
            </w:r>
          </w:p>
        </w:tc>
        <w:tc>
          <w:tcPr>
            <w:tcW w:w="4455" w:type="dxa"/>
          </w:tcPr>
          <w:p w14:paraId="50AD56A6">
            <w:pPr>
              <w:adjustRightInd/>
              <w:spacing w:line="360" w:lineRule="auto"/>
              <w:rPr>
                <w:color w:val="auto"/>
                <w:sz w:val="24"/>
                <w:highlight w:val="none"/>
              </w:rPr>
            </w:pPr>
            <w:r>
              <w:rPr>
                <w:rFonts w:hint="eastAsia"/>
                <w:color w:val="auto"/>
                <w:sz w:val="24"/>
                <w:highlight w:val="none"/>
              </w:rPr>
              <w:t>每月提供10条杭州的CO</w:t>
            </w:r>
            <w:r>
              <w:rPr>
                <w:rFonts w:hint="eastAsia"/>
                <w:color w:val="auto"/>
                <w:sz w:val="24"/>
                <w:highlight w:val="none"/>
                <w:vertAlign w:val="subscript"/>
              </w:rPr>
              <w:t>2</w:t>
            </w:r>
            <w:r>
              <w:rPr>
                <w:color w:val="auto"/>
                <w:sz w:val="24"/>
                <w:highlight w:val="none"/>
                <w:vertAlign w:val="subscript"/>
              </w:rPr>
              <w:t>、</w:t>
            </w:r>
            <w:r>
              <w:rPr>
                <w:color w:val="auto"/>
                <w:highlight w:val="none"/>
              </w:rPr>
              <w:t>CH</w:t>
            </w:r>
            <w:r>
              <w:rPr>
                <w:color w:val="auto"/>
                <w:sz w:val="24"/>
                <w:highlight w:val="none"/>
                <w:vertAlign w:val="subscript"/>
              </w:rPr>
              <w:t>4</w:t>
            </w:r>
            <w:r>
              <w:rPr>
                <w:rFonts w:hint="eastAsia"/>
                <w:color w:val="auto"/>
                <w:sz w:val="24"/>
                <w:highlight w:val="none"/>
              </w:rPr>
              <w:t>柱浓度数据，得10分，每少1条扣1分。</w:t>
            </w:r>
          </w:p>
          <w:p w14:paraId="24E21106">
            <w:pPr>
              <w:adjustRightInd/>
              <w:spacing w:line="360" w:lineRule="auto"/>
              <w:rPr>
                <w:color w:val="auto"/>
                <w:sz w:val="24"/>
                <w:highlight w:val="none"/>
              </w:rPr>
            </w:pPr>
            <w:r>
              <w:rPr>
                <w:rFonts w:hint="eastAsia"/>
                <w:color w:val="auto"/>
                <w:sz w:val="24"/>
                <w:highlight w:val="none"/>
              </w:rPr>
              <w:t>（提供承诺函及4月份相应条数数据证明材料）</w:t>
            </w:r>
            <w:r>
              <w:rPr>
                <w:color w:val="auto"/>
                <w:sz w:val="24"/>
                <w:highlight w:val="none"/>
              </w:rPr>
              <w:t xml:space="preserve"> </w:t>
            </w:r>
          </w:p>
        </w:tc>
        <w:tc>
          <w:tcPr>
            <w:tcW w:w="754" w:type="dxa"/>
            <w:vAlign w:val="center"/>
          </w:tcPr>
          <w:p w14:paraId="0FB3CA2E">
            <w:pPr>
              <w:adjustRightInd/>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10</w:t>
            </w:r>
          </w:p>
        </w:tc>
        <w:tc>
          <w:tcPr>
            <w:tcW w:w="1137" w:type="dxa"/>
            <w:vAlign w:val="center"/>
          </w:tcPr>
          <w:p w14:paraId="7F60069F">
            <w:pPr>
              <w:adjustRightInd/>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客观分</w:t>
            </w:r>
          </w:p>
        </w:tc>
        <w:tc>
          <w:tcPr>
            <w:tcW w:w="1947" w:type="dxa"/>
            <w:vAlign w:val="center"/>
          </w:tcPr>
          <w:p w14:paraId="21EAFFA5">
            <w:pPr>
              <w:adjustRightInd/>
              <w:spacing w:line="360" w:lineRule="auto"/>
              <w:jc w:val="center"/>
              <w:rPr>
                <w:rFonts w:hint="eastAsia" w:ascii="宋体" w:hAnsi="宋体" w:cs="宋体"/>
                <w:color w:val="auto"/>
                <w:sz w:val="24"/>
                <w:highlight w:val="none"/>
              </w:rPr>
            </w:pPr>
          </w:p>
        </w:tc>
      </w:tr>
      <w:tr w14:paraId="1B6F7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678EA032">
            <w:pPr>
              <w:adjustRightInd/>
              <w:spacing w:line="360" w:lineRule="auto"/>
              <w:jc w:val="center"/>
              <w:rPr>
                <w:rFonts w:hint="eastAsia" w:ascii="宋体" w:hAnsi="宋体" w:cs="宋体"/>
                <w:color w:val="auto"/>
                <w:sz w:val="24"/>
                <w:highlight w:val="none"/>
              </w:rPr>
            </w:pPr>
            <w:r>
              <w:rPr>
                <w:rFonts w:ascii="宋体" w:hAnsi="宋体" w:cs="宋体"/>
                <w:color w:val="auto"/>
                <w:sz w:val="24"/>
                <w:highlight w:val="none"/>
              </w:rPr>
              <w:t>4</w:t>
            </w:r>
          </w:p>
        </w:tc>
        <w:tc>
          <w:tcPr>
            <w:tcW w:w="4455" w:type="dxa"/>
          </w:tcPr>
          <w:p w14:paraId="65A48723">
            <w:pPr>
              <w:adjustRightInd/>
              <w:spacing w:line="360" w:lineRule="auto"/>
              <w:rPr>
                <w:rFonts w:hint="eastAsia" w:ascii="宋体" w:hAnsi="宋体" w:cs="宋体"/>
                <w:color w:val="auto"/>
                <w:sz w:val="24"/>
                <w:highlight w:val="none"/>
              </w:rPr>
            </w:pPr>
            <w:r>
              <w:rPr>
                <w:rFonts w:hint="eastAsia" w:ascii="宋体" w:hAnsi="宋体" w:cs="宋体"/>
                <w:color w:val="auto"/>
                <w:sz w:val="24"/>
                <w:highlight w:val="none"/>
              </w:rPr>
              <w:t>技术方案</w:t>
            </w:r>
          </w:p>
        </w:tc>
        <w:tc>
          <w:tcPr>
            <w:tcW w:w="754" w:type="dxa"/>
            <w:vAlign w:val="center"/>
          </w:tcPr>
          <w:p w14:paraId="73E135E9">
            <w:pPr>
              <w:adjustRightInd/>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24</w:t>
            </w:r>
          </w:p>
        </w:tc>
        <w:tc>
          <w:tcPr>
            <w:tcW w:w="1137" w:type="dxa"/>
            <w:vAlign w:val="center"/>
          </w:tcPr>
          <w:p w14:paraId="21DE1093">
            <w:pPr>
              <w:adjustRightInd/>
              <w:spacing w:line="360" w:lineRule="auto"/>
              <w:jc w:val="center"/>
              <w:rPr>
                <w:rFonts w:hint="eastAsia" w:ascii="宋体" w:hAnsi="宋体" w:cs="宋体"/>
                <w:color w:val="auto"/>
                <w:sz w:val="24"/>
                <w:highlight w:val="none"/>
              </w:rPr>
            </w:pPr>
          </w:p>
        </w:tc>
        <w:tc>
          <w:tcPr>
            <w:tcW w:w="1947" w:type="dxa"/>
            <w:vAlign w:val="center"/>
          </w:tcPr>
          <w:p w14:paraId="5F2EA4A7">
            <w:pPr>
              <w:adjustRightInd/>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技术方案</w:t>
            </w:r>
          </w:p>
        </w:tc>
      </w:tr>
      <w:tr w14:paraId="745E4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1F64FEED">
            <w:pPr>
              <w:adjustRightInd/>
              <w:spacing w:line="360" w:lineRule="auto"/>
              <w:jc w:val="center"/>
              <w:rPr>
                <w:rFonts w:hint="eastAsia"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.1</w:t>
            </w:r>
          </w:p>
        </w:tc>
        <w:tc>
          <w:tcPr>
            <w:tcW w:w="4455" w:type="dxa"/>
            <w:vAlign w:val="center"/>
          </w:tcPr>
          <w:p w14:paraId="00947FC0">
            <w:pPr>
              <w:adjustRightInd/>
              <w:spacing w:line="360" w:lineRule="auto"/>
              <w:rPr>
                <w:rFonts w:hint="eastAsia" w:ascii="宋体" w:hAnsi="宋体" w:cs="宋体"/>
                <w:color w:val="auto"/>
                <w:sz w:val="24"/>
                <w:highlight w:val="none"/>
              </w:rPr>
            </w:pPr>
            <w:r>
              <w:rPr>
                <w:rFonts w:hint="eastAsia" w:ascii="宋体" w:hAnsi="宋体" w:cs="宋体"/>
                <w:color w:val="auto"/>
                <w:sz w:val="24"/>
                <w:highlight w:val="none"/>
              </w:rPr>
              <w:t>投标人针对本项目编制方案的总体目标、思路、成果等。</w:t>
            </w:r>
          </w:p>
          <w:p w14:paraId="5BF59E53">
            <w:pPr>
              <w:adjustRightInd/>
              <w:spacing w:line="360" w:lineRule="auto"/>
              <w:rPr>
                <w:rFonts w:hint="eastAsia" w:ascii="宋体" w:hAnsi="宋体" w:cs="宋体"/>
                <w:color w:val="auto"/>
                <w:sz w:val="24"/>
                <w:highlight w:val="none"/>
              </w:rPr>
            </w:pPr>
            <w:r>
              <w:rPr>
                <w:rFonts w:hint="eastAsia" w:ascii="宋体" w:hAnsi="宋体" w:cs="宋体"/>
                <w:color w:val="auto"/>
                <w:sz w:val="24"/>
                <w:highlight w:val="none"/>
              </w:rPr>
              <w:t>1.方案完整、涵盖全部内容且合理可行的得5分；</w:t>
            </w:r>
          </w:p>
          <w:p w14:paraId="78C7AB1E">
            <w:pPr>
              <w:adjustRightInd/>
              <w:spacing w:line="360" w:lineRule="auto"/>
              <w:rPr>
                <w:rFonts w:hint="eastAsia" w:ascii="宋体" w:hAnsi="宋体" w:cs="宋体"/>
                <w:color w:val="auto"/>
                <w:sz w:val="24"/>
                <w:highlight w:val="none"/>
              </w:rPr>
            </w:pPr>
            <w:r>
              <w:rPr>
                <w:rFonts w:hint="eastAsia" w:ascii="宋体" w:hAnsi="宋体" w:cs="宋体"/>
                <w:color w:val="auto"/>
                <w:sz w:val="24"/>
                <w:highlight w:val="none"/>
              </w:rPr>
              <w:t>2.方案内容较完整、涵盖全部内容的得4分；</w:t>
            </w:r>
          </w:p>
          <w:p w14:paraId="1EFCA8D1">
            <w:pPr>
              <w:adjustRightInd/>
              <w:spacing w:line="360" w:lineRule="auto"/>
              <w:rPr>
                <w:rFonts w:hint="eastAsia" w:ascii="宋体" w:hAnsi="宋体" w:cs="宋体"/>
                <w:color w:val="auto"/>
                <w:sz w:val="24"/>
                <w:highlight w:val="none"/>
              </w:rPr>
            </w:pPr>
            <w:r>
              <w:rPr>
                <w:rFonts w:hint="eastAsia" w:ascii="宋体" w:hAnsi="宋体" w:cs="宋体"/>
                <w:color w:val="auto"/>
                <w:sz w:val="24"/>
                <w:highlight w:val="none"/>
              </w:rPr>
              <w:t>3</w:t>
            </w:r>
            <w:r>
              <w:rPr>
                <w:rFonts w:ascii="宋体" w:hAnsi="宋体" w:cs="宋体"/>
                <w:color w:val="auto"/>
                <w:sz w:val="24"/>
                <w:highlight w:val="none"/>
              </w:rPr>
              <w:t>.</w:t>
            </w:r>
            <w:r>
              <w:rPr>
                <w:rFonts w:hint="eastAsia" w:ascii="宋体" w:hAnsi="宋体" w:cs="宋体"/>
                <w:color w:val="auto"/>
                <w:sz w:val="24"/>
                <w:highlight w:val="none"/>
              </w:rPr>
              <w:t>方案内容较完整，部分略有欠缺的得3分；</w:t>
            </w:r>
          </w:p>
          <w:p w14:paraId="5DE52AC6">
            <w:pPr>
              <w:adjustRightInd/>
              <w:spacing w:line="360" w:lineRule="auto"/>
              <w:rPr>
                <w:rFonts w:hint="eastAsia" w:ascii="宋体" w:hAnsi="宋体" w:cs="宋体"/>
                <w:color w:val="auto"/>
                <w:sz w:val="24"/>
                <w:highlight w:val="none"/>
              </w:rPr>
            </w:pPr>
            <w:r>
              <w:rPr>
                <w:rFonts w:hint="eastAsia" w:ascii="宋体" w:hAnsi="宋体" w:cs="宋体"/>
                <w:color w:val="auto"/>
                <w:sz w:val="24"/>
                <w:highlight w:val="none"/>
              </w:rPr>
              <w:t>4.方案涵盖部分内容，基本满足采购需求的得2分；</w:t>
            </w:r>
          </w:p>
          <w:p w14:paraId="3BA6C765">
            <w:pPr>
              <w:adjustRightInd/>
              <w:spacing w:line="360" w:lineRule="auto"/>
              <w:rPr>
                <w:rFonts w:hint="eastAsia" w:ascii="宋体" w:hAnsi="宋体" w:cs="宋体"/>
                <w:color w:val="auto"/>
                <w:sz w:val="24"/>
                <w:highlight w:val="none"/>
              </w:rPr>
            </w:pPr>
            <w:r>
              <w:rPr>
                <w:rFonts w:hint="eastAsia" w:ascii="宋体" w:hAnsi="宋体" w:cs="宋体"/>
                <w:color w:val="auto"/>
                <w:sz w:val="24"/>
                <w:highlight w:val="none"/>
              </w:rPr>
              <w:t>5.方案描述简单，缺少详细内容的得1分；</w:t>
            </w:r>
          </w:p>
          <w:p w14:paraId="083C42E3">
            <w:pPr>
              <w:adjustRightInd/>
              <w:spacing w:line="360" w:lineRule="auto"/>
              <w:rPr>
                <w:rFonts w:hint="eastAsia" w:ascii="宋体" w:hAnsi="宋体" w:cs="宋体"/>
                <w:color w:val="auto"/>
                <w:sz w:val="24"/>
                <w:highlight w:val="none"/>
              </w:rPr>
            </w:pPr>
            <w:r>
              <w:rPr>
                <w:rFonts w:hint="eastAsia" w:ascii="宋体" w:hAnsi="宋体" w:cs="宋体"/>
                <w:color w:val="auto"/>
                <w:sz w:val="24"/>
                <w:highlight w:val="none"/>
              </w:rPr>
              <w:t>6.未提供相关内容或不满足采购需求要求的不得分。</w:t>
            </w:r>
          </w:p>
        </w:tc>
        <w:tc>
          <w:tcPr>
            <w:tcW w:w="754" w:type="dxa"/>
            <w:vAlign w:val="center"/>
          </w:tcPr>
          <w:p w14:paraId="0ADEC61A">
            <w:pPr>
              <w:adjustRightInd/>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5</w:t>
            </w:r>
          </w:p>
        </w:tc>
        <w:tc>
          <w:tcPr>
            <w:tcW w:w="1137" w:type="dxa"/>
            <w:vAlign w:val="center"/>
          </w:tcPr>
          <w:p w14:paraId="1F627970">
            <w:pPr>
              <w:adjustRightInd/>
              <w:spacing w:line="360" w:lineRule="auto"/>
              <w:jc w:val="center"/>
              <w:rPr>
                <w:rFonts w:hint="eastAsia" w:ascii="宋体" w:hAnsi="宋体" w:cs="宋体"/>
                <w:color w:val="auto"/>
                <w:sz w:val="24"/>
                <w:highlight w:val="none"/>
              </w:rPr>
            </w:pPr>
            <w:r>
              <w:rPr>
                <w:rFonts w:hint="eastAsia" w:ascii="宋体" w:hAnsi="宋体" w:cs="宋体"/>
                <w:bCs/>
                <w:color w:val="auto"/>
                <w:sz w:val="24"/>
                <w:highlight w:val="none"/>
              </w:rPr>
              <w:t>主观分</w:t>
            </w:r>
          </w:p>
        </w:tc>
        <w:tc>
          <w:tcPr>
            <w:tcW w:w="1947" w:type="dxa"/>
            <w:vAlign w:val="center"/>
          </w:tcPr>
          <w:p w14:paraId="1FD974B0">
            <w:pPr>
              <w:adjustRightInd/>
              <w:spacing w:line="360" w:lineRule="auto"/>
              <w:jc w:val="center"/>
              <w:rPr>
                <w:rFonts w:hint="eastAsia" w:ascii="宋体" w:hAnsi="宋体" w:cs="宋体"/>
                <w:color w:val="auto"/>
                <w:sz w:val="24"/>
                <w:highlight w:val="none"/>
              </w:rPr>
            </w:pPr>
          </w:p>
        </w:tc>
      </w:tr>
      <w:tr w14:paraId="021CC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5F5DD9B6">
            <w:pPr>
              <w:adjustRightInd/>
              <w:spacing w:line="360" w:lineRule="auto"/>
              <w:jc w:val="center"/>
              <w:rPr>
                <w:rFonts w:hint="eastAsia"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.2</w:t>
            </w:r>
          </w:p>
        </w:tc>
        <w:tc>
          <w:tcPr>
            <w:tcW w:w="4455" w:type="dxa"/>
            <w:vAlign w:val="center"/>
          </w:tcPr>
          <w:p w14:paraId="2E75FAF4">
            <w:pPr>
              <w:adjustRightInd/>
              <w:spacing w:line="360" w:lineRule="auto"/>
              <w:rPr>
                <w:rFonts w:hint="eastAsia" w:ascii="宋体" w:hAnsi="宋体" w:cs="宋体"/>
                <w:color w:val="auto"/>
                <w:sz w:val="24"/>
                <w:highlight w:val="none"/>
              </w:rPr>
            </w:pPr>
            <w:r>
              <w:rPr>
                <w:rFonts w:hint="eastAsia" w:ascii="宋体" w:hAnsi="宋体" w:cs="宋体"/>
                <w:color w:val="auto"/>
                <w:sz w:val="24"/>
                <w:highlight w:val="none"/>
              </w:rPr>
              <w:t>温室气体监测数据分析技术方案，从监测层面直观了解区域温室气体时空变化特征。</w:t>
            </w:r>
          </w:p>
          <w:p w14:paraId="7F292253">
            <w:pPr>
              <w:adjustRightInd/>
              <w:spacing w:line="360" w:lineRule="auto"/>
              <w:rPr>
                <w:rFonts w:hint="eastAsia" w:ascii="宋体" w:hAnsi="宋体" w:cs="宋体"/>
                <w:color w:val="auto"/>
                <w:sz w:val="24"/>
                <w:highlight w:val="none"/>
              </w:rPr>
            </w:pPr>
            <w:r>
              <w:rPr>
                <w:rFonts w:hint="eastAsia" w:ascii="宋体" w:hAnsi="宋体" w:cs="宋体"/>
                <w:color w:val="auto"/>
                <w:sz w:val="24"/>
                <w:highlight w:val="none"/>
              </w:rPr>
              <w:t>1.方案完整、涵盖全部内容且合理可行的得5分；</w:t>
            </w:r>
          </w:p>
          <w:p w14:paraId="6816D97D">
            <w:pPr>
              <w:adjustRightInd/>
              <w:spacing w:line="360" w:lineRule="auto"/>
              <w:rPr>
                <w:rFonts w:hint="eastAsia" w:ascii="宋体" w:hAnsi="宋体" w:cs="宋体"/>
                <w:color w:val="auto"/>
                <w:sz w:val="24"/>
                <w:highlight w:val="none"/>
              </w:rPr>
            </w:pPr>
            <w:r>
              <w:rPr>
                <w:rFonts w:hint="eastAsia" w:ascii="宋体" w:hAnsi="宋体" w:cs="宋体"/>
                <w:color w:val="auto"/>
                <w:sz w:val="24"/>
                <w:highlight w:val="none"/>
              </w:rPr>
              <w:t>2.方案内容较完整、涵盖全部内容的得4分；</w:t>
            </w:r>
          </w:p>
          <w:p w14:paraId="4FA27CAE">
            <w:pPr>
              <w:adjustRightInd/>
              <w:spacing w:line="360" w:lineRule="auto"/>
              <w:rPr>
                <w:rFonts w:hint="eastAsia" w:ascii="宋体" w:hAnsi="宋体" w:cs="宋体"/>
                <w:color w:val="auto"/>
                <w:sz w:val="24"/>
                <w:highlight w:val="none"/>
              </w:rPr>
            </w:pPr>
            <w:r>
              <w:rPr>
                <w:rFonts w:hint="eastAsia" w:ascii="宋体" w:hAnsi="宋体" w:cs="宋体"/>
                <w:color w:val="auto"/>
                <w:sz w:val="24"/>
                <w:highlight w:val="none"/>
              </w:rPr>
              <w:t>3</w:t>
            </w:r>
            <w:r>
              <w:rPr>
                <w:rFonts w:ascii="宋体" w:hAnsi="宋体" w:cs="宋体"/>
                <w:color w:val="auto"/>
                <w:sz w:val="24"/>
                <w:highlight w:val="none"/>
              </w:rPr>
              <w:t>.</w:t>
            </w:r>
            <w:r>
              <w:rPr>
                <w:rFonts w:hint="eastAsia" w:ascii="宋体" w:hAnsi="宋体" w:cs="宋体"/>
                <w:color w:val="auto"/>
                <w:sz w:val="24"/>
                <w:highlight w:val="none"/>
              </w:rPr>
              <w:t>方案内容较完整，部分略有欠缺的得3分；</w:t>
            </w:r>
          </w:p>
          <w:p w14:paraId="27960B1C">
            <w:pPr>
              <w:adjustRightInd/>
              <w:spacing w:line="360" w:lineRule="auto"/>
              <w:rPr>
                <w:rFonts w:hint="eastAsia" w:ascii="宋体" w:hAnsi="宋体" w:cs="宋体"/>
                <w:color w:val="auto"/>
                <w:sz w:val="24"/>
                <w:highlight w:val="none"/>
              </w:rPr>
            </w:pPr>
            <w:r>
              <w:rPr>
                <w:rFonts w:hint="eastAsia" w:ascii="宋体" w:hAnsi="宋体" w:cs="宋体"/>
                <w:color w:val="auto"/>
                <w:sz w:val="24"/>
                <w:highlight w:val="none"/>
              </w:rPr>
              <w:t>4.方案涵盖部分内容，基本满足采购需求的得2分；</w:t>
            </w:r>
          </w:p>
          <w:p w14:paraId="4234FA3A">
            <w:pPr>
              <w:adjustRightInd/>
              <w:spacing w:line="360" w:lineRule="auto"/>
              <w:rPr>
                <w:rFonts w:hint="eastAsia" w:ascii="宋体" w:hAnsi="宋体" w:cs="宋体"/>
                <w:color w:val="auto"/>
                <w:sz w:val="24"/>
                <w:highlight w:val="none"/>
              </w:rPr>
            </w:pPr>
            <w:r>
              <w:rPr>
                <w:rFonts w:hint="eastAsia" w:ascii="宋体" w:hAnsi="宋体" w:cs="宋体"/>
                <w:color w:val="auto"/>
                <w:sz w:val="24"/>
                <w:highlight w:val="none"/>
              </w:rPr>
              <w:t>5.方案描述简单，缺少详细内容的得1分；</w:t>
            </w:r>
          </w:p>
          <w:p w14:paraId="057060BC">
            <w:pPr>
              <w:adjustRightInd/>
              <w:spacing w:line="360" w:lineRule="auto"/>
              <w:rPr>
                <w:rFonts w:hint="eastAsia" w:ascii="宋体" w:hAnsi="宋体" w:cs="宋体"/>
                <w:color w:val="auto"/>
                <w:sz w:val="24"/>
                <w:highlight w:val="none"/>
              </w:rPr>
            </w:pPr>
            <w:r>
              <w:rPr>
                <w:rFonts w:hint="eastAsia" w:ascii="宋体" w:hAnsi="宋体" w:cs="宋体"/>
                <w:color w:val="auto"/>
                <w:sz w:val="24"/>
                <w:highlight w:val="none"/>
              </w:rPr>
              <w:t>6.未提供相关内容或不满足采购需求要求的不得分。</w:t>
            </w:r>
          </w:p>
        </w:tc>
        <w:tc>
          <w:tcPr>
            <w:tcW w:w="754" w:type="dxa"/>
            <w:vAlign w:val="center"/>
          </w:tcPr>
          <w:p w14:paraId="433BC1B9">
            <w:pPr>
              <w:adjustRightInd/>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5</w:t>
            </w:r>
          </w:p>
        </w:tc>
        <w:tc>
          <w:tcPr>
            <w:tcW w:w="1137" w:type="dxa"/>
            <w:vAlign w:val="center"/>
          </w:tcPr>
          <w:p w14:paraId="66839D3D">
            <w:pPr>
              <w:adjustRightInd/>
              <w:spacing w:line="360" w:lineRule="auto"/>
              <w:jc w:val="center"/>
              <w:rPr>
                <w:rFonts w:hint="eastAsia" w:ascii="宋体" w:hAnsi="宋体" w:cs="宋体"/>
                <w:color w:val="auto"/>
                <w:sz w:val="24"/>
                <w:highlight w:val="none"/>
              </w:rPr>
            </w:pPr>
            <w:r>
              <w:rPr>
                <w:rFonts w:hint="eastAsia" w:ascii="宋体" w:hAnsi="宋体" w:cs="宋体"/>
                <w:bCs/>
                <w:color w:val="auto"/>
                <w:sz w:val="24"/>
                <w:highlight w:val="none"/>
              </w:rPr>
              <w:t>主观分</w:t>
            </w:r>
          </w:p>
        </w:tc>
        <w:tc>
          <w:tcPr>
            <w:tcW w:w="1947" w:type="dxa"/>
            <w:vAlign w:val="center"/>
          </w:tcPr>
          <w:p w14:paraId="62340E7E">
            <w:pPr>
              <w:adjustRightInd/>
              <w:spacing w:line="360" w:lineRule="auto"/>
              <w:jc w:val="center"/>
              <w:rPr>
                <w:rFonts w:hint="eastAsia" w:ascii="宋体" w:hAnsi="宋体" w:cs="宋体"/>
                <w:color w:val="auto"/>
                <w:sz w:val="24"/>
                <w:highlight w:val="none"/>
              </w:rPr>
            </w:pPr>
          </w:p>
        </w:tc>
      </w:tr>
      <w:tr w14:paraId="1DB35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265A68F1">
            <w:pPr>
              <w:adjustRightInd/>
              <w:spacing w:line="360" w:lineRule="auto"/>
              <w:jc w:val="center"/>
              <w:rPr>
                <w:rFonts w:hint="eastAsia"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.3</w:t>
            </w:r>
          </w:p>
        </w:tc>
        <w:tc>
          <w:tcPr>
            <w:tcW w:w="4455" w:type="dxa"/>
            <w:vAlign w:val="center"/>
          </w:tcPr>
          <w:p w14:paraId="7578B2E0">
            <w:pPr>
              <w:adjustRightInd/>
              <w:spacing w:line="360" w:lineRule="auto"/>
              <w:rPr>
                <w:rFonts w:hint="eastAsia" w:ascii="宋体" w:hAnsi="宋体" w:cs="宋体"/>
                <w:color w:val="auto"/>
                <w:sz w:val="24"/>
                <w:highlight w:val="none"/>
              </w:rPr>
            </w:pPr>
            <w:r>
              <w:rPr>
                <w:rFonts w:hint="eastAsia" w:ascii="宋体" w:hAnsi="宋体" w:cs="宋体"/>
                <w:color w:val="auto"/>
                <w:sz w:val="24"/>
                <w:highlight w:val="none"/>
              </w:rPr>
              <w:t>高分辨率温室气体排放清单编制技术方案，结合本地化温室气体排放清单报告和空间代理数据，实现排放量的空间分配。方案的科学性、合理性、可操作性。</w:t>
            </w:r>
          </w:p>
          <w:p w14:paraId="32733D9A">
            <w:pPr>
              <w:adjustRightInd/>
              <w:spacing w:line="360" w:lineRule="auto"/>
              <w:rPr>
                <w:rFonts w:hint="eastAsia" w:ascii="宋体" w:hAnsi="宋体" w:cs="宋体"/>
                <w:color w:val="auto"/>
                <w:sz w:val="24"/>
                <w:highlight w:val="none"/>
              </w:rPr>
            </w:pPr>
            <w:r>
              <w:rPr>
                <w:rFonts w:hint="eastAsia" w:ascii="宋体" w:hAnsi="宋体" w:cs="宋体"/>
                <w:color w:val="auto"/>
                <w:sz w:val="24"/>
                <w:highlight w:val="none"/>
              </w:rPr>
              <w:t>1.方案完整、涵盖全部内容且合理可行的得5分；</w:t>
            </w:r>
          </w:p>
          <w:p w14:paraId="0A0F0B19">
            <w:pPr>
              <w:adjustRightInd/>
              <w:spacing w:line="360" w:lineRule="auto"/>
              <w:rPr>
                <w:rFonts w:hint="eastAsia" w:ascii="宋体" w:hAnsi="宋体" w:cs="宋体"/>
                <w:color w:val="auto"/>
                <w:sz w:val="24"/>
                <w:highlight w:val="none"/>
              </w:rPr>
            </w:pPr>
            <w:r>
              <w:rPr>
                <w:rFonts w:hint="eastAsia" w:ascii="宋体" w:hAnsi="宋体" w:cs="宋体"/>
                <w:color w:val="auto"/>
                <w:sz w:val="24"/>
                <w:highlight w:val="none"/>
              </w:rPr>
              <w:t>2.方案内容较完整、涵盖全部内容的得4分；</w:t>
            </w:r>
          </w:p>
          <w:p w14:paraId="7E2982DD">
            <w:pPr>
              <w:adjustRightInd/>
              <w:spacing w:line="360" w:lineRule="auto"/>
              <w:rPr>
                <w:rFonts w:hint="eastAsia" w:ascii="宋体" w:hAnsi="宋体" w:cs="宋体"/>
                <w:color w:val="auto"/>
                <w:sz w:val="24"/>
                <w:highlight w:val="none"/>
              </w:rPr>
            </w:pPr>
            <w:r>
              <w:rPr>
                <w:rFonts w:hint="eastAsia" w:ascii="宋体" w:hAnsi="宋体" w:cs="宋体"/>
                <w:color w:val="auto"/>
                <w:sz w:val="24"/>
                <w:highlight w:val="none"/>
              </w:rPr>
              <w:t>3</w:t>
            </w:r>
            <w:r>
              <w:rPr>
                <w:rFonts w:ascii="宋体" w:hAnsi="宋体" w:cs="宋体"/>
                <w:color w:val="auto"/>
                <w:sz w:val="24"/>
                <w:highlight w:val="none"/>
              </w:rPr>
              <w:t>.</w:t>
            </w:r>
            <w:r>
              <w:rPr>
                <w:rFonts w:hint="eastAsia" w:ascii="宋体" w:hAnsi="宋体" w:cs="宋体"/>
                <w:color w:val="auto"/>
                <w:sz w:val="24"/>
                <w:highlight w:val="none"/>
              </w:rPr>
              <w:t>方案内容较完整，部分略有欠缺的得3分；</w:t>
            </w:r>
          </w:p>
          <w:p w14:paraId="198E4EC0">
            <w:pPr>
              <w:adjustRightInd/>
              <w:spacing w:line="360" w:lineRule="auto"/>
              <w:rPr>
                <w:rFonts w:hint="eastAsia" w:ascii="宋体" w:hAnsi="宋体" w:cs="宋体"/>
                <w:color w:val="auto"/>
                <w:sz w:val="24"/>
                <w:highlight w:val="none"/>
              </w:rPr>
            </w:pPr>
            <w:r>
              <w:rPr>
                <w:rFonts w:hint="eastAsia" w:ascii="宋体" w:hAnsi="宋体" w:cs="宋体"/>
                <w:color w:val="auto"/>
                <w:sz w:val="24"/>
                <w:highlight w:val="none"/>
              </w:rPr>
              <w:t>4.方案涵盖部分内容，基本满足采购需求的得2分；</w:t>
            </w:r>
          </w:p>
          <w:p w14:paraId="036FD5F9">
            <w:pPr>
              <w:adjustRightInd/>
              <w:spacing w:line="360" w:lineRule="auto"/>
              <w:rPr>
                <w:rFonts w:hint="eastAsia" w:ascii="宋体" w:hAnsi="宋体" w:cs="宋体"/>
                <w:color w:val="auto"/>
                <w:sz w:val="24"/>
                <w:highlight w:val="none"/>
              </w:rPr>
            </w:pPr>
            <w:r>
              <w:rPr>
                <w:rFonts w:hint="eastAsia" w:ascii="宋体" w:hAnsi="宋体" w:cs="宋体"/>
                <w:color w:val="auto"/>
                <w:sz w:val="24"/>
                <w:highlight w:val="none"/>
              </w:rPr>
              <w:t>5.方案描述简单，缺少详细内容的得1分；</w:t>
            </w:r>
          </w:p>
          <w:p w14:paraId="74706A1A">
            <w:pPr>
              <w:adjustRightInd/>
              <w:spacing w:line="360" w:lineRule="auto"/>
              <w:rPr>
                <w:rFonts w:hint="eastAsia" w:ascii="宋体" w:hAnsi="宋体" w:cs="宋体"/>
                <w:color w:val="auto"/>
                <w:sz w:val="24"/>
                <w:highlight w:val="none"/>
              </w:rPr>
            </w:pPr>
            <w:r>
              <w:rPr>
                <w:rFonts w:hint="eastAsia" w:ascii="宋体" w:hAnsi="宋体" w:cs="宋体"/>
                <w:color w:val="auto"/>
                <w:sz w:val="24"/>
                <w:highlight w:val="none"/>
              </w:rPr>
              <w:t>6.未提供相关内容或不满足采购需求要求的不得分。</w:t>
            </w:r>
          </w:p>
        </w:tc>
        <w:tc>
          <w:tcPr>
            <w:tcW w:w="754" w:type="dxa"/>
            <w:vAlign w:val="center"/>
          </w:tcPr>
          <w:p w14:paraId="17A34D93">
            <w:pPr>
              <w:adjustRightInd/>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5</w:t>
            </w:r>
          </w:p>
        </w:tc>
        <w:tc>
          <w:tcPr>
            <w:tcW w:w="1137" w:type="dxa"/>
            <w:vAlign w:val="center"/>
          </w:tcPr>
          <w:p w14:paraId="6EE3CA0E">
            <w:pPr>
              <w:adjustRightInd/>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主观分</w:t>
            </w:r>
          </w:p>
        </w:tc>
        <w:tc>
          <w:tcPr>
            <w:tcW w:w="1947" w:type="dxa"/>
            <w:vAlign w:val="center"/>
          </w:tcPr>
          <w:p w14:paraId="33CB6A21">
            <w:pPr>
              <w:adjustRightInd/>
              <w:spacing w:line="360" w:lineRule="auto"/>
              <w:jc w:val="center"/>
              <w:rPr>
                <w:rFonts w:hint="eastAsia" w:ascii="宋体" w:hAnsi="宋体" w:cs="宋体"/>
                <w:color w:val="auto"/>
                <w:sz w:val="24"/>
                <w:highlight w:val="none"/>
              </w:rPr>
            </w:pPr>
          </w:p>
        </w:tc>
      </w:tr>
      <w:tr w14:paraId="71C93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03DD02C2">
            <w:pPr>
              <w:adjustRightInd/>
              <w:spacing w:line="360" w:lineRule="auto"/>
              <w:jc w:val="center"/>
              <w:rPr>
                <w:rFonts w:hint="eastAsia"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.4</w:t>
            </w:r>
          </w:p>
        </w:tc>
        <w:tc>
          <w:tcPr>
            <w:tcW w:w="4455" w:type="dxa"/>
            <w:vAlign w:val="center"/>
          </w:tcPr>
          <w:p w14:paraId="50BF8964">
            <w:pPr>
              <w:adjustRightInd/>
              <w:spacing w:line="360" w:lineRule="auto"/>
              <w:rPr>
                <w:rFonts w:hint="eastAsia" w:ascii="宋体" w:hAnsi="宋体" w:cs="宋体"/>
                <w:color w:val="auto"/>
                <w:sz w:val="24"/>
                <w:highlight w:val="none"/>
              </w:rPr>
            </w:pPr>
            <w:r>
              <w:rPr>
                <w:rFonts w:hint="eastAsia" w:ascii="宋体" w:hAnsi="宋体" w:cs="宋体"/>
                <w:color w:val="auto"/>
                <w:sz w:val="24"/>
                <w:highlight w:val="none"/>
              </w:rPr>
              <w:t>温室气体同化反应模型建设方案，方案需包含气象同化、网格设置、垂直插值、模型本地化模拟等内容。</w:t>
            </w:r>
          </w:p>
          <w:p w14:paraId="5F06B504">
            <w:pPr>
              <w:adjustRightInd/>
              <w:spacing w:line="360" w:lineRule="auto"/>
              <w:rPr>
                <w:rFonts w:hint="eastAsia" w:ascii="宋体" w:hAnsi="宋体" w:cs="宋体"/>
                <w:color w:val="auto"/>
                <w:sz w:val="24"/>
                <w:highlight w:val="none"/>
              </w:rPr>
            </w:pPr>
            <w:r>
              <w:rPr>
                <w:rFonts w:hint="eastAsia" w:ascii="宋体" w:hAnsi="宋体" w:cs="宋体"/>
                <w:color w:val="auto"/>
                <w:sz w:val="24"/>
                <w:highlight w:val="none"/>
              </w:rPr>
              <w:t>1.方案完整、涵盖全部内容且合理可行的得5分；</w:t>
            </w:r>
          </w:p>
          <w:p w14:paraId="1F5B45AE">
            <w:pPr>
              <w:adjustRightInd/>
              <w:spacing w:line="360" w:lineRule="auto"/>
              <w:rPr>
                <w:rFonts w:hint="eastAsia" w:ascii="宋体" w:hAnsi="宋体" w:cs="宋体"/>
                <w:color w:val="auto"/>
                <w:sz w:val="24"/>
                <w:highlight w:val="none"/>
              </w:rPr>
            </w:pPr>
            <w:r>
              <w:rPr>
                <w:rFonts w:hint="eastAsia" w:ascii="宋体" w:hAnsi="宋体" w:cs="宋体"/>
                <w:color w:val="auto"/>
                <w:sz w:val="24"/>
                <w:highlight w:val="none"/>
              </w:rPr>
              <w:t>2.方案内容较完整、涵盖全部内容的得4分；</w:t>
            </w:r>
          </w:p>
          <w:p w14:paraId="0B8CD4EB">
            <w:pPr>
              <w:adjustRightInd/>
              <w:spacing w:line="360" w:lineRule="auto"/>
              <w:rPr>
                <w:rFonts w:hint="eastAsia" w:ascii="宋体" w:hAnsi="宋体" w:cs="宋体"/>
                <w:color w:val="auto"/>
                <w:sz w:val="24"/>
                <w:highlight w:val="none"/>
              </w:rPr>
            </w:pPr>
            <w:r>
              <w:rPr>
                <w:rFonts w:hint="eastAsia" w:ascii="宋体" w:hAnsi="宋体" w:cs="宋体"/>
                <w:color w:val="auto"/>
                <w:sz w:val="24"/>
                <w:highlight w:val="none"/>
              </w:rPr>
              <w:t>3</w:t>
            </w:r>
            <w:r>
              <w:rPr>
                <w:rFonts w:ascii="宋体" w:hAnsi="宋体" w:cs="宋体"/>
                <w:color w:val="auto"/>
                <w:sz w:val="24"/>
                <w:highlight w:val="none"/>
              </w:rPr>
              <w:t>.</w:t>
            </w:r>
            <w:r>
              <w:rPr>
                <w:rFonts w:hint="eastAsia" w:ascii="宋体" w:hAnsi="宋体" w:cs="宋体"/>
                <w:color w:val="auto"/>
                <w:sz w:val="24"/>
                <w:highlight w:val="none"/>
              </w:rPr>
              <w:t>方案内容较完整，部分略有欠缺的得3分；</w:t>
            </w:r>
          </w:p>
          <w:p w14:paraId="34D0F165">
            <w:pPr>
              <w:adjustRightInd/>
              <w:spacing w:line="360" w:lineRule="auto"/>
              <w:rPr>
                <w:rFonts w:hint="eastAsia" w:ascii="宋体" w:hAnsi="宋体" w:cs="宋体"/>
                <w:color w:val="auto"/>
                <w:sz w:val="24"/>
                <w:highlight w:val="none"/>
              </w:rPr>
            </w:pPr>
            <w:r>
              <w:rPr>
                <w:rFonts w:hint="eastAsia" w:ascii="宋体" w:hAnsi="宋体" w:cs="宋体"/>
                <w:color w:val="auto"/>
                <w:sz w:val="24"/>
                <w:highlight w:val="none"/>
              </w:rPr>
              <w:t>4.方案涵盖部分内容，基本满足采购需求的得2分；</w:t>
            </w:r>
          </w:p>
          <w:p w14:paraId="4EC9881B">
            <w:pPr>
              <w:adjustRightInd/>
              <w:spacing w:line="360" w:lineRule="auto"/>
              <w:rPr>
                <w:rFonts w:hint="eastAsia" w:ascii="宋体" w:hAnsi="宋体" w:cs="宋体"/>
                <w:color w:val="auto"/>
                <w:sz w:val="24"/>
                <w:highlight w:val="none"/>
              </w:rPr>
            </w:pPr>
            <w:r>
              <w:rPr>
                <w:rFonts w:hint="eastAsia" w:ascii="宋体" w:hAnsi="宋体" w:cs="宋体"/>
                <w:color w:val="auto"/>
                <w:sz w:val="24"/>
                <w:highlight w:val="none"/>
              </w:rPr>
              <w:t>5.方案描述简单，缺少详细内容的得1分；</w:t>
            </w:r>
          </w:p>
          <w:p w14:paraId="24775A8A">
            <w:pPr>
              <w:adjustRightInd/>
              <w:spacing w:line="360" w:lineRule="auto"/>
              <w:rPr>
                <w:rFonts w:hint="eastAsia" w:ascii="宋体" w:hAnsi="宋体" w:cs="宋体"/>
                <w:color w:val="auto"/>
                <w:sz w:val="24"/>
                <w:highlight w:val="none"/>
              </w:rPr>
            </w:pPr>
            <w:r>
              <w:rPr>
                <w:rFonts w:hint="eastAsia" w:ascii="宋体" w:hAnsi="宋体" w:cs="宋体"/>
                <w:color w:val="auto"/>
                <w:sz w:val="24"/>
                <w:highlight w:val="none"/>
              </w:rPr>
              <w:t>6.未提供相关内容或不满足采购需求要求的不得分。</w:t>
            </w:r>
          </w:p>
        </w:tc>
        <w:tc>
          <w:tcPr>
            <w:tcW w:w="754" w:type="dxa"/>
            <w:vAlign w:val="center"/>
          </w:tcPr>
          <w:p w14:paraId="11D914BC">
            <w:pPr>
              <w:adjustRightInd/>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5</w:t>
            </w:r>
          </w:p>
        </w:tc>
        <w:tc>
          <w:tcPr>
            <w:tcW w:w="1137" w:type="dxa"/>
            <w:vAlign w:val="center"/>
          </w:tcPr>
          <w:p w14:paraId="4FFD3767">
            <w:pPr>
              <w:adjustRightInd/>
              <w:spacing w:line="360" w:lineRule="auto"/>
              <w:jc w:val="center"/>
              <w:rPr>
                <w:rFonts w:hint="eastAsia" w:ascii="宋体" w:hAnsi="宋体" w:cs="宋体"/>
                <w:color w:val="auto"/>
                <w:sz w:val="24"/>
                <w:highlight w:val="none"/>
              </w:rPr>
            </w:pPr>
            <w:r>
              <w:rPr>
                <w:rFonts w:hint="eastAsia" w:ascii="宋体" w:hAnsi="宋体" w:cs="宋体"/>
                <w:bCs/>
                <w:color w:val="auto"/>
                <w:sz w:val="24"/>
                <w:highlight w:val="none"/>
              </w:rPr>
              <w:t>主观分</w:t>
            </w:r>
          </w:p>
        </w:tc>
        <w:tc>
          <w:tcPr>
            <w:tcW w:w="1947" w:type="dxa"/>
            <w:vAlign w:val="center"/>
          </w:tcPr>
          <w:p w14:paraId="404352B8">
            <w:pPr>
              <w:adjustRightInd/>
              <w:spacing w:line="360" w:lineRule="auto"/>
              <w:jc w:val="center"/>
              <w:rPr>
                <w:rFonts w:hint="eastAsia" w:ascii="宋体" w:hAnsi="宋体" w:cs="宋体"/>
                <w:color w:val="auto"/>
                <w:sz w:val="24"/>
                <w:highlight w:val="none"/>
              </w:rPr>
            </w:pPr>
          </w:p>
        </w:tc>
      </w:tr>
      <w:tr w14:paraId="7AC02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4E5DB397">
            <w:pPr>
              <w:adjustRightInd/>
              <w:spacing w:line="360" w:lineRule="auto"/>
              <w:jc w:val="center"/>
              <w:rPr>
                <w:rFonts w:hint="eastAsia"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.5</w:t>
            </w:r>
          </w:p>
        </w:tc>
        <w:tc>
          <w:tcPr>
            <w:tcW w:w="4455" w:type="dxa"/>
            <w:vAlign w:val="center"/>
          </w:tcPr>
          <w:p w14:paraId="7BBF982B">
            <w:pPr>
              <w:adjustRightInd/>
              <w:spacing w:line="360" w:lineRule="auto"/>
              <w:rPr>
                <w:rFonts w:hint="eastAsia" w:ascii="宋体" w:hAnsi="宋体" w:cs="宋体"/>
                <w:color w:val="auto"/>
                <w:sz w:val="24"/>
                <w:highlight w:val="none"/>
              </w:rPr>
            </w:pPr>
            <w:r>
              <w:rPr>
                <w:rFonts w:hint="eastAsia" w:ascii="宋体" w:hAnsi="宋体" w:cs="宋体"/>
                <w:color w:val="auto"/>
                <w:sz w:val="24"/>
                <w:highlight w:val="none"/>
              </w:rPr>
              <w:t>温室气体同化反演方案，方案需包含碳监测数据同化反演、温室气体排放通量的校验和评估分析。</w:t>
            </w:r>
          </w:p>
          <w:p w14:paraId="003DB48B">
            <w:pPr>
              <w:adjustRightInd/>
              <w:spacing w:line="360" w:lineRule="auto"/>
              <w:rPr>
                <w:rFonts w:hint="eastAsia" w:ascii="宋体" w:hAnsi="宋体" w:cs="宋体"/>
                <w:color w:val="auto"/>
                <w:sz w:val="24"/>
                <w:highlight w:val="none"/>
              </w:rPr>
            </w:pPr>
            <w:r>
              <w:rPr>
                <w:rFonts w:hint="eastAsia" w:ascii="宋体" w:hAnsi="宋体" w:cs="宋体"/>
                <w:color w:val="auto"/>
                <w:sz w:val="24"/>
                <w:highlight w:val="none"/>
              </w:rPr>
              <w:t>1.方案完整、涵盖全部内容的得4分；</w:t>
            </w:r>
          </w:p>
          <w:p w14:paraId="5A43E2FB">
            <w:pPr>
              <w:adjustRightInd/>
              <w:spacing w:line="360" w:lineRule="auto"/>
              <w:rPr>
                <w:rFonts w:hint="eastAsia" w:ascii="宋体" w:hAnsi="宋体" w:cs="宋体"/>
                <w:color w:val="auto"/>
                <w:sz w:val="24"/>
                <w:highlight w:val="none"/>
              </w:rPr>
            </w:pPr>
            <w:r>
              <w:rPr>
                <w:rFonts w:ascii="宋体" w:hAnsi="宋体" w:cs="宋体"/>
                <w:color w:val="auto"/>
                <w:sz w:val="24"/>
                <w:highlight w:val="none"/>
              </w:rPr>
              <w:t>2.</w:t>
            </w:r>
            <w:r>
              <w:rPr>
                <w:rFonts w:hint="eastAsia" w:ascii="宋体" w:hAnsi="宋体" w:cs="宋体"/>
                <w:color w:val="auto"/>
                <w:sz w:val="24"/>
                <w:highlight w:val="none"/>
              </w:rPr>
              <w:t>方案内容较完整，略有欠缺的得3分；3.方案涵盖部分内容，基本满足采购需求的得2分；</w:t>
            </w:r>
          </w:p>
          <w:p w14:paraId="796790A5">
            <w:pPr>
              <w:adjustRightInd/>
              <w:spacing w:line="360" w:lineRule="auto"/>
              <w:rPr>
                <w:rFonts w:hint="eastAsia" w:ascii="宋体" w:hAnsi="宋体" w:cs="宋体"/>
                <w:color w:val="auto"/>
                <w:sz w:val="24"/>
                <w:highlight w:val="none"/>
              </w:rPr>
            </w:pPr>
            <w:r>
              <w:rPr>
                <w:rFonts w:hint="eastAsia" w:ascii="宋体" w:hAnsi="宋体" w:cs="宋体"/>
                <w:color w:val="auto"/>
                <w:sz w:val="24"/>
                <w:highlight w:val="none"/>
              </w:rPr>
              <w:t>4.方案描述简单，缺少详细内容的得1分；</w:t>
            </w:r>
          </w:p>
          <w:p w14:paraId="152513E3">
            <w:pPr>
              <w:adjustRightInd/>
              <w:spacing w:line="360" w:lineRule="auto"/>
              <w:rPr>
                <w:rFonts w:hint="eastAsia" w:ascii="宋体" w:hAnsi="宋体" w:cs="宋体"/>
                <w:color w:val="auto"/>
                <w:sz w:val="24"/>
                <w:highlight w:val="none"/>
              </w:rPr>
            </w:pPr>
            <w:r>
              <w:rPr>
                <w:rFonts w:hint="eastAsia" w:ascii="宋体" w:hAnsi="宋体" w:cs="宋体"/>
                <w:color w:val="auto"/>
                <w:sz w:val="24"/>
                <w:highlight w:val="none"/>
              </w:rPr>
              <w:t>5.未提供相关内容或不满足采购需求要求的不得分。</w:t>
            </w:r>
          </w:p>
        </w:tc>
        <w:tc>
          <w:tcPr>
            <w:tcW w:w="754" w:type="dxa"/>
            <w:vAlign w:val="center"/>
          </w:tcPr>
          <w:p w14:paraId="4A78AE60">
            <w:pPr>
              <w:adjustRightInd/>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4</w:t>
            </w:r>
          </w:p>
        </w:tc>
        <w:tc>
          <w:tcPr>
            <w:tcW w:w="1137" w:type="dxa"/>
            <w:vAlign w:val="center"/>
          </w:tcPr>
          <w:p w14:paraId="12C67A96">
            <w:pPr>
              <w:adjustRightInd/>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主观分</w:t>
            </w:r>
          </w:p>
        </w:tc>
        <w:tc>
          <w:tcPr>
            <w:tcW w:w="1947" w:type="dxa"/>
            <w:vAlign w:val="center"/>
          </w:tcPr>
          <w:p w14:paraId="63597A92">
            <w:pPr>
              <w:adjustRightInd/>
              <w:spacing w:line="360" w:lineRule="auto"/>
              <w:jc w:val="center"/>
              <w:rPr>
                <w:rFonts w:hint="eastAsia" w:ascii="宋体" w:hAnsi="宋体" w:cs="宋体"/>
                <w:color w:val="auto"/>
                <w:sz w:val="24"/>
                <w:highlight w:val="none"/>
              </w:rPr>
            </w:pPr>
          </w:p>
        </w:tc>
      </w:tr>
      <w:tr w14:paraId="69E3E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38CE5677">
            <w:pPr>
              <w:adjustRightInd/>
              <w:spacing w:line="360" w:lineRule="auto"/>
              <w:jc w:val="center"/>
              <w:rPr>
                <w:rFonts w:hint="eastAsia" w:ascii="宋体" w:hAnsi="宋体" w:cs="宋体"/>
                <w:color w:val="auto"/>
                <w:sz w:val="24"/>
                <w:highlight w:val="none"/>
              </w:rPr>
            </w:pPr>
            <w:r>
              <w:rPr>
                <w:rFonts w:ascii="宋体" w:hAnsi="宋体" w:cs="宋体"/>
                <w:color w:val="auto"/>
                <w:sz w:val="24"/>
                <w:highlight w:val="none"/>
              </w:rPr>
              <w:t>5</w:t>
            </w:r>
          </w:p>
        </w:tc>
        <w:tc>
          <w:tcPr>
            <w:tcW w:w="4455" w:type="dxa"/>
            <w:vAlign w:val="center"/>
          </w:tcPr>
          <w:p w14:paraId="5ED7ECEB">
            <w:pPr>
              <w:adjustRightInd/>
              <w:spacing w:line="360" w:lineRule="auto"/>
              <w:rPr>
                <w:rFonts w:hint="eastAsia" w:ascii="宋体" w:hAnsi="宋体" w:cs="宋体"/>
                <w:color w:val="auto"/>
                <w:sz w:val="24"/>
                <w:highlight w:val="none"/>
              </w:rPr>
            </w:pPr>
            <w:r>
              <w:rPr>
                <w:rFonts w:hint="eastAsia" w:ascii="宋体" w:hAnsi="宋体" w:cs="宋体"/>
                <w:color w:val="auto"/>
                <w:sz w:val="24"/>
                <w:highlight w:val="none"/>
              </w:rPr>
              <w:t>为保证项目顺利完成，提供合理可行的项目实施进度计划安排及对项目质量的保证措施。</w:t>
            </w:r>
          </w:p>
          <w:p w14:paraId="1CA8DD79">
            <w:pPr>
              <w:adjustRightInd/>
              <w:spacing w:line="360" w:lineRule="auto"/>
              <w:rPr>
                <w:rFonts w:hint="eastAsia" w:ascii="宋体" w:hAnsi="宋体" w:cs="宋体"/>
                <w:color w:val="auto"/>
                <w:sz w:val="24"/>
                <w:highlight w:val="none"/>
              </w:rPr>
            </w:pPr>
            <w:r>
              <w:rPr>
                <w:rFonts w:hint="eastAsia" w:ascii="宋体" w:hAnsi="宋体" w:cs="宋体"/>
                <w:color w:val="auto"/>
                <w:sz w:val="24"/>
                <w:highlight w:val="none"/>
              </w:rPr>
              <w:t>1.进度计划安排合理、项目质量保证措施完善的得4分；</w:t>
            </w:r>
          </w:p>
          <w:p w14:paraId="1545263A">
            <w:pPr>
              <w:adjustRightInd/>
              <w:spacing w:line="360" w:lineRule="auto"/>
              <w:rPr>
                <w:rFonts w:hint="eastAsia" w:ascii="宋体" w:hAnsi="宋体" w:cs="宋体"/>
                <w:color w:val="auto"/>
                <w:sz w:val="24"/>
                <w:highlight w:val="none"/>
              </w:rPr>
            </w:pPr>
            <w:r>
              <w:rPr>
                <w:rFonts w:ascii="宋体" w:hAnsi="宋体" w:cs="宋体"/>
                <w:color w:val="auto"/>
                <w:sz w:val="24"/>
                <w:highlight w:val="none"/>
              </w:rPr>
              <w:t>2.</w:t>
            </w:r>
            <w:r>
              <w:rPr>
                <w:rFonts w:hint="eastAsia" w:ascii="宋体" w:hAnsi="宋体" w:cs="宋体"/>
                <w:color w:val="auto"/>
                <w:sz w:val="24"/>
                <w:highlight w:val="none"/>
              </w:rPr>
              <w:t>.进度计划安排较合理、项目质量保证措施较完善的得3分；</w:t>
            </w:r>
          </w:p>
          <w:p w14:paraId="18D84C8D">
            <w:pPr>
              <w:adjustRightInd/>
              <w:spacing w:line="360" w:lineRule="auto"/>
              <w:rPr>
                <w:rFonts w:hint="eastAsia" w:ascii="宋体" w:hAnsi="宋体" w:cs="宋体"/>
                <w:color w:val="auto"/>
                <w:sz w:val="24"/>
                <w:highlight w:val="none"/>
              </w:rPr>
            </w:pPr>
            <w:r>
              <w:rPr>
                <w:rFonts w:hint="eastAsia" w:ascii="宋体" w:hAnsi="宋体" w:cs="宋体"/>
                <w:color w:val="auto"/>
                <w:sz w:val="24"/>
                <w:highlight w:val="none"/>
              </w:rPr>
              <w:t>3.进度计划安排基本合理、项目质量保证措施基本可行的得2分；</w:t>
            </w:r>
          </w:p>
          <w:p w14:paraId="3CFD69A8">
            <w:pPr>
              <w:adjustRightInd/>
              <w:spacing w:line="360" w:lineRule="auto"/>
              <w:rPr>
                <w:rFonts w:hint="eastAsia" w:ascii="宋体" w:hAnsi="宋体" w:cs="宋体"/>
                <w:color w:val="auto"/>
                <w:sz w:val="24"/>
                <w:highlight w:val="none"/>
              </w:rPr>
            </w:pPr>
            <w:r>
              <w:rPr>
                <w:rFonts w:hint="eastAsia" w:ascii="宋体" w:hAnsi="宋体" w:cs="宋体"/>
                <w:color w:val="auto"/>
                <w:sz w:val="24"/>
                <w:highlight w:val="none"/>
              </w:rPr>
              <w:t>4.进度计划安排简单、项目质量保证措施欠缺的得1分；</w:t>
            </w:r>
          </w:p>
          <w:p w14:paraId="60CB20DB">
            <w:pPr>
              <w:adjustRightInd/>
              <w:spacing w:line="360" w:lineRule="auto"/>
              <w:rPr>
                <w:rFonts w:hint="eastAsia" w:ascii="宋体" w:hAnsi="宋体" w:cs="宋体"/>
                <w:color w:val="auto"/>
                <w:sz w:val="24"/>
                <w:highlight w:val="none"/>
              </w:rPr>
            </w:pPr>
            <w:r>
              <w:rPr>
                <w:rFonts w:hint="eastAsia" w:ascii="宋体" w:hAnsi="宋体" w:cs="宋体"/>
                <w:color w:val="auto"/>
                <w:sz w:val="24"/>
                <w:highlight w:val="none"/>
              </w:rPr>
              <w:t>5.未提供相关内容或不满足采购需求要求的不得分。</w:t>
            </w:r>
          </w:p>
        </w:tc>
        <w:tc>
          <w:tcPr>
            <w:tcW w:w="754" w:type="dxa"/>
            <w:vAlign w:val="center"/>
          </w:tcPr>
          <w:p w14:paraId="6BB84EB1">
            <w:pPr>
              <w:adjustRightInd/>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4</w:t>
            </w:r>
          </w:p>
        </w:tc>
        <w:tc>
          <w:tcPr>
            <w:tcW w:w="1137" w:type="dxa"/>
            <w:vAlign w:val="center"/>
          </w:tcPr>
          <w:p w14:paraId="18AFD40A">
            <w:pPr>
              <w:adjustRightInd/>
              <w:spacing w:line="360" w:lineRule="auto"/>
              <w:jc w:val="center"/>
              <w:rPr>
                <w:rFonts w:hint="eastAsia" w:ascii="宋体" w:hAnsi="宋体" w:cs="宋体"/>
                <w:color w:val="auto"/>
                <w:sz w:val="24"/>
                <w:highlight w:val="none"/>
              </w:rPr>
            </w:pPr>
            <w:r>
              <w:rPr>
                <w:rFonts w:hint="eastAsia" w:ascii="宋体" w:hAnsi="宋体" w:cs="宋体"/>
                <w:bCs/>
                <w:color w:val="auto"/>
                <w:sz w:val="24"/>
                <w:highlight w:val="none"/>
              </w:rPr>
              <w:t>主观分</w:t>
            </w:r>
          </w:p>
        </w:tc>
        <w:tc>
          <w:tcPr>
            <w:tcW w:w="1947" w:type="dxa"/>
            <w:vAlign w:val="center"/>
          </w:tcPr>
          <w:p w14:paraId="2C66414D">
            <w:pPr>
              <w:adjustRightInd/>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组织实施方案</w:t>
            </w:r>
          </w:p>
        </w:tc>
      </w:tr>
      <w:tr w14:paraId="3F788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6811BEFC">
            <w:pPr>
              <w:adjustRightInd/>
              <w:spacing w:line="360" w:lineRule="auto"/>
              <w:jc w:val="center"/>
              <w:rPr>
                <w:rFonts w:hint="eastAsia" w:ascii="宋体" w:hAnsi="宋体" w:cs="宋体"/>
                <w:color w:val="auto"/>
                <w:sz w:val="24"/>
                <w:highlight w:val="none"/>
              </w:rPr>
            </w:pPr>
            <w:r>
              <w:rPr>
                <w:rFonts w:ascii="宋体" w:hAnsi="宋体" w:cs="宋体"/>
                <w:color w:val="auto"/>
                <w:sz w:val="24"/>
                <w:highlight w:val="none"/>
              </w:rPr>
              <w:t>6</w:t>
            </w:r>
          </w:p>
        </w:tc>
        <w:tc>
          <w:tcPr>
            <w:tcW w:w="4455" w:type="dxa"/>
            <w:vAlign w:val="center"/>
          </w:tcPr>
          <w:p w14:paraId="0BD8CABA">
            <w:pPr>
              <w:adjustRightInd/>
              <w:spacing w:line="360" w:lineRule="auto"/>
              <w:rPr>
                <w:rFonts w:hint="eastAsia" w:ascii="宋体" w:hAnsi="宋体" w:cs="宋体"/>
                <w:color w:val="auto"/>
                <w:sz w:val="24"/>
                <w:highlight w:val="none"/>
              </w:rPr>
            </w:pPr>
            <w:r>
              <w:rPr>
                <w:rFonts w:hint="eastAsia" w:ascii="宋体" w:hAnsi="宋体" w:cs="宋体"/>
                <w:color w:val="auto"/>
                <w:sz w:val="24"/>
                <w:highlight w:val="none"/>
              </w:rPr>
              <w:t>项目成果报告大纲及框架，内容详细丰富、分析方法合理。</w:t>
            </w:r>
          </w:p>
          <w:p w14:paraId="16E5FABE">
            <w:pPr>
              <w:adjustRightInd/>
              <w:spacing w:line="360" w:lineRule="auto"/>
              <w:rPr>
                <w:rFonts w:hint="eastAsia" w:ascii="宋体" w:hAnsi="宋体" w:cs="宋体"/>
                <w:color w:val="auto"/>
                <w:sz w:val="24"/>
                <w:highlight w:val="none"/>
              </w:rPr>
            </w:pPr>
            <w:r>
              <w:rPr>
                <w:rFonts w:hint="eastAsia" w:ascii="宋体" w:hAnsi="宋体" w:cs="宋体"/>
                <w:color w:val="auto"/>
                <w:sz w:val="24"/>
                <w:highlight w:val="none"/>
              </w:rPr>
              <w:t>1.成果报告大纲及框架内容完善，符合杭州市</w:t>
            </w:r>
            <w:r>
              <w:rPr>
                <w:rFonts w:hint="eastAsia"/>
                <w:color w:val="auto"/>
                <w:sz w:val="24"/>
                <w:highlight w:val="none"/>
              </w:rPr>
              <w:t>温室气体</w:t>
            </w:r>
            <w:r>
              <w:rPr>
                <w:rFonts w:hint="eastAsia" w:ascii="宋体" w:hAnsi="宋体" w:cs="宋体"/>
                <w:color w:val="auto"/>
                <w:sz w:val="24"/>
                <w:highlight w:val="none"/>
              </w:rPr>
              <w:t>特征，详细的得4分；</w:t>
            </w:r>
          </w:p>
          <w:p w14:paraId="0FD11535">
            <w:pPr>
              <w:adjustRightInd/>
              <w:spacing w:line="360" w:lineRule="auto"/>
              <w:rPr>
                <w:rFonts w:hint="eastAsia" w:ascii="宋体" w:hAnsi="宋体" w:cs="宋体"/>
                <w:color w:val="auto"/>
                <w:sz w:val="24"/>
                <w:highlight w:val="none"/>
              </w:rPr>
            </w:pPr>
            <w:r>
              <w:rPr>
                <w:rFonts w:hint="eastAsia" w:ascii="宋体" w:hAnsi="宋体" w:cs="宋体"/>
                <w:color w:val="auto"/>
                <w:sz w:val="24"/>
                <w:highlight w:val="none"/>
              </w:rPr>
              <w:t>2.成果报告大纲及框架内容较详尽的得3分；</w:t>
            </w:r>
          </w:p>
          <w:p w14:paraId="63273EFC">
            <w:pPr>
              <w:adjustRightInd/>
              <w:spacing w:line="360" w:lineRule="auto"/>
              <w:rPr>
                <w:rFonts w:hint="eastAsia" w:ascii="宋体" w:hAnsi="宋体" w:cs="宋体"/>
                <w:color w:val="auto"/>
                <w:sz w:val="24"/>
                <w:highlight w:val="none"/>
              </w:rPr>
            </w:pPr>
            <w:r>
              <w:rPr>
                <w:rFonts w:hint="eastAsia" w:ascii="宋体" w:hAnsi="宋体" w:cs="宋体"/>
                <w:color w:val="auto"/>
                <w:sz w:val="24"/>
                <w:highlight w:val="none"/>
              </w:rPr>
              <w:t>3.成果报告大纲及框架内容有欠缺的得2分；</w:t>
            </w:r>
          </w:p>
          <w:p w14:paraId="73A8343E">
            <w:pPr>
              <w:adjustRightInd/>
              <w:spacing w:line="360" w:lineRule="auto"/>
              <w:rPr>
                <w:rFonts w:hint="eastAsia" w:ascii="宋体" w:hAnsi="宋体" w:cs="宋体"/>
                <w:color w:val="auto"/>
                <w:sz w:val="24"/>
                <w:highlight w:val="none"/>
              </w:rPr>
            </w:pPr>
            <w:r>
              <w:rPr>
                <w:rFonts w:hint="eastAsia" w:ascii="宋体" w:hAnsi="宋体" w:cs="宋体"/>
                <w:color w:val="auto"/>
                <w:sz w:val="24"/>
                <w:highlight w:val="none"/>
              </w:rPr>
              <w:t>4.成果报告大纲及框架内容粗糙，存有较多遗漏的得1分；</w:t>
            </w:r>
          </w:p>
          <w:p w14:paraId="16E9218B">
            <w:pPr>
              <w:adjustRightInd/>
              <w:spacing w:line="360" w:lineRule="auto"/>
              <w:rPr>
                <w:rFonts w:hint="eastAsia" w:ascii="宋体" w:hAnsi="宋体" w:cs="宋体"/>
                <w:color w:val="auto"/>
                <w:sz w:val="24"/>
                <w:highlight w:val="none"/>
              </w:rPr>
            </w:pPr>
            <w:r>
              <w:rPr>
                <w:rFonts w:hint="eastAsia" w:ascii="宋体" w:hAnsi="宋体" w:cs="宋体"/>
                <w:color w:val="auto"/>
                <w:sz w:val="24"/>
                <w:highlight w:val="none"/>
              </w:rPr>
              <w:t>5.未提供相关内容或不满足采购需求要求的不得分。</w:t>
            </w:r>
          </w:p>
        </w:tc>
        <w:tc>
          <w:tcPr>
            <w:tcW w:w="754" w:type="dxa"/>
            <w:vAlign w:val="center"/>
          </w:tcPr>
          <w:p w14:paraId="08B87E15">
            <w:pPr>
              <w:adjustRightInd/>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4</w:t>
            </w:r>
          </w:p>
        </w:tc>
        <w:tc>
          <w:tcPr>
            <w:tcW w:w="1137" w:type="dxa"/>
            <w:vAlign w:val="center"/>
          </w:tcPr>
          <w:p w14:paraId="28C9A207">
            <w:pPr>
              <w:adjustRightInd/>
              <w:spacing w:line="360" w:lineRule="auto"/>
              <w:jc w:val="center"/>
              <w:rPr>
                <w:rFonts w:hint="eastAsia" w:ascii="宋体" w:hAnsi="宋体" w:cs="宋体"/>
                <w:color w:val="auto"/>
                <w:sz w:val="24"/>
                <w:highlight w:val="none"/>
              </w:rPr>
            </w:pPr>
            <w:r>
              <w:rPr>
                <w:rFonts w:hint="eastAsia" w:ascii="宋体" w:hAnsi="宋体" w:cs="宋体"/>
                <w:bCs/>
                <w:color w:val="auto"/>
                <w:sz w:val="24"/>
                <w:highlight w:val="none"/>
              </w:rPr>
              <w:t>主观分</w:t>
            </w:r>
          </w:p>
        </w:tc>
        <w:tc>
          <w:tcPr>
            <w:tcW w:w="1947" w:type="dxa"/>
            <w:vAlign w:val="center"/>
          </w:tcPr>
          <w:p w14:paraId="5A59BB6F">
            <w:pPr>
              <w:adjustRightInd/>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成果报告大纲及框架</w:t>
            </w:r>
          </w:p>
        </w:tc>
      </w:tr>
      <w:tr w14:paraId="7EA09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0E4BA70A">
            <w:pPr>
              <w:adjustRightInd/>
              <w:spacing w:line="360" w:lineRule="auto"/>
              <w:jc w:val="center"/>
              <w:rPr>
                <w:rFonts w:hint="eastAsia" w:ascii="宋体" w:hAnsi="宋体" w:cs="宋体"/>
                <w:color w:val="auto"/>
                <w:sz w:val="24"/>
                <w:highlight w:val="none"/>
              </w:rPr>
            </w:pPr>
            <w:r>
              <w:rPr>
                <w:rFonts w:ascii="宋体" w:hAnsi="宋体" w:cs="宋体"/>
                <w:color w:val="auto"/>
                <w:sz w:val="24"/>
                <w:highlight w:val="none"/>
              </w:rPr>
              <w:t>7</w:t>
            </w:r>
          </w:p>
        </w:tc>
        <w:tc>
          <w:tcPr>
            <w:tcW w:w="4455" w:type="dxa"/>
          </w:tcPr>
          <w:p w14:paraId="0753E023">
            <w:pPr>
              <w:adjustRightInd/>
              <w:spacing w:line="360" w:lineRule="auto"/>
              <w:rPr>
                <w:rFonts w:hint="eastAsia" w:ascii="宋体" w:hAnsi="宋体" w:cs="宋体"/>
                <w:color w:val="auto"/>
                <w:sz w:val="24"/>
                <w:highlight w:val="none"/>
              </w:rPr>
            </w:pPr>
            <w:r>
              <w:rPr>
                <w:rFonts w:hint="eastAsia" w:ascii="宋体" w:hAnsi="宋体" w:cs="宋体"/>
                <w:color w:val="auto"/>
                <w:sz w:val="24"/>
                <w:highlight w:val="none"/>
              </w:rPr>
              <w:t>项目人员</w:t>
            </w:r>
          </w:p>
        </w:tc>
        <w:tc>
          <w:tcPr>
            <w:tcW w:w="754" w:type="dxa"/>
            <w:vAlign w:val="center"/>
          </w:tcPr>
          <w:p w14:paraId="37CA465A">
            <w:pPr>
              <w:adjustRightInd/>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10</w:t>
            </w:r>
          </w:p>
        </w:tc>
        <w:tc>
          <w:tcPr>
            <w:tcW w:w="1137" w:type="dxa"/>
            <w:vAlign w:val="center"/>
          </w:tcPr>
          <w:p w14:paraId="65F9C7E7">
            <w:pPr>
              <w:adjustRightInd/>
              <w:spacing w:line="360" w:lineRule="auto"/>
              <w:jc w:val="center"/>
              <w:rPr>
                <w:rFonts w:hint="eastAsia" w:ascii="宋体" w:hAnsi="宋体" w:cs="宋体"/>
                <w:color w:val="auto"/>
                <w:sz w:val="24"/>
                <w:highlight w:val="none"/>
              </w:rPr>
            </w:pPr>
          </w:p>
        </w:tc>
        <w:tc>
          <w:tcPr>
            <w:tcW w:w="1947" w:type="dxa"/>
            <w:vAlign w:val="center"/>
          </w:tcPr>
          <w:p w14:paraId="3A76E79F">
            <w:pPr>
              <w:adjustRightInd/>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项目人员情况表</w:t>
            </w:r>
          </w:p>
        </w:tc>
      </w:tr>
      <w:tr w14:paraId="3C11A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736" w:type="dxa"/>
            <w:vAlign w:val="center"/>
          </w:tcPr>
          <w:p w14:paraId="72EE3366">
            <w:pPr>
              <w:adjustRightInd/>
              <w:spacing w:line="360" w:lineRule="auto"/>
              <w:jc w:val="center"/>
              <w:rPr>
                <w:rFonts w:hint="eastAsia" w:ascii="宋体" w:hAnsi="宋体" w:cs="宋体"/>
                <w:color w:val="auto"/>
                <w:sz w:val="24"/>
                <w:highlight w:val="none"/>
              </w:rPr>
            </w:pPr>
            <w:r>
              <w:rPr>
                <w:rFonts w:ascii="宋体" w:hAnsi="宋体" w:cs="宋体"/>
                <w:color w:val="auto"/>
                <w:sz w:val="24"/>
                <w:highlight w:val="none"/>
              </w:rPr>
              <w:t>7</w:t>
            </w:r>
            <w:r>
              <w:rPr>
                <w:rFonts w:hint="eastAsia" w:ascii="宋体" w:hAnsi="宋体" w:cs="宋体"/>
                <w:color w:val="auto"/>
                <w:sz w:val="24"/>
                <w:highlight w:val="none"/>
              </w:rPr>
              <w:t>.1</w:t>
            </w:r>
          </w:p>
        </w:tc>
        <w:tc>
          <w:tcPr>
            <w:tcW w:w="4455" w:type="dxa"/>
            <w:vAlign w:val="center"/>
          </w:tcPr>
          <w:p w14:paraId="3736BD3A">
            <w:pPr>
              <w:adjustRightInd/>
              <w:spacing w:line="360" w:lineRule="auto"/>
              <w:contextualSpacing/>
              <w:outlineLvl w:val="0"/>
              <w:rPr>
                <w:rFonts w:hint="eastAsia" w:ascii="宋体" w:hAnsi="宋体" w:cs="宋体"/>
                <w:color w:val="auto"/>
                <w:sz w:val="24"/>
                <w:highlight w:val="none"/>
              </w:rPr>
            </w:pPr>
            <w:r>
              <w:rPr>
                <w:rFonts w:hint="eastAsia" w:ascii="宋体" w:hAnsi="宋体" w:cs="宋体"/>
                <w:color w:val="auto"/>
                <w:sz w:val="24"/>
                <w:highlight w:val="none"/>
              </w:rPr>
              <w:t>为保证项目实施进度，拟派本项目工作小组人员需具备2年以上相关工作经验，拟派本项目专业技术人员达到5人的得4分，每少1名专业技术人员扣1分；扣完为止。</w:t>
            </w:r>
          </w:p>
          <w:p w14:paraId="4A062692">
            <w:pPr>
              <w:adjustRightInd/>
              <w:spacing w:line="360" w:lineRule="auto"/>
              <w:contextualSpacing/>
              <w:outlineLvl w:val="0"/>
              <w:rPr>
                <w:rFonts w:hint="eastAsia" w:ascii="宋体" w:hAnsi="宋体" w:cs="宋体"/>
                <w:color w:val="auto"/>
                <w:sz w:val="24"/>
                <w:highlight w:val="none"/>
              </w:rPr>
            </w:pPr>
            <w:r>
              <w:rPr>
                <w:rFonts w:hint="eastAsia" w:ascii="宋体" w:hAnsi="宋体" w:cs="宋体"/>
                <w:color w:val="auto"/>
                <w:sz w:val="24"/>
                <w:highlight w:val="none"/>
              </w:rPr>
              <w:t>（提供劳动合同或投标单位在职社保证明及履历表和用户证明等相关证明材料）</w:t>
            </w:r>
          </w:p>
        </w:tc>
        <w:tc>
          <w:tcPr>
            <w:tcW w:w="754" w:type="dxa"/>
            <w:vAlign w:val="center"/>
          </w:tcPr>
          <w:p w14:paraId="69029A56">
            <w:pPr>
              <w:adjustRightInd/>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4</w:t>
            </w:r>
          </w:p>
        </w:tc>
        <w:tc>
          <w:tcPr>
            <w:tcW w:w="1137" w:type="dxa"/>
            <w:vAlign w:val="center"/>
          </w:tcPr>
          <w:p w14:paraId="23E7B347">
            <w:pPr>
              <w:adjustRightInd/>
              <w:spacing w:line="360" w:lineRule="auto"/>
              <w:jc w:val="center"/>
              <w:rPr>
                <w:rFonts w:hint="eastAsia" w:ascii="宋体" w:hAnsi="宋体" w:cs="宋体"/>
                <w:color w:val="auto"/>
                <w:sz w:val="24"/>
                <w:highlight w:val="none"/>
              </w:rPr>
            </w:pPr>
            <w:r>
              <w:rPr>
                <w:rFonts w:hint="eastAsia" w:ascii="宋体" w:hAnsi="宋体" w:cs="宋体"/>
                <w:bCs/>
                <w:color w:val="auto"/>
                <w:sz w:val="24"/>
                <w:highlight w:val="none"/>
              </w:rPr>
              <w:t>客观分</w:t>
            </w:r>
          </w:p>
        </w:tc>
        <w:tc>
          <w:tcPr>
            <w:tcW w:w="1947" w:type="dxa"/>
            <w:vAlign w:val="center"/>
          </w:tcPr>
          <w:p w14:paraId="0AD58310">
            <w:pPr>
              <w:adjustRightInd/>
              <w:spacing w:line="360" w:lineRule="auto"/>
              <w:jc w:val="center"/>
              <w:rPr>
                <w:rFonts w:hint="eastAsia" w:ascii="宋体" w:hAnsi="宋体" w:cs="宋体"/>
                <w:color w:val="auto"/>
                <w:sz w:val="24"/>
                <w:highlight w:val="none"/>
              </w:rPr>
            </w:pPr>
          </w:p>
        </w:tc>
      </w:tr>
      <w:tr w14:paraId="4404D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0D7C9A5E">
            <w:pPr>
              <w:adjustRightInd/>
              <w:spacing w:line="360" w:lineRule="auto"/>
              <w:jc w:val="center"/>
              <w:rPr>
                <w:rFonts w:hint="eastAsia" w:ascii="宋体" w:hAnsi="宋体" w:cs="宋体"/>
                <w:color w:val="auto"/>
                <w:sz w:val="24"/>
                <w:highlight w:val="none"/>
              </w:rPr>
            </w:pPr>
            <w:r>
              <w:rPr>
                <w:rFonts w:ascii="宋体" w:hAnsi="宋体" w:cs="宋体"/>
                <w:color w:val="auto"/>
                <w:sz w:val="24"/>
                <w:highlight w:val="none"/>
              </w:rPr>
              <w:t>7</w:t>
            </w:r>
            <w:r>
              <w:rPr>
                <w:rFonts w:hint="eastAsia" w:ascii="宋体" w:hAnsi="宋体" w:cs="宋体"/>
                <w:color w:val="auto"/>
                <w:sz w:val="24"/>
                <w:highlight w:val="none"/>
              </w:rPr>
              <w:t>.2</w:t>
            </w:r>
          </w:p>
        </w:tc>
        <w:tc>
          <w:tcPr>
            <w:tcW w:w="4455" w:type="dxa"/>
            <w:vAlign w:val="center"/>
          </w:tcPr>
          <w:p w14:paraId="003ACE83">
            <w:pPr>
              <w:adjustRightInd/>
              <w:spacing w:line="360" w:lineRule="auto"/>
              <w:contextualSpacing/>
              <w:outlineLvl w:val="0"/>
              <w:rPr>
                <w:rFonts w:hint="eastAsia" w:ascii="宋体" w:hAnsi="宋体" w:cs="宋体"/>
                <w:color w:val="auto"/>
                <w:sz w:val="24"/>
                <w:highlight w:val="none"/>
              </w:rPr>
            </w:pPr>
            <w:r>
              <w:rPr>
                <w:rFonts w:hint="eastAsia" w:ascii="宋体" w:hAnsi="宋体" w:cs="宋体"/>
                <w:color w:val="auto"/>
                <w:sz w:val="24"/>
                <w:highlight w:val="none"/>
              </w:rPr>
              <w:t>为保证项目实施质量，拟派本项目技术负责人具有副高级职称，得1分，具有正高级职称，得3分，本项最高3分。</w:t>
            </w:r>
          </w:p>
          <w:p w14:paraId="6B111A34">
            <w:pPr>
              <w:adjustRightInd/>
              <w:spacing w:line="360" w:lineRule="auto"/>
              <w:contextualSpacing/>
              <w:outlineLvl w:val="0"/>
              <w:rPr>
                <w:rFonts w:hint="eastAsia" w:ascii="宋体" w:hAnsi="宋体" w:cs="宋体"/>
                <w:color w:val="auto"/>
                <w:sz w:val="24"/>
                <w:highlight w:val="none"/>
              </w:rPr>
            </w:pPr>
            <w:r>
              <w:rPr>
                <w:rFonts w:hint="eastAsia" w:ascii="宋体" w:hAnsi="宋体" w:cs="宋体"/>
                <w:color w:val="auto"/>
                <w:sz w:val="24"/>
                <w:highlight w:val="none"/>
              </w:rPr>
              <w:t>（提供职称证书及劳动合同或投标单位在职社保证明等相关证明材料）</w:t>
            </w:r>
          </w:p>
        </w:tc>
        <w:tc>
          <w:tcPr>
            <w:tcW w:w="754" w:type="dxa"/>
            <w:vAlign w:val="center"/>
          </w:tcPr>
          <w:p w14:paraId="0A2739F3">
            <w:pPr>
              <w:adjustRightInd/>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3</w:t>
            </w:r>
          </w:p>
        </w:tc>
        <w:tc>
          <w:tcPr>
            <w:tcW w:w="1137" w:type="dxa"/>
            <w:vAlign w:val="center"/>
          </w:tcPr>
          <w:p w14:paraId="1DE6E749">
            <w:pPr>
              <w:adjustRightInd/>
              <w:spacing w:line="360" w:lineRule="auto"/>
              <w:jc w:val="center"/>
              <w:rPr>
                <w:rFonts w:hint="eastAsia" w:ascii="宋体" w:hAnsi="宋体" w:cs="宋体"/>
                <w:color w:val="auto"/>
                <w:sz w:val="24"/>
                <w:highlight w:val="none"/>
              </w:rPr>
            </w:pPr>
            <w:r>
              <w:rPr>
                <w:rFonts w:hint="eastAsia" w:ascii="宋体" w:hAnsi="宋体" w:cs="宋体"/>
                <w:bCs/>
                <w:color w:val="auto"/>
                <w:sz w:val="24"/>
                <w:highlight w:val="none"/>
              </w:rPr>
              <w:t>客观分</w:t>
            </w:r>
          </w:p>
        </w:tc>
        <w:tc>
          <w:tcPr>
            <w:tcW w:w="1947" w:type="dxa"/>
            <w:vAlign w:val="center"/>
          </w:tcPr>
          <w:p w14:paraId="3E43A45A">
            <w:pPr>
              <w:adjustRightInd/>
              <w:spacing w:line="360" w:lineRule="auto"/>
              <w:jc w:val="center"/>
              <w:rPr>
                <w:rFonts w:hint="eastAsia" w:ascii="宋体" w:hAnsi="宋体" w:cs="宋体"/>
                <w:color w:val="auto"/>
                <w:sz w:val="24"/>
                <w:highlight w:val="none"/>
              </w:rPr>
            </w:pPr>
          </w:p>
        </w:tc>
      </w:tr>
      <w:tr w14:paraId="358F1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0916F8EE">
            <w:pPr>
              <w:adjustRightInd/>
              <w:spacing w:line="360" w:lineRule="auto"/>
              <w:jc w:val="center"/>
              <w:rPr>
                <w:rFonts w:hint="eastAsia" w:ascii="宋体" w:hAnsi="宋体" w:cs="宋体"/>
                <w:color w:val="auto"/>
                <w:sz w:val="24"/>
                <w:highlight w:val="none"/>
              </w:rPr>
            </w:pPr>
            <w:r>
              <w:rPr>
                <w:rFonts w:ascii="宋体" w:hAnsi="宋体" w:cs="宋体"/>
                <w:color w:val="auto"/>
                <w:sz w:val="24"/>
                <w:highlight w:val="none"/>
              </w:rPr>
              <w:t>7</w:t>
            </w:r>
            <w:r>
              <w:rPr>
                <w:rFonts w:hint="eastAsia" w:ascii="宋体" w:hAnsi="宋体" w:cs="宋体"/>
                <w:color w:val="auto"/>
                <w:sz w:val="24"/>
                <w:highlight w:val="none"/>
              </w:rPr>
              <w:t>.3</w:t>
            </w:r>
          </w:p>
        </w:tc>
        <w:tc>
          <w:tcPr>
            <w:tcW w:w="4455" w:type="dxa"/>
            <w:vAlign w:val="center"/>
          </w:tcPr>
          <w:p w14:paraId="5158885E">
            <w:pPr>
              <w:adjustRightInd/>
              <w:spacing w:line="360" w:lineRule="auto"/>
              <w:contextualSpacing/>
              <w:outlineLvl w:val="0"/>
              <w:rPr>
                <w:rFonts w:hint="eastAsia" w:ascii="宋体" w:hAnsi="宋体" w:cs="宋体"/>
                <w:color w:val="auto"/>
                <w:sz w:val="24"/>
                <w:highlight w:val="none"/>
              </w:rPr>
            </w:pPr>
            <w:r>
              <w:rPr>
                <w:rFonts w:hint="eastAsia" w:ascii="宋体" w:hAnsi="宋体" w:cs="宋体"/>
                <w:color w:val="auto"/>
                <w:sz w:val="24"/>
                <w:highlight w:val="none"/>
              </w:rPr>
              <w:t>拟派本项目工作小组人员有气象学、大气科学或环境类专业硕士学历背景的，提供3人及以上的得3分，少于3人不得分。（提供学历证书、劳动合同或投标单位在职社保证明等相关证明材料）</w:t>
            </w:r>
          </w:p>
        </w:tc>
        <w:tc>
          <w:tcPr>
            <w:tcW w:w="754" w:type="dxa"/>
            <w:vAlign w:val="center"/>
          </w:tcPr>
          <w:p w14:paraId="4C746A0B">
            <w:pPr>
              <w:adjustRightInd/>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3</w:t>
            </w:r>
          </w:p>
        </w:tc>
        <w:tc>
          <w:tcPr>
            <w:tcW w:w="1137" w:type="dxa"/>
            <w:vAlign w:val="center"/>
          </w:tcPr>
          <w:p w14:paraId="2915176B">
            <w:pPr>
              <w:adjustRightInd/>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客观分</w:t>
            </w:r>
          </w:p>
        </w:tc>
        <w:tc>
          <w:tcPr>
            <w:tcW w:w="1947" w:type="dxa"/>
            <w:vAlign w:val="center"/>
          </w:tcPr>
          <w:p w14:paraId="29301B2B">
            <w:pPr>
              <w:adjustRightInd/>
              <w:spacing w:line="360" w:lineRule="auto"/>
              <w:jc w:val="center"/>
              <w:rPr>
                <w:rFonts w:hint="eastAsia" w:ascii="宋体" w:hAnsi="宋体" w:cs="宋体"/>
                <w:color w:val="auto"/>
                <w:sz w:val="24"/>
                <w:highlight w:val="none"/>
              </w:rPr>
            </w:pPr>
          </w:p>
        </w:tc>
      </w:tr>
      <w:tr w14:paraId="73B60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736" w:type="dxa"/>
            <w:vAlign w:val="center"/>
          </w:tcPr>
          <w:p w14:paraId="4E41AF2D">
            <w:pPr>
              <w:adjustRightInd/>
              <w:spacing w:line="360" w:lineRule="auto"/>
              <w:jc w:val="center"/>
              <w:rPr>
                <w:rFonts w:hint="eastAsia" w:ascii="宋体" w:hAnsi="宋体" w:cs="宋体"/>
                <w:color w:val="auto"/>
                <w:sz w:val="24"/>
                <w:highlight w:val="none"/>
              </w:rPr>
            </w:pPr>
            <w:r>
              <w:rPr>
                <w:rFonts w:ascii="宋体" w:hAnsi="宋体" w:cs="宋体"/>
                <w:color w:val="auto"/>
                <w:sz w:val="24"/>
                <w:highlight w:val="none"/>
              </w:rPr>
              <w:t>8</w:t>
            </w:r>
          </w:p>
        </w:tc>
        <w:tc>
          <w:tcPr>
            <w:tcW w:w="4455" w:type="dxa"/>
          </w:tcPr>
          <w:p w14:paraId="48EA32AE">
            <w:pPr>
              <w:adjustRightInd/>
              <w:spacing w:line="360" w:lineRule="auto"/>
              <w:rPr>
                <w:rFonts w:hint="eastAsia" w:ascii="宋体" w:hAnsi="宋体" w:cs="宋体"/>
                <w:color w:val="auto"/>
                <w:sz w:val="24"/>
                <w:highlight w:val="none"/>
              </w:rPr>
            </w:pPr>
            <w:r>
              <w:rPr>
                <w:rFonts w:hint="eastAsia" w:ascii="宋体" w:hAnsi="宋体" w:cs="宋体"/>
                <w:color w:val="auto"/>
                <w:sz w:val="24"/>
                <w:highlight w:val="none"/>
              </w:rPr>
              <w:t>合理化建议</w:t>
            </w:r>
          </w:p>
        </w:tc>
        <w:tc>
          <w:tcPr>
            <w:tcW w:w="754" w:type="dxa"/>
            <w:vAlign w:val="center"/>
          </w:tcPr>
          <w:p w14:paraId="5BA7152D">
            <w:pPr>
              <w:adjustRightInd/>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5</w:t>
            </w:r>
          </w:p>
        </w:tc>
        <w:tc>
          <w:tcPr>
            <w:tcW w:w="1137" w:type="dxa"/>
            <w:vAlign w:val="center"/>
          </w:tcPr>
          <w:p w14:paraId="33E442A1">
            <w:pPr>
              <w:adjustRightInd/>
              <w:spacing w:line="360" w:lineRule="auto"/>
              <w:jc w:val="center"/>
              <w:rPr>
                <w:rFonts w:hint="eastAsia" w:ascii="宋体" w:hAnsi="宋体" w:cs="宋体"/>
                <w:color w:val="auto"/>
                <w:sz w:val="24"/>
                <w:highlight w:val="none"/>
              </w:rPr>
            </w:pPr>
          </w:p>
        </w:tc>
        <w:tc>
          <w:tcPr>
            <w:tcW w:w="1947" w:type="dxa"/>
            <w:vAlign w:val="center"/>
          </w:tcPr>
          <w:p w14:paraId="56DCE7D0">
            <w:pPr>
              <w:adjustRightInd/>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合理化建议</w:t>
            </w:r>
          </w:p>
        </w:tc>
      </w:tr>
      <w:tr w14:paraId="5D7E0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286F5317">
            <w:pPr>
              <w:adjustRightInd/>
              <w:spacing w:line="360" w:lineRule="auto"/>
              <w:jc w:val="center"/>
              <w:rPr>
                <w:rFonts w:hint="eastAsia" w:ascii="宋体" w:hAnsi="宋体" w:cs="宋体"/>
                <w:color w:val="auto"/>
                <w:sz w:val="24"/>
                <w:highlight w:val="none"/>
              </w:rPr>
            </w:pPr>
            <w:r>
              <w:rPr>
                <w:rFonts w:ascii="宋体" w:hAnsi="宋体" w:cs="宋体"/>
                <w:color w:val="auto"/>
                <w:sz w:val="24"/>
                <w:highlight w:val="none"/>
              </w:rPr>
              <w:t>8</w:t>
            </w:r>
            <w:r>
              <w:rPr>
                <w:rFonts w:hint="eastAsia" w:ascii="宋体" w:hAnsi="宋体" w:cs="宋体"/>
                <w:color w:val="auto"/>
                <w:sz w:val="24"/>
                <w:highlight w:val="none"/>
              </w:rPr>
              <w:t>.1</w:t>
            </w:r>
          </w:p>
        </w:tc>
        <w:tc>
          <w:tcPr>
            <w:tcW w:w="4455" w:type="dxa"/>
            <w:vAlign w:val="center"/>
          </w:tcPr>
          <w:p w14:paraId="51D34F87">
            <w:pPr>
              <w:adjustRightInd/>
              <w:spacing w:line="360" w:lineRule="auto"/>
              <w:rPr>
                <w:rFonts w:hint="eastAsia" w:ascii="宋体" w:hAnsi="宋体" w:cs="宋体"/>
                <w:color w:val="auto"/>
                <w:sz w:val="24"/>
                <w:highlight w:val="none"/>
              </w:rPr>
            </w:pPr>
            <w:r>
              <w:rPr>
                <w:rFonts w:hint="eastAsia" w:ascii="宋体" w:hAnsi="宋体" w:cs="宋体"/>
                <w:color w:val="auto"/>
                <w:kern w:val="0"/>
                <w:sz w:val="24"/>
                <w:highlight w:val="none"/>
              </w:rPr>
              <w:t>对本项目的了解程度及针对本项目提出的建议是否合理，且所提建议确实能对项目的实施产生有益作用的。</w:t>
            </w:r>
            <w:r>
              <w:rPr>
                <w:rFonts w:hint="eastAsia" w:ascii="宋体" w:hAnsi="宋体" w:cs="宋体"/>
                <w:color w:val="auto"/>
                <w:sz w:val="24"/>
                <w:highlight w:val="none"/>
              </w:rPr>
              <w:t>每提供一项有利于项目实施的建议得1分，满分2分。</w:t>
            </w:r>
          </w:p>
        </w:tc>
        <w:tc>
          <w:tcPr>
            <w:tcW w:w="754" w:type="dxa"/>
            <w:vAlign w:val="center"/>
          </w:tcPr>
          <w:p w14:paraId="329ED465">
            <w:pPr>
              <w:adjustRightInd/>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1137" w:type="dxa"/>
            <w:vAlign w:val="center"/>
          </w:tcPr>
          <w:p w14:paraId="1247052E">
            <w:pPr>
              <w:adjustRightInd/>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客观分</w:t>
            </w:r>
          </w:p>
        </w:tc>
        <w:tc>
          <w:tcPr>
            <w:tcW w:w="1947" w:type="dxa"/>
            <w:vAlign w:val="center"/>
          </w:tcPr>
          <w:p w14:paraId="499E6B0F">
            <w:pPr>
              <w:adjustRightInd/>
              <w:spacing w:line="360" w:lineRule="auto"/>
              <w:jc w:val="center"/>
              <w:rPr>
                <w:rFonts w:hint="eastAsia" w:ascii="宋体" w:hAnsi="宋体" w:cs="宋体"/>
                <w:color w:val="auto"/>
                <w:sz w:val="24"/>
                <w:highlight w:val="none"/>
              </w:rPr>
            </w:pPr>
          </w:p>
        </w:tc>
      </w:tr>
      <w:tr w14:paraId="56EB1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468DEAD4">
            <w:pPr>
              <w:adjustRightInd/>
              <w:spacing w:line="360" w:lineRule="auto"/>
              <w:jc w:val="center"/>
              <w:rPr>
                <w:rFonts w:hint="eastAsia" w:ascii="宋体" w:hAnsi="宋体" w:cs="宋体"/>
                <w:color w:val="auto"/>
                <w:sz w:val="24"/>
                <w:highlight w:val="none"/>
              </w:rPr>
            </w:pPr>
            <w:r>
              <w:rPr>
                <w:rFonts w:ascii="宋体" w:hAnsi="宋体" w:cs="宋体"/>
                <w:color w:val="auto"/>
                <w:sz w:val="24"/>
                <w:highlight w:val="none"/>
              </w:rPr>
              <w:t>8</w:t>
            </w:r>
            <w:r>
              <w:rPr>
                <w:rFonts w:hint="eastAsia" w:ascii="宋体" w:hAnsi="宋体" w:cs="宋体"/>
                <w:color w:val="auto"/>
                <w:sz w:val="24"/>
                <w:highlight w:val="none"/>
              </w:rPr>
              <w:t>.2</w:t>
            </w:r>
          </w:p>
        </w:tc>
        <w:tc>
          <w:tcPr>
            <w:tcW w:w="4455" w:type="dxa"/>
            <w:vAlign w:val="center"/>
          </w:tcPr>
          <w:p w14:paraId="4D769E9B">
            <w:pPr>
              <w:adjustRightInd/>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对本项目的综合分析、对重点、难点和疑点问题把握、关键点诊断。</w:t>
            </w:r>
          </w:p>
          <w:p w14:paraId="5AAF871C">
            <w:pPr>
              <w:adjustRightInd/>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1.问题及关键点把握精准、专业的得3分；</w:t>
            </w:r>
          </w:p>
          <w:p w14:paraId="1ADF1F1B">
            <w:pPr>
              <w:adjustRightInd/>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2.问题及关键点把握略有欠缺的得2分；</w:t>
            </w:r>
          </w:p>
          <w:p w14:paraId="7CB911CB">
            <w:pPr>
              <w:adjustRightInd/>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3.问题及关键点把握一般的得1分；</w:t>
            </w:r>
          </w:p>
          <w:p w14:paraId="62EC816B">
            <w:pPr>
              <w:adjustRightInd/>
              <w:spacing w:line="360" w:lineRule="auto"/>
              <w:rPr>
                <w:rFonts w:hint="eastAsia" w:ascii="宋体" w:hAnsi="宋体" w:cs="宋体"/>
                <w:color w:val="auto"/>
                <w:sz w:val="24"/>
                <w:highlight w:val="none"/>
              </w:rPr>
            </w:pPr>
            <w:r>
              <w:rPr>
                <w:rFonts w:hint="eastAsia" w:ascii="宋体" w:hAnsi="宋体" w:cs="宋体"/>
                <w:color w:val="auto"/>
                <w:kern w:val="0"/>
                <w:sz w:val="24"/>
                <w:highlight w:val="none"/>
              </w:rPr>
              <w:t>3.未提供相关内容或不满足采购需求要求的不得分。</w:t>
            </w:r>
          </w:p>
        </w:tc>
        <w:tc>
          <w:tcPr>
            <w:tcW w:w="754" w:type="dxa"/>
            <w:vAlign w:val="center"/>
          </w:tcPr>
          <w:p w14:paraId="262DDCA2">
            <w:pPr>
              <w:adjustRightInd/>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3</w:t>
            </w:r>
          </w:p>
        </w:tc>
        <w:tc>
          <w:tcPr>
            <w:tcW w:w="1137" w:type="dxa"/>
            <w:vAlign w:val="center"/>
          </w:tcPr>
          <w:p w14:paraId="487608DE">
            <w:pPr>
              <w:adjustRightInd/>
              <w:spacing w:line="360" w:lineRule="auto"/>
              <w:jc w:val="center"/>
              <w:rPr>
                <w:rFonts w:hint="eastAsia" w:ascii="宋体" w:hAnsi="宋体" w:cs="宋体"/>
                <w:color w:val="auto"/>
                <w:sz w:val="24"/>
                <w:highlight w:val="none"/>
              </w:rPr>
            </w:pPr>
            <w:r>
              <w:rPr>
                <w:rFonts w:hint="eastAsia" w:ascii="宋体" w:hAnsi="宋体" w:cs="宋体"/>
                <w:bCs/>
                <w:color w:val="auto"/>
                <w:sz w:val="24"/>
                <w:highlight w:val="none"/>
              </w:rPr>
              <w:t>主观分</w:t>
            </w:r>
          </w:p>
        </w:tc>
        <w:tc>
          <w:tcPr>
            <w:tcW w:w="1947" w:type="dxa"/>
            <w:vAlign w:val="center"/>
          </w:tcPr>
          <w:p w14:paraId="733F1A91">
            <w:pPr>
              <w:adjustRightInd/>
              <w:spacing w:line="360" w:lineRule="auto"/>
              <w:jc w:val="center"/>
              <w:rPr>
                <w:rFonts w:hint="eastAsia" w:ascii="宋体" w:hAnsi="宋体" w:cs="宋体"/>
                <w:color w:val="auto"/>
                <w:sz w:val="24"/>
                <w:highlight w:val="none"/>
              </w:rPr>
            </w:pPr>
          </w:p>
        </w:tc>
      </w:tr>
      <w:tr w14:paraId="18183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1414C8DE">
            <w:pPr>
              <w:adjustRightInd/>
              <w:spacing w:line="360" w:lineRule="auto"/>
              <w:jc w:val="center"/>
              <w:rPr>
                <w:rFonts w:hint="eastAsia" w:ascii="宋体" w:hAnsi="宋体" w:cs="宋体"/>
                <w:color w:val="auto"/>
                <w:sz w:val="24"/>
                <w:highlight w:val="none"/>
              </w:rPr>
            </w:pPr>
            <w:r>
              <w:rPr>
                <w:rFonts w:ascii="宋体" w:hAnsi="宋体" w:cs="宋体"/>
                <w:color w:val="auto"/>
                <w:sz w:val="24"/>
                <w:highlight w:val="none"/>
              </w:rPr>
              <w:t>9</w:t>
            </w:r>
          </w:p>
        </w:tc>
        <w:tc>
          <w:tcPr>
            <w:tcW w:w="4455" w:type="dxa"/>
          </w:tcPr>
          <w:p w14:paraId="7C6ABA1F">
            <w:pPr>
              <w:adjustRightInd/>
              <w:spacing w:line="360" w:lineRule="auto"/>
              <w:rPr>
                <w:rFonts w:hint="eastAsia" w:ascii="宋体" w:hAnsi="宋体" w:cs="宋体"/>
                <w:color w:val="auto"/>
                <w:sz w:val="24"/>
                <w:highlight w:val="none"/>
              </w:rPr>
            </w:pPr>
            <w:r>
              <w:rPr>
                <w:rFonts w:hint="eastAsia" w:ascii="宋体" w:hAnsi="宋体" w:cs="宋体"/>
                <w:color w:val="auto"/>
                <w:sz w:val="24"/>
                <w:highlight w:val="none"/>
              </w:rPr>
              <w:t>服务承诺</w:t>
            </w:r>
          </w:p>
        </w:tc>
        <w:tc>
          <w:tcPr>
            <w:tcW w:w="754" w:type="dxa"/>
            <w:vAlign w:val="center"/>
          </w:tcPr>
          <w:p w14:paraId="2573306C">
            <w:pPr>
              <w:adjustRightInd/>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8</w:t>
            </w:r>
          </w:p>
        </w:tc>
        <w:tc>
          <w:tcPr>
            <w:tcW w:w="1137" w:type="dxa"/>
            <w:vAlign w:val="center"/>
          </w:tcPr>
          <w:p w14:paraId="4F156E22">
            <w:pPr>
              <w:adjustRightInd/>
              <w:spacing w:line="360" w:lineRule="auto"/>
              <w:jc w:val="center"/>
              <w:rPr>
                <w:rFonts w:hint="eastAsia" w:ascii="宋体" w:hAnsi="宋体" w:cs="宋体"/>
                <w:color w:val="auto"/>
                <w:sz w:val="24"/>
                <w:highlight w:val="none"/>
              </w:rPr>
            </w:pPr>
          </w:p>
        </w:tc>
        <w:tc>
          <w:tcPr>
            <w:tcW w:w="1947" w:type="dxa"/>
            <w:vAlign w:val="center"/>
          </w:tcPr>
          <w:p w14:paraId="042EF276">
            <w:pPr>
              <w:adjustRightInd/>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服务承诺</w:t>
            </w:r>
          </w:p>
        </w:tc>
      </w:tr>
      <w:tr w14:paraId="6D60F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7552B35D">
            <w:pPr>
              <w:adjustRightInd/>
              <w:spacing w:line="360" w:lineRule="auto"/>
              <w:jc w:val="center"/>
              <w:rPr>
                <w:rFonts w:hint="eastAsia" w:ascii="宋体" w:hAnsi="宋体" w:cs="宋体"/>
                <w:color w:val="auto"/>
                <w:sz w:val="24"/>
                <w:highlight w:val="none"/>
              </w:rPr>
            </w:pPr>
            <w:r>
              <w:rPr>
                <w:rFonts w:ascii="宋体" w:hAnsi="宋体" w:cs="宋体"/>
                <w:color w:val="auto"/>
                <w:sz w:val="24"/>
                <w:highlight w:val="none"/>
              </w:rPr>
              <w:t>9</w:t>
            </w:r>
            <w:r>
              <w:rPr>
                <w:rFonts w:hint="eastAsia" w:ascii="宋体" w:hAnsi="宋体" w:cs="宋体"/>
                <w:color w:val="auto"/>
                <w:sz w:val="24"/>
                <w:highlight w:val="none"/>
              </w:rPr>
              <w:t>.1</w:t>
            </w:r>
          </w:p>
        </w:tc>
        <w:tc>
          <w:tcPr>
            <w:tcW w:w="4455" w:type="dxa"/>
            <w:vAlign w:val="center"/>
          </w:tcPr>
          <w:p w14:paraId="00B7F857">
            <w:pPr>
              <w:adjustRightInd/>
              <w:spacing w:line="360" w:lineRule="auto"/>
              <w:rPr>
                <w:rFonts w:hint="eastAsia" w:ascii="宋体" w:hAnsi="宋体" w:cs="宋体"/>
                <w:color w:val="auto"/>
                <w:sz w:val="24"/>
                <w:highlight w:val="none"/>
              </w:rPr>
            </w:pPr>
            <w:r>
              <w:rPr>
                <w:rFonts w:hint="eastAsia" w:ascii="宋体" w:hAnsi="宋体" w:cs="宋体"/>
                <w:color w:val="auto"/>
                <w:sz w:val="24"/>
                <w:highlight w:val="none"/>
              </w:rPr>
              <w:t>质量保证措施方案。投标人具备一套完善的服务管理体系，在服务过程中能确保服务质量。</w:t>
            </w:r>
          </w:p>
          <w:p w14:paraId="2CBED755">
            <w:pPr>
              <w:adjustRightInd/>
              <w:spacing w:line="360" w:lineRule="auto"/>
              <w:rPr>
                <w:rFonts w:hint="eastAsia" w:ascii="宋体" w:hAnsi="宋体" w:cs="宋体"/>
                <w:color w:val="auto"/>
                <w:sz w:val="24"/>
                <w:highlight w:val="none"/>
              </w:rPr>
            </w:pPr>
            <w:r>
              <w:rPr>
                <w:rFonts w:hint="eastAsia" w:ascii="宋体" w:hAnsi="宋体" w:cs="宋体"/>
                <w:color w:val="auto"/>
                <w:sz w:val="24"/>
                <w:highlight w:val="none"/>
              </w:rPr>
              <w:t>1.服务质量保证措施完善，设立严格的服务标准和质量监控体系的得2分；</w:t>
            </w:r>
          </w:p>
          <w:p w14:paraId="3057946C">
            <w:pPr>
              <w:adjustRightInd/>
              <w:spacing w:line="360" w:lineRule="auto"/>
              <w:rPr>
                <w:rFonts w:hint="eastAsia" w:ascii="宋体" w:hAnsi="宋体" w:cs="宋体"/>
                <w:color w:val="auto"/>
                <w:sz w:val="24"/>
                <w:highlight w:val="none"/>
              </w:rPr>
            </w:pPr>
            <w:r>
              <w:rPr>
                <w:rFonts w:hint="eastAsia" w:ascii="宋体" w:hAnsi="宋体" w:cs="宋体"/>
                <w:color w:val="auto"/>
                <w:sz w:val="24"/>
                <w:highlight w:val="none"/>
              </w:rPr>
              <w:t>2.服务质量保证措施一般，制定基本的服务标准和操作规范的得1分；</w:t>
            </w:r>
          </w:p>
          <w:p w14:paraId="2AE5CF96">
            <w:pPr>
              <w:adjustRightInd/>
              <w:spacing w:line="360" w:lineRule="auto"/>
              <w:rPr>
                <w:color w:val="auto"/>
                <w:highlight w:val="none"/>
              </w:rPr>
            </w:pPr>
            <w:r>
              <w:rPr>
                <w:rFonts w:hint="eastAsia" w:ascii="宋体" w:hAnsi="宋体" w:cs="宋体"/>
                <w:color w:val="auto"/>
                <w:sz w:val="24"/>
                <w:highlight w:val="none"/>
              </w:rPr>
              <w:t>3.未提供相关内容或不满足采购需求要求的不得分。</w:t>
            </w:r>
          </w:p>
        </w:tc>
        <w:tc>
          <w:tcPr>
            <w:tcW w:w="754" w:type="dxa"/>
            <w:vAlign w:val="center"/>
          </w:tcPr>
          <w:p w14:paraId="4D596F3E">
            <w:pPr>
              <w:adjustRightInd/>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1137" w:type="dxa"/>
            <w:vAlign w:val="center"/>
          </w:tcPr>
          <w:p w14:paraId="7B0D7320">
            <w:pPr>
              <w:adjustRightInd/>
              <w:spacing w:line="360" w:lineRule="auto"/>
              <w:jc w:val="center"/>
              <w:rPr>
                <w:rFonts w:hint="eastAsia" w:ascii="宋体" w:hAnsi="宋体" w:cs="宋体"/>
                <w:color w:val="auto"/>
                <w:sz w:val="24"/>
                <w:highlight w:val="none"/>
              </w:rPr>
            </w:pPr>
            <w:r>
              <w:rPr>
                <w:rFonts w:hint="eastAsia" w:ascii="宋体" w:hAnsi="宋体" w:cs="宋体"/>
                <w:bCs/>
                <w:color w:val="auto"/>
                <w:sz w:val="24"/>
                <w:highlight w:val="none"/>
              </w:rPr>
              <w:t>主观分</w:t>
            </w:r>
          </w:p>
        </w:tc>
        <w:tc>
          <w:tcPr>
            <w:tcW w:w="1947" w:type="dxa"/>
            <w:vAlign w:val="center"/>
          </w:tcPr>
          <w:p w14:paraId="4E0693CD">
            <w:pPr>
              <w:adjustRightInd/>
              <w:spacing w:line="360" w:lineRule="auto"/>
              <w:jc w:val="center"/>
              <w:rPr>
                <w:rFonts w:hint="eastAsia" w:ascii="宋体" w:hAnsi="宋体" w:cs="宋体"/>
                <w:color w:val="auto"/>
                <w:sz w:val="24"/>
                <w:highlight w:val="none"/>
              </w:rPr>
            </w:pPr>
          </w:p>
        </w:tc>
      </w:tr>
      <w:tr w14:paraId="7F8E9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3D23B9E8">
            <w:pPr>
              <w:adjustRightInd/>
              <w:spacing w:line="360" w:lineRule="auto"/>
              <w:jc w:val="center"/>
              <w:rPr>
                <w:rFonts w:hint="eastAsia" w:ascii="宋体" w:hAnsi="宋体" w:cs="宋体"/>
                <w:color w:val="auto"/>
                <w:sz w:val="24"/>
                <w:highlight w:val="none"/>
              </w:rPr>
            </w:pPr>
            <w:r>
              <w:rPr>
                <w:rFonts w:ascii="宋体" w:hAnsi="宋体" w:cs="宋体"/>
                <w:color w:val="auto"/>
                <w:sz w:val="24"/>
                <w:highlight w:val="none"/>
              </w:rPr>
              <w:t>9</w:t>
            </w:r>
            <w:r>
              <w:rPr>
                <w:rFonts w:hint="eastAsia" w:ascii="宋体" w:hAnsi="宋体" w:cs="宋体"/>
                <w:color w:val="auto"/>
                <w:sz w:val="24"/>
                <w:highlight w:val="none"/>
              </w:rPr>
              <w:t>.2</w:t>
            </w:r>
          </w:p>
        </w:tc>
        <w:tc>
          <w:tcPr>
            <w:tcW w:w="4455" w:type="dxa"/>
            <w:vAlign w:val="center"/>
          </w:tcPr>
          <w:p w14:paraId="1E9FCC87">
            <w:pPr>
              <w:adjustRightInd/>
              <w:spacing w:line="360" w:lineRule="auto"/>
              <w:rPr>
                <w:rFonts w:hint="eastAsia" w:ascii="宋体" w:hAnsi="宋体" w:cs="宋体"/>
                <w:color w:val="auto"/>
                <w:sz w:val="24"/>
                <w:highlight w:val="none"/>
              </w:rPr>
            </w:pPr>
            <w:r>
              <w:rPr>
                <w:rFonts w:hint="eastAsia" w:ascii="宋体" w:hAnsi="宋体" w:cs="宋体"/>
                <w:color w:val="auto"/>
                <w:sz w:val="24"/>
                <w:highlight w:val="none"/>
              </w:rPr>
              <w:t>服务响应时间：响应是否及时，解决问题是否迅速，并承诺24小时在线响应。</w:t>
            </w:r>
          </w:p>
          <w:p w14:paraId="73762950">
            <w:pPr>
              <w:adjustRightInd/>
              <w:spacing w:line="360" w:lineRule="auto"/>
              <w:rPr>
                <w:rFonts w:hint="eastAsia" w:ascii="宋体" w:hAnsi="宋体" w:cs="宋体"/>
                <w:color w:val="auto"/>
                <w:sz w:val="24"/>
                <w:highlight w:val="none"/>
              </w:rPr>
            </w:pPr>
            <w:r>
              <w:rPr>
                <w:rFonts w:hint="eastAsia" w:ascii="宋体" w:hAnsi="宋体" w:cs="宋体"/>
                <w:color w:val="auto"/>
                <w:sz w:val="24"/>
                <w:highlight w:val="none"/>
              </w:rPr>
              <w:t>提供承诺函，承诺函格式自拟，不承诺不得分。</w:t>
            </w:r>
          </w:p>
        </w:tc>
        <w:tc>
          <w:tcPr>
            <w:tcW w:w="754" w:type="dxa"/>
            <w:vAlign w:val="center"/>
          </w:tcPr>
          <w:p w14:paraId="171BCCD7">
            <w:pPr>
              <w:adjustRightInd/>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1137" w:type="dxa"/>
            <w:vAlign w:val="center"/>
          </w:tcPr>
          <w:p w14:paraId="208E0170">
            <w:pPr>
              <w:adjustRightInd/>
              <w:spacing w:line="360" w:lineRule="auto"/>
              <w:jc w:val="center"/>
              <w:rPr>
                <w:rFonts w:hint="eastAsia" w:ascii="宋体" w:hAnsi="宋体" w:cs="宋体"/>
                <w:bCs/>
                <w:color w:val="auto"/>
                <w:sz w:val="24"/>
                <w:highlight w:val="none"/>
              </w:rPr>
            </w:pPr>
            <w:r>
              <w:rPr>
                <w:rFonts w:hint="eastAsia" w:ascii="宋体" w:hAnsi="宋体" w:cs="宋体"/>
                <w:color w:val="auto"/>
                <w:sz w:val="24"/>
                <w:highlight w:val="none"/>
              </w:rPr>
              <w:t>客观分</w:t>
            </w:r>
          </w:p>
        </w:tc>
        <w:tc>
          <w:tcPr>
            <w:tcW w:w="1947" w:type="dxa"/>
            <w:vAlign w:val="center"/>
          </w:tcPr>
          <w:p w14:paraId="02D9FB69">
            <w:pPr>
              <w:adjustRightInd/>
              <w:spacing w:line="360" w:lineRule="auto"/>
              <w:jc w:val="center"/>
              <w:rPr>
                <w:rFonts w:hint="eastAsia" w:ascii="宋体" w:hAnsi="宋体" w:cs="宋体"/>
                <w:color w:val="auto"/>
                <w:sz w:val="24"/>
                <w:highlight w:val="none"/>
              </w:rPr>
            </w:pPr>
          </w:p>
        </w:tc>
      </w:tr>
      <w:tr w14:paraId="1751C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1C3D18E3">
            <w:pPr>
              <w:adjustRightInd/>
              <w:spacing w:line="360" w:lineRule="auto"/>
              <w:jc w:val="center"/>
              <w:rPr>
                <w:rFonts w:hint="eastAsia" w:ascii="宋体" w:hAnsi="宋体" w:cs="宋体"/>
                <w:color w:val="auto"/>
                <w:sz w:val="24"/>
                <w:highlight w:val="none"/>
              </w:rPr>
            </w:pPr>
            <w:r>
              <w:rPr>
                <w:rFonts w:ascii="宋体" w:hAnsi="宋体" w:cs="宋体"/>
                <w:color w:val="auto"/>
                <w:sz w:val="24"/>
                <w:highlight w:val="none"/>
              </w:rPr>
              <w:t>9</w:t>
            </w:r>
            <w:r>
              <w:rPr>
                <w:rFonts w:hint="eastAsia" w:ascii="宋体" w:hAnsi="宋体" w:cs="宋体"/>
                <w:color w:val="auto"/>
                <w:sz w:val="24"/>
                <w:highlight w:val="none"/>
              </w:rPr>
              <w:t>.3</w:t>
            </w:r>
          </w:p>
        </w:tc>
        <w:tc>
          <w:tcPr>
            <w:tcW w:w="4455" w:type="dxa"/>
            <w:vAlign w:val="center"/>
          </w:tcPr>
          <w:p w14:paraId="6EF08D29">
            <w:pPr>
              <w:adjustRightInd/>
              <w:spacing w:line="360" w:lineRule="auto"/>
              <w:rPr>
                <w:rFonts w:hint="eastAsia" w:ascii="宋体" w:hAnsi="宋体" w:cs="宋体"/>
                <w:color w:val="auto"/>
                <w:sz w:val="24"/>
                <w:highlight w:val="none"/>
              </w:rPr>
            </w:pPr>
            <w:r>
              <w:rPr>
                <w:rFonts w:hint="eastAsia" w:ascii="宋体" w:hAnsi="宋体" w:cs="宋体"/>
                <w:color w:val="auto"/>
                <w:sz w:val="24"/>
                <w:highlight w:val="none"/>
              </w:rPr>
              <w:t>承诺提供临时性的技术指导及模型分析等服务。提供承诺函，不提供不得分。</w:t>
            </w:r>
          </w:p>
        </w:tc>
        <w:tc>
          <w:tcPr>
            <w:tcW w:w="754" w:type="dxa"/>
            <w:vAlign w:val="center"/>
          </w:tcPr>
          <w:p w14:paraId="1D644FCA">
            <w:pPr>
              <w:adjustRightInd/>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1137" w:type="dxa"/>
            <w:vAlign w:val="center"/>
          </w:tcPr>
          <w:p w14:paraId="2C55AF75">
            <w:pPr>
              <w:adjustRightInd/>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客观分</w:t>
            </w:r>
          </w:p>
        </w:tc>
        <w:tc>
          <w:tcPr>
            <w:tcW w:w="1947" w:type="dxa"/>
            <w:vAlign w:val="center"/>
          </w:tcPr>
          <w:p w14:paraId="6E38E262">
            <w:pPr>
              <w:adjustRightInd/>
              <w:spacing w:line="360" w:lineRule="auto"/>
              <w:jc w:val="center"/>
              <w:rPr>
                <w:rFonts w:hint="eastAsia" w:ascii="宋体" w:hAnsi="宋体" w:cs="宋体"/>
                <w:color w:val="auto"/>
                <w:sz w:val="24"/>
                <w:highlight w:val="none"/>
              </w:rPr>
            </w:pPr>
          </w:p>
        </w:tc>
      </w:tr>
      <w:tr w14:paraId="56409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36C080B5">
            <w:pPr>
              <w:adjustRightInd/>
              <w:spacing w:line="360" w:lineRule="auto"/>
              <w:jc w:val="center"/>
              <w:rPr>
                <w:rFonts w:hint="eastAsia" w:ascii="宋体" w:hAnsi="宋体" w:cs="宋体"/>
                <w:color w:val="auto"/>
                <w:sz w:val="24"/>
                <w:highlight w:val="none"/>
              </w:rPr>
            </w:pPr>
            <w:r>
              <w:rPr>
                <w:rFonts w:ascii="宋体" w:hAnsi="宋体" w:cs="宋体"/>
                <w:color w:val="auto"/>
                <w:sz w:val="24"/>
                <w:highlight w:val="none"/>
              </w:rPr>
              <w:t>9</w:t>
            </w:r>
            <w:r>
              <w:rPr>
                <w:rFonts w:hint="eastAsia" w:ascii="宋体" w:hAnsi="宋体" w:cs="宋体"/>
                <w:color w:val="auto"/>
                <w:sz w:val="24"/>
                <w:highlight w:val="none"/>
              </w:rPr>
              <w:t>.4</w:t>
            </w:r>
          </w:p>
        </w:tc>
        <w:tc>
          <w:tcPr>
            <w:tcW w:w="4455" w:type="dxa"/>
            <w:vAlign w:val="center"/>
          </w:tcPr>
          <w:p w14:paraId="121662E5">
            <w:pPr>
              <w:adjustRightInd/>
              <w:spacing w:line="360" w:lineRule="auto"/>
              <w:rPr>
                <w:rFonts w:hint="eastAsia" w:ascii="宋体" w:hAnsi="宋体" w:cs="宋体"/>
                <w:color w:val="auto"/>
                <w:sz w:val="24"/>
                <w:highlight w:val="none"/>
              </w:rPr>
            </w:pPr>
            <w:r>
              <w:rPr>
                <w:rFonts w:hint="eastAsia" w:ascii="宋体" w:hAnsi="宋体" w:cs="宋体"/>
                <w:color w:val="auto"/>
                <w:sz w:val="24"/>
                <w:highlight w:val="none"/>
              </w:rPr>
              <w:t>服务与技术支持，包括免费电话技术咨询及答疑等。提供免费电话技术咨询及答疑的得2分；不提供不得分。</w:t>
            </w:r>
          </w:p>
        </w:tc>
        <w:tc>
          <w:tcPr>
            <w:tcW w:w="754" w:type="dxa"/>
            <w:vAlign w:val="center"/>
          </w:tcPr>
          <w:p w14:paraId="7FDC9513">
            <w:pPr>
              <w:adjustRightInd/>
              <w:spacing w:line="360" w:lineRule="auto"/>
              <w:jc w:val="center"/>
              <w:rPr>
                <w:rFonts w:hint="eastAsia" w:ascii="宋体" w:hAnsi="宋体" w:cs="宋体"/>
                <w:color w:val="auto"/>
                <w:sz w:val="24"/>
                <w:highlight w:val="none"/>
              </w:rPr>
            </w:pPr>
            <w:r>
              <w:rPr>
                <w:rFonts w:ascii="宋体" w:hAnsi="宋体" w:cs="宋体"/>
                <w:color w:val="auto"/>
                <w:sz w:val="24"/>
                <w:highlight w:val="none"/>
              </w:rPr>
              <w:t>2</w:t>
            </w:r>
          </w:p>
        </w:tc>
        <w:tc>
          <w:tcPr>
            <w:tcW w:w="1137" w:type="dxa"/>
            <w:vAlign w:val="center"/>
          </w:tcPr>
          <w:p w14:paraId="4C4FE859">
            <w:pPr>
              <w:adjustRightInd/>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客观分</w:t>
            </w:r>
          </w:p>
        </w:tc>
        <w:tc>
          <w:tcPr>
            <w:tcW w:w="1947" w:type="dxa"/>
            <w:vAlign w:val="center"/>
          </w:tcPr>
          <w:p w14:paraId="30916E48">
            <w:pPr>
              <w:adjustRightInd/>
              <w:spacing w:line="360" w:lineRule="auto"/>
              <w:jc w:val="center"/>
              <w:rPr>
                <w:rFonts w:hint="eastAsia" w:ascii="宋体" w:hAnsi="宋体" w:cs="宋体"/>
                <w:color w:val="auto"/>
                <w:sz w:val="24"/>
                <w:highlight w:val="none"/>
              </w:rPr>
            </w:pPr>
          </w:p>
        </w:tc>
      </w:tr>
      <w:tr w14:paraId="5E0EB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0649C9DB">
            <w:pPr>
              <w:adjustRightInd/>
              <w:spacing w:line="360" w:lineRule="auto"/>
              <w:jc w:val="center"/>
              <w:rPr>
                <w:rFonts w:hint="eastAsia" w:ascii="宋体" w:hAnsi="宋体" w:cs="宋体"/>
                <w:color w:val="auto"/>
                <w:sz w:val="24"/>
                <w:highlight w:val="none"/>
              </w:rPr>
            </w:pPr>
            <w:r>
              <w:rPr>
                <w:rFonts w:ascii="宋体" w:hAnsi="宋体" w:cs="宋体"/>
                <w:color w:val="auto"/>
                <w:sz w:val="24"/>
                <w:highlight w:val="none"/>
              </w:rPr>
              <w:t>10</w:t>
            </w:r>
          </w:p>
        </w:tc>
        <w:tc>
          <w:tcPr>
            <w:tcW w:w="4455" w:type="dxa"/>
          </w:tcPr>
          <w:p w14:paraId="57D199B1">
            <w:pPr>
              <w:adjustRightInd/>
              <w:spacing w:line="360" w:lineRule="auto"/>
              <w:outlineLvl w:val="0"/>
              <w:rPr>
                <w:rFonts w:hint="eastAsia" w:ascii="宋体" w:hAnsi="宋体" w:cs="宋体"/>
                <w:color w:val="auto"/>
                <w:sz w:val="24"/>
                <w:highlight w:val="none"/>
              </w:rPr>
            </w:pPr>
            <w:r>
              <w:rPr>
                <w:rFonts w:hint="eastAsia" w:ascii="宋体" w:hAnsi="宋体" w:cs="宋体"/>
                <w:color w:val="auto"/>
                <w:sz w:val="24"/>
                <w:highlight w:val="none"/>
              </w:rPr>
              <w:t>有效投标报价的最低价作为评标基准价，其最低报价为满分；按［投标报价得分=（评标基准价/投标报价）*权重］的计算公式计算。</w:t>
            </w:r>
          </w:p>
          <w:p w14:paraId="1F0211EA">
            <w:pPr>
              <w:widowControl/>
              <w:shd w:val="clear" w:color="auto" w:fill="FFFFFF"/>
              <w:adjustRightInd/>
              <w:spacing w:line="360" w:lineRule="auto"/>
              <w:ind w:firstLine="420"/>
              <w:jc w:val="left"/>
              <w:rPr>
                <w:rFonts w:hint="eastAsia" w:ascii="宋体" w:hAnsi="宋体" w:cs="宋体"/>
                <w:color w:val="auto"/>
                <w:sz w:val="24"/>
                <w:highlight w:val="none"/>
              </w:rPr>
            </w:pPr>
            <w:r>
              <w:rPr>
                <w:rFonts w:hint="eastAsia" w:ascii="宋体" w:hAnsi="宋体" w:cs="宋体"/>
                <w:color w:val="auto"/>
                <w:sz w:val="24"/>
                <w:highlight w:val="none"/>
              </w:rPr>
              <w:t>评标过程中，不得去掉报价中的最高报价和最低报价。</w:t>
            </w:r>
          </w:p>
          <w:p w14:paraId="2D760617">
            <w:pPr>
              <w:widowControl/>
              <w:shd w:val="clear" w:color="auto" w:fill="FFFFFF"/>
              <w:adjustRightInd/>
              <w:spacing w:line="360" w:lineRule="auto"/>
              <w:ind w:firstLine="420"/>
              <w:jc w:val="left"/>
              <w:rPr>
                <w:rFonts w:hint="eastAsia" w:ascii="宋体" w:hAnsi="宋体" w:cs="宋体"/>
                <w:color w:val="auto"/>
                <w:sz w:val="24"/>
                <w:highlight w:val="none"/>
              </w:rPr>
            </w:pPr>
            <w:r>
              <w:rPr>
                <w:rFonts w:hint="eastAsia" w:ascii="宋体" w:hAnsi="宋体" w:cs="宋体"/>
                <w:color w:val="auto"/>
                <w:sz w:val="24"/>
                <w:highlight w:val="none"/>
              </w:rPr>
              <w:t>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w:t>
            </w:r>
          </w:p>
        </w:tc>
        <w:tc>
          <w:tcPr>
            <w:tcW w:w="754" w:type="dxa"/>
            <w:vAlign w:val="center"/>
          </w:tcPr>
          <w:p w14:paraId="23D47028">
            <w:pPr>
              <w:adjustRightInd/>
              <w:spacing w:line="360" w:lineRule="auto"/>
              <w:jc w:val="center"/>
              <w:outlineLvl w:val="0"/>
              <w:rPr>
                <w:rFonts w:hint="eastAsia" w:ascii="宋体" w:hAnsi="宋体" w:cs="宋体"/>
                <w:color w:val="auto"/>
                <w:sz w:val="24"/>
                <w:highlight w:val="none"/>
              </w:rPr>
            </w:pPr>
            <w:r>
              <w:rPr>
                <w:rFonts w:hint="eastAsia" w:ascii="宋体" w:hAnsi="宋体" w:cs="宋体"/>
                <w:color w:val="auto"/>
                <w:sz w:val="24"/>
                <w:highlight w:val="none"/>
              </w:rPr>
              <w:t>10</w:t>
            </w:r>
          </w:p>
        </w:tc>
        <w:tc>
          <w:tcPr>
            <w:tcW w:w="1137" w:type="dxa"/>
            <w:vAlign w:val="center"/>
          </w:tcPr>
          <w:p w14:paraId="27DF732B">
            <w:pPr>
              <w:adjustRightInd/>
              <w:spacing w:line="360" w:lineRule="auto"/>
              <w:jc w:val="center"/>
              <w:outlineLvl w:val="0"/>
              <w:rPr>
                <w:rFonts w:hint="eastAsia" w:ascii="宋体" w:hAnsi="宋体" w:cs="宋体"/>
                <w:color w:val="auto"/>
                <w:sz w:val="24"/>
                <w:highlight w:val="none"/>
              </w:rPr>
            </w:pPr>
            <w:r>
              <w:rPr>
                <w:rFonts w:hint="eastAsia" w:ascii="宋体" w:hAnsi="宋体" w:cs="宋体"/>
                <w:color w:val="auto"/>
                <w:sz w:val="24"/>
                <w:highlight w:val="none"/>
              </w:rPr>
              <w:t>价格分</w:t>
            </w:r>
          </w:p>
        </w:tc>
        <w:tc>
          <w:tcPr>
            <w:tcW w:w="1947" w:type="dxa"/>
            <w:vAlign w:val="center"/>
          </w:tcPr>
          <w:p w14:paraId="4251FAC8">
            <w:pPr>
              <w:adjustRightInd/>
              <w:spacing w:line="360" w:lineRule="auto"/>
              <w:jc w:val="center"/>
              <w:outlineLvl w:val="0"/>
              <w:rPr>
                <w:rFonts w:hint="eastAsia" w:ascii="宋体" w:hAnsi="宋体" w:cs="宋体"/>
                <w:color w:val="auto"/>
                <w:sz w:val="24"/>
                <w:highlight w:val="none"/>
              </w:rPr>
            </w:pPr>
            <w:r>
              <w:rPr>
                <w:rFonts w:hint="eastAsia" w:ascii="宋体" w:hAnsi="宋体" w:cs="宋体"/>
                <w:color w:val="auto"/>
                <w:sz w:val="24"/>
                <w:highlight w:val="none"/>
              </w:rPr>
              <w:t>/</w:t>
            </w:r>
          </w:p>
        </w:tc>
      </w:tr>
    </w:tbl>
    <w:p w14:paraId="75057412">
      <w:pPr>
        <w:adjustRightInd/>
        <w:spacing w:line="360" w:lineRule="auto"/>
        <w:rPr>
          <w:rFonts w:hint="eastAsia" w:ascii="宋体" w:hAnsi="宋体" w:cs="宋体"/>
          <w:b/>
          <w:color w:val="auto"/>
          <w:sz w:val="32"/>
          <w:highlight w:val="none"/>
        </w:rPr>
      </w:pPr>
      <w:r>
        <w:rPr>
          <w:rFonts w:hint="eastAsia" w:ascii="宋体" w:hAnsi="宋体" w:cs="宋体"/>
          <w:color w:val="auto"/>
          <w:sz w:val="20"/>
          <w:szCs w:val="20"/>
          <w:highlight w:val="none"/>
          <w:shd w:val="clear" w:color="auto" w:fill="FFFFFF"/>
        </w:rPr>
        <w:t>*</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w:t>
      </w:r>
      <w:r>
        <w:rPr>
          <w:rFonts w:hint="eastAsia" w:ascii="宋体" w:hAnsi="宋体" w:cs="宋体"/>
          <w:b/>
          <w:color w:val="auto"/>
          <w:sz w:val="32"/>
          <w:highlight w:val="none"/>
        </w:rPr>
        <w:br w:type="page"/>
      </w:r>
    </w:p>
    <w:p w14:paraId="6D42C7D4">
      <w:pPr>
        <w:snapToGrid w:val="0"/>
        <w:spacing w:line="360" w:lineRule="auto"/>
        <w:rPr>
          <w:rFonts w:hint="eastAsia" w:ascii="宋体" w:hAnsi="宋体" w:cs="宋体"/>
          <w:b/>
          <w:color w:val="auto"/>
          <w:sz w:val="28"/>
          <w:szCs w:val="28"/>
          <w:highlight w:val="none"/>
        </w:rPr>
      </w:pPr>
      <w:r>
        <w:rPr>
          <w:rFonts w:hint="eastAsia" w:ascii="宋体" w:hAnsi="宋体" w:cs="宋体"/>
          <w:b/>
          <w:color w:val="auto"/>
          <w:sz w:val="32"/>
          <w:highlight w:val="none"/>
        </w:rPr>
        <w:t>一、评标方法</w:t>
      </w:r>
    </w:p>
    <w:p w14:paraId="35F9026F">
      <w:pPr>
        <w:adjustRightInd/>
        <w:spacing w:line="360" w:lineRule="auto"/>
        <w:ind w:firstLine="472" w:firstLineChars="196"/>
        <w:rPr>
          <w:rFonts w:hint="eastAsia"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2CDF1DE3">
      <w:pPr>
        <w:adjustRightInd/>
        <w:spacing w:line="360" w:lineRule="auto"/>
        <w:rPr>
          <w:rFonts w:hint="eastAsia" w:ascii="宋体" w:hAnsi="宋体" w:cs="宋体"/>
          <w:color w:val="auto"/>
          <w:kern w:val="0"/>
          <w:sz w:val="24"/>
          <w:highlight w:val="none"/>
        </w:rPr>
      </w:pPr>
      <w:r>
        <w:rPr>
          <w:rFonts w:hint="eastAsia" w:ascii="宋体" w:hAnsi="宋体" w:cs="宋体"/>
          <w:b/>
          <w:color w:val="auto"/>
          <w:sz w:val="32"/>
          <w:highlight w:val="none"/>
        </w:rPr>
        <w:t>二、评标标准</w:t>
      </w:r>
    </w:p>
    <w:p w14:paraId="068A64D6">
      <w:pPr>
        <w:spacing w:line="360" w:lineRule="auto"/>
        <w:ind w:firstLine="472" w:firstLineChars="196"/>
        <w:rPr>
          <w:rFonts w:hint="eastAsia"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064B1148">
      <w:pPr>
        <w:spacing w:line="360" w:lineRule="auto"/>
        <w:outlineLvl w:val="0"/>
        <w:rPr>
          <w:rFonts w:hint="eastAsia" w:ascii="宋体" w:hAnsi="宋体" w:cs="宋体"/>
          <w:b/>
          <w:color w:val="auto"/>
          <w:sz w:val="36"/>
          <w:szCs w:val="36"/>
          <w:highlight w:val="none"/>
        </w:rPr>
      </w:pPr>
      <w:r>
        <w:rPr>
          <w:rFonts w:hint="eastAsia" w:ascii="宋体" w:hAnsi="宋体" w:cs="宋体"/>
          <w:b/>
          <w:color w:val="auto"/>
          <w:sz w:val="36"/>
          <w:szCs w:val="36"/>
          <w:highlight w:val="none"/>
        </w:rPr>
        <w:t>三、评标程序</w:t>
      </w:r>
    </w:p>
    <w:p w14:paraId="08E298BA">
      <w:pPr>
        <w:spacing w:line="360" w:lineRule="auto"/>
        <w:ind w:firstLine="472" w:firstLineChars="196"/>
        <w:rPr>
          <w:rFonts w:hint="eastAsia"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7809D96E">
      <w:pPr>
        <w:spacing w:line="360" w:lineRule="auto"/>
        <w:ind w:firstLine="472" w:firstLineChars="196"/>
        <w:rPr>
          <w:rFonts w:hint="eastAsia"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2CE74434">
      <w:pPr>
        <w:spacing w:line="360" w:lineRule="auto"/>
        <w:ind w:firstLine="472" w:firstLineChars="196"/>
        <w:rPr>
          <w:rFonts w:hint="eastAsia"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3F304074">
      <w:pPr>
        <w:spacing w:line="360" w:lineRule="auto"/>
        <w:ind w:firstLine="472" w:firstLineChars="196"/>
        <w:rPr>
          <w:rFonts w:hint="eastAsia" w:ascii="宋体" w:hAnsi="宋体" w:cs="宋体"/>
          <w:b/>
          <w:color w:val="auto"/>
          <w:kern w:val="0"/>
          <w:sz w:val="24"/>
          <w:highlight w:val="none"/>
        </w:rPr>
      </w:pPr>
      <w:r>
        <w:rPr>
          <w:rFonts w:hint="eastAsia" w:ascii="宋体" w:hAnsi="宋体" w:cs="宋体"/>
          <w:b/>
          <w:color w:val="auto"/>
          <w:kern w:val="0"/>
          <w:sz w:val="24"/>
          <w:highlight w:val="none"/>
        </w:rPr>
        <w:t>3.4报价评审。</w:t>
      </w:r>
    </w:p>
    <w:p w14:paraId="39257982">
      <w:pPr>
        <w:pStyle w:val="131"/>
        <w:spacing w:before="0"/>
        <w:ind w:firstLine="508" w:firstLineChars="212"/>
        <w:rPr>
          <w:rFonts w:hint="eastAsia"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6DB3421F">
      <w:pPr>
        <w:pStyle w:val="131"/>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10FC8D8F">
      <w:pPr>
        <w:pStyle w:val="131"/>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43CF68D0">
      <w:pPr>
        <w:pStyle w:val="131"/>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06F4C071">
      <w:pPr>
        <w:pStyle w:val="131"/>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76877076">
      <w:pPr>
        <w:pStyle w:val="131"/>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44F24EA9">
      <w:pPr>
        <w:snapToGrid w:val="0"/>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1EC08389">
      <w:pPr>
        <w:snapToGrid w:val="0"/>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5A82E5F3">
      <w:pPr>
        <w:pStyle w:val="131"/>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6ABC8A8B">
      <w:pPr>
        <w:pStyle w:val="131"/>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3.4.5对于未预留份额专门面向中小企业的政府采购服务项目，以及预留份额政府采购服务项目中的非预留部分标项，对小型和微型企业的投标报价给予10%-</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5E1BEC95">
      <w:pPr>
        <w:spacing w:line="360" w:lineRule="auto"/>
        <w:ind w:firstLine="482" w:firstLineChars="200"/>
        <w:rPr>
          <w:rFonts w:hint="eastAsia"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宋体" w:hAnsi="宋体" w:cs="宋体"/>
          <w:color w:val="auto"/>
          <w:kern w:val="0"/>
          <w:sz w:val="24"/>
          <w:highlight w:val="none"/>
          <w:lang w:val="en"/>
        </w:rPr>
        <w:t>本项目推荐的中标候选人数量：</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en"/>
        </w:rPr>
        <w:t>。</w:t>
      </w:r>
    </w:p>
    <w:p w14:paraId="704FF428">
      <w:pPr>
        <w:spacing w:line="360" w:lineRule="auto"/>
        <w:ind w:firstLine="480" w:firstLineChars="200"/>
        <w:rPr>
          <w:rFonts w:hint="eastAsia"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46568F2D">
      <w:pPr>
        <w:spacing w:line="360" w:lineRule="auto"/>
        <w:ind w:firstLine="472" w:firstLineChars="196"/>
        <w:rPr>
          <w:rFonts w:hint="eastAsia"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01BF99E0">
      <w:pPr>
        <w:widowControl/>
        <w:shd w:val="clear" w:color="auto" w:fill="FFFFFF"/>
        <w:adjustRightInd/>
        <w:spacing w:after="225" w:line="315" w:lineRule="atLeast"/>
        <w:jc w:val="left"/>
        <w:rPr>
          <w:rFonts w:hint="eastAsia" w:ascii="宋体" w:hAnsi="宋体" w:cs="宋体"/>
          <w:b/>
          <w:color w:val="auto"/>
          <w:sz w:val="32"/>
          <w:highlight w:val="none"/>
        </w:rPr>
      </w:pPr>
      <w:r>
        <w:rPr>
          <w:rFonts w:hint="eastAsia" w:ascii="宋体" w:hAnsi="宋体" w:cs="宋体"/>
          <w:b/>
          <w:color w:val="auto"/>
          <w:sz w:val="32"/>
          <w:highlight w:val="none"/>
        </w:rPr>
        <w:t>四、评标中的其他事项</w:t>
      </w:r>
    </w:p>
    <w:p w14:paraId="2E7EE8C3">
      <w:pPr>
        <w:pStyle w:val="131"/>
        <w:spacing w:before="0"/>
        <w:ind w:firstLine="472" w:firstLineChars="196"/>
        <w:rPr>
          <w:rFonts w:hint="eastAsia"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55B45822">
      <w:pPr>
        <w:pStyle w:val="24"/>
        <w:spacing w:line="360" w:lineRule="auto"/>
        <w:ind w:left="954" w:leftChars="226" w:hanging="479" w:firstLineChars="0"/>
        <w:rPr>
          <w:rFonts w:hint="eastAsia"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02A5F249">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334C9D82">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1D43468B">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38F60376">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50EF8BD9">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10D4F6B3">
      <w:pPr>
        <w:snapToGrid w:val="0"/>
        <w:spacing w:line="360" w:lineRule="auto"/>
        <w:ind w:firstLine="120" w:firstLineChars="50"/>
        <w:jc w:val="left"/>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5508F5F6">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14:paraId="53D0BC67">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4.2.8投标人对根据修正原则修正后的报价不确认的；</w:t>
      </w:r>
    </w:p>
    <w:p w14:paraId="09D893B0">
      <w:pPr>
        <w:spacing w:line="360" w:lineRule="auto"/>
        <w:ind w:firstLine="480" w:firstLineChars="200"/>
        <w:rPr>
          <w:color w:val="auto"/>
          <w:highlight w:val="none"/>
        </w:rPr>
      </w:pPr>
      <w:r>
        <w:rPr>
          <w:rFonts w:hint="eastAsia" w:ascii="宋体" w:hAnsi="宋体" w:cs="宋体"/>
          <w:color w:val="auto"/>
          <w:kern w:val="0"/>
          <w:sz w:val="24"/>
          <w:highlight w:val="none"/>
        </w:rPr>
        <w:t>4.2.9投标人提供虚假材料投标的；</w:t>
      </w:r>
    </w:p>
    <w:p w14:paraId="54A6795D">
      <w:pPr>
        <w:spacing w:line="360" w:lineRule="auto"/>
        <w:ind w:firstLine="240" w:firstLineChars="100"/>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4.2.10投标人有恶意串通、妨碍其他投标人的竞争行为、损害采购人或者其他投标人的合法权益情形的；</w:t>
      </w:r>
    </w:p>
    <w:p w14:paraId="118AC7FE">
      <w:pPr>
        <w:spacing w:line="360" w:lineRule="auto"/>
        <w:ind w:firstLine="480" w:firstLineChars="200"/>
        <w:rPr>
          <w:color w:val="auto"/>
          <w:highlight w:val="none"/>
        </w:rPr>
      </w:pPr>
      <w:r>
        <w:rPr>
          <w:rFonts w:hint="eastAsia" w:ascii="宋体" w:hAnsi="宋体" w:cs="宋体"/>
          <w:color w:val="auto"/>
          <w:kern w:val="0"/>
          <w:sz w:val="24"/>
          <w:highlight w:val="none"/>
        </w:rPr>
        <w:t>4.2.11 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142721A2">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4.2.12投标人仅提交备份投标文件，未在电子交易平台传输递交投标文件的，投标无效；</w:t>
      </w:r>
    </w:p>
    <w:p w14:paraId="3C420CD5">
      <w:pPr>
        <w:pStyle w:val="4"/>
        <w:ind w:left="862" w:leftChars="205"/>
        <w:rPr>
          <w:rFonts w:hint="eastAsia"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4.2.13 投标文件不满足招标文件的其它实质性要求的；</w:t>
      </w:r>
    </w:p>
    <w:p w14:paraId="4CF31E12">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4.2.14法律、法规、规章（适用本市的）及省级以上规范性文件（适用本市的）规定的其他无效情形。</w:t>
      </w:r>
    </w:p>
    <w:p w14:paraId="25D57873">
      <w:pPr>
        <w:pStyle w:val="24"/>
        <w:snapToGrid w:val="0"/>
        <w:spacing w:line="360" w:lineRule="auto"/>
        <w:ind w:firstLine="472" w:firstLineChars="196"/>
        <w:rPr>
          <w:rFonts w:hint="eastAsia"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097A9A70">
      <w:pPr>
        <w:pStyle w:val="24"/>
        <w:snapToGrid w:val="0"/>
        <w:spacing w:line="360" w:lineRule="auto"/>
        <w:rPr>
          <w:rFonts w:hint="eastAsia" w:cs="宋体"/>
          <w:color w:val="auto"/>
          <w:highlight w:val="none"/>
        </w:rPr>
      </w:pPr>
      <w:r>
        <w:rPr>
          <w:rFonts w:hint="eastAsia" w:cs="宋体"/>
          <w:color w:val="auto"/>
          <w:highlight w:val="none"/>
        </w:rPr>
        <w:t>5.1符合专业条件的供应商或者对招标文件作实质响应的供应商不足3家的；</w:t>
      </w:r>
    </w:p>
    <w:p w14:paraId="3F83792E">
      <w:pPr>
        <w:pStyle w:val="24"/>
        <w:snapToGrid w:val="0"/>
        <w:spacing w:line="360" w:lineRule="auto"/>
        <w:rPr>
          <w:rFonts w:hint="eastAsia" w:cs="宋体"/>
          <w:color w:val="auto"/>
          <w:highlight w:val="none"/>
        </w:rPr>
      </w:pPr>
      <w:r>
        <w:rPr>
          <w:rFonts w:hint="eastAsia" w:cs="宋体"/>
          <w:color w:val="auto"/>
          <w:highlight w:val="none"/>
        </w:rPr>
        <w:t>5.2出现影响采购公正的违法、违规行为的；</w:t>
      </w:r>
    </w:p>
    <w:p w14:paraId="31CC9FEC">
      <w:pPr>
        <w:pStyle w:val="24"/>
        <w:snapToGrid w:val="0"/>
        <w:spacing w:line="360" w:lineRule="auto"/>
        <w:rPr>
          <w:rFonts w:hint="eastAsia" w:cs="宋体"/>
          <w:color w:val="auto"/>
          <w:highlight w:val="none"/>
        </w:rPr>
      </w:pPr>
      <w:r>
        <w:rPr>
          <w:rFonts w:hint="eastAsia" w:cs="宋体"/>
          <w:color w:val="auto"/>
          <w:highlight w:val="none"/>
        </w:rPr>
        <w:t>5.3投标人的报价均超过了采购预算，采购人不能支付的；</w:t>
      </w:r>
    </w:p>
    <w:p w14:paraId="121FDBC8">
      <w:pPr>
        <w:pStyle w:val="24"/>
        <w:snapToGrid w:val="0"/>
        <w:spacing w:line="360" w:lineRule="auto"/>
        <w:rPr>
          <w:rFonts w:hint="eastAsia" w:cs="宋体"/>
          <w:color w:val="auto"/>
          <w:highlight w:val="none"/>
        </w:rPr>
      </w:pPr>
      <w:r>
        <w:rPr>
          <w:rFonts w:hint="eastAsia" w:cs="宋体"/>
          <w:color w:val="auto"/>
          <w:highlight w:val="none"/>
        </w:rPr>
        <w:t>5.4因重大变故，采购任务取消的。</w:t>
      </w:r>
    </w:p>
    <w:p w14:paraId="6B3F403A">
      <w:pPr>
        <w:pStyle w:val="24"/>
        <w:snapToGrid w:val="0"/>
        <w:spacing w:line="360" w:lineRule="auto"/>
        <w:rPr>
          <w:rFonts w:hint="eastAsia" w:cs="宋体"/>
          <w:color w:val="auto"/>
          <w:highlight w:val="none"/>
        </w:rPr>
      </w:pPr>
      <w:r>
        <w:rPr>
          <w:rFonts w:hint="eastAsia" w:cs="宋体"/>
          <w:color w:val="auto"/>
          <w:highlight w:val="none"/>
        </w:rPr>
        <w:t>废标后，采购代理机构应当将废标理由通知所有投标人。</w:t>
      </w:r>
    </w:p>
    <w:p w14:paraId="748FD03A">
      <w:pPr>
        <w:pStyle w:val="24"/>
        <w:snapToGrid w:val="0"/>
        <w:spacing w:line="360" w:lineRule="auto"/>
        <w:ind w:firstLine="590" w:firstLineChars="245"/>
        <w:rPr>
          <w:rFonts w:hint="eastAsia"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4C343549">
      <w:pPr>
        <w:pStyle w:val="24"/>
        <w:snapToGrid w:val="0"/>
        <w:spacing w:line="360" w:lineRule="auto"/>
        <w:ind w:firstLine="482"/>
        <w:rPr>
          <w:rFonts w:hint="eastAsia"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09ED00DF">
      <w:pPr>
        <w:pStyle w:val="24"/>
        <w:snapToGrid w:val="0"/>
        <w:spacing w:line="360" w:lineRule="auto"/>
        <w:rPr>
          <w:rFonts w:hint="eastAsia" w:cs="宋体"/>
          <w:color w:val="auto"/>
          <w:highlight w:val="none"/>
        </w:rPr>
      </w:pPr>
      <w:r>
        <w:rPr>
          <w:rFonts w:hint="eastAsia" w:cs="宋体"/>
          <w:color w:val="auto"/>
          <w:highlight w:val="none"/>
        </w:rPr>
        <w:t>7.1未确定中标供应商的，终止本次政府采购活动，重新开展政府采购活动。</w:t>
      </w:r>
    </w:p>
    <w:p w14:paraId="64472C33">
      <w:pPr>
        <w:pStyle w:val="24"/>
        <w:snapToGrid w:val="0"/>
        <w:spacing w:line="360" w:lineRule="auto"/>
        <w:rPr>
          <w:rFonts w:hint="eastAsia"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19777B6B">
      <w:pPr>
        <w:pStyle w:val="24"/>
        <w:snapToGrid w:val="0"/>
        <w:spacing w:line="360" w:lineRule="auto"/>
        <w:rPr>
          <w:rFonts w:hint="eastAsia"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17C67803">
      <w:pPr>
        <w:pStyle w:val="24"/>
        <w:snapToGrid w:val="0"/>
        <w:spacing w:line="360" w:lineRule="auto"/>
        <w:rPr>
          <w:rFonts w:hint="eastAsia" w:cs="宋体"/>
          <w:color w:val="auto"/>
          <w:highlight w:val="none"/>
        </w:rPr>
      </w:pPr>
      <w:r>
        <w:rPr>
          <w:rFonts w:hint="eastAsia" w:cs="宋体"/>
          <w:color w:val="auto"/>
          <w:highlight w:val="none"/>
        </w:rPr>
        <w:t>7.4政府采购合同已经履行，给采购人、供应商造成损失的，由责任人承担赔偿责任。</w:t>
      </w:r>
    </w:p>
    <w:p w14:paraId="33F6D126">
      <w:pPr>
        <w:pStyle w:val="24"/>
        <w:snapToGrid w:val="0"/>
        <w:spacing w:line="360" w:lineRule="auto"/>
        <w:rPr>
          <w:rFonts w:hint="eastAsia"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bookmarkEnd w:id="28"/>
    <w:p w14:paraId="1EC27247">
      <w:pPr>
        <w:rPr>
          <w:rFonts w:hint="eastAsia" w:ascii="宋体" w:hAnsi="宋体" w:cs="宋体"/>
          <w:b/>
          <w:color w:val="auto"/>
          <w:sz w:val="36"/>
          <w:szCs w:val="36"/>
          <w:highlight w:val="none"/>
        </w:rPr>
      </w:pPr>
      <w:bookmarkStart w:id="404" w:name="第五部分"/>
      <w:bookmarkStart w:id="405" w:name="_Toc86217003"/>
      <w:r>
        <w:rPr>
          <w:rFonts w:ascii="宋体" w:hAnsi="宋体" w:cs="宋体"/>
          <w:b/>
          <w:color w:val="auto"/>
          <w:sz w:val="36"/>
          <w:szCs w:val="36"/>
          <w:highlight w:val="none"/>
        </w:rPr>
        <w:br w:type="page"/>
      </w:r>
    </w:p>
    <w:p w14:paraId="24A6CE9C">
      <w:pPr>
        <w:spacing w:line="360" w:lineRule="auto"/>
        <w:ind w:left="720" w:leftChars="343" w:firstLine="1084" w:firstLineChars="300"/>
        <w:outlineLvl w:val="0"/>
        <w:rPr>
          <w:rFonts w:hint="eastAsia"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14:paraId="2E50EEB8">
      <w:pPr>
        <w:rPr>
          <w:rFonts w:hint="eastAsia"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14:paraId="71E2DD96">
      <w:pPr>
        <w:spacing w:line="480" w:lineRule="auto"/>
        <w:jc w:val="center"/>
        <w:rPr>
          <w:rFonts w:hint="eastAsia" w:ascii="宋体" w:hAnsi="宋体" w:cs="宋体"/>
          <w:b/>
          <w:color w:val="auto"/>
          <w:sz w:val="28"/>
          <w:szCs w:val="28"/>
          <w:highlight w:val="none"/>
        </w:rPr>
      </w:pPr>
    </w:p>
    <w:p w14:paraId="275BAE0B">
      <w:pPr>
        <w:spacing w:line="480" w:lineRule="auto"/>
        <w:jc w:val="center"/>
        <w:rPr>
          <w:rFonts w:hint="eastAsia" w:ascii="宋体" w:hAnsi="宋体" w:cs="宋体"/>
          <w:b/>
          <w:color w:val="auto"/>
          <w:sz w:val="24"/>
          <w:highlight w:val="none"/>
        </w:rPr>
      </w:pPr>
    </w:p>
    <w:p w14:paraId="03309ADD">
      <w:pPr>
        <w:spacing w:line="480" w:lineRule="auto"/>
        <w:jc w:val="center"/>
        <w:rPr>
          <w:rFonts w:hint="eastAsia" w:ascii="宋体" w:hAnsi="宋体" w:cs="宋体"/>
          <w:b/>
          <w:color w:val="auto"/>
          <w:sz w:val="24"/>
          <w:highlight w:val="none"/>
        </w:rPr>
      </w:pPr>
    </w:p>
    <w:p w14:paraId="7AB1D2F8">
      <w:pPr>
        <w:spacing w:line="480" w:lineRule="auto"/>
        <w:jc w:val="center"/>
        <w:rPr>
          <w:rFonts w:hint="eastAsia"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14:paraId="12F76744">
      <w:pPr>
        <w:spacing w:line="480" w:lineRule="auto"/>
        <w:jc w:val="center"/>
        <w:rPr>
          <w:rFonts w:hint="eastAsia" w:ascii="宋体" w:hAnsi="宋体" w:cs="宋体"/>
          <w:b/>
          <w:color w:val="auto"/>
          <w:sz w:val="36"/>
          <w:szCs w:val="36"/>
          <w:highlight w:val="none"/>
        </w:rPr>
      </w:pPr>
      <w:r>
        <w:rPr>
          <w:rFonts w:hint="eastAsia" w:ascii="宋体" w:hAnsi="宋体" w:cs="宋体"/>
          <w:b/>
          <w:color w:val="auto"/>
          <w:sz w:val="36"/>
          <w:szCs w:val="36"/>
          <w:highlight w:val="none"/>
        </w:rPr>
        <w:t>（服务类）</w:t>
      </w:r>
    </w:p>
    <w:p w14:paraId="384146CA">
      <w:pPr>
        <w:pStyle w:val="702"/>
        <w:ind w:firstLine="2843" w:firstLineChars="1180"/>
        <w:rPr>
          <w:rFonts w:hint="eastAsia" w:ascii="宋体" w:hAnsi="宋体" w:cs="宋体"/>
          <w:b/>
          <w:color w:val="auto"/>
          <w:szCs w:val="24"/>
          <w:highlight w:val="none"/>
        </w:rPr>
      </w:pPr>
      <w:r>
        <w:rPr>
          <w:rFonts w:hint="eastAsia" w:ascii="宋体" w:hAnsi="宋体" w:cs="宋体"/>
          <w:b/>
          <w:color w:val="auto"/>
          <w:szCs w:val="24"/>
          <w:highlight w:val="none"/>
        </w:rPr>
        <w:t>第一部分 合同书</w:t>
      </w:r>
    </w:p>
    <w:p w14:paraId="3B4577DE">
      <w:pPr>
        <w:spacing w:before="120" w:line="22" w:lineRule="atLeast"/>
        <w:rPr>
          <w:rFonts w:hint="eastAsia" w:ascii="宋体" w:hAnsi="宋体" w:cs="宋体"/>
          <w:color w:val="auto"/>
          <w:sz w:val="24"/>
          <w:highlight w:val="none"/>
        </w:rPr>
      </w:pPr>
    </w:p>
    <w:p w14:paraId="73145A3C">
      <w:pPr>
        <w:pStyle w:val="4"/>
        <w:rPr>
          <w:rFonts w:hint="eastAsia"/>
          <w:color w:val="auto"/>
          <w:highlight w:val="none"/>
        </w:rPr>
      </w:pPr>
    </w:p>
    <w:p w14:paraId="6ED6A0C9">
      <w:pPr>
        <w:spacing w:line="360" w:lineRule="auto"/>
        <w:ind w:left="958"/>
        <w:rPr>
          <w:rFonts w:hint="eastAsia"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2025年度杭州市温室气体监测系统运维及碳排放反演与通量核算项目 </w:t>
      </w:r>
    </w:p>
    <w:p w14:paraId="3AE33BED">
      <w:pPr>
        <w:pStyle w:val="599"/>
        <w:spacing w:before="120" w:line="22" w:lineRule="atLeast"/>
        <w:rPr>
          <w:rFonts w:hint="eastAsia" w:ascii="宋体" w:hAnsi="宋体" w:eastAsia="宋体" w:cs="宋体"/>
          <w:color w:val="auto"/>
          <w:szCs w:val="24"/>
          <w:highlight w:val="none"/>
        </w:rPr>
      </w:pPr>
    </w:p>
    <w:p w14:paraId="3A7EC525">
      <w:pPr>
        <w:pStyle w:val="599"/>
        <w:spacing w:before="120" w:line="22" w:lineRule="atLeast"/>
        <w:rPr>
          <w:rFonts w:hint="eastAsia" w:ascii="宋体" w:hAnsi="宋体" w:eastAsia="宋体" w:cs="宋体"/>
          <w:color w:val="auto"/>
          <w:szCs w:val="24"/>
          <w:highlight w:val="none"/>
        </w:rPr>
      </w:pPr>
    </w:p>
    <w:p w14:paraId="2C5DF250">
      <w:pPr>
        <w:rPr>
          <w:rFonts w:hint="eastAsia" w:ascii="宋体" w:hAnsi="宋体" w:cs="宋体"/>
          <w:color w:val="auto"/>
          <w:sz w:val="24"/>
          <w:highlight w:val="none"/>
        </w:rPr>
      </w:pPr>
    </w:p>
    <w:p w14:paraId="2B25A0AF">
      <w:pPr>
        <w:spacing w:before="120" w:line="22" w:lineRule="atLeast"/>
        <w:ind w:left="960"/>
        <w:rPr>
          <w:rFonts w:hint="eastAsia"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浙江省杭州生态环境监测中心     </w:t>
      </w:r>
    </w:p>
    <w:p w14:paraId="5D922733">
      <w:pPr>
        <w:spacing w:before="120" w:line="22" w:lineRule="atLeast"/>
        <w:rPr>
          <w:rFonts w:hint="eastAsia" w:ascii="宋体" w:hAnsi="宋体" w:cs="宋体"/>
          <w:color w:val="auto"/>
          <w:sz w:val="24"/>
          <w:highlight w:val="none"/>
        </w:rPr>
      </w:pPr>
    </w:p>
    <w:p w14:paraId="4AF6B042">
      <w:pPr>
        <w:spacing w:before="120" w:line="22" w:lineRule="atLeast"/>
        <w:ind w:left="960"/>
        <w:rPr>
          <w:rFonts w:hint="eastAsia"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14:paraId="74D4C0EB">
      <w:pPr>
        <w:spacing w:before="120" w:line="22" w:lineRule="atLeast"/>
        <w:rPr>
          <w:rFonts w:hint="eastAsia" w:ascii="宋体" w:hAnsi="宋体" w:cs="宋体"/>
          <w:color w:val="auto"/>
          <w:sz w:val="24"/>
          <w:highlight w:val="none"/>
        </w:rPr>
      </w:pPr>
    </w:p>
    <w:p w14:paraId="20F9FB9F">
      <w:pPr>
        <w:spacing w:before="120" w:line="22" w:lineRule="atLeast"/>
        <w:ind w:firstLine="960" w:firstLineChars="400"/>
        <w:rPr>
          <w:rFonts w:hint="eastAsia"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p>
    <w:p w14:paraId="3136CD2B">
      <w:pPr>
        <w:spacing w:before="120" w:line="22" w:lineRule="atLeast"/>
        <w:rPr>
          <w:rFonts w:hint="eastAsia" w:ascii="宋体" w:hAnsi="宋体" w:cs="宋体"/>
          <w:color w:val="auto"/>
          <w:sz w:val="24"/>
          <w:highlight w:val="none"/>
        </w:rPr>
      </w:pPr>
    </w:p>
    <w:p w14:paraId="1E69AC43">
      <w:pPr>
        <w:spacing w:before="120" w:line="22" w:lineRule="atLeast"/>
        <w:ind w:firstLine="960" w:firstLineChars="400"/>
        <w:rPr>
          <w:rFonts w:hint="eastAsia" w:ascii="宋体" w:hAnsi="宋体" w:cs="宋体"/>
          <w:color w:val="auto"/>
          <w:sz w:val="24"/>
          <w:highlight w:val="none"/>
          <w:u w:val="singl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57023E4F">
      <w:pPr>
        <w:widowControl/>
        <w:jc w:val="left"/>
        <w:rPr>
          <w:rFonts w:hint="eastAsia" w:ascii="宋体" w:hAnsi="宋体" w:cs="宋体"/>
          <w:color w:val="auto"/>
          <w:kern w:val="0"/>
          <w:sz w:val="24"/>
          <w:highlight w:val="none"/>
        </w:rPr>
        <w:sectPr>
          <w:pgSz w:w="11907" w:h="16840"/>
          <w:pgMar w:top="1474" w:right="1814" w:bottom="1474" w:left="1814" w:header="851" w:footer="851" w:gutter="0"/>
          <w:cols w:space="720" w:num="1"/>
        </w:sectPr>
      </w:pPr>
    </w:p>
    <w:p w14:paraId="0C1D50D7">
      <w:pPr>
        <w:rPr>
          <w:rFonts w:hint="eastAsia" w:ascii="宋体" w:hAnsi="宋体" w:cs="宋体"/>
          <w:b/>
          <w:color w:val="auto"/>
          <w:sz w:val="24"/>
          <w:highlight w:val="none"/>
        </w:rPr>
      </w:pPr>
    </w:p>
    <w:p w14:paraId="5BB31069">
      <w:pPr>
        <w:spacing w:line="560" w:lineRule="exact"/>
        <w:ind w:firstLine="480" w:firstLineChars="200"/>
        <w:rPr>
          <w:rFonts w:hint="eastAsia" w:ascii="宋体" w:hAnsi="宋体"/>
          <w:color w:val="auto"/>
          <w:sz w:val="24"/>
          <w:highlight w:val="none"/>
        </w:rPr>
      </w:pPr>
      <w:r>
        <w:rPr>
          <w:rFonts w:ascii="宋体" w:hAnsi="宋体"/>
          <w:color w:val="auto"/>
          <w:sz w:val="24"/>
          <w:highlight w:val="none"/>
          <w:u w:val="single"/>
          <w:lang w:val="zh-CN"/>
        </w:rPr>
        <w:t xml:space="preserve">        </w:t>
      </w:r>
      <w:r>
        <w:rPr>
          <w:rFonts w:hint="eastAsia" w:ascii="宋体" w:hAnsi="宋体"/>
          <w:color w:val="auto"/>
          <w:sz w:val="24"/>
          <w:highlight w:val="none"/>
          <w:lang w:val="zh-CN"/>
        </w:rPr>
        <w:t>年</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月</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日</w:t>
      </w:r>
      <w:r>
        <w:rPr>
          <w:rFonts w:hint="eastAsia"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u w:val="single"/>
        </w:rPr>
        <w:t>浙江省杭州生态环境监测中心</w:t>
      </w:r>
      <w:r>
        <w:rPr>
          <w:rFonts w:ascii="宋体" w:hAnsi="宋体"/>
          <w:color w:val="auto"/>
          <w:sz w:val="24"/>
          <w:highlight w:val="none"/>
          <w:u w:val="single"/>
        </w:rPr>
        <w:t xml:space="preserve">   </w:t>
      </w:r>
      <w:r>
        <w:rPr>
          <w:rFonts w:hint="eastAsia" w:ascii="宋体" w:hAnsi="宋体"/>
          <w:color w:val="auto"/>
          <w:sz w:val="24"/>
          <w:highlight w:val="none"/>
        </w:rPr>
        <w:t>以</w:t>
      </w:r>
      <w:r>
        <w:rPr>
          <w:rFonts w:ascii="宋体" w:hAnsi="宋体"/>
          <w:color w:val="auto"/>
          <w:sz w:val="24"/>
          <w:highlight w:val="none"/>
          <w:u w:val="single"/>
        </w:rPr>
        <w:t xml:space="preserve">   </w:t>
      </w:r>
      <w:r>
        <w:rPr>
          <w:rFonts w:hint="eastAsia" w:ascii="宋体" w:hAnsi="宋体"/>
          <w:color w:val="auto"/>
          <w:sz w:val="24"/>
          <w:highlight w:val="none"/>
          <w:u w:val="single"/>
        </w:rPr>
        <w:t>公开招标方式</w:t>
      </w:r>
      <w:r>
        <w:rPr>
          <w:rFonts w:ascii="宋体" w:hAnsi="宋体"/>
          <w:color w:val="auto"/>
          <w:sz w:val="24"/>
          <w:highlight w:val="none"/>
          <w:u w:val="single"/>
        </w:rPr>
        <w:t xml:space="preserve">  </w:t>
      </w:r>
      <w:r>
        <w:rPr>
          <w:rFonts w:hint="eastAsia" w:ascii="宋体" w:hAnsi="宋体"/>
          <w:color w:val="auto"/>
          <w:sz w:val="24"/>
          <w:highlight w:val="none"/>
        </w:rPr>
        <w:t>对</w:t>
      </w:r>
      <w:r>
        <w:rPr>
          <w:rFonts w:ascii="宋体" w:hAnsi="宋体"/>
          <w:color w:val="auto"/>
          <w:sz w:val="24"/>
          <w:highlight w:val="none"/>
          <w:u w:val="single"/>
        </w:rPr>
        <w:t xml:space="preserve">  </w:t>
      </w:r>
      <w:r>
        <w:rPr>
          <w:rFonts w:hint="eastAsia" w:ascii="宋体" w:hAnsi="宋体" w:cs="宋体"/>
          <w:color w:val="auto"/>
          <w:sz w:val="24"/>
          <w:highlight w:val="none"/>
          <w:u w:val="single"/>
        </w:rPr>
        <w:t>2025年度杭州市温室气体监测系统运维及碳排放反演与通量核算项目</w:t>
      </w:r>
      <w:r>
        <w:rPr>
          <w:rFonts w:ascii="宋体" w:hAnsi="宋体"/>
          <w:color w:val="auto"/>
          <w:sz w:val="24"/>
          <w:highlight w:val="none"/>
          <w:u w:val="single"/>
        </w:rPr>
        <w:t xml:space="preserve">  </w:t>
      </w:r>
      <w:r>
        <w:rPr>
          <w:rFonts w:hint="eastAsia" w:ascii="宋体" w:hAnsi="宋体"/>
          <w:color w:val="auto"/>
          <w:sz w:val="24"/>
          <w:highlight w:val="none"/>
        </w:rPr>
        <w:t>项目进行了采购。经</w:t>
      </w:r>
      <w:r>
        <w:rPr>
          <w:rFonts w:ascii="宋体" w:hAnsi="宋体"/>
          <w:color w:val="auto"/>
          <w:sz w:val="24"/>
          <w:highlight w:val="none"/>
          <w:u w:val="single"/>
        </w:rPr>
        <w:t xml:space="preserve">   </w:t>
      </w:r>
      <w:r>
        <w:rPr>
          <w:rFonts w:hint="eastAsia" w:ascii="宋体" w:hAnsi="宋体"/>
          <w:color w:val="auto"/>
          <w:sz w:val="24"/>
          <w:highlight w:val="none"/>
          <w:u w:val="single"/>
        </w:rPr>
        <w:t>评标委员会</w:t>
      </w:r>
      <w:r>
        <w:rPr>
          <w:rFonts w:ascii="宋体" w:hAnsi="宋体"/>
          <w:color w:val="auto"/>
          <w:sz w:val="24"/>
          <w:highlight w:val="none"/>
          <w:u w:val="single"/>
        </w:rPr>
        <w:t xml:space="preserve">   </w:t>
      </w:r>
      <w:r>
        <w:rPr>
          <w:rFonts w:hint="eastAsia" w:ascii="宋体" w:hAnsi="宋体"/>
          <w:color w:val="auto"/>
          <w:sz w:val="24"/>
          <w:highlight w:val="none"/>
        </w:rPr>
        <w:t>评定，</w:t>
      </w:r>
      <w:r>
        <w:rPr>
          <w:rFonts w:ascii="宋体" w:hAnsi="宋体"/>
          <w:color w:val="auto"/>
          <w:sz w:val="24"/>
          <w:highlight w:val="none"/>
          <w:u w:val="single"/>
        </w:rPr>
        <w:t xml:space="preserve">  （中标</w:t>
      </w:r>
      <w:r>
        <w:rPr>
          <w:rFonts w:hint="eastAsia" w:ascii="宋体" w:hAnsi="宋体"/>
          <w:color w:val="auto"/>
          <w:sz w:val="24"/>
          <w:highlight w:val="none"/>
          <w:u w:val="single"/>
        </w:rPr>
        <w:t>或者成交</w:t>
      </w:r>
      <w:r>
        <w:rPr>
          <w:rFonts w:ascii="宋体" w:hAnsi="宋体"/>
          <w:color w:val="auto"/>
          <w:sz w:val="24"/>
          <w:highlight w:val="none"/>
          <w:u w:val="single"/>
        </w:rPr>
        <w:t xml:space="preserve">供应商名称） </w:t>
      </w:r>
      <w:r>
        <w:rPr>
          <w:rFonts w:hint="eastAsia" w:ascii="宋体" w:hAnsi="宋体"/>
          <w:color w:val="auto"/>
          <w:sz w:val="24"/>
          <w:highlight w:val="none"/>
        </w:rPr>
        <w:t>为该项目</w:t>
      </w:r>
      <w:r>
        <w:rPr>
          <w:rFonts w:hint="eastAsia" w:ascii="宋体" w:hAnsi="宋体" w:cs="宋体"/>
          <w:color w:val="auto"/>
          <w:sz w:val="24"/>
          <w:highlight w:val="none"/>
        </w:rPr>
        <w:t>中标或者成交供应商</w:t>
      </w:r>
      <w:r>
        <w:rPr>
          <w:rFonts w:hint="eastAsia" w:ascii="宋体" w:hAnsi="宋体"/>
          <w:color w:val="auto"/>
          <w:sz w:val="24"/>
          <w:highlight w:val="none"/>
        </w:rPr>
        <w:t>。现于</w:t>
      </w:r>
      <w:r>
        <w:rPr>
          <w:rFonts w:hint="eastAsia" w:ascii="宋体" w:hAnsi="宋体" w:cs="宋体"/>
          <w:color w:val="auto"/>
          <w:sz w:val="24"/>
          <w:highlight w:val="none"/>
        </w:rPr>
        <w:t>中标或者成交通知书</w:t>
      </w:r>
      <w:r>
        <w:rPr>
          <w:rFonts w:hint="eastAsia" w:ascii="宋体" w:hAnsi="宋体"/>
          <w:color w:val="auto"/>
          <w:sz w:val="24"/>
          <w:highlight w:val="none"/>
        </w:rPr>
        <w:t>发出之日起10个工作日内，按照采购文件确定的事项签订本合同。</w:t>
      </w:r>
    </w:p>
    <w:p w14:paraId="7F8970D8">
      <w:pPr>
        <w:spacing w:line="560" w:lineRule="exact"/>
        <w:ind w:firstLine="480" w:firstLineChars="200"/>
        <w:rPr>
          <w:rFonts w:hint="eastAsia" w:ascii="宋体" w:hAnsi="宋体"/>
          <w:color w:val="auto"/>
          <w:sz w:val="24"/>
          <w:highlight w:val="none"/>
        </w:rPr>
      </w:pPr>
      <w:r>
        <w:rPr>
          <w:rFonts w:hint="eastAsia" w:ascii="宋体" w:hAnsi="宋体"/>
          <w:color w:val="auto"/>
          <w:sz w:val="24"/>
          <w:highlight w:val="none"/>
          <w:lang w:val="zh-CN"/>
        </w:rPr>
        <w:t>根据《中华人民共和国民法典》《中华人民共和国政府采购法》等相关法律法规之规定，按照平等、自愿、公平和诚实信用的原则，经</w:t>
      </w:r>
      <w:r>
        <w:rPr>
          <w:rFonts w:ascii="宋体" w:hAnsi="宋体"/>
          <w:color w:val="auto"/>
          <w:sz w:val="24"/>
          <w:highlight w:val="none"/>
          <w:u w:val="single"/>
        </w:rPr>
        <w:t xml:space="preserve">  </w:t>
      </w:r>
      <w:r>
        <w:rPr>
          <w:rFonts w:hint="eastAsia" w:ascii="宋体" w:hAnsi="宋体"/>
          <w:color w:val="auto"/>
          <w:sz w:val="24"/>
          <w:highlight w:val="none"/>
          <w:u w:val="single"/>
        </w:rPr>
        <w:t>浙江省杭州生态环境监测中心</w:t>
      </w:r>
      <w:r>
        <w:rPr>
          <w:rFonts w:ascii="宋体" w:hAnsi="宋体"/>
          <w:color w:val="auto"/>
          <w:sz w:val="24"/>
          <w:highlight w:val="none"/>
          <w:u w:val="single"/>
        </w:rPr>
        <w:t xml:space="preserve">  </w:t>
      </w:r>
      <w:r>
        <w:rPr>
          <w:rFonts w:ascii="宋体" w:hAnsi="宋体"/>
          <w:color w:val="auto"/>
          <w:sz w:val="24"/>
          <w:highlight w:val="none"/>
          <w:lang w:val="zh-CN"/>
        </w:rPr>
        <w:t>(以下简称：甲方)和</w:t>
      </w:r>
      <w:r>
        <w:rPr>
          <w:rFonts w:ascii="宋体" w:hAnsi="宋体"/>
          <w:color w:val="auto"/>
          <w:sz w:val="24"/>
          <w:highlight w:val="none"/>
          <w:u w:val="single"/>
        </w:rPr>
        <w:t xml:space="preserve">   （中</w:t>
      </w:r>
      <w:r>
        <w:rPr>
          <w:rFonts w:hint="eastAsia" w:ascii="宋体" w:hAnsi="宋体"/>
          <w:color w:val="auto"/>
          <w:sz w:val="24"/>
          <w:highlight w:val="none"/>
          <w:u w:val="single"/>
        </w:rPr>
        <w:t>或者成交</w:t>
      </w:r>
      <w:r>
        <w:rPr>
          <w:rFonts w:ascii="宋体" w:hAnsi="宋体"/>
          <w:color w:val="auto"/>
          <w:sz w:val="24"/>
          <w:highlight w:val="none"/>
          <w:u w:val="single"/>
        </w:rPr>
        <w:t xml:space="preserve">标供应商名称）   </w:t>
      </w:r>
      <w:r>
        <w:rPr>
          <w:rFonts w:ascii="宋体" w:hAnsi="宋体"/>
          <w:color w:val="auto"/>
          <w:sz w:val="24"/>
          <w:highlight w:val="none"/>
          <w:lang w:val="zh-CN"/>
        </w:rPr>
        <w:t>(以下简称：乙方)协商一致，约定以下合同</w:t>
      </w:r>
      <w:r>
        <w:rPr>
          <w:rFonts w:hint="eastAsia" w:ascii="宋体" w:hAnsi="宋体"/>
          <w:color w:val="auto"/>
          <w:sz w:val="24"/>
          <w:highlight w:val="none"/>
        </w:rPr>
        <w:t>条款，以兹共同遵守、全面履行。</w:t>
      </w:r>
    </w:p>
    <w:p w14:paraId="56BB1377">
      <w:pPr>
        <w:spacing w:line="560" w:lineRule="exact"/>
        <w:ind w:firstLine="482" w:firstLineChars="200"/>
        <w:outlineLvl w:val="0"/>
        <w:rPr>
          <w:rFonts w:hint="eastAsia" w:ascii="宋体" w:hAnsi="宋体"/>
          <w:color w:val="auto"/>
          <w:sz w:val="24"/>
          <w:highlight w:val="none"/>
        </w:rPr>
      </w:pPr>
      <w:bookmarkStart w:id="406" w:name="_Toc19273"/>
      <w:bookmarkStart w:id="407" w:name="_Toc28855"/>
      <w:bookmarkStart w:id="408" w:name="_Toc15367"/>
      <w:bookmarkStart w:id="409" w:name="_Toc22967"/>
      <w:bookmarkStart w:id="410" w:name="_Toc20421"/>
      <w:r>
        <w:rPr>
          <w:rFonts w:ascii="宋体" w:hAnsi="宋体"/>
          <w:b/>
          <w:color w:val="auto"/>
          <w:sz w:val="24"/>
          <w:highlight w:val="none"/>
        </w:rPr>
        <w:t xml:space="preserve">1.1 </w:t>
      </w:r>
      <w:r>
        <w:rPr>
          <w:rFonts w:hint="eastAsia" w:ascii="宋体" w:hAnsi="宋体"/>
          <w:b/>
          <w:color w:val="auto"/>
          <w:sz w:val="24"/>
          <w:highlight w:val="none"/>
        </w:rPr>
        <w:t>合同组成部分</w:t>
      </w:r>
      <w:bookmarkEnd w:id="406"/>
      <w:bookmarkEnd w:id="407"/>
      <w:bookmarkEnd w:id="408"/>
      <w:bookmarkEnd w:id="409"/>
      <w:bookmarkEnd w:id="410"/>
    </w:p>
    <w:p w14:paraId="61E6A5F4">
      <w:pPr>
        <w:spacing w:line="560" w:lineRule="exact"/>
        <w:ind w:firstLine="480" w:firstLineChars="200"/>
        <w:rPr>
          <w:rFonts w:hint="eastAsia" w:ascii="宋体" w:hAnsi="宋体"/>
          <w:color w:val="auto"/>
          <w:sz w:val="24"/>
          <w:highlight w:val="none"/>
        </w:rPr>
      </w:pPr>
      <w:r>
        <w:rPr>
          <w:rFonts w:hint="eastAsia" w:ascii="宋体" w:hAnsi="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687966CB">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 xml:space="preserve">1.1.1 </w:t>
      </w:r>
      <w:r>
        <w:rPr>
          <w:rFonts w:hint="eastAsia" w:ascii="宋体" w:hAnsi="宋体"/>
          <w:color w:val="auto"/>
          <w:sz w:val="24"/>
          <w:highlight w:val="none"/>
        </w:rPr>
        <w:t>本合同及其补充合同、变更协议；</w:t>
      </w:r>
    </w:p>
    <w:p w14:paraId="14695BD5">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 xml:space="preserve">1.1.2 </w:t>
      </w:r>
      <w:r>
        <w:rPr>
          <w:rFonts w:hint="eastAsia" w:ascii="宋体" w:hAnsi="宋体"/>
          <w:color w:val="auto"/>
          <w:sz w:val="24"/>
          <w:highlight w:val="none"/>
        </w:rPr>
        <w:t>中标或者成交通知书；</w:t>
      </w:r>
    </w:p>
    <w:p w14:paraId="28F4A4F1">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 xml:space="preserve">1.1.3 </w:t>
      </w:r>
      <w:r>
        <w:rPr>
          <w:rFonts w:hint="eastAsia" w:ascii="宋体" w:hAnsi="宋体"/>
          <w:color w:val="auto"/>
          <w:sz w:val="24"/>
          <w:highlight w:val="none"/>
        </w:rPr>
        <w:t>投标或者响应文件（含澄清或者说明文件）；</w:t>
      </w:r>
    </w:p>
    <w:p w14:paraId="4C686B9F">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 xml:space="preserve">1.1.4 </w:t>
      </w:r>
      <w:r>
        <w:rPr>
          <w:rFonts w:hint="eastAsia" w:ascii="宋体" w:hAnsi="宋体"/>
          <w:color w:val="auto"/>
          <w:sz w:val="24"/>
          <w:highlight w:val="none"/>
        </w:rPr>
        <w:t>采购文件（含澄清或者修改文件）；</w:t>
      </w:r>
    </w:p>
    <w:p w14:paraId="5CF583D5">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 xml:space="preserve">1.1.5 </w:t>
      </w:r>
      <w:r>
        <w:rPr>
          <w:rFonts w:hint="eastAsia" w:ascii="宋体" w:hAnsi="宋体"/>
          <w:color w:val="auto"/>
          <w:sz w:val="24"/>
          <w:highlight w:val="none"/>
        </w:rPr>
        <w:t>其他相关采购文件。</w:t>
      </w:r>
    </w:p>
    <w:p w14:paraId="51CF70BF">
      <w:pPr>
        <w:spacing w:line="560" w:lineRule="exact"/>
        <w:ind w:firstLine="482" w:firstLineChars="200"/>
        <w:outlineLvl w:val="0"/>
        <w:rPr>
          <w:rFonts w:hint="eastAsia" w:ascii="宋体" w:hAnsi="宋体"/>
          <w:b/>
          <w:color w:val="auto"/>
          <w:sz w:val="24"/>
          <w:highlight w:val="none"/>
        </w:rPr>
      </w:pPr>
      <w:bookmarkStart w:id="411" w:name="_Toc6311"/>
      <w:bookmarkStart w:id="412" w:name="_Toc6773"/>
      <w:bookmarkStart w:id="413" w:name="_Toc2918"/>
      <w:bookmarkStart w:id="414" w:name="_Toc22185"/>
      <w:bookmarkStart w:id="415" w:name="_Toc18585"/>
      <w:r>
        <w:rPr>
          <w:rFonts w:ascii="宋体" w:hAnsi="宋体"/>
          <w:b/>
          <w:color w:val="auto"/>
          <w:sz w:val="24"/>
          <w:highlight w:val="none"/>
        </w:rPr>
        <w:t xml:space="preserve">1.2 </w:t>
      </w:r>
      <w:r>
        <w:rPr>
          <w:rFonts w:hint="eastAsia" w:ascii="宋体" w:hAnsi="宋体"/>
          <w:b/>
          <w:color w:val="auto"/>
          <w:sz w:val="24"/>
          <w:highlight w:val="none"/>
        </w:rPr>
        <w:t>标的</w:t>
      </w:r>
      <w:bookmarkEnd w:id="411"/>
      <w:bookmarkEnd w:id="412"/>
      <w:bookmarkEnd w:id="413"/>
      <w:bookmarkEnd w:id="414"/>
      <w:bookmarkEnd w:id="415"/>
    </w:p>
    <w:p w14:paraId="1E253E95">
      <w:pPr>
        <w:spacing w:line="560" w:lineRule="exact"/>
        <w:ind w:firstLine="480" w:firstLineChars="200"/>
        <w:rPr>
          <w:rFonts w:hint="eastAsia" w:ascii="宋体" w:hAnsi="宋体"/>
          <w:color w:val="auto"/>
          <w:sz w:val="24"/>
          <w:highlight w:val="none"/>
          <w:u w:val="single"/>
        </w:rPr>
      </w:pPr>
      <w:r>
        <w:rPr>
          <w:rFonts w:ascii="宋体" w:hAnsi="宋体"/>
          <w:color w:val="auto"/>
          <w:sz w:val="24"/>
          <w:highlight w:val="none"/>
        </w:rPr>
        <w:t xml:space="preserve">1.2.1 </w:t>
      </w:r>
      <w:r>
        <w:rPr>
          <w:rFonts w:hint="eastAsia" w:ascii="宋体" w:hAnsi="宋体"/>
          <w:color w:val="auto"/>
          <w:sz w:val="24"/>
          <w:highlight w:val="none"/>
        </w:rPr>
        <w:t>服务内容</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14:paraId="15DEA2E3">
      <w:pPr>
        <w:spacing w:line="560" w:lineRule="exact"/>
        <w:ind w:firstLine="480" w:firstLineChars="200"/>
        <w:rPr>
          <w:rFonts w:hint="eastAsia" w:ascii="宋体" w:hAnsi="宋体"/>
          <w:color w:val="auto"/>
          <w:sz w:val="24"/>
          <w:highlight w:val="none"/>
          <w:u w:val="single"/>
        </w:rPr>
      </w:pPr>
      <w:r>
        <w:rPr>
          <w:rFonts w:ascii="宋体" w:hAnsi="宋体"/>
          <w:color w:val="auto"/>
          <w:sz w:val="24"/>
          <w:highlight w:val="none"/>
        </w:rPr>
        <w:t xml:space="preserve">1.2.2 </w:t>
      </w:r>
      <w:r>
        <w:rPr>
          <w:rFonts w:hint="eastAsia" w:ascii="宋体" w:hAnsi="宋体"/>
          <w:color w:val="auto"/>
          <w:sz w:val="24"/>
          <w:highlight w:val="none"/>
        </w:rPr>
        <w:t>服务标准</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14:paraId="191BA041">
      <w:pPr>
        <w:spacing w:line="560" w:lineRule="exact"/>
        <w:ind w:firstLine="480" w:firstLineChars="200"/>
        <w:rPr>
          <w:rFonts w:hint="eastAsia" w:ascii="宋体" w:hAnsi="宋体"/>
          <w:color w:val="auto"/>
          <w:sz w:val="24"/>
          <w:highlight w:val="none"/>
          <w:u w:val="single"/>
        </w:rPr>
      </w:pPr>
      <w:r>
        <w:rPr>
          <w:rFonts w:ascii="宋体" w:hAnsi="宋体"/>
          <w:color w:val="auto"/>
          <w:sz w:val="24"/>
          <w:highlight w:val="none"/>
        </w:rPr>
        <w:t xml:space="preserve">1.2.3 </w:t>
      </w:r>
      <w:r>
        <w:rPr>
          <w:rFonts w:hint="eastAsia" w:ascii="宋体" w:hAnsi="宋体"/>
          <w:color w:val="auto"/>
          <w:sz w:val="24"/>
          <w:highlight w:val="none"/>
        </w:rPr>
        <w:t>技术保障：</w:t>
      </w:r>
      <w:r>
        <w:rPr>
          <w:rFonts w:ascii="宋体" w:hAnsi="宋体"/>
          <w:color w:val="auto"/>
          <w:sz w:val="24"/>
          <w:highlight w:val="none"/>
          <w:u w:val="single"/>
        </w:rPr>
        <w:t xml:space="preserve">　　　　　　　　　                      　      </w:t>
      </w:r>
      <w:r>
        <w:rPr>
          <w:rFonts w:hint="eastAsia" w:ascii="宋体" w:hAnsi="宋体"/>
          <w:color w:val="auto"/>
          <w:sz w:val="24"/>
          <w:highlight w:val="none"/>
          <w:u w:val="single"/>
        </w:rPr>
        <w:t>；</w:t>
      </w:r>
    </w:p>
    <w:p w14:paraId="53DFA385">
      <w:pPr>
        <w:adjustRightInd/>
        <w:spacing w:line="560" w:lineRule="exact"/>
        <w:ind w:firstLine="480" w:firstLineChars="200"/>
        <w:jc w:val="left"/>
        <w:rPr>
          <w:rFonts w:hint="eastAsia" w:ascii="宋体" w:hAnsi="宋体"/>
          <w:color w:val="auto"/>
          <w:sz w:val="24"/>
          <w:highlight w:val="none"/>
        </w:rPr>
      </w:pPr>
      <w:r>
        <w:rPr>
          <w:rFonts w:hint="eastAsia" w:ascii="宋体" w:hAnsi="宋体"/>
          <w:color w:val="auto"/>
          <w:sz w:val="24"/>
          <w:highlight w:val="none"/>
        </w:rPr>
        <w:t>1.2.4 服务人员组成：</w:t>
      </w:r>
      <w:r>
        <w:rPr>
          <w:rFonts w:ascii="宋体" w:hAnsi="宋体"/>
          <w:color w:val="auto"/>
          <w:sz w:val="24"/>
          <w:highlight w:val="none"/>
          <w:u w:val="single"/>
        </w:rPr>
        <w:t xml:space="preserve">　　             　      </w:t>
      </w:r>
      <w:r>
        <w:rPr>
          <w:rFonts w:hint="eastAsia" w:ascii="宋体" w:hAnsi="宋体"/>
          <w:color w:val="auto"/>
          <w:sz w:val="24"/>
          <w:highlight w:val="none"/>
        </w:rPr>
        <w:t>；</w:t>
      </w:r>
    </w:p>
    <w:p w14:paraId="45911137">
      <w:pPr>
        <w:pStyle w:val="960"/>
        <w:spacing w:before="0" w:beforeAutospacing="0" w:after="0" w:afterAutospacing="0" w:line="560" w:lineRule="exact"/>
        <w:ind w:firstLine="480"/>
        <w:rPr>
          <w:rFonts w:hint="eastAsia"/>
          <w:color w:val="auto"/>
          <w:highlight w:val="none"/>
        </w:rPr>
      </w:pPr>
      <w:r>
        <w:rPr>
          <w:rFonts w:hint="eastAsia"/>
          <w:color w:val="auto"/>
          <w:highlight w:val="none"/>
        </w:rPr>
        <w:t>1.2.5合同</w:t>
      </w:r>
      <w:r>
        <w:rPr>
          <w:rFonts w:hint="eastAsia"/>
          <w:color w:val="auto"/>
          <w:highlight w:val="none"/>
          <w:u w:val="single"/>
        </w:rPr>
        <w:t xml:space="preserve">  否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否）涉及货物。若涉及货物的，则：</w:t>
      </w:r>
    </w:p>
    <w:p w14:paraId="694E3409">
      <w:pPr>
        <w:spacing w:line="560" w:lineRule="exact"/>
        <w:ind w:firstLine="480" w:firstLineChars="200"/>
        <w:rPr>
          <w:rFonts w:hint="eastAsia" w:ascii="宋体" w:hAnsi="宋体" w:cs="宋体"/>
          <w:color w:val="auto"/>
          <w:sz w:val="24"/>
          <w:highlight w:val="none"/>
          <w:u w:val="single"/>
        </w:rPr>
      </w:pPr>
      <w:bookmarkStart w:id="416" w:name="_Toc13918"/>
      <w:bookmarkStart w:id="417" w:name="_Toc21124"/>
      <w:bookmarkStart w:id="418" w:name="_Toc5635"/>
      <w:bookmarkStart w:id="419" w:name="_Toc1386"/>
      <w:bookmarkStart w:id="420" w:name="_Toc4929"/>
      <w:r>
        <w:rPr>
          <w:rFonts w:hint="eastAsia" w:ascii="宋体" w:hAnsi="宋体" w:cs="宋体"/>
          <w:color w:val="auto"/>
          <w:sz w:val="24"/>
          <w:highlight w:val="none"/>
        </w:rPr>
        <w:t>1.2.5.1 货物名称、品牌、规格型号、花色：</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p>
    <w:p w14:paraId="782F1AED">
      <w:pPr>
        <w:spacing w:line="560" w:lineRule="exact"/>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1.2.5.2 货物数量：</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p>
    <w:p w14:paraId="4228F840">
      <w:pPr>
        <w:spacing w:line="560" w:lineRule="exact"/>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1.2.5.3 货物质量：</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p>
    <w:p w14:paraId="38C8765C">
      <w:pPr>
        <w:spacing w:line="560" w:lineRule="exact"/>
        <w:ind w:firstLine="482" w:firstLineChars="200"/>
        <w:outlineLvl w:val="0"/>
        <w:rPr>
          <w:rFonts w:hint="eastAsia" w:ascii="宋体" w:hAnsi="宋体"/>
          <w:b/>
          <w:color w:val="auto"/>
          <w:sz w:val="24"/>
          <w:highlight w:val="none"/>
        </w:rPr>
      </w:pPr>
      <w:r>
        <w:rPr>
          <w:rFonts w:ascii="宋体" w:hAnsi="宋体"/>
          <w:b/>
          <w:color w:val="auto"/>
          <w:sz w:val="24"/>
          <w:highlight w:val="none"/>
        </w:rPr>
        <w:t>1.3 价款</w:t>
      </w:r>
      <w:bookmarkEnd w:id="416"/>
      <w:bookmarkEnd w:id="417"/>
      <w:bookmarkEnd w:id="418"/>
      <w:bookmarkEnd w:id="419"/>
      <w:bookmarkEnd w:id="420"/>
    </w:p>
    <w:p w14:paraId="7D71695B">
      <w:pPr>
        <w:spacing w:line="560" w:lineRule="exact"/>
        <w:ind w:firstLine="480" w:firstLineChars="200"/>
        <w:rPr>
          <w:rFonts w:hint="eastAsia" w:ascii="宋体" w:hAnsi="宋体"/>
          <w:color w:val="auto"/>
          <w:sz w:val="24"/>
          <w:highlight w:val="none"/>
        </w:rPr>
      </w:pPr>
      <w:r>
        <w:rPr>
          <w:rFonts w:hint="eastAsia" w:ascii="宋体" w:hAnsi="宋体" w:cs="宋体"/>
          <w:color w:val="auto"/>
          <w:sz w:val="24"/>
          <w:highlight w:val="none"/>
        </w:rPr>
        <w:t>本项目采用以下第</w:t>
      </w:r>
      <w:r>
        <w:rPr>
          <w:rFonts w:hint="eastAsia" w:ascii="宋体" w:hAnsi="宋体" w:cs="宋体"/>
          <w:color w:val="auto"/>
          <w:sz w:val="24"/>
          <w:highlight w:val="none"/>
          <w:u w:val="single"/>
        </w:rPr>
        <w:t xml:space="preserve">  1.3.1 </w:t>
      </w:r>
      <w:r>
        <w:rPr>
          <w:rFonts w:hint="eastAsia" w:ascii="宋体" w:hAnsi="宋体" w:cs="宋体"/>
          <w:color w:val="auto"/>
          <w:sz w:val="24"/>
          <w:highlight w:val="none"/>
        </w:rPr>
        <w:t>条款规定的计价方式计价。</w:t>
      </w:r>
    </w:p>
    <w:p w14:paraId="02E3C245">
      <w:pPr>
        <w:spacing w:line="560" w:lineRule="exact"/>
        <w:ind w:firstLine="480" w:firstLineChars="200"/>
        <w:rPr>
          <w:rFonts w:hint="eastAsia" w:ascii="宋体" w:hAnsi="宋体"/>
          <w:color w:val="auto"/>
          <w:sz w:val="24"/>
          <w:highlight w:val="none"/>
        </w:rPr>
      </w:pPr>
      <w:r>
        <w:rPr>
          <w:rFonts w:hint="eastAsia" w:ascii="宋体" w:hAnsi="宋体"/>
          <w:color w:val="auto"/>
          <w:sz w:val="24"/>
          <w:highlight w:val="none"/>
        </w:rPr>
        <w:t>1.3.1总价合同，</w:t>
      </w:r>
      <w:r>
        <w:rPr>
          <w:rFonts w:ascii="宋体" w:hAnsi="宋体"/>
          <w:color w:val="auto"/>
          <w:sz w:val="24"/>
          <w:highlight w:val="none"/>
        </w:rPr>
        <w:t>本合同总价</w:t>
      </w:r>
      <w:r>
        <w:rPr>
          <w:rFonts w:hint="eastAsia" w:ascii="宋体" w:hAnsi="宋体"/>
          <w:color w:val="auto"/>
          <w:sz w:val="24"/>
          <w:highlight w:val="none"/>
        </w:rPr>
        <w:t>（含税）</w:t>
      </w:r>
      <w:r>
        <w:rPr>
          <w:rFonts w:ascii="宋体" w:hAnsi="宋体"/>
          <w:color w:val="auto"/>
          <w:sz w:val="24"/>
          <w:highlight w:val="none"/>
        </w:rPr>
        <w:t>为</w:t>
      </w:r>
      <w:r>
        <w:rPr>
          <w:rFonts w:hint="eastAsia" w:ascii="宋体" w:hAnsi="宋体"/>
          <w:color w:val="auto"/>
          <w:sz w:val="24"/>
          <w:highlight w:val="none"/>
        </w:rPr>
        <w:t>：￥</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r>
        <w:rPr>
          <w:rFonts w:ascii="宋体" w:hAnsi="宋体"/>
          <w:color w:val="auto"/>
          <w:sz w:val="24"/>
          <w:highlight w:val="none"/>
        </w:rPr>
        <w:t>。</w:t>
      </w:r>
    </w:p>
    <w:p w14:paraId="76A08E6E">
      <w:pPr>
        <w:spacing w:line="560" w:lineRule="exact"/>
        <w:ind w:firstLine="480" w:firstLineChars="200"/>
        <w:rPr>
          <w:rFonts w:hint="eastAsia" w:ascii="宋体" w:hAnsi="宋体"/>
          <w:color w:val="auto"/>
          <w:sz w:val="24"/>
          <w:highlight w:val="none"/>
          <w:u w:val="single"/>
        </w:rPr>
      </w:pPr>
      <w:r>
        <w:rPr>
          <w:rFonts w:ascii="宋体" w:hAnsi="宋体"/>
          <w:color w:val="auto"/>
          <w:sz w:val="24"/>
          <w:highlight w:val="none"/>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053AE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885091A">
            <w:pPr>
              <w:pStyle w:val="320"/>
              <w:spacing w:line="560" w:lineRule="exact"/>
              <w:jc w:val="center"/>
              <w:rPr>
                <w:rFonts w:hint="eastAsia" w:hAnsi="宋体"/>
                <w:color w:val="auto"/>
                <w:sz w:val="24"/>
                <w:szCs w:val="24"/>
                <w:highlight w:val="none"/>
              </w:rPr>
            </w:pPr>
            <w:r>
              <w:rPr>
                <w:rFonts w:hAnsi="宋体"/>
                <w:color w:val="auto"/>
                <w:sz w:val="24"/>
                <w:szCs w:val="24"/>
                <w:highlight w:val="none"/>
              </w:rPr>
              <w:t>序号</w:t>
            </w:r>
          </w:p>
        </w:tc>
        <w:tc>
          <w:tcPr>
            <w:tcW w:w="3402" w:type="dxa"/>
            <w:vAlign w:val="center"/>
          </w:tcPr>
          <w:p w14:paraId="72BAEDA7">
            <w:pPr>
              <w:pStyle w:val="320"/>
              <w:spacing w:line="560" w:lineRule="exact"/>
              <w:ind w:firstLine="200"/>
              <w:jc w:val="center"/>
              <w:rPr>
                <w:rFonts w:hint="eastAsia" w:hAnsi="宋体"/>
                <w:color w:val="auto"/>
                <w:sz w:val="24"/>
                <w:szCs w:val="24"/>
                <w:highlight w:val="none"/>
              </w:rPr>
            </w:pPr>
            <w:r>
              <w:rPr>
                <w:rFonts w:hint="eastAsia" w:hAnsi="宋体"/>
                <w:color w:val="auto"/>
                <w:sz w:val="24"/>
                <w:szCs w:val="24"/>
                <w:highlight w:val="none"/>
              </w:rPr>
              <w:t>分项名称</w:t>
            </w:r>
          </w:p>
        </w:tc>
        <w:tc>
          <w:tcPr>
            <w:tcW w:w="2552" w:type="dxa"/>
            <w:vAlign w:val="center"/>
          </w:tcPr>
          <w:p w14:paraId="083C1D40">
            <w:pPr>
              <w:pStyle w:val="320"/>
              <w:spacing w:line="560" w:lineRule="exact"/>
              <w:jc w:val="center"/>
              <w:rPr>
                <w:rFonts w:hint="eastAsia" w:hAnsi="宋体"/>
                <w:color w:val="auto"/>
                <w:sz w:val="24"/>
                <w:szCs w:val="24"/>
                <w:highlight w:val="none"/>
              </w:rPr>
            </w:pPr>
            <w:r>
              <w:rPr>
                <w:rFonts w:hAnsi="宋体"/>
                <w:color w:val="auto"/>
                <w:sz w:val="24"/>
                <w:szCs w:val="24"/>
                <w:highlight w:val="none"/>
              </w:rPr>
              <w:t>分项价格</w:t>
            </w:r>
          </w:p>
        </w:tc>
      </w:tr>
      <w:tr w14:paraId="07041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F51BBCA">
            <w:pPr>
              <w:pStyle w:val="320"/>
              <w:spacing w:line="560" w:lineRule="exact"/>
              <w:ind w:firstLine="200"/>
              <w:jc w:val="center"/>
              <w:rPr>
                <w:rFonts w:hint="eastAsia" w:hAnsi="宋体"/>
                <w:color w:val="auto"/>
                <w:sz w:val="24"/>
                <w:szCs w:val="24"/>
                <w:highlight w:val="none"/>
              </w:rPr>
            </w:pPr>
          </w:p>
        </w:tc>
        <w:tc>
          <w:tcPr>
            <w:tcW w:w="3402" w:type="dxa"/>
            <w:vAlign w:val="center"/>
          </w:tcPr>
          <w:p w14:paraId="3D9E1BDC">
            <w:pPr>
              <w:pStyle w:val="320"/>
              <w:spacing w:line="560" w:lineRule="exact"/>
              <w:ind w:firstLine="200"/>
              <w:jc w:val="center"/>
              <w:rPr>
                <w:rFonts w:hint="eastAsia" w:hAnsi="宋体"/>
                <w:color w:val="auto"/>
                <w:sz w:val="24"/>
                <w:szCs w:val="24"/>
                <w:highlight w:val="none"/>
              </w:rPr>
            </w:pPr>
          </w:p>
        </w:tc>
        <w:tc>
          <w:tcPr>
            <w:tcW w:w="2552" w:type="dxa"/>
            <w:vAlign w:val="center"/>
          </w:tcPr>
          <w:p w14:paraId="759F9AD7">
            <w:pPr>
              <w:pStyle w:val="320"/>
              <w:spacing w:line="560" w:lineRule="exact"/>
              <w:ind w:firstLine="200"/>
              <w:jc w:val="center"/>
              <w:rPr>
                <w:rFonts w:hint="eastAsia" w:hAnsi="宋体"/>
                <w:color w:val="auto"/>
                <w:sz w:val="24"/>
                <w:szCs w:val="24"/>
                <w:highlight w:val="none"/>
              </w:rPr>
            </w:pPr>
          </w:p>
        </w:tc>
      </w:tr>
      <w:tr w14:paraId="6F7AA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29C0FB1">
            <w:pPr>
              <w:pStyle w:val="320"/>
              <w:spacing w:line="560" w:lineRule="exact"/>
              <w:ind w:firstLine="200"/>
              <w:jc w:val="center"/>
              <w:rPr>
                <w:rFonts w:hint="eastAsia" w:hAnsi="宋体"/>
                <w:color w:val="auto"/>
                <w:sz w:val="24"/>
                <w:szCs w:val="24"/>
                <w:highlight w:val="none"/>
              </w:rPr>
            </w:pPr>
          </w:p>
        </w:tc>
        <w:tc>
          <w:tcPr>
            <w:tcW w:w="3402" w:type="dxa"/>
            <w:vAlign w:val="center"/>
          </w:tcPr>
          <w:p w14:paraId="7812D742">
            <w:pPr>
              <w:pStyle w:val="320"/>
              <w:spacing w:line="560" w:lineRule="exact"/>
              <w:ind w:firstLine="200"/>
              <w:jc w:val="center"/>
              <w:rPr>
                <w:rFonts w:hint="eastAsia" w:hAnsi="宋体"/>
                <w:color w:val="auto"/>
                <w:sz w:val="24"/>
                <w:szCs w:val="24"/>
                <w:highlight w:val="none"/>
              </w:rPr>
            </w:pPr>
          </w:p>
        </w:tc>
        <w:tc>
          <w:tcPr>
            <w:tcW w:w="2552" w:type="dxa"/>
            <w:vAlign w:val="center"/>
          </w:tcPr>
          <w:p w14:paraId="05D8F6A4">
            <w:pPr>
              <w:pStyle w:val="320"/>
              <w:spacing w:line="560" w:lineRule="exact"/>
              <w:ind w:firstLine="200"/>
              <w:jc w:val="center"/>
              <w:rPr>
                <w:rFonts w:hint="eastAsia" w:hAnsi="宋体"/>
                <w:color w:val="auto"/>
                <w:sz w:val="24"/>
                <w:szCs w:val="24"/>
                <w:highlight w:val="none"/>
              </w:rPr>
            </w:pPr>
          </w:p>
        </w:tc>
      </w:tr>
      <w:tr w14:paraId="0B010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F939653">
            <w:pPr>
              <w:pStyle w:val="320"/>
              <w:spacing w:line="560" w:lineRule="exact"/>
              <w:ind w:firstLine="200"/>
              <w:jc w:val="center"/>
              <w:rPr>
                <w:rFonts w:hint="eastAsia" w:hAnsi="宋体"/>
                <w:color w:val="auto"/>
                <w:sz w:val="24"/>
                <w:szCs w:val="24"/>
                <w:highlight w:val="none"/>
              </w:rPr>
            </w:pPr>
          </w:p>
        </w:tc>
        <w:tc>
          <w:tcPr>
            <w:tcW w:w="3402" w:type="dxa"/>
            <w:vAlign w:val="center"/>
          </w:tcPr>
          <w:p w14:paraId="6BFADA46">
            <w:pPr>
              <w:pStyle w:val="320"/>
              <w:spacing w:line="560" w:lineRule="exact"/>
              <w:ind w:firstLine="200"/>
              <w:jc w:val="center"/>
              <w:rPr>
                <w:rFonts w:hint="eastAsia" w:hAnsi="宋体"/>
                <w:color w:val="auto"/>
                <w:sz w:val="24"/>
                <w:szCs w:val="24"/>
                <w:highlight w:val="none"/>
              </w:rPr>
            </w:pPr>
          </w:p>
        </w:tc>
        <w:tc>
          <w:tcPr>
            <w:tcW w:w="2552" w:type="dxa"/>
            <w:vAlign w:val="center"/>
          </w:tcPr>
          <w:p w14:paraId="11948D65">
            <w:pPr>
              <w:pStyle w:val="320"/>
              <w:spacing w:line="560" w:lineRule="exact"/>
              <w:ind w:firstLine="200"/>
              <w:jc w:val="center"/>
              <w:rPr>
                <w:rFonts w:hint="eastAsia" w:hAnsi="宋体"/>
                <w:color w:val="auto"/>
                <w:sz w:val="24"/>
                <w:szCs w:val="24"/>
                <w:highlight w:val="none"/>
              </w:rPr>
            </w:pPr>
          </w:p>
        </w:tc>
      </w:tr>
      <w:tr w14:paraId="25CDC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16DC4C7">
            <w:pPr>
              <w:pStyle w:val="320"/>
              <w:spacing w:line="560" w:lineRule="exact"/>
              <w:ind w:firstLine="200"/>
              <w:jc w:val="center"/>
              <w:rPr>
                <w:rFonts w:hint="eastAsia" w:hAnsi="宋体"/>
                <w:color w:val="auto"/>
                <w:sz w:val="24"/>
                <w:szCs w:val="24"/>
                <w:highlight w:val="none"/>
              </w:rPr>
            </w:pPr>
          </w:p>
        </w:tc>
        <w:tc>
          <w:tcPr>
            <w:tcW w:w="3402" w:type="dxa"/>
            <w:vAlign w:val="center"/>
          </w:tcPr>
          <w:p w14:paraId="2B22E0E2">
            <w:pPr>
              <w:pStyle w:val="320"/>
              <w:spacing w:line="560" w:lineRule="exact"/>
              <w:ind w:firstLine="200"/>
              <w:jc w:val="center"/>
              <w:rPr>
                <w:rFonts w:hint="eastAsia" w:hAnsi="宋体"/>
                <w:color w:val="auto"/>
                <w:sz w:val="24"/>
                <w:szCs w:val="24"/>
                <w:highlight w:val="none"/>
              </w:rPr>
            </w:pPr>
          </w:p>
        </w:tc>
        <w:tc>
          <w:tcPr>
            <w:tcW w:w="2552" w:type="dxa"/>
            <w:vAlign w:val="center"/>
          </w:tcPr>
          <w:p w14:paraId="741A08BA">
            <w:pPr>
              <w:pStyle w:val="320"/>
              <w:spacing w:line="560" w:lineRule="exact"/>
              <w:ind w:firstLine="200"/>
              <w:jc w:val="center"/>
              <w:rPr>
                <w:rFonts w:hint="eastAsia" w:hAnsi="宋体"/>
                <w:color w:val="auto"/>
                <w:sz w:val="24"/>
                <w:szCs w:val="24"/>
                <w:highlight w:val="none"/>
              </w:rPr>
            </w:pPr>
          </w:p>
        </w:tc>
      </w:tr>
      <w:tr w14:paraId="249F7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61F74E5D">
            <w:pPr>
              <w:pStyle w:val="320"/>
              <w:spacing w:line="560" w:lineRule="exact"/>
              <w:ind w:firstLine="200"/>
              <w:jc w:val="center"/>
              <w:rPr>
                <w:rFonts w:hint="eastAsia" w:hAnsi="宋体"/>
                <w:color w:val="auto"/>
                <w:sz w:val="24"/>
                <w:szCs w:val="24"/>
                <w:highlight w:val="none"/>
              </w:rPr>
            </w:pPr>
            <w:r>
              <w:rPr>
                <w:rFonts w:hint="eastAsia" w:hAnsi="宋体"/>
                <w:color w:val="auto"/>
                <w:sz w:val="24"/>
                <w:szCs w:val="24"/>
                <w:highlight w:val="none"/>
              </w:rPr>
              <w:t>总价</w:t>
            </w:r>
          </w:p>
        </w:tc>
        <w:tc>
          <w:tcPr>
            <w:tcW w:w="2552" w:type="dxa"/>
            <w:vAlign w:val="center"/>
          </w:tcPr>
          <w:p w14:paraId="67864204">
            <w:pPr>
              <w:pStyle w:val="320"/>
              <w:spacing w:line="560" w:lineRule="exact"/>
              <w:ind w:firstLine="200"/>
              <w:jc w:val="center"/>
              <w:rPr>
                <w:rFonts w:hint="eastAsia" w:hAnsi="宋体"/>
                <w:color w:val="auto"/>
                <w:sz w:val="24"/>
                <w:szCs w:val="24"/>
                <w:highlight w:val="none"/>
              </w:rPr>
            </w:pPr>
          </w:p>
        </w:tc>
      </w:tr>
    </w:tbl>
    <w:p w14:paraId="141C5D51">
      <w:pPr>
        <w:spacing w:line="560" w:lineRule="exact"/>
        <w:ind w:firstLine="480" w:firstLineChars="200"/>
        <w:rPr>
          <w:rFonts w:hint="eastAsia" w:ascii="宋体" w:hAnsi="宋体"/>
          <w:color w:val="auto"/>
          <w:sz w:val="24"/>
          <w:highlight w:val="none"/>
        </w:rPr>
      </w:pPr>
      <w:bookmarkStart w:id="421" w:name="_Toc14993"/>
      <w:bookmarkStart w:id="422" w:name="_Toc3654"/>
      <w:bookmarkStart w:id="423" w:name="_Toc30158"/>
      <w:bookmarkStart w:id="424" w:name="_Toc26916"/>
      <w:bookmarkStart w:id="425" w:name="_Toc30506"/>
      <w:r>
        <w:rPr>
          <w:rFonts w:hint="eastAsia" w:ascii="宋体" w:hAnsi="宋体"/>
          <w:bCs/>
          <w:color w:val="auto"/>
          <w:sz w:val="24"/>
          <w:highlight w:val="none"/>
        </w:rPr>
        <w:t>1.3.2单价合同，本合同单价（含税）标准为：</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服务工作量的计量方式为：</w:t>
      </w:r>
      <w:r>
        <w:rPr>
          <w:rFonts w:hint="eastAsia" w:ascii="宋体" w:hAnsi="宋体"/>
          <w:bCs/>
          <w:color w:val="auto"/>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单价合同，在合同履行期间内，根据实际完成的工作量据实结算，但结算总价上限不得超过预算金额或者双方确定的金额￥</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p>
    <w:p w14:paraId="1F34A6CC">
      <w:pPr>
        <w:pStyle w:val="4"/>
        <w:spacing w:line="560" w:lineRule="exact"/>
        <w:rPr>
          <w:rFonts w:hint="eastAsia"/>
          <w:color w:val="auto"/>
          <w:highlight w:val="none"/>
          <w:lang w:val="en-US"/>
        </w:rPr>
      </w:pPr>
      <w:r>
        <w:rPr>
          <w:rFonts w:hint="eastAsia" w:ascii="宋体" w:hAnsi="宋体"/>
          <w:color w:val="auto"/>
          <w:sz w:val="24"/>
          <w:highlight w:val="none"/>
          <w:lang w:val="en-US"/>
        </w:rPr>
        <w:t xml:space="preserve">    </w:t>
      </w:r>
      <w:r>
        <w:rPr>
          <w:rFonts w:hint="eastAsia" w:ascii="宋体" w:hAnsi="宋体" w:eastAsia="宋体" w:cs="宋体"/>
          <w:b w:val="0"/>
          <w:bCs w:val="0"/>
          <w:color w:val="auto"/>
          <w:sz w:val="24"/>
          <w:highlight w:val="none"/>
          <w:lang w:val="en-US"/>
        </w:rPr>
        <w:t>1.3.3其他计价方式：</w:t>
      </w:r>
      <w:r>
        <w:rPr>
          <w:rFonts w:hint="eastAsia" w:ascii="宋体" w:hAnsi="宋体" w:eastAsia="宋体" w:cs="宋体"/>
          <w:b w:val="0"/>
          <w:bCs w:val="0"/>
          <w:color w:val="auto"/>
          <w:sz w:val="24"/>
          <w:highlight w:val="none"/>
          <w:u w:val="single"/>
          <w:lang w:val="en-US"/>
        </w:rPr>
        <w:t xml:space="preserve">                   </w:t>
      </w:r>
      <w:r>
        <w:rPr>
          <w:rFonts w:hint="eastAsia" w:ascii="宋体" w:hAnsi="宋体" w:eastAsia="宋体" w:cs="宋体"/>
          <w:b w:val="0"/>
          <w:bCs w:val="0"/>
          <w:color w:val="auto"/>
          <w:sz w:val="24"/>
          <w:highlight w:val="none"/>
        </w:rPr>
        <w:t>。</w:t>
      </w:r>
    </w:p>
    <w:bookmarkEnd w:id="421"/>
    <w:bookmarkEnd w:id="422"/>
    <w:bookmarkEnd w:id="423"/>
    <w:bookmarkEnd w:id="424"/>
    <w:bookmarkEnd w:id="425"/>
    <w:p w14:paraId="41EFA6B1">
      <w:pPr>
        <w:pStyle w:val="960"/>
        <w:spacing w:before="0" w:beforeAutospacing="0" w:after="0" w:afterAutospacing="0" w:line="560" w:lineRule="exact"/>
        <w:ind w:firstLine="480"/>
        <w:rPr>
          <w:rFonts w:hint="eastAsia"/>
          <w:b/>
          <w:color w:val="auto"/>
          <w:highlight w:val="none"/>
        </w:rPr>
      </w:pPr>
      <w:bookmarkStart w:id="426" w:name="_Toc1814"/>
      <w:bookmarkStart w:id="427" w:name="_Toc22618"/>
      <w:bookmarkStart w:id="428" w:name="_Toc10340"/>
      <w:bookmarkStart w:id="429" w:name="_Toc8772"/>
      <w:bookmarkStart w:id="430" w:name="_Toc3625"/>
      <w:bookmarkStart w:id="431" w:name="_Toc4760"/>
      <w:bookmarkStart w:id="432" w:name="_Toc11108"/>
      <w:bookmarkStart w:id="433" w:name="_Toc31421"/>
      <w:r>
        <w:rPr>
          <w:rFonts w:hint="eastAsia"/>
          <w:b/>
          <w:color w:val="auto"/>
          <w:highlight w:val="none"/>
        </w:rPr>
        <w:t>1.4履约保证金</w:t>
      </w:r>
    </w:p>
    <w:p w14:paraId="21DAB230">
      <w:pPr>
        <w:pStyle w:val="960"/>
        <w:spacing w:before="0" w:beforeAutospacing="0" w:after="0" w:afterAutospacing="0" w:line="560" w:lineRule="exact"/>
        <w:ind w:firstLine="480"/>
        <w:rPr>
          <w:rFonts w:hint="eastAsia"/>
          <w:color w:val="auto"/>
          <w:highlight w:val="none"/>
        </w:rPr>
      </w:pPr>
      <w:r>
        <w:rPr>
          <w:rFonts w:hint="eastAsia"/>
          <w:color w:val="auto"/>
          <w:highlight w:val="none"/>
        </w:rPr>
        <w:t>乙方</w:t>
      </w:r>
      <w:r>
        <w:rPr>
          <w:rFonts w:hint="eastAsia"/>
          <w:color w:val="auto"/>
          <w:highlight w:val="none"/>
          <w:u w:val="single"/>
        </w:rPr>
        <w:t xml:space="preserve">   否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否）需要支付履约保证金。若需要支付履约保证金的，则：</w:t>
      </w:r>
    </w:p>
    <w:p w14:paraId="5DF2A5C4">
      <w:pPr>
        <w:spacing w:line="560" w:lineRule="exact"/>
        <w:ind w:firstLine="480" w:firstLineChars="200"/>
        <w:outlineLvl w:val="0"/>
        <w:rPr>
          <w:rFonts w:hint="eastAsia" w:ascii="宋体" w:hAnsi="宋体" w:cs="宋体"/>
          <w:color w:val="auto"/>
          <w:kern w:val="0"/>
          <w:sz w:val="24"/>
          <w:highlight w:val="none"/>
        </w:rPr>
      </w:pPr>
      <w:r>
        <w:rPr>
          <w:rFonts w:hint="eastAsia" w:ascii="宋体" w:hAnsi="宋体" w:cs="宋体"/>
          <w:color w:val="auto"/>
          <w:kern w:val="0"/>
          <w:sz w:val="24"/>
          <w:highlight w:val="none"/>
        </w:rPr>
        <w:t>1.4.1履约保证金的比例为合同金额的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40CE313C">
      <w:pPr>
        <w:spacing w:line="560" w:lineRule="exact"/>
        <w:ind w:firstLine="480" w:firstLineChars="200"/>
        <w:outlineLvl w:val="0"/>
        <w:rPr>
          <w:rFonts w:hint="eastAsia" w:ascii="宋体" w:hAnsi="宋体" w:cs="宋体"/>
          <w:color w:val="auto"/>
          <w:kern w:val="0"/>
          <w:sz w:val="24"/>
          <w:highlight w:val="none"/>
        </w:rPr>
      </w:pPr>
      <w:r>
        <w:rPr>
          <w:rFonts w:hint="eastAsia" w:ascii="宋体" w:hAnsi="宋体" w:cs="宋体"/>
          <w:color w:val="auto"/>
          <w:kern w:val="0"/>
          <w:sz w:val="24"/>
          <w:highlight w:val="none"/>
        </w:rPr>
        <w:t>1.4.2履约保证金支付方式详见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4143AD41">
      <w:pPr>
        <w:pStyle w:val="4"/>
        <w:tabs>
          <w:tab w:val="left" w:pos="0"/>
        </w:tabs>
        <w:spacing w:line="560" w:lineRule="exact"/>
        <w:ind w:left="0" w:firstLine="480" w:firstLineChars="200"/>
        <w:rPr>
          <w:rFonts w:hint="eastAsia"/>
          <w:color w:val="auto"/>
          <w:highlight w:val="none"/>
          <w:lang w:val="en-US"/>
        </w:rPr>
      </w:pPr>
      <w:r>
        <w:rPr>
          <w:rFonts w:hint="eastAsia" w:ascii="宋体" w:hAnsi="宋体" w:eastAsia="宋体"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5C5A6403">
      <w:pPr>
        <w:spacing w:line="560" w:lineRule="exact"/>
        <w:ind w:firstLine="480" w:firstLineChars="200"/>
        <w:outlineLvl w:val="0"/>
        <w:rPr>
          <w:rFonts w:hint="eastAsia" w:ascii="宋体" w:hAnsi="宋体" w:cs="宋体"/>
          <w:color w:val="auto"/>
          <w:kern w:val="0"/>
          <w:sz w:val="24"/>
          <w:highlight w:val="none"/>
        </w:rPr>
      </w:pPr>
      <w:r>
        <w:rPr>
          <w:rFonts w:hint="eastAsia" w:ascii="宋体" w:hAnsi="宋体" w:cs="宋体"/>
          <w:color w:val="auto"/>
          <w:kern w:val="0"/>
          <w:sz w:val="24"/>
          <w:highlight w:val="none"/>
        </w:rPr>
        <w:t>1.4.4甲方在项目验收结束后及时退还履约保证金。甲方在项目通过验收之日起</w:t>
      </w:r>
      <w:r>
        <w:rPr>
          <w:rFonts w:hint="eastAsia" w:ascii="宋体" w:hAnsi="宋体" w:cs="宋体"/>
          <w:color w:val="auto"/>
          <w:kern w:val="0"/>
          <w:sz w:val="24"/>
          <w:highlight w:val="none"/>
          <w:u w:val="single"/>
        </w:rPr>
        <w:t xml:space="preserve">       7</w:t>
      </w:r>
      <w:r>
        <w:rPr>
          <w:rFonts w:hint="eastAsia" w:ascii="宋体" w:hAnsi="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highlight w:val="none"/>
          <w:u w:val="single"/>
        </w:rPr>
        <w:t xml:space="preserve">  0.05  </w:t>
      </w:r>
      <w:r>
        <w:rPr>
          <w:rFonts w:hint="eastAsia" w:ascii="宋体" w:hAnsi="宋体" w:cs="宋体"/>
          <w:color w:val="auto"/>
          <w:kern w:val="0"/>
          <w:sz w:val="24"/>
          <w:highlight w:val="none"/>
        </w:rPr>
        <w:t>%计算，最高限额为本合同履约保证金的</w:t>
      </w:r>
      <w:r>
        <w:rPr>
          <w:rFonts w:hint="eastAsia" w:ascii="宋体" w:hAnsi="宋体" w:cs="宋体"/>
          <w:color w:val="auto"/>
          <w:kern w:val="0"/>
          <w:sz w:val="24"/>
          <w:highlight w:val="none"/>
          <w:u w:val="single"/>
        </w:rPr>
        <w:t xml:space="preserve">  20  </w:t>
      </w:r>
      <w:r>
        <w:rPr>
          <w:rFonts w:hint="eastAsia" w:ascii="宋体" w:hAnsi="宋体" w:cs="宋体"/>
          <w:color w:val="auto"/>
          <w:kern w:val="0"/>
          <w:sz w:val="24"/>
          <w:highlight w:val="none"/>
        </w:rPr>
        <w:t xml:space="preserve"> %。</w:t>
      </w:r>
    </w:p>
    <w:p w14:paraId="12BBB949">
      <w:pPr>
        <w:spacing w:line="560" w:lineRule="exact"/>
        <w:ind w:firstLine="482" w:firstLineChars="200"/>
        <w:outlineLvl w:val="0"/>
        <w:rPr>
          <w:rFonts w:hint="eastAsia" w:ascii="宋体" w:hAnsi="宋体" w:cs="宋体"/>
          <w:b/>
          <w:color w:val="auto"/>
          <w:sz w:val="24"/>
          <w:highlight w:val="none"/>
        </w:rPr>
      </w:pPr>
      <w:r>
        <w:rPr>
          <w:rFonts w:hint="eastAsia" w:ascii="宋体" w:hAnsi="宋体" w:cs="宋体"/>
          <w:b/>
          <w:color w:val="auto"/>
          <w:sz w:val="24"/>
          <w:highlight w:val="none"/>
        </w:rPr>
        <w:t>1.5</w:t>
      </w:r>
      <w:bookmarkEnd w:id="426"/>
      <w:bookmarkEnd w:id="427"/>
      <w:bookmarkEnd w:id="428"/>
      <w:r>
        <w:rPr>
          <w:rFonts w:hint="eastAsia" w:ascii="宋体" w:hAnsi="宋体" w:cs="宋体"/>
          <w:b/>
          <w:color w:val="auto"/>
          <w:sz w:val="24"/>
          <w:highlight w:val="none"/>
        </w:rPr>
        <w:t>预付款</w:t>
      </w:r>
    </w:p>
    <w:p w14:paraId="46BFD21A">
      <w:pPr>
        <w:pStyle w:val="960"/>
        <w:spacing w:before="0" w:beforeAutospacing="0" w:after="0" w:afterAutospacing="0" w:line="560" w:lineRule="exact"/>
        <w:ind w:firstLine="480"/>
        <w:rPr>
          <w:rFonts w:hint="eastAsia"/>
          <w:color w:val="auto"/>
          <w:highlight w:val="none"/>
        </w:rPr>
      </w:pPr>
      <w:r>
        <w:rPr>
          <w:rFonts w:hint="eastAsia"/>
          <w:color w:val="auto"/>
          <w:highlight w:val="none"/>
        </w:rPr>
        <w:t>甲方</w:t>
      </w:r>
      <w:r>
        <w:rPr>
          <w:rFonts w:hint="eastAsia"/>
          <w:color w:val="auto"/>
          <w:highlight w:val="none"/>
          <w:u w:val="single"/>
        </w:rPr>
        <w:t xml:space="preserve">   是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否）需要支付预付款。若需要支付预付款的，则：</w:t>
      </w:r>
    </w:p>
    <w:p w14:paraId="47EC0C35">
      <w:pPr>
        <w:spacing w:line="56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1.5.1预付款比例、支付方式、时间详见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459D2226">
      <w:pPr>
        <w:pStyle w:val="960"/>
        <w:spacing w:before="0" w:beforeAutospacing="0" w:after="0" w:afterAutospacing="0" w:line="560" w:lineRule="exact"/>
        <w:ind w:firstLine="480"/>
        <w:rPr>
          <w:rFonts w:hint="eastAsia"/>
          <w:color w:val="auto"/>
          <w:highlight w:val="none"/>
        </w:rPr>
      </w:pPr>
      <w:r>
        <w:rPr>
          <w:rFonts w:hint="eastAsia"/>
          <w:color w:val="auto"/>
          <w:highlight w:val="none"/>
        </w:rPr>
        <w:t>1.5.2预付款的扣回方式详见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3833DDED">
      <w:pPr>
        <w:pStyle w:val="960"/>
        <w:spacing w:before="0" w:beforeAutospacing="0" w:after="0" w:afterAutospacing="0" w:line="560" w:lineRule="exact"/>
        <w:ind w:firstLine="480"/>
        <w:rPr>
          <w:rFonts w:hint="eastAsia"/>
          <w:color w:val="auto"/>
          <w:highlight w:val="none"/>
          <w:u w:val="single"/>
        </w:rPr>
      </w:pPr>
      <w:r>
        <w:rPr>
          <w:rFonts w:hint="eastAsia"/>
          <w:color w:val="auto"/>
          <w:highlight w:val="none"/>
        </w:rPr>
        <w:t>1.5.3预付款的担保措施详见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38D5A9EF">
      <w:pPr>
        <w:pStyle w:val="960"/>
        <w:spacing w:before="0" w:beforeAutospacing="0" w:after="0" w:afterAutospacing="0" w:line="560" w:lineRule="exact"/>
        <w:ind w:firstLine="480"/>
        <w:rPr>
          <w:rFonts w:hint="eastAsia"/>
          <w:b/>
          <w:bCs/>
          <w:color w:val="auto"/>
          <w:highlight w:val="none"/>
        </w:rPr>
      </w:pPr>
      <w:r>
        <w:rPr>
          <w:rFonts w:hint="eastAsia"/>
          <w:b/>
          <w:bCs/>
          <w:color w:val="auto"/>
          <w:highlight w:val="none"/>
        </w:rPr>
        <w:t>1.6资金支付</w:t>
      </w:r>
    </w:p>
    <w:p w14:paraId="77E511AF">
      <w:pPr>
        <w:pStyle w:val="960"/>
        <w:spacing w:before="0" w:beforeAutospacing="0" w:after="0" w:afterAutospacing="0" w:line="560" w:lineRule="exact"/>
        <w:ind w:firstLine="480"/>
        <w:rPr>
          <w:rFonts w:hint="eastAsia"/>
          <w:color w:val="auto"/>
          <w:highlight w:val="none"/>
        </w:rPr>
      </w:pPr>
      <w:r>
        <w:rPr>
          <w:rFonts w:hint="eastAsia"/>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29E45AF1">
      <w:pPr>
        <w:spacing w:line="560" w:lineRule="exact"/>
        <w:ind w:firstLine="480" w:firstLineChars="200"/>
        <w:outlineLvl w:val="0"/>
        <w:rPr>
          <w:rFonts w:hint="eastAsia" w:ascii="宋体" w:hAnsi="宋体" w:cs="宋体"/>
          <w:color w:val="auto"/>
          <w:sz w:val="24"/>
          <w:highlight w:val="none"/>
        </w:rPr>
      </w:pPr>
      <w:r>
        <w:rPr>
          <w:rFonts w:hint="eastAsia" w:ascii="宋体" w:hAnsi="宋体" w:cs="宋体"/>
          <w:color w:val="auto"/>
          <w:sz w:val="24"/>
          <w:highlight w:val="none"/>
        </w:rPr>
        <w:t>1.6.2资金支付的方式、时间和条件详见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38818679">
      <w:pPr>
        <w:spacing w:line="560" w:lineRule="exact"/>
        <w:ind w:firstLine="482" w:firstLineChars="200"/>
        <w:outlineLvl w:val="0"/>
        <w:rPr>
          <w:rFonts w:hint="eastAsia" w:ascii="宋体" w:hAnsi="宋体"/>
          <w:b/>
          <w:color w:val="auto"/>
          <w:sz w:val="24"/>
          <w:highlight w:val="none"/>
        </w:rPr>
      </w:pPr>
      <w:r>
        <w:rPr>
          <w:rFonts w:ascii="宋体" w:hAnsi="宋体"/>
          <w:b/>
          <w:color w:val="auto"/>
          <w:sz w:val="24"/>
          <w:highlight w:val="none"/>
        </w:rPr>
        <w:t>1.</w:t>
      </w:r>
      <w:r>
        <w:rPr>
          <w:rFonts w:hint="eastAsia" w:ascii="宋体" w:hAnsi="宋体"/>
          <w:b/>
          <w:color w:val="auto"/>
          <w:sz w:val="24"/>
          <w:highlight w:val="none"/>
        </w:rPr>
        <w:t>7</w:t>
      </w:r>
      <w:r>
        <w:rPr>
          <w:rFonts w:ascii="宋体" w:hAnsi="宋体"/>
          <w:b/>
          <w:color w:val="auto"/>
          <w:sz w:val="24"/>
          <w:highlight w:val="none"/>
        </w:rPr>
        <w:t xml:space="preserve"> 履行期限</w:t>
      </w:r>
      <w:r>
        <w:rPr>
          <w:rFonts w:hint="eastAsia" w:ascii="宋体" w:hAnsi="宋体"/>
          <w:b/>
          <w:color w:val="auto"/>
          <w:sz w:val="24"/>
          <w:highlight w:val="none"/>
        </w:rPr>
        <w:t>、地点和方式</w:t>
      </w:r>
      <w:bookmarkEnd w:id="429"/>
      <w:bookmarkEnd w:id="430"/>
      <w:bookmarkEnd w:id="431"/>
      <w:bookmarkEnd w:id="432"/>
      <w:bookmarkEnd w:id="433"/>
    </w:p>
    <w:p w14:paraId="5C10AF44">
      <w:pPr>
        <w:spacing w:line="560" w:lineRule="exact"/>
        <w:ind w:firstLine="480" w:firstLineChars="200"/>
        <w:rPr>
          <w:rFonts w:hint="eastAsia" w:ascii="宋体" w:hAnsi="宋体"/>
          <w:color w:val="auto"/>
          <w:sz w:val="24"/>
          <w:highlight w:val="none"/>
          <w:u w:val="singl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.1 </w:t>
      </w:r>
      <w:r>
        <w:rPr>
          <w:rFonts w:hint="eastAsia" w:ascii="宋体" w:hAnsi="宋体"/>
          <w:color w:val="auto"/>
          <w:sz w:val="24"/>
          <w:highlight w:val="none"/>
        </w:rPr>
        <w:t>服务交付（实施）的时间（期限）</w:t>
      </w:r>
      <w:r>
        <w:rPr>
          <w:rFonts w:ascii="宋体" w:hAnsi="宋体"/>
          <w:color w:val="auto"/>
          <w:sz w:val="24"/>
          <w:highlight w:val="none"/>
        </w:rPr>
        <w:t>：</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07209F58">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.2 </w:t>
      </w:r>
      <w:r>
        <w:rPr>
          <w:rFonts w:hint="eastAsia" w:ascii="宋体" w:hAnsi="宋体"/>
          <w:color w:val="auto"/>
          <w:sz w:val="24"/>
          <w:highlight w:val="none"/>
        </w:rPr>
        <w:t>服</w:t>
      </w:r>
      <w:r>
        <w:rPr>
          <w:rFonts w:hint="eastAsia" w:ascii="宋体" w:hAnsi="宋体" w:cs="宋体"/>
          <w:color w:val="auto"/>
          <w:sz w:val="24"/>
          <w:highlight w:val="none"/>
        </w:rPr>
        <w:t>务交付（实施）的地点（地域范围）：</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098DAC11">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.3 </w:t>
      </w:r>
      <w:r>
        <w:rPr>
          <w:rFonts w:hint="eastAsia" w:ascii="宋体" w:hAnsi="宋体"/>
          <w:color w:val="auto"/>
          <w:sz w:val="24"/>
          <w:highlight w:val="none"/>
        </w:rPr>
        <w:t>服务交付（实施）的方式：</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1B0ECB64">
      <w:pPr>
        <w:spacing w:line="560" w:lineRule="exact"/>
        <w:ind w:firstLine="480" w:firstLineChars="200"/>
        <w:outlineLvl w:val="0"/>
        <w:rPr>
          <w:rFonts w:hint="eastAsia" w:ascii="宋体" w:hAnsi="宋体"/>
          <w:bCs/>
          <w:color w:val="auto"/>
          <w:sz w:val="24"/>
          <w:highlight w:val="none"/>
        </w:rPr>
      </w:pPr>
      <w:bookmarkStart w:id="434" w:name="_Toc2375"/>
      <w:bookmarkStart w:id="435" w:name="_Toc8586"/>
      <w:bookmarkStart w:id="436" w:name="_Toc24662"/>
      <w:bookmarkStart w:id="437" w:name="_Toc5698"/>
      <w:bookmarkStart w:id="438" w:name="_Toc3079"/>
      <w:r>
        <w:rPr>
          <w:rFonts w:hint="eastAsia" w:ascii="宋体" w:hAnsi="宋体"/>
          <w:bCs/>
          <w:color w:val="auto"/>
          <w:sz w:val="24"/>
          <w:highlight w:val="none"/>
        </w:rPr>
        <w:t>1.7.4若服务</w:t>
      </w:r>
      <w:r>
        <w:rPr>
          <w:rFonts w:hint="eastAsia"/>
          <w:bCs/>
          <w:color w:val="auto"/>
          <w:sz w:val="24"/>
          <w:highlight w:val="none"/>
        </w:rPr>
        <w:t>涉及货物的，则货物的：</w:t>
      </w:r>
    </w:p>
    <w:p w14:paraId="219D6C2F">
      <w:pPr>
        <w:spacing w:line="560" w:lineRule="exact"/>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1.7.4.1 交付期限：详见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2F4C0B09">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1.7.4.2 交付地点：</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13502872">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1.7.4.3 交付方式：</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052C5E88">
      <w:pPr>
        <w:spacing w:line="560" w:lineRule="exact"/>
        <w:ind w:firstLine="482" w:firstLineChars="200"/>
        <w:outlineLvl w:val="0"/>
        <w:rPr>
          <w:rFonts w:hint="eastAsia" w:ascii="宋体" w:hAnsi="宋体"/>
          <w:color w:val="auto"/>
          <w:sz w:val="24"/>
          <w:highlight w:val="none"/>
          <w:u w:val="single"/>
        </w:rPr>
      </w:pPr>
      <w:r>
        <w:rPr>
          <w:rFonts w:ascii="宋体" w:hAnsi="宋体"/>
          <w:b/>
          <w:color w:val="auto"/>
          <w:sz w:val="24"/>
          <w:highlight w:val="none"/>
        </w:rPr>
        <w:t>1.</w:t>
      </w:r>
      <w:r>
        <w:rPr>
          <w:rFonts w:hint="eastAsia" w:ascii="宋体" w:hAnsi="宋体"/>
          <w:b/>
          <w:color w:val="auto"/>
          <w:sz w:val="24"/>
          <w:highlight w:val="none"/>
        </w:rPr>
        <w:t>8违约责任</w:t>
      </w:r>
      <w:bookmarkEnd w:id="434"/>
      <w:bookmarkEnd w:id="435"/>
      <w:bookmarkEnd w:id="436"/>
      <w:bookmarkEnd w:id="437"/>
      <w:bookmarkEnd w:id="438"/>
    </w:p>
    <w:p w14:paraId="123334F7">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.1 除不可抗力外，如果乙方没有按照本合同约定的期限</w:t>
      </w:r>
      <w:r>
        <w:rPr>
          <w:rFonts w:hint="eastAsia" w:ascii="宋体" w:hAnsi="宋体"/>
          <w:color w:val="auto"/>
          <w:sz w:val="24"/>
          <w:highlight w:val="none"/>
        </w:rPr>
        <w:t>、</w:t>
      </w:r>
      <w:r>
        <w:rPr>
          <w:rFonts w:ascii="宋体" w:hAnsi="宋体"/>
          <w:color w:val="auto"/>
          <w:sz w:val="24"/>
          <w:highlight w:val="none"/>
        </w:rPr>
        <w:t>地点和方式</w:t>
      </w:r>
      <w:r>
        <w:rPr>
          <w:rFonts w:hint="eastAsia" w:ascii="宋体" w:hAnsi="宋体"/>
          <w:color w:val="auto"/>
          <w:sz w:val="24"/>
          <w:highlight w:val="none"/>
        </w:rPr>
        <w:t>交付服务成果或者实施服务</w:t>
      </w:r>
      <w:r>
        <w:rPr>
          <w:rFonts w:ascii="宋体" w:hAnsi="宋体"/>
          <w:color w:val="auto"/>
          <w:sz w:val="24"/>
          <w:highlight w:val="none"/>
        </w:rPr>
        <w:t>，那么甲方可要求乙方支付违约金</w:t>
      </w:r>
      <w:r>
        <w:rPr>
          <w:rFonts w:hint="eastAsia" w:ascii="宋体" w:hAnsi="宋体"/>
          <w:color w:val="auto"/>
          <w:sz w:val="24"/>
          <w:highlight w:val="none"/>
        </w:rPr>
        <w:t>，迟延履行</w:t>
      </w:r>
      <w:r>
        <w:rPr>
          <w:rFonts w:ascii="宋体" w:hAnsi="宋体"/>
          <w:color w:val="auto"/>
          <w:sz w:val="24"/>
          <w:highlight w:val="none"/>
        </w:rPr>
        <w:t>违约金按每迟延</w:t>
      </w:r>
      <w:r>
        <w:rPr>
          <w:rFonts w:hint="eastAsia" w:ascii="宋体" w:hAnsi="宋体"/>
          <w:color w:val="auto"/>
          <w:sz w:val="24"/>
          <w:highlight w:val="none"/>
        </w:rPr>
        <w:t>履行</w:t>
      </w:r>
      <w:r>
        <w:rPr>
          <w:rFonts w:ascii="宋体" w:hAnsi="宋体"/>
          <w:color w:val="auto"/>
          <w:sz w:val="24"/>
          <w:highlight w:val="none"/>
        </w:rPr>
        <w:t>一日的应提供而未</w:t>
      </w:r>
      <w:r>
        <w:rPr>
          <w:rFonts w:hint="eastAsia" w:ascii="宋体" w:hAnsi="宋体"/>
          <w:color w:val="auto"/>
          <w:sz w:val="24"/>
          <w:highlight w:val="none"/>
        </w:rPr>
        <w:t>提供</w:t>
      </w:r>
      <w:r>
        <w:rPr>
          <w:rFonts w:ascii="宋体" w:hAnsi="宋体"/>
          <w:color w:val="auto"/>
          <w:sz w:val="24"/>
          <w:highlight w:val="none"/>
        </w:rPr>
        <w:t>服务价格的</w:t>
      </w:r>
      <w:r>
        <w:rPr>
          <w:rFonts w:hint="eastAsia" w:ascii="宋体" w:hAnsi="宋体"/>
          <w:color w:val="auto"/>
          <w:sz w:val="24"/>
          <w:highlight w:val="none"/>
          <w:u w:val="single"/>
        </w:rPr>
        <w:t xml:space="preserve"> 1</w:t>
      </w:r>
      <w:r>
        <w:rPr>
          <w:rFonts w:ascii="宋体" w:hAnsi="宋体"/>
          <w:color w:val="auto"/>
          <w:sz w:val="24"/>
          <w:highlight w:val="none"/>
          <w:u w:val="single"/>
        </w:rPr>
        <w:t xml:space="preserve"> </w:t>
      </w:r>
      <w:r>
        <w:rPr>
          <w:rFonts w:ascii="宋体" w:hAnsi="宋体"/>
          <w:color w:val="auto"/>
          <w:sz w:val="24"/>
          <w:highlight w:val="none"/>
        </w:rPr>
        <w:t>%计算</w:t>
      </w:r>
      <w:r>
        <w:rPr>
          <w:rFonts w:hint="eastAsia" w:ascii="宋体" w:hAnsi="宋体"/>
          <w:color w:val="auto"/>
          <w:sz w:val="24"/>
          <w:highlight w:val="none"/>
        </w:rPr>
        <w:t>，</w:t>
      </w:r>
      <w:r>
        <w:rPr>
          <w:rFonts w:ascii="宋体" w:hAnsi="宋体"/>
          <w:color w:val="auto"/>
          <w:sz w:val="24"/>
          <w:highlight w:val="none"/>
        </w:rPr>
        <w:t>最高限额为</w:t>
      </w:r>
      <w:r>
        <w:rPr>
          <w:rFonts w:hint="eastAsia" w:ascii="宋体" w:hAnsi="宋体"/>
          <w:color w:val="auto"/>
          <w:sz w:val="24"/>
          <w:highlight w:val="none"/>
        </w:rPr>
        <w:t>本</w:t>
      </w:r>
      <w:r>
        <w:rPr>
          <w:rFonts w:ascii="宋体" w:hAnsi="宋体"/>
          <w:color w:val="auto"/>
          <w:sz w:val="24"/>
          <w:highlight w:val="none"/>
        </w:rPr>
        <w:t>合同总价的</w:t>
      </w:r>
      <w:r>
        <w:rPr>
          <w:rFonts w:ascii="宋体" w:hAnsi="宋体"/>
          <w:color w:val="auto"/>
          <w:sz w:val="24"/>
          <w:highlight w:val="none"/>
          <w:u w:val="single"/>
        </w:rPr>
        <w:t xml:space="preserve">  20   </w:t>
      </w:r>
      <w:r>
        <w:rPr>
          <w:rFonts w:ascii="宋体" w:hAnsi="宋体"/>
          <w:color w:val="auto"/>
          <w:sz w:val="24"/>
          <w:highlight w:val="none"/>
        </w:rPr>
        <w:t>%</w:t>
      </w:r>
      <w:r>
        <w:rPr>
          <w:rFonts w:hint="eastAsia" w:ascii="宋体" w:hAnsi="宋体"/>
          <w:color w:val="auto"/>
          <w:sz w:val="24"/>
          <w:highlight w:val="none"/>
        </w:rPr>
        <w:t>；</w:t>
      </w:r>
      <w:r>
        <w:rPr>
          <w:rFonts w:ascii="宋体" w:hAnsi="宋体"/>
          <w:color w:val="auto"/>
          <w:sz w:val="24"/>
          <w:highlight w:val="none"/>
        </w:rPr>
        <w:t>迟延</w:t>
      </w:r>
      <w:r>
        <w:rPr>
          <w:rFonts w:hint="eastAsia" w:ascii="宋体" w:hAnsi="宋体"/>
          <w:color w:val="auto"/>
          <w:sz w:val="24"/>
          <w:highlight w:val="none"/>
        </w:rPr>
        <w:t>履行</w:t>
      </w:r>
      <w:r>
        <w:rPr>
          <w:rFonts w:ascii="宋体" w:hAnsi="宋体"/>
          <w:color w:val="auto"/>
          <w:sz w:val="24"/>
          <w:highlight w:val="none"/>
        </w:rPr>
        <w:t>的违约金计算数额达到前述最高限额之日起</w:t>
      </w:r>
      <w:r>
        <w:rPr>
          <w:rFonts w:hint="eastAsia" w:ascii="宋体" w:hAnsi="宋体"/>
          <w:color w:val="auto"/>
          <w:sz w:val="24"/>
          <w:highlight w:val="none"/>
        </w:rPr>
        <w:t>，</w:t>
      </w:r>
      <w:r>
        <w:rPr>
          <w:rFonts w:ascii="宋体" w:hAnsi="宋体"/>
          <w:color w:val="auto"/>
          <w:sz w:val="24"/>
          <w:highlight w:val="none"/>
        </w:rPr>
        <w:t>甲方有权在要求乙方支付违约金的同时</w:t>
      </w:r>
      <w:r>
        <w:rPr>
          <w:rFonts w:hint="eastAsia" w:ascii="宋体" w:hAnsi="宋体"/>
          <w:color w:val="auto"/>
          <w:sz w:val="24"/>
          <w:highlight w:val="none"/>
        </w:rPr>
        <w:t>，书面通知乙方</w:t>
      </w:r>
      <w:r>
        <w:rPr>
          <w:rFonts w:ascii="宋体" w:hAnsi="宋体"/>
          <w:color w:val="auto"/>
          <w:sz w:val="24"/>
          <w:highlight w:val="none"/>
        </w:rPr>
        <w:t>解除本合同</w:t>
      </w:r>
      <w:r>
        <w:rPr>
          <w:rFonts w:hint="eastAsia" w:ascii="宋体" w:hAnsi="宋体"/>
          <w:color w:val="auto"/>
          <w:sz w:val="24"/>
          <w:highlight w:val="none"/>
        </w:rPr>
        <w:t>；</w:t>
      </w:r>
    </w:p>
    <w:p w14:paraId="5183ABFD">
      <w:pPr>
        <w:pStyle w:val="4"/>
        <w:spacing w:line="560" w:lineRule="exact"/>
        <w:ind w:left="0" w:firstLine="480" w:firstLineChars="200"/>
        <w:rPr>
          <w:rFonts w:hint="eastAsia"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highlight w:val="none"/>
          <w:u w:val="single"/>
          <w:lang w:val="en-US"/>
        </w:rPr>
        <w:t xml:space="preserve">  0.05  </w:t>
      </w:r>
      <w:r>
        <w:rPr>
          <w:rFonts w:hint="eastAsia" w:ascii="宋体" w:hAnsi="宋体" w:eastAsia="宋体" w:cs="宋体"/>
          <w:b w:val="0"/>
          <w:bCs w:val="0"/>
          <w:color w:val="auto"/>
          <w:sz w:val="24"/>
          <w:szCs w:val="24"/>
          <w:highlight w:val="none"/>
          <w:lang w:val="en-US"/>
        </w:rPr>
        <w:t>%计算，最高限额为本合同总价的</w:t>
      </w:r>
      <w:r>
        <w:rPr>
          <w:rFonts w:hint="eastAsia" w:ascii="宋体" w:hAnsi="宋体" w:eastAsia="宋体" w:cs="宋体"/>
          <w:b w:val="0"/>
          <w:bCs w:val="0"/>
          <w:color w:val="auto"/>
          <w:sz w:val="24"/>
          <w:szCs w:val="24"/>
          <w:highlight w:val="none"/>
          <w:u w:val="single"/>
          <w:lang w:val="en-US"/>
        </w:rPr>
        <w:t xml:space="preserve">  20  </w:t>
      </w:r>
      <w:r>
        <w:rPr>
          <w:rFonts w:hint="eastAsia" w:ascii="宋体" w:hAnsi="宋体" w:eastAsia="宋体" w:cs="宋体"/>
          <w:b w:val="0"/>
          <w:bCs w:val="0"/>
          <w:color w:val="auto"/>
          <w:sz w:val="24"/>
          <w:szCs w:val="24"/>
          <w:highlight w:val="none"/>
          <w:lang w:val="en-US"/>
        </w:rPr>
        <w:t>%；迟延交付货物的违约金计算数额达到前述最高限额之日起，甲方有权在要求乙方支付违约金的同时，书面通知乙方解除本合同；</w:t>
      </w:r>
    </w:p>
    <w:p w14:paraId="4369F4F5">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w:t>
      </w:r>
      <w:r>
        <w:rPr>
          <w:rFonts w:hint="eastAsia" w:ascii="宋体" w:hAnsi="宋体"/>
          <w:color w:val="auto"/>
          <w:sz w:val="24"/>
          <w:highlight w:val="none"/>
        </w:rPr>
        <w:t>3</w:t>
      </w:r>
      <w:r>
        <w:rPr>
          <w:rFonts w:hint="eastAsia" w:ascii="宋体" w:hAnsi="宋体" w:cs="宋体"/>
          <w:color w:val="auto"/>
          <w:sz w:val="24"/>
          <w:highlight w:val="none"/>
        </w:rPr>
        <w:t>除不可抗力外，如果甲方没有按照本合同约定的付款方式付款，那么乙方可要求甲方支付违约金，违约金按每迟延付款一日的应付而未付款的</w:t>
      </w:r>
      <w:r>
        <w:rPr>
          <w:rFonts w:hint="eastAsia" w:ascii="宋体" w:hAnsi="宋体" w:cs="宋体"/>
          <w:color w:val="auto"/>
          <w:sz w:val="24"/>
          <w:highlight w:val="none"/>
          <w:u w:val="single"/>
        </w:rPr>
        <w:t xml:space="preserve">   0.05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  </w:t>
      </w:r>
      <w:r>
        <w:rPr>
          <w:rFonts w:hint="eastAsia" w:ascii="宋体" w:hAnsi="宋体" w:cs="宋体"/>
          <w:color w:val="auto"/>
          <w:sz w:val="24"/>
          <w:highlight w:val="none"/>
        </w:rPr>
        <w:t>%；迟延付款的违约金计算数额达到前述最高限额之日起，乙方有权在要求甲方支付违约金的同时，书面通知甲方解除本合同</w:t>
      </w:r>
      <w:r>
        <w:rPr>
          <w:rFonts w:hint="eastAsia" w:ascii="宋体" w:hAnsi="宋体"/>
          <w:color w:val="auto"/>
          <w:sz w:val="24"/>
          <w:highlight w:val="none"/>
        </w:rPr>
        <w:t>；</w:t>
      </w:r>
    </w:p>
    <w:p w14:paraId="52E731FF">
      <w:pPr>
        <w:spacing w:line="560" w:lineRule="exact"/>
        <w:ind w:firstLine="480" w:firstLineChars="200"/>
        <w:rPr>
          <w:rFonts w:hint="eastAsia" w:ascii="宋体" w:hAnsi="宋体" w:cs="宋体"/>
          <w:color w:val="auto"/>
          <w:sz w:val="24"/>
          <w:highlight w:val="none"/>
        </w:rPr>
      </w:pPr>
      <w:bookmarkStart w:id="439" w:name="_Toc26807"/>
      <w:bookmarkStart w:id="440" w:name="_Toc9497"/>
      <w:bookmarkStart w:id="441" w:name="_Toc32454"/>
      <w:bookmarkStart w:id="442" w:name="_Toc30329"/>
      <w:bookmarkStart w:id="443" w:name="_Toc18683"/>
      <w:r>
        <w:rPr>
          <w:rFonts w:hint="eastAsia" w:ascii="宋体" w:hAnsi="宋体" w:cs="宋体"/>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0A75D90F">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6614CA9F">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46AE1C1D">
      <w:pPr>
        <w:spacing w:line="560" w:lineRule="exact"/>
        <w:ind w:right="-420" w:rightChars="-200" w:firstLine="480" w:firstLineChars="200"/>
        <w:rPr>
          <w:rFonts w:hint="eastAsia" w:ascii="宋体" w:hAnsi="宋体" w:cs="宋体"/>
          <w:color w:val="auto"/>
          <w:highlight w:val="none"/>
        </w:rPr>
      </w:pPr>
      <w:r>
        <w:rPr>
          <w:rFonts w:hint="eastAsia" w:ascii="宋体" w:hAnsi="宋体" w:cs="宋体"/>
          <w:color w:val="auto"/>
          <w:sz w:val="24"/>
          <w:highlight w:val="none"/>
        </w:rPr>
        <w:t>1.8.7违约责任</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另有约定的，从其约定。</w:t>
      </w:r>
    </w:p>
    <w:bookmarkEnd w:id="439"/>
    <w:bookmarkEnd w:id="440"/>
    <w:bookmarkEnd w:id="441"/>
    <w:bookmarkEnd w:id="442"/>
    <w:bookmarkEnd w:id="443"/>
    <w:p w14:paraId="20796306">
      <w:pPr>
        <w:spacing w:line="560" w:lineRule="exact"/>
        <w:ind w:firstLine="482" w:firstLineChars="200"/>
        <w:outlineLvl w:val="0"/>
        <w:rPr>
          <w:rFonts w:hint="eastAsia" w:ascii="宋体" w:hAnsi="宋体" w:cs="宋体"/>
          <w:b/>
          <w:color w:val="auto"/>
          <w:sz w:val="24"/>
          <w:highlight w:val="none"/>
        </w:rPr>
      </w:pPr>
      <w:bookmarkStart w:id="444" w:name="_Toc16021"/>
      <w:bookmarkStart w:id="445" w:name="_Toc15583"/>
      <w:bookmarkStart w:id="446" w:name="_Toc28375"/>
      <w:r>
        <w:rPr>
          <w:rFonts w:hint="eastAsia" w:ascii="宋体" w:hAnsi="宋体" w:cs="宋体"/>
          <w:b/>
          <w:color w:val="auto"/>
          <w:sz w:val="24"/>
          <w:highlight w:val="none"/>
        </w:rPr>
        <w:t>1.9合同争议的解决</w:t>
      </w:r>
      <w:bookmarkEnd w:id="444"/>
      <w:bookmarkEnd w:id="445"/>
      <w:bookmarkEnd w:id="446"/>
    </w:p>
    <w:p w14:paraId="6BD89287">
      <w:pPr>
        <w:spacing w:line="560" w:lineRule="exact"/>
        <w:ind w:left="-61" w:leftChars="-29" w:right="-420" w:rightChars="-200" w:firstLine="240" w:firstLineChars="100"/>
        <w:rPr>
          <w:rFonts w:hint="eastAsia" w:ascii="宋体" w:hAnsi="宋体" w:cs="宋体"/>
          <w:color w:val="auto"/>
          <w:sz w:val="24"/>
          <w:highlight w:val="none"/>
        </w:rPr>
      </w:pPr>
      <w:r>
        <w:rPr>
          <w:rFonts w:hint="eastAsia" w:ascii="宋体" w:hAnsi="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highlight w:val="none"/>
          <w:u w:val="single"/>
        </w:rPr>
        <w:t xml:space="preserve">    1.9.1  </w:t>
      </w:r>
      <w:r>
        <w:rPr>
          <w:rFonts w:hint="eastAsia" w:ascii="宋体" w:hAnsi="宋体" w:cs="宋体"/>
          <w:color w:val="auto"/>
          <w:sz w:val="24"/>
          <w:highlight w:val="none"/>
        </w:rPr>
        <w:t>条款规定的方式解决：</w:t>
      </w:r>
    </w:p>
    <w:p w14:paraId="6E7A2B78">
      <w:pPr>
        <w:spacing w:line="560" w:lineRule="exact"/>
        <w:ind w:left="-420" w:leftChars="-200" w:right="-420" w:rightChars="-200" w:firstLine="600" w:firstLineChars="250"/>
        <w:rPr>
          <w:rFonts w:hint="eastAsia" w:ascii="宋体" w:hAnsi="宋体" w:cs="宋体"/>
          <w:color w:val="auto"/>
          <w:sz w:val="24"/>
          <w:highlight w:val="none"/>
        </w:rPr>
      </w:pPr>
      <w:r>
        <w:rPr>
          <w:rFonts w:hint="eastAsia" w:ascii="宋体" w:hAnsi="宋体" w:cs="宋体"/>
          <w:color w:val="auto"/>
          <w:sz w:val="24"/>
          <w:highlight w:val="none"/>
        </w:rPr>
        <w:t>1.9.1 将争议提交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仲裁委员会依申请仲裁时其现行有效的仲裁规则裁决；</w:t>
      </w:r>
    </w:p>
    <w:p w14:paraId="5FE2801F">
      <w:pPr>
        <w:spacing w:line="560" w:lineRule="exact"/>
        <w:ind w:left="-420" w:leftChars="-200" w:right="-420" w:rightChars="-200" w:firstLine="600" w:firstLineChars="250"/>
        <w:rPr>
          <w:rFonts w:hint="eastAsia" w:ascii="宋体" w:hAnsi="宋体" w:cs="宋体"/>
          <w:color w:val="auto"/>
          <w:sz w:val="24"/>
          <w:highlight w:val="none"/>
        </w:rPr>
      </w:pPr>
      <w:r>
        <w:rPr>
          <w:rFonts w:hint="eastAsia" w:ascii="宋体" w:hAnsi="宋体" w:cs="宋体"/>
          <w:color w:val="auto"/>
          <w:sz w:val="24"/>
          <w:highlight w:val="none"/>
        </w:rPr>
        <w:t>1.9.2 向</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人民法院起诉。</w:t>
      </w:r>
    </w:p>
    <w:p w14:paraId="0F5A03E6">
      <w:pPr>
        <w:spacing w:line="560" w:lineRule="exact"/>
        <w:ind w:firstLine="482" w:firstLineChars="200"/>
        <w:outlineLvl w:val="0"/>
        <w:rPr>
          <w:rFonts w:hint="eastAsia" w:ascii="宋体" w:hAnsi="宋体" w:cs="宋体"/>
          <w:b/>
          <w:color w:val="auto"/>
          <w:sz w:val="24"/>
          <w:highlight w:val="none"/>
        </w:rPr>
      </w:pPr>
      <w:bookmarkStart w:id="447" w:name="_Toc7245"/>
      <w:bookmarkStart w:id="448" w:name="_Toc15322"/>
      <w:bookmarkStart w:id="449" w:name="_Toc11173"/>
      <w:r>
        <w:rPr>
          <w:rFonts w:hint="eastAsia" w:ascii="宋体" w:hAnsi="宋体" w:cs="宋体"/>
          <w:b/>
          <w:color w:val="auto"/>
          <w:sz w:val="24"/>
          <w:highlight w:val="none"/>
        </w:rPr>
        <w:t>2.0 合同生效</w:t>
      </w:r>
      <w:bookmarkEnd w:id="447"/>
      <w:bookmarkEnd w:id="448"/>
      <w:bookmarkEnd w:id="449"/>
    </w:p>
    <w:p w14:paraId="0B5451D8">
      <w:pPr>
        <w:spacing w:line="560" w:lineRule="exact"/>
        <w:ind w:firstLine="480" w:firstLineChars="200"/>
        <w:rPr>
          <w:rFonts w:hint="eastAsia" w:ascii="宋体" w:hAnsi="宋体" w:cs="宋体"/>
          <w:b/>
          <w:color w:val="auto"/>
          <w:sz w:val="24"/>
          <w:highlight w:val="none"/>
        </w:rPr>
      </w:pPr>
      <w:r>
        <w:rPr>
          <w:rFonts w:hint="eastAsia" w:ascii="宋体" w:hAnsi="宋体" w:cs="宋体"/>
          <w:color w:val="auto"/>
          <w:sz w:val="24"/>
          <w:highlight w:val="none"/>
        </w:rPr>
        <w:t>本合同自双方当事人盖章签字时生效。</w:t>
      </w:r>
    </w:p>
    <w:p w14:paraId="3CD4834A">
      <w:pPr>
        <w:autoSpaceDE w:val="0"/>
        <w:autoSpaceDN w:val="0"/>
        <w:spacing w:line="560" w:lineRule="exact"/>
        <w:rPr>
          <w:rFonts w:hint="eastAsia" w:ascii="宋体" w:hAnsi="宋体"/>
          <w:color w:val="auto"/>
          <w:sz w:val="24"/>
          <w:highlight w:val="none"/>
          <w:lang w:val="zh-CN"/>
        </w:rPr>
      </w:pPr>
    </w:p>
    <w:p w14:paraId="3FBD9416">
      <w:pPr>
        <w:autoSpaceDE w:val="0"/>
        <w:autoSpaceDN w:val="0"/>
        <w:spacing w:line="560" w:lineRule="exact"/>
        <w:rPr>
          <w:rFonts w:hint="eastAsia" w:ascii="宋体" w:hAnsi="宋体"/>
          <w:color w:val="auto"/>
          <w:sz w:val="24"/>
          <w:highlight w:val="none"/>
          <w:lang w:val="zh-CN"/>
        </w:rPr>
      </w:pPr>
      <w:r>
        <w:rPr>
          <w:rFonts w:hint="eastAsia" w:ascii="宋体" w:hAnsi="宋体"/>
          <w:b/>
          <w:color w:val="auto"/>
          <w:sz w:val="24"/>
          <w:highlight w:val="none"/>
          <w:lang w:val="zh-CN"/>
        </w:rPr>
        <w:t>甲方</w:t>
      </w:r>
      <w:r>
        <w:rPr>
          <w:rFonts w:hint="eastAsia" w:ascii="宋体" w:hAnsi="宋体"/>
          <w:color w:val="auto"/>
          <w:sz w:val="24"/>
          <w:highlight w:val="none"/>
          <w:lang w:val="zh-CN"/>
        </w:rPr>
        <w:t>：</w:t>
      </w:r>
      <w:r>
        <w:rPr>
          <w:rFonts w:ascii="宋体" w:hAnsi="宋体"/>
          <w:color w:val="auto"/>
          <w:sz w:val="24"/>
          <w:highlight w:val="none"/>
          <w:lang w:val="zh-CN"/>
        </w:rPr>
        <w:t xml:space="preserve">                             </w:t>
      </w:r>
      <w:r>
        <w:rPr>
          <w:rFonts w:ascii="宋体" w:hAnsi="宋体"/>
          <w:b/>
          <w:color w:val="auto"/>
          <w:sz w:val="24"/>
          <w:highlight w:val="none"/>
          <w:lang w:val="zh-CN"/>
        </w:rPr>
        <w:t xml:space="preserve">      乙方</w:t>
      </w:r>
      <w:r>
        <w:rPr>
          <w:rFonts w:hint="eastAsia" w:ascii="宋体" w:hAnsi="宋体"/>
          <w:color w:val="auto"/>
          <w:sz w:val="24"/>
          <w:highlight w:val="none"/>
          <w:lang w:val="zh-CN"/>
        </w:rPr>
        <w:t>：</w:t>
      </w:r>
    </w:p>
    <w:p w14:paraId="66E6E08A">
      <w:pPr>
        <w:autoSpaceDE w:val="0"/>
        <w:autoSpaceDN w:val="0"/>
        <w:spacing w:line="560" w:lineRule="exact"/>
        <w:rPr>
          <w:rFonts w:hint="eastAsia" w:ascii="宋体" w:hAnsi="宋体"/>
          <w:color w:val="auto"/>
          <w:sz w:val="24"/>
          <w:highlight w:val="none"/>
          <w:lang w:val="zh-CN"/>
        </w:rPr>
      </w:pPr>
      <w:r>
        <w:rPr>
          <w:rFonts w:hint="eastAsia" w:ascii="宋体" w:hAnsi="宋体"/>
          <w:color w:val="auto"/>
          <w:sz w:val="24"/>
          <w:highlight w:val="none"/>
          <w:lang w:val="zh-CN"/>
        </w:rPr>
        <w:t>统一社会信用代码：</w:t>
      </w:r>
      <w:r>
        <w:rPr>
          <w:rFonts w:ascii="宋体" w:hAnsi="宋体"/>
          <w:color w:val="auto"/>
          <w:sz w:val="24"/>
          <w:highlight w:val="none"/>
          <w:lang w:val="zh-CN"/>
        </w:rPr>
        <w:t xml:space="preserve">                        </w:t>
      </w:r>
      <w:r>
        <w:rPr>
          <w:rFonts w:hint="eastAsia" w:ascii="宋体" w:hAnsi="宋体"/>
          <w:color w:val="auto"/>
          <w:sz w:val="24"/>
          <w:highlight w:val="none"/>
          <w:lang w:val="zh-CN"/>
        </w:rPr>
        <w:t>统一社会信用代码或身份证号码：</w:t>
      </w:r>
    </w:p>
    <w:p w14:paraId="4240F216">
      <w:pPr>
        <w:autoSpaceDE w:val="0"/>
        <w:autoSpaceDN w:val="0"/>
        <w:spacing w:line="560" w:lineRule="exact"/>
        <w:rPr>
          <w:rFonts w:hint="eastAsia" w:ascii="宋体" w:hAnsi="宋体"/>
          <w:color w:val="auto"/>
          <w:sz w:val="24"/>
          <w:highlight w:val="none"/>
          <w:lang w:val="zh-CN"/>
        </w:rPr>
      </w:pPr>
    </w:p>
    <w:p w14:paraId="50941BAB">
      <w:pPr>
        <w:autoSpaceDE w:val="0"/>
        <w:autoSpaceDN w:val="0"/>
        <w:spacing w:line="560" w:lineRule="exact"/>
        <w:rPr>
          <w:rFonts w:hint="eastAsia" w:ascii="宋体" w:hAnsi="宋体"/>
          <w:color w:val="auto"/>
          <w:sz w:val="24"/>
          <w:highlight w:val="none"/>
          <w:lang w:val="zh-CN"/>
        </w:rPr>
      </w:pPr>
      <w:r>
        <w:rPr>
          <w:rFonts w:hint="eastAsia" w:ascii="宋体" w:hAnsi="宋体"/>
          <w:color w:val="auto"/>
          <w:sz w:val="24"/>
          <w:highlight w:val="none"/>
          <w:lang w:val="zh-CN"/>
        </w:rPr>
        <w:t>住所：</w:t>
      </w:r>
      <w:r>
        <w:rPr>
          <w:rFonts w:ascii="宋体" w:hAnsi="宋体"/>
          <w:color w:val="auto"/>
          <w:sz w:val="24"/>
          <w:highlight w:val="none"/>
          <w:lang w:val="zh-CN"/>
        </w:rPr>
        <w:t xml:space="preserve">                                   </w:t>
      </w:r>
      <w:r>
        <w:rPr>
          <w:rFonts w:hint="eastAsia" w:ascii="宋体" w:hAnsi="宋体"/>
          <w:color w:val="auto"/>
          <w:sz w:val="24"/>
          <w:highlight w:val="none"/>
          <w:lang w:val="zh-CN"/>
        </w:rPr>
        <w:t>住所：</w:t>
      </w:r>
    </w:p>
    <w:p w14:paraId="5CF65B9E">
      <w:pPr>
        <w:autoSpaceDE w:val="0"/>
        <w:autoSpaceDN w:val="0"/>
        <w:spacing w:line="560" w:lineRule="exact"/>
        <w:rPr>
          <w:rFonts w:hint="eastAsia" w:ascii="宋体" w:hAnsi="宋体"/>
          <w:color w:val="auto"/>
          <w:sz w:val="24"/>
          <w:highlight w:val="none"/>
          <w:lang w:val="zh-CN"/>
        </w:rPr>
      </w:pPr>
      <w:r>
        <w:rPr>
          <w:rFonts w:hint="eastAsia" w:ascii="宋体" w:hAnsi="宋体"/>
          <w:color w:val="auto"/>
          <w:sz w:val="24"/>
          <w:highlight w:val="none"/>
          <w:lang w:val="zh-CN"/>
        </w:rPr>
        <w:t>法定代表人或</w:t>
      </w:r>
      <w:r>
        <w:rPr>
          <w:rFonts w:ascii="宋体" w:hAnsi="宋体"/>
          <w:color w:val="auto"/>
          <w:sz w:val="24"/>
          <w:highlight w:val="none"/>
          <w:lang w:val="zh-CN"/>
        </w:rPr>
        <w:t xml:space="preserve">                             </w:t>
      </w:r>
      <w:r>
        <w:rPr>
          <w:rFonts w:hint="eastAsia" w:ascii="宋体" w:hAnsi="宋体"/>
          <w:color w:val="auto"/>
          <w:sz w:val="24"/>
          <w:highlight w:val="none"/>
          <w:lang w:val="zh-CN"/>
        </w:rPr>
        <w:t>法定代表人或</w:t>
      </w:r>
    </w:p>
    <w:p w14:paraId="722596D6">
      <w:pPr>
        <w:autoSpaceDE w:val="0"/>
        <w:autoSpaceDN w:val="0"/>
        <w:spacing w:line="560" w:lineRule="exact"/>
        <w:rPr>
          <w:rFonts w:hint="eastAsia" w:ascii="宋体" w:hAnsi="宋体"/>
          <w:color w:val="auto"/>
          <w:sz w:val="24"/>
          <w:highlight w:val="none"/>
          <w:lang w:val="zh-CN"/>
        </w:rPr>
      </w:pPr>
      <w:r>
        <w:rPr>
          <w:rFonts w:hint="eastAsia" w:ascii="宋体" w:hAnsi="宋体"/>
          <w:color w:val="auto"/>
          <w:sz w:val="24"/>
          <w:highlight w:val="none"/>
          <w:lang w:val="zh-CN"/>
        </w:rPr>
        <w:t>授权代表（签字）：</w:t>
      </w:r>
      <w:r>
        <w:rPr>
          <w:rFonts w:ascii="宋体" w:hAnsi="宋体"/>
          <w:color w:val="auto"/>
          <w:sz w:val="24"/>
          <w:highlight w:val="none"/>
          <w:lang w:val="zh-CN"/>
        </w:rPr>
        <w:t xml:space="preserve">                       授权代表（签字）: </w:t>
      </w:r>
    </w:p>
    <w:p w14:paraId="271872CD">
      <w:pPr>
        <w:autoSpaceDE w:val="0"/>
        <w:autoSpaceDN w:val="0"/>
        <w:spacing w:line="560" w:lineRule="exact"/>
        <w:rPr>
          <w:rFonts w:hint="eastAsia" w:ascii="宋体" w:hAnsi="宋体"/>
          <w:color w:val="auto"/>
          <w:sz w:val="24"/>
          <w:highlight w:val="none"/>
          <w:lang w:val="zh-CN"/>
        </w:rPr>
      </w:pPr>
      <w:r>
        <w:rPr>
          <w:rFonts w:hint="eastAsia" w:ascii="宋体" w:hAnsi="宋体"/>
          <w:color w:val="auto"/>
          <w:sz w:val="24"/>
          <w:highlight w:val="none"/>
          <w:lang w:val="zh-CN"/>
        </w:rPr>
        <w:t>联系人：</w:t>
      </w:r>
      <w:r>
        <w:rPr>
          <w:rFonts w:ascii="宋体" w:hAnsi="宋体"/>
          <w:color w:val="auto"/>
          <w:sz w:val="24"/>
          <w:highlight w:val="none"/>
          <w:lang w:val="zh-CN"/>
        </w:rPr>
        <w:t xml:space="preserve">                                 </w:t>
      </w:r>
      <w:r>
        <w:rPr>
          <w:rFonts w:hint="eastAsia" w:ascii="宋体" w:hAnsi="宋体"/>
          <w:color w:val="auto"/>
          <w:sz w:val="24"/>
          <w:highlight w:val="none"/>
          <w:lang w:val="zh-CN"/>
        </w:rPr>
        <w:t>联系人：</w:t>
      </w:r>
    </w:p>
    <w:p w14:paraId="6FF8DB0A">
      <w:pPr>
        <w:autoSpaceDE w:val="0"/>
        <w:autoSpaceDN w:val="0"/>
        <w:spacing w:line="560" w:lineRule="exact"/>
        <w:rPr>
          <w:rFonts w:hint="eastAsia" w:ascii="宋体" w:hAnsi="宋体"/>
          <w:color w:val="auto"/>
          <w:sz w:val="24"/>
          <w:highlight w:val="none"/>
          <w:lang w:val="zh-CN"/>
        </w:rPr>
      </w:pPr>
      <w:r>
        <w:rPr>
          <w:rFonts w:hint="eastAsia" w:ascii="宋体" w:hAnsi="宋体"/>
          <w:color w:val="auto"/>
          <w:sz w:val="24"/>
          <w:highlight w:val="none"/>
          <w:lang w:val="zh-CN"/>
        </w:rPr>
        <w:t>约定送达地址：</w:t>
      </w:r>
      <w:r>
        <w:rPr>
          <w:rFonts w:ascii="宋体" w:hAnsi="宋体"/>
          <w:color w:val="auto"/>
          <w:sz w:val="24"/>
          <w:highlight w:val="none"/>
          <w:lang w:val="zh-CN"/>
        </w:rPr>
        <w:t xml:space="preserve">                           </w:t>
      </w:r>
      <w:r>
        <w:rPr>
          <w:rFonts w:hint="eastAsia" w:ascii="宋体" w:hAnsi="宋体"/>
          <w:color w:val="auto"/>
          <w:sz w:val="24"/>
          <w:highlight w:val="none"/>
          <w:lang w:val="zh-CN"/>
        </w:rPr>
        <w:t>约定送达地址：</w:t>
      </w:r>
    </w:p>
    <w:p w14:paraId="38F81428">
      <w:pPr>
        <w:autoSpaceDE w:val="0"/>
        <w:autoSpaceDN w:val="0"/>
        <w:spacing w:line="560" w:lineRule="exact"/>
        <w:rPr>
          <w:rFonts w:hint="eastAsia" w:ascii="宋体" w:hAnsi="宋体"/>
          <w:color w:val="auto"/>
          <w:sz w:val="24"/>
          <w:highlight w:val="none"/>
          <w:lang w:val="zh-CN"/>
        </w:rPr>
      </w:pPr>
      <w:r>
        <w:rPr>
          <w:rFonts w:hint="eastAsia" w:ascii="宋体" w:hAnsi="宋体"/>
          <w:color w:val="auto"/>
          <w:sz w:val="24"/>
          <w:highlight w:val="none"/>
          <w:lang w:val="zh-CN"/>
        </w:rPr>
        <w:t>邮政编码：</w:t>
      </w:r>
      <w:r>
        <w:rPr>
          <w:rFonts w:ascii="宋体" w:hAnsi="宋体"/>
          <w:color w:val="auto"/>
          <w:sz w:val="24"/>
          <w:highlight w:val="none"/>
          <w:lang w:val="zh-CN"/>
        </w:rPr>
        <w:t xml:space="preserve">                               </w:t>
      </w:r>
      <w:r>
        <w:rPr>
          <w:rFonts w:hint="eastAsia" w:ascii="宋体" w:hAnsi="宋体"/>
          <w:color w:val="auto"/>
          <w:sz w:val="24"/>
          <w:highlight w:val="none"/>
          <w:lang w:val="zh-CN"/>
        </w:rPr>
        <w:t>邮政编码：</w:t>
      </w:r>
    </w:p>
    <w:p w14:paraId="202A1062">
      <w:pPr>
        <w:autoSpaceDE w:val="0"/>
        <w:autoSpaceDN w:val="0"/>
        <w:spacing w:line="560" w:lineRule="exact"/>
        <w:rPr>
          <w:rFonts w:hint="eastAsia" w:ascii="宋体" w:hAnsi="宋体"/>
          <w:color w:val="auto"/>
          <w:sz w:val="24"/>
          <w:highlight w:val="none"/>
          <w:lang w:val="zh-CN"/>
        </w:rPr>
      </w:pPr>
      <w:r>
        <w:rPr>
          <w:rFonts w:hint="eastAsia" w:ascii="宋体" w:hAnsi="宋体"/>
          <w:color w:val="auto"/>
          <w:sz w:val="24"/>
          <w:highlight w:val="none"/>
          <w:lang w:val="zh-CN"/>
        </w:rPr>
        <w:t>电话</w:t>
      </w:r>
      <w:r>
        <w:rPr>
          <w:rFonts w:ascii="宋体" w:hAnsi="宋体"/>
          <w:color w:val="auto"/>
          <w:sz w:val="24"/>
          <w:highlight w:val="none"/>
          <w:lang w:val="zh-CN"/>
        </w:rPr>
        <w:t xml:space="preserve">:                                    电话: </w:t>
      </w:r>
    </w:p>
    <w:p w14:paraId="08C34EE1">
      <w:pPr>
        <w:autoSpaceDE w:val="0"/>
        <w:autoSpaceDN w:val="0"/>
        <w:spacing w:line="560" w:lineRule="exact"/>
        <w:rPr>
          <w:rFonts w:hint="eastAsia" w:ascii="宋体" w:hAnsi="宋体"/>
          <w:color w:val="auto"/>
          <w:sz w:val="24"/>
          <w:highlight w:val="none"/>
          <w:lang w:val="zh-CN"/>
        </w:rPr>
      </w:pPr>
      <w:r>
        <w:rPr>
          <w:rFonts w:hint="eastAsia" w:ascii="宋体" w:hAnsi="宋体"/>
          <w:color w:val="auto"/>
          <w:sz w:val="24"/>
          <w:highlight w:val="none"/>
          <w:lang w:val="zh-CN"/>
        </w:rPr>
        <w:t>传真</w:t>
      </w:r>
      <w:r>
        <w:rPr>
          <w:rFonts w:ascii="宋体" w:hAnsi="宋体"/>
          <w:color w:val="auto"/>
          <w:sz w:val="24"/>
          <w:highlight w:val="none"/>
          <w:lang w:val="zh-CN"/>
        </w:rPr>
        <w:t xml:space="preserve">:                                    </w:t>
      </w:r>
      <w:r>
        <w:rPr>
          <w:rFonts w:hint="eastAsia" w:ascii="宋体" w:hAnsi="宋体"/>
          <w:color w:val="auto"/>
          <w:sz w:val="24"/>
          <w:highlight w:val="none"/>
          <w:lang w:val="zh-CN"/>
        </w:rPr>
        <w:t>传真</w:t>
      </w:r>
      <w:r>
        <w:rPr>
          <w:rFonts w:ascii="宋体" w:hAnsi="宋体"/>
          <w:color w:val="auto"/>
          <w:sz w:val="24"/>
          <w:highlight w:val="none"/>
          <w:lang w:val="zh-CN"/>
        </w:rPr>
        <w:t>:</w:t>
      </w:r>
    </w:p>
    <w:p w14:paraId="47B5C7F5">
      <w:pPr>
        <w:autoSpaceDE w:val="0"/>
        <w:autoSpaceDN w:val="0"/>
        <w:spacing w:line="560" w:lineRule="exact"/>
        <w:rPr>
          <w:rFonts w:hint="eastAsia" w:ascii="宋体" w:hAnsi="宋体"/>
          <w:color w:val="auto"/>
          <w:sz w:val="24"/>
          <w:highlight w:val="none"/>
        </w:rPr>
      </w:pPr>
      <w:r>
        <w:rPr>
          <w:rFonts w:hint="eastAsia" w:ascii="宋体" w:hAnsi="宋体"/>
          <w:color w:val="auto"/>
          <w:sz w:val="24"/>
          <w:highlight w:val="none"/>
          <w:lang w:val="zh-CN"/>
        </w:rPr>
        <w:t>电子邮箱：</w:t>
      </w:r>
      <w:r>
        <w:rPr>
          <w:rFonts w:ascii="宋体" w:hAnsi="宋体"/>
          <w:color w:val="auto"/>
          <w:sz w:val="24"/>
          <w:highlight w:val="none"/>
          <w:lang w:val="zh-CN"/>
        </w:rPr>
        <w:t xml:space="preserve">                               </w:t>
      </w:r>
      <w:r>
        <w:rPr>
          <w:rFonts w:hint="eastAsia" w:ascii="宋体" w:hAnsi="宋体"/>
          <w:color w:val="auto"/>
          <w:sz w:val="24"/>
          <w:highlight w:val="none"/>
          <w:lang w:val="zh-CN"/>
        </w:rPr>
        <w:t>电子邮箱：</w:t>
      </w:r>
    </w:p>
    <w:p w14:paraId="23C4E104">
      <w:pPr>
        <w:autoSpaceDE w:val="0"/>
        <w:autoSpaceDN w:val="0"/>
        <w:spacing w:line="560" w:lineRule="exact"/>
        <w:rPr>
          <w:rFonts w:hint="eastAsia" w:ascii="宋体" w:hAnsi="宋体"/>
          <w:color w:val="auto"/>
          <w:sz w:val="24"/>
          <w:highlight w:val="none"/>
        </w:rPr>
      </w:pPr>
      <w:r>
        <w:rPr>
          <w:rFonts w:hint="eastAsia" w:ascii="宋体" w:hAnsi="宋体"/>
          <w:color w:val="auto"/>
          <w:sz w:val="24"/>
          <w:highlight w:val="none"/>
        </w:rPr>
        <w:t>开户银行：</w:t>
      </w:r>
      <w:r>
        <w:rPr>
          <w:rFonts w:ascii="宋体" w:hAnsi="宋体"/>
          <w:color w:val="auto"/>
          <w:sz w:val="24"/>
          <w:highlight w:val="none"/>
        </w:rPr>
        <w:t xml:space="preserve">                               开户银行： </w:t>
      </w:r>
    </w:p>
    <w:p w14:paraId="52F91637">
      <w:pPr>
        <w:autoSpaceDE w:val="0"/>
        <w:autoSpaceDN w:val="0"/>
        <w:spacing w:line="560" w:lineRule="exact"/>
        <w:rPr>
          <w:rFonts w:hint="eastAsia" w:ascii="宋体" w:hAnsi="宋体"/>
          <w:color w:val="auto"/>
          <w:sz w:val="24"/>
          <w:highlight w:val="none"/>
        </w:rPr>
      </w:pPr>
      <w:r>
        <w:rPr>
          <w:rFonts w:hint="eastAsia" w:ascii="宋体" w:hAnsi="宋体"/>
          <w:color w:val="auto"/>
          <w:sz w:val="24"/>
          <w:highlight w:val="none"/>
        </w:rPr>
        <w:t>开户名称：</w:t>
      </w:r>
      <w:r>
        <w:rPr>
          <w:rFonts w:ascii="宋体" w:hAnsi="宋体"/>
          <w:color w:val="auto"/>
          <w:sz w:val="24"/>
          <w:highlight w:val="none"/>
        </w:rPr>
        <w:t xml:space="preserve">                               开户名称： </w:t>
      </w:r>
    </w:p>
    <w:p w14:paraId="38D62BED">
      <w:pPr>
        <w:autoSpaceDE w:val="0"/>
        <w:autoSpaceDN w:val="0"/>
        <w:spacing w:line="560" w:lineRule="exact"/>
        <w:rPr>
          <w:rFonts w:hint="eastAsia" w:ascii="宋体" w:hAnsi="宋体"/>
          <w:color w:val="auto"/>
          <w:sz w:val="24"/>
          <w:highlight w:val="none"/>
        </w:rPr>
      </w:pPr>
      <w:r>
        <w:rPr>
          <w:rFonts w:hint="eastAsia" w:ascii="宋体" w:hAnsi="宋体"/>
          <w:color w:val="auto"/>
          <w:sz w:val="24"/>
          <w:highlight w:val="none"/>
        </w:rPr>
        <w:t>开户账号：</w:t>
      </w:r>
      <w:r>
        <w:rPr>
          <w:rFonts w:ascii="宋体" w:hAnsi="宋体"/>
          <w:color w:val="auto"/>
          <w:sz w:val="24"/>
          <w:highlight w:val="none"/>
          <w:lang w:val="zh-CN"/>
        </w:rPr>
        <w:t xml:space="preserve">                               </w:t>
      </w:r>
      <w:r>
        <w:rPr>
          <w:rFonts w:hint="eastAsia" w:ascii="宋体" w:hAnsi="宋体"/>
          <w:color w:val="auto"/>
          <w:sz w:val="24"/>
          <w:highlight w:val="none"/>
        </w:rPr>
        <w:t>开户账号：</w:t>
      </w:r>
    </w:p>
    <w:p w14:paraId="0B5FE4D0">
      <w:pPr>
        <w:widowControl/>
        <w:spacing w:line="560" w:lineRule="exact"/>
        <w:jc w:val="left"/>
        <w:rPr>
          <w:rFonts w:hint="eastAsia" w:ascii="宋体" w:hAnsi="宋体"/>
          <w:b/>
          <w:color w:val="auto"/>
          <w:sz w:val="24"/>
          <w:highlight w:val="none"/>
        </w:rPr>
      </w:pPr>
    </w:p>
    <w:p w14:paraId="78D9BE80">
      <w:pPr>
        <w:widowControl/>
        <w:adjustRightInd/>
        <w:jc w:val="left"/>
        <w:rPr>
          <w:rFonts w:hint="eastAsia" w:ascii="宋体" w:hAnsi="宋体"/>
          <w:b/>
          <w:color w:val="auto"/>
          <w:sz w:val="24"/>
          <w:highlight w:val="none"/>
        </w:rPr>
      </w:pPr>
      <w:r>
        <w:rPr>
          <w:rFonts w:ascii="宋体" w:hAnsi="宋体"/>
          <w:b/>
          <w:color w:val="auto"/>
          <w:highlight w:val="none"/>
        </w:rPr>
        <w:br w:type="page"/>
      </w:r>
    </w:p>
    <w:p w14:paraId="546E2484">
      <w:pPr>
        <w:pStyle w:val="702"/>
        <w:spacing w:line="560" w:lineRule="exact"/>
        <w:ind w:firstLine="482"/>
        <w:jc w:val="center"/>
        <w:rPr>
          <w:rFonts w:hint="eastAsia" w:ascii="宋体" w:hAnsi="宋体"/>
          <w:b/>
          <w:color w:val="auto"/>
          <w:szCs w:val="24"/>
          <w:highlight w:val="none"/>
        </w:rPr>
      </w:pPr>
      <w:r>
        <w:rPr>
          <w:rFonts w:hint="eastAsia" w:ascii="宋体" w:hAnsi="宋体"/>
          <w:b/>
          <w:color w:val="auto"/>
          <w:szCs w:val="24"/>
          <w:highlight w:val="none"/>
        </w:rPr>
        <w:t>第二部分</w:t>
      </w:r>
      <w:r>
        <w:rPr>
          <w:rFonts w:ascii="宋体" w:hAnsi="宋体"/>
          <w:b/>
          <w:color w:val="auto"/>
          <w:szCs w:val="24"/>
          <w:highlight w:val="none"/>
        </w:rPr>
        <w:t xml:space="preserve"> </w:t>
      </w:r>
      <w:r>
        <w:rPr>
          <w:rFonts w:hint="eastAsia" w:ascii="宋体" w:hAnsi="宋体"/>
          <w:b/>
          <w:color w:val="auto"/>
          <w:szCs w:val="24"/>
          <w:highlight w:val="none"/>
        </w:rPr>
        <w:t>合同一般条款</w:t>
      </w:r>
    </w:p>
    <w:p w14:paraId="207BCB13">
      <w:pPr>
        <w:spacing w:line="560" w:lineRule="exact"/>
        <w:ind w:firstLine="482" w:firstLineChars="200"/>
        <w:outlineLvl w:val="0"/>
        <w:rPr>
          <w:rFonts w:hint="eastAsia" w:ascii="宋体" w:hAnsi="宋体"/>
          <w:b/>
          <w:color w:val="auto"/>
          <w:sz w:val="24"/>
          <w:highlight w:val="none"/>
        </w:rPr>
      </w:pPr>
      <w:bookmarkStart w:id="450" w:name="_Toc5228"/>
      <w:bookmarkStart w:id="451" w:name="_Toc19680"/>
      <w:bookmarkStart w:id="452" w:name="_Toc31297"/>
      <w:bookmarkStart w:id="453" w:name="_Toc25079"/>
      <w:bookmarkStart w:id="454" w:name="_Toc14021"/>
      <w:r>
        <w:rPr>
          <w:rFonts w:ascii="宋体" w:hAnsi="宋体"/>
          <w:b/>
          <w:color w:val="auto"/>
          <w:sz w:val="24"/>
          <w:highlight w:val="none"/>
        </w:rPr>
        <w:t>2.1 定义</w:t>
      </w:r>
      <w:bookmarkEnd w:id="450"/>
      <w:bookmarkEnd w:id="451"/>
      <w:bookmarkEnd w:id="452"/>
      <w:bookmarkEnd w:id="453"/>
      <w:bookmarkEnd w:id="454"/>
    </w:p>
    <w:p w14:paraId="482A59B0">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本合同中的下列</w:t>
      </w:r>
      <w:r>
        <w:rPr>
          <w:rFonts w:hint="eastAsia" w:ascii="宋体" w:hAnsi="宋体"/>
          <w:color w:val="auto"/>
          <w:sz w:val="24"/>
          <w:highlight w:val="none"/>
        </w:rPr>
        <w:t>词</w:t>
      </w:r>
      <w:r>
        <w:rPr>
          <w:rFonts w:ascii="宋体" w:hAnsi="宋体"/>
          <w:color w:val="auto"/>
          <w:sz w:val="24"/>
          <w:highlight w:val="none"/>
        </w:rPr>
        <w:t>语应</w:t>
      </w:r>
      <w:r>
        <w:rPr>
          <w:rFonts w:hint="eastAsia" w:ascii="宋体" w:hAnsi="宋体"/>
          <w:color w:val="auto"/>
          <w:sz w:val="24"/>
          <w:highlight w:val="none"/>
        </w:rPr>
        <w:t>按以下内容进行</w:t>
      </w:r>
      <w:r>
        <w:rPr>
          <w:rFonts w:ascii="宋体" w:hAnsi="宋体"/>
          <w:color w:val="auto"/>
          <w:sz w:val="24"/>
          <w:highlight w:val="none"/>
        </w:rPr>
        <w:t>解释：</w:t>
      </w:r>
    </w:p>
    <w:p w14:paraId="1BBFA136">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2.1.1 “合同”系指采购人和</w:t>
      </w:r>
      <w:r>
        <w:rPr>
          <w:rFonts w:hint="eastAsia" w:ascii="宋体" w:hAnsi="宋体" w:cs="宋体"/>
          <w:color w:val="auto"/>
          <w:sz w:val="24"/>
          <w:highlight w:val="none"/>
        </w:rPr>
        <w:t>中标或成交</w:t>
      </w:r>
      <w:r>
        <w:rPr>
          <w:rFonts w:ascii="宋体" w:hAnsi="宋体"/>
          <w:color w:val="auto"/>
          <w:sz w:val="24"/>
          <w:highlight w:val="none"/>
        </w:rPr>
        <w:t>供应商签订的载明双方当事人所达成的协议，并包括所有的附件、附录和构成合同的其他文件。</w:t>
      </w:r>
    </w:p>
    <w:p w14:paraId="21985A27">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2.1.2 “合同价”系指根据合同约定，</w:t>
      </w:r>
      <w:r>
        <w:rPr>
          <w:rFonts w:hint="eastAsia" w:ascii="宋体" w:hAnsi="宋体" w:cs="宋体"/>
          <w:color w:val="auto"/>
          <w:sz w:val="24"/>
          <w:highlight w:val="none"/>
        </w:rPr>
        <w:t>中标或成交</w:t>
      </w:r>
      <w:r>
        <w:rPr>
          <w:rFonts w:ascii="宋体" w:hAnsi="宋体"/>
          <w:color w:val="auto"/>
          <w:sz w:val="24"/>
          <w:highlight w:val="none"/>
        </w:rPr>
        <w:t>供应商在完全履行合同义务后</w:t>
      </w:r>
      <w:r>
        <w:rPr>
          <w:rFonts w:hint="eastAsia" w:ascii="宋体" w:hAnsi="宋体"/>
          <w:color w:val="auto"/>
          <w:sz w:val="24"/>
          <w:highlight w:val="none"/>
        </w:rPr>
        <w:t>，</w:t>
      </w:r>
      <w:r>
        <w:rPr>
          <w:rFonts w:ascii="宋体" w:hAnsi="宋体"/>
          <w:color w:val="auto"/>
          <w:sz w:val="24"/>
          <w:highlight w:val="none"/>
        </w:rPr>
        <w:t>采购人应支付给</w:t>
      </w:r>
      <w:r>
        <w:rPr>
          <w:rFonts w:hint="eastAsia" w:ascii="宋体" w:hAnsi="宋体" w:cs="宋体"/>
          <w:color w:val="auto"/>
          <w:sz w:val="24"/>
          <w:highlight w:val="none"/>
        </w:rPr>
        <w:t>中标或成交</w:t>
      </w:r>
      <w:r>
        <w:rPr>
          <w:rFonts w:ascii="宋体" w:hAnsi="宋体"/>
          <w:color w:val="auto"/>
          <w:sz w:val="24"/>
          <w:highlight w:val="none"/>
        </w:rPr>
        <w:t>供应商的价格。</w:t>
      </w:r>
    </w:p>
    <w:p w14:paraId="6CC75338">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2.1.3 “</w:t>
      </w:r>
      <w:r>
        <w:rPr>
          <w:rFonts w:hint="eastAsia" w:ascii="宋体" w:hAnsi="宋体"/>
          <w:color w:val="auto"/>
          <w:sz w:val="24"/>
          <w:highlight w:val="none"/>
        </w:rPr>
        <w:t>服务</w:t>
      </w:r>
      <w:r>
        <w:rPr>
          <w:rFonts w:ascii="宋体" w:hAnsi="宋体"/>
          <w:color w:val="auto"/>
          <w:sz w:val="24"/>
          <w:highlight w:val="none"/>
        </w:rPr>
        <w:t>”系指</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根据合同约定应向采购人</w:t>
      </w:r>
      <w:r>
        <w:rPr>
          <w:rFonts w:hint="eastAsia" w:ascii="宋体" w:hAnsi="宋体"/>
          <w:color w:val="auto"/>
          <w:sz w:val="24"/>
          <w:highlight w:val="none"/>
        </w:rPr>
        <w:t>履行</w:t>
      </w:r>
      <w:r>
        <w:rPr>
          <w:rFonts w:ascii="宋体" w:hAnsi="宋体"/>
          <w:color w:val="auto"/>
          <w:sz w:val="24"/>
          <w:highlight w:val="none"/>
        </w:rPr>
        <w:t>的</w:t>
      </w:r>
      <w:r>
        <w:rPr>
          <w:rFonts w:hint="eastAsia" w:ascii="宋体" w:hAnsi="宋体"/>
          <w:color w:val="auto"/>
          <w:sz w:val="24"/>
          <w:highlight w:val="none"/>
        </w:rPr>
        <w:t>除货物和工程以外的其他政府采购对象，包括采购人自身需要的服务和向社会公众提供的公共服务。</w:t>
      </w:r>
    </w:p>
    <w:p w14:paraId="35D08F5E">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2.1.4 “</w:t>
      </w:r>
      <w:r>
        <w:rPr>
          <w:rFonts w:hint="eastAsia" w:ascii="宋体" w:hAnsi="宋体"/>
          <w:color w:val="auto"/>
          <w:sz w:val="24"/>
          <w:highlight w:val="none"/>
        </w:rPr>
        <w:t>甲方</w:t>
      </w:r>
      <w:r>
        <w:rPr>
          <w:rFonts w:ascii="宋体" w:hAnsi="宋体"/>
          <w:color w:val="auto"/>
          <w:sz w:val="24"/>
          <w:highlight w:val="none"/>
        </w:rPr>
        <w:t>”系指与</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签署合同的采购人</w:t>
      </w:r>
      <w:r>
        <w:rPr>
          <w:rFonts w:hint="eastAsia" w:ascii="宋体" w:hAnsi="宋体"/>
          <w:color w:val="auto"/>
          <w:sz w:val="24"/>
          <w:highlight w:val="none"/>
        </w:rPr>
        <w:t>；采购人委托采购代理机构代表其与乙方签订合同的，采购人的授权委托书作为合同附件。</w:t>
      </w:r>
    </w:p>
    <w:p w14:paraId="1D18E517">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2.1.5 “乙方”系指根据合同约定提供服务的</w:t>
      </w:r>
      <w:r>
        <w:rPr>
          <w:rFonts w:hint="eastAsia" w:ascii="宋体" w:hAnsi="宋体" w:cs="宋体"/>
          <w:color w:val="auto"/>
          <w:sz w:val="24"/>
          <w:highlight w:val="none"/>
        </w:rPr>
        <w:t>中标或成交</w:t>
      </w:r>
      <w:r>
        <w:rPr>
          <w:rFonts w:ascii="宋体" w:hAnsi="宋体"/>
          <w:color w:val="auto"/>
          <w:sz w:val="24"/>
          <w:highlight w:val="none"/>
        </w:rPr>
        <w:t>供应商</w:t>
      </w:r>
      <w:r>
        <w:rPr>
          <w:rFonts w:hint="eastAsia" w:ascii="宋体" w:hAnsi="宋体"/>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5F1951F6">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2.1.6 “现场”系指合同约定提供服务的地点。</w:t>
      </w:r>
    </w:p>
    <w:p w14:paraId="696A2374">
      <w:pPr>
        <w:spacing w:line="560" w:lineRule="exact"/>
        <w:ind w:firstLine="482" w:firstLineChars="200"/>
        <w:outlineLvl w:val="0"/>
        <w:rPr>
          <w:rFonts w:hint="eastAsia" w:ascii="宋体" w:hAnsi="宋体"/>
          <w:b/>
          <w:color w:val="auto"/>
          <w:sz w:val="24"/>
          <w:highlight w:val="none"/>
        </w:rPr>
      </w:pPr>
      <w:bookmarkStart w:id="455" w:name="_Toc16752"/>
      <w:bookmarkStart w:id="456" w:name="_Toc19539"/>
      <w:bookmarkStart w:id="457" w:name="_Toc3769"/>
      <w:bookmarkStart w:id="458" w:name="_Toc23289"/>
      <w:bookmarkStart w:id="459" w:name="_Toc31402"/>
      <w:r>
        <w:rPr>
          <w:rFonts w:ascii="宋体" w:hAnsi="宋体"/>
          <w:b/>
          <w:color w:val="auto"/>
          <w:sz w:val="24"/>
          <w:highlight w:val="none"/>
        </w:rPr>
        <w:t>2.2 技术规范</w:t>
      </w:r>
      <w:bookmarkEnd w:id="455"/>
      <w:bookmarkEnd w:id="456"/>
      <w:bookmarkEnd w:id="457"/>
      <w:bookmarkEnd w:id="458"/>
      <w:bookmarkEnd w:id="459"/>
    </w:p>
    <w:p w14:paraId="27DF1839">
      <w:pPr>
        <w:spacing w:line="560" w:lineRule="exact"/>
        <w:ind w:firstLine="480" w:firstLineChars="200"/>
        <w:rPr>
          <w:rFonts w:hint="eastAsia" w:ascii="宋体" w:hAnsi="宋体"/>
          <w:color w:val="auto"/>
          <w:sz w:val="24"/>
          <w:highlight w:val="none"/>
        </w:rPr>
      </w:pPr>
      <w:r>
        <w:rPr>
          <w:rFonts w:hint="eastAsia" w:ascii="宋体" w:hAnsi="宋体"/>
          <w:color w:val="auto"/>
          <w:sz w:val="24"/>
          <w:highlight w:val="none"/>
        </w:rPr>
        <w:t>服务</w:t>
      </w:r>
      <w:r>
        <w:rPr>
          <w:rFonts w:ascii="宋体" w:hAnsi="宋体"/>
          <w:color w:val="auto"/>
          <w:sz w:val="24"/>
          <w:highlight w:val="none"/>
        </w:rPr>
        <w:t>所应遵守的技术规范应与采购文件规定的技术规范和技术规范附件(如果有的话)及其技术规范偏差表(如果被甲方接受的话)相一致</w:t>
      </w:r>
      <w:r>
        <w:rPr>
          <w:rFonts w:hint="eastAsia" w:ascii="宋体" w:hAnsi="宋体"/>
          <w:color w:val="auto"/>
          <w:sz w:val="24"/>
          <w:highlight w:val="none"/>
        </w:rPr>
        <w:t>；</w:t>
      </w:r>
      <w:r>
        <w:rPr>
          <w:rFonts w:ascii="宋体" w:hAnsi="宋体"/>
          <w:color w:val="auto"/>
          <w:sz w:val="24"/>
          <w:highlight w:val="none"/>
        </w:rPr>
        <w:t>如果采购文件中没有技术规范的相应说明，那么应以国家有关部门最新颁布的相应标准</w:t>
      </w:r>
      <w:r>
        <w:rPr>
          <w:rFonts w:hint="eastAsia" w:ascii="宋体" w:hAnsi="宋体"/>
          <w:color w:val="auto"/>
          <w:sz w:val="24"/>
          <w:highlight w:val="none"/>
        </w:rPr>
        <w:t>和</w:t>
      </w:r>
      <w:r>
        <w:rPr>
          <w:rFonts w:ascii="宋体" w:hAnsi="宋体"/>
          <w:color w:val="auto"/>
          <w:sz w:val="24"/>
          <w:highlight w:val="none"/>
        </w:rPr>
        <w:t>规范为准。</w:t>
      </w:r>
    </w:p>
    <w:p w14:paraId="34B0F895">
      <w:pPr>
        <w:spacing w:line="560" w:lineRule="exact"/>
        <w:ind w:firstLine="482" w:firstLineChars="200"/>
        <w:outlineLvl w:val="0"/>
        <w:rPr>
          <w:rFonts w:hint="eastAsia" w:ascii="宋体" w:hAnsi="宋体"/>
          <w:b/>
          <w:color w:val="auto"/>
          <w:sz w:val="24"/>
          <w:highlight w:val="none"/>
        </w:rPr>
      </w:pPr>
      <w:bookmarkStart w:id="460" w:name="_Toc4133"/>
      <w:bookmarkStart w:id="461" w:name="_Toc27945"/>
      <w:bookmarkStart w:id="462" w:name="_Toc13673"/>
      <w:bookmarkStart w:id="463" w:name="_Toc9161"/>
      <w:bookmarkStart w:id="464" w:name="_Toc12412"/>
      <w:r>
        <w:rPr>
          <w:rFonts w:ascii="宋体" w:hAnsi="宋体"/>
          <w:b/>
          <w:color w:val="auto"/>
          <w:sz w:val="24"/>
          <w:highlight w:val="none"/>
        </w:rPr>
        <w:t>2.3 知识产权</w:t>
      </w:r>
      <w:bookmarkEnd w:id="460"/>
      <w:bookmarkEnd w:id="461"/>
      <w:bookmarkEnd w:id="462"/>
      <w:bookmarkEnd w:id="463"/>
      <w:bookmarkEnd w:id="464"/>
    </w:p>
    <w:p w14:paraId="043D369D">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 xml:space="preserve">2.3.1 </w:t>
      </w:r>
      <w:r>
        <w:rPr>
          <w:rFonts w:hint="eastAsia" w:ascii="宋体" w:hAnsi="宋体"/>
          <w:color w:val="auto"/>
          <w:sz w:val="24"/>
          <w:highlight w:val="none"/>
        </w:rPr>
        <w:t>乙</w:t>
      </w:r>
      <w:r>
        <w:rPr>
          <w:rFonts w:ascii="宋体" w:hAnsi="宋体"/>
          <w:color w:val="auto"/>
          <w:sz w:val="24"/>
          <w:highlight w:val="none"/>
        </w:rPr>
        <w:t>方应保证</w:t>
      </w:r>
      <w:r>
        <w:rPr>
          <w:rFonts w:hint="eastAsia" w:ascii="宋体" w:hAnsi="宋体"/>
          <w:color w:val="auto"/>
          <w:sz w:val="24"/>
          <w:highlight w:val="none"/>
        </w:rPr>
        <w:t>其提供的服务</w:t>
      </w:r>
      <w:r>
        <w:rPr>
          <w:rFonts w:ascii="宋体" w:hAnsi="宋体"/>
          <w:color w:val="auto"/>
          <w:sz w:val="24"/>
          <w:highlight w:val="none"/>
        </w:rPr>
        <w:t>不受任何第三方提出的侵犯其著作权、商标权、专利权等知识产权方面的起诉</w:t>
      </w:r>
      <w:r>
        <w:rPr>
          <w:rFonts w:hint="eastAsia" w:ascii="宋体" w:hAnsi="宋体"/>
          <w:color w:val="auto"/>
          <w:sz w:val="24"/>
          <w:highlight w:val="none"/>
        </w:rPr>
        <w:t>；</w:t>
      </w:r>
      <w:r>
        <w:rPr>
          <w:rFonts w:ascii="宋体" w:hAnsi="宋体"/>
          <w:color w:val="auto"/>
          <w:sz w:val="24"/>
          <w:highlight w:val="none"/>
        </w:rPr>
        <w:t>如果任何第三方提出侵权</w:t>
      </w:r>
      <w:r>
        <w:rPr>
          <w:rFonts w:hint="eastAsia" w:ascii="宋体" w:hAnsi="宋体"/>
          <w:color w:val="auto"/>
          <w:sz w:val="24"/>
          <w:highlight w:val="none"/>
        </w:rPr>
        <w:t>指控</w:t>
      </w:r>
      <w:r>
        <w:rPr>
          <w:rFonts w:ascii="宋体" w:hAnsi="宋体"/>
          <w:color w:val="auto"/>
          <w:sz w:val="24"/>
          <w:highlight w:val="none"/>
        </w:rPr>
        <w:t>，那么乙方须与该第三方交涉并承担由此发生的一切责任、费用和赔偿</w:t>
      </w:r>
      <w:r>
        <w:rPr>
          <w:rFonts w:hint="eastAsia" w:ascii="宋体" w:hAnsi="宋体"/>
          <w:color w:val="auto"/>
          <w:sz w:val="24"/>
          <w:highlight w:val="none"/>
        </w:rPr>
        <w:t>，乙方还应及时澄清相关信息，使甲方声誉免受损害，甲方保留追责的权利。</w:t>
      </w:r>
    </w:p>
    <w:p w14:paraId="3B64C747">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 xml:space="preserve">2.3.2 </w:t>
      </w:r>
      <w:r>
        <w:rPr>
          <w:rFonts w:hint="eastAsia" w:ascii="宋体" w:hAnsi="宋体"/>
          <w:color w:val="auto"/>
          <w:sz w:val="24"/>
          <w:highlight w:val="none"/>
        </w:rPr>
        <w:t>合同涉及技术成果的归属和收益的分成办法的，</w:t>
      </w: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14:paraId="243DC902">
      <w:pPr>
        <w:spacing w:line="560" w:lineRule="exact"/>
        <w:ind w:firstLine="482" w:firstLineChars="200"/>
        <w:rPr>
          <w:rFonts w:hint="eastAsia" w:ascii="宋体" w:hAnsi="宋体"/>
          <w:b/>
          <w:color w:val="auto"/>
          <w:sz w:val="24"/>
          <w:highlight w:val="none"/>
        </w:rPr>
      </w:pPr>
      <w:r>
        <w:rPr>
          <w:rFonts w:ascii="宋体" w:hAnsi="宋体"/>
          <w:b/>
          <w:color w:val="auto"/>
          <w:sz w:val="24"/>
          <w:highlight w:val="none"/>
        </w:rPr>
        <w:t xml:space="preserve">2.4 </w:t>
      </w:r>
      <w:r>
        <w:rPr>
          <w:rFonts w:hint="eastAsia" w:ascii="宋体" w:hAnsi="宋体"/>
          <w:b/>
          <w:color w:val="auto"/>
          <w:sz w:val="24"/>
          <w:highlight w:val="none"/>
        </w:rPr>
        <w:t>履约检查和问题反馈</w:t>
      </w:r>
    </w:p>
    <w:p w14:paraId="71551FE0">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2.4.1甲方</w:t>
      </w:r>
      <w:r>
        <w:rPr>
          <w:rFonts w:hint="eastAsia" w:ascii="宋体" w:hAnsi="宋体"/>
          <w:color w:val="auto"/>
          <w:sz w:val="24"/>
          <w:highlight w:val="none"/>
        </w:rPr>
        <w:t>有权</w:t>
      </w:r>
      <w:r>
        <w:rPr>
          <w:rFonts w:ascii="宋体" w:hAnsi="宋体"/>
          <w:color w:val="auto"/>
          <w:sz w:val="24"/>
          <w:highlight w:val="none"/>
        </w:rPr>
        <w:t>在其认为必要时</w:t>
      </w:r>
      <w:r>
        <w:rPr>
          <w:rFonts w:hint="eastAsia" w:ascii="宋体" w:hAnsi="宋体"/>
          <w:color w:val="auto"/>
          <w:sz w:val="24"/>
          <w:highlight w:val="none"/>
        </w:rPr>
        <w:t>，对乙方是否能够按照合同约定提供服务进行履约检查，以确保乙方所提供的服务能够依约满足甲方之项目需求，但不得因履约检查妨碍乙方的正常工作，乙方应予积极配合；</w:t>
      </w:r>
    </w:p>
    <w:p w14:paraId="69B4BF85">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 xml:space="preserve">2.4.2 </w:t>
      </w:r>
      <w:r>
        <w:rPr>
          <w:rFonts w:hint="eastAsia" w:ascii="宋体" w:hAnsi="宋体"/>
          <w:color w:val="auto"/>
          <w:sz w:val="24"/>
          <w:highlight w:val="none"/>
        </w:rPr>
        <w:t>合同履行期间，甲方有权将履行过程中出现的问题反馈给乙方，双方当事人应以书面形式约定需要完善和改进的内容。</w:t>
      </w:r>
    </w:p>
    <w:p w14:paraId="562447ED">
      <w:pPr>
        <w:spacing w:line="560" w:lineRule="exact"/>
        <w:ind w:firstLine="482" w:firstLineChars="200"/>
        <w:outlineLvl w:val="0"/>
        <w:rPr>
          <w:rFonts w:hint="eastAsia" w:ascii="宋体" w:hAnsi="宋体"/>
          <w:b/>
          <w:color w:val="auto"/>
          <w:sz w:val="24"/>
          <w:highlight w:val="none"/>
        </w:rPr>
      </w:pPr>
      <w:bookmarkStart w:id="465" w:name="_Toc26555"/>
      <w:bookmarkStart w:id="466" w:name="_Toc22011"/>
      <w:bookmarkStart w:id="467" w:name="_Toc31233"/>
      <w:bookmarkStart w:id="468" w:name="_Toc15447"/>
      <w:bookmarkStart w:id="469" w:name="_Toc32670"/>
      <w:r>
        <w:rPr>
          <w:rFonts w:ascii="宋体" w:hAnsi="宋体"/>
          <w:b/>
          <w:color w:val="auto"/>
          <w:sz w:val="24"/>
          <w:highlight w:val="none"/>
        </w:rPr>
        <w:t>2.5 结算方式和付款条件</w:t>
      </w:r>
      <w:bookmarkEnd w:id="465"/>
      <w:bookmarkEnd w:id="466"/>
      <w:bookmarkEnd w:id="467"/>
      <w:bookmarkEnd w:id="468"/>
      <w:bookmarkEnd w:id="469"/>
    </w:p>
    <w:p w14:paraId="48E83D8B">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14:paraId="108DCD4C">
      <w:pPr>
        <w:spacing w:line="560" w:lineRule="exact"/>
        <w:ind w:firstLine="482" w:firstLineChars="200"/>
        <w:outlineLvl w:val="0"/>
        <w:rPr>
          <w:rFonts w:hint="eastAsia" w:ascii="宋体" w:hAnsi="宋体"/>
          <w:b/>
          <w:color w:val="auto"/>
          <w:sz w:val="24"/>
          <w:highlight w:val="none"/>
        </w:rPr>
      </w:pPr>
      <w:bookmarkStart w:id="470" w:name="_Toc13154"/>
      <w:bookmarkStart w:id="471" w:name="_Toc30507"/>
      <w:bookmarkStart w:id="472" w:name="_Toc18990"/>
      <w:bookmarkStart w:id="473" w:name="_Toc16163"/>
      <w:bookmarkStart w:id="474" w:name="_Toc13467"/>
      <w:r>
        <w:rPr>
          <w:rFonts w:ascii="宋体" w:hAnsi="宋体"/>
          <w:b/>
          <w:color w:val="auto"/>
          <w:sz w:val="24"/>
          <w:highlight w:val="none"/>
        </w:rPr>
        <w:t>2.6 技术资料和保密义务</w:t>
      </w:r>
      <w:bookmarkEnd w:id="470"/>
      <w:bookmarkEnd w:id="471"/>
      <w:bookmarkEnd w:id="472"/>
      <w:bookmarkEnd w:id="473"/>
      <w:bookmarkEnd w:id="474"/>
    </w:p>
    <w:p w14:paraId="2B09A13F">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2.6.1 乙方有权依据合同约定和项目需要，向甲方了解有关情况，调阅有关资料等，甲方应予积极配合；</w:t>
      </w:r>
    </w:p>
    <w:p w14:paraId="2B7BB00D">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 xml:space="preserve">2.6.2 </w:t>
      </w:r>
      <w:r>
        <w:rPr>
          <w:rFonts w:hint="eastAsia" w:ascii="宋体" w:hAnsi="宋体"/>
          <w:color w:val="auto"/>
          <w:sz w:val="24"/>
          <w:highlight w:val="none"/>
        </w:rPr>
        <w:t>乙方有义务妥善保管和保护由甲方提供的前款信息和资料等；</w:t>
      </w:r>
    </w:p>
    <w:p w14:paraId="431DA51C">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 xml:space="preserve">2.6.3 </w:t>
      </w:r>
      <w:r>
        <w:rPr>
          <w:rFonts w:hint="eastAsia" w:ascii="宋体" w:hAnsi="宋体"/>
          <w:color w:val="auto"/>
          <w:sz w:val="24"/>
          <w:highlight w:val="none"/>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auto"/>
          <w:sz w:val="24"/>
          <w:highlight w:val="none"/>
        </w:rPr>
        <w:t>技术情报</w:t>
      </w:r>
      <w:r>
        <w:rPr>
          <w:rFonts w:hint="eastAsia" w:ascii="宋体" w:hAnsi="宋体"/>
          <w:color w:val="auto"/>
          <w:sz w:val="24"/>
          <w:highlight w:val="none"/>
        </w:rPr>
        <w:t>、</w:t>
      </w:r>
      <w:r>
        <w:rPr>
          <w:rFonts w:ascii="宋体" w:hAnsi="宋体"/>
          <w:color w:val="auto"/>
          <w:sz w:val="24"/>
          <w:highlight w:val="none"/>
        </w:rPr>
        <w:t>技术资料</w:t>
      </w:r>
      <w:r>
        <w:rPr>
          <w:rFonts w:hint="eastAsia" w:ascii="宋体" w:hAnsi="宋体"/>
          <w:color w:val="auto"/>
          <w:sz w:val="24"/>
          <w:highlight w:val="none"/>
        </w:rPr>
        <w:t>、商业秘密和商业信息等，并采取一切合理和必要措施和方式防止任何第三方接触到对方当事人的上述保密信息和资料。</w:t>
      </w:r>
    </w:p>
    <w:p w14:paraId="6353FA76">
      <w:pPr>
        <w:spacing w:line="560" w:lineRule="exact"/>
        <w:ind w:firstLine="482" w:firstLineChars="200"/>
        <w:outlineLvl w:val="0"/>
        <w:rPr>
          <w:rFonts w:hint="eastAsia" w:ascii="宋体" w:hAnsi="宋体"/>
          <w:b/>
          <w:color w:val="auto"/>
          <w:sz w:val="24"/>
          <w:highlight w:val="none"/>
        </w:rPr>
      </w:pPr>
      <w:bookmarkStart w:id="475" w:name="_Toc19069"/>
      <w:r>
        <w:rPr>
          <w:rFonts w:ascii="宋体" w:hAnsi="宋体"/>
          <w:b/>
          <w:color w:val="auto"/>
          <w:sz w:val="24"/>
          <w:highlight w:val="none"/>
        </w:rPr>
        <w:t xml:space="preserve">2.7 </w:t>
      </w:r>
      <w:r>
        <w:rPr>
          <w:rFonts w:hint="eastAsia" w:ascii="宋体" w:hAnsi="宋体"/>
          <w:b/>
          <w:color w:val="auto"/>
          <w:sz w:val="24"/>
          <w:highlight w:val="none"/>
        </w:rPr>
        <w:t>质量保证</w:t>
      </w:r>
      <w:bookmarkEnd w:id="475"/>
    </w:p>
    <w:p w14:paraId="27BC7229">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 xml:space="preserve">2.7.1 </w:t>
      </w:r>
      <w:r>
        <w:rPr>
          <w:rFonts w:hint="eastAsia" w:ascii="宋体" w:hAnsi="宋体"/>
          <w:color w:val="auto"/>
          <w:sz w:val="24"/>
          <w:highlight w:val="none"/>
        </w:rPr>
        <w:t>乙方应建立和完善履行合同的内部质量保证体系，并提供相关内部规章制度给甲方，以便甲方进行监督检查；</w:t>
      </w:r>
    </w:p>
    <w:p w14:paraId="03745AF3">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 xml:space="preserve">2.7.2 </w:t>
      </w:r>
      <w:r>
        <w:rPr>
          <w:rFonts w:hint="eastAsia" w:ascii="宋体" w:hAnsi="宋体"/>
          <w:color w:val="auto"/>
          <w:sz w:val="24"/>
          <w:highlight w:val="none"/>
        </w:rPr>
        <w:t>乙方应保证履行合同的人员数量和素质、软件和硬件设备的配置、场地、环境和设施等满足全面履行合同的要求，并应接受甲方的监督检查。</w:t>
      </w:r>
    </w:p>
    <w:p w14:paraId="21D1DDC4">
      <w:pPr>
        <w:spacing w:line="560" w:lineRule="exact"/>
        <w:ind w:firstLine="482" w:firstLineChars="200"/>
        <w:outlineLvl w:val="0"/>
        <w:rPr>
          <w:rFonts w:hint="eastAsia" w:ascii="宋体" w:hAnsi="宋体"/>
          <w:b/>
          <w:color w:val="auto"/>
          <w:sz w:val="24"/>
          <w:highlight w:val="none"/>
        </w:rPr>
      </w:pPr>
      <w:bookmarkStart w:id="476" w:name="_Toc22267"/>
      <w:r>
        <w:rPr>
          <w:rFonts w:ascii="宋体" w:hAnsi="宋体"/>
          <w:b/>
          <w:color w:val="auto"/>
          <w:sz w:val="24"/>
          <w:highlight w:val="none"/>
        </w:rPr>
        <w:t xml:space="preserve">2.8 </w:t>
      </w:r>
      <w:r>
        <w:rPr>
          <w:rFonts w:hint="eastAsia" w:ascii="宋体" w:hAnsi="宋体"/>
          <w:b/>
          <w:color w:val="auto"/>
          <w:sz w:val="24"/>
          <w:highlight w:val="none"/>
        </w:rPr>
        <w:t>延迟履行</w:t>
      </w:r>
      <w:bookmarkEnd w:id="476"/>
    </w:p>
    <w:p w14:paraId="0B35789B">
      <w:pPr>
        <w:spacing w:line="560" w:lineRule="exact"/>
        <w:ind w:firstLine="480" w:firstLineChars="200"/>
        <w:rPr>
          <w:rFonts w:hint="eastAsia" w:ascii="宋体" w:hAnsi="宋体"/>
          <w:color w:val="auto"/>
          <w:sz w:val="24"/>
          <w:highlight w:val="none"/>
        </w:rPr>
      </w:pPr>
      <w:r>
        <w:rPr>
          <w:rFonts w:hint="eastAsia" w:ascii="宋体" w:hAnsi="宋体"/>
          <w:color w:val="auto"/>
          <w:sz w:val="24"/>
          <w:highlight w:val="none"/>
        </w:rPr>
        <w:t>甲乙双方签订合同后，乙方应按照合同约定履行合同义务，除不可抗力外，乙方不得延迟履行。</w:t>
      </w:r>
      <w:r>
        <w:rPr>
          <w:rFonts w:ascii="宋体" w:hAnsi="宋体"/>
          <w:color w:val="auto"/>
          <w:sz w:val="24"/>
          <w:highlight w:val="none"/>
        </w:rPr>
        <w:t>在合同履行过程中，如果</w:t>
      </w:r>
      <w:r>
        <w:rPr>
          <w:rFonts w:hint="eastAsia" w:ascii="宋体" w:hAnsi="宋体"/>
          <w:color w:val="auto"/>
          <w:sz w:val="24"/>
          <w:highlight w:val="none"/>
        </w:rPr>
        <w:t>因不可抗力，</w:t>
      </w:r>
      <w:r>
        <w:rPr>
          <w:rFonts w:ascii="宋体" w:hAnsi="宋体"/>
          <w:color w:val="auto"/>
          <w:sz w:val="24"/>
          <w:highlight w:val="none"/>
        </w:rPr>
        <w:t>乙方遇到不能按时</w:t>
      </w:r>
      <w:r>
        <w:rPr>
          <w:rFonts w:hint="eastAsia" w:ascii="宋体" w:hAnsi="宋体"/>
          <w:color w:val="auto"/>
          <w:sz w:val="24"/>
          <w:highlight w:val="none"/>
        </w:rPr>
        <w:t>提供服务</w:t>
      </w:r>
      <w:r>
        <w:rPr>
          <w:rFonts w:ascii="宋体" w:hAnsi="宋体"/>
          <w:color w:val="auto"/>
          <w:sz w:val="24"/>
          <w:highlight w:val="none"/>
        </w:rPr>
        <w:t>的情况，应及时以书面形式将不能按时</w:t>
      </w:r>
      <w:r>
        <w:rPr>
          <w:rFonts w:hint="eastAsia" w:ascii="宋体" w:hAnsi="宋体"/>
          <w:color w:val="auto"/>
          <w:sz w:val="24"/>
          <w:highlight w:val="none"/>
        </w:rPr>
        <w:t>提供服务</w:t>
      </w:r>
      <w:r>
        <w:rPr>
          <w:rFonts w:ascii="宋体" w:hAnsi="宋体"/>
          <w:color w:val="auto"/>
          <w:sz w:val="24"/>
          <w:highlight w:val="none"/>
        </w:rPr>
        <w:t>的理由、预期延误时间通知甲方</w:t>
      </w:r>
      <w:r>
        <w:rPr>
          <w:rFonts w:hint="eastAsia" w:ascii="宋体" w:hAnsi="宋体"/>
          <w:color w:val="auto"/>
          <w:sz w:val="24"/>
          <w:highlight w:val="none"/>
        </w:rPr>
        <w:t>；甲</w:t>
      </w:r>
      <w:r>
        <w:rPr>
          <w:rFonts w:ascii="宋体" w:hAnsi="宋体"/>
          <w:color w:val="auto"/>
          <w:sz w:val="24"/>
          <w:highlight w:val="none"/>
        </w:rPr>
        <w:t>方收到乙方通知后，认为其理由正当的，可以书面形式酌情同意乙方可以延长</w:t>
      </w:r>
      <w:r>
        <w:rPr>
          <w:rFonts w:hint="eastAsia" w:ascii="宋体" w:hAnsi="宋体"/>
          <w:color w:val="auto"/>
          <w:sz w:val="24"/>
          <w:highlight w:val="none"/>
        </w:rPr>
        <w:t>履行</w:t>
      </w:r>
      <w:r>
        <w:rPr>
          <w:rFonts w:ascii="宋体" w:hAnsi="宋体"/>
          <w:color w:val="auto"/>
          <w:sz w:val="24"/>
          <w:highlight w:val="none"/>
        </w:rPr>
        <w:t>的具体时间。</w:t>
      </w:r>
    </w:p>
    <w:p w14:paraId="1D6081F7">
      <w:pPr>
        <w:spacing w:line="560" w:lineRule="exact"/>
        <w:ind w:firstLine="482" w:firstLineChars="200"/>
        <w:outlineLvl w:val="0"/>
        <w:rPr>
          <w:rFonts w:hint="eastAsia" w:ascii="宋体" w:hAnsi="宋体"/>
          <w:b/>
          <w:color w:val="auto"/>
          <w:sz w:val="24"/>
          <w:highlight w:val="none"/>
        </w:rPr>
      </w:pPr>
      <w:bookmarkStart w:id="477" w:name="_Toc10611"/>
      <w:r>
        <w:rPr>
          <w:rFonts w:ascii="宋体" w:hAnsi="宋体"/>
          <w:b/>
          <w:color w:val="auto"/>
          <w:sz w:val="24"/>
          <w:highlight w:val="none"/>
        </w:rPr>
        <w:t xml:space="preserve">2.9 </w:t>
      </w:r>
      <w:r>
        <w:rPr>
          <w:rFonts w:hint="eastAsia" w:ascii="宋体" w:hAnsi="宋体"/>
          <w:b/>
          <w:color w:val="auto"/>
          <w:sz w:val="24"/>
          <w:highlight w:val="none"/>
        </w:rPr>
        <w:t>合同变更</w:t>
      </w:r>
      <w:bookmarkEnd w:id="477"/>
    </w:p>
    <w:p w14:paraId="1A66A84A">
      <w:pPr>
        <w:spacing w:line="560" w:lineRule="exact"/>
        <w:ind w:firstLine="480" w:firstLineChars="200"/>
        <w:rPr>
          <w:rFonts w:hint="eastAsia" w:ascii="宋体" w:hAnsi="宋体"/>
          <w:color w:val="auto"/>
          <w:sz w:val="24"/>
          <w:highlight w:val="none"/>
        </w:rPr>
      </w:pPr>
      <w:r>
        <w:rPr>
          <w:rFonts w:hint="eastAsia" w:ascii="宋体" w:hAnsi="宋体"/>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6F52E444">
      <w:pPr>
        <w:spacing w:line="560" w:lineRule="exact"/>
        <w:ind w:firstLine="482" w:firstLineChars="200"/>
        <w:outlineLvl w:val="0"/>
        <w:rPr>
          <w:rFonts w:hint="eastAsia" w:ascii="宋体" w:hAnsi="宋体"/>
          <w:b/>
          <w:color w:val="auto"/>
          <w:sz w:val="24"/>
          <w:highlight w:val="none"/>
        </w:rPr>
      </w:pPr>
      <w:bookmarkStart w:id="478" w:name="_Toc26689"/>
      <w:bookmarkStart w:id="479" w:name="_Toc23368"/>
      <w:bookmarkStart w:id="480" w:name="_Toc10663"/>
      <w:bookmarkStart w:id="481" w:name="_Toc42"/>
      <w:bookmarkStart w:id="482" w:name="_Toc21830"/>
      <w:r>
        <w:rPr>
          <w:rFonts w:ascii="宋体" w:hAnsi="宋体"/>
          <w:b/>
          <w:color w:val="auto"/>
          <w:sz w:val="24"/>
          <w:highlight w:val="none"/>
        </w:rPr>
        <w:t>2.10 合同转让和分包</w:t>
      </w:r>
      <w:bookmarkEnd w:id="478"/>
      <w:bookmarkEnd w:id="479"/>
      <w:bookmarkEnd w:id="480"/>
      <w:bookmarkEnd w:id="481"/>
      <w:bookmarkEnd w:id="482"/>
    </w:p>
    <w:p w14:paraId="5A0BE62F">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合同的权利义务依法不</w:t>
      </w:r>
      <w:r>
        <w:rPr>
          <w:rFonts w:hint="eastAsia" w:ascii="宋体" w:hAnsi="宋体"/>
          <w:color w:val="auto"/>
          <w:sz w:val="24"/>
          <w:highlight w:val="none"/>
        </w:rPr>
        <w:t>得</w:t>
      </w:r>
      <w:r>
        <w:rPr>
          <w:rFonts w:ascii="宋体" w:hAnsi="宋体"/>
          <w:color w:val="auto"/>
          <w:sz w:val="24"/>
          <w:highlight w:val="none"/>
        </w:rPr>
        <w:t>转让</w:t>
      </w:r>
      <w:r>
        <w:rPr>
          <w:rFonts w:hint="eastAsia" w:ascii="宋体" w:hAnsi="宋体"/>
          <w:color w:val="auto"/>
          <w:sz w:val="24"/>
          <w:highlight w:val="none"/>
        </w:rPr>
        <w:t>，</w:t>
      </w:r>
      <w:r>
        <w:rPr>
          <w:rFonts w:ascii="宋体" w:hAnsi="宋体"/>
          <w:color w:val="auto"/>
          <w:sz w:val="24"/>
          <w:highlight w:val="none"/>
        </w:rPr>
        <w:t>但经甲方</w:t>
      </w:r>
      <w:r>
        <w:rPr>
          <w:rFonts w:hint="eastAsia" w:ascii="宋体" w:hAnsi="宋体"/>
          <w:color w:val="auto"/>
          <w:sz w:val="24"/>
          <w:highlight w:val="none"/>
        </w:rPr>
        <w:t>同意，乙方可以依法采取分包方式履行合同，即：依法可以</w:t>
      </w:r>
      <w:r>
        <w:rPr>
          <w:rFonts w:ascii="宋体" w:hAnsi="宋体"/>
          <w:color w:val="auto"/>
          <w:sz w:val="24"/>
          <w:highlight w:val="none"/>
        </w:rPr>
        <w:t>将合同项下的部分非主体、非关键性工作分包给他人完成</w:t>
      </w:r>
      <w:r>
        <w:rPr>
          <w:rFonts w:hint="eastAsia" w:ascii="宋体" w:hAnsi="宋体"/>
          <w:color w:val="auto"/>
          <w:sz w:val="24"/>
          <w:highlight w:val="none"/>
        </w:rPr>
        <w:t>，</w:t>
      </w:r>
      <w:r>
        <w:rPr>
          <w:rFonts w:ascii="宋体" w:hAnsi="宋体"/>
          <w:color w:val="auto"/>
          <w:sz w:val="24"/>
          <w:highlight w:val="none"/>
        </w:rPr>
        <w:t>接受分包的人应当具备相应的资格条件，并不得再次分包</w:t>
      </w:r>
      <w:r>
        <w:rPr>
          <w:rFonts w:hint="eastAsia" w:ascii="宋体" w:hAnsi="宋体"/>
          <w:color w:val="auto"/>
          <w:sz w:val="24"/>
          <w:highlight w:val="none"/>
        </w:rPr>
        <w:t>，</w:t>
      </w:r>
      <w:r>
        <w:rPr>
          <w:rFonts w:ascii="宋体" w:hAnsi="宋体"/>
          <w:color w:val="auto"/>
          <w:sz w:val="24"/>
          <w:highlight w:val="none"/>
        </w:rPr>
        <w:t>且乙方应就分包项目向甲方负责</w:t>
      </w:r>
      <w:r>
        <w:rPr>
          <w:rFonts w:hint="eastAsia" w:ascii="宋体" w:hAnsi="宋体"/>
          <w:color w:val="auto"/>
          <w:sz w:val="24"/>
          <w:highlight w:val="none"/>
        </w:rPr>
        <w:t>，</w:t>
      </w:r>
      <w:r>
        <w:rPr>
          <w:rFonts w:ascii="宋体" w:hAnsi="宋体"/>
          <w:color w:val="auto"/>
          <w:sz w:val="24"/>
          <w:highlight w:val="none"/>
        </w:rPr>
        <w:t>并</w:t>
      </w:r>
      <w:r>
        <w:rPr>
          <w:rFonts w:hint="eastAsia" w:ascii="宋体" w:hAnsi="宋体"/>
          <w:color w:val="auto"/>
          <w:sz w:val="24"/>
          <w:highlight w:val="none"/>
        </w:rPr>
        <w:t>与分包供应商就分包项目向甲方承担连带责任。</w:t>
      </w:r>
    </w:p>
    <w:p w14:paraId="158A7F0E">
      <w:pPr>
        <w:spacing w:line="560" w:lineRule="exact"/>
        <w:ind w:firstLine="482" w:firstLineChars="200"/>
        <w:outlineLvl w:val="0"/>
        <w:rPr>
          <w:rFonts w:hint="eastAsia" w:ascii="宋体" w:hAnsi="宋体"/>
          <w:b/>
          <w:color w:val="auto"/>
          <w:sz w:val="24"/>
          <w:highlight w:val="none"/>
        </w:rPr>
      </w:pPr>
      <w:bookmarkStart w:id="483" w:name="_Toc4720"/>
      <w:bookmarkStart w:id="484" w:name="_Toc32494"/>
      <w:bookmarkStart w:id="485" w:name="_Toc14371"/>
      <w:bookmarkStart w:id="486" w:name="_Toc26633"/>
      <w:bookmarkStart w:id="487" w:name="_Toc25571"/>
      <w:r>
        <w:rPr>
          <w:rFonts w:ascii="宋体" w:hAnsi="宋体"/>
          <w:b/>
          <w:color w:val="auto"/>
          <w:sz w:val="24"/>
          <w:highlight w:val="none"/>
        </w:rPr>
        <w:t>2.11 不可抗力</w:t>
      </w:r>
      <w:bookmarkEnd w:id="483"/>
      <w:bookmarkEnd w:id="484"/>
      <w:bookmarkEnd w:id="485"/>
      <w:bookmarkEnd w:id="486"/>
      <w:bookmarkEnd w:id="487"/>
    </w:p>
    <w:p w14:paraId="7D38F7BA">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2.11.1如果任何一方遭遇法律规定的不可抗力，致使合同履行受阻时，履行合同的期限应予延长，延长的期限应相当于不可抗力所影响的时间</w:t>
      </w:r>
      <w:r>
        <w:rPr>
          <w:rFonts w:hint="eastAsia" w:ascii="宋体" w:hAnsi="宋体"/>
          <w:color w:val="auto"/>
          <w:sz w:val="24"/>
          <w:highlight w:val="none"/>
        </w:rPr>
        <w:t>；</w:t>
      </w:r>
    </w:p>
    <w:p w14:paraId="0D848AE4">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 xml:space="preserve">2.11.2 </w:t>
      </w:r>
      <w:r>
        <w:rPr>
          <w:rFonts w:hint="eastAsia" w:ascii="宋体" w:hAnsi="宋体"/>
          <w:color w:val="auto"/>
          <w:sz w:val="24"/>
          <w:highlight w:val="none"/>
        </w:rPr>
        <w:t>因不可抗力致使不能实现合同目的的，当事人可以解除合同；</w:t>
      </w:r>
    </w:p>
    <w:p w14:paraId="30D10B18">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 xml:space="preserve">2.11.3 </w:t>
      </w:r>
      <w:r>
        <w:rPr>
          <w:rFonts w:hint="eastAsia" w:ascii="宋体" w:hAnsi="宋体"/>
          <w:color w:val="auto"/>
          <w:sz w:val="24"/>
          <w:highlight w:val="none"/>
        </w:rPr>
        <w:t>因</w:t>
      </w:r>
      <w:r>
        <w:rPr>
          <w:rFonts w:ascii="宋体" w:hAnsi="宋体"/>
          <w:color w:val="auto"/>
          <w:sz w:val="24"/>
          <w:highlight w:val="none"/>
        </w:rPr>
        <w:t>不可抗力致使合同有变更必要的，双方当事人应在</w:t>
      </w:r>
      <w:r>
        <w:rPr>
          <w:rFonts w:ascii="宋体" w:hAnsi="宋体"/>
          <w:b/>
          <w:i/>
          <w:color w:val="auto"/>
          <w:sz w:val="24"/>
          <w:highlight w:val="none"/>
          <w:u w:val="single"/>
        </w:rPr>
        <w:t>合同专用条款</w:t>
      </w:r>
      <w:r>
        <w:rPr>
          <w:rFonts w:ascii="宋体" w:hAnsi="宋体"/>
          <w:color w:val="auto"/>
          <w:sz w:val="24"/>
          <w:highlight w:val="none"/>
        </w:rPr>
        <w:t>约定时间内以书面形式变更合同</w:t>
      </w:r>
      <w:r>
        <w:rPr>
          <w:rFonts w:hint="eastAsia" w:ascii="宋体" w:hAnsi="宋体"/>
          <w:color w:val="auto"/>
          <w:sz w:val="24"/>
          <w:highlight w:val="none"/>
        </w:rPr>
        <w:t>；</w:t>
      </w:r>
    </w:p>
    <w:p w14:paraId="5EA36F62">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2.11.4受</w:t>
      </w:r>
      <w:r>
        <w:rPr>
          <w:rFonts w:hint="eastAsia" w:ascii="宋体" w:hAnsi="宋体"/>
          <w:color w:val="auto"/>
          <w:sz w:val="24"/>
          <w:highlight w:val="none"/>
        </w:rPr>
        <w:t>不可抗力</w:t>
      </w:r>
      <w:r>
        <w:rPr>
          <w:rFonts w:ascii="宋体" w:hAnsi="宋体"/>
          <w:color w:val="auto"/>
          <w:sz w:val="24"/>
          <w:highlight w:val="none"/>
        </w:rPr>
        <w:t>影响的一方在不可抗力发生后</w:t>
      </w:r>
      <w:r>
        <w:rPr>
          <w:rFonts w:hint="eastAsia" w:ascii="宋体" w:hAnsi="宋体"/>
          <w:color w:val="auto"/>
          <w:sz w:val="24"/>
          <w:highlight w:val="none"/>
        </w:rPr>
        <w:t>，</w:t>
      </w:r>
      <w:r>
        <w:rPr>
          <w:rFonts w:ascii="宋体" w:hAnsi="宋体"/>
          <w:color w:val="auto"/>
          <w:sz w:val="24"/>
          <w:highlight w:val="none"/>
        </w:rPr>
        <w:t>应在</w:t>
      </w:r>
      <w:r>
        <w:rPr>
          <w:rFonts w:ascii="宋体" w:hAnsi="宋体"/>
          <w:b/>
          <w:i/>
          <w:color w:val="auto"/>
          <w:sz w:val="24"/>
          <w:highlight w:val="none"/>
          <w:u w:val="single"/>
        </w:rPr>
        <w:t>合同专用条款</w:t>
      </w:r>
      <w:r>
        <w:rPr>
          <w:rFonts w:ascii="宋体" w:hAnsi="宋体"/>
          <w:color w:val="auto"/>
          <w:sz w:val="24"/>
          <w:highlight w:val="none"/>
        </w:rPr>
        <w:t>约定时间内以书面形式通知</w:t>
      </w:r>
      <w:r>
        <w:rPr>
          <w:rFonts w:hint="eastAsia" w:ascii="宋体" w:hAnsi="宋体"/>
          <w:color w:val="auto"/>
          <w:sz w:val="24"/>
          <w:highlight w:val="none"/>
        </w:rPr>
        <w:t>对</w:t>
      </w:r>
      <w:r>
        <w:rPr>
          <w:rFonts w:ascii="宋体" w:hAnsi="宋体"/>
          <w:color w:val="auto"/>
          <w:sz w:val="24"/>
          <w:highlight w:val="none"/>
        </w:rPr>
        <w:t>方当事人，并在</w:t>
      </w:r>
      <w:r>
        <w:rPr>
          <w:rFonts w:ascii="宋体" w:hAnsi="宋体"/>
          <w:b/>
          <w:i/>
          <w:color w:val="auto"/>
          <w:sz w:val="24"/>
          <w:highlight w:val="none"/>
          <w:u w:val="single"/>
        </w:rPr>
        <w:t>合同专用条款</w:t>
      </w:r>
      <w:r>
        <w:rPr>
          <w:rFonts w:ascii="宋体" w:hAnsi="宋体"/>
          <w:color w:val="auto"/>
          <w:sz w:val="24"/>
          <w:highlight w:val="none"/>
        </w:rPr>
        <w:t>约定时间内，将有关部门出具的证明文件送达</w:t>
      </w:r>
      <w:r>
        <w:rPr>
          <w:rFonts w:hint="eastAsia" w:ascii="宋体" w:hAnsi="宋体"/>
          <w:color w:val="auto"/>
          <w:sz w:val="24"/>
          <w:highlight w:val="none"/>
        </w:rPr>
        <w:t>对方当事人</w:t>
      </w:r>
      <w:r>
        <w:rPr>
          <w:rFonts w:ascii="宋体" w:hAnsi="宋体"/>
          <w:color w:val="auto"/>
          <w:sz w:val="24"/>
          <w:highlight w:val="none"/>
        </w:rPr>
        <w:t>。</w:t>
      </w:r>
    </w:p>
    <w:p w14:paraId="3EF4F05F">
      <w:pPr>
        <w:spacing w:line="560" w:lineRule="exact"/>
        <w:ind w:firstLine="482" w:firstLineChars="200"/>
        <w:outlineLvl w:val="0"/>
        <w:rPr>
          <w:rFonts w:hint="eastAsia" w:ascii="宋体" w:hAnsi="宋体"/>
          <w:b/>
          <w:color w:val="auto"/>
          <w:sz w:val="24"/>
          <w:highlight w:val="none"/>
        </w:rPr>
      </w:pPr>
      <w:bookmarkStart w:id="488" w:name="_Toc23854"/>
      <w:bookmarkStart w:id="489" w:name="_Toc3638"/>
      <w:bookmarkStart w:id="490" w:name="_Toc24465"/>
      <w:bookmarkStart w:id="491" w:name="_Toc25783"/>
      <w:bookmarkStart w:id="492" w:name="_Toc14115"/>
      <w:r>
        <w:rPr>
          <w:rFonts w:ascii="宋体" w:hAnsi="宋体"/>
          <w:b/>
          <w:color w:val="auto"/>
          <w:sz w:val="24"/>
          <w:highlight w:val="none"/>
        </w:rPr>
        <w:t>2.12 税费</w:t>
      </w:r>
      <w:bookmarkEnd w:id="488"/>
      <w:bookmarkEnd w:id="489"/>
      <w:bookmarkEnd w:id="490"/>
      <w:bookmarkEnd w:id="491"/>
      <w:bookmarkEnd w:id="492"/>
    </w:p>
    <w:p w14:paraId="55B64A52">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与合同有关的一切税费</w:t>
      </w:r>
      <w:r>
        <w:rPr>
          <w:rFonts w:hint="eastAsia" w:ascii="宋体" w:hAnsi="宋体"/>
          <w:color w:val="auto"/>
          <w:sz w:val="24"/>
          <w:highlight w:val="none"/>
        </w:rPr>
        <w:t>，</w:t>
      </w:r>
      <w:r>
        <w:rPr>
          <w:rFonts w:ascii="宋体" w:hAnsi="宋体"/>
          <w:color w:val="auto"/>
          <w:sz w:val="24"/>
          <w:highlight w:val="none"/>
        </w:rPr>
        <w:t>均按照中华人民共和国法律的相关规定缴纳。</w:t>
      </w:r>
    </w:p>
    <w:p w14:paraId="4D4E1583">
      <w:pPr>
        <w:spacing w:line="560" w:lineRule="exact"/>
        <w:ind w:firstLine="482" w:firstLineChars="200"/>
        <w:outlineLvl w:val="0"/>
        <w:rPr>
          <w:rFonts w:hint="eastAsia" w:ascii="宋体" w:hAnsi="宋体"/>
          <w:b/>
          <w:color w:val="auto"/>
          <w:sz w:val="24"/>
          <w:highlight w:val="none"/>
        </w:rPr>
      </w:pPr>
      <w:bookmarkStart w:id="493" w:name="_Toc26883"/>
      <w:bookmarkStart w:id="494" w:name="_Toc30105"/>
      <w:bookmarkStart w:id="495" w:name="_Toc14814"/>
      <w:bookmarkStart w:id="496" w:name="_Toc25525"/>
      <w:bookmarkStart w:id="497" w:name="_Toc7315"/>
      <w:r>
        <w:rPr>
          <w:rFonts w:ascii="宋体" w:hAnsi="宋体"/>
          <w:b/>
          <w:color w:val="auto"/>
          <w:sz w:val="24"/>
          <w:highlight w:val="none"/>
        </w:rPr>
        <w:t>2.13 乙方破产</w:t>
      </w:r>
      <w:bookmarkEnd w:id="493"/>
      <w:bookmarkEnd w:id="494"/>
      <w:bookmarkEnd w:id="495"/>
      <w:bookmarkEnd w:id="496"/>
      <w:bookmarkEnd w:id="497"/>
    </w:p>
    <w:p w14:paraId="479C27BE">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如果乙方破产导致合同无法履行时，甲方可以书面形式通知乙方终止合同且不给予乙方任何补偿和赔偿</w:t>
      </w:r>
      <w:r>
        <w:rPr>
          <w:rFonts w:hint="eastAsia" w:ascii="宋体" w:hAnsi="宋体"/>
          <w:color w:val="auto"/>
          <w:sz w:val="24"/>
          <w:highlight w:val="none"/>
        </w:rPr>
        <w:t>，但合同的</w:t>
      </w:r>
      <w:r>
        <w:rPr>
          <w:rFonts w:ascii="宋体" w:hAnsi="宋体"/>
          <w:color w:val="auto"/>
          <w:sz w:val="24"/>
          <w:highlight w:val="none"/>
        </w:rPr>
        <w:t>终止不损害或不影响甲方已经采取或将要采取的任何要求乙方支付违约金</w:t>
      </w:r>
      <w:r>
        <w:rPr>
          <w:rFonts w:hint="eastAsia" w:ascii="宋体" w:hAnsi="宋体"/>
          <w:color w:val="auto"/>
          <w:sz w:val="24"/>
          <w:highlight w:val="none"/>
        </w:rPr>
        <w:t>、</w:t>
      </w:r>
      <w:r>
        <w:rPr>
          <w:rFonts w:ascii="宋体" w:hAnsi="宋体"/>
          <w:color w:val="auto"/>
          <w:sz w:val="24"/>
          <w:highlight w:val="none"/>
        </w:rPr>
        <w:t>赔偿损失等的行动或补救措施的权利</w:t>
      </w:r>
      <w:r>
        <w:rPr>
          <w:rFonts w:hint="eastAsia" w:ascii="宋体" w:hAnsi="宋体"/>
          <w:color w:val="auto"/>
          <w:sz w:val="24"/>
          <w:highlight w:val="none"/>
        </w:rPr>
        <w:t>。</w:t>
      </w:r>
    </w:p>
    <w:p w14:paraId="4CAD861B">
      <w:pPr>
        <w:spacing w:line="560" w:lineRule="exact"/>
        <w:ind w:firstLine="482" w:firstLineChars="200"/>
        <w:outlineLvl w:val="0"/>
        <w:rPr>
          <w:rFonts w:hint="eastAsia" w:ascii="宋体" w:hAnsi="宋体"/>
          <w:b/>
          <w:color w:val="auto"/>
          <w:sz w:val="24"/>
          <w:highlight w:val="none"/>
        </w:rPr>
      </w:pPr>
      <w:bookmarkStart w:id="498" w:name="_Toc23323"/>
      <w:bookmarkStart w:id="499" w:name="_Toc2016"/>
      <w:bookmarkStart w:id="500" w:name="_Toc1123"/>
      <w:r>
        <w:rPr>
          <w:rFonts w:ascii="宋体" w:hAnsi="宋体"/>
          <w:b/>
          <w:color w:val="auto"/>
          <w:sz w:val="24"/>
          <w:highlight w:val="none"/>
        </w:rPr>
        <w:t>2.14 合同中止、终止</w:t>
      </w:r>
      <w:bookmarkEnd w:id="498"/>
      <w:bookmarkEnd w:id="499"/>
      <w:bookmarkEnd w:id="500"/>
    </w:p>
    <w:p w14:paraId="37FE8ABB">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 xml:space="preserve">2.14.1 </w:t>
      </w:r>
      <w:r>
        <w:rPr>
          <w:rFonts w:hint="eastAsia" w:ascii="宋体" w:hAnsi="宋体"/>
          <w:color w:val="auto"/>
          <w:sz w:val="24"/>
          <w:highlight w:val="none"/>
        </w:rPr>
        <w:t>双方当事人不得擅自中止或者终止合同；</w:t>
      </w:r>
    </w:p>
    <w:p w14:paraId="3B1D085E">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63D6CF38">
      <w:pPr>
        <w:spacing w:line="560" w:lineRule="exact"/>
        <w:ind w:firstLine="482" w:firstLineChars="200"/>
        <w:outlineLvl w:val="0"/>
        <w:rPr>
          <w:rFonts w:hint="eastAsia" w:ascii="宋体" w:hAnsi="宋体"/>
          <w:b/>
          <w:color w:val="auto"/>
          <w:sz w:val="24"/>
          <w:highlight w:val="none"/>
        </w:rPr>
      </w:pPr>
      <w:bookmarkStart w:id="501" w:name="_Toc17363"/>
      <w:bookmarkStart w:id="502" w:name="_Toc1969"/>
      <w:bookmarkStart w:id="503" w:name="_Toc14525"/>
      <w:r>
        <w:rPr>
          <w:rFonts w:ascii="宋体" w:hAnsi="宋体"/>
          <w:b/>
          <w:color w:val="auto"/>
          <w:sz w:val="24"/>
          <w:highlight w:val="none"/>
        </w:rPr>
        <w:t>2.15 检验和验收</w:t>
      </w:r>
      <w:bookmarkEnd w:id="501"/>
      <w:bookmarkEnd w:id="502"/>
      <w:bookmarkEnd w:id="503"/>
    </w:p>
    <w:p w14:paraId="42D885B7">
      <w:pPr>
        <w:tabs>
          <w:tab w:val="left" w:pos="360"/>
          <w:tab w:val="left" w:pos="540"/>
          <w:tab w:val="left" w:pos="1080"/>
        </w:tabs>
        <w:spacing w:line="560" w:lineRule="exact"/>
        <w:ind w:firstLine="480" w:firstLineChars="200"/>
        <w:rPr>
          <w:rFonts w:hint="eastAsia" w:ascii="宋体" w:hAnsi="宋体"/>
          <w:color w:val="auto"/>
          <w:sz w:val="24"/>
          <w:highlight w:val="none"/>
        </w:rPr>
      </w:pPr>
      <w:r>
        <w:rPr>
          <w:rFonts w:ascii="宋体" w:hAnsi="宋体"/>
          <w:color w:val="auto"/>
          <w:sz w:val="24"/>
          <w:highlight w:val="none"/>
        </w:rPr>
        <w:t xml:space="preserve">2.15.1 </w:t>
      </w:r>
      <w:r>
        <w:rPr>
          <w:rFonts w:hint="eastAsia" w:ascii="宋体" w:hAnsi="宋体"/>
          <w:color w:val="auto"/>
          <w:sz w:val="24"/>
          <w:highlight w:val="none"/>
        </w:rPr>
        <w:t>乙方按照</w:t>
      </w:r>
      <w:r>
        <w:rPr>
          <w:rFonts w:ascii="宋体" w:hAnsi="宋体"/>
          <w:b/>
          <w:i/>
          <w:color w:val="auto"/>
          <w:sz w:val="24"/>
          <w:highlight w:val="none"/>
          <w:u w:val="single"/>
        </w:rPr>
        <w:t>合同专用条款</w:t>
      </w:r>
      <w:r>
        <w:rPr>
          <w:rFonts w:ascii="宋体" w:hAnsi="宋体"/>
          <w:color w:val="auto"/>
          <w:sz w:val="24"/>
          <w:highlight w:val="none"/>
        </w:rPr>
        <w:t>的约定</w:t>
      </w:r>
      <w:r>
        <w:rPr>
          <w:rFonts w:hint="eastAsia" w:ascii="宋体" w:hAnsi="宋体"/>
          <w:color w:val="auto"/>
          <w:sz w:val="24"/>
          <w:highlight w:val="none"/>
        </w:rPr>
        <w:t>，</w:t>
      </w:r>
      <w:r>
        <w:rPr>
          <w:rFonts w:ascii="宋体" w:hAnsi="宋体"/>
          <w:color w:val="auto"/>
          <w:sz w:val="24"/>
          <w:highlight w:val="none"/>
        </w:rPr>
        <w:t>定期提交服务报告</w:t>
      </w:r>
      <w:r>
        <w:rPr>
          <w:rFonts w:hint="eastAsia" w:ascii="宋体" w:hAnsi="宋体"/>
          <w:color w:val="auto"/>
          <w:sz w:val="24"/>
          <w:highlight w:val="none"/>
        </w:rPr>
        <w:t>，甲方按照</w:t>
      </w:r>
      <w:r>
        <w:rPr>
          <w:rFonts w:ascii="宋体" w:hAnsi="宋体"/>
          <w:b/>
          <w:i/>
          <w:color w:val="auto"/>
          <w:sz w:val="24"/>
          <w:highlight w:val="none"/>
          <w:u w:val="single"/>
        </w:rPr>
        <w:t>合同专用条款</w:t>
      </w:r>
      <w:r>
        <w:rPr>
          <w:rFonts w:ascii="宋体" w:hAnsi="宋体"/>
          <w:color w:val="auto"/>
          <w:sz w:val="24"/>
          <w:highlight w:val="none"/>
        </w:rPr>
        <w:t>的约定进行定期验收</w:t>
      </w:r>
      <w:r>
        <w:rPr>
          <w:rFonts w:hint="eastAsia" w:ascii="宋体" w:hAnsi="宋体"/>
          <w:color w:val="auto"/>
          <w:sz w:val="24"/>
          <w:highlight w:val="none"/>
        </w:rPr>
        <w:t>；</w:t>
      </w:r>
    </w:p>
    <w:p w14:paraId="078E8651">
      <w:pPr>
        <w:tabs>
          <w:tab w:val="left" w:pos="360"/>
          <w:tab w:val="left" w:pos="540"/>
          <w:tab w:val="left" w:pos="1080"/>
        </w:tabs>
        <w:spacing w:line="560" w:lineRule="exact"/>
        <w:ind w:firstLine="480" w:firstLineChars="200"/>
        <w:rPr>
          <w:rFonts w:hint="eastAsia" w:ascii="宋体" w:hAnsi="宋体"/>
          <w:color w:val="auto"/>
          <w:sz w:val="24"/>
          <w:highlight w:val="none"/>
        </w:rPr>
      </w:pPr>
      <w:r>
        <w:rPr>
          <w:rFonts w:ascii="宋体" w:hAnsi="宋体"/>
          <w:color w:val="auto"/>
          <w:sz w:val="24"/>
          <w:highlight w:val="none"/>
        </w:rPr>
        <w:t xml:space="preserve">2.15.2 </w:t>
      </w:r>
      <w:r>
        <w:rPr>
          <w:rFonts w:hint="eastAsia" w:ascii="宋体" w:hAnsi="宋体"/>
          <w:color w:val="auto"/>
          <w:sz w:val="24"/>
          <w:highlight w:val="none"/>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01C373D2">
      <w:pPr>
        <w:tabs>
          <w:tab w:val="left" w:pos="360"/>
          <w:tab w:val="left" w:pos="540"/>
          <w:tab w:val="left" w:pos="1080"/>
        </w:tabs>
        <w:spacing w:line="560" w:lineRule="exact"/>
        <w:ind w:firstLine="480" w:firstLineChars="200"/>
        <w:rPr>
          <w:rFonts w:hint="eastAsia" w:ascii="宋体" w:hAnsi="宋体"/>
          <w:color w:val="auto"/>
          <w:sz w:val="24"/>
          <w:highlight w:val="none"/>
        </w:rPr>
      </w:pPr>
      <w:r>
        <w:rPr>
          <w:rFonts w:ascii="宋体" w:hAnsi="宋体"/>
          <w:color w:val="auto"/>
          <w:sz w:val="24"/>
          <w:highlight w:val="none"/>
        </w:rPr>
        <w:t xml:space="preserve">2.15.3 </w:t>
      </w:r>
      <w:r>
        <w:rPr>
          <w:rFonts w:hint="eastAsia" w:ascii="宋体" w:hAnsi="宋体"/>
          <w:color w:val="auto"/>
          <w:sz w:val="24"/>
          <w:highlight w:val="none"/>
        </w:rPr>
        <w:t>检验和验收标准、程序等具体内容以及前述验收书的效力详见</w:t>
      </w:r>
      <w:r>
        <w:rPr>
          <w:rFonts w:ascii="宋体" w:hAnsi="宋体"/>
          <w:b/>
          <w:i/>
          <w:color w:val="auto"/>
          <w:sz w:val="24"/>
          <w:highlight w:val="none"/>
          <w:u w:val="single"/>
        </w:rPr>
        <w:t>合同专用条款</w:t>
      </w:r>
      <w:r>
        <w:rPr>
          <w:rFonts w:hint="eastAsia" w:ascii="宋体" w:hAnsi="宋体"/>
          <w:i/>
          <w:color w:val="auto"/>
          <w:sz w:val="24"/>
          <w:highlight w:val="none"/>
        </w:rPr>
        <w:t>。</w:t>
      </w:r>
    </w:p>
    <w:p w14:paraId="423F0114">
      <w:pPr>
        <w:spacing w:line="560" w:lineRule="exact"/>
        <w:ind w:firstLine="482" w:firstLineChars="200"/>
        <w:outlineLvl w:val="0"/>
        <w:rPr>
          <w:rFonts w:hint="eastAsia" w:ascii="宋体" w:hAnsi="宋体"/>
          <w:b/>
          <w:color w:val="auto"/>
          <w:sz w:val="24"/>
          <w:highlight w:val="none"/>
        </w:rPr>
      </w:pPr>
      <w:bookmarkStart w:id="504" w:name="_Toc12666"/>
      <w:bookmarkStart w:id="505" w:name="_Toc9808"/>
      <w:bookmarkStart w:id="506" w:name="_Toc2308"/>
      <w:bookmarkStart w:id="507" w:name="_Toc31892"/>
      <w:bookmarkStart w:id="508" w:name="_Toc25198"/>
      <w:r>
        <w:rPr>
          <w:rFonts w:ascii="宋体" w:hAnsi="宋体"/>
          <w:b/>
          <w:color w:val="auto"/>
          <w:sz w:val="24"/>
          <w:highlight w:val="none"/>
        </w:rPr>
        <w:t>2.16 通知和送达</w:t>
      </w:r>
      <w:bookmarkEnd w:id="504"/>
      <w:bookmarkEnd w:id="505"/>
      <w:bookmarkEnd w:id="506"/>
      <w:bookmarkEnd w:id="507"/>
      <w:bookmarkEnd w:id="508"/>
    </w:p>
    <w:p w14:paraId="0619222E">
      <w:pPr>
        <w:spacing w:line="560" w:lineRule="exact"/>
        <w:ind w:firstLine="480" w:firstLineChars="200"/>
        <w:rPr>
          <w:rFonts w:hint="eastAsia" w:ascii="宋体" w:hAnsi="宋体"/>
          <w:color w:val="auto"/>
          <w:sz w:val="24"/>
          <w:highlight w:val="none"/>
        </w:rPr>
      </w:pPr>
      <w:bookmarkStart w:id="509" w:name="_Toc18401"/>
      <w:bookmarkStart w:id="510" w:name="_Toc27674"/>
      <w:r>
        <w:rPr>
          <w:rFonts w:ascii="宋体" w:hAnsi="宋体"/>
          <w:color w:val="auto"/>
          <w:sz w:val="24"/>
          <w:highlight w:val="none"/>
        </w:rPr>
        <w:t>2.17.1</w:t>
      </w:r>
      <w:r>
        <w:rPr>
          <w:rFonts w:hint="eastAsia" w:ascii="宋体" w:hAnsi="宋体"/>
          <w:color w:val="auto"/>
          <w:sz w:val="24"/>
          <w:highlight w:val="none"/>
        </w:rPr>
        <w:t>任何一方因履行合同而以合同第一部分尾部所列明的传真或电子邮件</w:t>
      </w:r>
      <w:r>
        <w:rPr>
          <w:rFonts w:ascii="宋体" w:hAnsi="宋体"/>
          <w:color w:val="auto"/>
          <w:sz w:val="24"/>
          <w:highlight w:val="none"/>
        </w:rPr>
        <w:t xml:space="preserve"> </w:t>
      </w:r>
      <w:r>
        <w:rPr>
          <w:rFonts w:ascii="宋体" w:hAnsi="宋体"/>
          <w:color w:val="auto"/>
          <w:sz w:val="24"/>
          <w:highlight w:val="none"/>
          <w:u w:val="single"/>
        </w:rPr>
        <w:t xml:space="preserve">       </w:t>
      </w:r>
      <w:r>
        <w:rPr>
          <w:rFonts w:hint="eastAsia" w:ascii="宋体" w:hAnsi="宋体"/>
          <w:color w:val="auto"/>
          <w:sz w:val="24"/>
          <w:highlight w:val="none"/>
        </w:rPr>
        <w:t>发出的所有通知、文件、材料，均视为已向对方当事人送达；任何一方变更上述送达方式或者地址的，应于</w:t>
      </w:r>
      <w:r>
        <w:rPr>
          <w:rFonts w:ascii="宋体" w:hAnsi="宋体"/>
          <w:color w:val="auto"/>
          <w:sz w:val="24"/>
          <w:highlight w:val="none"/>
          <w:u w:val="single"/>
        </w:rPr>
        <w:t>3</w:t>
      </w:r>
      <w:r>
        <w:rPr>
          <w:rFonts w:hint="eastAsia" w:ascii="宋体" w:hAnsi="宋体"/>
          <w:color w:val="auto"/>
          <w:sz w:val="24"/>
          <w:highlight w:val="none"/>
        </w:rPr>
        <w:t>个工作日内书面通知对方当事人，在对方当事人收到有关变更通知之前，变更前的约定送达方式或者地址仍视为有效。</w:t>
      </w:r>
    </w:p>
    <w:p w14:paraId="0D40F4E3">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2.17.2以当面交付方式送达的，交付之时视为送达；以电子邮件方式送达的，发出电子邮件之时视为送达；以传真方式送达的，发出传真之时视为送达；以邮寄方式送达</w:t>
      </w:r>
      <w:r>
        <w:rPr>
          <w:rFonts w:hint="eastAsia" w:ascii="宋体" w:hAnsi="宋体"/>
          <w:color w:val="auto"/>
          <w:sz w:val="24"/>
          <w:highlight w:val="none"/>
        </w:rPr>
        <w:t>的，邮件挂号寄出或者交邮之日之次日视为送达。</w:t>
      </w:r>
      <w:bookmarkEnd w:id="509"/>
      <w:bookmarkEnd w:id="510"/>
    </w:p>
    <w:p w14:paraId="0FFF6875">
      <w:pPr>
        <w:spacing w:line="560" w:lineRule="exact"/>
        <w:ind w:firstLine="482" w:firstLineChars="200"/>
        <w:outlineLvl w:val="0"/>
        <w:rPr>
          <w:rFonts w:hint="eastAsia" w:ascii="宋体" w:hAnsi="宋体"/>
          <w:b/>
          <w:color w:val="auto"/>
          <w:sz w:val="24"/>
          <w:highlight w:val="none"/>
        </w:rPr>
      </w:pPr>
      <w:bookmarkStart w:id="511" w:name="_Toc5063"/>
      <w:bookmarkStart w:id="512" w:name="_Toc27644"/>
      <w:bookmarkStart w:id="513" w:name="_Toc12254"/>
      <w:bookmarkStart w:id="514" w:name="_Toc20808"/>
      <w:bookmarkStart w:id="515" w:name="_Toc28906"/>
      <w:r>
        <w:rPr>
          <w:rFonts w:ascii="宋体" w:hAnsi="宋体"/>
          <w:b/>
          <w:color w:val="auto"/>
          <w:sz w:val="24"/>
          <w:highlight w:val="none"/>
        </w:rPr>
        <w:t xml:space="preserve">2.17 </w:t>
      </w:r>
      <w:r>
        <w:rPr>
          <w:rFonts w:hint="eastAsia" w:ascii="宋体" w:hAnsi="宋体"/>
          <w:b/>
          <w:color w:val="auto"/>
          <w:sz w:val="24"/>
          <w:highlight w:val="none"/>
        </w:rPr>
        <w:t>合同使用的文字和</w:t>
      </w:r>
      <w:r>
        <w:rPr>
          <w:rFonts w:ascii="宋体" w:hAnsi="宋体"/>
          <w:b/>
          <w:color w:val="auto"/>
          <w:sz w:val="24"/>
          <w:highlight w:val="none"/>
        </w:rPr>
        <w:t>适用的法律</w:t>
      </w:r>
      <w:bookmarkEnd w:id="511"/>
      <w:bookmarkEnd w:id="512"/>
      <w:bookmarkEnd w:id="513"/>
      <w:bookmarkEnd w:id="514"/>
      <w:bookmarkEnd w:id="515"/>
    </w:p>
    <w:p w14:paraId="545708A0">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2.17.1 合同使用汉语书就</w:t>
      </w:r>
      <w:r>
        <w:rPr>
          <w:rFonts w:hint="eastAsia" w:ascii="宋体" w:hAnsi="宋体"/>
          <w:color w:val="auto"/>
          <w:sz w:val="24"/>
          <w:highlight w:val="none"/>
        </w:rPr>
        <w:t>、</w:t>
      </w:r>
      <w:r>
        <w:rPr>
          <w:rFonts w:ascii="宋体" w:hAnsi="宋体"/>
          <w:color w:val="auto"/>
          <w:sz w:val="24"/>
          <w:highlight w:val="none"/>
        </w:rPr>
        <w:t>变更和解释</w:t>
      </w:r>
      <w:r>
        <w:rPr>
          <w:rFonts w:hint="eastAsia" w:ascii="宋体" w:hAnsi="宋体"/>
          <w:color w:val="auto"/>
          <w:sz w:val="24"/>
          <w:highlight w:val="none"/>
        </w:rPr>
        <w:t>；</w:t>
      </w:r>
    </w:p>
    <w:p w14:paraId="29F2BDD7">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 xml:space="preserve">2.17.2 </w:t>
      </w:r>
      <w:r>
        <w:rPr>
          <w:rFonts w:hint="eastAsia" w:ascii="宋体" w:hAnsi="宋体"/>
          <w:color w:val="auto"/>
          <w:sz w:val="24"/>
          <w:highlight w:val="none"/>
        </w:rPr>
        <w:t>合同适用</w:t>
      </w:r>
      <w:r>
        <w:rPr>
          <w:rFonts w:ascii="宋体" w:hAnsi="宋体"/>
          <w:color w:val="auto"/>
          <w:sz w:val="24"/>
          <w:highlight w:val="none"/>
        </w:rPr>
        <w:t>中华人民共和国法律。</w:t>
      </w:r>
    </w:p>
    <w:p w14:paraId="6069A12B">
      <w:pPr>
        <w:spacing w:line="560" w:lineRule="exact"/>
        <w:ind w:firstLine="482" w:firstLineChars="200"/>
        <w:outlineLvl w:val="0"/>
        <w:rPr>
          <w:rFonts w:hint="eastAsia" w:ascii="宋体" w:hAnsi="宋体" w:cs="宋体"/>
          <w:b/>
          <w:color w:val="auto"/>
          <w:sz w:val="24"/>
          <w:highlight w:val="none"/>
        </w:rPr>
      </w:pPr>
      <w:bookmarkStart w:id="516" w:name="_Toc4355"/>
      <w:bookmarkStart w:id="517" w:name="_Toc30599"/>
      <w:bookmarkStart w:id="518" w:name="_Toc18540"/>
      <w:r>
        <w:rPr>
          <w:rFonts w:hint="eastAsia" w:ascii="宋体" w:hAnsi="宋体" w:cs="宋体"/>
          <w:b/>
          <w:color w:val="auto"/>
          <w:sz w:val="24"/>
          <w:highlight w:val="none"/>
        </w:rPr>
        <w:t>2.18 计量单位</w:t>
      </w:r>
      <w:bookmarkEnd w:id="516"/>
      <w:bookmarkEnd w:id="517"/>
      <w:bookmarkEnd w:id="518"/>
    </w:p>
    <w:p w14:paraId="4F58D413">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除技术规范中另有规定外,合同的计量单位均使用国家法定计量单位。</w:t>
      </w:r>
    </w:p>
    <w:p w14:paraId="1DCCB47F">
      <w:pPr>
        <w:spacing w:line="560" w:lineRule="exact"/>
        <w:ind w:firstLine="482" w:firstLineChars="200"/>
        <w:rPr>
          <w:rFonts w:hint="eastAsia" w:ascii="宋体" w:hAnsi="宋体"/>
          <w:b/>
          <w:color w:val="auto"/>
          <w:sz w:val="24"/>
          <w:highlight w:val="none"/>
        </w:rPr>
      </w:pPr>
      <w:r>
        <w:rPr>
          <w:rFonts w:ascii="宋体" w:hAnsi="宋体"/>
          <w:b/>
          <w:color w:val="auto"/>
          <w:sz w:val="24"/>
          <w:highlight w:val="none"/>
        </w:rPr>
        <w:t>2.</w:t>
      </w:r>
      <w:r>
        <w:rPr>
          <w:rFonts w:hint="eastAsia" w:ascii="宋体" w:hAnsi="宋体"/>
          <w:b/>
          <w:color w:val="auto"/>
          <w:sz w:val="24"/>
          <w:highlight w:val="none"/>
        </w:rPr>
        <w:t>19</w:t>
      </w:r>
      <w:r>
        <w:rPr>
          <w:rFonts w:ascii="宋体" w:hAnsi="宋体"/>
          <w:b/>
          <w:color w:val="auto"/>
          <w:sz w:val="24"/>
          <w:highlight w:val="none"/>
        </w:rPr>
        <w:t>合同份数</w:t>
      </w:r>
    </w:p>
    <w:p w14:paraId="51352C93">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合同份数按</w:t>
      </w:r>
      <w:r>
        <w:rPr>
          <w:rFonts w:ascii="宋体" w:hAnsi="宋体"/>
          <w:b/>
          <w:i/>
          <w:color w:val="auto"/>
          <w:sz w:val="24"/>
          <w:highlight w:val="none"/>
          <w:u w:val="single"/>
        </w:rPr>
        <w:t>合同专用条款</w:t>
      </w:r>
      <w:r>
        <w:rPr>
          <w:rFonts w:ascii="宋体" w:hAnsi="宋体"/>
          <w:color w:val="auto"/>
          <w:sz w:val="24"/>
          <w:highlight w:val="none"/>
        </w:rPr>
        <w:t>规定</w:t>
      </w:r>
      <w:r>
        <w:rPr>
          <w:rFonts w:hint="eastAsia" w:ascii="宋体" w:hAnsi="宋体"/>
          <w:color w:val="auto"/>
          <w:sz w:val="24"/>
          <w:highlight w:val="none"/>
        </w:rPr>
        <w:t>，</w:t>
      </w:r>
      <w:r>
        <w:rPr>
          <w:rFonts w:ascii="宋体" w:hAnsi="宋体"/>
          <w:color w:val="auto"/>
          <w:sz w:val="24"/>
          <w:highlight w:val="none"/>
        </w:rPr>
        <w:t>每份均具有同等法律效力</w:t>
      </w:r>
      <w:r>
        <w:rPr>
          <w:rFonts w:hint="eastAsia" w:ascii="宋体" w:hAnsi="宋体"/>
          <w:color w:val="auto"/>
          <w:sz w:val="24"/>
          <w:highlight w:val="none"/>
        </w:rPr>
        <w:t>。</w:t>
      </w:r>
    </w:p>
    <w:p w14:paraId="7FFBE554">
      <w:pPr>
        <w:spacing w:line="360" w:lineRule="auto"/>
        <w:jc w:val="center"/>
        <w:outlineLvl w:val="0"/>
        <w:rPr>
          <w:rFonts w:hint="eastAsia" w:ascii="宋体" w:hAnsi="宋体" w:cs="宋体"/>
          <w:b/>
          <w:color w:val="auto"/>
          <w:sz w:val="24"/>
          <w:highlight w:val="none"/>
        </w:rPr>
      </w:pPr>
      <w:r>
        <w:rPr>
          <w:rFonts w:hint="eastAsia" w:ascii="宋体" w:hAnsi="宋体" w:cs="宋体"/>
          <w:color w:val="auto"/>
          <w:kern w:val="0"/>
          <w:highlight w:val="none"/>
        </w:rPr>
        <w:br w:type="page"/>
      </w:r>
      <w:bookmarkStart w:id="519" w:name="_Toc331685784"/>
      <w:r>
        <w:rPr>
          <w:rFonts w:hint="eastAsia" w:ascii="宋体" w:hAnsi="宋体" w:cs="宋体"/>
          <w:b/>
          <w:color w:val="auto"/>
          <w:sz w:val="24"/>
          <w:highlight w:val="none"/>
        </w:rPr>
        <w:t xml:space="preserve"> </w:t>
      </w:r>
      <w:bookmarkEnd w:id="519"/>
      <w:r>
        <w:rPr>
          <w:rFonts w:hint="eastAsia" w:ascii="宋体" w:hAnsi="宋体" w:cs="宋体"/>
          <w:b/>
          <w:color w:val="auto"/>
          <w:sz w:val="24"/>
          <w:highlight w:val="none"/>
        </w:rPr>
        <w:t>第三部分  合同专用条款</w:t>
      </w:r>
    </w:p>
    <w:p w14:paraId="7D99D73A">
      <w:pPr>
        <w:spacing w:line="560" w:lineRule="exact"/>
        <w:ind w:left="-420" w:leftChars="-200" w:right="-420" w:rightChars="-200" w:firstLine="480" w:firstLineChars="200"/>
        <w:rPr>
          <w:rFonts w:hint="eastAsia" w:ascii="宋体" w:hAnsi="宋体" w:cs="宋体"/>
          <w:color w:val="auto"/>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p w14:paraId="11E2B4E6">
      <w:pPr>
        <w:spacing w:line="560" w:lineRule="exact"/>
        <w:ind w:left="-420" w:leftChars="-200" w:right="-420" w:rightChars="-200" w:firstLine="482" w:firstLineChars="200"/>
        <w:rPr>
          <w:rFonts w:hint="eastAsia" w:ascii="宋体" w:hAnsi="宋体" w:cs="宋体"/>
          <w:b/>
          <w:bCs/>
          <w:color w:val="auto"/>
          <w:highlight w:val="none"/>
        </w:rPr>
      </w:pPr>
      <w:r>
        <w:rPr>
          <w:rFonts w:hint="eastAsia" w:ascii="宋体" w:hAnsi="宋体" w:cs="宋体"/>
          <w:b/>
          <w:bCs/>
          <w:color w:val="auto"/>
          <w:sz w:val="24"/>
          <w:highlight w:val="none"/>
        </w:rPr>
        <w:t>标项一：杭州市温室气体监测系统运维项目</w:t>
      </w:r>
    </w:p>
    <w:tbl>
      <w:tblPr>
        <w:tblStyle w:val="62"/>
        <w:tblW w:w="0" w:type="auto"/>
        <w:tblInd w:w="-389"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53"/>
        <w:gridCol w:w="7983"/>
      </w:tblGrid>
      <w:tr w14:paraId="6E2893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953" w:type="dxa"/>
            <w:tcBorders>
              <w:left w:val="single" w:color="auto" w:sz="4" w:space="0"/>
            </w:tcBorders>
            <w:vAlign w:val="center"/>
          </w:tcPr>
          <w:p w14:paraId="41429387">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条款号</w:t>
            </w:r>
          </w:p>
        </w:tc>
        <w:tc>
          <w:tcPr>
            <w:tcW w:w="7983" w:type="dxa"/>
            <w:vAlign w:val="center"/>
          </w:tcPr>
          <w:p w14:paraId="32226FD2">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约定内容</w:t>
            </w:r>
          </w:p>
        </w:tc>
      </w:tr>
      <w:tr w14:paraId="606BED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53" w:type="dxa"/>
            <w:tcBorders>
              <w:left w:val="single" w:color="auto" w:sz="4" w:space="0"/>
            </w:tcBorders>
            <w:vAlign w:val="center"/>
          </w:tcPr>
          <w:p w14:paraId="25B312ED">
            <w:pPr>
              <w:spacing w:line="360" w:lineRule="auto"/>
              <w:rPr>
                <w:rFonts w:hint="eastAsia" w:ascii="宋体" w:hAnsi="宋体" w:cs="宋体"/>
                <w:color w:val="auto"/>
                <w:sz w:val="24"/>
                <w:highlight w:val="none"/>
              </w:rPr>
            </w:pPr>
            <w:r>
              <w:rPr>
                <w:rFonts w:hint="eastAsia" w:ascii="宋体" w:hAnsi="宋体" w:cs="宋体"/>
                <w:color w:val="auto"/>
                <w:sz w:val="24"/>
                <w:highlight w:val="none"/>
              </w:rPr>
              <w:t>1.3.2</w:t>
            </w:r>
          </w:p>
        </w:tc>
        <w:tc>
          <w:tcPr>
            <w:tcW w:w="7983" w:type="dxa"/>
            <w:vAlign w:val="center"/>
          </w:tcPr>
          <w:p w14:paraId="61E9C65E">
            <w:pPr>
              <w:spacing w:line="360" w:lineRule="auto"/>
              <w:rPr>
                <w:rFonts w:hint="eastAsia" w:ascii="宋体" w:hAnsi="宋体" w:cs="宋体"/>
                <w:color w:val="auto"/>
                <w:sz w:val="24"/>
                <w:highlight w:val="none"/>
              </w:rPr>
            </w:pPr>
            <w:r>
              <w:rPr>
                <w:rFonts w:hint="eastAsia" w:ascii="宋体" w:hAnsi="宋体" w:cs="宋体"/>
                <w:color w:val="auto"/>
                <w:sz w:val="24"/>
                <w:highlight w:val="none"/>
              </w:rPr>
              <w:t>无，总价合同不涉及。</w:t>
            </w:r>
          </w:p>
        </w:tc>
      </w:tr>
      <w:tr w14:paraId="092354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53" w:type="dxa"/>
            <w:tcBorders>
              <w:left w:val="single" w:color="auto" w:sz="4" w:space="0"/>
            </w:tcBorders>
            <w:vAlign w:val="center"/>
          </w:tcPr>
          <w:p w14:paraId="278E894C">
            <w:pPr>
              <w:spacing w:line="360" w:lineRule="auto"/>
              <w:rPr>
                <w:rFonts w:hint="eastAsia" w:ascii="宋体" w:hAnsi="宋体" w:cs="宋体"/>
                <w:color w:val="auto"/>
                <w:sz w:val="24"/>
                <w:highlight w:val="none"/>
              </w:rPr>
            </w:pPr>
            <w:r>
              <w:rPr>
                <w:rFonts w:hint="eastAsia" w:ascii="宋体" w:hAnsi="宋体" w:cs="宋体"/>
                <w:color w:val="auto"/>
                <w:sz w:val="24"/>
                <w:highlight w:val="none"/>
              </w:rPr>
              <w:t>1.4.2</w:t>
            </w:r>
          </w:p>
        </w:tc>
        <w:tc>
          <w:tcPr>
            <w:tcW w:w="7983" w:type="dxa"/>
            <w:vAlign w:val="center"/>
          </w:tcPr>
          <w:p w14:paraId="2235E873">
            <w:pPr>
              <w:spacing w:line="360" w:lineRule="auto"/>
              <w:rPr>
                <w:rFonts w:hint="eastAsia" w:ascii="宋体" w:hAnsi="宋体" w:cs="宋体"/>
                <w:color w:val="auto"/>
                <w:sz w:val="24"/>
                <w:highlight w:val="none"/>
              </w:rPr>
            </w:pPr>
            <w:r>
              <w:rPr>
                <w:rFonts w:hint="eastAsia" w:ascii="宋体" w:hAnsi="宋体" w:cs="宋体"/>
                <w:color w:val="auto"/>
                <w:sz w:val="24"/>
                <w:highlight w:val="none"/>
              </w:rPr>
              <w:t>否，</w:t>
            </w:r>
            <w:r>
              <w:rPr>
                <w:rFonts w:ascii="宋体" w:hAnsi="宋体" w:cs="宋体"/>
                <w:color w:val="auto"/>
                <w:sz w:val="24"/>
                <w:highlight w:val="none"/>
              </w:rPr>
              <w:t>本项目</w:t>
            </w:r>
            <w:r>
              <w:rPr>
                <w:rFonts w:hint="eastAsia" w:ascii="宋体" w:hAnsi="宋体" w:cs="宋体"/>
                <w:color w:val="auto"/>
                <w:sz w:val="24"/>
                <w:highlight w:val="none"/>
              </w:rPr>
              <w:t>不收取</w:t>
            </w:r>
            <w:r>
              <w:rPr>
                <w:rFonts w:ascii="宋体" w:hAnsi="宋体" w:cs="宋体"/>
                <w:color w:val="auto"/>
                <w:sz w:val="24"/>
                <w:highlight w:val="none"/>
              </w:rPr>
              <w:t>履约保证金</w:t>
            </w:r>
            <w:r>
              <w:rPr>
                <w:rFonts w:hint="eastAsia" w:ascii="宋体" w:hAnsi="宋体" w:cs="宋体"/>
                <w:color w:val="auto"/>
                <w:sz w:val="24"/>
                <w:highlight w:val="none"/>
              </w:rPr>
              <w:t>。</w:t>
            </w:r>
          </w:p>
        </w:tc>
      </w:tr>
      <w:tr w14:paraId="6DB5FC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53" w:type="dxa"/>
            <w:tcBorders>
              <w:left w:val="single" w:color="auto" w:sz="4" w:space="0"/>
            </w:tcBorders>
            <w:vAlign w:val="center"/>
          </w:tcPr>
          <w:p w14:paraId="2B66D81C">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1.5.1 </w:t>
            </w:r>
          </w:p>
        </w:tc>
        <w:tc>
          <w:tcPr>
            <w:tcW w:w="7983" w:type="dxa"/>
            <w:vAlign w:val="center"/>
          </w:tcPr>
          <w:p w14:paraId="237D697D">
            <w:pPr>
              <w:spacing w:line="360" w:lineRule="auto"/>
              <w:rPr>
                <w:rFonts w:hint="eastAsia" w:ascii="宋体" w:hAnsi="宋体" w:cs="宋体"/>
                <w:color w:val="auto"/>
                <w:kern w:val="0"/>
                <w:sz w:val="24"/>
                <w:highlight w:val="none"/>
              </w:rPr>
            </w:pPr>
            <w:r>
              <w:rPr>
                <w:rFonts w:hint="eastAsia" w:ascii="宋体" w:hAnsi="宋体" w:cs="宋体"/>
                <w:color w:val="auto"/>
                <w:sz w:val="24"/>
                <w:highlight w:val="none"/>
              </w:rPr>
              <w:t>是，</w:t>
            </w:r>
            <w:r>
              <w:rPr>
                <w:rFonts w:hint="eastAsia" w:ascii="宋体" w:hAnsi="宋体" w:cs="宋体"/>
                <w:color w:val="auto"/>
                <w:kern w:val="0"/>
                <w:sz w:val="24"/>
                <w:highlight w:val="none"/>
              </w:rPr>
              <w:t>预付款比例、支付方式、时间：</w:t>
            </w:r>
          </w:p>
          <w:p w14:paraId="1D44A68C">
            <w:pPr>
              <w:spacing w:line="360" w:lineRule="auto"/>
              <w:ind w:firstLine="480" w:firstLineChars="200"/>
              <w:rPr>
                <w:rFonts w:hint="eastAsia" w:ascii="宋体" w:hAnsi="宋体" w:cs="宋体"/>
                <w:color w:val="auto"/>
                <w:sz w:val="24"/>
                <w:highlight w:val="none"/>
              </w:rPr>
            </w:pPr>
            <w:r>
              <w:rPr>
                <w:rFonts w:hint="eastAsia" w:ascii="宋体" w:hAnsi="宋体" w:cs="宋体"/>
                <w:color w:val="auto"/>
                <w:kern w:val="0"/>
                <w:sz w:val="24"/>
                <w:highlight w:val="none"/>
              </w:rPr>
              <w:t>合同签订且财政资金到位后5个工作日内，甲方凭乙方开具的正规发票向乙方支付合同金额的</w:t>
            </w:r>
            <w:r>
              <w:rPr>
                <w:rFonts w:hint="eastAsia" w:ascii="宋体" w:hAnsi="宋体" w:cs="宋体"/>
                <w:color w:val="auto"/>
                <w:kern w:val="0"/>
                <w:sz w:val="24"/>
                <w:highlight w:val="none"/>
                <w:u w:val="single"/>
              </w:rPr>
              <w:t xml:space="preserve"> </w:t>
            </w:r>
            <w:r>
              <w:rPr>
                <w:rFonts w:ascii="宋体" w:hAnsi="宋体" w:cs="宋体"/>
                <w:color w:val="auto"/>
                <w:kern w:val="0"/>
                <w:sz w:val="24"/>
                <w:highlight w:val="none"/>
                <w:u w:val="single"/>
              </w:rPr>
              <w:t>5</w:t>
            </w:r>
            <w:r>
              <w:rPr>
                <w:rFonts w:hint="eastAsia" w:ascii="宋体" w:hAnsi="宋体" w:cs="宋体"/>
                <w:color w:val="auto"/>
                <w:kern w:val="0"/>
                <w:sz w:val="24"/>
                <w:highlight w:val="none"/>
                <w:u w:val="single"/>
              </w:rPr>
              <w:t xml:space="preserve">0 </w:t>
            </w:r>
            <w:r>
              <w:rPr>
                <w:rFonts w:hint="eastAsia" w:ascii="宋体" w:hAnsi="宋体" w:cs="宋体"/>
                <w:color w:val="auto"/>
                <w:kern w:val="0"/>
                <w:sz w:val="24"/>
                <w:highlight w:val="none"/>
              </w:rPr>
              <w:t>%作为预付款。</w:t>
            </w:r>
          </w:p>
        </w:tc>
      </w:tr>
      <w:tr w14:paraId="45289A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53" w:type="dxa"/>
            <w:tcBorders>
              <w:left w:val="single" w:color="auto" w:sz="4" w:space="0"/>
            </w:tcBorders>
            <w:vAlign w:val="center"/>
          </w:tcPr>
          <w:p w14:paraId="79B53FE0">
            <w:pPr>
              <w:spacing w:line="360" w:lineRule="auto"/>
              <w:rPr>
                <w:rFonts w:hint="eastAsia" w:ascii="宋体" w:hAnsi="宋体" w:cs="宋体"/>
                <w:color w:val="auto"/>
                <w:sz w:val="24"/>
                <w:highlight w:val="none"/>
              </w:rPr>
            </w:pPr>
            <w:r>
              <w:rPr>
                <w:rFonts w:hint="eastAsia" w:ascii="宋体" w:hAnsi="宋体" w:cs="宋体"/>
                <w:color w:val="auto"/>
                <w:sz w:val="24"/>
                <w:highlight w:val="none"/>
              </w:rPr>
              <w:t>1.5.2</w:t>
            </w:r>
          </w:p>
        </w:tc>
        <w:tc>
          <w:tcPr>
            <w:tcW w:w="7983" w:type="dxa"/>
            <w:vAlign w:val="center"/>
          </w:tcPr>
          <w:p w14:paraId="396079AC">
            <w:pPr>
              <w:spacing w:line="360" w:lineRule="auto"/>
              <w:rPr>
                <w:rFonts w:hint="eastAsia" w:ascii="宋体" w:hAnsi="宋体" w:cs="宋体"/>
                <w:color w:val="auto"/>
                <w:sz w:val="24"/>
                <w:highlight w:val="none"/>
              </w:rPr>
            </w:pPr>
            <w:r>
              <w:rPr>
                <w:rFonts w:hint="eastAsia" w:ascii="宋体" w:hAnsi="宋体" w:cs="宋体"/>
                <w:color w:val="auto"/>
                <w:sz w:val="24"/>
                <w:highlight w:val="none"/>
              </w:rPr>
              <w:t>预付款的扣回方式：无特殊规定。</w:t>
            </w:r>
          </w:p>
        </w:tc>
      </w:tr>
      <w:tr w14:paraId="49808C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53" w:type="dxa"/>
            <w:tcBorders>
              <w:left w:val="single" w:color="auto" w:sz="4" w:space="0"/>
            </w:tcBorders>
            <w:vAlign w:val="center"/>
          </w:tcPr>
          <w:p w14:paraId="41C45983">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1.5.3 </w:t>
            </w:r>
          </w:p>
        </w:tc>
        <w:tc>
          <w:tcPr>
            <w:tcW w:w="7983" w:type="dxa"/>
            <w:vAlign w:val="center"/>
          </w:tcPr>
          <w:p w14:paraId="24AADA2C">
            <w:pPr>
              <w:spacing w:line="360" w:lineRule="auto"/>
              <w:rPr>
                <w:rFonts w:hint="eastAsia" w:ascii="宋体" w:hAnsi="宋体" w:cs="宋体"/>
                <w:color w:val="auto"/>
                <w:sz w:val="24"/>
                <w:highlight w:val="none"/>
              </w:rPr>
            </w:pPr>
            <w:r>
              <w:rPr>
                <w:rFonts w:hint="eastAsia" w:ascii="宋体" w:hAnsi="宋体" w:cs="宋体"/>
                <w:color w:val="auto"/>
                <w:sz w:val="24"/>
                <w:highlight w:val="none"/>
              </w:rPr>
              <w:t>预付款的担保措施：如有必要，乙方可登录政采云前台大厅选择金融服务 - 【保函保险服务】出具预付款保函，具体步骤：选择产品—填写供应商信息—选择中标项目—确认信息—等待保险/保函受理—确认保单—支付保费—成功出单。政采云金融专线95763。</w:t>
            </w:r>
          </w:p>
        </w:tc>
      </w:tr>
      <w:tr w14:paraId="7B8A57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53" w:type="dxa"/>
            <w:tcBorders>
              <w:left w:val="single" w:color="auto" w:sz="4" w:space="0"/>
            </w:tcBorders>
            <w:vAlign w:val="center"/>
          </w:tcPr>
          <w:p w14:paraId="63A72F06">
            <w:pPr>
              <w:spacing w:line="360" w:lineRule="auto"/>
              <w:rPr>
                <w:rFonts w:hint="eastAsia" w:ascii="宋体" w:hAnsi="宋体" w:cs="宋体"/>
                <w:color w:val="auto"/>
                <w:sz w:val="24"/>
                <w:highlight w:val="none"/>
              </w:rPr>
            </w:pPr>
            <w:r>
              <w:rPr>
                <w:rFonts w:hint="eastAsia" w:ascii="宋体" w:hAnsi="宋体" w:cs="宋体"/>
                <w:color w:val="auto"/>
                <w:sz w:val="24"/>
                <w:highlight w:val="none"/>
              </w:rPr>
              <w:t>1.6.2</w:t>
            </w:r>
          </w:p>
        </w:tc>
        <w:tc>
          <w:tcPr>
            <w:tcW w:w="7983" w:type="dxa"/>
            <w:vAlign w:val="center"/>
          </w:tcPr>
          <w:p w14:paraId="1FC3F81C">
            <w:pPr>
              <w:spacing w:line="360" w:lineRule="auto"/>
              <w:rPr>
                <w:rFonts w:hint="eastAsia" w:ascii="宋体" w:hAnsi="宋体" w:cs="宋体"/>
                <w:color w:val="auto"/>
                <w:sz w:val="24"/>
                <w:highlight w:val="none"/>
              </w:rPr>
            </w:pPr>
            <w:r>
              <w:rPr>
                <w:rFonts w:hint="eastAsia" w:ascii="宋体" w:hAnsi="宋体" w:cs="宋体"/>
                <w:color w:val="auto"/>
                <w:sz w:val="24"/>
                <w:highlight w:val="none"/>
              </w:rPr>
              <w:t>资金支付的方式、时间和条件：</w:t>
            </w:r>
          </w:p>
          <w:p w14:paraId="3C121879">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1.合同签订且财政资金到位后5个工作日内，甲方凭乙方开具的正规发票向乙方支付合同金额的</w:t>
            </w:r>
            <w:r>
              <w:rPr>
                <w:rFonts w:hint="eastAsia" w:ascii="宋体" w:hAnsi="宋体" w:cs="宋体"/>
                <w:color w:val="auto"/>
                <w:kern w:val="0"/>
                <w:sz w:val="24"/>
                <w:highlight w:val="none"/>
                <w:u w:val="single"/>
              </w:rPr>
              <w:t xml:space="preserve">  </w:t>
            </w:r>
            <w:r>
              <w:rPr>
                <w:rFonts w:ascii="宋体" w:hAnsi="宋体" w:cs="宋体"/>
                <w:color w:val="auto"/>
                <w:kern w:val="0"/>
                <w:sz w:val="24"/>
                <w:highlight w:val="none"/>
                <w:u w:val="single"/>
              </w:rPr>
              <w:t>5</w:t>
            </w:r>
            <w:r>
              <w:rPr>
                <w:rFonts w:hint="eastAsia" w:ascii="宋体" w:hAnsi="宋体" w:cs="宋体"/>
                <w:color w:val="auto"/>
                <w:kern w:val="0"/>
                <w:sz w:val="24"/>
                <w:highlight w:val="none"/>
                <w:u w:val="single"/>
              </w:rPr>
              <w:t xml:space="preserve">0 </w:t>
            </w:r>
            <w:r>
              <w:rPr>
                <w:rFonts w:hint="eastAsia" w:ascii="宋体" w:hAnsi="宋体" w:cs="宋体"/>
                <w:color w:val="auto"/>
                <w:kern w:val="0"/>
                <w:sz w:val="24"/>
                <w:highlight w:val="none"/>
              </w:rPr>
              <w:t>%作为预付款；</w:t>
            </w:r>
          </w:p>
          <w:p w14:paraId="1D41ACAE">
            <w:pPr>
              <w:spacing w:line="360" w:lineRule="auto"/>
              <w:ind w:firstLine="480" w:firstLineChars="200"/>
              <w:rPr>
                <w:rFonts w:hint="eastAsia" w:ascii="宋体" w:hAnsi="宋体" w:cs="宋体"/>
                <w:color w:val="auto"/>
                <w:sz w:val="24"/>
                <w:highlight w:val="none"/>
              </w:rPr>
            </w:pPr>
            <w:r>
              <w:rPr>
                <w:rFonts w:hint="eastAsia" w:ascii="宋体" w:hAnsi="宋体" w:cs="宋体"/>
                <w:color w:val="auto"/>
                <w:kern w:val="0"/>
                <w:sz w:val="24"/>
                <w:highlight w:val="none"/>
              </w:rPr>
              <w:t>2.项目考核合格</w:t>
            </w:r>
            <w:r>
              <w:rPr>
                <w:rFonts w:hint="eastAsia" w:ascii="宋体" w:hAnsi="宋体" w:cs="宋体"/>
                <w:color w:val="auto"/>
                <w:kern w:val="0"/>
                <w:sz w:val="24"/>
                <w:highlight w:val="none"/>
                <w:lang w:val="en-US" w:eastAsia="zh-CN"/>
              </w:rPr>
              <w:t>后</w:t>
            </w:r>
            <w:r>
              <w:rPr>
                <w:rFonts w:hint="eastAsia" w:ascii="宋体" w:hAnsi="宋体" w:cs="宋体"/>
                <w:color w:val="auto"/>
                <w:kern w:val="0"/>
                <w:sz w:val="24"/>
                <w:highlight w:val="none"/>
              </w:rPr>
              <w:t>（凭正规发票）向乙方支付合同金额的剩余</w:t>
            </w:r>
            <w:r>
              <w:rPr>
                <w:rFonts w:hint="eastAsia" w:ascii="宋体" w:hAnsi="宋体" w:cs="宋体"/>
                <w:color w:val="auto"/>
                <w:kern w:val="0"/>
                <w:sz w:val="24"/>
                <w:highlight w:val="none"/>
                <w:u w:val="single"/>
              </w:rPr>
              <w:t xml:space="preserve">  </w:t>
            </w:r>
            <w:r>
              <w:rPr>
                <w:rFonts w:ascii="宋体" w:hAnsi="宋体" w:cs="宋体"/>
                <w:color w:val="auto"/>
                <w:kern w:val="0"/>
                <w:sz w:val="24"/>
                <w:highlight w:val="none"/>
                <w:u w:val="single"/>
              </w:rPr>
              <w:t>5</w:t>
            </w:r>
            <w:r>
              <w:rPr>
                <w:rFonts w:hint="eastAsia" w:ascii="宋体" w:hAnsi="宋体" w:cs="宋体"/>
                <w:color w:val="auto"/>
                <w:kern w:val="0"/>
                <w:sz w:val="24"/>
                <w:highlight w:val="none"/>
                <w:u w:val="single"/>
              </w:rPr>
              <w:t xml:space="preserve">0 </w:t>
            </w:r>
            <w:r>
              <w:rPr>
                <w:rFonts w:hint="eastAsia" w:ascii="宋体" w:hAnsi="宋体" w:cs="宋体"/>
                <w:color w:val="auto"/>
                <w:kern w:val="0"/>
                <w:sz w:val="24"/>
                <w:highlight w:val="none"/>
              </w:rPr>
              <w:t>%。</w:t>
            </w:r>
          </w:p>
        </w:tc>
      </w:tr>
      <w:tr w14:paraId="7C24FF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53" w:type="dxa"/>
            <w:tcBorders>
              <w:left w:val="single" w:color="auto" w:sz="4" w:space="0"/>
            </w:tcBorders>
            <w:vAlign w:val="center"/>
          </w:tcPr>
          <w:p w14:paraId="053B0870">
            <w:pPr>
              <w:spacing w:line="360" w:lineRule="auto"/>
              <w:rPr>
                <w:rFonts w:hint="eastAsia" w:ascii="宋体" w:hAnsi="宋体" w:cs="宋体"/>
                <w:color w:val="auto"/>
                <w:sz w:val="24"/>
                <w:highlight w:val="none"/>
              </w:rPr>
            </w:pPr>
            <w:r>
              <w:rPr>
                <w:rFonts w:hint="eastAsia" w:ascii="宋体" w:hAnsi="宋体" w:cs="宋体"/>
                <w:color w:val="auto"/>
                <w:sz w:val="24"/>
                <w:highlight w:val="none"/>
              </w:rPr>
              <w:t>1.7.1</w:t>
            </w:r>
          </w:p>
        </w:tc>
        <w:tc>
          <w:tcPr>
            <w:tcW w:w="7983" w:type="dxa"/>
            <w:vAlign w:val="center"/>
          </w:tcPr>
          <w:p w14:paraId="44BF5B79">
            <w:pPr>
              <w:spacing w:line="360" w:lineRule="auto"/>
              <w:rPr>
                <w:rFonts w:hint="eastAsia" w:ascii="宋体" w:hAnsi="宋体" w:cs="宋体"/>
                <w:color w:val="auto"/>
                <w:sz w:val="24"/>
                <w:highlight w:val="none"/>
              </w:rPr>
            </w:pPr>
            <w:r>
              <w:rPr>
                <w:rFonts w:hint="eastAsia" w:ascii="宋体" w:hAnsi="宋体" w:cs="宋体"/>
                <w:color w:val="auto"/>
                <w:sz w:val="24"/>
                <w:highlight w:val="none"/>
              </w:rPr>
              <w:t>服务交付（实施）的时间（期限）：合同签订之日起后五个月。</w:t>
            </w:r>
          </w:p>
        </w:tc>
      </w:tr>
      <w:tr w14:paraId="4B4344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53" w:type="dxa"/>
            <w:tcBorders>
              <w:left w:val="single" w:color="auto" w:sz="4" w:space="0"/>
            </w:tcBorders>
            <w:vAlign w:val="center"/>
          </w:tcPr>
          <w:p w14:paraId="327B3889">
            <w:pPr>
              <w:spacing w:line="360" w:lineRule="auto"/>
              <w:rPr>
                <w:rFonts w:hint="eastAsia" w:ascii="宋体" w:hAnsi="宋体" w:cs="宋体"/>
                <w:color w:val="auto"/>
                <w:sz w:val="24"/>
                <w:highlight w:val="none"/>
              </w:rPr>
            </w:pPr>
            <w:r>
              <w:rPr>
                <w:rFonts w:hint="eastAsia" w:ascii="宋体" w:hAnsi="宋体" w:cs="宋体"/>
                <w:color w:val="auto"/>
                <w:sz w:val="24"/>
                <w:highlight w:val="none"/>
              </w:rPr>
              <w:t>1.7.2</w:t>
            </w:r>
          </w:p>
        </w:tc>
        <w:tc>
          <w:tcPr>
            <w:tcW w:w="7983" w:type="dxa"/>
            <w:vAlign w:val="center"/>
          </w:tcPr>
          <w:p w14:paraId="3C34A8FA">
            <w:pPr>
              <w:spacing w:line="360" w:lineRule="auto"/>
              <w:rPr>
                <w:rFonts w:hint="eastAsia" w:ascii="宋体" w:hAnsi="宋体" w:cs="宋体"/>
                <w:color w:val="auto"/>
                <w:sz w:val="24"/>
                <w:highlight w:val="none"/>
              </w:rPr>
            </w:pPr>
            <w:r>
              <w:rPr>
                <w:rFonts w:hint="eastAsia" w:ascii="宋体" w:hAnsi="宋体"/>
                <w:color w:val="auto"/>
                <w:sz w:val="24"/>
                <w:highlight w:val="none"/>
              </w:rPr>
              <w:t>服</w:t>
            </w:r>
            <w:r>
              <w:rPr>
                <w:rFonts w:hint="eastAsia" w:ascii="宋体" w:hAnsi="宋体" w:cs="宋体"/>
                <w:color w:val="auto"/>
                <w:sz w:val="24"/>
                <w:highlight w:val="none"/>
              </w:rPr>
              <w:t>务交付（实施）的地点（地域范围）：杭州各温室气体监测站点。</w:t>
            </w:r>
          </w:p>
        </w:tc>
      </w:tr>
      <w:tr w14:paraId="6012D7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53" w:type="dxa"/>
            <w:tcBorders>
              <w:left w:val="single" w:color="auto" w:sz="4" w:space="0"/>
            </w:tcBorders>
            <w:vAlign w:val="center"/>
          </w:tcPr>
          <w:p w14:paraId="6E96A0A1">
            <w:pPr>
              <w:spacing w:line="360" w:lineRule="auto"/>
              <w:rPr>
                <w:rFonts w:hint="eastAsia" w:ascii="宋体" w:hAnsi="宋体" w:cs="宋体"/>
                <w:color w:val="auto"/>
                <w:sz w:val="24"/>
                <w:highlight w:val="none"/>
              </w:rPr>
            </w:pPr>
            <w:r>
              <w:rPr>
                <w:rFonts w:hint="eastAsia" w:ascii="宋体" w:hAnsi="宋体" w:cs="宋体"/>
                <w:color w:val="auto"/>
                <w:sz w:val="24"/>
                <w:highlight w:val="none"/>
              </w:rPr>
              <w:t>1.7.3</w:t>
            </w:r>
          </w:p>
        </w:tc>
        <w:tc>
          <w:tcPr>
            <w:tcW w:w="7983" w:type="dxa"/>
            <w:vAlign w:val="center"/>
          </w:tcPr>
          <w:p w14:paraId="239D2EA3">
            <w:pPr>
              <w:spacing w:line="360" w:lineRule="auto"/>
              <w:rPr>
                <w:rFonts w:hint="eastAsia" w:ascii="宋体" w:hAnsi="宋体" w:cs="宋体"/>
                <w:color w:val="auto"/>
                <w:sz w:val="24"/>
                <w:highlight w:val="none"/>
              </w:rPr>
            </w:pPr>
            <w:r>
              <w:rPr>
                <w:rFonts w:hint="eastAsia" w:ascii="宋体" w:hAnsi="宋体"/>
                <w:color w:val="auto"/>
                <w:sz w:val="24"/>
                <w:highlight w:val="none"/>
              </w:rPr>
              <w:t>服务交付（实施）的方式：</w:t>
            </w:r>
            <w:r>
              <w:rPr>
                <w:rFonts w:hint="eastAsia" w:ascii="宋体" w:hAnsi="宋体" w:cs="宋体"/>
                <w:color w:val="auto"/>
                <w:sz w:val="24"/>
                <w:highlight w:val="none"/>
              </w:rPr>
              <w:t>项目验收经甲方确认验收合格后为正式交付。</w:t>
            </w:r>
          </w:p>
        </w:tc>
      </w:tr>
      <w:tr w14:paraId="488B36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53" w:type="dxa"/>
            <w:tcBorders>
              <w:left w:val="single" w:color="auto" w:sz="4" w:space="0"/>
            </w:tcBorders>
            <w:vAlign w:val="center"/>
          </w:tcPr>
          <w:p w14:paraId="4DDA14F0">
            <w:pPr>
              <w:spacing w:line="360" w:lineRule="auto"/>
              <w:rPr>
                <w:rFonts w:hint="eastAsia" w:ascii="宋体" w:hAnsi="宋体" w:cs="宋体"/>
                <w:color w:val="auto"/>
                <w:sz w:val="24"/>
                <w:highlight w:val="none"/>
              </w:rPr>
            </w:pPr>
            <w:r>
              <w:rPr>
                <w:rFonts w:hint="eastAsia" w:ascii="宋体" w:hAnsi="宋体" w:cs="宋体"/>
                <w:color w:val="auto"/>
                <w:sz w:val="24"/>
                <w:highlight w:val="none"/>
              </w:rPr>
              <w:t>1.7.4.1</w:t>
            </w:r>
          </w:p>
        </w:tc>
        <w:tc>
          <w:tcPr>
            <w:tcW w:w="7983" w:type="dxa"/>
            <w:vAlign w:val="center"/>
          </w:tcPr>
          <w:p w14:paraId="426219F9">
            <w:pPr>
              <w:spacing w:line="360" w:lineRule="auto"/>
              <w:rPr>
                <w:rFonts w:hint="eastAsia" w:ascii="宋体" w:hAnsi="宋体" w:cs="宋体"/>
                <w:color w:val="auto"/>
                <w:sz w:val="24"/>
                <w:highlight w:val="none"/>
              </w:rPr>
            </w:pPr>
            <w:r>
              <w:rPr>
                <w:rFonts w:hint="eastAsia" w:ascii="宋体" w:hAnsi="宋体" w:cs="宋体"/>
                <w:color w:val="auto"/>
                <w:sz w:val="24"/>
                <w:highlight w:val="none"/>
              </w:rPr>
              <w:t>不涉及</w:t>
            </w:r>
          </w:p>
        </w:tc>
      </w:tr>
      <w:tr w14:paraId="4AB4D0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53" w:type="dxa"/>
            <w:tcBorders>
              <w:left w:val="single" w:color="auto" w:sz="4" w:space="0"/>
            </w:tcBorders>
            <w:vAlign w:val="center"/>
          </w:tcPr>
          <w:p w14:paraId="1FBD8728">
            <w:pPr>
              <w:spacing w:line="360" w:lineRule="auto"/>
              <w:rPr>
                <w:rFonts w:hint="eastAsia" w:ascii="宋体" w:hAnsi="宋体" w:cs="宋体"/>
                <w:color w:val="auto"/>
                <w:sz w:val="24"/>
                <w:highlight w:val="none"/>
              </w:rPr>
            </w:pPr>
            <w:r>
              <w:rPr>
                <w:rFonts w:hint="eastAsia" w:ascii="宋体" w:hAnsi="宋体" w:cs="宋体"/>
                <w:color w:val="auto"/>
                <w:sz w:val="24"/>
                <w:highlight w:val="none"/>
              </w:rPr>
              <w:t>1.7.4.2</w:t>
            </w:r>
          </w:p>
        </w:tc>
        <w:tc>
          <w:tcPr>
            <w:tcW w:w="7983" w:type="dxa"/>
            <w:vAlign w:val="center"/>
          </w:tcPr>
          <w:p w14:paraId="44F6CA1F">
            <w:pPr>
              <w:spacing w:line="360" w:lineRule="auto"/>
              <w:rPr>
                <w:rFonts w:hint="eastAsia" w:ascii="宋体" w:hAnsi="宋体" w:cs="宋体"/>
                <w:color w:val="auto"/>
                <w:sz w:val="24"/>
                <w:highlight w:val="none"/>
              </w:rPr>
            </w:pPr>
            <w:r>
              <w:rPr>
                <w:rFonts w:hint="eastAsia" w:ascii="宋体" w:hAnsi="宋体" w:cs="宋体"/>
                <w:color w:val="auto"/>
                <w:sz w:val="24"/>
                <w:highlight w:val="none"/>
              </w:rPr>
              <w:t>不涉及</w:t>
            </w:r>
          </w:p>
        </w:tc>
      </w:tr>
      <w:tr w14:paraId="0D03A4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53" w:type="dxa"/>
            <w:tcBorders>
              <w:left w:val="single" w:color="auto" w:sz="4" w:space="0"/>
            </w:tcBorders>
            <w:vAlign w:val="center"/>
          </w:tcPr>
          <w:p w14:paraId="15B9D050">
            <w:pPr>
              <w:spacing w:line="360" w:lineRule="auto"/>
              <w:rPr>
                <w:rFonts w:hint="eastAsia" w:ascii="宋体" w:hAnsi="宋体" w:cs="宋体"/>
                <w:color w:val="auto"/>
                <w:sz w:val="24"/>
                <w:highlight w:val="none"/>
              </w:rPr>
            </w:pPr>
            <w:r>
              <w:rPr>
                <w:rFonts w:hint="eastAsia" w:ascii="宋体" w:hAnsi="宋体" w:cs="宋体"/>
                <w:color w:val="auto"/>
                <w:sz w:val="24"/>
                <w:highlight w:val="none"/>
              </w:rPr>
              <w:t>1.7.4.3</w:t>
            </w:r>
          </w:p>
        </w:tc>
        <w:tc>
          <w:tcPr>
            <w:tcW w:w="7983" w:type="dxa"/>
            <w:vAlign w:val="center"/>
          </w:tcPr>
          <w:p w14:paraId="14795020">
            <w:pPr>
              <w:spacing w:line="360" w:lineRule="auto"/>
              <w:rPr>
                <w:rFonts w:hint="eastAsia" w:ascii="宋体" w:hAnsi="宋体" w:cs="宋体"/>
                <w:color w:val="auto"/>
                <w:sz w:val="24"/>
                <w:highlight w:val="none"/>
              </w:rPr>
            </w:pPr>
            <w:r>
              <w:rPr>
                <w:rFonts w:hint="eastAsia" w:ascii="宋体" w:hAnsi="宋体" w:cs="宋体"/>
                <w:color w:val="auto"/>
                <w:sz w:val="24"/>
                <w:highlight w:val="none"/>
              </w:rPr>
              <w:t>不涉及</w:t>
            </w:r>
          </w:p>
        </w:tc>
      </w:tr>
      <w:tr w14:paraId="38C241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53" w:type="dxa"/>
            <w:tcBorders>
              <w:left w:val="single" w:color="auto" w:sz="4" w:space="0"/>
            </w:tcBorders>
            <w:vAlign w:val="center"/>
          </w:tcPr>
          <w:p w14:paraId="5FDA247B">
            <w:pPr>
              <w:spacing w:line="360" w:lineRule="auto"/>
              <w:rPr>
                <w:rFonts w:hint="eastAsia" w:ascii="宋体" w:hAnsi="宋体" w:cs="宋体"/>
                <w:color w:val="auto"/>
                <w:sz w:val="24"/>
                <w:highlight w:val="none"/>
              </w:rPr>
            </w:pPr>
            <w:r>
              <w:rPr>
                <w:rFonts w:hint="eastAsia" w:ascii="宋体" w:hAnsi="宋体" w:cs="宋体"/>
                <w:color w:val="auto"/>
                <w:sz w:val="24"/>
                <w:highlight w:val="none"/>
              </w:rPr>
              <w:t>1.8.7</w:t>
            </w:r>
          </w:p>
        </w:tc>
        <w:tc>
          <w:tcPr>
            <w:tcW w:w="7983" w:type="dxa"/>
            <w:vAlign w:val="center"/>
          </w:tcPr>
          <w:p w14:paraId="4EB67878">
            <w:pPr>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高精度温室气体监测网络运维：</w:t>
            </w:r>
          </w:p>
          <w:p w14:paraId="4938821D">
            <w:pPr>
              <w:spacing w:line="360" w:lineRule="auto"/>
              <w:ind w:firstLine="480" w:firstLineChars="200"/>
              <w:contextualSpacing/>
              <w:rPr>
                <w:rFonts w:hint="eastAsia" w:ascii="宋体" w:hAnsi="宋体"/>
                <w:bCs/>
                <w:color w:val="auto"/>
                <w:sz w:val="24"/>
                <w:highlight w:val="none"/>
              </w:rPr>
            </w:pPr>
            <w:r>
              <w:rPr>
                <w:rFonts w:hint="eastAsia" w:ascii="宋体" w:hAnsi="宋体"/>
                <w:bCs/>
                <w:color w:val="auto"/>
                <w:sz w:val="24"/>
                <w:highlight w:val="none"/>
              </w:rPr>
              <w:t>甲方</w:t>
            </w:r>
            <w:r>
              <w:rPr>
                <w:rFonts w:ascii="宋体" w:hAnsi="宋体"/>
                <w:bCs/>
                <w:color w:val="auto"/>
                <w:sz w:val="24"/>
                <w:highlight w:val="none"/>
              </w:rPr>
              <w:t>组织开展运维管理和质控考核，对达不到运维要求或违规操作的，扣减相应的运维费，并有权终止运维合同。</w:t>
            </w:r>
          </w:p>
          <w:p w14:paraId="17E4694E">
            <w:pPr>
              <w:spacing w:line="360" w:lineRule="auto"/>
              <w:ind w:firstLine="480" w:firstLineChars="200"/>
              <w:contextualSpacing/>
              <w:rPr>
                <w:rFonts w:hint="eastAsia" w:ascii="宋体" w:hAnsi="宋体"/>
                <w:bCs/>
                <w:color w:val="auto"/>
                <w:sz w:val="24"/>
                <w:highlight w:val="none"/>
              </w:rPr>
            </w:pPr>
            <w:r>
              <w:rPr>
                <w:rFonts w:ascii="宋体" w:hAnsi="宋体"/>
                <w:bCs/>
                <w:color w:val="auto"/>
                <w:sz w:val="24"/>
                <w:highlight w:val="none"/>
              </w:rPr>
              <w:t>1</w:t>
            </w:r>
            <w:r>
              <w:rPr>
                <w:rFonts w:hint="eastAsia" w:ascii="宋体" w:hAnsi="宋体"/>
                <w:bCs/>
                <w:color w:val="auto"/>
                <w:sz w:val="24"/>
                <w:highlight w:val="none"/>
                <w:lang w:val="en-US" w:eastAsia="zh-CN"/>
              </w:rPr>
              <w:t>.</w:t>
            </w:r>
            <w:r>
              <w:rPr>
                <w:rFonts w:ascii="宋体" w:hAnsi="宋体"/>
                <w:bCs/>
                <w:color w:val="auto"/>
                <w:sz w:val="24"/>
                <w:highlight w:val="none"/>
              </w:rPr>
              <w:t>考核办法</w:t>
            </w:r>
          </w:p>
          <w:p w14:paraId="30A895DA">
            <w:pPr>
              <w:spacing w:line="360" w:lineRule="auto"/>
              <w:ind w:firstLine="480" w:firstLineChars="200"/>
              <w:jc w:val="left"/>
              <w:rPr>
                <w:rFonts w:hint="eastAsia" w:ascii="宋体" w:hAnsi="宋体"/>
                <w:bCs/>
                <w:color w:val="auto"/>
                <w:sz w:val="24"/>
                <w:highlight w:val="none"/>
              </w:rPr>
            </w:pPr>
            <w:r>
              <w:rPr>
                <w:rFonts w:ascii="宋体" w:hAnsi="宋体" w:cs="宋体"/>
                <w:bCs/>
                <w:color w:val="auto"/>
                <w:sz w:val="24"/>
                <w:highlight w:val="none"/>
              </w:rPr>
              <w:t>分两次</w:t>
            </w:r>
            <w:r>
              <w:rPr>
                <w:rFonts w:hint="eastAsia" w:ascii="宋体" w:hAnsi="宋体" w:cs="宋体"/>
                <w:bCs/>
                <w:color w:val="auto"/>
                <w:sz w:val="24"/>
                <w:highlight w:val="none"/>
              </w:rPr>
              <w:t>组织开展运维管理和质控考核</w:t>
            </w:r>
            <w:r>
              <w:rPr>
                <w:rFonts w:ascii="宋体" w:hAnsi="宋体" w:cs="宋体"/>
                <w:bCs/>
                <w:color w:val="auto"/>
                <w:sz w:val="24"/>
                <w:highlight w:val="none"/>
              </w:rPr>
              <w:t>，</w:t>
            </w:r>
            <w:r>
              <w:rPr>
                <w:rFonts w:hint="eastAsia" w:ascii="宋体" w:hAnsi="宋体" w:cs="宋体"/>
                <w:bCs/>
                <w:color w:val="auto"/>
                <w:sz w:val="24"/>
                <w:highlight w:val="none"/>
              </w:rPr>
              <w:t>考核采取百分制、单站考核的方式，主要包括单个站点有效数据获取率和运行维护的内容。</w:t>
            </w:r>
          </w:p>
          <w:p w14:paraId="4E898EBB">
            <w:pPr>
              <w:spacing w:line="360" w:lineRule="auto"/>
              <w:ind w:firstLine="480" w:firstLineChars="200"/>
              <w:jc w:val="left"/>
              <w:rPr>
                <w:rFonts w:hint="eastAsia" w:ascii="宋体" w:hAnsi="宋体" w:cs="宋体"/>
                <w:bCs/>
                <w:color w:val="auto"/>
                <w:sz w:val="24"/>
                <w:highlight w:val="none"/>
              </w:rPr>
            </w:pPr>
            <w:r>
              <w:rPr>
                <w:rFonts w:hint="eastAsia" w:ascii="宋体" w:hAnsi="宋体" w:cs="宋体"/>
                <w:bCs/>
                <w:color w:val="auto"/>
                <w:sz w:val="24"/>
                <w:highlight w:val="none"/>
              </w:rPr>
              <w:t>单站点考核结果均在 80分（含）以上的，支付</w:t>
            </w:r>
            <w:r>
              <w:rPr>
                <w:rFonts w:ascii="宋体" w:hAnsi="宋体" w:cs="宋体"/>
                <w:bCs/>
                <w:color w:val="auto"/>
                <w:sz w:val="24"/>
                <w:highlight w:val="none"/>
              </w:rPr>
              <w:t>考核时间段</w:t>
            </w:r>
            <w:r>
              <w:rPr>
                <w:rFonts w:hint="eastAsia" w:ascii="宋体" w:hAnsi="宋体" w:cs="宋体"/>
                <w:bCs/>
                <w:color w:val="auto"/>
                <w:sz w:val="24"/>
                <w:highlight w:val="none"/>
              </w:rPr>
              <w:t>运维费；</w:t>
            </w:r>
          </w:p>
          <w:p w14:paraId="0E35812A">
            <w:pPr>
              <w:spacing w:line="360" w:lineRule="auto"/>
              <w:ind w:firstLine="480" w:firstLineChars="200"/>
              <w:jc w:val="left"/>
              <w:rPr>
                <w:rFonts w:hint="eastAsia" w:ascii="宋体" w:hAnsi="宋体" w:cs="宋体"/>
                <w:bCs/>
                <w:color w:val="auto"/>
                <w:sz w:val="24"/>
                <w:highlight w:val="none"/>
              </w:rPr>
            </w:pPr>
            <w:r>
              <w:rPr>
                <w:rFonts w:hint="eastAsia" w:ascii="宋体" w:hAnsi="宋体" w:cs="宋体"/>
                <w:bCs/>
                <w:color w:val="auto"/>
                <w:sz w:val="24"/>
                <w:highlight w:val="none"/>
              </w:rPr>
              <w:t>单站点考核结果在70分（含）以上，80分以下，为初级警告，扣除全部站点</w:t>
            </w:r>
            <w:r>
              <w:rPr>
                <w:rFonts w:ascii="宋体" w:hAnsi="宋体" w:cs="宋体"/>
                <w:bCs/>
                <w:color w:val="auto"/>
                <w:sz w:val="24"/>
                <w:highlight w:val="none"/>
              </w:rPr>
              <w:t>考核时间段</w:t>
            </w:r>
            <w:r>
              <w:rPr>
                <w:rFonts w:hint="eastAsia" w:ascii="宋体" w:hAnsi="宋体" w:cs="宋体"/>
                <w:bCs/>
                <w:color w:val="auto"/>
                <w:sz w:val="24"/>
                <w:highlight w:val="none"/>
              </w:rPr>
              <w:t>整体运维费的</w:t>
            </w:r>
            <w:r>
              <w:rPr>
                <w:rFonts w:ascii="宋体" w:hAnsi="宋体" w:cs="宋体"/>
                <w:bCs/>
                <w:color w:val="auto"/>
                <w:sz w:val="24"/>
                <w:highlight w:val="none"/>
              </w:rPr>
              <w:t>5</w:t>
            </w:r>
            <w:r>
              <w:rPr>
                <w:rFonts w:hint="eastAsia" w:ascii="宋体" w:hAnsi="宋体" w:cs="宋体"/>
                <w:bCs/>
                <w:color w:val="auto"/>
                <w:sz w:val="24"/>
                <w:highlight w:val="none"/>
              </w:rPr>
              <w:t>%，并责令整改；</w:t>
            </w:r>
          </w:p>
          <w:p w14:paraId="35A8EAF2">
            <w:pPr>
              <w:spacing w:line="360" w:lineRule="auto"/>
              <w:ind w:firstLine="480" w:firstLineChars="200"/>
              <w:jc w:val="left"/>
              <w:rPr>
                <w:rFonts w:hint="eastAsia" w:ascii="宋体" w:hAnsi="宋体" w:cs="宋体"/>
                <w:bCs/>
                <w:color w:val="auto"/>
                <w:sz w:val="24"/>
                <w:highlight w:val="none"/>
              </w:rPr>
            </w:pPr>
            <w:r>
              <w:rPr>
                <w:rFonts w:hint="eastAsia" w:ascii="宋体" w:hAnsi="宋体" w:cs="宋体"/>
                <w:bCs/>
                <w:color w:val="auto"/>
                <w:sz w:val="24"/>
                <w:highlight w:val="none"/>
              </w:rPr>
              <w:t>单站点考核结果在60分（含）以上，70分以下，为二级警告，扣除全部站点</w:t>
            </w:r>
            <w:r>
              <w:rPr>
                <w:rFonts w:ascii="宋体" w:hAnsi="宋体" w:cs="宋体"/>
                <w:bCs/>
                <w:color w:val="auto"/>
                <w:sz w:val="24"/>
                <w:highlight w:val="none"/>
              </w:rPr>
              <w:t>考核时间段</w:t>
            </w:r>
            <w:r>
              <w:rPr>
                <w:rFonts w:hint="eastAsia" w:ascii="宋体" w:hAnsi="宋体" w:cs="宋体"/>
                <w:bCs/>
                <w:color w:val="auto"/>
                <w:sz w:val="24"/>
                <w:highlight w:val="none"/>
              </w:rPr>
              <w:t>整体运维费的1</w:t>
            </w:r>
            <w:r>
              <w:rPr>
                <w:rFonts w:ascii="宋体" w:hAnsi="宋体" w:cs="宋体"/>
                <w:bCs/>
                <w:color w:val="auto"/>
                <w:sz w:val="24"/>
                <w:highlight w:val="none"/>
              </w:rPr>
              <w:t>5</w:t>
            </w:r>
            <w:r>
              <w:rPr>
                <w:rFonts w:hint="eastAsia" w:ascii="宋体" w:hAnsi="宋体" w:cs="宋体"/>
                <w:bCs/>
                <w:color w:val="auto"/>
                <w:sz w:val="24"/>
                <w:highlight w:val="none"/>
              </w:rPr>
              <w:t>%，并责令整改；</w:t>
            </w:r>
          </w:p>
          <w:p w14:paraId="2C4A12B8">
            <w:pPr>
              <w:spacing w:line="360" w:lineRule="auto"/>
              <w:ind w:firstLine="480" w:firstLineChars="200"/>
              <w:jc w:val="left"/>
              <w:rPr>
                <w:rFonts w:hint="eastAsia" w:ascii="宋体" w:hAnsi="宋体" w:cs="宋体"/>
                <w:bCs/>
                <w:color w:val="auto"/>
                <w:sz w:val="24"/>
                <w:highlight w:val="none"/>
              </w:rPr>
            </w:pPr>
            <w:r>
              <w:rPr>
                <w:rFonts w:hint="eastAsia" w:ascii="宋体" w:hAnsi="宋体" w:cs="宋体"/>
                <w:bCs/>
                <w:color w:val="auto"/>
                <w:sz w:val="24"/>
                <w:highlight w:val="none"/>
              </w:rPr>
              <w:t>单站点考核结果在60分以下，扣除全部站点</w:t>
            </w:r>
            <w:r>
              <w:rPr>
                <w:rFonts w:ascii="宋体" w:hAnsi="宋体" w:cs="宋体"/>
                <w:bCs/>
                <w:color w:val="auto"/>
                <w:sz w:val="24"/>
                <w:highlight w:val="none"/>
              </w:rPr>
              <w:t>考核时间段</w:t>
            </w:r>
            <w:r>
              <w:rPr>
                <w:rFonts w:hint="eastAsia" w:ascii="宋体" w:hAnsi="宋体" w:cs="宋体"/>
                <w:bCs/>
                <w:color w:val="auto"/>
                <w:sz w:val="24"/>
                <w:highlight w:val="none"/>
              </w:rPr>
              <w:t>整体运维费的</w:t>
            </w:r>
            <w:r>
              <w:rPr>
                <w:rFonts w:ascii="宋体" w:hAnsi="宋体" w:cs="宋体"/>
                <w:bCs/>
                <w:color w:val="auto"/>
                <w:sz w:val="24"/>
                <w:highlight w:val="none"/>
              </w:rPr>
              <w:t>3</w:t>
            </w:r>
            <w:r>
              <w:rPr>
                <w:rFonts w:hint="eastAsia" w:ascii="宋体" w:hAnsi="宋体" w:cs="宋体"/>
                <w:bCs/>
                <w:color w:val="auto"/>
                <w:sz w:val="24"/>
                <w:highlight w:val="none"/>
              </w:rPr>
              <w:t>0%，并责令整改；</w:t>
            </w:r>
          </w:p>
          <w:p w14:paraId="30BCD74A">
            <w:pPr>
              <w:spacing w:line="360" w:lineRule="auto"/>
              <w:ind w:firstLine="480" w:firstLineChars="200"/>
              <w:jc w:val="left"/>
              <w:rPr>
                <w:rFonts w:hint="eastAsia" w:ascii="宋体" w:hAnsi="宋体"/>
                <w:bCs/>
                <w:color w:val="auto"/>
                <w:sz w:val="24"/>
                <w:highlight w:val="none"/>
              </w:rPr>
            </w:pPr>
            <w:r>
              <w:rPr>
                <w:rFonts w:hint="eastAsia" w:ascii="宋体" w:hAnsi="宋体" w:cs="宋体"/>
                <w:bCs/>
                <w:color w:val="auto"/>
                <w:sz w:val="24"/>
                <w:highlight w:val="none"/>
              </w:rPr>
              <w:t>如有三个及以上站点考核结果在80分以下，扣除全部站点</w:t>
            </w:r>
            <w:r>
              <w:rPr>
                <w:rFonts w:ascii="宋体" w:hAnsi="宋体" w:cs="宋体"/>
                <w:bCs/>
                <w:color w:val="auto"/>
                <w:sz w:val="24"/>
                <w:highlight w:val="none"/>
              </w:rPr>
              <w:t>考核时间段</w:t>
            </w:r>
            <w:r>
              <w:rPr>
                <w:rFonts w:hint="eastAsia" w:ascii="宋体" w:hAnsi="宋体" w:cs="宋体"/>
                <w:bCs/>
                <w:color w:val="auto"/>
                <w:sz w:val="24"/>
                <w:highlight w:val="none"/>
              </w:rPr>
              <w:t>运维费，并责令整改，且采购人有权取消运维合同。</w:t>
            </w:r>
          </w:p>
          <w:p w14:paraId="579BFF6F">
            <w:pPr>
              <w:pStyle w:val="2"/>
              <w:rPr>
                <w:b/>
                <w:bCs/>
                <w:color w:val="auto"/>
                <w:highlight w:val="none"/>
              </w:rPr>
            </w:pPr>
            <w:r>
              <w:rPr>
                <w:rFonts w:hint="eastAsia"/>
                <w:b/>
                <w:bCs/>
                <w:color w:val="auto"/>
                <w:highlight w:val="none"/>
              </w:rPr>
              <w:t>碳通量监测系统运维：</w:t>
            </w:r>
          </w:p>
          <w:p w14:paraId="16A31F17">
            <w:pPr>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1.考核办法</w:t>
            </w:r>
          </w:p>
          <w:p w14:paraId="0AEC8010">
            <w:pPr>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由甲方组织有关人员进行评审，</w:t>
            </w:r>
            <w:r>
              <w:rPr>
                <w:rFonts w:ascii="宋体" w:hAnsi="宋体" w:cs="宋体"/>
                <w:bCs/>
                <w:color w:val="auto"/>
                <w:sz w:val="24"/>
                <w:highlight w:val="none"/>
              </w:rPr>
              <w:t>分两次</w:t>
            </w:r>
            <w:r>
              <w:rPr>
                <w:rFonts w:hint="eastAsia" w:ascii="宋体" w:hAnsi="宋体" w:cs="宋体"/>
                <w:bCs/>
                <w:color w:val="auto"/>
                <w:sz w:val="24"/>
                <w:highlight w:val="none"/>
              </w:rPr>
              <w:t>组织开展运维管理考核。依据维护内容和维护质量、分析报告质量、材料汇总等进行评分（详见考核表）。考核得分大于80分为合格，低于80分按4.2惩罚办法中相应条款执行。具体考核内容详见考核表，考核合格后按照合同规定支付该季度的运行费。</w:t>
            </w:r>
          </w:p>
          <w:p w14:paraId="2DF99CF6">
            <w:pPr>
              <w:spacing w:line="36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2.惩罚办法</w:t>
            </w:r>
          </w:p>
          <w:p w14:paraId="5C075737">
            <w:pPr>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2.1一旦发现乙方有干扰监测或数据造假等情况，甲方有权终止合同，并追究相关责任。</w:t>
            </w:r>
          </w:p>
          <w:p w14:paraId="20A9CE9F">
            <w:pPr>
              <w:spacing w:line="36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2.2</w:t>
            </w:r>
            <w:r>
              <w:rPr>
                <w:rFonts w:ascii="宋体" w:hAnsi="宋体" w:cs="宋体"/>
                <w:b/>
                <w:color w:val="auto"/>
                <w:sz w:val="24"/>
                <w:highlight w:val="none"/>
              </w:rPr>
              <w:t>考核办法</w:t>
            </w:r>
            <w:r>
              <w:rPr>
                <w:rFonts w:hint="eastAsia" w:ascii="宋体" w:hAnsi="宋体" w:cs="宋体"/>
                <w:b/>
                <w:color w:val="auto"/>
                <w:sz w:val="24"/>
                <w:highlight w:val="none"/>
              </w:rPr>
              <w:t>，其中</w:t>
            </w:r>
          </w:p>
          <w:p w14:paraId="2D6863FC">
            <w:pPr>
              <w:spacing w:line="360" w:lineRule="auto"/>
              <w:ind w:firstLine="480" w:firstLineChars="200"/>
              <w:jc w:val="left"/>
              <w:rPr>
                <w:rFonts w:hint="eastAsia" w:ascii="宋体" w:hAnsi="宋体" w:cs="宋体"/>
                <w:bCs/>
                <w:color w:val="auto"/>
                <w:sz w:val="24"/>
                <w:highlight w:val="none"/>
              </w:rPr>
            </w:pPr>
            <w:r>
              <w:rPr>
                <w:rFonts w:hint="eastAsia" w:ascii="宋体" w:hAnsi="宋体" w:cs="宋体"/>
                <w:bCs/>
                <w:color w:val="auto"/>
                <w:sz w:val="24"/>
                <w:highlight w:val="none"/>
              </w:rPr>
              <w:t>（1）考核结果在 80分（含）以上的，支付</w:t>
            </w:r>
            <w:r>
              <w:rPr>
                <w:rFonts w:ascii="宋体" w:hAnsi="宋体" w:cs="宋体"/>
                <w:bCs/>
                <w:color w:val="auto"/>
                <w:sz w:val="24"/>
                <w:highlight w:val="none"/>
              </w:rPr>
              <w:t>考核时间段</w:t>
            </w:r>
            <w:r>
              <w:rPr>
                <w:rFonts w:hint="eastAsia" w:ascii="宋体" w:hAnsi="宋体" w:cs="宋体"/>
                <w:bCs/>
                <w:color w:val="auto"/>
                <w:sz w:val="24"/>
                <w:highlight w:val="none"/>
              </w:rPr>
              <w:t>运维费；</w:t>
            </w:r>
          </w:p>
          <w:p w14:paraId="18D07332">
            <w:pPr>
              <w:spacing w:line="360" w:lineRule="auto"/>
              <w:ind w:firstLine="480" w:firstLineChars="200"/>
              <w:rPr>
                <w:rFonts w:hint="eastAsia" w:ascii="宋体" w:hAnsi="宋体" w:cs="宋体"/>
                <w:bCs/>
                <w:color w:val="auto"/>
                <w:sz w:val="24"/>
                <w:highlight w:val="none"/>
              </w:rPr>
            </w:pPr>
            <w:r>
              <w:rPr>
                <w:rFonts w:ascii="宋体" w:hAnsi="宋体" w:cs="宋体"/>
                <w:bCs/>
                <w:color w:val="auto"/>
                <w:sz w:val="24"/>
                <w:highlight w:val="none"/>
              </w:rPr>
              <w:t>（2）</w:t>
            </w:r>
            <w:r>
              <w:rPr>
                <w:rFonts w:hint="eastAsia" w:ascii="宋体" w:hAnsi="宋体" w:cs="宋体"/>
                <w:bCs/>
                <w:color w:val="auto"/>
                <w:sz w:val="24"/>
                <w:highlight w:val="none"/>
              </w:rPr>
              <w:t>考核结果在70分（含）以上，80分以下，为初级警告，扣除</w:t>
            </w:r>
            <w:r>
              <w:rPr>
                <w:rFonts w:ascii="宋体" w:hAnsi="宋体" w:cs="宋体"/>
                <w:bCs/>
                <w:color w:val="auto"/>
                <w:sz w:val="24"/>
                <w:highlight w:val="none"/>
              </w:rPr>
              <w:t>考核时间段</w:t>
            </w:r>
            <w:r>
              <w:rPr>
                <w:rFonts w:hint="eastAsia" w:ascii="宋体" w:hAnsi="宋体" w:cs="宋体"/>
                <w:bCs/>
                <w:color w:val="auto"/>
                <w:sz w:val="24"/>
                <w:highlight w:val="none"/>
              </w:rPr>
              <w:t>运维费的</w:t>
            </w:r>
            <w:r>
              <w:rPr>
                <w:rFonts w:ascii="宋体" w:hAnsi="宋体" w:cs="宋体"/>
                <w:bCs/>
                <w:color w:val="auto"/>
                <w:sz w:val="24"/>
                <w:highlight w:val="none"/>
              </w:rPr>
              <w:t>5</w:t>
            </w:r>
            <w:r>
              <w:rPr>
                <w:rFonts w:hint="eastAsia" w:ascii="宋体" w:hAnsi="宋体" w:cs="宋体"/>
                <w:bCs/>
                <w:color w:val="auto"/>
                <w:sz w:val="24"/>
                <w:highlight w:val="none"/>
              </w:rPr>
              <w:t>%，并责令整改；</w:t>
            </w:r>
          </w:p>
          <w:p w14:paraId="0FE004EE">
            <w:pPr>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w:t>
            </w:r>
            <w:r>
              <w:rPr>
                <w:rFonts w:ascii="宋体" w:hAnsi="宋体" w:cs="宋体"/>
                <w:bCs/>
                <w:color w:val="auto"/>
                <w:sz w:val="24"/>
                <w:highlight w:val="none"/>
              </w:rPr>
              <w:t>3</w:t>
            </w:r>
            <w:r>
              <w:rPr>
                <w:rFonts w:hint="eastAsia" w:ascii="宋体" w:hAnsi="宋体" w:cs="宋体"/>
                <w:bCs/>
                <w:color w:val="auto"/>
                <w:sz w:val="24"/>
                <w:highlight w:val="none"/>
              </w:rPr>
              <w:t>）考核结果在60分（含）以上，70分以下，为二级警告，扣除</w:t>
            </w:r>
            <w:r>
              <w:rPr>
                <w:rFonts w:ascii="宋体" w:hAnsi="宋体" w:cs="宋体"/>
                <w:bCs/>
                <w:color w:val="auto"/>
                <w:sz w:val="24"/>
                <w:highlight w:val="none"/>
              </w:rPr>
              <w:t>考核时间段</w:t>
            </w:r>
            <w:r>
              <w:rPr>
                <w:rFonts w:hint="eastAsia" w:ascii="宋体" w:hAnsi="宋体" w:cs="宋体"/>
                <w:bCs/>
                <w:color w:val="auto"/>
                <w:sz w:val="24"/>
                <w:highlight w:val="none"/>
              </w:rPr>
              <w:t>运维费的</w:t>
            </w:r>
            <w:r>
              <w:rPr>
                <w:rFonts w:ascii="宋体" w:hAnsi="宋体" w:cs="宋体"/>
                <w:bCs/>
                <w:color w:val="auto"/>
                <w:sz w:val="24"/>
                <w:highlight w:val="none"/>
              </w:rPr>
              <w:t>15</w:t>
            </w:r>
            <w:r>
              <w:rPr>
                <w:rFonts w:hint="eastAsia" w:ascii="宋体" w:hAnsi="宋体" w:cs="宋体"/>
                <w:bCs/>
                <w:color w:val="auto"/>
                <w:sz w:val="24"/>
                <w:highlight w:val="none"/>
              </w:rPr>
              <w:t>%，并责令整改；</w:t>
            </w:r>
          </w:p>
          <w:p w14:paraId="2029E80B">
            <w:pPr>
              <w:spacing w:before="100" w:beforeAutospacing="1" w:after="160"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lang w:bidi="ar"/>
              </w:rPr>
              <w:t>（4）考核结果在60分以下，扣除考核时间段全部运维费，并责令整改，且采购人有权取消运维合同</w:t>
            </w:r>
            <w:r>
              <w:rPr>
                <w:rFonts w:ascii="宋体" w:hAnsi="宋体" w:cs="宋体"/>
                <w:bCs/>
                <w:color w:val="auto"/>
                <w:sz w:val="24"/>
                <w:highlight w:val="none"/>
                <w:lang w:bidi="ar"/>
              </w:rPr>
              <w:t>。</w:t>
            </w:r>
          </w:p>
          <w:p w14:paraId="02B7AFB6">
            <w:pPr>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2.3如遇到4.2.1或4.2.2（3）状况解除合同后，乙方必须对所运维的站点按接手时的仪器配置品牌型号进行维修，要求不低于交接时仪器状况，所需费用由乙方承担。</w:t>
            </w:r>
          </w:p>
          <w:p w14:paraId="5BDC980E">
            <w:pPr>
              <w:spacing w:line="360" w:lineRule="auto"/>
              <w:ind w:firstLine="420"/>
              <w:jc w:val="left"/>
              <w:rPr>
                <w:rFonts w:hint="eastAsia" w:ascii="宋体" w:hAnsi="宋体" w:cs="宋体"/>
                <w:color w:val="auto"/>
                <w:sz w:val="24"/>
                <w:highlight w:val="none"/>
              </w:rPr>
            </w:pPr>
            <w:r>
              <w:rPr>
                <w:rFonts w:hint="eastAsia" w:ascii="宋体" w:hAnsi="宋体" w:cs="宋体"/>
                <w:bCs/>
                <w:color w:val="auto"/>
                <w:sz w:val="24"/>
                <w:highlight w:val="none"/>
              </w:rPr>
              <w:t>2.4因乙方原因造成合同终止所产生的各类损失，由乙方承担。</w:t>
            </w:r>
            <w:r>
              <w:rPr>
                <w:rFonts w:hint="eastAsia" w:ascii="宋体" w:hAnsi="宋体" w:cs="宋体"/>
                <w:color w:val="auto"/>
                <w:sz w:val="24"/>
                <w:highlight w:val="none"/>
              </w:rPr>
              <w:t xml:space="preserve"> </w:t>
            </w:r>
          </w:p>
        </w:tc>
      </w:tr>
      <w:tr w14:paraId="2F85F2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53" w:type="dxa"/>
            <w:tcBorders>
              <w:left w:val="single" w:color="auto" w:sz="4" w:space="0"/>
            </w:tcBorders>
            <w:vAlign w:val="center"/>
          </w:tcPr>
          <w:p w14:paraId="0F48887F">
            <w:pPr>
              <w:spacing w:line="360" w:lineRule="auto"/>
              <w:rPr>
                <w:rFonts w:hint="eastAsia" w:ascii="宋体" w:hAnsi="宋体" w:cs="宋体"/>
                <w:color w:val="auto"/>
                <w:sz w:val="24"/>
                <w:highlight w:val="none"/>
              </w:rPr>
            </w:pPr>
            <w:r>
              <w:rPr>
                <w:rFonts w:hint="eastAsia" w:ascii="宋体" w:hAnsi="宋体" w:cs="宋体"/>
                <w:color w:val="auto"/>
                <w:sz w:val="24"/>
                <w:highlight w:val="none"/>
              </w:rPr>
              <w:t>1.9.1</w:t>
            </w:r>
          </w:p>
        </w:tc>
        <w:tc>
          <w:tcPr>
            <w:tcW w:w="7983" w:type="dxa"/>
            <w:vAlign w:val="center"/>
          </w:tcPr>
          <w:p w14:paraId="6CA921E3">
            <w:pPr>
              <w:spacing w:line="360" w:lineRule="auto"/>
              <w:rPr>
                <w:rFonts w:hint="eastAsia" w:ascii="宋体" w:hAnsi="宋体" w:cs="宋体"/>
                <w:color w:val="auto"/>
                <w:sz w:val="24"/>
                <w:highlight w:val="none"/>
              </w:rPr>
            </w:pPr>
            <w:r>
              <w:rPr>
                <w:rFonts w:hint="eastAsia" w:ascii="宋体" w:hAnsi="宋体" w:cs="宋体"/>
                <w:color w:val="auto"/>
                <w:sz w:val="24"/>
                <w:highlight w:val="none"/>
              </w:rPr>
              <w:t>将争议提交</w:t>
            </w:r>
            <w:r>
              <w:rPr>
                <w:rFonts w:hint="eastAsia" w:ascii="宋体" w:hAnsi="宋体" w:cs="宋体"/>
                <w:color w:val="auto"/>
                <w:sz w:val="24"/>
                <w:highlight w:val="none"/>
                <w:u w:val="single"/>
              </w:rPr>
              <w:t>杭州市</w:t>
            </w:r>
            <w:r>
              <w:rPr>
                <w:rFonts w:hint="eastAsia" w:ascii="宋体" w:hAnsi="宋体" w:cs="宋体"/>
                <w:color w:val="auto"/>
                <w:sz w:val="24"/>
                <w:highlight w:val="none"/>
              </w:rPr>
              <w:t>仲裁委员会依申请仲裁时其现行有效的仲裁规则裁决。</w:t>
            </w:r>
          </w:p>
        </w:tc>
      </w:tr>
      <w:tr w14:paraId="33B19D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53" w:type="dxa"/>
            <w:tcBorders>
              <w:left w:val="single" w:color="auto" w:sz="4" w:space="0"/>
            </w:tcBorders>
            <w:vAlign w:val="center"/>
          </w:tcPr>
          <w:p w14:paraId="40BBE8BC">
            <w:pPr>
              <w:spacing w:line="360" w:lineRule="auto"/>
              <w:rPr>
                <w:rFonts w:hint="eastAsia" w:ascii="宋体" w:hAnsi="宋体" w:cs="宋体"/>
                <w:color w:val="auto"/>
                <w:sz w:val="24"/>
                <w:highlight w:val="none"/>
              </w:rPr>
            </w:pPr>
            <w:r>
              <w:rPr>
                <w:rFonts w:hint="eastAsia" w:ascii="宋体" w:hAnsi="宋体" w:cs="宋体"/>
                <w:color w:val="auto"/>
                <w:sz w:val="24"/>
                <w:highlight w:val="none"/>
              </w:rPr>
              <w:t>1.9.2</w:t>
            </w:r>
          </w:p>
        </w:tc>
        <w:tc>
          <w:tcPr>
            <w:tcW w:w="7983" w:type="dxa"/>
            <w:vAlign w:val="center"/>
          </w:tcPr>
          <w:p w14:paraId="03DC40E1">
            <w:pPr>
              <w:spacing w:line="360" w:lineRule="auto"/>
              <w:rPr>
                <w:rFonts w:hint="eastAsia" w:ascii="宋体" w:hAnsi="宋体" w:cs="宋体"/>
                <w:color w:val="auto"/>
                <w:sz w:val="24"/>
                <w:highlight w:val="none"/>
              </w:rPr>
            </w:pPr>
            <w:r>
              <w:rPr>
                <w:rFonts w:hint="eastAsia" w:ascii="宋体" w:hAnsi="宋体" w:cs="宋体"/>
                <w:color w:val="auto"/>
                <w:sz w:val="24"/>
                <w:highlight w:val="none"/>
              </w:rPr>
              <w:t>不涉及</w:t>
            </w:r>
          </w:p>
        </w:tc>
      </w:tr>
      <w:tr w14:paraId="734B45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53" w:type="dxa"/>
            <w:tcBorders>
              <w:left w:val="single" w:color="auto" w:sz="4" w:space="0"/>
            </w:tcBorders>
            <w:vAlign w:val="center"/>
          </w:tcPr>
          <w:p w14:paraId="3FEB86B5">
            <w:pPr>
              <w:spacing w:line="360" w:lineRule="auto"/>
              <w:rPr>
                <w:rFonts w:hint="eastAsia" w:ascii="宋体" w:hAnsi="宋体" w:cs="宋体"/>
                <w:color w:val="auto"/>
                <w:sz w:val="24"/>
                <w:highlight w:val="none"/>
              </w:rPr>
            </w:pPr>
            <w:r>
              <w:rPr>
                <w:rFonts w:hint="eastAsia" w:ascii="宋体" w:hAnsi="宋体" w:cs="宋体"/>
                <w:color w:val="auto"/>
                <w:sz w:val="24"/>
                <w:highlight w:val="none"/>
              </w:rPr>
              <w:t>2.3.2</w:t>
            </w:r>
          </w:p>
        </w:tc>
        <w:tc>
          <w:tcPr>
            <w:tcW w:w="7983" w:type="dxa"/>
            <w:vAlign w:val="center"/>
          </w:tcPr>
          <w:p w14:paraId="499BA665">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项目执行过程中所产生的数据资料和技术报告均为甲方所有，乙方未经同意不得擅自使用，由此产生的一切后果由乙方承担。乙方需和甲方签订相应的保密协议。乙方对在服务过程中接触到的甲方的任何资料、文件、数据以及对服务形成的任何交付物负有保密责任，未经甲方书面同意，乙方不得以任何形式进行利用，不得以任何方式向任何第三方提供或透露。乙方如违反上述保密规定，甲方有权终止合同，并要求乙方承担相应违约责任，并支付违约金，违约金最高限价为合同金额的20%。本保密义务不因本项目合同期满、解除或终止而终止，除非甲方书面通知乙方解密，否则，乙方在合同终止后仍然负有保密义务。</w:t>
            </w:r>
          </w:p>
        </w:tc>
      </w:tr>
      <w:tr w14:paraId="582A33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53" w:type="dxa"/>
            <w:tcBorders>
              <w:left w:val="single" w:color="auto" w:sz="4" w:space="0"/>
            </w:tcBorders>
            <w:vAlign w:val="center"/>
          </w:tcPr>
          <w:p w14:paraId="29C7BCF8">
            <w:pPr>
              <w:spacing w:line="360" w:lineRule="auto"/>
              <w:rPr>
                <w:rFonts w:hint="eastAsia"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5</w:t>
            </w:r>
          </w:p>
        </w:tc>
        <w:tc>
          <w:tcPr>
            <w:tcW w:w="7983" w:type="dxa"/>
            <w:vAlign w:val="center"/>
          </w:tcPr>
          <w:p w14:paraId="6EA93E66">
            <w:pPr>
              <w:spacing w:line="360" w:lineRule="auto"/>
              <w:rPr>
                <w:rFonts w:hint="eastAsia" w:ascii="宋体" w:hAnsi="宋体" w:cs="宋体"/>
                <w:color w:val="auto"/>
                <w:sz w:val="24"/>
                <w:highlight w:val="none"/>
              </w:rPr>
            </w:pPr>
            <w:r>
              <w:rPr>
                <w:rFonts w:hint="eastAsia" w:ascii="宋体" w:hAnsi="宋体" w:cs="宋体"/>
                <w:color w:val="auto"/>
                <w:sz w:val="24"/>
                <w:highlight w:val="none"/>
              </w:rPr>
              <w:t>结算方式和付款条件：</w:t>
            </w:r>
          </w:p>
          <w:p w14:paraId="6DCBB3C1">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1.合同签订且财政资金到位后5个工作日内，甲方凭乙方开具的正规发票向乙方支付合同金额的</w:t>
            </w:r>
            <w:r>
              <w:rPr>
                <w:rFonts w:hint="eastAsia" w:ascii="宋体" w:hAnsi="宋体" w:cs="宋体"/>
                <w:color w:val="auto"/>
                <w:kern w:val="0"/>
                <w:sz w:val="24"/>
                <w:highlight w:val="none"/>
                <w:u w:val="single"/>
              </w:rPr>
              <w:t xml:space="preserve">  </w:t>
            </w:r>
            <w:r>
              <w:rPr>
                <w:rFonts w:ascii="宋体" w:hAnsi="宋体" w:cs="宋体"/>
                <w:color w:val="auto"/>
                <w:kern w:val="0"/>
                <w:sz w:val="24"/>
                <w:highlight w:val="none"/>
                <w:u w:val="single"/>
              </w:rPr>
              <w:t>5</w:t>
            </w:r>
            <w:r>
              <w:rPr>
                <w:rFonts w:hint="eastAsia" w:ascii="宋体" w:hAnsi="宋体" w:cs="宋体"/>
                <w:color w:val="auto"/>
                <w:kern w:val="0"/>
                <w:sz w:val="24"/>
                <w:highlight w:val="none"/>
                <w:u w:val="single"/>
              </w:rPr>
              <w:t xml:space="preserve">0 </w:t>
            </w:r>
            <w:r>
              <w:rPr>
                <w:rFonts w:hint="eastAsia" w:ascii="宋体" w:hAnsi="宋体" w:cs="宋体"/>
                <w:color w:val="auto"/>
                <w:kern w:val="0"/>
                <w:sz w:val="24"/>
                <w:highlight w:val="none"/>
              </w:rPr>
              <w:t>%作为预付款；</w:t>
            </w:r>
          </w:p>
          <w:p w14:paraId="3ABBF81D">
            <w:pPr>
              <w:spacing w:line="360" w:lineRule="auto"/>
              <w:ind w:firstLine="480" w:firstLineChars="200"/>
              <w:rPr>
                <w:rFonts w:hint="eastAsia" w:ascii="宋体" w:hAnsi="宋体" w:cs="宋体"/>
                <w:color w:val="auto"/>
                <w:sz w:val="24"/>
                <w:highlight w:val="none"/>
              </w:rPr>
            </w:pPr>
            <w:r>
              <w:rPr>
                <w:rFonts w:hint="eastAsia" w:ascii="宋体" w:hAnsi="宋体" w:cs="宋体"/>
                <w:color w:val="auto"/>
                <w:kern w:val="0"/>
                <w:sz w:val="24"/>
                <w:highlight w:val="none"/>
              </w:rPr>
              <w:t>2.项目考核合格</w:t>
            </w:r>
            <w:r>
              <w:rPr>
                <w:rFonts w:hint="eastAsia" w:ascii="宋体" w:hAnsi="宋体" w:cs="宋体"/>
                <w:color w:val="auto"/>
                <w:kern w:val="0"/>
                <w:sz w:val="24"/>
                <w:highlight w:val="none"/>
                <w:lang w:val="en-US" w:eastAsia="zh-CN"/>
              </w:rPr>
              <w:t>后</w:t>
            </w:r>
            <w:r>
              <w:rPr>
                <w:rFonts w:hint="eastAsia" w:ascii="宋体" w:hAnsi="宋体" w:cs="宋体"/>
                <w:color w:val="auto"/>
                <w:kern w:val="0"/>
                <w:sz w:val="24"/>
                <w:highlight w:val="none"/>
              </w:rPr>
              <w:t>（凭正规发票）向乙方支付合同金额的剩余</w:t>
            </w:r>
            <w:r>
              <w:rPr>
                <w:rFonts w:hint="eastAsia" w:ascii="宋体" w:hAnsi="宋体" w:cs="宋体"/>
                <w:color w:val="auto"/>
                <w:kern w:val="0"/>
                <w:sz w:val="24"/>
                <w:highlight w:val="none"/>
                <w:u w:val="single"/>
              </w:rPr>
              <w:t xml:space="preserve">  </w:t>
            </w:r>
            <w:r>
              <w:rPr>
                <w:rFonts w:ascii="宋体" w:hAnsi="宋体" w:cs="宋体"/>
                <w:color w:val="auto"/>
                <w:kern w:val="0"/>
                <w:sz w:val="24"/>
                <w:highlight w:val="none"/>
                <w:u w:val="single"/>
              </w:rPr>
              <w:t>5</w:t>
            </w:r>
            <w:r>
              <w:rPr>
                <w:rFonts w:hint="eastAsia" w:ascii="宋体" w:hAnsi="宋体" w:cs="宋体"/>
                <w:color w:val="auto"/>
                <w:kern w:val="0"/>
                <w:sz w:val="24"/>
                <w:highlight w:val="none"/>
                <w:u w:val="single"/>
              </w:rPr>
              <w:t xml:space="preserve">0 </w:t>
            </w:r>
            <w:r>
              <w:rPr>
                <w:rFonts w:hint="eastAsia" w:ascii="宋体" w:hAnsi="宋体" w:cs="宋体"/>
                <w:color w:val="auto"/>
                <w:kern w:val="0"/>
                <w:sz w:val="24"/>
                <w:highlight w:val="none"/>
              </w:rPr>
              <w:t>%。</w:t>
            </w:r>
          </w:p>
        </w:tc>
      </w:tr>
      <w:tr w14:paraId="08CDB2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53" w:type="dxa"/>
            <w:tcBorders>
              <w:left w:val="single" w:color="auto" w:sz="4" w:space="0"/>
            </w:tcBorders>
            <w:vAlign w:val="center"/>
          </w:tcPr>
          <w:p w14:paraId="6615BD58">
            <w:pPr>
              <w:spacing w:line="360" w:lineRule="auto"/>
              <w:rPr>
                <w:rFonts w:hint="eastAsia"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w:t>
            </w:r>
            <w:r>
              <w:rPr>
                <w:rFonts w:hint="eastAsia" w:ascii="宋体" w:hAnsi="宋体" w:cs="宋体"/>
                <w:color w:val="auto"/>
                <w:sz w:val="24"/>
                <w:highlight w:val="none"/>
              </w:rPr>
              <w:t>.</w:t>
            </w:r>
            <w:r>
              <w:rPr>
                <w:rFonts w:ascii="宋体" w:hAnsi="宋体" w:cs="宋体"/>
                <w:color w:val="auto"/>
                <w:sz w:val="24"/>
                <w:highlight w:val="none"/>
              </w:rPr>
              <w:t>3</w:t>
            </w:r>
          </w:p>
        </w:tc>
        <w:tc>
          <w:tcPr>
            <w:tcW w:w="7983" w:type="dxa"/>
            <w:vAlign w:val="center"/>
          </w:tcPr>
          <w:p w14:paraId="6B0DBB0C">
            <w:pPr>
              <w:spacing w:line="360" w:lineRule="auto"/>
              <w:rPr>
                <w:rFonts w:hint="eastAsia" w:ascii="宋体" w:hAnsi="宋体" w:cs="宋体"/>
                <w:color w:val="auto"/>
                <w:sz w:val="24"/>
                <w:highlight w:val="none"/>
              </w:rPr>
            </w:pPr>
            <w:r>
              <w:rPr>
                <w:rFonts w:hint="eastAsia" w:ascii="宋体" w:hAnsi="宋体"/>
                <w:color w:val="auto"/>
                <w:sz w:val="24"/>
                <w:highlight w:val="none"/>
              </w:rPr>
              <w:t>因</w:t>
            </w:r>
            <w:r>
              <w:rPr>
                <w:rFonts w:ascii="宋体" w:hAnsi="宋体"/>
                <w:color w:val="auto"/>
                <w:sz w:val="24"/>
                <w:highlight w:val="none"/>
              </w:rPr>
              <w:t>不可抗力致使合同有变更必要的，双方当事人应在</w:t>
            </w:r>
            <w:r>
              <w:rPr>
                <w:rFonts w:hint="eastAsia" w:ascii="宋体" w:hAnsi="宋体"/>
                <w:b/>
                <w:i/>
                <w:color w:val="auto"/>
                <w:sz w:val="24"/>
                <w:highlight w:val="none"/>
                <w:u w:val="single"/>
              </w:rPr>
              <w:t xml:space="preserve">7天内 </w:t>
            </w:r>
            <w:r>
              <w:rPr>
                <w:rFonts w:ascii="宋体" w:hAnsi="宋体"/>
                <w:color w:val="auto"/>
                <w:sz w:val="24"/>
                <w:highlight w:val="none"/>
              </w:rPr>
              <w:t>以书面形式变更合同</w:t>
            </w:r>
            <w:r>
              <w:rPr>
                <w:rFonts w:hint="eastAsia" w:ascii="宋体" w:hAnsi="宋体"/>
                <w:color w:val="auto"/>
                <w:sz w:val="24"/>
                <w:highlight w:val="none"/>
              </w:rPr>
              <w:t>。</w:t>
            </w:r>
          </w:p>
        </w:tc>
      </w:tr>
      <w:tr w14:paraId="0BF11D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53" w:type="dxa"/>
            <w:tcBorders>
              <w:left w:val="single" w:color="auto" w:sz="4" w:space="0"/>
            </w:tcBorders>
          </w:tcPr>
          <w:p w14:paraId="564B4460">
            <w:pPr>
              <w:spacing w:line="360" w:lineRule="auto"/>
              <w:rPr>
                <w:rFonts w:hint="eastAsia"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11.4</w:t>
            </w:r>
            <w:r>
              <w:rPr>
                <w:rFonts w:hint="eastAsia" w:ascii="宋体" w:hAnsi="宋体" w:cs="宋体"/>
                <w:color w:val="auto"/>
                <w:sz w:val="24"/>
                <w:highlight w:val="none"/>
              </w:rPr>
              <w:t xml:space="preserve"> </w:t>
            </w:r>
          </w:p>
        </w:tc>
        <w:tc>
          <w:tcPr>
            <w:tcW w:w="7983" w:type="dxa"/>
          </w:tcPr>
          <w:p w14:paraId="208AE7F3">
            <w:pPr>
              <w:spacing w:line="360" w:lineRule="auto"/>
              <w:rPr>
                <w:rFonts w:hint="eastAsia" w:ascii="宋体" w:hAnsi="宋体" w:cs="宋体"/>
                <w:color w:val="auto"/>
                <w:sz w:val="24"/>
                <w:highlight w:val="none"/>
              </w:rPr>
            </w:pPr>
            <w:r>
              <w:rPr>
                <w:rFonts w:ascii="宋体" w:hAnsi="宋体"/>
                <w:color w:val="auto"/>
                <w:sz w:val="24"/>
                <w:highlight w:val="none"/>
              </w:rPr>
              <w:t>受</w:t>
            </w:r>
            <w:r>
              <w:rPr>
                <w:rFonts w:hint="eastAsia" w:ascii="宋体" w:hAnsi="宋体"/>
                <w:color w:val="auto"/>
                <w:sz w:val="24"/>
                <w:highlight w:val="none"/>
              </w:rPr>
              <w:t>不可抗力</w:t>
            </w:r>
            <w:r>
              <w:rPr>
                <w:rFonts w:ascii="宋体" w:hAnsi="宋体"/>
                <w:color w:val="auto"/>
                <w:sz w:val="24"/>
                <w:highlight w:val="none"/>
              </w:rPr>
              <w:t>影响的一方在不可抗力发生后</w:t>
            </w:r>
            <w:r>
              <w:rPr>
                <w:rFonts w:hint="eastAsia" w:ascii="宋体" w:hAnsi="宋体"/>
                <w:color w:val="auto"/>
                <w:sz w:val="24"/>
                <w:highlight w:val="none"/>
              </w:rPr>
              <w:t>，</w:t>
            </w:r>
            <w:r>
              <w:rPr>
                <w:rFonts w:ascii="宋体" w:hAnsi="宋体"/>
                <w:color w:val="auto"/>
                <w:sz w:val="24"/>
                <w:highlight w:val="none"/>
              </w:rPr>
              <w:t>应在</w:t>
            </w:r>
            <w:r>
              <w:rPr>
                <w:rFonts w:hint="eastAsia" w:ascii="宋体" w:hAnsi="宋体"/>
                <w:color w:val="auto"/>
                <w:sz w:val="24"/>
                <w:highlight w:val="none"/>
              </w:rPr>
              <w:t>不可抗力发生后</w:t>
            </w:r>
            <w:r>
              <w:rPr>
                <w:rFonts w:ascii="宋体" w:hAnsi="宋体"/>
                <w:color w:val="auto"/>
                <w:sz w:val="24"/>
                <w:highlight w:val="none"/>
              </w:rPr>
              <w:t>以书面形式通知</w:t>
            </w:r>
            <w:r>
              <w:rPr>
                <w:rFonts w:hint="eastAsia" w:ascii="宋体" w:hAnsi="宋体"/>
                <w:color w:val="auto"/>
                <w:sz w:val="24"/>
                <w:highlight w:val="none"/>
              </w:rPr>
              <w:t>对</w:t>
            </w:r>
            <w:r>
              <w:rPr>
                <w:rFonts w:ascii="宋体" w:hAnsi="宋体"/>
                <w:color w:val="auto"/>
                <w:sz w:val="24"/>
                <w:highlight w:val="none"/>
              </w:rPr>
              <w:t>方当事人，并在</w:t>
            </w:r>
            <w:r>
              <w:rPr>
                <w:rFonts w:hint="eastAsia" w:ascii="宋体" w:hAnsi="宋体" w:cs="宋体"/>
                <w:color w:val="auto"/>
                <w:sz w:val="24"/>
                <w:highlight w:val="none"/>
              </w:rPr>
              <w:t>不可抗力发生后</w:t>
            </w:r>
            <w:r>
              <w:rPr>
                <w:rFonts w:hint="eastAsia" w:ascii="宋体" w:hAnsi="宋体"/>
                <w:b/>
                <w:i/>
                <w:color w:val="auto"/>
                <w:sz w:val="24"/>
                <w:highlight w:val="none"/>
                <w:u w:val="single"/>
              </w:rPr>
              <w:t xml:space="preserve">7天内 </w:t>
            </w:r>
            <w:r>
              <w:rPr>
                <w:rFonts w:ascii="宋体" w:hAnsi="宋体"/>
                <w:color w:val="auto"/>
                <w:sz w:val="24"/>
                <w:highlight w:val="none"/>
              </w:rPr>
              <w:t>，将有关部门出具的证明文件送达</w:t>
            </w:r>
            <w:r>
              <w:rPr>
                <w:rFonts w:hint="eastAsia" w:ascii="宋体" w:hAnsi="宋体"/>
                <w:color w:val="auto"/>
                <w:sz w:val="24"/>
                <w:highlight w:val="none"/>
              </w:rPr>
              <w:t>对方当事人</w:t>
            </w:r>
            <w:r>
              <w:rPr>
                <w:rFonts w:ascii="宋体" w:hAnsi="宋体"/>
                <w:color w:val="auto"/>
                <w:sz w:val="24"/>
                <w:highlight w:val="none"/>
              </w:rPr>
              <w:t>。</w:t>
            </w:r>
          </w:p>
        </w:tc>
      </w:tr>
      <w:tr w14:paraId="2B7A06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53" w:type="dxa"/>
            <w:tcBorders>
              <w:left w:val="single" w:color="auto" w:sz="4" w:space="0"/>
            </w:tcBorders>
            <w:vAlign w:val="center"/>
          </w:tcPr>
          <w:p w14:paraId="3BFD425A">
            <w:pPr>
              <w:spacing w:line="360" w:lineRule="auto"/>
              <w:rPr>
                <w:rFonts w:hint="eastAsia"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1</w:t>
            </w:r>
          </w:p>
        </w:tc>
        <w:tc>
          <w:tcPr>
            <w:tcW w:w="7983" w:type="dxa"/>
            <w:vAlign w:val="center"/>
          </w:tcPr>
          <w:p w14:paraId="7DE73F72">
            <w:pPr>
              <w:spacing w:line="360" w:lineRule="auto"/>
              <w:rPr>
                <w:rFonts w:hint="eastAsia" w:ascii="宋体" w:hAnsi="宋体" w:cs="宋体"/>
                <w:color w:val="auto"/>
                <w:sz w:val="24"/>
                <w:highlight w:val="none"/>
              </w:rPr>
            </w:pPr>
            <w:r>
              <w:rPr>
                <w:rFonts w:hint="eastAsia" w:ascii="宋体" w:hAnsi="宋体"/>
                <w:color w:val="auto"/>
                <w:sz w:val="24"/>
                <w:highlight w:val="none"/>
              </w:rPr>
              <w:t>详见2.15.3</w:t>
            </w:r>
          </w:p>
        </w:tc>
      </w:tr>
      <w:tr w14:paraId="22E40A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53" w:type="dxa"/>
            <w:tcBorders>
              <w:left w:val="single" w:color="auto" w:sz="4" w:space="0"/>
            </w:tcBorders>
            <w:vAlign w:val="center"/>
          </w:tcPr>
          <w:p w14:paraId="03689E86">
            <w:pPr>
              <w:spacing w:line="360" w:lineRule="auto"/>
              <w:rPr>
                <w:rFonts w:hint="eastAsia"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3</w:t>
            </w:r>
          </w:p>
        </w:tc>
        <w:tc>
          <w:tcPr>
            <w:tcW w:w="7983" w:type="dxa"/>
            <w:vAlign w:val="center"/>
          </w:tcPr>
          <w:p w14:paraId="5F9627C9">
            <w:pPr>
              <w:adjustRightInd/>
              <w:spacing w:line="360" w:lineRule="auto"/>
              <w:rPr>
                <w:rFonts w:hint="eastAsia" w:ascii="宋体" w:hAnsi="宋体" w:cs="宋体"/>
                <w:color w:val="auto"/>
                <w:sz w:val="24"/>
                <w:highlight w:val="none"/>
              </w:rPr>
            </w:pPr>
            <w:r>
              <w:rPr>
                <w:rFonts w:hint="eastAsia" w:ascii="宋体" w:hAnsi="宋体"/>
                <w:color w:val="auto"/>
                <w:sz w:val="24"/>
                <w:highlight w:val="none"/>
              </w:rPr>
              <w:t>检验和验收标准、程序等具体内容以及前述验收书的效力：</w:t>
            </w:r>
          </w:p>
          <w:p w14:paraId="1E813133">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1.履约验收根据本次项目招标文件中相关采购要求进行，验收由甲方负责实施。</w:t>
            </w:r>
          </w:p>
          <w:p w14:paraId="5D492992">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2.履约验收标准：</w:t>
            </w:r>
          </w:p>
          <w:p w14:paraId="5ACCC125">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w:t>
            </w:r>
            <w:r>
              <w:rPr>
                <w:color w:val="auto"/>
                <w:sz w:val="24"/>
                <w:highlight w:val="none"/>
              </w:rPr>
              <w:t>参考《环境空气温室气体及其示踪物（CO</w:t>
            </w:r>
            <w:r>
              <w:rPr>
                <w:color w:val="auto"/>
                <w:sz w:val="24"/>
                <w:highlight w:val="none"/>
                <w:vertAlign w:val="subscript"/>
              </w:rPr>
              <w:t>2</w:t>
            </w:r>
            <w:r>
              <w:rPr>
                <w:color w:val="auto"/>
                <w:sz w:val="24"/>
                <w:highlight w:val="none"/>
              </w:rPr>
              <w:t>、CH</w:t>
            </w:r>
            <w:r>
              <w:rPr>
                <w:color w:val="auto"/>
                <w:sz w:val="24"/>
                <w:highlight w:val="none"/>
                <w:vertAlign w:val="subscript"/>
              </w:rPr>
              <w:t>4</w:t>
            </w:r>
            <w:r>
              <w:rPr>
                <w:color w:val="auto"/>
                <w:sz w:val="24"/>
                <w:highlight w:val="none"/>
              </w:rPr>
              <w:t>、N</w:t>
            </w:r>
            <w:r>
              <w:rPr>
                <w:color w:val="auto"/>
                <w:sz w:val="24"/>
                <w:highlight w:val="none"/>
                <w:vertAlign w:val="subscript"/>
              </w:rPr>
              <w:t>2</w:t>
            </w:r>
            <w:r>
              <w:rPr>
                <w:color w:val="auto"/>
                <w:sz w:val="24"/>
                <w:highlight w:val="none"/>
              </w:rPr>
              <w:t>O和CO）光腔衰荡光谱法连续自动监测系统运行和质控技术指南（第一版）》</w:t>
            </w:r>
          </w:p>
          <w:p w14:paraId="7C1A92FC">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2.2</w:t>
            </w:r>
            <w:r>
              <w:rPr>
                <w:color w:val="auto"/>
                <w:sz w:val="24"/>
                <w:highlight w:val="none"/>
              </w:rPr>
              <w:t>《环境空气温室气体及其示踪物（CO</w:t>
            </w:r>
            <w:r>
              <w:rPr>
                <w:color w:val="auto"/>
                <w:sz w:val="24"/>
                <w:highlight w:val="none"/>
                <w:vertAlign w:val="subscript"/>
              </w:rPr>
              <w:t>2</w:t>
            </w:r>
            <w:r>
              <w:rPr>
                <w:color w:val="auto"/>
                <w:sz w:val="24"/>
                <w:highlight w:val="none"/>
              </w:rPr>
              <w:t>、CH</w:t>
            </w:r>
            <w:r>
              <w:rPr>
                <w:color w:val="auto"/>
                <w:sz w:val="24"/>
                <w:highlight w:val="none"/>
                <w:vertAlign w:val="subscript"/>
              </w:rPr>
              <w:t>4</w:t>
            </w:r>
            <w:r>
              <w:rPr>
                <w:color w:val="auto"/>
                <w:sz w:val="24"/>
                <w:highlight w:val="none"/>
              </w:rPr>
              <w:t>、N</w:t>
            </w:r>
            <w:r>
              <w:rPr>
                <w:color w:val="auto"/>
                <w:sz w:val="24"/>
                <w:highlight w:val="none"/>
                <w:vertAlign w:val="subscript"/>
              </w:rPr>
              <w:t>2</w:t>
            </w:r>
            <w:r>
              <w:rPr>
                <w:color w:val="auto"/>
                <w:sz w:val="24"/>
                <w:highlight w:val="none"/>
              </w:rPr>
              <w:t>O和CO）连续自动监测采样系统技术要求（第一版）》</w:t>
            </w:r>
          </w:p>
          <w:p w14:paraId="2285D8FE">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2.3</w:t>
            </w:r>
            <w:r>
              <w:rPr>
                <w:color w:val="auto"/>
                <w:sz w:val="24"/>
                <w:highlight w:val="none"/>
              </w:rPr>
              <w:t>《环境空气温室气体（CO</w:t>
            </w:r>
            <w:r>
              <w:rPr>
                <w:color w:val="auto"/>
                <w:sz w:val="24"/>
                <w:highlight w:val="none"/>
                <w:vertAlign w:val="subscript"/>
              </w:rPr>
              <w:t>2</w:t>
            </w:r>
            <w:r>
              <w:rPr>
                <w:color w:val="auto"/>
                <w:sz w:val="24"/>
                <w:highlight w:val="none"/>
              </w:rPr>
              <w:t>、CH</w:t>
            </w:r>
            <w:r>
              <w:rPr>
                <w:color w:val="auto"/>
                <w:sz w:val="24"/>
                <w:highlight w:val="none"/>
                <w:vertAlign w:val="subscript"/>
              </w:rPr>
              <w:t>4</w:t>
            </w:r>
            <w:r>
              <w:rPr>
                <w:color w:val="auto"/>
                <w:sz w:val="24"/>
                <w:highlight w:val="none"/>
              </w:rPr>
              <w:t>、N</w:t>
            </w:r>
            <w:r>
              <w:rPr>
                <w:color w:val="auto"/>
                <w:sz w:val="24"/>
                <w:highlight w:val="none"/>
                <w:vertAlign w:val="subscript"/>
              </w:rPr>
              <w:t>2</w:t>
            </w:r>
            <w:r>
              <w:rPr>
                <w:color w:val="auto"/>
                <w:sz w:val="24"/>
                <w:highlight w:val="none"/>
              </w:rPr>
              <w:t>O）光腔衰荡光谱法连续自动监测系统运行和质控技术规范》（T/HZAEPI 005-2024）</w:t>
            </w:r>
          </w:p>
          <w:p w14:paraId="03E23D1A">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2.4合同和招标文件、投标文件（及投标时的相关承诺）；</w:t>
            </w:r>
          </w:p>
          <w:p w14:paraId="194EC419">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2.5符合杭财采监﹝2019﹞10号文件规定。</w:t>
            </w:r>
          </w:p>
          <w:p w14:paraId="7DC5A8A7">
            <w:pPr>
              <w:spacing w:line="360" w:lineRule="auto"/>
              <w:ind w:firstLine="482" w:firstLineChars="200"/>
              <w:rPr>
                <w:rFonts w:hint="eastAsia" w:ascii="宋体" w:hAnsi="宋体" w:cs="宋体"/>
                <w:color w:val="auto"/>
                <w:sz w:val="24"/>
                <w:highlight w:val="none"/>
              </w:rPr>
            </w:pPr>
            <w:r>
              <w:rPr>
                <w:rFonts w:hint="eastAsia" w:ascii="宋体" w:hAnsi="宋体" w:cs="宋体"/>
                <w:b/>
                <w:bCs/>
                <w:color w:val="auto"/>
                <w:sz w:val="24"/>
                <w:highlight w:val="none"/>
              </w:rPr>
              <w:t>3.验收程序：</w:t>
            </w:r>
            <w:r>
              <w:rPr>
                <w:rFonts w:hint="eastAsia" w:ascii="宋体" w:hAnsi="宋体" w:cs="宋体"/>
                <w:color w:val="auto"/>
                <w:sz w:val="24"/>
                <w:highlight w:val="none"/>
              </w:rPr>
              <w:t>甲方定期对乙方开展运维工作考核，考核采取百分制、单站考核的方式，主要包括单个站点有效数据获取率和运行维护内容。单站点考核得分大于等于80分为合格，低于80分为不合格。由甲方组织有关人员进行评审。考核合格后按照合同分期要求支付运维费。合同完成后，进行一次性履约验收。</w:t>
            </w:r>
          </w:p>
        </w:tc>
      </w:tr>
      <w:tr w14:paraId="6C3934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953" w:type="dxa"/>
            <w:tcBorders>
              <w:left w:val="single" w:color="auto" w:sz="4" w:space="0"/>
            </w:tcBorders>
          </w:tcPr>
          <w:p w14:paraId="21607B3E">
            <w:pPr>
              <w:spacing w:line="360" w:lineRule="auto"/>
              <w:rPr>
                <w:rFonts w:hint="eastAsia" w:ascii="宋体" w:hAnsi="宋体" w:cs="宋体"/>
                <w:color w:val="auto"/>
                <w:sz w:val="24"/>
                <w:highlight w:val="none"/>
              </w:rPr>
            </w:pPr>
            <w:r>
              <w:rPr>
                <w:rFonts w:hint="eastAsia" w:ascii="宋体" w:hAnsi="宋体" w:cs="宋体"/>
                <w:color w:val="auto"/>
                <w:sz w:val="24"/>
                <w:highlight w:val="none"/>
              </w:rPr>
              <w:t>2.19</w:t>
            </w:r>
          </w:p>
        </w:tc>
        <w:tc>
          <w:tcPr>
            <w:tcW w:w="7983" w:type="dxa"/>
          </w:tcPr>
          <w:p w14:paraId="0D64B9D1">
            <w:pPr>
              <w:spacing w:line="360" w:lineRule="auto"/>
              <w:rPr>
                <w:rFonts w:hint="eastAsia" w:ascii="宋体" w:hAnsi="宋体" w:cs="宋体"/>
                <w:color w:val="auto"/>
                <w:sz w:val="24"/>
                <w:highlight w:val="none"/>
              </w:rPr>
            </w:pPr>
            <w:r>
              <w:rPr>
                <w:rFonts w:hint="eastAsia" w:ascii="宋体" w:hAnsi="宋体" w:cs="宋体"/>
                <w:color w:val="auto"/>
                <w:sz w:val="24"/>
                <w:highlight w:val="none"/>
              </w:rPr>
              <w:t>本合同一式五份，甲方、乙方各执二份，招标代理公司一份。</w:t>
            </w:r>
          </w:p>
        </w:tc>
      </w:tr>
    </w:tbl>
    <w:p w14:paraId="69A21D2D">
      <w:pPr>
        <w:rPr>
          <w:rFonts w:hint="eastAsia" w:ascii="宋体" w:hAnsi="宋体" w:cs="宋体"/>
          <w:b/>
          <w:bCs/>
          <w:color w:val="auto"/>
          <w:sz w:val="24"/>
          <w:highlight w:val="none"/>
        </w:rPr>
      </w:pPr>
      <w:r>
        <w:rPr>
          <w:color w:val="auto"/>
          <w:highlight w:val="none"/>
        </w:rPr>
        <w:br w:type="page"/>
      </w:r>
      <w:r>
        <w:rPr>
          <w:rFonts w:hint="eastAsia" w:ascii="宋体" w:hAnsi="宋体" w:cs="宋体"/>
          <w:b/>
          <w:bCs/>
          <w:color w:val="auto"/>
          <w:sz w:val="24"/>
          <w:highlight w:val="none"/>
        </w:rPr>
        <w:t>标项二：杭州市碳排放反演与通量核算项目</w:t>
      </w:r>
    </w:p>
    <w:tbl>
      <w:tblPr>
        <w:tblStyle w:val="62"/>
        <w:tblW w:w="0" w:type="auto"/>
        <w:tblInd w:w="-425"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80"/>
        <w:gridCol w:w="8011"/>
      </w:tblGrid>
      <w:tr w14:paraId="24EACF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980" w:type="dxa"/>
            <w:tcBorders>
              <w:left w:val="single" w:color="auto" w:sz="4" w:space="0"/>
            </w:tcBorders>
            <w:vAlign w:val="center"/>
          </w:tcPr>
          <w:p w14:paraId="0B462F47">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条款号</w:t>
            </w:r>
          </w:p>
        </w:tc>
        <w:tc>
          <w:tcPr>
            <w:tcW w:w="8011" w:type="dxa"/>
            <w:vAlign w:val="center"/>
          </w:tcPr>
          <w:p w14:paraId="1E9067CC">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约定内容</w:t>
            </w:r>
          </w:p>
        </w:tc>
      </w:tr>
      <w:tr w14:paraId="376110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80" w:type="dxa"/>
            <w:tcBorders>
              <w:left w:val="single" w:color="auto" w:sz="4" w:space="0"/>
            </w:tcBorders>
            <w:vAlign w:val="center"/>
          </w:tcPr>
          <w:p w14:paraId="5F1447A8">
            <w:pPr>
              <w:spacing w:line="360" w:lineRule="auto"/>
              <w:rPr>
                <w:rFonts w:hint="eastAsia" w:ascii="宋体" w:hAnsi="宋体" w:cs="宋体"/>
                <w:color w:val="auto"/>
                <w:sz w:val="24"/>
                <w:highlight w:val="none"/>
              </w:rPr>
            </w:pPr>
            <w:r>
              <w:rPr>
                <w:rFonts w:hint="eastAsia" w:ascii="宋体" w:hAnsi="宋体" w:cs="宋体"/>
                <w:color w:val="auto"/>
                <w:sz w:val="24"/>
                <w:highlight w:val="none"/>
              </w:rPr>
              <w:t>1.3.2</w:t>
            </w:r>
          </w:p>
        </w:tc>
        <w:tc>
          <w:tcPr>
            <w:tcW w:w="8011" w:type="dxa"/>
            <w:vAlign w:val="center"/>
          </w:tcPr>
          <w:p w14:paraId="280DE042">
            <w:pPr>
              <w:spacing w:line="360" w:lineRule="auto"/>
              <w:rPr>
                <w:rFonts w:hint="eastAsia" w:ascii="宋体" w:hAnsi="宋体" w:cs="宋体"/>
                <w:color w:val="auto"/>
                <w:sz w:val="24"/>
                <w:highlight w:val="none"/>
              </w:rPr>
            </w:pPr>
            <w:r>
              <w:rPr>
                <w:rFonts w:hint="eastAsia" w:ascii="宋体" w:hAnsi="宋体" w:cs="宋体"/>
                <w:color w:val="auto"/>
                <w:sz w:val="24"/>
                <w:highlight w:val="none"/>
              </w:rPr>
              <w:t>无，总价合同不涉及。</w:t>
            </w:r>
          </w:p>
        </w:tc>
      </w:tr>
      <w:tr w14:paraId="6F0EE5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80" w:type="dxa"/>
            <w:tcBorders>
              <w:left w:val="single" w:color="auto" w:sz="4" w:space="0"/>
            </w:tcBorders>
            <w:vAlign w:val="center"/>
          </w:tcPr>
          <w:p w14:paraId="21D062F9">
            <w:pPr>
              <w:spacing w:line="360" w:lineRule="auto"/>
              <w:rPr>
                <w:rFonts w:hint="eastAsia" w:ascii="宋体" w:hAnsi="宋体" w:cs="宋体"/>
                <w:color w:val="auto"/>
                <w:sz w:val="24"/>
                <w:highlight w:val="none"/>
              </w:rPr>
            </w:pPr>
            <w:r>
              <w:rPr>
                <w:rFonts w:hint="eastAsia" w:ascii="宋体" w:hAnsi="宋体" w:cs="宋体"/>
                <w:color w:val="auto"/>
                <w:sz w:val="24"/>
                <w:highlight w:val="none"/>
              </w:rPr>
              <w:t>1.4.2</w:t>
            </w:r>
          </w:p>
        </w:tc>
        <w:tc>
          <w:tcPr>
            <w:tcW w:w="8011" w:type="dxa"/>
            <w:vAlign w:val="center"/>
          </w:tcPr>
          <w:p w14:paraId="5271B3E3">
            <w:pPr>
              <w:spacing w:line="360" w:lineRule="auto"/>
              <w:rPr>
                <w:rFonts w:hint="eastAsia" w:ascii="宋体" w:hAnsi="宋体" w:cs="宋体"/>
                <w:color w:val="auto"/>
                <w:sz w:val="24"/>
                <w:highlight w:val="none"/>
              </w:rPr>
            </w:pPr>
            <w:r>
              <w:rPr>
                <w:rFonts w:hint="eastAsia" w:ascii="宋体" w:hAnsi="宋体" w:cs="宋体"/>
                <w:color w:val="auto"/>
                <w:sz w:val="24"/>
                <w:highlight w:val="none"/>
              </w:rPr>
              <w:t>否，</w:t>
            </w:r>
            <w:r>
              <w:rPr>
                <w:rFonts w:ascii="宋体" w:hAnsi="宋体" w:cs="宋体"/>
                <w:color w:val="auto"/>
                <w:sz w:val="24"/>
                <w:highlight w:val="none"/>
              </w:rPr>
              <w:t>本项目</w:t>
            </w:r>
            <w:r>
              <w:rPr>
                <w:rFonts w:hint="eastAsia" w:ascii="宋体" w:hAnsi="宋体" w:cs="宋体"/>
                <w:color w:val="auto"/>
                <w:sz w:val="24"/>
                <w:highlight w:val="none"/>
              </w:rPr>
              <w:t>不收取</w:t>
            </w:r>
            <w:r>
              <w:rPr>
                <w:rFonts w:ascii="宋体" w:hAnsi="宋体" w:cs="宋体"/>
                <w:color w:val="auto"/>
                <w:sz w:val="24"/>
                <w:highlight w:val="none"/>
              </w:rPr>
              <w:t>履约保证金</w:t>
            </w:r>
            <w:r>
              <w:rPr>
                <w:rFonts w:hint="eastAsia" w:ascii="宋体" w:hAnsi="宋体" w:cs="宋体"/>
                <w:color w:val="auto"/>
                <w:sz w:val="24"/>
                <w:highlight w:val="none"/>
              </w:rPr>
              <w:t>。</w:t>
            </w:r>
          </w:p>
        </w:tc>
      </w:tr>
      <w:tr w14:paraId="619016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80" w:type="dxa"/>
            <w:tcBorders>
              <w:left w:val="single" w:color="auto" w:sz="4" w:space="0"/>
            </w:tcBorders>
            <w:vAlign w:val="center"/>
          </w:tcPr>
          <w:p w14:paraId="298B327E">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1.5.1 </w:t>
            </w:r>
          </w:p>
        </w:tc>
        <w:tc>
          <w:tcPr>
            <w:tcW w:w="8011" w:type="dxa"/>
            <w:vAlign w:val="center"/>
          </w:tcPr>
          <w:p w14:paraId="5C1CD4D4">
            <w:pPr>
              <w:spacing w:line="360" w:lineRule="auto"/>
              <w:rPr>
                <w:rFonts w:hint="eastAsia" w:ascii="宋体" w:hAnsi="宋体" w:cs="宋体"/>
                <w:color w:val="auto"/>
                <w:kern w:val="0"/>
                <w:sz w:val="24"/>
                <w:highlight w:val="none"/>
              </w:rPr>
            </w:pPr>
            <w:r>
              <w:rPr>
                <w:rFonts w:hint="eastAsia" w:ascii="宋体" w:hAnsi="宋体" w:cs="宋体"/>
                <w:color w:val="auto"/>
                <w:sz w:val="24"/>
                <w:highlight w:val="none"/>
              </w:rPr>
              <w:t>是，</w:t>
            </w:r>
            <w:r>
              <w:rPr>
                <w:rFonts w:hint="eastAsia" w:ascii="宋体" w:hAnsi="宋体" w:cs="宋体"/>
                <w:color w:val="auto"/>
                <w:kern w:val="0"/>
                <w:sz w:val="24"/>
                <w:highlight w:val="none"/>
              </w:rPr>
              <w:t>预付款比例、支付方式、时间：</w:t>
            </w:r>
          </w:p>
          <w:p w14:paraId="591DA6AD">
            <w:pPr>
              <w:spacing w:line="360" w:lineRule="auto"/>
              <w:ind w:firstLine="480" w:firstLineChars="200"/>
              <w:rPr>
                <w:rFonts w:hint="eastAsia" w:ascii="宋体" w:hAnsi="宋体" w:cs="宋体"/>
                <w:color w:val="auto"/>
                <w:sz w:val="24"/>
                <w:highlight w:val="none"/>
              </w:rPr>
            </w:pPr>
            <w:r>
              <w:rPr>
                <w:rFonts w:hint="eastAsia" w:ascii="宋体" w:hAnsi="宋体" w:cs="宋体"/>
                <w:color w:val="auto"/>
                <w:kern w:val="0"/>
                <w:sz w:val="24"/>
                <w:highlight w:val="none"/>
              </w:rPr>
              <w:t>合同签订且财政资金到位后5个工作日内，甲方凭乙方开具的正规发票向乙方支付合同金额的</w:t>
            </w:r>
            <w:r>
              <w:rPr>
                <w:rFonts w:hint="eastAsia" w:ascii="宋体" w:hAnsi="宋体" w:cs="宋体"/>
                <w:color w:val="auto"/>
                <w:kern w:val="0"/>
                <w:sz w:val="24"/>
                <w:highlight w:val="none"/>
                <w:u w:val="single"/>
              </w:rPr>
              <w:t xml:space="preserve"> </w:t>
            </w:r>
            <w:r>
              <w:rPr>
                <w:rFonts w:ascii="宋体" w:hAnsi="宋体" w:cs="宋体"/>
                <w:color w:val="auto"/>
                <w:kern w:val="0"/>
                <w:sz w:val="24"/>
                <w:highlight w:val="none"/>
                <w:u w:val="single"/>
              </w:rPr>
              <w:t>5</w:t>
            </w:r>
            <w:r>
              <w:rPr>
                <w:rFonts w:hint="eastAsia" w:ascii="宋体" w:hAnsi="宋体" w:cs="宋体"/>
                <w:color w:val="auto"/>
                <w:kern w:val="0"/>
                <w:sz w:val="24"/>
                <w:highlight w:val="none"/>
                <w:u w:val="single"/>
              </w:rPr>
              <w:t xml:space="preserve">0 </w:t>
            </w:r>
            <w:r>
              <w:rPr>
                <w:rFonts w:hint="eastAsia" w:ascii="宋体" w:hAnsi="宋体" w:cs="宋体"/>
                <w:color w:val="auto"/>
                <w:kern w:val="0"/>
                <w:sz w:val="24"/>
                <w:highlight w:val="none"/>
              </w:rPr>
              <w:t>%作为预付款。</w:t>
            </w:r>
          </w:p>
        </w:tc>
      </w:tr>
      <w:tr w14:paraId="70F748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80" w:type="dxa"/>
            <w:tcBorders>
              <w:left w:val="single" w:color="auto" w:sz="4" w:space="0"/>
            </w:tcBorders>
            <w:vAlign w:val="center"/>
          </w:tcPr>
          <w:p w14:paraId="6FC1323F">
            <w:pPr>
              <w:spacing w:line="360" w:lineRule="auto"/>
              <w:rPr>
                <w:rFonts w:hint="eastAsia" w:ascii="宋体" w:hAnsi="宋体" w:cs="宋体"/>
                <w:color w:val="auto"/>
                <w:sz w:val="24"/>
                <w:highlight w:val="none"/>
              </w:rPr>
            </w:pPr>
            <w:r>
              <w:rPr>
                <w:rFonts w:hint="eastAsia" w:ascii="宋体" w:hAnsi="宋体" w:cs="宋体"/>
                <w:color w:val="auto"/>
                <w:sz w:val="24"/>
                <w:highlight w:val="none"/>
              </w:rPr>
              <w:t>1.5.2</w:t>
            </w:r>
          </w:p>
        </w:tc>
        <w:tc>
          <w:tcPr>
            <w:tcW w:w="8011" w:type="dxa"/>
            <w:vAlign w:val="center"/>
          </w:tcPr>
          <w:p w14:paraId="61B17C38">
            <w:pPr>
              <w:spacing w:line="360" w:lineRule="auto"/>
              <w:rPr>
                <w:rFonts w:hint="eastAsia" w:ascii="宋体" w:hAnsi="宋体" w:cs="宋体"/>
                <w:color w:val="auto"/>
                <w:sz w:val="24"/>
                <w:highlight w:val="none"/>
              </w:rPr>
            </w:pPr>
            <w:r>
              <w:rPr>
                <w:rFonts w:hint="eastAsia" w:ascii="宋体" w:hAnsi="宋体" w:cs="宋体"/>
                <w:color w:val="auto"/>
                <w:sz w:val="24"/>
                <w:highlight w:val="none"/>
              </w:rPr>
              <w:t>预付款的扣回方式：无特殊规定。</w:t>
            </w:r>
          </w:p>
        </w:tc>
      </w:tr>
      <w:tr w14:paraId="4691A1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80" w:type="dxa"/>
            <w:tcBorders>
              <w:left w:val="single" w:color="auto" w:sz="4" w:space="0"/>
            </w:tcBorders>
            <w:vAlign w:val="center"/>
          </w:tcPr>
          <w:p w14:paraId="59A0C1D9">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1.5.3 </w:t>
            </w:r>
          </w:p>
        </w:tc>
        <w:tc>
          <w:tcPr>
            <w:tcW w:w="8011" w:type="dxa"/>
            <w:vAlign w:val="center"/>
          </w:tcPr>
          <w:p w14:paraId="0739918E">
            <w:pPr>
              <w:spacing w:line="360" w:lineRule="auto"/>
              <w:rPr>
                <w:rFonts w:hint="eastAsia" w:ascii="宋体" w:hAnsi="宋体" w:cs="宋体"/>
                <w:color w:val="auto"/>
                <w:sz w:val="24"/>
                <w:highlight w:val="none"/>
              </w:rPr>
            </w:pPr>
            <w:r>
              <w:rPr>
                <w:rFonts w:hint="eastAsia" w:ascii="宋体" w:hAnsi="宋体" w:cs="宋体"/>
                <w:color w:val="auto"/>
                <w:sz w:val="24"/>
                <w:highlight w:val="none"/>
              </w:rPr>
              <w:t>预付款的担保措施：如有必要，乙方可登录政采云前台大厅选择金融服务 - 【保函保险服务】出具预付款保函，具体步骤：选择产品—填写供应商信息—选择中标项目—确认信息—等待保险/保函受理—确认保单—支付保费—成功出单。政采云金融专线95763。</w:t>
            </w:r>
          </w:p>
        </w:tc>
      </w:tr>
      <w:tr w14:paraId="48F309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80" w:type="dxa"/>
            <w:tcBorders>
              <w:left w:val="single" w:color="auto" w:sz="4" w:space="0"/>
            </w:tcBorders>
            <w:vAlign w:val="center"/>
          </w:tcPr>
          <w:p w14:paraId="5BE96AFE">
            <w:pPr>
              <w:spacing w:line="360" w:lineRule="auto"/>
              <w:rPr>
                <w:rFonts w:hint="eastAsia" w:ascii="宋体" w:hAnsi="宋体" w:cs="宋体"/>
                <w:color w:val="auto"/>
                <w:sz w:val="24"/>
                <w:highlight w:val="none"/>
              </w:rPr>
            </w:pPr>
            <w:r>
              <w:rPr>
                <w:rFonts w:hint="eastAsia" w:ascii="宋体" w:hAnsi="宋体" w:cs="宋体"/>
                <w:color w:val="auto"/>
                <w:sz w:val="24"/>
                <w:highlight w:val="none"/>
              </w:rPr>
              <w:t>1.6.2</w:t>
            </w:r>
          </w:p>
        </w:tc>
        <w:tc>
          <w:tcPr>
            <w:tcW w:w="8011" w:type="dxa"/>
            <w:vAlign w:val="center"/>
          </w:tcPr>
          <w:p w14:paraId="24BA812B">
            <w:pPr>
              <w:spacing w:line="360" w:lineRule="auto"/>
              <w:rPr>
                <w:rFonts w:hint="eastAsia" w:ascii="宋体" w:hAnsi="宋体" w:cs="宋体"/>
                <w:color w:val="auto"/>
                <w:sz w:val="24"/>
                <w:highlight w:val="none"/>
              </w:rPr>
            </w:pPr>
            <w:r>
              <w:rPr>
                <w:rFonts w:hint="eastAsia" w:ascii="宋体" w:hAnsi="宋体" w:cs="宋体"/>
                <w:color w:val="auto"/>
                <w:sz w:val="24"/>
                <w:highlight w:val="none"/>
              </w:rPr>
              <w:t>资金支付的方式、时间和条件：</w:t>
            </w:r>
          </w:p>
          <w:p w14:paraId="21FA21DE">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1.合同签订并具备实施条件后5个工作日内，甲方凭乙方开具的正规发票向乙方支付合同金额的</w:t>
            </w:r>
            <w:r>
              <w:rPr>
                <w:rFonts w:hint="eastAsia" w:ascii="宋体" w:hAnsi="宋体" w:cs="宋体"/>
                <w:color w:val="auto"/>
                <w:kern w:val="0"/>
                <w:sz w:val="24"/>
                <w:highlight w:val="none"/>
                <w:u w:val="single"/>
              </w:rPr>
              <w:t xml:space="preserve">  50  </w:t>
            </w:r>
            <w:r>
              <w:rPr>
                <w:rFonts w:hint="eastAsia" w:ascii="宋体" w:hAnsi="宋体" w:cs="宋体"/>
                <w:color w:val="auto"/>
                <w:kern w:val="0"/>
                <w:sz w:val="24"/>
                <w:highlight w:val="none"/>
              </w:rPr>
              <w:t>%作为预付款；</w:t>
            </w:r>
          </w:p>
          <w:p w14:paraId="13F213EC">
            <w:pPr>
              <w:spacing w:line="360" w:lineRule="auto"/>
              <w:ind w:firstLine="480" w:firstLineChars="200"/>
              <w:rPr>
                <w:rFonts w:hint="eastAsia" w:ascii="宋体" w:hAnsi="宋体" w:cs="宋体"/>
                <w:color w:val="auto"/>
                <w:sz w:val="24"/>
                <w:highlight w:val="none"/>
              </w:rPr>
            </w:pPr>
            <w:r>
              <w:rPr>
                <w:rFonts w:hint="eastAsia" w:ascii="宋体" w:hAnsi="宋体" w:cs="宋体"/>
                <w:color w:val="auto"/>
                <w:kern w:val="0"/>
                <w:sz w:val="24"/>
                <w:highlight w:val="none"/>
              </w:rPr>
              <w:t>2.项目考核合格</w:t>
            </w:r>
            <w:r>
              <w:rPr>
                <w:rFonts w:hint="eastAsia" w:ascii="宋体" w:hAnsi="宋体" w:cs="宋体"/>
                <w:color w:val="auto"/>
                <w:kern w:val="0"/>
                <w:sz w:val="24"/>
                <w:highlight w:val="none"/>
                <w:lang w:val="en-US" w:eastAsia="zh-CN"/>
              </w:rPr>
              <w:t>后</w:t>
            </w:r>
            <w:r>
              <w:rPr>
                <w:rFonts w:hint="eastAsia" w:ascii="宋体" w:hAnsi="宋体" w:cs="宋体"/>
                <w:color w:val="auto"/>
                <w:kern w:val="0"/>
                <w:sz w:val="24"/>
                <w:highlight w:val="none"/>
              </w:rPr>
              <w:t>（凭正规发票）向乙方支付合同金额的剩余</w:t>
            </w:r>
            <w:r>
              <w:rPr>
                <w:rFonts w:hint="eastAsia" w:ascii="宋体" w:hAnsi="宋体" w:cs="宋体"/>
                <w:color w:val="auto"/>
                <w:kern w:val="0"/>
                <w:sz w:val="24"/>
                <w:highlight w:val="none"/>
                <w:u w:val="single"/>
              </w:rPr>
              <w:t xml:space="preserve">  50  </w:t>
            </w:r>
            <w:r>
              <w:rPr>
                <w:rFonts w:hint="eastAsia" w:ascii="宋体" w:hAnsi="宋体" w:cs="宋体"/>
                <w:color w:val="auto"/>
                <w:kern w:val="0"/>
                <w:sz w:val="24"/>
                <w:highlight w:val="none"/>
              </w:rPr>
              <w:t>%。</w:t>
            </w:r>
          </w:p>
        </w:tc>
      </w:tr>
      <w:tr w14:paraId="1AB712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80" w:type="dxa"/>
            <w:tcBorders>
              <w:left w:val="single" w:color="auto" w:sz="4" w:space="0"/>
            </w:tcBorders>
            <w:vAlign w:val="center"/>
          </w:tcPr>
          <w:p w14:paraId="2EB2A410">
            <w:pPr>
              <w:spacing w:line="360" w:lineRule="auto"/>
              <w:rPr>
                <w:rFonts w:hint="eastAsia" w:ascii="宋体" w:hAnsi="宋体" w:cs="宋体"/>
                <w:color w:val="auto"/>
                <w:sz w:val="24"/>
                <w:highlight w:val="none"/>
              </w:rPr>
            </w:pPr>
            <w:r>
              <w:rPr>
                <w:rFonts w:hint="eastAsia" w:ascii="宋体" w:hAnsi="宋体" w:cs="宋体"/>
                <w:color w:val="auto"/>
                <w:sz w:val="24"/>
                <w:highlight w:val="none"/>
              </w:rPr>
              <w:t>1.7.1</w:t>
            </w:r>
          </w:p>
        </w:tc>
        <w:tc>
          <w:tcPr>
            <w:tcW w:w="8011" w:type="dxa"/>
            <w:vAlign w:val="center"/>
          </w:tcPr>
          <w:p w14:paraId="164CC891">
            <w:pPr>
              <w:spacing w:line="360" w:lineRule="auto"/>
              <w:rPr>
                <w:rFonts w:hint="eastAsia" w:ascii="宋体" w:hAnsi="宋体" w:cs="宋体"/>
                <w:color w:val="auto"/>
                <w:sz w:val="24"/>
                <w:highlight w:val="none"/>
              </w:rPr>
            </w:pPr>
            <w:r>
              <w:rPr>
                <w:rFonts w:hint="eastAsia" w:ascii="宋体" w:hAnsi="宋体" w:cs="宋体"/>
                <w:color w:val="auto"/>
                <w:sz w:val="24"/>
                <w:highlight w:val="none"/>
              </w:rPr>
              <w:t>服务交付（实施）的时间（期限）：合同签订之日起后五个月。</w:t>
            </w:r>
          </w:p>
        </w:tc>
      </w:tr>
      <w:tr w14:paraId="5998C8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80" w:type="dxa"/>
            <w:tcBorders>
              <w:left w:val="single" w:color="auto" w:sz="4" w:space="0"/>
            </w:tcBorders>
            <w:vAlign w:val="center"/>
          </w:tcPr>
          <w:p w14:paraId="7C4CCE2C">
            <w:pPr>
              <w:spacing w:line="360" w:lineRule="auto"/>
              <w:rPr>
                <w:rFonts w:hint="eastAsia" w:ascii="宋体" w:hAnsi="宋体" w:cs="宋体"/>
                <w:color w:val="auto"/>
                <w:sz w:val="24"/>
                <w:highlight w:val="none"/>
              </w:rPr>
            </w:pPr>
            <w:r>
              <w:rPr>
                <w:rFonts w:hint="eastAsia" w:ascii="宋体" w:hAnsi="宋体" w:cs="宋体"/>
                <w:color w:val="auto"/>
                <w:sz w:val="24"/>
                <w:highlight w:val="none"/>
              </w:rPr>
              <w:t>1.7.2</w:t>
            </w:r>
          </w:p>
        </w:tc>
        <w:tc>
          <w:tcPr>
            <w:tcW w:w="8011" w:type="dxa"/>
            <w:vAlign w:val="center"/>
          </w:tcPr>
          <w:p w14:paraId="298E77DB">
            <w:pPr>
              <w:spacing w:line="360" w:lineRule="auto"/>
              <w:rPr>
                <w:rFonts w:hint="eastAsia" w:ascii="宋体" w:hAnsi="宋体" w:cs="宋体"/>
                <w:color w:val="auto"/>
                <w:sz w:val="24"/>
                <w:highlight w:val="none"/>
              </w:rPr>
            </w:pPr>
            <w:r>
              <w:rPr>
                <w:rFonts w:hint="eastAsia" w:ascii="宋体" w:hAnsi="宋体"/>
                <w:color w:val="auto"/>
                <w:sz w:val="24"/>
                <w:highlight w:val="none"/>
              </w:rPr>
              <w:t>服</w:t>
            </w:r>
            <w:r>
              <w:rPr>
                <w:rFonts w:hint="eastAsia" w:ascii="宋体" w:hAnsi="宋体" w:cs="宋体"/>
                <w:color w:val="auto"/>
                <w:sz w:val="24"/>
                <w:highlight w:val="none"/>
              </w:rPr>
              <w:t>务交付（实施）的地点（地域范围）：杭州市。</w:t>
            </w:r>
          </w:p>
        </w:tc>
      </w:tr>
      <w:tr w14:paraId="10FE1A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80" w:type="dxa"/>
            <w:tcBorders>
              <w:left w:val="single" w:color="auto" w:sz="4" w:space="0"/>
            </w:tcBorders>
            <w:vAlign w:val="center"/>
          </w:tcPr>
          <w:p w14:paraId="554DDC75">
            <w:pPr>
              <w:spacing w:line="360" w:lineRule="auto"/>
              <w:rPr>
                <w:rFonts w:hint="eastAsia" w:ascii="宋体" w:hAnsi="宋体" w:cs="宋体"/>
                <w:color w:val="auto"/>
                <w:sz w:val="24"/>
                <w:highlight w:val="none"/>
              </w:rPr>
            </w:pPr>
            <w:r>
              <w:rPr>
                <w:rFonts w:hint="eastAsia" w:ascii="宋体" w:hAnsi="宋体" w:cs="宋体"/>
                <w:color w:val="auto"/>
                <w:sz w:val="24"/>
                <w:highlight w:val="none"/>
              </w:rPr>
              <w:t>1.7.3</w:t>
            </w:r>
          </w:p>
        </w:tc>
        <w:tc>
          <w:tcPr>
            <w:tcW w:w="8011" w:type="dxa"/>
            <w:vAlign w:val="center"/>
          </w:tcPr>
          <w:p w14:paraId="270F4CB2">
            <w:pPr>
              <w:spacing w:line="360" w:lineRule="auto"/>
              <w:rPr>
                <w:rFonts w:hint="eastAsia" w:ascii="宋体" w:hAnsi="宋体" w:cs="宋体"/>
                <w:color w:val="auto"/>
                <w:sz w:val="24"/>
                <w:highlight w:val="none"/>
              </w:rPr>
            </w:pPr>
            <w:r>
              <w:rPr>
                <w:rFonts w:hint="eastAsia" w:ascii="宋体" w:hAnsi="宋体"/>
                <w:color w:val="auto"/>
                <w:sz w:val="24"/>
                <w:highlight w:val="none"/>
              </w:rPr>
              <w:t>服务交付（实施）的方式：</w:t>
            </w:r>
            <w:r>
              <w:rPr>
                <w:rFonts w:hint="eastAsia" w:ascii="宋体" w:hAnsi="宋体" w:cs="宋体"/>
                <w:color w:val="auto"/>
                <w:sz w:val="24"/>
                <w:highlight w:val="none"/>
              </w:rPr>
              <w:t>完成项目验收且经甲方确认验收合格后为正式交付。</w:t>
            </w:r>
          </w:p>
        </w:tc>
      </w:tr>
      <w:tr w14:paraId="51862A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80" w:type="dxa"/>
            <w:tcBorders>
              <w:left w:val="single" w:color="auto" w:sz="4" w:space="0"/>
            </w:tcBorders>
            <w:vAlign w:val="center"/>
          </w:tcPr>
          <w:p w14:paraId="7F4AEE5F">
            <w:pPr>
              <w:spacing w:line="360" w:lineRule="auto"/>
              <w:rPr>
                <w:rFonts w:hint="eastAsia" w:ascii="宋体" w:hAnsi="宋体" w:cs="宋体"/>
                <w:color w:val="auto"/>
                <w:sz w:val="24"/>
                <w:highlight w:val="none"/>
              </w:rPr>
            </w:pPr>
            <w:r>
              <w:rPr>
                <w:rFonts w:hint="eastAsia" w:ascii="宋体" w:hAnsi="宋体" w:cs="宋体"/>
                <w:color w:val="auto"/>
                <w:sz w:val="24"/>
                <w:highlight w:val="none"/>
              </w:rPr>
              <w:t>1.7.4.1</w:t>
            </w:r>
          </w:p>
        </w:tc>
        <w:tc>
          <w:tcPr>
            <w:tcW w:w="8011" w:type="dxa"/>
            <w:vAlign w:val="center"/>
          </w:tcPr>
          <w:p w14:paraId="78A79EDB">
            <w:pPr>
              <w:spacing w:line="360" w:lineRule="auto"/>
              <w:rPr>
                <w:rFonts w:hint="eastAsia" w:ascii="宋体" w:hAnsi="宋体" w:cs="宋体"/>
                <w:color w:val="auto"/>
                <w:sz w:val="24"/>
                <w:highlight w:val="none"/>
              </w:rPr>
            </w:pPr>
            <w:r>
              <w:rPr>
                <w:rFonts w:hint="eastAsia" w:ascii="宋体" w:hAnsi="宋体" w:cs="宋体"/>
                <w:color w:val="auto"/>
                <w:sz w:val="24"/>
                <w:highlight w:val="none"/>
              </w:rPr>
              <w:t>不涉及</w:t>
            </w:r>
          </w:p>
        </w:tc>
      </w:tr>
      <w:tr w14:paraId="0CE4F0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80" w:type="dxa"/>
            <w:tcBorders>
              <w:left w:val="single" w:color="auto" w:sz="4" w:space="0"/>
            </w:tcBorders>
            <w:vAlign w:val="center"/>
          </w:tcPr>
          <w:p w14:paraId="231C1C5A">
            <w:pPr>
              <w:spacing w:line="360" w:lineRule="auto"/>
              <w:rPr>
                <w:rFonts w:hint="eastAsia" w:ascii="宋体" w:hAnsi="宋体" w:cs="宋体"/>
                <w:color w:val="auto"/>
                <w:sz w:val="24"/>
                <w:highlight w:val="none"/>
              </w:rPr>
            </w:pPr>
            <w:r>
              <w:rPr>
                <w:rFonts w:hint="eastAsia" w:ascii="宋体" w:hAnsi="宋体" w:cs="宋体"/>
                <w:color w:val="auto"/>
                <w:sz w:val="24"/>
                <w:highlight w:val="none"/>
              </w:rPr>
              <w:t>1.7.4.2</w:t>
            </w:r>
          </w:p>
        </w:tc>
        <w:tc>
          <w:tcPr>
            <w:tcW w:w="8011" w:type="dxa"/>
            <w:vAlign w:val="center"/>
          </w:tcPr>
          <w:p w14:paraId="08785F19">
            <w:pPr>
              <w:spacing w:line="360" w:lineRule="auto"/>
              <w:rPr>
                <w:rFonts w:hint="eastAsia" w:ascii="宋体" w:hAnsi="宋体" w:cs="宋体"/>
                <w:color w:val="auto"/>
                <w:sz w:val="24"/>
                <w:highlight w:val="none"/>
              </w:rPr>
            </w:pPr>
            <w:r>
              <w:rPr>
                <w:rFonts w:hint="eastAsia" w:ascii="宋体" w:hAnsi="宋体" w:cs="宋体"/>
                <w:color w:val="auto"/>
                <w:sz w:val="24"/>
                <w:highlight w:val="none"/>
              </w:rPr>
              <w:t>不涉及</w:t>
            </w:r>
          </w:p>
        </w:tc>
      </w:tr>
      <w:tr w14:paraId="35AE12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80" w:type="dxa"/>
            <w:tcBorders>
              <w:left w:val="single" w:color="auto" w:sz="4" w:space="0"/>
            </w:tcBorders>
            <w:vAlign w:val="center"/>
          </w:tcPr>
          <w:p w14:paraId="45EF8928">
            <w:pPr>
              <w:spacing w:line="360" w:lineRule="auto"/>
              <w:rPr>
                <w:rFonts w:hint="eastAsia" w:ascii="宋体" w:hAnsi="宋体" w:cs="宋体"/>
                <w:color w:val="auto"/>
                <w:sz w:val="24"/>
                <w:highlight w:val="none"/>
              </w:rPr>
            </w:pPr>
            <w:r>
              <w:rPr>
                <w:rFonts w:hint="eastAsia" w:ascii="宋体" w:hAnsi="宋体" w:cs="宋体"/>
                <w:color w:val="auto"/>
                <w:sz w:val="24"/>
                <w:highlight w:val="none"/>
              </w:rPr>
              <w:t>1.7.4.3</w:t>
            </w:r>
          </w:p>
        </w:tc>
        <w:tc>
          <w:tcPr>
            <w:tcW w:w="8011" w:type="dxa"/>
            <w:vAlign w:val="center"/>
          </w:tcPr>
          <w:p w14:paraId="116DA05F">
            <w:pPr>
              <w:spacing w:line="360" w:lineRule="auto"/>
              <w:rPr>
                <w:rFonts w:hint="eastAsia" w:ascii="宋体" w:hAnsi="宋体" w:cs="宋体"/>
                <w:color w:val="auto"/>
                <w:sz w:val="24"/>
                <w:highlight w:val="none"/>
              </w:rPr>
            </w:pPr>
            <w:r>
              <w:rPr>
                <w:rFonts w:hint="eastAsia" w:ascii="宋体" w:hAnsi="宋体" w:cs="宋体"/>
                <w:color w:val="auto"/>
                <w:sz w:val="24"/>
                <w:highlight w:val="none"/>
              </w:rPr>
              <w:t>不涉及</w:t>
            </w:r>
          </w:p>
        </w:tc>
      </w:tr>
      <w:tr w14:paraId="50CE2E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80" w:type="dxa"/>
            <w:tcBorders>
              <w:left w:val="single" w:color="auto" w:sz="4" w:space="0"/>
            </w:tcBorders>
            <w:vAlign w:val="center"/>
          </w:tcPr>
          <w:p w14:paraId="71F5CB16">
            <w:pPr>
              <w:spacing w:line="360" w:lineRule="auto"/>
              <w:rPr>
                <w:rFonts w:hint="eastAsia" w:ascii="宋体" w:hAnsi="宋体" w:cs="宋体"/>
                <w:color w:val="auto"/>
                <w:sz w:val="24"/>
                <w:highlight w:val="none"/>
              </w:rPr>
            </w:pPr>
            <w:r>
              <w:rPr>
                <w:rFonts w:hint="eastAsia" w:ascii="宋体" w:hAnsi="宋体" w:cs="宋体"/>
                <w:color w:val="auto"/>
                <w:sz w:val="24"/>
                <w:highlight w:val="none"/>
              </w:rPr>
              <w:t>1.8.7</w:t>
            </w:r>
          </w:p>
        </w:tc>
        <w:tc>
          <w:tcPr>
            <w:tcW w:w="8011" w:type="dxa"/>
            <w:vAlign w:val="center"/>
          </w:tcPr>
          <w:p w14:paraId="7D7D0E90">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考核要求：</w:t>
            </w:r>
          </w:p>
          <w:p w14:paraId="41A4A904">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服务期间，甲方对项目完成内容进行考核，包括提供的报告数量、报告涵盖的内容及质量，对不达要求的，扣减相应的服务费，并有权终止合同。</w:t>
            </w:r>
          </w:p>
          <w:p w14:paraId="64F4DE49">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服务费核算：</w:t>
            </w:r>
          </w:p>
          <w:p w14:paraId="21007C93">
            <w:pPr>
              <w:spacing w:line="360" w:lineRule="auto"/>
              <w:ind w:firstLine="480" w:firstLineChars="200"/>
              <w:jc w:val="left"/>
              <w:rPr>
                <w:rFonts w:hint="eastAsia" w:ascii="宋体" w:hAnsi="宋体" w:cs="宋体"/>
                <w:bCs/>
                <w:color w:val="auto"/>
                <w:sz w:val="24"/>
                <w:highlight w:val="none"/>
              </w:rPr>
            </w:pPr>
            <w:r>
              <w:rPr>
                <w:rFonts w:hint="eastAsia" w:ascii="宋体" w:hAnsi="宋体" w:cs="宋体"/>
                <w:bCs/>
                <w:color w:val="auto"/>
                <w:sz w:val="24"/>
                <w:highlight w:val="none"/>
              </w:rPr>
              <w:t>（1）考核结果在 80分（含）以上的，支付</w:t>
            </w:r>
            <w:r>
              <w:rPr>
                <w:rFonts w:ascii="宋体" w:hAnsi="宋体" w:cs="宋体"/>
                <w:bCs/>
                <w:color w:val="auto"/>
                <w:sz w:val="24"/>
                <w:highlight w:val="none"/>
              </w:rPr>
              <w:t>考核时间段</w:t>
            </w:r>
            <w:r>
              <w:rPr>
                <w:rFonts w:hint="eastAsia" w:ascii="宋体" w:hAnsi="宋体" w:cs="宋体"/>
                <w:bCs/>
                <w:color w:val="auto"/>
                <w:sz w:val="24"/>
                <w:highlight w:val="none"/>
              </w:rPr>
              <w:t>运维费；</w:t>
            </w:r>
          </w:p>
          <w:p w14:paraId="2AB7D604">
            <w:pPr>
              <w:spacing w:line="360" w:lineRule="auto"/>
              <w:ind w:firstLine="480" w:firstLineChars="200"/>
              <w:jc w:val="left"/>
              <w:rPr>
                <w:rFonts w:hint="eastAsia" w:ascii="宋体" w:hAnsi="宋体" w:cs="宋体"/>
                <w:bCs/>
                <w:color w:val="auto"/>
                <w:sz w:val="24"/>
                <w:highlight w:val="none"/>
              </w:rPr>
            </w:pPr>
            <w:r>
              <w:rPr>
                <w:rFonts w:hint="eastAsia" w:ascii="宋体" w:hAnsi="宋体" w:cs="宋体"/>
                <w:bCs/>
                <w:color w:val="auto"/>
                <w:sz w:val="24"/>
                <w:highlight w:val="none"/>
              </w:rPr>
              <w:t>（2）考核结果在70分（含）以上，80分以下，为初级警告，扣除</w:t>
            </w:r>
            <w:r>
              <w:rPr>
                <w:rFonts w:ascii="宋体" w:hAnsi="宋体" w:cs="宋体"/>
                <w:bCs/>
                <w:color w:val="auto"/>
                <w:sz w:val="24"/>
                <w:highlight w:val="none"/>
              </w:rPr>
              <w:t>考核时间段</w:t>
            </w:r>
            <w:r>
              <w:rPr>
                <w:rFonts w:hint="eastAsia" w:ascii="宋体" w:hAnsi="宋体" w:cs="宋体"/>
                <w:bCs/>
                <w:color w:val="auto"/>
                <w:sz w:val="24"/>
                <w:highlight w:val="none"/>
              </w:rPr>
              <w:t>运维费的</w:t>
            </w:r>
            <w:r>
              <w:rPr>
                <w:rFonts w:ascii="宋体" w:hAnsi="宋体" w:cs="宋体"/>
                <w:bCs/>
                <w:color w:val="auto"/>
                <w:sz w:val="24"/>
                <w:highlight w:val="none"/>
              </w:rPr>
              <w:t>5</w:t>
            </w:r>
            <w:r>
              <w:rPr>
                <w:rFonts w:hint="eastAsia" w:ascii="宋体" w:hAnsi="宋体" w:cs="宋体"/>
                <w:bCs/>
                <w:color w:val="auto"/>
                <w:sz w:val="24"/>
                <w:highlight w:val="none"/>
              </w:rPr>
              <w:t>%，并责令整改；</w:t>
            </w:r>
          </w:p>
          <w:p w14:paraId="699A1D49">
            <w:pPr>
              <w:spacing w:line="360" w:lineRule="auto"/>
              <w:ind w:firstLine="480" w:firstLineChars="200"/>
              <w:jc w:val="left"/>
              <w:rPr>
                <w:rFonts w:hint="eastAsia" w:ascii="宋体" w:hAnsi="宋体" w:cs="宋体"/>
                <w:bCs/>
                <w:color w:val="auto"/>
                <w:sz w:val="24"/>
                <w:highlight w:val="none"/>
              </w:rPr>
            </w:pPr>
            <w:r>
              <w:rPr>
                <w:rFonts w:hint="eastAsia" w:ascii="宋体" w:hAnsi="宋体" w:cs="宋体"/>
                <w:bCs/>
                <w:color w:val="auto"/>
                <w:sz w:val="24"/>
                <w:highlight w:val="none"/>
              </w:rPr>
              <w:t>（</w:t>
            </w:r>
            <w:r>
              <w:rPr>
                <w:rFonts w:ascii="宋体" w:hAnsi="宋体" w:cs="宋体"/>
                <w:bCs/>
                <w:color w:val="auto"/>
                <w:sz w:val="24"/>
                <w:highlight w:val="none"/>
              </w:rPr>
              <w:t>3</w:t>
            </w:r>
            <w:r>
              <w:rPr>
                <w:rFonts w:hint="eastAsia" w:ascii="宋体" w:hAnsi="宋体" w:cs="宋体"/>
                <w:bCs/>
                <w:color w:val="auto"/>
                <w:sz w:val="24"/>
                <w:highlight w:val="none"/>
              </w:rPr>
              <w:t>）考核结果在60分（含）以上，70分以下，为二级警告，扣除</w:t>
            </w:r>
            <w:r>
              <w:rPr>
                <w:rFonts w:ascii="宋体" w:hAnsi="宋体" w:cs="宋体"/>
                <w:bCs/>
                <w:color w:val="auto"/>
                <w:sz w:val="24"/>
                <w:highlight w:val="none"/>
              </w:rPr>
              <w:t>考核时间段</w:t>
            </w:r>
            <w:r>
              <w:rPr>
                <w:rFonts w:hint="eastAsia" w:ascii="宋体" w:hAnsi="宋体" w:cs="宋体"/>
                <w:bCs/>
                <w:color w:val="auto"/>
                <w:sz w:val="24"/>
                <w:highlight w:val="none"/>
              </w:rPr>
              <w:t>运维费的</w:t>
            </w:r>
            <w:r>
              <w:rPr>
                <w:rFonts w:ascii="宋体" w:hAnsi="宋体" w:cs="宋体"/>
                <w:bCs/>
                <w:color w:val="auto"/>
                <w:sz w:val="24"/>
                <w:highlight w:val="none"/>
              </w:rPr>
              <w:t>15</w:t>
            </w:r>
            <w:r>
              <w:rPr>
                <w:rFonts w:hint="eastAsia" w:ascii="宋体" w:hAnsi="宋体" w:cs="宋体"/>
                <w:bCs/>
                <w:color w:val="auto"/>
                <w:sz w:val="24"/>
                <w:highlight w:val="none"/>
              </w:rPr>
              <w:t>%，并责令整改；</w:t>
            </w:r>
          </w:p>
          <w:p w14:paraId="58625E72">
            <w:pPr>
              <w:spacing w:line="360" w:lineRule="auto"/>
              <w:ind w:firstLine="480" w:firstLineChars="200"/>
              <w:jc w:val="left"/>
              <w:rPr>
                <w:rFonts w:hint="eastAsia" w:ascii="宋体" w:hAnsi="宋体" w:cs="宋体"/>
                <w:color w:val="auto"/>
                <w:sz w:val="24"/>
                <w:highlight w:val="none"/>
              </w:rPr>
            </w:pPr>
            <w:r>
              <w:rPr>
                <w:rFonts w:hint="eastAsia" w:ascii="宋体" w:hAnsi="宋体" w:cs="宋体"/>
                <w:bCs/>
                <w:color w:val="auto"/>
                <w:sz w:val="24"/>
                <w:highlight w:val="none"/>
              </w:rPr>
              <w:t>（</w:t>
            </w:r>
            <w:r>
              <w:rPr>
                <w:rFonts w:ascii="宋体" w:hAnsi="宋体" w:cs="宋体"/>
                <w:bCs/>
                <w:color w:val="auto"/>
                <w:sz w:val="24"/>
                <w:highlight w:val="none"/>
              </w:rPr>
              <w:t>4</w:t>
            </w:r>
            <w:r>
              <w:rPr>
                <w:rFonts w:hint="eastAsia" w:ascii="宋体" w:hAnsi="宋体" w:cs="宋体"/>
                <w:bCs/>
                <w:color w:val="auto"/>
                <w:sz w:val="24"/>
                <w:highlight w:val="none"/>
              </w:rPr>
              <w:t>）考核结果在60分以下，扣除</w:t>
            </w:r>
            <w:r>
              <w:rPr>
                <w:rFonts w:ascii="宋体" w:hAnsi="宋体" w:cs="宋体"/>
                <w:bCs/>
                <w:color w:val="auto"/>
                <w:sz w:val="24"/>
                <w:highlight w:val="none"/>
              </w:rPr>
              <w:t>考核时间段全部</w:t>
            </w:r>
            <w:r>
              <w:rPr>
                <w:rFonts w:hint="eastAsia" w:ascii="宋体" w:hAnsi="宋体" w:cs="宋体"/>
                <w:bCs/>
                <w:color w:val="auto"/>
                <w:sz w:val="24"/>
                <w:highlight w:val="none"/>
              </w:rPr>
              <w:t>运维费，并责令整改</w:t>
            </w:r>
            <w:r>
              <w:rPr>
                <w:rFonts w:ascii="宋体" w:hAnsi="宋体" w:cs="宋体"/>
                <w:bCs/>
                <w:color w:val="auto"/>
                <w:sz w:val="24"/>
                <w:highlight w:val="none"/>
              </w:rPr>
              <w:t>，</w:t>
            </w:r>
            <w:r>
              <w:rPr>
                <w:rFonts w:hint="eastAsia" w:ascii="宋体" w:hAnsi="宋体" w:cs="宋体"/>
                <w:bCs/>
                <w:color w:val="auto"/>
                <w:sz w:val="24"/>
                <w:highlight w:val="none"/>
              </w:rPr>
              <w:t>且采购人有权取消运维合同</w:t>
            </w:r>
            <w:r>
              <w:rPr>
                <w:rFonts w:ascii="宋体" w:hAnsi="宋体" w:cs="宋体"/>
                <w:bCs/>
                <w:color w:val="auto"/>
                <w:sz w:val="24"/>
                <w:highlight w:val="none"/>
              </w:rPr>
              <w:t>。</w:t>
            </w:r>
          </w:p>
        </w:tc>
      </w:tr>
      <w:tr w14:paraId="66A0E3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80" w:type="dxa"/>
            <w:tcBorders>
              <w:left w:val="single" w:color="auto" w:sz="4" w:space="0"/>
            </w:tcBorders>
            <w:vAlign w:val="center"/>
          </w:tcPr>
          <w:p w14:paraId="10EC23EE">
            <w:pPr>
              <w:spacing w:line="360" w:lineRule="auto"/>
              <w:rPr>
                <w:rFonts w:hint="eastAsia" w:ascii="宋体" w:hAnsi="宋体" w:cs="宋体"/>
                <w:color w:val="auto"/>
                <w:sz w:val="24"/>
                <w:highlight w:val="none"/>
              </w:rPr>
            </w:pPr>
            <w:r>
              <w:rPr>
                <w:rFonts w:hint="eastAsia" w:ascii="宋体" w:hAnsi="宋体" w:cs="宋体"/>
                <w:color w:val="auto"/>
                <w:sz w:val="24"/>
                <w:highlight w:val="none"/>
              </w:rPr>
              <w:t>1.9.1</w:t>
            </w:r>
          </w:p>
        </w:tc>
        <w:tc>
          <w:tcPr>
            <w:tcW w:w="8011" w:type="dxa"/>
            <w:vAlign w:val="center"/>
          </w:tcPr>
          <w:p w14:paraId="4E2B1A68">
            <w:pPr>
              <w:spacing w:line="360" w:lineRule="auto"/>
              <w:rPr>
                <w:rFonts w:hint="eastAsia" w:ascii="宋体" w:hAnsi="宋体" w:cs="宋体"/>
                <w:color w:val="auto"/>
                <w:sz w:val="24"/>
                <w:highlight w:val="none"/>
              </w:rPr>
            </w:pPr>
            <w:r>
              <w:rPr>
                <w:rFonts w:hint="eastAsia" w:ascii="宋体" w:hAnsi="宋体" w:cs="宋体"/>
                <w:color w:val="auto"/>
                <w:sz w:val="24"/>
                <w:highlight w:val="none"/>
              </w:rPr>
              <w:t>将争议提交</w:t>
            </w:r>
            <w:r>
              <w:rPr>
                <w:rFonts w:hint="eastAsia" w:ascii="宋体" w:hAnsi="宋体" w:cs="宋体"/>
                <w:color w:val="auto"/>
                <w:sz w:val="24"/>
                <w:highlight w:val="none"/>
                <w:u w:val="single"/>
              </w:rPr>
              <w:t>杭州市</w:t>
            </w:r>
            <w:r>
              <w:rPr>
                <w:rFonts w:hint="eastAsia" w:ascii="宋体" w:hAnsi="宋体" w:cs="宋体"/>
                <w:color w:val="auto"/>
                <w:sz w:val="24"/>
                <w:highlight w:val="none"/>
              </w:rPr>
              <w:t>仲裁委员会依申请仲裁时其现行有效的仲裁规则裁决。</w:t>
            </w:r>
          </w:p>
        </w:tc>
      </w:tr>
      <w:tr w14:paraId="40CA60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80" w:type="dxa"/>
            <w:tcBorders>
              <w:left w:val="single" w:color="auto" w:sz="4" w:space="0"/>
            </w:tcBorders>
            <w:vAlign w:val="center"/>
          </w:tcPr>
          <w:p w14:paraId="45415F54">
            <w:pPr>
              <w:spacing w:line="360" w:lineRule="auto"/>
              <w:rPr>
                <w:rFonts w:hint="eastAsia" w:ascii="宋体" w:hAnsi="宋体" w:cs="宋体"/>
                <w:color w:val="auto"/>
                <w:sz w:val="24"/>
                <w:highlight w:val="none"/>
              </w:rPr>
            </w:pPr>
            <w:r>
              <w:rPr>
                <w:rFonts w:hint="eastAsia" w:ascii="宋体" w:hAnsi="宋体" w:cs="宋体"/>
                <w:color w:val="auto"/>
                <w:sz w:val="24"/>
                <w:highlight w:val="none"/>
              </w:rPr>
              <w:t>1.9.2</w:t>
            </w:r>
          </w:p>
        </w:tc>
        <w:tc>
          <w:tcPr>
            <w:tcW w:w="8011" w:type="dxa"/>
            <w:vAlign w:val="center"/>
          </w:tcPr>
          <w:p w14:paraId="77F30316">
            <w:pPr>
              <w:spacing w:line="360" w:lineRule="auto"/>
              <w:rPr>
                <w:rFonts w:hint="eastAsia" w:ascii="宋体" w:hAnsi="宋体" w:cs="宋体"/>
                <w:color w:val="auto"/>
                <w:sz w:val="24"/>
                <w:highlight w:val="none"/>
              </w:rPr>
            </w:pPr>
            <w:r>
              <w:rPr>
                <w:rFonts w:hint="eastAsia" w:ascii="宋体" w:hAnsi="宋体" w:cs="宋体"/>
                <w:color w:val="auto"/>
                <w:sz w:val="24"/>
                <w:highlight w:val="none"/>
              </w:rPr>
              <w:t>不涉及</w:t>
            </w:r>
          </w:p>
        </w:tc>
      </w:tr>
      <w:tr w14:paraId="5E6744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80" w:type="dxa"/>
            <w:tcBorders>
              <w:left w:val="single" w:color="auto" w:sz="4" w:space="0"/>
            </w:tcBorders>
            <w:vAlign w:val="center"/>
          </w:tcPr>
          <w:p w14:paraId="2EE7AB5D">
            <w:pPr>
              <w:spacing w:line="360" w:lineRule="auto"/>
              <w:rPr>
                <w:rFonts w:hint="eastAsia" w:ascii="宋体" w:hAnsi="宋体" w:cs="宋体"/>
                <w:color w:val="auto"/>
                <w:sz w:val="24"/>
                <w:highlight w:val="none"/>
              </w:rPr>
            </w:pPr>
            <w:r>
              <w:rPr>
                <w:rFonts w:hint="eastAsia" w:ascii="宋体" w:hAnsi="宋体" w:cs="宋体"/>
                <w:color w:val="auto"/>
                <w:sz w:val="24"/>
                <w:highlight w:val="none"/>
              </w:rPr>
              <w:t>2.3.2</w:t>
            </w:r>
          </w:p>
        </w:tc>
        <w:tc>
          <w:tcPr>
            <w:tcW w:w="8011" w:type="dxa"/>
            <w:vAlign w:val="center"/>
          </w:tcPr>
          <w:p w14:paraId="08A5DEF6">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项目执行过程中所产生的数据资料和技术报告均为甲方所有，乙方未经同意不得擅自使用，由此产生的一切后果由乙方承担。乙方需和甲方签订相应的保密协议。乙方对在服务过程中接触到的甲方的任何资料、文件、数据以及对服务形成的任何交付物负有保密责任，未经甲方书面同意，乙方不得以任何形式进行利用，不得以任何方式向任何第三方提供或透露。乙方如违反上述保密规定，甲方有权终止合同，并要求乙方承担相应违约责任，并支付违约金，违约金最高限价为合同金额的20%。本保密义务不因本项目合同期满、解除或终止而终止，除非甲方书面通知乙方解密，否则，乙方在合同终止后仍然负有保密义务。</w:t>
            </w:r>
          </w:p>
        </w:tc>
      </w:tr>
      <w:tr w14:paraId="26B3EC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80" w:type="dxa"/>
            <w:tcBorders>
              <w:left w:val="single" w:color="auto" w:sz="4" w:space="0"/>
            </w:tcBorders>
            <w:vAlign w:val="center"/>
          </w:tcPr>
          <w:p w14:paraId="3ABAF69B">
            <w:pPr>
              <w:spacing w:line="360" w:lineRule="auto"/>
              <w:rPr>
                <w:rFonts w:hint="eastAsia"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5</w:t>
            </w:r>
          </w:p>
        </w:tc>
        <w:tc>
          <w:tcPr>
            <w:tcW w:w="8011" w:type="dxa"/>
            <w:vAlign w:val="center"/>
          </w:tcPr>
          <w:p w14:paraId="31935C92">
            <w:pPr>
              <w:spacing w:line="360" w:lineRule="auto"/>
              <w:rPr>
                <w:rFonts w:hint="eastAsia" w:ascii="宋体" w:hAnsi="宋体" w:cs="宋体"/>
                <w:color w:val="auto"/>
                <w:sz w:val="24"/>
                <w:highlight w:val="none"/>
              </w:rPr>
            </w:pPr>
            <w:r>
              <w:rPr>
                <w:rFonts w:hint="eastAsia" w:ascii="宋体" w:hAnsi="宋体" w:cs="宋体"/>
                <w:color w:val="auto"/>
                <w:sz w:val="24"/>
                <w:highlight w:val="none"/>
              </w:rPr>
              <w:t>结算方式和付款条件：</w:t>
            </w:r>
          </w:p>
          <w:p w14:paraId="7D5312B8">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1.合同签订并具备实施条件后5个工作日内，甲方凭乙方开具的正规发票向乙方支付合同金额的</w:t>
            </w:r>
            <w:r>
              <w:rPr>
                <w:rFonts w:hint="eastAsia" w:ascii="宋体" w:hAnsi="宋体" w:cs="宋体"/>
                <w:color w:val="auto"/>
                <w:kern w:val="0"/>
                <w:sz w:val="24"/>
                <w:highlight w:val="none"/>
                <w:u w:val="single"/>
              </w:rPr>
              <w:t xml:space="preserve">  50  </w:t>
            </w:r>
            <w:r>
              <w:rPr>
                <w:rFonts w:hint="eastAsia" w:ascii="宋体" w:hAnsi="宋体" w:cs="宋体"/>
                <w:color w:val="auto"/>
                <w:kern w:val="0"/>
                <w:sz w:val="24"/>
                <w:highlight w:val="none"/>
              </w:rPr>
              <w:t>%作为预付款；</w:t>
            </w:r>
          </w:p>
          <w:p w14:paraId="77021A3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kern w:val="0"/>
                <w:sz w:val="24"/>
                <w:highlight w:val="none"/>
              </w:rPr>
              <w:t>2.项目考核合格</w:t>
            </w:r>
            <w:r>
              <w:rPr>
                <w:rFonts w:hint="eastAsia" w:ascii="宋体" w:hAnsi="宋体" w:cs="宋体"/>
                <w:color w:val="auto"/>
                <w:kern w:val="0"/>
                <w:sz w:val="24"/>
                <w:highlight w:val="none"/>
                <w:lang w:val="en-US" w:eastAsia="zh-CN"/>
              </w:rPr>
              <w:t>后</w:t>
            </w:r>
            <w:r>
              <w:rPr>
                <w:rFonts w:hint="eastAsia" w:ascii="宋体" w:hAnsi="宋体" w:cs="宋体"/>
                <w:color w:val="auto"/>
                <w:kern w:val="0"/>
                <w:sz w:val="24"/>
                <w:highlight w:val="none"/>
              </w:rPr>
              <w:t>（凭正规发票）向乙方支付合同金额的剩余</w:t>
            </w:r>
            <w:r>
              <w:rPr>
                <w:rFonts w:hint="eastAsia" w:ascii="宋体" w:hAnsi="宋体" w:cs="宋体"/>
                <w:color w:val="auto"/>
                <w:kern w:val="0"/>
                <w:sz w:val="24"/>
                <w:highlight w:val="none"/>
                <w:u w:val="single"/>
              </w:rPr>
              <w:t xml:space="preserve">  50  </w:t>
            </w:r>
            <w:r>
              <w:rPr>
                <w:rFonts w:hint="eastAsia" w:ascii="宋体" w:hAnsi="宋体" w:cs="宋体"/>
                <w:color w:val="auto"/>
                <w:kern w:val="0"/>
                <w:sz w:val="24"/>
                <w:highlight w:val="none"/>
              </w:rPr>
              <w:t>%。</w:t>
            </w:r>
          </w:p>
        </w:tc>
      </w:tr>
      <w:tr w14:paraId="5FF09B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80" w:type="dxa"/>
            <w:tcBorders>
              <w:left w:val="single" w:color="auto" w:sz="4" w:space="0"/>
            </w:tcBorders>
            <w:vAlign w:val="center"/>
          </w:tcPr>
          <w:p w14:paraId="5F725F65">
            <w:pPr>
              <w:spacing w:line="360" w:lineRule="auto"/>
              <w:rPr>
                <w:rFonts w:hint="eastAsia"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w:t>
            </w:r>
            <w:r>
              <w:rPr>
                <w:rFonts w:hint="eastAsia" w:ascii="宋体" w:hAnsi="宋体" w:cs="宋体"/>
                <w:color w:val="auto"/>
                <w:sz w:val="24"/>
                <w:highlight w:val="none"/>
              </w:rPr>
              <w:t>.</w:t>
            </w:r>
            <w:r>
              <w:rPr>
                <w:rFonts w:ascii="宋体" w:hAnsi="宋体" w:cs="宋体"/>
                <w:color w:val="auto"/>
                <w:sz w:val="24"/>
                <w:highlight w:val="none"/>
              </w:rPr>
              <w:t>3</w:t>
            </w:r>
          </w:p>
        </w:tc>
        <w:tc>
          <w:tcPr>
            <w:tcW w:w="8011" w:type="dxa"/>
            <w:vAlign w:val="center"/>
          </w:tcPr>
          <w:p w14:paraId="41C28EE4">
            <w:pPr>
              <w:spacing w:line="360" w:lineRule="auto"/>
              <w:rPr>
                <w:rFonts w:hint="eastAsia" w:ascii="宋体" w:hAnsi="宋体" w:cs="宋体"/>
                <w:color w:val="auto"/>
                <w:sz w:val="24"/>
                <w:highlight w:val="none"/>
              </w:rPr>
            </w:pPr>
            <w:r>
              <w:rPr>
                <w:rFonts w:hint="eastAsia" w:ascii="宋体" w:hAnsi="宋体"/>
                <w:color w:val="auto"/>
                <w:sz w:val="24"/>
                <w:highlight w:val="none"/>
              </w:rPr>
              <w:t>因</w:t>
            </w:r>
            <w:r>
              <w:rPr>
                <w:rFonts w:ascii="宋体" w:hAnsi="宋体"/>
                <w:color w:val="auto"/>
                <w:sz w:val="24"/>
                <w:highlight w:val="none"/>
              </w:rPr>
              <w:t>不可抗力致使合同有变更必要的，双方当事人应在</w:t>
            </w:r>
            <w:r>
              <w:rPr>
                <w:rFonts w:hint="eastAsia" w:ascii="宋体" w:hAnsi="宋体"/>
                <w:b/>
                <w:i/>
                <w:color w:val="auto"/>
                <w:sz w:val="24"/>
                <w:highlight w:val="none"/>
                <w:u w:val="single"/>
              </w:rPr>
              <w:t xml:space="preserve">7天内 </w:t>
            </w:r>
            <w:r>
              <w:rPr>
                <w:rFonts w:ascii="宋体" w:hAnsi="宋体"/>
                <w:color w:val="auto"/>
                <w:sz w:val="24"/>
                <w:highlight w:val="none"/>
              </w:rPr>
              <w:t>以书面形式变更合同</w:t>
            </w:r>
            <w:r>
              <w:rPr>
                <w:rFonts w:hint="eastAsia" w:ascii="宋体" w:hAnsi="宋体"/>
                <w:color w:val="auto"/>
                <w:sz w:val="24"/>
                <w:highlight w:val="none"/>
              </w:rPr>
              <w:t>。</w:t>
            </w:r>
          </w:p>
        </w:tc>
      </w:tr>
      <w:tr w14:paraId="553A9B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80" w:type="dxa"/>
            <w:tcBorders>
              <w:left w:val="single" w:color="auto" w:sz="4" w:space="0"/>
            </w:tcBorders>
          </w:tcPr>
          <w:p w14:paraId="2C8CE23E">
            <w:pPr>
              <w:spacing w:line="360" w:lineRule="auto"/>
              <w:rPr>
                <w:rFonts w:hint="eastAsia"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11.4</w:t>
            </w:r>
            <w:r>
              <w:rPr>
                <w:rFonts w:hint="eastAsia" w:ascii="宋体" w:hAnsi="宋体" w:cs="宋体"/>
                <w:color w:val="auto"/>
                <w:sz w:val="24"/>
                <w:highlight w:val="none"/>
              </w:rPr>
              <w:t xml:space="preserve"> </w:t>
            </w:r>
          </w:p>
        </w:tc>
        <w:tc>
          <w:tcPr>
            <w:tcW w:w="8011" w:type="dxa"/>
          </w:tcPr>
          <w:p w14:paraId="33D032D3">
            <w:pPr>
              <w:spacing w:line="360" w:lineRule="auto"/>
              <w:rPr>
                <w:rFonts w:hint="eastAsia" w:ascii="宋体" w:hAnsi="宋体" w:cs="宋体"/>
                <w:color w:val="auto"/>
                <w:sz w:val="24"/>
                <w:highlight w:val="none"/>
              </w:rPr>
            </w:pPr>
            <w:r>
              <w:rPr>
                <w:rFonts w:ascii="宋体" w:hAnsi="宋体"/>
                <w:color w:val="auto"/>
                <w:sz w:val="24"/>
                <w:highlight w:val="none"/>
              </w:rPr>
              <w:t>受</w:t>
            </w:r>
            <w:r>
              <w:rPr>
                <w:rFonts w:hint="eastAsia" w:ascii="宋体" w:hAnsi="宋体"/>
                <w:color w:val="auto"/>
                <w:sz w:val="24"/>
                <w:highlight w:val="none"/>
              </w:rPr>
              <w:t>不可抗力</w:t>
            </w:r>
            <w:r>
              <w:rPr>
                <w:rFonts w:ascii="宋体" w:hAnsi="宋体"/>
                <w:color w:val="auto"/>
                <w:sz w:val="24"/>
                <w:highlight w:val="none"/>
              </w:rPr>
              <w:t>影响的一方在不可抗力发生后</w:t>
            </w:r>
            <w:r>
              <w:rPr>
                <w:rFonts w:hint="eastAsia" w:ascii="宋体" w:hAnsi="宋体"/>
                <w:color w:val="auto"/>
                <w:sz w:val="24"/>
                <w:highlight w:val="none"/>
              </w:rPr>
              <w:t>，</w:t>
            </w:r>
            <w:r>
              <w:rPr>
                <w:rFonts w:ascii="宋体" w:hAnsi="宋体"/>
                <w:color w:val="auto"/>
                <w:sz w:val="24"/>
                <w:highlight w:val="none"/>
              </w:rPr>
              <w:t>应在</w:t>
            </w:r>
            <w:r>
              <w:rPr>
                <w:rFonts w:hint="eastAsia" w:ascii="宋体" w:hAnsi="宋体"/>
                <w:color w:val="auto"/>
                <w:sz w:val="24"/>
                <w:highlight w:val="none"/>
              </w:rPr>
              <w:t>不可抗力发生后</w:t>
            </w:r>
            <w:r>
              <w:rPr>
                <w:rFonts w:ascii="宋体" w:hAnsi="宋体"/>
                <w:color w:val="auto"/>
                <w:sz w:val="24"/>
                <w:highlight w:val="none"/>
              </w:rPr>
              <w:t>以书面形式通知</w:t>
            </w:r>
            <w:r>
              <w:rPr>
                <w:rFonts w:hint="eastAsia" w:ascii="宋体" w:hAnsi="宋体"/>
                <w:color w:val="auto"/>
                <w:sz w:val="24"/>
                <w:highlight w:val="none"/>
              </w:rPr>
              <w:t>对</w:t>
            </w:r>
            <w:r>
              <w:rPr>
                <w:rFonts w:ascii="宋体" w:hAnsi="宋体"/>
                <w:color w:val="auto"/>
                <w:sz w:val="24"/>
                <w:highlight w:val="none"/>
              </w:rPr>
              <w:t>方当事人，并在</w:t>
            </w:r>
            <w:r>
              <w:rPr>
                <w:rFonts w:hint="eastAsia" w:ascii="宋体" w:hAnsi="宋体" w:cs="宋体"/>
                <w:color w:val="auto"/>
                <w:sz w:val="24"/>
                <w:highlight w:val="none"/>
              </w:rPr>
              <w:t>不可抗力发生后</w:t>
            </w:r>
            <w:r>
              <w:rPr>
                <w:rFonts w:hint="eastAsia" w:ascii="宋体" w:hAnsi="宋体"/>
                <w:b/>
                <w:i/>
                <w:color w:val="auto"/>
                <w:sz w:val="24"/>
                <w:highlight w:val="none"/>
                <w:u w:val="single"/>
              </w:rPr>
              <w:t xml:space="preserve">7天内 </w:t>
            </w:r>
            <w:r>
              <w:rPr>
                <w:rFonts w:ascii="宋体" w:hAnsi="宋体"/>
                <w:color w:val="auto"/>
                <w:sz w:val="24"/>
                <w:highlight w:val="none"/>
              </w:rPr>
              <w:t>，将有关部门出具的证明文件送达</w:t>
            </w:r>
            <w:r>
              <w:rPr>
                <w:rFonts w:hint="eastAsia" w:ascii="宋体" w:hAnsi="宋体"/>
                <w:color w:val="auto"/>
                <w:sz w:val="24"/>
                <w:highlight w:val="none"/>
              </w:rPr>
              <w:t>对方当事人</w:t>
            </w:r>
            <w:r>
              <w:rPr>
                <w:rFonts w:ascii="宋体" w:hAnsi="宋体"/>
                <w:color w:val="auto"/>
                <w:sz w:val="24"/>
                <w:highlight w:val="none"/>
              </w:rPr>
              <w:t>。</w:t>
            </w:r>
          </w:p>
        </w:tc>
      </w:tr>
      <w:tr w14:paraId="6BCD14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80" w:type="dxa"/>
            <w:tcBorders>
              <w:left w:val="single" w:color="auto" w:sz="4" w:space="0"/>
            </w:tcBorders>
            <w:vAlign w:val="center"/>
          </w:tcPr>
          <w:p w14:paraId="446779BB">
            <w:pPr>
              <w:spacing w:line="360" w:lineRule="auto"/>
              <w:rPr>
                <w:rFonts w:hint="eastAsia"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1</w:t>
            </w:r>
          </w:p>
        </w:tc>
        <w:tc>
          <w:tcPr>
            <w:tcW w:w="8011" w:type="dxa"/>
            <w:vAlign w:val="center"/>
          </w:tcPr>
          <w:p w14:paraId="50B5DC31">
            <w:pPr>
              <w:spacing w:line="360" w:lineRule="auto"/>
              <w:rPr>
                <w:rFonts w:hint="eastAsia" w:ascii="宋体" w:hAnsi="宋体" w:cs="宋体"/>
                <w:color w:val="auto"/>
                <w:sz w:val="24"/>
                <w:highlight w:val="none"/>
              </w:rPr>
            </w:pPr>
            <w:r>
              <w:rPr>
                <w:rFonts w:hint="eastAsia" w:ascii="宋体" w:hAnsi="宋体"/>
                <w:color w:val="auto"/>
                <w:sz w:val="24"/>
                <w:highlight w:val="none"/>
              </w:rPr>
              <w:t>详见2.15.3</w:t>
            </w:r>
          </w:p>
        </w:tc>
      </w:tr>
      <w:tr w14:paraId="570BEA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80" w:type="dxa"/>
            <w:tcBorders>
              <w:left w:val="single" w:color="auto" w:sz="4" w:space="0"/>
            </w:tcBorders>
            <w:vAlign w:val="center"/>
          </w:tcPr>
          <w:p w14:paraId="35A3BD83">
            <w:pPr>
              <w:spacing w:line="360" w:lineRule="auto"/>
              <w:rPr>
                <w:rFonts w:hint="eastAsia"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3</w:t>
            </w:r>
          </w:p>
        </w:tc>
        <w:tc>
          <w:tcPr>
            <w:tcW w:w="8011" w:type="dxa"/>
            <w:vAlign w:val="center"/>
          </w:tcPr>
          <w:p w14:paraId="65AA178A">
            <w:pPr>
              <w:adjustRightInd/>
              <w:spacing w:line="360" w:lineRule="auto"/>
              <w:rPr>
                <w:rFonts w:hint="eastAsia" w:ascii="宋体" w:hAnsi="宋体" w:cs="宋体"/>
                <w:color w:val="auto"/>
                <w:sz w:val="24"/>
                <w:highlight w:val="none"/>
              </w:rPr>
            </w:pPr>
            <w:r>
              <w:rPr>
                <w:rFonts w:hint="eastAsia" w:ascii="宋体" w:hAnsi="宋体"/>
                <w:color w:val="auto"/>
                <w:sz w:val="24"/>
                <w:highlight w:val="none"/>
              </w:rPr>
              <w:t>检验和验收标准、程序等具体内容以及前述验收书的效力：</w:t>
            </w:r>
          </w:p>
          <w:p w14:paraId="4955F7E0">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1.履约验收根据本次项目招标文件中相关采购要求进行，验收由甲方负责实施。</w:t>
            </w:r>
          </w:p>
          <w:p w14:paraId="0213380D">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2.履约验收标准：</w:t>
            </w:r>
          </w:p>
          <w:p w14:paraId="3659FEE0">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2.1国家和地方相关技术规范</w:t>
            </w:r>
          </w:p>
          <w:p w14:paraId="35939B0A">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2.2合同和招标文件、投标文件（及投标时的相关承诺）；</w:t>
            </w:r>
          </w:p>
          <w:p w14:paraId="7AAF99EF">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2.3符合杭财采监﹝2019﹞10号文件规定。</w:t>
            </w:r>
          </w:p>
          <w:p w14:paraId="3DB154B8">
            <w:pPr>
              <w:spacing w:line="360" w:lineRule="auto"/>
              <w:ind w:firstLine="482" w:firstLineChars="200"/>
              <w:rPr>
                <w:rFonts w:hint="eastAsia" w:ascii="宋体" w:hAnsi="宋体" w:cs="宋体"/>
                <w:color w:val="auto"/>
                <w:sz w:val="24"/>
                <w:highlight w:val="none"/>
              </w:rPr>
            </w:pPr>
            <w:r>
              <w:rPr>
                <w:rFonts w:hint="eastAsia" w:ascii="宋体" w:hAnsi="宋体" w:cs="宋体"/>
                <w:b/>
                <w:bCs/>
                <w:color w:val="auto"/>
                <w:sz w:val="24"/>
                <w:highlight w:val="none"/>
              </w:rPr>
              <w:t>3.验收程序：</w:t>
            </w:r>
            <w:r>
              <w:rPr>
                <w:rFonts w:hint="eastAsia" w:ascii="宋体" w:hAnsi="宋体" w:cs="宋体"/>
                <w:color w:val="auto"/>
                <w:sz w:val="24"/>
                <w:highlight w:val="none"/>
              </w:rPr>
              <w:t>甲方</w:t>
            </w:r>
            <w:r>
              <w:rPr>
                <w:color w:val="auto"/>
                <w:sz w:val="24"/>
                <w:highlight w:val="none"/>
              </w:rPr>
              <w:t>对</w:t>
            </w:r>
            <w:r>
              <w:rPr>
                <w:rFonts w:hint="eastAsia"/>
                <w:color w:val="auto"/>
                <w:sz w:val="24"/>
                <w:highlight w:val="none"/>
              </w:rPr>
              <w:t>乙方</w:t>
            </w:r>
            <w:r>
              <w:rPr>
                <w:color w:val="auto"/>
                <w:sz w:val="24"/>
                <w:highlight w:val="none"/>
              </w:rPr>
              <w:t>完成内容进行考核，包括提供的报告数量、报告涵盖的内容及质量，</w:t>
            </w:r>
            <w:r>
              <w:rPr>
                <w:rFonts w:hint="eastAsia" w:ascii="宋体" w:hAnsi="宋体" w:cs="宋体"/>
                <w:color w:val="auto"/>
                <w:sz w:val="24"/>
                <w:highlight w:val="none"/>
              </w:rPr>
              <w:t>考核得分大于等于80分为合格，低于80分为不合格。由甲方组织有关人员进行评审。考核合格后按照合同分期要求支付运维费。合同完成后，进行一次性履约验收。</w:t>
            </w:r>
          </w:p>
        </w:tc>
      </w:tr>
      <w:tr w14:paraId="4F7315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980" w:type="dxa"/>
            <w:tcBorders>
              <w:left w:val="single" w:color="auto" w:sz="4" w:space="0"/>
            </w:tcBorders>
          </w:tcPr>
          <w:p w14:paraId="7F2046A0">
            <w:pPr>
              <w:spacing w:line="360" w:lineRule="auto"/>
              <w:rPr>
                <w:rFonts w:hint="eastAsia" w:ascii="宋体" w:hAnsi="宋体" w:cs="宋体"/>
                <w:color w:val="auto"/>
                <w:sz w:val="24"/>
                <w:highlight w:val="none"/>
              </w:rPr>
            </w:pPr>
            <w:r>
              <w:rPr>
                <w:rFonts w:hint="eastAsia" w:ascii="宋体" w:hAnsi="宋体" w:cs="宋体"/>
                <w:color w:val="auto"/>
                <w:sz w:val="24"/>
                <w:highlight w:val="none"/>
              </w:rPr>
              <w:t>2.19</w:t>
            </w:r>
          </w:p>
        </w:tc>
        <w:tc>
          <w:tcPr>
            <w:tcW w:w="8011" w:type="dxa"/>
          </w:tcPr>
          <w:p w14:paraId="144252E7">
            <w:pPr>
              <w:spacing w:line="360" w:lineRule="auto"/>
              <w:rPr>
                <w:rFonts w:hint="eastAsia" w:ascii="宋体" w:hAnsi="宋体" w:cs="宋体"/>
                <w:color w:val="auto"/>
                <w:sz w:val="24"/>
                <w:highlight w:val="none"/>
              </w:rPr>
            </w:pPr>
            <w:r>
              <w:rPr>
                <w:rFonts w:hint="eastAsia" w:ascii="宋体" w:hAnsi="宋体" w:cs="宋体"/>
                <w:color w:val="auto"/>
                <w:sz w:val="24"/>
                <w:highlight w:val="none"/>
              </w:rPr>
              <w:t>本合同一式五份，甲方、乙方各执二份，招标代理公司一份。</w:t>
            </w:r>
          </w:p>
        </w:tc>
      </w:tr>
    </w:tbl>
    <w:p w14:paraId="0D030DF9">
      <w:pPr>
        <w:spacing w:line="360" w:lineRule="auto"/>
        <w:ind w:left="-420" w:leftChars="-200" w:right="-420" w:rightChars="-200" w:firstLine="480" w:firstLineChars="200"/>
        <w:rPr>
          <w:rFonts w:hint="eastAsia" w:ascii="宋体" w:hAnsi="宋体" w:cs="宋体"/>
          <w:color w:val="auto"/>
          <w:sz w:val="24"/>
          <w:highlight w:val="none"/>
        </w:rPr>
      </w:pPr>
    </w:p>
    <w:p w14:paraId="493BB524">
      <w:pPr>
        <w:spacing w:line="360" w:lineRule="auto"/>
        <w:ind w:left="-420" w:leftChars="-200" w:right="-420" w:rightChars="-200" w:firstLine="480" w:firstLineChars="200"/>
        <w:jc w:val="center"/>
        <w:outlineLvl w:val="0"/>
        <w:rPr>
          <w:rFonts w:hint="eastAsia" w:ascii="宋体" w:hAnsi="宋体" w:cs="宋体"/>
          <w:color w:val="auto"/>
          <w:sz w:val="24"/>
          <w:highlight w:val="none"/>
        </w:rPr>
      </w:pPr>
    </w:p>
    <w:p w14:paraId="12A0FBF3">
      <w:pPr>
        <w:rPr>
          <w:rFonts w:hint="eastAsia" w:ascii="宋体" w:hAnsi="宋体" w:cs="宋体"/>
          <w:b/>
          <w:color w:val="auto"/>
          <w:sz w:val="36"/>
          <w:szCs w:val="20"/>
          <w:highlight w:val="none"/>
        </w:rPr>
      </w:pPr>
      <w:r>
        <w:rPr>
          <w:rFonts w:hint="eastAsia" w:ascii="宋体" w:hAnsi="宋体" w:cs="宋体"/>
          <w:b/>
          <w:color w:val="auto"/>
          <w:sz w:val="36"/>
          <w:szCs w:val="20"/>
          <w:highlight w:val="none"/>
        </w:rPr>
        <w:br w:type="page"/>
      </w:r>
    </w:p>
    <w:p w14:paraId="44EE52E6">
      <w:pPr>
        <w:widowControl/>
        <w:adjustRightInd/>
        <w:jc w:val="center"/>
        <w:rPr>
          <w:rFonts w:hint="eastAsia"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404"/>
      <w:r>
        <w:rPr>
          <w:rFonts w:hint="eastAsia" w:ascii="宋体" w:hAnsi="宋体" w:cs="宋体"/>
          <w:b/>
          <w:color w:val="auto"/>
          <w:sz w:val="36"/>
          <w:szCs w:val="20"/>
          <w:highlight w:val="none"/>
        </w:rPr>
        <w:t xml:space="preserve"> </w:t>
      </w:r>
      <w:bookmarkEnd w:id="405"/>
      <w:r>
        <w:rPr>
          <w:rFonts w:hint="eastAsia" w:ascii="宋体" w:hAnsi="宋体" w:cs="宋体"/>
          <w:b/>
          <w:color w:val="auto"/>
          <w:sz w:val="36"/>
          <w:szCs w:val="20"/>
          <w:highlight w:val="none"/>
        </w:rPr>
        <w:t>应提交的有关格式范例</w:t>
      </w:r>
    </w:p>
    <w:p w14:paraId="05EF0F2F">
      <w:pPr>
        <w:spacing w:line="360" w:lineRule="auto"/>
        <w:jc w:val="center"/>
        <w:outlineLvl w:val="0"/>
        <w:rPr>
          <w:rFonts w:hint="eastAsia" w:ascii="宋体" w:hAnsi="宋体" w:cs="宋体"/>
          <w:b/>
          <w:color w:val="auto"/>
          <w:kern w:val="0"/>
          <w:sz w:val="36"/>
          <w:szCs w:val="36"/>
          <w:highlight w:val="none"/>
        </w:rPr>
      </w:pPr>
    </w:p>
    <w:p w14:paraId="3F263872">
      <w:pPr>
        <w:spacing w:line="360" w:lineRule="auto"/>
        <w:jc w:val="center"/>
        <w:outlineLvl w:val="0"/>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385033FF">
      <w:pPr>
        <w:spacing w:line="360" w:lineRule="auto"/>
        <w:jc w:val="center"/>
        <w:outlineLvl w:val="0"/>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77E79B85">
      <w:pPr>
        <w:spacing w:line="360" w:lineRule="auto"/>
        <w:jc w:val="center"/>
        <w:outlineLvl w:val="0"/>
        <w:rPr>
          <w:rFonts w:hint="eastAsia" w:ascii="宋体" w:hAnsi="宋体" w:cs="宋体"/>
          <w:b/>
          <w:color w:val="auto"/>
          <w:kern w:val="0"/>
          <w:sz w:val="36"/>
          <w:szCs w:val="36"/>
          <w:highlight w:val="none"/>
        </w:rPr>
      </w:pPr>
    </w:p>
    <w:p w14:paraId="0B462E03">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1E5FE3C3">
      <w:pPr>
        <w:snapToGrid w:val="0"/>
        <w:spacing w:line="360" w:lineRule="auto"/>
        <w:rPr>
          <w:rFonts w:hint="eastAsia"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5FB16BEE">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34867D3A">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267EE5E6">
      <w:pPr>
        <w:snapToGrid w:val="0"/>
        <w:spacing w:line="360" w:lineRule="auto"/>
        <w:ind w:firstLine="480" w:firstLineChars="200"/>
        <w:rPr>
          <w:rFonts w:hint="eastAsia" w:ascii="宋体" w:hAnsi="宋体" w:cs="宋体"/>
          <w:color w:val="auto"/>
          <w:sz w:val="24"/>
          <w:highlight w:val="none"/>
        </w:rPr>
      </w:pPr>
    </w:p>
    <w:p w14:paraId="6D467B7F">
      <w:pPr>
        <w:spacing w:line="360" w:lineRule="auto"/>
        <w:ind w:firstLine="480" w:firstLineChars="200"/>
        <w:rPr>
          <w:rFonts w:hint="eastAsia" w:ascii="宋体" w:hAnsi="宋体" w:cs="宋体"/>
          <w:color w:val="auto"/>
          <w:sz w:val="24"/>
          <w:highlight w:val="none"/>
        </w:rPr>
      </w:pPr>
    </w:p>
    <w:p w14:paraId="43FCBA43">
      <w:pPr>
        <w:snapToGrid w:val="0"/>
        <w:spacing w:line="360" w:lineRule="auto"/>
        <w:ind w:right="480"/>
        <w:jc w:val="center"/>
        <w:rPr>
          <w:rFonts w:hint="eastAsia"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51827162">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浙江省杭州生态环境监测中心、杭州意信招标代理有限公司：</w:t>
      </w:r>
    </w:p>
    <w:p w14:paraId="14449CAA">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我方参与2025年度杭州市温室气体监测系统运维及碳排放反演与通量核算项目【招标编号：HZYX-HJ-25218GK】</w:t>
      </w:r>
      <w:r>
        <w:rPr>
          <w:rFonts w:hint="eastAsia" w:asciiTheme="minorEastAsia" w:hAnsiTheme="minorEastAsia" w:eastAsiaTheme="minorEastAsia" w:cstheme="minorEastAsia"/>
          <w:color w:val="auto"/>
          <w:sz w:val="24"/>
          <w:highlight w:val="none"/>
        </w:rPr>
        <w:t>之标项</w:t>
      </w:r>
      <w:r>
        <w:rPr>
          <w:rFonts w:hint="eastAsia" w:asciiTheme="minorEastAsia" w:hAnsiTheme="minorEastAsia" w:eastAsiaTheme="minorEastAsia" w:cstheme="minorEastAsia"/>
          <w:color w:val="auto"/>
          <w:sz w:val="24"/>
          <w:highlight w:val="none"/>
          <w:u w:val="single"/>
        </w:rPr>
        <w:t xml:space="preserve">           </w:t>
      </w:r>
      <w:r>
        <w:rPr>
          <w:rFonts w:hint="eastAsia" w:ascii="宋体" w:hAnsi="宋体" w:cs="宋体"/>
          <w:color w:val="auto"/>
          <w:sz w:val="24"/>
          <w:highlight w:val="none"/>
        </w:rPr>
        <w:t>政府采购活动，郑重承诺：</w:t>
      </w:r>
    </w:p>
    <w:p w14:paraId="273AD3FE">
      <w:pPr>
        <w:snapToGrid w:val="0"/>
        <w:spacing w:line="360" w:lineRule="auto"/>
        <w:ind w:firstLine="360" w:firstLineChars="150"/>
        <w:rPr>
          <w:rFonts w:hint="eastAsia"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16E36D86">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1、具有独立承担民事责任的能力；</w:t>
      </w:r>
    </w:p>
    <w:p w14:paraId="2DED74A3">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09A06B95">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6A4BE8DA">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7D30D619">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5592744B">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6E843AC8">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61D00D2E">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（三）不存在以下情况：</w:t>
      </w:r>
    </w:p>
    <w:p w14:paraId="059687BD">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7AE211F5">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4DD7DBF7">
      <w:pPr>
        <w:snapToGrid w:val="0"/>
        <w:spacing w:line="360" w:lineRule="auto"/>
        <w:ind w:firstLine="5520" w:firstLineChars="2300"/>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6D1E6539">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421E3B63">
      <w:pPr>
        <w:snapToGrid w:val="0"/>
        <w:spacing w:line="360" w:lineRule="auto"/>
        <w:ind w:right="480"/>
        <w:jc w:val="center"/>
        <w:rPr>
          <w:rFonts w:hint="eastAsia" w:ascii="宋体" w:hAnsi="宋体" w:cs="宋体"/>
          <w:b/>
          <w:color w:val="auto"/>
          <w:kern w:val="0"/>
          <w:sz w:val="32"/>
          <w:szCs w:val="32"/>
          <w:highlight w:val="none"/>
        </w:rPr>
      </w:pPr>
    </w:p>
    <w:p w14:paraId="1CD90C39">
      <w:pPr>
        <w:snapToGrid w:val="0"/>
        <w:spacing w:line="360" w:lineRule="auto"/>
        <w:ind w:right="480"/>
        <w:jc w:val="center"/>
        <w:rPr>
          <w:rFonts w:hint="eastAsia" w:ascii="宋体" w:hAnsi="宋体" w:cs="宋体"/>
          <w:b/>
          <w:color w:val="auto"/>
          <w:kern w:val="0"/>
          <w:sz w:val="32"/>
          <w:szCs w:val="32"/>
          <w:highlight w:val="none"/>
        </w:rPr>
      </w:pPr>
    </w:p>
    <w:p w14:paraId="4DB6B695">
      <w:pPr>
        <w:snapToGrid w:val="0"/>
        <w:spacing w:line="360" w:lineRule="auto"/>
        <w:ind w:right="480"/>
        <w:jc w:val="center"/>
        <w:rPr>
          <w:rFonts w:hint="eastAsia" w:ascii="宋体" w:hAnsi="宋体" w:cs="宋体"/>
          <w:b/>
          <w:color w:val="auto"/>
          <w:kern w:val="0"/>
          <w:sz w:val="32"/>
          <w:szCs w:val="32"/>
          <w:highlight w:val="none"/>
        </w:rPr>
      </w:pPr>
    </w:p>
    <w:p w14:paraId="75873DBB">
      <w:pPr>
        <w:rPr>
          <w:rFonts w:hint="eastAsia" w:ascii="宋体" w:hAnsi="宋体" w:cs="宋体"/>
          <w:color w:val="auto"/>
          <w:highlight w:val="none"/>
        </w:rPr>
      </w:pPr>
    </w:p>
    <w:p w14:paraId="60581356">
      <w:pPr>
        <w:snapToGrid w:val="0"/>
        <w:spacing w:line="360" w:lineRule="auto"/>
        <w:ind w:right="480"/>
        <w:jc w:val="center"/>
        <w:rPr>
          <w:rFonts w:hint="eastAsia" w:ascii="宋体" w:hAnsi="宋体" w:cs="宋体"/>
          <w:b/>
          <w:color w:val="auto"/>
          <w:kern w:val="0"/>
          <w:sz w:val="32"/>
          <w:szCs w:val="32"/>
          <w:highlight w:val="none"/>
        </w:rPr>
      </w:pPr>
    </w:p>
    <w:p w14:paraId="2DEAB35E">
      <w:pPr>
        <w:widowControl/>
        <w:adjustRightInd/>
        <w:jc w:val="left"/>
        <w:rPr>
          <w:rFonts w:hint="eastAsia"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1FEFF0EC">
      <w:pPr>
        <w:widowControl/>
        <w:spacing w:line="360" w:lineRule="auto"/>
        <w:ind w:firstLine="643" w:firstLineChars="200"/>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52FA440E">
      <w:pPr>
        <w:widowControl/>
        <w:spacing w:line="360" w:lineRule="auto"/>
        <w:ind w:firstLine="482" w:firstLineChars="200"/>
        <w:jc w:val="left"/>
        <w:rPr>
          <w:rFonts w:hint="eastAsia"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6611C15F">
      <w:pPr>
        <w:snapToGrid w:val="0"/>
        <w:spacing w:line="360" w:lineRule="auto"/>
        <w:ind w:right="480"/>
        <w:jc w:val="center"/>
        <w:rPr>
          <w:rFonts w:hint="eastAsia" w:ascii="宋体" w:hAnsi="宋体" w:cs="宋体"/>
          <w:b/>
          <w:color w:val="auto"/>
          <w:kern w:val="0"/>
          <w:sz w:val="32"/>
          <w:szCs w:val="32"/>
          <w:highlight w:val="none"/>
        </w:rPr>
      </w:pPr>
    </w:p>
    <w:p w14:paraId="5234561E">
      <w:pPr>
        <w:snapToGrid w:val="0"/>
        <w:spacing w:line="360" w:lineRule="auto"/>
        <w:ind w:right="480"/>
        <w:jc w:val="center"/>
        <w:rPr>
          <w:rFonts w:hint="eastAsia" w:ascii="宋体" w:hAnsi="宋体" w:cs="宋体"/>
          <w:b/>
          <w:color w:val="auto"/>
          <w:kern w:val="0"/>
          <w:sz w:val="32"/>
          <w:szCs w:val="32"/>
          <w:highlight w:val="none"/>
        </w:rPr>
      </w:pPr>
    </w:p>
    <w:p w14:paraId="3CD8995C">
      <w:pPr>
        <w:snapToGrid w:val="0"/>
        <w:spacing w:line="360" w:lineRule="auto"/>
        <w:ind w:right="480"/>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5C803DCE">
      <w:pPr>
        <w:snapToGrid w:val="0"/>
        <w:spacing w:before="50" w:after="50" w:line="360" w:lineRule="auto"/>
        <w:ind w:firstLine="472" w:firstLineChars="196"/>
        <w:jc w:val="center"/>
        <w:rPr>
          <w:rFonts w:hint="eastAsia" w:ascii="宋体" w:hAnsi="宋体" w:cs="宋体"/>
          <w:b/>
          <w:color w:val="auto"/>
          <w:sz w:val="24"/>
          <w:highlight w:val="none"/>
        </w:rPr>
      </w:pPr>
      <w:r>
        <w:rPr>
          <w:rFonts w:hint="eastAsia" w:ascii="宋体" w:hAnsi="宋体" w:cs="宋体"/>
          <w:b/>
          <w:color w:val="auto"/>
          <w:sz w:val="24"/>
          <w:highlight w:val="none"/>
        </w:rPr>
        <w:t>无</w:t>
      </w:r>
    </w:p>
    <w:p w14:paraId="3ECFEA71">
      <w:pPr>
        <w:widowControl/>
        <w:spacing w:line="360" w:lineRule="auto"/>
        <w:ind w:left="150"/>
        <w:jc w:val="center"/>
        <w:rPr>
          <w:rFonts w:hint="eastAsia" w:ascii="宋体" w:hAnsi="宋体" w:cs="宋体"/>
          <w:b/>
          <w:color w:val="auto"/>
          <w:kern w:val="0"/>
          <w:sz w:val="32"/>
          <w:szCs w:val="32"/>
          <w:highlight w:val="none"/>
        </w:rPr>
      </w:pPr>
    </w:p>
    <w:p w14:paraId="4961CC63">
      <w:pPr>
        <w:widowControl/>
        <w:spacing w:line="360" w:lineRule="auto"/>
        <w:ind w:left="150"/>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47EADBEA">
      <w:pPr>
        <w:snapToGrid w:val="0"/>
        <w:spacing w:line="360" w:lineRule="auto"/>
        <w:ind w:right="480"/>
        <w:jc w:val="center"/>
        <w:rPr>
          <w:rFonts w:hint="eastAsia" w:ascii="宋体" w:hAnsi="宋体" w:cs="宋体"/>
          <w:b/>
          <w:color w:val="auto"/>
          <w:kern w:val="0"/>
          <w:sz w:val="32"/>
          <w:szCs w:val="32"/>
          <w:highlight w:val="none"/>
        </w:rPr>
      </w:pPr>
    </w:p>
    <w:p w14:paraId="180373B5">
      <w:pPr>
        <w:snapToGrid w:val="0"/>
        <w:spacing w:line="360" w:lineRule="auto"/>
        <w:ind w:right="480"/>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承诺函</w:t>
      </w:r>
    </w:p>
    <w:p w14:paraId="577A961C">
      <w:pPr>
        <w:pStyle w:val="2"/>
        <w:rPr>
          <w:rFonts w:hint="eastAsia" w:hAnsi="宋体"/>
          <w:color w:val="auto"/>
          <w:highlight w:val="none"/>
        </w:rPr>
      </w:pPr>
      <w:r>
        <w:rPr>
          <w:rFonts w:hint="eastAsia" w:hAnsi="宋体" w:cs="宋体"/>
          <w:color w:val="auto"/>
          <w:highlight w:val="none"/>
        </w:rPr>
        <w:t>浙江省杭州生态环境监测中心、杭州意信招标代理有限公司：</w:t>
      </w:r>
    </w:p>
    <w:p w14:paraId="14DD8239">
      <w:pPr>
        <w:pStyle w:val="2"/>
        <w:ind w:firstLine="480" w:firstLineChars="200"/>
        <w:rPr>
          <w:rFonts w:hint="eastAsia" w:hAnsi="宋体"/>
          <w:color w:val="auto"/>
          <w:highlight w:val="none"/>
          <w:lang w:val="en-US"/>
        </w:rPr>
      </w:pPr>
    </w:p>
    <w:p w14:paraId="10D97437">
      <w:pPr>
        <w:pStyle w:val="2"/>
        <w:ind w:firstLine="480" w:firstLineChars="200"/>
        <w:rPr>
          <w:rFonts w:hint="eastAsia" w:hAnsi="宋体"/>
          <w:color w:val="auto"/>
          <w:highlight w:val="none"/>
          <w:lang w:val="en-US"/>
        </w:rPr>
      </w:pPr>
      <w:r>
        <w:rPr>
          <w:rFonts w:hint="eastAsia" w:hAnsi="宋体"/>
          <w:color w:val="auto"/>
          <w:highlight w:val="none"/>
          <w:lang w:val="en-US"/>
        </w:rPr>
        <w:t>我公司承诺</w:t>
      </w:r>
      <w:r>
        <w:rPr>
          <w:rFonts w:hint="eastAsia" w:hAnsi="宋体"/>
          <w:color w:val="auto"/>
          <w:highlight w:val="none"/>
        </w:rPr>
        <w:t>截至</w:t>
      </w:r>
      <w:r>
        <w:rPr>
          <w:rFonts w:hint="eastAsia" w:hAnsi="宋体"/>
          <w:color w:val="auto"/>
          <w:highlight w:val="none"/>
          <w:lang w:val="en-US"/>
        </w:rPr>
        <w:t>2025年</w:t>
      </w:r>
      <w:r>
        <w:rPr>
          <w:rFonts w:hint="eastAsia" w:hAnsi="宋体"/>
          <w:color w:val="auto"/>
          <w:highlight w:val="none"/>
          <w:u w:val="single"/>
          <w:lang w:val="en-US"/>
        </w:rPr>
        <w:t xml:space="preserve">   </w:t>
      </w:r>
      <w:r>
        <w:rPr>
          <w:rFonts w:hint="eastAsia" w:hAnsi="宋体"/>
          <w:color w:val="auto"/>
          <w:highlight w:val="none"/>
          <w:lang w:val="en-US"/>
        </w:rPr>
        <w:t>年</w:t>
      </w:r>
      <w:r>
        <w:rPr>
          <w:rFonts w:hint="eastAsia" w:hAnsi="宋体"/>
          <w:color w:val="auto"/>
          <w:highlight w:val="none"/>
          <w:u w:val="single"/>
          <w:lang w:val="en-US"/>
        </w:rPr>
        <w:t xml:space="preserve">  </w:t>
      </w:r>
      <w:r>
        <w:rPr>
          <w:rFonts w:hint="eastAsia" w:hAnsi="宋体"/>
          <w:color w:val="auto"/>
          <w:highlight w:val="none"/>
          <w:lang w:val="en-US"/>
        </w:rPr>
        <w:t>月</w:t>
      </w:r>
      <w:r>
        <w:rPr>
          <w:rFonts w:hint="eastAsia" w:hAnsi="宋体"/>
          <w:color w:val="auto"/>
          <w:highlight w:val="none"/>
          <w:u w:val="single"/>
          <w:lang w:val="en-US"/>
        </w:rPr>
        <w:t xml:space="preserve">  </w:t>
      </w:r>
      <w:r>
        <w:rPr>
          <w:rFonts w:hint="eastAsia" w:hAnsi="宋体"/>
          <w:color w:val="auto"/>
          <w:highlight w:val="none"/>
          <w:lang w:val="en-US"/>
        </w:rPr>
        <w:t>日</w:t>
      </w:r>
      <w:r>
        <w:rPr>
          <w:rFonts w:hint="eastAsia" w:hAnsi="宋体"/>
          <w:color w:val="auto"/>
          <w:highlight w:val="none"/>
        </w:rPr>
        <w:t>三年内未受到生态环境主管部门作出的行政处罚。</w:t>
      </w:r>
      <w:r>
        <w:rPr>
          <w:rFonts w:hint="eastAsia" w:hAnsi="宋体"/>
          <w:color w:val="auto"/>
          <w:highlight w:val="none"/>
          <w:lang w:val="en-US"/>
        </w:rPr>
        <w:t>特此承诺！</w:t>
      </w:r>
    </w:p>
    <w:p w14:paraId="014C1B9B">
      <w:pPr>
        <w:ind w:firstLine="480" w:firstLineChars="200"/>
        <w:rPr>
          <w:rFonts w:hint="eastAsia" w:hAnsi="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5FCBB092">
      <w:pPr>
        <w:pStyle w:val="2"/>
        <w:rPr>
          <w:rFonts w:hint="eastAsia" w:hAnsi="宋体"/>
          <w:color w:val="auto"/>
          <w:highlight w:val="none"/>
        </w:rPr>
      </w:pPr>
    </w:p>
    <w:p w14:paraId="2441B1C6">
      <w:pPr>
        <w:rPr>
          <w:color w:val="auto"/>
          <w:highlight w:val="none"/>
        </w:rPr>
      </w:pPr>
    </w:p>
    <w:p w14:paraId="074DCAFB">
      <w:pPr>
        <w:snapToGrid w:val="0"/>
        <w:spacing w:line="360" w:lineRule="auto"/>
        <w:ind w:firstLine="5520" w:firstLineChars="2300"/>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4E70AEB0">
      <w:pPr>
        <w:pStyle w:val="2"/>
        <w:rPr>
          <w:color w:val="auto"/>
          <w:highlight w:val="none"/>
        </w:rPr>
      </w:pPr>
      <w:r>
        <w:rPr>
          <w:rFonts w:hint="eastAsia" w:hAnsi="宋体" w:cs="宋体"/>
          <w:color w:val="auto"/>
          <w:kern w:val="0"/>
          <w:highlight w:val="none"/>
        </w:rPr>
        <w:t xml:space="preserve">                                              日期：  年  月   日</w:t>
      </w:r>
    </w:p>
    <w:p w14:paraId="53EA75EB">
      <w:pPr>
        <w:rPr>
          <w:rFonts w:hint="eastAsia" w:ascii="宋体" w:hAnsi="宋体" w:cs="宋体"/>
          <w:color w:val="auto"/>
          <w:highlight w:val="none"/>
        </w:rPr>
      </w:pPr>
    </w:p>
    <w:p w14:paraId="64BAAC5C">
      <w:pPr>
        <w:widowControl/>
        <w:adjustRightInd/>
        <w:spacing w:line="360" w:lineRule="auto"/>
        <w:jc w:val="left"/>
        <w:rPr>
          <w:rFonts w:hint="eastAsia" w:ascii="宋体" w:hAnsi="宋体"/>
          <w:color w:val="auto"/>
          <w:sz w:val="24"/>
          <w:highlight w:val="none"/>
        </w:rPr>
      </w:pPr>
    </w:p>
    <w:p w14:paraId="68732627">
      <w:pPr>
        <w:widowControl/>
        <w:adjustRightInd/>
        <w:spacing w:line="360" w:lineRule="auto"/>
        <w:jc w:val="left"/>
        <w:rPr>
          <w:rFonts w:hint="eastAsia" w:ascii="宋体" w:hAnsi="宋体" w:cs="宋体"/>
          <w:b/>
          <w:color w:val="auto"/>
          <w:kern w:val="0"/>
          <w:sz w:val="36"/>
          <w:szCs w:val="36"/>
          <w:highlight w:val="none"/>
        </w:rPr>
      </w:pPr>
      <w:r>
        <w:rPr>
          <w:rFonts w:hint="eastAsia" w:ascii="宋体" w:hAnsi="宋体"/>
          <w:color w:val="auto"/>
          <w:sz w:val="24"/>
          <w:highlight w:val="none"/>
        </w:rPr>
        <w:t>注：有特定资格要求：截至投标日三年内未受到生态环境主管部门作出的行政处罚，由投标人提供承诺函。该特定条件的法律法规依据：《浙江省生态环境保护条例》第六十五条第二款规定：“依照前款规定对生态环境服务机构作出行政处罚的，自作出行政处罚决定之日起三年内禁止该机构参与政府采购的生态环境服务项目。”</w:t>
      </w:r>
    </w:p>
    <w:p w14:paraId="248B931E">
      <w:pPr>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br w:type="page"/>
      </w:r>
    </w:p>
    <w:p w14:paraId="19979D6C">
      <w:pPr>
        <w:spacing w:line="360" w:lineRule="auto"/>
        <w:ind w:right="420" w:firstLine="3614" w:firstLineChars="1000"/>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687F0290">
      <w:pPr>
        <w:spacing w:line="360" w:lineRule="auto"/>
        <w:jc w:val="center"/>
        <w:outlineLvl w:val="0"/>
        <w:rPr>
          <w:rFonts w:hint="eastAsia" w:ascii="宋体" w:hAnsi="宋体" w:cs="宋体"/>
          <w:b/>
          <w:color w:val="auto"/>
          <w:kern w:val="0"/>
          <w:sz w:val="24"/>
          <w:highlight w:val="none"/>
        </w:rPr>
      </w:pPr>
    </w:p>
    <w:p w14:paraId="6B922F58">
      <w:pPr>
        <w:spacing w:line="360" w:lineRule="auto"/>
        <w:jc w:val="center"/>
        <w:outlineLvl w:val="0"/>
        <w:rPr>
          <w:rFonts w:hint="eastAsia"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622F256C">
      <w:pPr>
        <w:snapToGrid w:val="0"/>
        <w:spacing w:line="360" w:lineRule="auto"/>
        <w:ind w:left="479" w:leftChars="228"/>
        <w:rPr>
          <w:rFonts w:hint="eastAsia"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45BB9426">
      <w:pPr>
        <w:snapToGrid w:val="0"/>
        <w:spacing w:line="360" w:lineRule="auto"/>
        <w:ind w:left="479" w:leftChars="228"/>
        <w:rPr>
          <w:rFonts w:hint="eastAsia"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482F4F92">
      <w:pPr>
        <w:snapToGrid w:val="0"/>
        <w:spacing w:line="360" w:lineRule="auto"/>
        <w:ind w:firstLine="480" w:firstLineChars="200"/>
        <w:rPr>
          <w:rFonts w:hint="eastAsia"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5A0C5EBE">
      <w:pPr>
        <w:snapToGrid w:val="0"/>
        <w:spacing w:line="360" w:lineRule="auto"/>
        <w:ind w:left="479" w:leftChars="228"/>
        <w:rPr>
          <w:rFonts w:hint="eastAsia"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279B7C89">
      <w:pPr>
        <w:snapToGrid w:val="0"/>
        <w:spacing w:line="360" w:lineRule="auto"/>
        <w:ind w:left="479" w:leftChars="228"/>
        <w:rPr>
          <w:rFonts w:hint="eastAsia"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130561A0">
      <w:pPr>
        <w:snapToGrid w:val="0"/>
        <w:spacing w:line="360" w:lineRule="auto"/>
        <w:jc w:val="center"/>
        <w:rPr>
          <w:rFonts w:hint="eastAsia" w:ascii="宋体" w:hAnsi="宋体" w:cs="宋体"/>
          <w:b/>
          <w:color w:val="auto"/>
          <w:kern w:val="0"/>
          <w:sz w:val="32"/>
          <w:szCs w:val="32"/>
          <w:highlight w:val="none"/>
          <w:lang w:val="zh-CN"/>
        </w:rPr>
      </w:pPr>
    </w:p>
    <w:p w14:paraId="507EE009">
      <w:pPr>
        <w:snapToGrid w:val="0"/>
        <w:spacing w:line="360" w:lineRule="auto"/>
        <w:jc w:val="center"/>
        <w:rPr>
          <w:rFonts w:hint="eastAsia" w:ascii="宋体" w:hAnsi="宋体" w:cs="宋体"/>
          <w:b/>
          <w:color w:val="auto"/>
          <w:kern w:val="0"/>
          <w:sz w:val="32"/>
          <w:szCs w:val="32"/>
          <w:highlight w:val="none"/>
          <w:lang w:val="zh-CN"/>
        </w:rPr>
      </w:pPr>
    </w:p>
    <w:p w14:paraId="2E6599DA">
      <w:pPr>
        <w:snapToGrid w:val="0"/>
        <w:spacing w:line="360" w:lineRule="auto"/>
        <w:jc w:val="center"/>
        <w:rPr>
          <w:rFonts w:hint="eastAsia" w:ascii="宋体" w:hAnsi="宋体" w:cs="宋体"/>
          <w:b/>
          <w:color w:val="auto"/>
          <w:kern w:val="0"/>
          <w:sz w:val="32"/>
          <w:szCs w:val="32"/>
          <w:highlight w:val="none"/>
          <w:lang w:val="zh-CN"/>
        </w:rPr>
      </w:pPr>
    </w:p>
    <w:p w14:paraId="0ACC1F35">
      <w:pPr>
        <w:snapToGrid w:val="0"/>
        <w:spacing w:line="360" w:lineRule="auto"/>
        <w:jc w:val="center"/>
        <w:rPr>
          <w:rFonts w:hint="eastAsia" w:ascii="宋体" w:hAnsi="宋体" w:cs="宋体"/>
          <w:b/>
          <w:color w:val="auto"/>
          <w:kern w:val="0"/>
          <w:sz w:val="32"/>
          <w:szCs w:val="32"/>
          <w:highlight w:val="none"/>
          <w:lang w:val="zh-CN"/>
        </w:rPr>
      </w:pPr>
    </w:p>
    <w:p w14:paraId="53D5F404">
      <w:pPr>
        <w:snapToGrid w:val="0"/>
        <w:spacing w:line="360" w:lineRule="auto"/>
        <w:jc w:val="center"/>
        <w:rPr>
          <w:rFonts w:hint="eastAsia" w:ascii="宋体" w:hAnsi="宋体" w:cs="宋体"/>
          <w:b/>
          <w:color w:val="auto"/>
          <w:kern w:val="0"/>
          <w:sz w:val="32"/>
          <w:szCs w:val="32"/>
          <w:highlight w:val="none"/>
          <w:lang w:val="zh-CN"/>
        </w:rPr>
      </w:pPr>
    </w:p>
    <w:p w14:paraId="51FF2D65">
      <w:pPr>
        <w:snapToGrid w:val="0"/>
        <w:spacing w:line="360" w:lineRule="auto"/>
        <w:jc w:val="center"/>
        <w:rPr>
          <w:rFonts w:hint="eastAsia" w:ascii="宋体" w:hAnsi="宋体" w:cs="宋体"/>
          <w:b/>
          <w:color w:val="auto"/>
          <w:kern w:val="0"/>
          <w:sz w:val="32"/>
          <w:szCs w:val="32"/>
          <w:highlight w:val="none"/>
          <w:lang w:val="zh-CN"/>
        </w:rPr>
      </w:pPr>
    </w:p>
    <w:p w14:paraId="457D63C4">
      <w:pPr>
        <w:snapToGrid w:val="0"/>
        <w:spacing w:line="360" w:lineRule="auto"/>
        <w:jc w:val="center"/>
        <w:rPr>
          <w:rFonts w:hint="eastAsia" w:ascii="宋体" w:hAnsi="宋体" w:cs="宋体"/>
          <w:b/>
          <w:color w:val="auto"/>
          <w:kern w:val="0"/>
          <w:sz w:val="32"/>
          <w:szCs w:val="32"/>
          <w:highlight w:val="none"/>
          <w:lang w:val="zh-CN"/>
        </w:rPr>
      </w:pPr>
    </w:p>
    <w:p w14:paraId="76693B81">
      <w:pPr>
        <w:snapToGrid w:val="0"/>
        <w:spacing w:line="360" w:lineRule="auto"/>
        <w:jc w:val="center"/>
        <w:rPr>
          <w:rFonts w:hint="eastAsia" w:ascii="宋体" w:hAnsi="宋体" w:cs="宋体"/>
          <w:b/>
          <w:color w:val="auto"/>
          <w:kern w:val="0"/>
          <w:sz w:val="32"/>
          <w:szCs w:val="32"/>
          <w:highlight w:val="none"/>
          <w:lang w:val="zh-CN"/>
        </w:rPr>
      </w:pPr>
    </w:p>
    <w:p w14:paraId="3E1CB3E2">
      <w:pPr>
        <w:snapToGrid w:val="0"/>
        <w:spacing w:line="360" w:lineRule="auto"/>
        <w:jc w:val="center"/>
        <w:rPr>
          <w:rFonts w:hint="eastAsia" w:ascii="宋体" w:hAnsi="宋体" w:cs="宋体"/>
          <w:b/>
          <w:color w:val="auto"/>
          <w:kern w:val="0"/>
          <w:sz w:val="32"/>
          <w:szCs w:val="32"/>
          <w:highlight w:val="none"/>
          <w:lang w:val="zh-CN"/>
        </w:rPr>
      </w:pPr>
    </w:p>
    <w:p w14:paraId="6E2DADDB">
      <w:pPr>
        <w:snapToGrid w:val="0"/>
        <w:spacing w:line="360" w:lineRule="auto"/>
        <w:jc w:val="center"/>
        <w:rPr>
          <w:rFonts w:hint="eastAsia" w:ascii="宋体" w:hAnsi="宋体" w:cs="宋体"/>
          <w:b/>
          <w:color w:val="auto"/>
          <w:kern w:val="0"/>
          <w:sz w:val="32"/>
          <w:szCs w:val="32"/>
          <w:highlight w:val="none"/>
          <w:lang w:val="zh-CN"/>
        </w:rPr>
      </w:pPr>
    </w:p>
    <w:p w14:paraId="697392B5">
      <w:pPr>
        <w:snapToGrid w:val="0"/>
        <w:spacing w:line="360" w:lineRule="auto"/>
        <w:jc w:val="center"/>
        <w:rPr>
          <w:rFonts w:hint="eastAsia" w:ascii="宋体" w:hAnsi="宋体" w:cs="宋体"/>
          <w:b/>
          <w:color w:val="auto"/>
          <w:kern w:val="0"/>
          <w:sz w:val="32"/>
          <w:szCs w:val="32"/>
          <w:highlight w:val="none"/>
          <w:lang w:val="zh-CN"/>
        </w:rPr>
      </w:pPr>
    </w:p>
    <w:p w14:paraId="11D0162E">
      <w:pPr>
        <w:widowControl/>
        <w:adjustRightInd/>
        <w:jc w:val="left"/>
        <w:rPr>
          <w:rFonts w:hint="eastAsia"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76EF8FD1">
      <w:pPr>
        <w:snapToGrid w:val="0"/>
        <w:spacing w:line="360" w:lineRule="auto"/>
        <w:jc w:val="center"/>
        <w:outlineLvl w:val="0"/>
        <w:rPr>
          <w:rFonts w:hint="eastAsia"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5F6D2C1A">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浙江省杭州生态环境监测中心、杭州意信招标代理有限公司：</w:t>
      </w:r>
    </w:p>
    <w:p w14:paraId="7A41BFED">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我方参加你方组织的2025年度杭州市温室气体监测系统运维及碳排放反演与通量核算项目【招标编号：HZYX-HJ-25218GK】招标的有关活动，并对此项目进行投标。为此：</w:t>
      </w:r>
    </w:p>
    <w:p w14:paraId="476CE92C">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90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383A236A">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2、我方的投标文件包括以下内容：</w:t>
      </w:r>
    </w:p>
    <w:p w14:paraId="296D5899">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2.1资格文件：</w:t>
      </w:r>
    </w:p>
    <w:p w14:paraId="62ECBD2C">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2.1.1承诺函；</w:t>
      </w:r>
    </w:p>
    <w:p w14:paraId="2F2227CA">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520" w:name="_Hlk101257010"/>
      <w:r>
        <w:rPr>
          <w:rFonts w:hint="eastAsia" w:ascii="宋体" w:hAnsi="宋体" w:cs="宋体"/>
          <w:color w:val="auto"/>
          <w:sz w:val="24"/>
          <w:highlight w:val="none"/>
        </w:rPr>
        <w:t>（如果有)</w:t>
      </w:r>
      <w:bookmarkEnd w:id="520"/>
      <w:r>
        <w:rPr>
          <w:rFonts w:hint="eastAsia" w:ascii="宋体" w:hAnsi="宋体" w:cs="宋体"/>
          <w:snapToGrid w:val="0"/>
          <w:color w:val="auto"/>
          <w:kern w:val="28"/>
          <w:sz w:val="24"/>
          <w:szCs w:val="20"/>
          <w:highlight w:val="none"/>
        </w:rPr>
        <w:t>；</w:t>
      </w:r>
    </w:p>
    <w:p w14:paraId="4C5D2BF3">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14:paraId="2D6BF2A1">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14:paraId="2147CCCD">
      <w:pPr>
        <w:snapToGrid w:val="0"/>
        <w:spacing w:line="360" w:lineRule="auto"/>
        <w:ind w:left="210" w:leftChars="100"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5A88A4CB">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4726F529">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3C97F193">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14:paraId="2C1B596A">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3041F626">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6D8CE3F2">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5111BA71">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302A60E3">
      <w:pPr>
        <w:snapToGrid w:val="0"/>
        <w:spacing w:line="360" w:lineRule="auto"/>
        <w:ind w:left="420" w:leftChars="200"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64D3A427">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264D5525">
      <w:pPr>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2.3.1开标一览表（报价表）；</w:t>
      </w:r>
    </w:p>
    <w:p w14:paraId="7FC83245">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2.3.2中小企业声明函（如果有）。</w:t>
      </w:r>
    </w:p>
    <w:p w14:paraId="3E3D8C5C">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3、我方承诺除商务技术偏离表列出的偏离外，我方响应招标文件的全部要求。对投标文件中材料的真实性、合法性负责，积极配合采购人、采购代理机构复核投标文件中的资料。</w:t>
      </w:r>
    </w:p>
    <w:p w14:paraId="5A3E72AC">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4、如我方中标，我方承诺：</w:t>
      </w:r>
    </w:p>
    <w:p w14:paraId="28C214BD">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38A271D9">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4AF66DD8">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6AE0D367">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4E1B11C0">
      <w:pPr>
        <w:spacing w:line="360" w:lineRule="auto"/>
        <w:ind w:firstLine="480" w:firstLineChars="200"/>
        <w:rPr>
          <w:rFonts w:hint="eastAsia" w:ascii="宋体" w:hAnsi="宋体" w:cs="宋体"/>
          <w:color w:val="auto"/>
          <w:sz w:val="24"/>
          <w:highlight w:val="none"/>
          <w:shd w:val="clear" w:color="auto" w:fill="FFFFFF"/>
        </w:rPr>
      </w:pPr>
      <w:r>
        <w:rPr>
          <w:rFonts w:hint="eastAsia" w:ascii="宋体" w:hAnsi="宋体" w:cs="宋体"/>
          <w:color w:val="auto"/>
          <w:sz w:val="24"/>
          <w:highlight w:val="none"/>
        </w:rPr>
        <w:t>5、对</w:t>
      </w:r>
      <w:r>
        <w:rPr>
          <w:rFonts w:hint="eastAsia" w:ascii="宋体" w:hAnsi="宋体" w:cs="宋体"/>
          <w:color w:val="auto"/>
          <w:sz w:val="24"/>
          <w:highlight w:val="none"/>
          <w:shd w:val="clear" w:color="auto" w:fill="FFFFFF"/>
        </w:rPr>
        <w:t>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7F84CBFC">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24928F90">
      <w:pPr>
        <w:spacing w:line="360" w:lineRule="auto"/>
        <w:ind w:firstLine="3600" w:firstLineChars="1500"/>
        <w:rPr>
          <w:rFonts w:hint="eastAsia"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259A5B75">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 xml:space="preserve">     日期：  年   月   日</w:t>
      </w:r>
    </w:p>
    <w:p w14:paraId="2DB370AC">
      <w:pPr>
        <w:snapToGrid w:val="0"/>
        <w:spacing w:line="360" w:lineRule="auto"/>
        <w:ind w:left="420" w:leftChars="200" w:firstLine="4200" w:firstLineChars="1750"/>
        <w:rPr>
          <w:rFonts w:hint="eastAsia" w:ascii="宋体" w:hAnsi="宋体" w:cs="宋体"/>
          <w:color w:val="auto"/>
          <w:kern w:val="0"/>
          <w:sz w:val="24"/>
          <w:highlight w:val="none"/>
          <w:u w:val="single"/>
        </w:rPr>
      </w:pPr>
    </w:p>
    <w:p w14:paraId="57F62FCE">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14:paraId="1A94C9F4">
      <w:pPr>
        <w:snapToGrid w:val="0"/>
        <w:spacing w:line="360" w:lineRule="auto"/>
        <w:jc w:val="center"/>
        <w:rPr>
          <w:rFonts w:hint="eastAsia" w:ascii="宋体" w:hAnsi="宋体" w:cs="宋体"/>
          <w:b/>
          <w:color w:val="auto"/>
          <w:kern w:val="0"/>
          <w:sz w:val="32"/>
          <w:szCs w:val="32"/>
          <w:highlight w:val="none"/>
        </w:rPr>
      </w:pPr>
    </w:p>
    <w:p w14:paraId="5914607E">
      <w:pPr>
        <w:snapToGrid w:val="0"/>
        <w:spacing w:line="360" w:lineRule="auto"/>
        <w:rPr>
          <w:rFonts w:hint="eastAsia" w:ascii="宋体" w:hAnsi="宋体" w:cs="宋体"/>
          <w:color w:val="auto"/>
          <w:sz w:val="24"/>
          <w:highlight w:val="none"/>
        </w:rPr>
      </w:pPr>
    </w:p>
    <w:p w14:paraId="7DC6AD38">
      <w:pPr>
        <w:rPr>
          <w:rFonts w:hint="eastAsia" w:ascii="宋体" w:hAnsi="宋体" w:cs="宋体"/>
          <w:b/>
          <w:color w:val="auto"/>
          <w:kern w:val="0"/>
          <w:sz w:val="32"/>
          <w:szCs w:val="32"/>
          <w:highlight w:val="none"/>
        </w:rPr>
      </w:pPr>
    </w:p>
    <w:p w14:paraId="49F02951">
      <w:pPr>
        <w:jc w:val="center"/>
        <w:rPr>
          <w:rFonts w:hint="eastAsia" w:ascii="宋体" w:hAnsi="宋体" w:cs="宋体"/>
          <w:b/>
          <w:color w:val="auto"/>
          <w:kern w:val="0"/>
          <w:sz w:val="32"/>
          <w:szCs w:val="32"/>
          <w:highlight w:val="none"/>
        </w:rPr>
      </w:pPr>
    </w:p>
    <w:p w14:paraId="1D6DD887">
      <w:pPr>
        <w:jc w:val="center"/>
        <w:rPr>
          <w:rFonts w:hint="eastAsia" w:ascii="宋体" w:hAnsi="宋体" w:cs="宋体"/>
          <w:b/>
          <w:color w:val="auto"/>
          <w:kern w:val="0"/>
          <w:sz w:val="32"/>
          <w:szCs w:val="32"/>
          <w:highlight w:val="none"/>
        </w:rPr>
      </w:pPr>
    </w:p>
    <w:p w14:paraId="1A186D31">
      <w:pPr>
        <w:jc w:val="center"/>
        <w:rPr>
          <w:rFonts w:hint="eastAsia" w:ascii="宋体" w:hAnsi="宋体" w:cs="宋体"/>
          <w:b/>
          <w:color w:val="auto"/>
          <w:kern w:val="0"/>
          <w:sz w:val="32"/>
          <w:szCs w:val="32"/>
          <w:highlight w:val="none"/>
        </w:rPr>
      </w:pPr>
    </w:p>
    <w:p w14:paraId="3621A27B">
      <w:pPr>
        <w:jc w:val="center"/>
        <w:rPr>
          <w:rFonts w:hint="eastAsia" w:ascii="宋体" w:hAnsi="宋体" w:cs="宋体"/>
          <w:b/>
          <w:color w:val="auto"/>
          <w:kern w:val="0"/>
          <w:sz w:val="32"/>
          <w:szCs w:val="32"/>
          <w:highlight w:val="none"/>
        </w:rPr>
      </w:pPr>
    </w:p>
    <w:p w14:paraId="43630C92">
      <w:pPr>
        <w:jc w:val="center"/>
        <w:rPr>
          <w:rFonts w:hint="eastAsia" w:ascii="宋体" w:hAnsi="宋体" w:cs="宋体"/>
          <w:b/>
          <w:color w:val="auto"/>
          <w:kern w:val="0"/>
          <w:sz w:val="32"/>
          <w:szCs w:val="32"/>
          <w:highlight w:val="none"/>
        </w:rPr>
      </w:pPr>
    </w:p>
    <w:p w14:paraId="49E6063E">
      <w:pPr>
        <w:jc w:val="center"/>
        <w:rPr>
          <w:rFonts w:hint="eastAsia" w:ascii="宋体" w:hAnsi="宋体" w:cs="宋体"/>
          <w:b/>
          <w:color w:val="auto"/>
          <w:kern w:val="0"/>
          <w:sz w:val="32"/>
          <w:szCs w:val="32"/>
          <w:highlight w:val="none"/>
        </w:rPr>
      </w:pPr>
    </w:p>
    <w:p w14:paraId="188A6420">
      <w:pPr>
        <w:jc w:val="center"/>
        <w:rPr>
          <w:rFonts w:hint="eastAsia" w:ascii="宋体" w:hAnsi="宋体" w:cs="宋体"/>
          <w:b/>
          <w:color w:val="auto"/>
          <w:kern w:val="0"/>
          <w:sz w:val="32"/>
          <w:szCs w:val="32"/>
          <w:highlight w:val="none"/>
        </w:rPr>
      </w:pPr>
    </w:p>
    <w:p w14:paraId="102FCCCF">
      <w:pPr>
        <w:jc w:val="center"/>
        <w:rPr>
          <w:rFonts w:hint="eastAsia" w:ascii="宋体" w:hAnsi="宋体" w:cs="宋体"/>
          <w:b/>
          <w:color w:val="auto"/>
          <w:kern w:val="0"/>
          <w:sz w:val="32"/>
          <w:szCs w:val="32"/>
          <w:highlight w:val="none"/>
        </w:rPr>
      </w:pPr>
    </w:p>
    <w:p w14:paraId="14D0E8FC">
      <w:pPr>
        <w:jc w:val="center"/>
        <w:rPr>
          <w:rFonts w:hint="eastAsia" w:ascii="宋体" w:hAnsi="宋体" w:cs="宋体"/>
          <w:b/>
          <w:color w:val="auto"/>
          <w:kern w:val="0"/>
          <w:sz w:val="32"/>
          <w:szCs w:val="32"/>
          <w:highlight w:val="none"/>
        </w:rPr>
      </w:pPr>
    </w:p>
    <w:p w14:paraId="2D86BF79">
      <w:pPr>
        <w:jc w:val="center"/>
        <w:rPr>
          <w:rFonts w:hint="eastAsia" w:ascii="宋体" w:hAnsi="宋体" w:cs="宋体"/>
          <w:b/>
          <w:color w:val="auto"/>
          <w:kern w:val="0"/>
          <w:sz w:val="32"/>
          <w:szCs w:val="32"/>
          <w:highlight w:val="none"/>
        </w:rPr>
      </w:pPr>
    </w:p>
    <w:p w14:paraId="256C5A14">
      <w:pPr>
        <w:jc w:val="center"/>
        <w:rPr>
          <w:rFonts w:hint="eastAsia" w:ascii="宋体" w:hAnsi="宋体" w:cs="宋体"/>
          <w:b/>
          <w:color w:val="auto"/>
          <w:kern w:val="0"/>
          <w:sz w:val="32"/>
          <w:szCs w:val="32"/>
          <w:highlight w:val="none"/>
        </w:rPr>
      </w:pPr>
    </w:p>
    <w:p w14:paraId="48C871EE">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4CC787EF">
      <w:pPr>
        <w:jc w:val="center"/>
        <w:rPr>
          <w:rFonts w:hint="eastAsia"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1DB6B8D0">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w:t>
      </w:r>
    </w:p>
    <w:p w14:paraId="05DCC700">
      <w:pPr>
        <w:snapToGrid w:val="0"/>
        <w:spacing w:line="360" w:lineRule="auto"/>
        <w:ind w:firstLine="2872" w:firstLineChars="894"/>
        <w:rPr>
          <w:rFonts w:hint="eastAsia"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01CB10C3">
      <w:pPr>
        <w:snapToGrid w:val="0"/>
        <w:spacing w:line="360" w:lineRule="auto"/>
        <w:rPr>
          <w:rFonts w:hint="eastAsia" w:ascii="宋体" w:hAnsi="宋体" w:cs="宋体"/>
          <w:color w:val="auto"/>
          <w:kern w:val="0"/>
          <w:sz w:val="24"/>
          <w:highlight w:val="none"/>
        </w:rPr>
      </w:pPr>
      <w:r>
        <w:rPr>
          <w:rFonts w:hint="eastAsia" w:ascii="宋体" w:hAnsi="宋体" w:cs="宋体"/>
          <w:color w:val="auto"/>
          <w:sz w:val="24"/>
          <w:highlight w:val="none"/>
        </w:rPr>
        <w:t>浙江省杭州生态环境监测中心、杭州意信招标代理有限公司</w:t>
      </w:r>
      <w:r>
        <w:rPr>
          <w:rFonts w:hint="eastAsia" w:ascii="宋体" w:hAnsi="宋体" w:cs="宋体"/>
          <w:color w:val="auto"/>
          <w:kern w:val="0"/>
          <w:sz w:val="24"/>
          <w:highlight w:val="none"/>
          <w:lang w:val="zh-CN"/>
        </w:rPr>
        <w:t>：</w:t>
      </w:r>
    </w:p>
    <w:p w14:paraId="664EC06F">
      <w:pPr>
        <w:snapToGrid w:val="0"/>
        <w:spacing w:line="360" w:lineRule="auto"/>
        <w:ind w:firstLine="576"/>
        <w:rPr>
          <w:rFonts w:hint="eastAsia"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rPr>
        <w:t>，所在单位：</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2025年度杭州市温室气体监测系统运维及碳排放反演与通量核算项目【招标编号：HZYX-HJ-25218GK】</w:t>
      </w:r>
      <w:r>
        <w:rPr>
          <w:rFonts w:hint="eastAsia" w:ascii="宋体" w:hAnsi="宋体" w:cs="宋体"/>
          <w:color w:val="auto"/>
          <w:kern w:val="0"/>
          <w:sz w:val="24"/>
          <w:highlight w:val="none"/>
          <w:lang w:val="zh-CN"/>
        </w:rPr>
        <w:t>政府采购投标的一切事项，其法律后果由我方承担。</w:t>
      </w:r>
    </w:p>
    <w:p w14:paraId="763959FC">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113E0C77">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1470E4B6">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4A02C56D">
      <w:pPr>
        <w:snapToGrid w:val="0"/>
        <w:spacing w:line="360" w:lineRule="auto"/>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675CBFFC">
      <w:pPr>
        <w:snapToGrid w:val="0"/>
        <w:spacing w:line="360" w:lineRule="auto"/>
        <w:rPr>
          <w:rFonts w:hint="eastAsia" w:ascii="宋体" w:hAnsi="宋体" w:cs="宋体"/>
          <w:color w:val="auto"/>
          <w:sz w:val="24"/>
          <w:highlight w:val="none"/>
        </w:rPr>
      </w:pPr>
    </w:p>
    <w:p w14:paraId="6C3E1B22">
      <w:pPr>
        <w:spacing w:line="360" w:lineRule="auto"/>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p>
    <w:p w14:paraId="25A3D978">
      <w:pPr>
        <w:spacing w:line="360" w:lineRule="auto"/>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授权委托书（适用于联合体投标）</w:t>
      </w:r>
    </w:p>
    <w:p w14:paraId="19DA9CA6">
      <w:pPr>
        <w:snapToGrid w:val="0"/>
        <w:spacing w:line="360" w:lineRule="auto"/>
        <w:rPr>
          <w:rFonts w:hint="eastAsia" w:ascii="宋体" w:hAnsi="宋体" w:cs="宋体"/>
          <w:color w:val="auto"/>
          <w:kern w:val="0"/>
          <w:sz w:val="24"/>
          <w:highlight w:val="none"/>
        </w:rPr>
      </w:pPr>
      <w:r>
        <w:rPr>
          <w:rFonts w:hint="eastAsia" w:ascii="宋体" w:hAnsi="宋体" w:cs="宋体"/>
          <w:color w:val="auto"/>
          <w:sz w:val="24"/>
          <w:highlight w:val="none"/>
        </w:rPr>
        <w:t>浙江省杭州生态环境监测中心、杭州意信招标代理有限公司</w:t>
      </w:r>
      <w:r>
        <w:rPr>
          <w:rFonts w:hint="eastAsia" w:ascii="宋体" w:hAnsi="宋体" w:cs="宋体"/>
          <w:color w:val="auto"/>
          <w:kern w:val="0"/>
          <w:sz w:val="24"/>
          <w:highlight w:val="none"/>
          <w:lang w:val="zh-CN"/>
        </w:rPr>
        <w:t>：</w:t>
      </w:r>
    </w:p>
    <w:p w14:paraId="72B84DCA">
      <w:pPr>
        <w:snapToGrid w:val="0"/>
        <w:spacing w:line="360" w:lineRule="auto"/>
        <w:ind w:firstLine="576"/>
        <w:rPr>
          <w:rFonts w:hint="eastAsia"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rPr>
        <w:t>，所在单位：</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2025年度杭州市温室气体监测系统运维及碳排放反演与通量核算项目【招标编号：HZYX-HJ-25218GK】</w:t>
      </w:r>
      <w:r>
        <w:rPr>
          <w:rFonts w:hint="eastAsia" w:ascii="宋体" w:hAnsi="宋体" w:cs="宋体"/>
          <w:color w:val="auto"/>
          <w:kern w:val="0"/>
          <w:sz w:val="24"/>
          <w:highlight w:val="none"/>
          <w:lang w:val="zh-CN"/>
        </w:rPr>
        <w:t>政府采购投标的一切事项，其法律后果由我方承担。</w:t>
      </w:r>
    </w:p>
    <w:p w14:paraId="238D3525">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7B3CA288">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6034304B">
      <w:pPr>
        <w:jc w:val="center"/>
        <w:rPr>
          <w:rFonts w:hint="eastAsia" w:ascii="宋体" w:hAnsi="宋体" w:cs="宋体"/>
          <w:b/>
          <w:color w:val="auto"/>
          <w:kern w:val="0"/>
          <w:sz w:val="32"/>
          <w:szCs w:val="32"/>
          <w:highlight w:val="none"/>
        </w:rPr>
      </w:pPr>
    </w:p>
    <w:p w14:paraId="4D2D94DF">
      <w:pPr>
        <w:snapToGrid w:val="0"/>
        <w:spacing w:line="360" w:lineRule="auto"/>
        <w:ind w:firstLine="5040" w:firstLineChars="21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68B510DE">
      <w:pPr>
        <w:snapToGrid w:val="0"/>
        <w:spacing w:line="360" w:lineRule="auto"/>
        <w:ind w:firstLine="5040" w:firstLineChars="21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0554F708">
      <w:pPr>
        <w:snapToGrid w:val="0"/>
        <w:spacing w:line="360" w:lineRule="auto"/>
        <w:ind w:firstLine="5760" w:firstLineChars="2400"/>
        <w:rPr>
          <w:rFonts w:hint="eastAsia" w:ascii="宋体" w:hAnsi="宋体" w:cs="宋体"/>
          <w:color w:val="auto"/>
          <w:highlight w:val="none"/>
        </w:rPr>
      </w:pPr>
      <w:r>
        <w:rPr>
          <w:rFonts w:hint="eastAsia" w:ascii="宋体" w:hAnsi="宋体" w:cs="宋体"/>
          <w:color w:val="auto"/>
          <w:kern w:val="0"/>
          <w:sz w:val="24"/>
          <w:highlight w:val="none"/>
          <w:lang w:val="zh-CN"/>
        </w:rPr>
        <w:t>……</w:t>
      </w:r>
    </w:p>
    <w:p w14:paraId="2795B457">
      <w:pPr>
        <w:snapToGrid w:val="0"/>
        <w:spacing w:line="360" w:lineRule="auto"/>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35343D8E">
      <w:pPr>
        <w:rPr>
          <w:rFonts w:hint="eastAsia"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br w:type="page"/>
      </w:r>
    </w:p>
    <w:p w14:paraId="302A4329">
      <w:pPr>
        <w:autoSpaceDE w:val="0"/>
        <w:autoSpaceDN w:val="0"/>
        <w:spacing w:line="360" w:lineRule="auto"/>
        <w:jc w:val="center"/>
        <w:rPr>
          <w:rFonts w:hint="eastAsia"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605F35D0">
      <w:pPr>
        <w:pStyle w:val="149"/>
        <w:spacing w:line="360" w:lineRule="auto"/>
        <w:rPr>
          <w:rFonts w:hint="eastAsia" w:hAnsi="宋体" w:cs="宋体"/>
          <w:bCs/>
          <w:color w:val="auto"/>
          <w:sz w:val="24"/>
          <w:highlight w:val="none"/>
        </w:rPr>
      </w:pPr>
      <w:r>
        <w:rPr>
          <w:rFonts w:hint="eastAsia" w:hAnsi="宋体" w:cs="宋体"/>
          <w:bCs/>
          <w:color w:val="auto"/>
          <w:sz w:val="24"/>
          <w:highlight w:val="none"/>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2FFB5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3FA05610">
            <w:pPr>
              <w:pStyle w:val="149"/>
              <w:adjustRightInd w:val="0"/>
              <w:spacing w:line="360" w:lineRule="auto"/>
              <w:rPr>
                <w:rFonts w:hint="eastAsia" w:hAnsi="宋体" w:cs="宋体"/>
                <w:bCs/>
                <w:color w:val="auto"/>
                <w:sz w:val="24"/>
                <w:highlight w:val="none"/>
              </w:rPr>
            </w:pPr>
            <w:r>
              <w:rPr>
                <w:rFonts w:hint="eastAsia" w:hAnsi="宋体" w:cs="宋体"/>
                <w:bCs/>
                <w:color w:val="auto"/>
                <w:sz w:val="24"/>
                <w:highlight w:val="none"/>
              </w:rPr>
              <w:t>正面：                                 反面：</w:t>
            </w:r>
          </w:p>
          <w:p w14:paraId="05127411">
            <w:pPr>
              <w:pStyle w:val="149"/>
              <w:adjustRightInd w:val="0"/>
              <w:spacing w:line="360" w:lineRule="auto"/>
              <w:rPr>
                <w:rFonts w:hint="eastAsia" w:hAnsi="宋体" w:cs="宋体"/>
                <w:bCs/>
                <w:color w:val="auto"/>
                <w:sz w:val="24"/>
                <w:highlight w:val="none"/>
              </w:rPr>
            </w:pPr>
          </w:p>
        </w:tc>
      </w:tr>
    </w:tbl>
    <w:p w14:paraId="57818DFD">
      <w:pPr>
        <w:snapToGrid w:val="0"/>
        <w:spacing w:line="360" w:lineRule="auto"/>
        <w:ind w:firstLine="576"/>
        <w:jc w:val="center"/>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20310DE9">
      <w:pPr>
        <w:snapToGrid w:val="0"/>
        <w:spacing w:line="360" w:lineRule="auto"/>
        <w:ind w:firstLine="576"/>
        <w:jc w:val="center"/>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14EF65CF">
      <w:pPr>
        <w:spacing w:line="360" w:lineRule="auto"/>
        <w:jc w:val="center"/>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3F217896">
      <w:pPr>
        <w:jc w:val="center"/>
        <w:rPr>
          <w:rFonts w:hint="eastAsia" w:ascii="宋体" w:hAnsi="宋体" w:cs="宋体"/>
          <w:b/>
          <w:color w:val="auto"/>
          <w:kern w:val="0"/>
          <w:sz w:val="32"/>
          <w:szCs w:val="32"/>
          <w:highlight w:val="none"/>
        </w:rPr>
      </w:pPr>
    </w:p>
    <w:p w14:paraId="021BE9CA">
      <w:pPr>
        <w:jc w:val="center"/>
        <w:rPr>
          <w:rFonts w:hint="eastAsia" w:ascii="宋体" w:hAnsi="宋体" w:cs="宋体"/>
          <w:b/>
          <w:color w:val="auto"/>
          <w:kern w:val="0"/>
          <w:sz w:val="32"/>
          <w:szCs w:val="32"/>
          <w:highlight w:val="none"/>
        </w:rPr>
      </w:pPr>
    </w:p>
    <w:p w14:paraId="03E48EF4">
      <w:pPr>
        <w:jc w:val="center"/>
        <w:rPr>
          <w:rFonts w:hint="eastAsia" w:ascii="宋体" w:hAnsi="宋体" w:cs="宋体"/>
          <w:b/>
          <w:color w:val="auto"/>
          <w:kern w:val="0"/>
          <w:sz w:val="32"/>
          <w:szCs w:val="32"/>
          <w:highlight w:val="none"/>
        </w:rPr>
      </w:pPr>
    </w:p>
    <w:p w14:paraId="724CCC54">
      <w:pPr>
        <w:jc w:val="center"/>
        <w:rPr>
          <w:rFonts w:hint="eastAsia" w:ascii="宋体" w:hAnsi="宋体" w:cs="宋体"/>
          <w:b/>
          <w:color w:val="auto"/>
          <w:kern w:val="0"/>
          <w:sz w:val="32"/>
          <w:szCs w:val="32"/>
          <w:highlight w:val="none"/>
        </w:rPr>
      </w:pPr>
    </w:p>
    <w:p w14:paraId="0747B15D">
      <w:pPr>
        <w:jc w:val="center"/>
        <w:rPr>
          <w:rFonts w:hint="eastAsia" w:ascii="宋体" w:hAnsi="宋体" w:cs="宋体"/>
          <w:b/>
          <w:color w:val="auto"/>
          <w:kern w:val="0"/>
          <w:sz w:val="32"/>
          <w:szCs w:val="32"/>
          <w:highlight w:val="none"/>
        </w:rPr>
      </w:pPr>
    </w:p>
    <w:p w14:paraId="646BF4E8">
      <w:pPr>
        <w:jc w:val="center"/>
        <w:rPr>
          <w:rFonts w:hint="eastAsia" w:ascii="宋体" w:hAnsi="宋体" w:cs="宋体"/>
          <w:b/>
          <w:color w:val="auto"/>
          <w:kern w:val="0"/>
          <w:sz w:val="32"/>
          <w:szCs w:val="32"/>
          <w:highlight w:val="none"/>
        </w:rPr>
      </w:pPr>
    </w:p>
    <w:p w14:paraId="1C9F43FF">
      <w:pPr>
        <w:jc w:val="center"/>
        <w:rPr>
          <w:rFonts w:hint="eastAsia" w:ascii="宋体" w:hAnsi="宋体" w:cs="宋体"/>
          <w:b/>
          <w:color w:val="auto"/>
          <w:kern w:val="0"/>
          <w:sz w:val="32"/>
          <w:szCs w:val="32"/>
          <w:highlight w:val="none"/>
        </w:rPr>
      </w:pPr>
    </w:p>
    <w:p w14:paraId="25004DB4">
      <w:pPr>
        <w:jc w:val="center"/>
        <w:rPr>
          <w:rFonts w:hint="eastAsia" w:ascii="宋体" w:hAnsi="宋体" w:cs="宋体"/>
          <w:b/>
          <w:color w:val="auto"/>
          <w:kern w:val="0"/>
          <w:sz w:val="32"/>
          <w:szCs w:val="32"/>
          <w:highlight w:val="none"/>
        </w:rPr>
      </w:pPr>
    </w:p>
    <w:p w14:paraId="17B1B17C">
      <w:pPr>
        <w:jc w:val="center"/>
        <w:rPr>
          <w:rFonts w:hint="eastAsia" w:ascii="宋体" w:hAnsi="宋体" w:cs="宋体"/>
          <w:b/>
          <w:color w:val="auto"/>
          <w:kern w:val="0"/>
          <w:sz w:val="32"/>
          <w:szCs w:val="32"/>
          <w:highlight w:val="none"/>
        </w:rPr>
      </w:pPr>
    </w:p>
    <w:p w14:paraId="16F29347">
      <w:pPr>
        <w:jc w:val="center"/>
        <w:rPr>
          <w:rFonts w:hint="eastAsia" w:ascii="宋体" w:hAnsi="宋体" w:cs="宋体"/>
          <w:b/>
          <w:color w:val="auto"/>
          <w:kern w:val="0"/>
          <w:sz w:val="32"/>
          <w:szCs w:val="32"/>
          <w:highlight w:val="none"/>
        </w:rPr>
      </w:pPr>
    </w:p>
    <w:p w14:paraId="7308CB3A">
      <w:pPr>
        <w:snapToGrid w:val="0"/>
        <w:spacing w:line="360" w:lineRule="auto"/>
        <w:ind w:right="480"/>
        <w:rPr>
          <w:rFonts w:hint="eastAsia" w:ascii="宋体" w:hAnsi="宋体" w:cs="宋体"/>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3369785E">
      <w:pPr>
        <w:snapToGrid w:val="0"/>
        <w:spacing w:line="360" w:lineRule="auto"/>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703B7135">
      <w:pPr>
        <w:widowControl/>
        <w:spacing w:line="360" w:lineRule="auto"/>
        <w:ind w:firstLine="120" w:firstLineChars="50"/>
        <w:jc w:val="left"/>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p w14:paraId="3372EDE6">
      <w:pPr>
        <w:snapToGrid w:val="0"/>
        <w:spacing w:line="360" w:lineRule="auto"/>
        <w:rPr>
          <w:rFonts w:hint="eastAsia" w:ascii="宋体" w:hAnsi="宋体" w:cs="宋体"/>
          <w:color w:val="auto"/>
          <w:kern w:val="0"/>
          <w:sz w:val="24"/>
          <w:highlight w:val="none"/>
        </w:rPr>
      </w:pPr>
    </w:p>
    <w:p w14:paraId="5B1D5CE8">
      <w:pPr>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10820DA5">
      <w:pPr>
        <w:jc w:val="center"/>
        <w:rPr>
          <w:rFonts w:hint="eastAsia" w:ascii="宋体" w:hAnsi="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7FA97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685232DA">
            <w:pPr>
              <w:snapToGrid w:val="0"/>
              <w:spacing w:line="240" w:lineRule="atLeast"/>
              <w:jc w:val="center"/>
              <w:rPr>
                <w:rFonts w:hint="eastAsia"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3475D313">
            <w:pPr>
              <w:snapToGrid w:val="0"/>
              <w:spacing w:line="240" w:lineRule="atLeast"/>
              <w:jc w:val="center"/>
              <w:rPr>
                <w:rFonts w:hint="eastAsia"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272F5FBD">
            <w:pPr>
              <w:snapToGrid w:val="0"/>
              <w:spacing w:line="240" w:lineRule="atLeast"/>
              <w:jc w:val="center"/>
              <w:rPr>
                <w:rFonts w:hint="eastAsia"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5F789559">
            <w:pPr>
              <w:snapToGrid w:val="0"/>
              <w:spacing w:line="240" w:lineRule="atLeast"/>
              <w:jc w:val="center"/>
              <w:rPr>
                <w:rFonts w:hint="eastAsia" w:ascii="宋体" w:hAnsi="宋体" w:cs="宋体"/>
                <w:b/>
                <w:color w:val="auto"/>
                <w:sz w:val="24"/>
                <w:highlight w:val="none"/>
              </w:rPr>
            </w:pPr>
            <w:r>
              <w:rPr>
                <w:rFonts w:hint="eastAsia" w:ascii="宋体" w:hAnsi="宋体" w:cs="宋体"/>
                <w:b/>
                <w:color w:val="auto"/>
                <w:sz w:val="24"/>
                <w:highlight w:val="none"/>
              </w:rPr>
              <w:t>投标文件中的</w:t>
            </w:r>
          </w:p>
          <w:p w14:paraId="3006604F">
            <w:pPr>
              <w:snapToGrid w:val="0"/>
              <w:spacing w:line="240" w:lineRule="atLeast"/>
              <w:jc w:val="center"/>
              <w:rPr>
                <w:rFonts w:hint="eastAsia" w:ascii="宋体" w:hAnsi="宋体" w:cs="宋体"/>
                <w:b/>
                <w:color w:val="auto"/>
                <w:sz w:val="24"/>
                <w:highlight w:val="none"/>
              </w:rPr>
            </w:pPr>
            <w:r>
              <w:rPr>
                <w:rFonts w:hint="eastAsia" w:ascii="宋体" w:hAnsi="宋体" w:cs="宋体"/>
                <w:b/>
                <w:color w:val="auto"/>
                <w:sz w:val="24"/>
                <w:highlight w:val="none"/>
              </w:rPr>
              <w:t>页码位置</w:t>
            </w:r>
          </w:p>
        </w:tc>
      </w:tr>
      <w:tr w14:paraId="72C6F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41B5256">
            <w:pPr>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4991" w:type="dxa"/>
          </w:tcPr>
          <w:p w14:paraId="47327A7E">
            <w:pPr>
              <w:spacing w:line="360" w:lineRule="auto"/>
              <w:rPr>
                <w:rFonts w:hint="eastAsia"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76921806">
            <w:pPr>
              <w:rPr>
                <w:rFonts w:hint="eastAsia"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5DB09FBB">
            <w:pPr>
              <w:rPr>
                <w:rFonts w:hint="eastAsia" w:ascii="宋体" w:hAnsi="宋体" w:cs="宋体"/>
                <w:color w:val="auto"/>
                <w:sz w:val="24"/>
                <w:highlight w:val="none"/>
              </w:rPr>
            </w:pPr>
          </w:p>
          <w:p w14:paraId="5BECA505">
            <w:pPr>
              <w:rPr>
                <w:rFonts w:hint="eastAsia" w:ascii="宋体" w:hAnsi="宋体" w:cs="宋体"/>
                <w:color w:val="auto"/>
                <w:sz w:val="24"/>
                <w:highlight w:val="none"/>
              </w:rPr>
            </w:pPr>
            <w:r>
              <w:rPr>
                <w:rFonts w:hint="eastAsia" w:ascii="宋体" w:hAnsi="宋体" w:cs="宋体"/>
                <w:color w:val="auto"/>
                <w:sz w:val="24"/>
                <w:highlight w:val="none"/>
              </w:rPr>
              <w:t>见投标文件</w:t>
            </w:r>
          </w:p>
          <w:p w14:paraId="208393B9">
            <w:pPr>
              <w:rPr>
                <w:rFonts w:hint="eastAsia"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56094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51A7F8D">
            <w:pPr>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4991" w:type="dxa"/>
          </w:tcPr>
          <w:p w14:paraId="749C1990">
            <w:pPr>
              <w:spacing w:line="360" w:lineRule="auto"/>
              <w:rPr>
                <w:rFonts w:hint="eastAsia"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238DA53F">
            <w:pPr>
              <w:rPr>
                <w:rFonts w:hint="eastAsia"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0C092626">
            <w:pPr>
              <w:rPr>
                <w:rFonts w:hint="eastAsia"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218AD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CBBA367">
            <w:pPr>
              <w:jc w:val="center"/>
              <w:rPr>
                <w:rFonts w:hint="eastAsia" w:ascii="宋体" w:hAnsi="宋体" w:cs="宋体"/>
                <w:color w:val="auto"/>
                <w:sz w:val="24"/>
                <w:highlight w:val="none"/>
              </w:rPr>
            </w:pPr>
            <w:r>
              <w:rPr>
                <w:rFonts w:hint="eastAsia" w:ascii="宋体" w:hAnsi="宋体" w:cs="宋体"/>
                <w:color w:val="auto"/>
                <w:sz w:val="24"/>
                <w:highlight w:val="none"/>
              </w:rPr>
              <w:t>3</w:t>
            </w:r>
          </w:p>
        </w:tc>
        <w:tc>
          <w:tcPr>
            <w:tcW w:w="4991" w:type="dxa"/>
          </w:tcPr>
          <w:p w14:paraId="05787BD7">
            <w:pPr>
              <w:spacing w:line="360" w:lineRule="auto"/>
              <w:rPr>
                <w:rFonts w:hint="eastAsia" w:ascii="宋体" w:hAnsi="宋体" w:cs="宋体"/>
                <w:color w:val="auto"/>
                <w:sz w:val="24"/>
                <w:highlight w:val="none"/>
              </w:rPr>
            </w:pPr>
            <w:r>
              <w:rPr>
                <w:rFonts w:hint="eastAsia" w:ascii="宋体" w:hAnsi="宋体" w:cs="宋体"/>
                <w:snapToGrid w:val="0"/>
                <w:color w:val="auto"/>
                <w:sz w:val="24"/>
                <w:highlight w:val="none"/>
              </w:rPr>
              <w:t>其他实质性要求1：</w:t>
            </w:r>
          </w:p>
        </w:tc>
        <w:tc>
          <w:tcPr>
            <w:tcW w:w="2551" w:type="dxa"/>
            <w:vMerge w:val="restart"/>
            <w:vAlign w:val="center"/>
          </w:tcPr>
          <w:p w14:paraId="7A339D47">
            <w:pPr>
              <w:rPr>
                <w:rFonts w:hint="eastAsia" w:ascii="宋体" w:hAnsi="宋体" w:cs="宋体"/>
                <w:color w:val="auto"/>
                <w:sz w:val="24"/>
                <w:highlight w:val="none"/>
              </w:rPr>
            </w:pPr>
            <w:r>
              <w:rPr>
                <w:rFonts w:hint="eastAsia" w:ascii="宋体" w:hAnsi="宋体" w:cs="宋体"/>
                <w:color w:val="auto"/>
                <w:kern w:val="0"/>
                <w:sz w:val="24"/>
                <w:highlight w:val="none"/>
              </w:rPr>
              <w:t>招标文件其它实质性要求相应的材料（“▲” 系指实质性要求条款，招标文件无其它实质性要求的，无需提供）</w:t>
            </w:r>
          </w:p>
        </w:tc>
        <w:tc>
          <w:tcPr>
            <w:tcW w:w="1418" w:type="dxa"/>
          </w:tcPr>
          <w:p w14:paraId="29259326">
            <w:pPr>
              <w:rPr>
                <w:rFonts w:hint="eastAsia"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1360A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583AF8D">
            <w:pPr>
              <w:jc w:val="center"/>
              <w:rPr>
                <w:rFonts w:hint="eastAsia" w:ascii="宋体" w:hAnsi="宋体" w:cs="宋体"/>
                <w:color w:val="auto"/>
                <w:sz w:val="24"/>
                <w:highlight w:val="none"/>
              </w:rPr>
            </w:pPr>
            <w:r>
              <w:rPr>
                <w:rFonts w:hint="eastAsia" w:ascii="宋体" w:hAnsi="宋体" w:cs="宋体"/>
                <w:color w:val="auto"/>
                <w:sz w:val="24"/>
                <w:highlight w:val="none"/>
              </w:rPr>
              <w:t>4</w:t>
            </w:r>
          </w:p>
        </w:tc>
        <w:tc>
          <w:tcPr>
            <w:tcW w:w="4991" w:type="dxa"/>
          </w:tcPr>
          <w:p w14:paraId="07F29269">
            <w:pPr>
              <w:spacing w:line="360" w:lineRule="auto"/>
              <w:rPr>
                <w:rFonts w:hint="eastAsia" w:ascii="宋体" w:hAnsi="宋体" w:cs="宋体"/>
                <w:color w:val="auto"/>
                <w:sz w:val="24"/>
                <w:highlight w:val="none"/>
              </w:rPr>
            </w:pPr>
            <w:r>
              <w:rPr>
                <w:rFonts w:hint="eastAsia" w:ascii="宋体" w:hAnsi="宋体" w:cs="宋体"/>
                <w:snapToGrid w:val="0"/>
                <w:color w:val="auto"/>
                <w:sz w:val="24"/>
                <w:highlight w:val="none"/>
              </w:rPr>
              <w:t>其他实质性要求2：</w:t>
            </w:r>
          </w:p>
        </w:tc>
        <w:tc>
          <w:tcPr>
            <w:tcW w:w="2551" w:type="dxa"/>
            <w:vMerge w:val="continue"/>
            <w:vAlign w:val="center"/>
          </w:tcPr>
          <w:p w14:paraId="7FE785FB">
            <w:pPr>
              <w:rPr>
                <w:rFonts w:hint="eastAsia" w:ascii="宋体" w:hAnsi="宋体" w:cs="宋体"/>
                <w:color w:val="auto"/>
                <w:sz w:val="24"/>
                <w:highlight w:val="none"/>
              </w:rPr>
            </w:pPr>
          </w:p>
        </w:tc>
        <w:tc>
          <w:tcPr>
            <w:tcW w:w="1418" w:type="dxa"/>
          </w:tcPr>
          <w:p w14:paraId="700BE518">
            <w:pPr>
              <w:rPr>
                <w:rFonts w:hint="eastAsia" w:ascii="宋体" w:hAnsi="宋体" w:cs="宋体"/>
                <w:color w:val="auto"/>
                <w:sz w:val="24"/>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19A39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EF6651B">
            <w:pPr>
              <w:jc w:val="center"/>
              <w:rPr>
                <w:rFonts w:hint="eastAsia" w:ascii="宋体" w:hAnsi="宋体" w:cs="宋体"/>
                <w:color w:val="auto"/>
                <w:sz w:val="24"/>
                <w:highlight w:val="none"/>
              </w:rPr>
            </w:pPr>
            <w:r>
              <w:rPr>
                <w:rFonts w:hint="eastAsia" w:ascii="宋体" w:hAnsi="宋体" w:cs="宋体"/>
                <w:color w:val="auto"/>
                <w:kern w:val="0"/>
                <w:sz w:val="24"/>
                <w:highlight w:val="none"/>
              </w:rPr>
              <w:t>……</w:t>
            </w:r>
          </w:p>
        </w:tc>
        <w:tc>
          <w:tcPr>
            <w:tcW w:w="4991" w:type="dxa"/>
          </w:tcPr>
          <w:p w14:paraId="4D91AC27">
            <w:pPr>
              <w:spacing w:line="360" w:lineRule="auto"/>
              <w:rPr>
                <w:rFonts w:hint="eastAsia" w:ascii="宋体" w:hAnsi="宋体" w:cs="宋体"/>
                <w:color w:val="auto"/>
                <w:sz w:val="24"/>
                <w:highlight w:val="none"/>
              </w:rPr>
            </w:pPr>
            <w:r>
              <w:rPr>
                <w:rFonts w:hint="eastAsia" w:ascii="宋体" w:hAnsi="宋体" w:cs="宋体"/>
                <w:snapToGrid w:val="0"/>
                <w:color w:val="auto"/>
                <w:sz w:val="24"/>
                <w:highlight w:val="none"/>
              </w:rPr>
              <w:t>其他实质性要求</w:t>
            </w:r>
            <w:r>
              <w:rPr>
                <w:rFonts w:hint="eastAsia" w:ascii="宋体" w:hAnsi="宋体" w:cs="宋体"/>
                <w:color w:val="auto"/>
                <w:kern w:val="0"/>
                <w:sz w:val="24"/>
                <w:highlight w:val="none"/>
              </w:rPr>
              <w:t>……</w:t>
            </w:r>
            <w:r>
              <w:rPr>
                <w:rFonts w:hint="eastAsia" w:ascii="宋体" w:hAnsi="宋体" w:cs="宋体"/>
                <w:snapToGrid w:val="0"/>
                <w:color w:val="auto"/>
                <w:sz w:val="24"/>
                <w:highlight w:val="none"/>
              </w:rPr>
              <w:t>：</w:t>
            </w:r>
          </w:p>
        </w:tc>
        <w:tc>
          <w:tcPr>
            <w:tcW w:w="2551" w:type="dxa"/>
            <w:vMerge w:val="continue"/>
            <w:vAlign w:val="center"/>
          </w:tcPr>
          <w:p w14:paraId="68862B02">
            <w:pPr>
              <w:rPr>
                <w:rFonts w:hint="eastAsia" w:ascii="宋体" w:hAnsi="宋体" w:cs="宋体"/>
                <w:color w:val="auto"/>
                <w:sz w:val="24"/>
                <w:highlight w:val="none"/>
              </w:rPr>
            </w:pPr>
          </w:p>
        </w:tc>
        <w:tc>
          <w:tcPr>
            <w:tcW w:w="1418" w:type="dxa"/>
          </w:tcPr>
          <w:p w14:paraId="7E2CD991">
            <w:pPr>
              <w:rPr>
                <w:rFonts w:hint="eastAsia" w:ascii="宋体" w:hAnsi="宋体" w:cs="宋体"/>
                <w:color w:val="auto"/>
                <w:sz w:val="24"/>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14:paraId="3477299B">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注：1.按本格式和要求提供。</w:t>
      </w:r>
    </w:p>
    <w:p w14:paraId="5A83E571">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2、招标文件中实质性要求必须明确响应。</w:t>
      </w:r>
    </w:p>
    <w:p w14:paraId="1105FA7E">
      <w:pPr>
        <w:jc w:val="center"/>
        <w:rPr>
          <w:rFonts w:hint="eastAsia" w:ascii="宋体" w:hAnsi="宋体" w:cs="宋体"/>
          <w:b/>
          <w:color w:val="auto"/>
          <w:kern w:val="0"/>
          <w:sz w:val="32"/>
          <w:szCs w:val="32"/>
          <w:highlight w:val="none"/>
        </w:rPr>
      </w:pPr>
    </w:p>
    <w:p w14:paraId="2D677078">
      <w:pPr>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74526403">
      <w:pPr>
        <w:jc w:val="center"/>
        <w:rPr>
          <w:rFonts w:hint="eastAsia" w:ascii="宋体" w:hAnsi="宋体" w:cs="宋体"/>
          <w:b/>
          <w:color w:val="auto"/>
          <w:kern w:val="0"/>
          <w:sz w:val="32"/>
          <w:szCs w:val="32"/>
          <w:highlight w:val="none"/>
        </w:rPr>
      </w:pPr>
    </w:p>
    <w:p w14:paraId="17D3BEAE">
      <w:pPr>
        <w:jc w:val="center"/>
        <w:rPr>
          <w:rFonts w:hint="eastAsia" w:ascii="宋体" w:hAnsi="宋体" w:cs="宋体"/>
          <w:b/>
          <w:color w:val="auto"/>
          <w:kern w:val="0"/>
          <w:sz w:val="32"/>
          <w:szCs w:val="32"/>
          <w:highlight w:val="none"/>
        </w:rPr>
      </w:pPr>
    </w:p>
    <w:p w14:paraId="3146C8CB">
      <w:pPr>
        <w:jc w:val="center"/>
        <w:rPr>
          <w:rFonts w:hint="eastAsia" w:ascii="宋体" w:hAnsi="宋体" w:cs="宋体"/>
          <w:b/>
          <w:color w:val="auto"/>
          <w:kern w:val="0"/>
          <w:sz w:val="32"/>
          <w:szCs w:val="32"/>
          <w:highlight w:val="none"/>
        </w:rPr>
      </w:pPr>
    </w:p>
    <w:p w14:paraId="0391D457">
      <w:pPr>
        <w:jc w:val="center"/>
        <w:rPr>
          <w:rFonts w:hint="eastAsia" w:ascii="宋体" w:hAnsi="宋体" w:cs="宋体"/>
          <w:b/>
          <w:color w:val="auto"/>
          <w:kern w:val="0"/>
          <w:sz w:val="32"/>
          <w:szCs w:val="32"/>
          <w:highlight w:val="none"/>
        </w:rPr>
      </w:pPr>
    </w:p>
    <w:p w14:paraId="0C8BB0C0">
      <w:pPr>
        <w:jc w:val="center"/>
        <w:rPr>
          <w:rFonts w:hint="eastAsia" w:ascii="宋体" w:hAnsi="宋体" w:cs="宋体"/>
          <w:b/>
          <w:color w:val="auto"/>
          <w:kern w:val="0"/>
          <w:sz w:val="32"/>
          <w:szCs w:val="32"/>
          <w:highlight w:val="none"/>
        </w:rPr>
      </w:pPr>
    </w:p>
    <w:p w14:paraId="6608707E">
      <w:pPr>
        <w:jc w:val="center"/>
        <w:rPr>
          <w:rFonts w:hint="eastAsia" w:ascii="宋体" w:hAnsi="宋体" w:cs="宋体"/>
          <w:b/>
          <w:color w:val="auto"/>
          <w:kern w:val="0"/>
          <w:sz w:val="32"/>
          <w:szCs w:val="32"/>
          <w:highlight w:val="none"/>
        </w:rPr>
      </w:pPr>
    </w:p>
    <w:p w14:paraId="6CD07B32">
      <w:pPr>
        <w:jc w:val="center"/>
        <w:rPr>
          <w:rFonts w:hint="eastAsia" w:ascii="宋体" w:hAnsi="宋体" w:cs="宋体"/>
          <w:b/>
          <w:color w:val="auto"/>
          <w:kern w:val="0"/>
          <w:sz w:val="32"/>
          <w:szCs w:val="32"/>
          <w:highlight w:val="none"/>
        </w:rPr>
      </w:pPr>
    </w:p>
    <w:p w14:paraId="15131CCF">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1944FD8E">
      <w:pPr>
        <w:jc w:val="center"/>
        <w:rPr>
          <w:rFonts w:hint="eastAsia"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06BFE796">
      <w:pPr>
        <w:snapToGrid w:val="0"/>
        <w:spacing w:line="360" w:lineRule="auto"/>
        <w:jc w:val="left"/>
        <w:rPr>
          <w:rFonts w:hint="eastAsia"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tbl>
      <w:tblPr>
        <w:tblStyle w:val="63"/>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19477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0B242569">
            <w:pPr>
              <w:snapToGrid w:val="0"/>
              <w:spacing w:line="360" w:lineRule="auto"/>
              <w:jc w:val="center"/>
              <w:rPr>
                <w:rFonts w:hint="eastAsia"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序号</w:t>
            </w:r>
          </w:p>
        </w:tc>
        <w:tc>
          <w:tcPr>
            <w:tcW w:w="5465" w:type="dxa"/>
          </w:tcPr>
          <w:p w14:paraId="04BBDE4D">
            <w:pPr>
              <w:snapToGrid w:val="0"/>
              <w:spacing w:line="360" w:lineRule="auto"/>
              <w:jc w:val="center"/>
              <w:rPr>
                <w:rFonts w:hint="eastAsia" w:ascii="宋体" w:hAnsi="宋体" w:cs="宋体"/>
                <w:bCs/>
                <w:color w:val="auto"/>
                <w:sz w:val="24"/>
                <w:highlight w:val="none"/>
              </w:rPr>
            </w:pPr>
            <w:r>
              <w:rPr>
                <w:rFonts w:hint="eastAsia" w:cs="仿宋_GB2312" w:asciiTheme="minorEastAsia" w:hAnsiTheme="minorEastAsia" w:eastAsiaTheme="minorEastAsia"/>
                <w:bCs/>
                <w:color w:val="auto"/>
                <w:sz w:val="24"/>
                <w:highlight w:val="none"/>
              </w:rPr>
              <w:t>投标文件中评标标准相应的商务技术资料目录*</w:t>
            </w:r>
          </w:p>
        </w:tc>
        <w:tc>
          <w:tcPr>
            <w:tcW w:w="3046" w:type="dxa"/>
          </w:tcPr>
          <w:p w14:paraId="364BE972">
            <w:pPr>
              <w:snapToGrid w:val="0"/>
              <w:spacing w:line="240" w:lineRule="atLeast"/>
              <w:jc w:val="center"/>
              <w:rPr>
                <w:rFonts w:hint="eastAsia" w:ascii="宋体" w:hAnsi="宋体" w:cs="宋体"/>
                <w:bCs/>
                <w:color w:val="auto"/>
                <w:sz w:val="24"/>
                <w:highlight w:val="none"/>
              </w:rPr>
            </w:pPr>
            <w:r>
              <w:rPr>
                <w:rFonts w:hint="eastAsia" w:ascii="宋体" w:hAnsi="宋体" w:cs="宋体"/>
                <w:bCs/>
                <w:color w:val="auto"/>
                <w:sz w:val="24"/>
                <w:highlight w:val="none"/>
              </w:rPr>
              <w:t>投标文件中的页码位置</w:t>
            </w:r>
          </w:p>
        </w:tc>
      </w:tr>
      <w:tr w14:paraId="47C4E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6624206B">
            <w:pPr>
              <w:snapToGrid w:val="0"/>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1</w:t>
            </w:r>
          </w:p>
        </w:tc>
        <w:tc>
          <w:tcPr>
            <w:tcW w:w="5465" w:type="dxa"/>
          </w:tcPr>
          <w:p w14:paraId="12FC9512">
            <w:pPr>
              <w:snapToGrid w:val="0"/>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XXX（预先填写）</w:t>
            </w:r>
          </w:p>
        </w:tc>
        <w:tc>
          <w:tcPr>
            <w:tcW w:w="3046" w:type="dxa"/>
          </w:tcPr>
          <w:p w14:paraId="7EEF921A">
            <w:pPr>
              <w:jc w:val="center"/>
              <w:rPr>
                <w:rFonts w:hint="eastAsia" w:ascii="宋体" w:hAnsi="宋体" w:cs="宋体"/>
                <w:bCs/>
                <w:color w:val="auto"/>
                <w:sz w:val="24"/>
                <w:highlight w:val="none"/>
              </w:rPr>
            </w:pPr>
            <w:r>
              <w:rPr>
                <w:rFonts w:hint="eastAsia" w:ascii="宋体" w:hAnsi="宋体" w:cs="宋体"/>
                <w:bCs/>
                <w:color w:val="auto"/>
                <w:sz w:val="24"/>
                <w:highlight w:val="none"/>
              </w:rPr>
              <w:t>见投标文件第</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页</w:t>
            </w:r>
          </w:p>
        </w:tc>
      </w:tr>
      <w:tr w14:paraId="72B23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6744BAFB">
            <w:pPr>
              <w:snapToGrid w:val="0"/>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2</w:t>
            </w:r>
          </w:p>
        </w:tc>
        <w:tc>
          <w:tcPr>
            <w:tcW w:w="5465" w:type="dxa"/>
          </w:tcPr>
          <w:p w14:paraId="52C61C6E">
            <w:pPr>
              <w:snapToGrid w:val="0"/>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XXX</w:t>
            </w:r>
          </w:p>
        </w:tc>
        <w:tc>
          <w:tcPr>
            <w:tcW w:w="3046" w:type="dxa"/>
          </w:tcPr>
          <w:p w14:paraId="153D7B5C">
            <w:pPr>
              <w:jc w:val="center"/>
              <w:rPr>
                <w:rFonts w:hint="eastAsia" w:ascii="宋体" w:hAnsi="宋体" w:cs="宋体"/>
                <w:bCs/>
                <w:color w:val="auto"/>
                <w:sz w:val="24"/>
                <w:highlight w:val="none"/>
              </w:rPr>
            </w:pPr>
            <w:r>
              <w:rPr>
                <w:rFonts w:hint="eastAsia" w:ascii="宋体" w:hAnsi="宋体" w:cs="宋体"/>
                <w:bCs/>
                <w:color w:val="auto"/>
                <w:sz w:val="24"/>
                <w:highlight w:val="none"/>
              </w:rPr>
              <w:t>见投标文件第</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页</w:t>
            </w:r>
          </w:p>
        </w:tc>
      </w:tr>
      <w:tr w14:paraId="14E19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393F3D3C">
            <w:pPr>
              <w:snapToGrid w:val="0"/>
              <w:spacing w:line="360" w:lineRule="auto"/>
              <w:jc w:val="center"/>
              <w:rPr>
                <w:rFonts w:hint="eastAsia" w:ascii="宋体" w:hAnsi="宋体" w:cs="宋体"/>
                <w:bCs/>
                <w:color w:val="auto"/>
                <w:sz w:val="24"/>
                <w:highlight w:val="none"/>
              </w:rPr>
            </w:pPr>
            <w:r>
              <w:rPr>
                <w:rFonts w:hint="eastAsia" w:ascii="宋体" w:hAnsi="宋体" w:cs="宋体"/>
                <w:color w:val="auto"/>
                <w:kern w:val="0"/>
                <w:sz w:val="24"/>
                <w:highlight w:val="none"/>
              </w:rPr>
              <w:t>……</w:t>
            </w:r>
          </w:p>
        </w:tc>
        <w:tc>
          <w:tcPr>
            <w:tcW w:w="5465" w:type="dxa"/>
          </w:tcPr>
          <w:p w14:paraId="4A1CFB3E">
            <w:pPr>
              <w:snapToGrid w:val="0"/>
              <w:spacing w:line="360" w:lineRule="auto"/>
              <w:jc w:val="center"/>
              <w:rPr>
                <w:rFonts w:hint="eastAsia" w:ascii="宋体" w:hAnsi="宋体" w:cs="宋体"/>
                <w:bCs/>
                <w:color w:val="auto"/>
                <w:sz w:val="24"/>
                <w:highlight w:val="none"/>
              </w:rPr>
            </w:pPr>
          </w:p>
        </w:tc>
        <w:tc>
          <w:tcPr>
            <w:tcW w:w="3046" w:type="dxa"/>
          </w:tcPr>
          <w:p w14:paraId="54DF4832">
            <w:pPr>
              <w:jc w:val="center"/>
              <w:rPr>
                <w:rFonts w:hint="eastAsia" w:ascii="宋体" w:hAnsi="宋体" w:cs="宋体"/>
                <w:bCs/>
                <w:color w:val="auto"/>
                <w:sz w:val="24"/>
                <w:highlight w:val="none"/>
              </w:rPr>
            </w:pPr>
            <w:r>
              <w:rPr>
                <w:rFonts w:hint="eastAsia" w:ascii="宋体" w:hAnsi="宋体" w:cs="宋体"/>
                <w:bCs/>
                <w:color w:val="auto"/>
                <w:sz w:val="24"/>
                <w:highlight w:val="none"/>
              </w:rPr>
              <w:t>见投标文件第</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页</w:t>
            </w:r>
          </w:p>
        </w:tc>
      </w:tr>
    </w:tbl>
    <w:p w14:paraId="2E200830">
      <w:pPr>
        <w:pStyle w:val="79"/>
        <w:rPr>
          <w:rFonts w:hint="eastAsia"/>
          <w:color w:val="auto"/>
          <w:highlight w:val="none"/>
        </w:rPr>
      </w:pPr>
    </w:p>
    <w:p w14:paraId="1DE6D635">
      <w:pPr>
        <w:jc w:val="center"/>
        <w:rPr>
          <w:rFonts w:hint="eastAsia" w:ascii="宋体" w:hAnsi="宋体" w:cs="宋体"/>
          <w:b/>
          <w:color w:val="auto"/>
          <w:kern w:val="0"/>
          <w:sz w:val="32"/>
          <w:szCs w:val="32"/>
          <w:highlight w:val="none"/>
        </w:rPr>
      </w:pPr>
    </w:p>
    <w:p w14:paraId="3BB46EA5">
      <w:pPr>
        <w:jc w:val="center"/>
        <w:rPr>
          <w:rFonts w:hint="eastAsia" w:ascii="宋体" w:hAnsi="宋体" w:cs="宋体"/>
          <w:b/>
          <w:color w:val="auto"/>
          <w:kern w:val="0"/>
          <w:sz w:val="32"/>
          <w:szCs w:val="32"/>
          <w:highlight w:val="none"/>
        </w:rPr>
      </w:pPr>
    </w:p>
    <w:p w14:paraId="14057D0C">
      <w:pPr>
        <w:jc w:val="center"/>
        <w:rPr>
          <w:rFonts w:hint="eastAsia" w:ascii="宋体" w:hAnsi="宋体" w:cs="宋体"/>
          <w:b/>
          <w:color w:val="auto"/>
          <w:kern w:val="0"/>
          <w:sz w:val="32"/>
          <w:szCs w:val="32"/>
          <w:highlight w:val="none"/>
        </w:rPr>
      </w:pPr>
    </w:p>
    <w:p w14:paraId="319AE551">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1E5C117F">
      <w:pPr>
        <w:ind w:firstLine="2891" w:firstLineChars="900"/>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472"/>
        <w:gridCol w:w="1427"/>
        <w:gridCol w:w="1705"/>
        <w:gridCol w:w="1268"/>
        <w:gridCol w:w="950"/>
      </w:tblGrid>
      <w:tr w14:paraId="13588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D17EA09">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297A3E40">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名称</w:t>
            </w:r>
          </w:p>
        </w:tc>
        <w:tc>
          <w:tcPr>
            <w:tcW w:w="1472" w:type="dxa"/>
            <w:tcBorders>
              <w:top w:val="single" w:color="auto" w:sz="4" w:space="0"/>
              <w:left w:val="single" w:color="auto" w:sz="4" w:space="0"/>
              <w:bottom w:val="single" w:color="auto" w:sz="4" w:space="0"/>
              <w:right w:val="single" w:color="auto" w:sz="4" w:space="0"/>
            </w:tcBorders>
            <w:vAlign w:val="center"/>
          </w:tcPr>
          <w:p w14:paraId="51B2F511">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服务范围</w:t>
            </w:r>
          </w:p>
        </w:tc>
        <w:tc>
          <w:tcPr>
            <w:tcW w:w="1427" w:type="dxa"/>
            <w:tcBorders>
              <w:top w:val="single" w:color="auto" w:sz="4" w:space="0"/>
              <w:left w:val="single" w:color="auto" w:sz="4" w:space="0"/>
              <w:bottom w:val="single" w:color="auto" w:sz="4" w:space="0"/>
              <w:right w:val="single" w:color="auto" w:sz="4" w:space="0"/>
            </w:tcBorders>
            <w:vAlign w:val="center"/>
          </w:tcPr>
          <w:p w14:paraId="59706285">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服务要求</w:t>
            </w:r>
          </w:p>
        </w:tc>
        <w:tc>
          <w:tcPr>
            <w:tcW w:w="1705" w:type="dxa"/>
            <w:tcBorders>
              <w:top w:val="single" w:color="auto" w:sz="4" w:space="0"/>
              <w:left w:val="single" w:color="auto" w:sz="4" w:space="0"/>
              <w:bottom w:val="single" w:color="auto" w:sz="4" w:space="0"/>
              <w:right w:val="single" w:color="auto" w:sz="4" w:space="0"/>
            </w:tcBorders>
            <w:vAlign w:val="center"/>
          </w:tcPr>
          <w:p w14:paraId="47805DE2">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服务时间</w:t>
            </w:r>
          </w:p>
        </w:tc>
        <w:tc>
          <w:tcPr>
            <w:tcW w:w="1268" w:type="dxa"/>
            <w:tcBorders>
              <w:top w:val="single" w:color="auto" w:sz="4" w:space="0"/>
              <w:left w:val="single" w:color="auto" w:sz="4" w:space="0"/>
              <w:bottom w:val="single" w:color="auto" w:sz="4" w:space="0"/>
              <w:right w:val="single" w:color="auto" w:sz="4" w:space="0"/>
            </w:tcBorders>
            <w:vAlign w:val="center"/>
          </w:tcPr>
          <w:p w14:paraId="229E9194">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服务标准</w:t>
            </w:r>
          </w:p>
        </w:tc>
        <w:tc>
          <w:tcPr>
            <w:tcW w:w="950" w:type="dxa"/>
            <w:tcBorders>
              <w:top w:val="single" w:color="auto" w:sz="4" w:space="0"/>
              <w:left w:val="single" w:color="auto" w:sz="4" w:space="0"/>
              <w:bottom w:val="single" w:color="auto" w:sz="4" w:space="0"/>
              <w:right w:val="single" w:color="auto" w:sz="4" w:space="0"/>
            </w:tcBorders>
            <w:vAlign w:val="center"/>
          </w:tcPr>
          <w:p w14:paraId="38439283">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备注</w:t>
            </w:r>
          </w:p>
        </w:tc>
      </w:tr>
      <w:tr w14:paraId="5BF67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6D29552">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17B74E5F">
            <w:pPr>
              <w:snapToGrid w:val="0"/>
              <w:spacing w:line="360" w:lineRule="auto"/>
              <w:jc w:val="center"/>
              <w:rPr>
                <w:rFonts w:hint="eastAsia" w:ascii="宋体" w:hAnsi="宋体" w:cs="宋体"/>
                <w:color w:val="auto"/>
                <w:sz w:val="24"/>
                <w:highlight w:val="none"/>
              </w:rPr>
            </w:pPr>
          </w:p>
        </w:tc>
        <w:tc>
          <w:tcPr>
            <w:tcW w:w="1472" w:type="dxa"/>
            <w:tcBorders>
              <w:top w:val="single" w:color="auto" w:sz="4" w:space="0"/>
              <w:left w:val="single" w:color="auto" w:sz="4" w:space="0"/>
              <w:bottom w:val="single" w:color="auto" w:sz="4" w:space="0"/>
              <w:right w:val="single" w:color="auto" w:sz="4" w:space="0"/>
            </w:tcBorders>
            <w:vAlign w:val="center"/>
          </w:tcPr>
          <w:p w14:paraId="6E465558">
            <w:pPr>
              <w:snapToGrid w:val="0"/>
              <w:spacing w:line="360" w:lineRule="auto"/>
              <w:jc w:val="center"/>
              <w:rPr>
                <w:rFonts w:hint="eastAsia" w:ascii="宋体" w:hAnsi="宋体" w:cs="宋体"/>
                <w:color w:val="auto"/>
                <w:sz w:val="24"/>
                <w:highlight w:val="none"/>
              </w:rPr>
            </w:pPr>
          </w:p>
        </w:tc>
        <w:tc>
          <w:tcPr>
            <w:tcW w:w="1427" w:type="dxa"/>
            <w:tcBorders>
              <w:top w:val="single" w:color="auto" w:sz="4" w:space="0"/>
              <w:left w:val="single" w:color="auto" w:sz="4" w:space="0"/>
              <w:bottom w:val="single" w:color="auto" w:sz="4" w:space="0"/>
              <w:right w:val="single" w:color="auto" w:sz="4" w:space="0"/>
            </w:tcBorders>
            <w:vAlign w:val="center"/>
          </w:tcPr>
          <w:p w14:paraId="1B451213">
            <w:pPr>
              <w:snapToGrid w:val="0"/>
              <w:spacing w:line="360" w:lineRule="auto"/>
              <w:jc w:val="center"/>
              <w:rPr>
                <w:rFonts w:hint="eastAsia" w:ascii="宋体" w:hAnsi="宋体" w:cs="宋体"/>
                <w:color w:val="auto"/>
                <w:sz w:val="24"/>
                <w:highlight w:val="none"/>
              </w:rPr>
            </w:pPr>
          </w:p>
        </w:tc>
        <w:tc>
          <w:tcPr>
            <w:tcW w:w="1705" w:type="dxa"/>
            <w:tcBorders>
              <w:top w:val="single" w:color="auto" w:sz="4" w:space="0"/>
              <w:left w:val="single" w:color="auto" w:sz="4" w:space="0"/>
              <w:bottom w:val="single" w:color="auto" w:sz="4" w:space="0"/>
              <w:right w:val="single" w:color="auto" w:sz="4" w:space="0"/>
            </w:tcBorders>
            <w:vAlign w:val="center"/>
          </w:tcPr>
          <w:p w14:paraId="43D3152E">
            <w:pPr>
              <w:spacing w:line="360" w:lineRule="auto"/>
              <w:jc w:val="center"/>
              <w:rPr>
                <w:rFonts w:hint="eastAsia" w:ascii="宋体" w:hAnsi="宋体" w:cs="宋体"/>
                <w:color w:val="auto"/>
                <w:sz w:val="24"/>
                <w:highlight w:val="none"/>
              </w:rPr>
            </w:pPr>
          </w:p>
        </w:tc>
        <w:tc>
          <w:tcPr>
            <w:tcW w:w="1268" w:type="dxa"/>
            <w:tcBorders>
              <w:top w:val="single" w:color="auto" w:sz="4" w:space="0"/>
              <w:left w:val="single" w:color="auto" w:sz="4" w:space="0"/>
              <w:bottom w:val="single" w:color="auto" w:sz="4" w:space="0"/>
              <w:right w:val="single" w:color="auto" w:sz="4" w:space="0"/>
            </w:tcBorders>
            <w:vAlign w:val="center"/>
          </w:tcPr>
          <w:p w14:paraId="13E05AFB">
            <w:pPr>
              <w:spacing w:line="360" w:lineRule="auto"/>
              <w:jc w:val="center"/>
              <w:rPr>
                <w:rFonts w:hint="eastAsia" w:ascii="宋体" w:hAnsi="宋体" w:cs="宋体"/>
                <w:color w:val="auto"/>
                <w:sz w:val="24"/>
                <w:highlight w:val="none"/>
              </w:rPr>
            </w:pPr>
          </w:p>
        </w:tc>
        <w:tc>
          <w:tcPr>
            <w:tcW w:w="950" w:type="dxa"/>
            <w:tcBorders>
              <w:top w:val="single" w:color="auto" w:sz="4" w:space="0"/>
              <w:left w:val="single" w:color="auto" w:sz="4" w:space="0"/>
              <w:bottom w:val="single" w:color="auto" w:sz="4" w:space="0"/>
              <w:right w:val="single" w:color="auto" w:sz="4" w:space="0"/>
            </w:tcBorders>
            <w:vAlign w:val="center"/>
          </w:tcPr>
          <w:p w14:paraId="210F1DC9">
            <w:pPr>
              <w:spacing w:line="360" w:lineRule="auto"/>
              <w:jc w:val="center"/>
              <w:rPr>
                <w:rFonts w:hint="eastAsia" w:ascii="宋体" w:hAnsi="宋体" w:cs="宋体"/>
                <w:color w:val="auto"/>
                <w:sz w:val="24"/>
                <w:highlight w:val="none"/>
              </w:rPr>
            </w:pPr>
          </w:p>
        </w:tc>
      </w:tr>
      <w:tr w14:paraId="3479F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83D24FD">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7CC0BA4D">
            <w:pPr>
              <w:snapToGrid w:val="0"/>
              <w:spacing w:line="360" w:lineRule="auto"/>
              <w:jc w:val="center"/>
              <w:rPr>
                <w:rFonts w:hint="eastAsia" w:ascii="宋体" w:hAnsi="宋体" w:cs="宋体"/>
                <w:color w:val="auto"/>
                <w:sz w:val="24"/>
                <w:highlight w:val="none"/>
              </w:rPr>
            </w:pPr>
          </w:p>
        </w:tc>
        <w:tc>
          <w:tcPr>
            <w:tcW w:w="1472" w:type="dxa"/>
            <w:tcBorders>
              <w:top w:val="single" w:color="auto" w:sz="4" w:space="0"/>
              <w:left w:val="single" w:color="auto" w:sz="4" w:space="0"/>
              <w:bottom w:val="single" w:color="auto" w:sz="4" w:space="0"/>
              <w:right w:val="single" w:color="auto" w:sz="4" w:space="0"/>
            </w:tcBorders>
            <w:vAlign w:val="center"/>
          </w:tcPr>
          <w:p w14:paraId="08B80540">
            <w:pPr>
              <w:snapToGrid w:val="0"/>
              <w:spacing w:line="360" w:lineRule="auto"/>
              <w:jc w:val="center"/>
              <w:rPr>
                <w:rFonts w:hint="eastAsia" w:ascii="宋体" w:hAnsi="宋体" w:cs="宋体"/>
                <w:color w:val="auto"/>
                <w:sz w:val="24"/>
                <w:highlight w:val="none"/>
              </w:rPr>
            </w:pPr>
          </w:p>
        </w:tc>
        <w:tc>
          <w:tcPr>
            <w:tcW w:w="1427" w:type="dxa"/>
            <w:tcBorders>
              <w:top w:val="single" w:color="auto" w:sz="4" w:space="0"/>
              <w:left w:val="single" w:color="auto" w:sz="4" w:space="0"/>
              <w:bottom w:val="single" w:color="auto" w:sz="4" w:space="0"/>
              <w:right w:val="single" w:color="auto" w:sz="4" w:space="0"/>
            </w:tcBorders>
            <w:vAlign w:val="center"/>
          </w:tcPr>
          <w:p w14:paraId="16AE23AC">
            <w:pPr>
              <w:snapToGrid w:val="0"/>
              <w:spacing w:line="360" w:lineRule="auto"/>
              <w:jc w:val="center"/>
              <w:rPr>
                <w:rFonts w:hint="eastAsia" w:ascii="宋体" w:hAnsi="宋体" w:cs="宋体"/>
                <w:color w:val="auto"/>
                <w:sz w:val="24"/>
                <w:highlight w:val="none"/>
              </w:rPr>
            </w:pPr>
          </w:p>
        </w:tc>
        <w:tc>
          <w:tcPr>
            <w:tcW w:w="1705" w:type="dxa"/>
            <w:tcBorders>
              <w:top w:val="single" w:color="auto" w:sz="4" w:space="0"/>
              <w:left w:val="single" w:color="auto" w:sz="4" w:space="0"/>
              <w:bottom w:val="single" w:color="auto" w:sz="4" w:space="0"/>
              <w:right w:val="single" w:color="auto" w:sz="4" w:space="0"/>
            </w:tcBorders>
            <w:vAlign w:val="center"/>
          </w:tcPr>
          <w:p w14:paraId="319B3289">
            <w:pPr>
              <w:spacing w:line="360" w:lineRule="auto"/>
              <w:jc w:val="center"/>
              <w:rPr>
                <w:rFonts w:hint="eastAsia" w:ascii="宋体" w:hAnsi="宋体" w:cs="宋体"/>
                <w:color w:val="auto"/>
                <w:sz w:val="24"/>
                <w:highlight w:val="none"/>
              </w:rPr>
            </w:pPr>
          </w:p>
        </w:tc>
        <w:tc>
          <w:tcPr>
            <w:tcW w:w="1268" w:type="dxa"/>
            <w:tcBorders>
              <w:top w:val="single" w:color="auto" w:sz="4" w:space="0"/>
              <w:left w:val="single" w:color="auto" w:sz="4" w:space="0"/>
              <w:bottom w:val="single" w:color="auto" w:sz="4" w:space="0"/>
              <w:right w:val="single" w:color="auto" w:sz="4" w:space="0"/>
            </w:tcBorders>
            <w:vAlign w:val="center"/>
          </w:tcPr>
          <w:p w14:paraId="29EE7C53">
            <w:pPr>
              <w:spacing w:line="360" w:lineRule="auto"/>
              <w:jc w:val="center"/>
              <w:rPr>
                <w:rFonts w:hint="eastAsia" w:ascii="宋体" w:hAnsi="宋体" w:cs="宋体"/>
                <w:color w:val="auto"/>
                <w:sz w:val="24"/>
                <w:highlight w:val="none"/>
              </w:rPr>
            </w:pPr>
          </w:p>
        </w:tc>
        <w:tc>
          <w:tcPr>
            <w:tcW w:w="950" w:type="dxa"/>
            <w:tcBorders>
              <w:top w:val="single" w:color="auto" w:sz="4" w:space="0"/>
              <w:left w:val="single" w:color="auto" w:sz="4" w:space="0"/>
              <w:bottom w:val="single" w:color="auto" w:sz="4" w:space="0"/>
              <w:right w:val="single" w:color="auto" w:sz="4" w:space="0"/>
            </w:tcBorders>
            <w:vAlign w:val="center"/>
          </w:tcPr>
          <w:p w14:paraId="3D244BBA">
            <w:pPr>
              <w:spacing w:line="360" w:lineRule="auto"/>
              <w:jc w:val="center"/>
              <w:rPr>
                <w:rFonts w:hint="eastAsia" w:ascii="宋体" w:hAnsi="宋体" w:cs="宋体"/>
                <w:color w:val="auto"/>
                <w:sz w:val="24"/>
                <w:highlight w:val="none"/>
              </w:rPr>
            </w:pPr>
          </w:p>
        </w:tc>
      </w:tr>
      <w:tr w14:paraId="36F66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5ABEC48">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6F946DC8">
            <w:pPr>
              <w:snapToGrid w:val="0"/>
              <w:spacing w:line="360" w:lineRule="auto"/>
              <w:jc w:val="center"/>
              <w:rPr>
                <w:rFonts w:hint="eastAsia" w:ascii="宋体" w:hAnsi="宋体" w:cs="宋体"/>
                <w:color w:val="auto"/>
                <w:sz w:val="24"/>
                <w:highlight w:val="none"/>
              </w:rPr>
            </w:pPr>
          </w:p>
        </w:tc>
        <w:tc>
          <w:tcPr>
            <w:tcW w:w="1472" w:type="dxa"/>
            <w:tcBorders>
              <w:top w:val="single" w:color="auto" w:sz="4" w:space="0"/>
              <w:left w:val="single" w:color="auto" w:sz="4" w:space="0"/>
              <w:bottom w:val="single" w:color="auto" w:sz="4" w:space="0"/>
              <w:right w:val="single" w:color="auto" w:sz="4" w:space="0"/>
            </w:tcBorders>
            <w:vAlign w:val="center"/>
          </w:tcPr>
          <w:p w14:paraId="2C447384">
            <w:pPr>
              <w:snapToGrid w:val="0"/>
              <w:spacing w:line="360" w:lineRule="auto"/>
              <w:jc w:val="center"/>
              <w:rPr>
                <w:rFonts w:hint="eastAsia" w:ascii="宋体" w:hAnsi="宋体" w:cs="宋体"/>
                <w:color w:val="auto"/>
                <w:sz w:val="24"/>
                <w:highlight w:val="none"/>
              </w:rPr>
            </w:pPr>
          </w:p>
        </w:tc>
        <w:tc>
          <w:tcPr>
            <w:tcW w:w="1427" w:type="dxa"/>
            <w:tcBorders>
              <w:top w:val="single" w:color="auto" w:sz="4" w:space="0"/>
              <w:left w:val="single" w:color="auto" w:sz="4" w:space="0"/>
              <w:bottom w:val="single" w:color="auto" w:sz="4" w:space="0"/>
              <w:right w:val="single" w:color="auto" w:sz="4" w:space="0"/>
            </w:tcBorders>
            <w:vAlign w:val="center"/>
          </w:tcPr>
          <w:p w14:paraId="59104B1F">
            <w:pPr>
              <w:snapToGrid w:val="0"/>
              <w:spacing w:line="360" w:lineRule="auto"/>
              <w:jc w:val="center"/>
              <w:rPr>
                <w:rFonts w:hint="eastAsia" w:ascii="宋体" w:hAnsi="宋体" w:cs="宋体"/>
                <w:color w:val="auto"/>
                <w:sz w:val="24"/>
                <w:highlight w:val="none"/>
              </w:rPr>
            </w:pPr>
          </w:p>
        </w:tc>
        <w:tc>
          <w:tcPr>
            <w:tcW w:w="1705" w:type="dxa"/>
            <w:tcBorders>
              <w:top w:val="single" w:color="auto" w:sz="4" w:space="0"/>
              <w:left w:val="single" w:color="auto" w:sz="4" w:space="0"/>
              <w:bottom w:val="single" w:color="auto" w:sz="4" w:space="0"/>
              <w:right w:val="single" w:color="auto" w:sz="4" w:space="0"/>
            </w:tcBorders>
            <w:vAlign w:val="center"/>
          </w:tcPr>
          <w:p w14:paraId="611EB8A1">
            <w:pPr>
              <w:spacing w:line="360" w:lineRule="auto"/>
              <w:jc w:val="center"/>
              <w:rPr>
                <w:rFonts w:hint="eastAsia" w:ascii="宋体" w:hAnsi="宋体" w:cs="宋体"/>
                <w:color w:val="auto"/>
                <w:sz w:val="24"/>
                <w:highlight w:val="none"/>
              </w:rPr>
            </w:pPr>
          </w:p>
        </w:tc>
        <w:tc>
          <w:tcPr>
            <w:tcW w:w="1268" w:type="dxa"/>
            <w:tcBorders>
              <w:top w:val="single" w:color="auto" w:sz="4" w:space="0"/>
              <w:left w:val="single" w:color="auto" w:sz="4" w:space="0"/>
              <w:bottom w:val="single" w:color="auto" w:sz="4" w:space="0"/>
              <w:right w:val="single" w:color="auto" w:sz="4" w:space="0"/>
            </w:tcBorders>
            <w:vAlign w:val="center"/>
          </w:tcPr>
          <w:p w14:paraId="729DE68E">
            <w:pPr>
              <w:spacing w:line="360" w:lineRule="auto"/>
              <w:jc w:val="center"/>
              <w:rPr>
                <w:rFonts w:hint="eastAsia" w:ascii="宋体" w:hAnsi="宋体" w:cs="宋体"/>
                <w:color w:val="auto"/>
                <w:sz w:val="24"/>
                <w:highlight w:val="none"/>
              </w:rPr>
            </w:pPr>
          </w:p>
        </w:tc>
        <w:tc>
          <w:tcPr>
            <w:tcW w:w="950" w:type="dxa"/>
            <w:tcBorders>
              <w:top w:val="single" w:color="auto" w:sz="4" w:space="0"/>
              <w:left w:val="single" w:color="auto" w:sz="4" w:space="0"/>
              <w:bottom w:val="single" w:color="auto" w:sz="4" w:space="0"/>
              <w:right w:val="single" w:color="auto" w:sz="4" w:space="0"/>
            </w:tcBorders>
            <w:vAlign w:val="center"/>
          </w:tcPr>
          <w:p w14:paraId="2EA2CF45">
            <w:pPr>
              <w:spacing w:line="360" w:lineRule="auto"/>
              <w:jc w:val="center"/>
              <w:rPr>
                <w:rFonts w:hint="eastAsia" w:ascii="宋体" w:hAnsi="宋体" w:cs="宋体"/>
                <w:color w:val="auto"/>
                <w:sz w:val="24"/>
                <w:highlight w:val="none"/>
              </w:rPr>
            </w:pPr>
          </w:p>
        </w:tc>
      </w:tr>
    </w:tbl>
    <w:p w14:paraId="254C8DFD">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14:paraId="04EFF6E9">
      <w:pPr>
        <w:jc w:val="center"/>
        <w:rPr>
          <w:rFonts w:hint="eastAsia" w:ascii="宋体" w:hAnsi="宋体" w:cs="宋体"/>
          <w:b/>
          <w:color w:val="auto"/>
          <w:kern w:val="0"/>
          <w:sz w:val="32"/>
          <w:szCs w:val="32"/>
          <w:highlight w:val="none"/>
        </w:rPr>
      </w:pPr>
      <w:r>
        <w:rPr>
          <w:rFonts w:ascii="宋体" w:hAnsi="宋体" w:cs="宋体"/>
          <w:b/>
          <w:color w:val="auto"/>
          <w:kern w:val="0"/>
          <w:sz w:val="32"/>
          <w:szCs w:val="32"/>
          <w:highlight w:val="none"/>
        </w:rPr>
        <w:br w:type="column"/>
      </w:r>
      <w:r>
        <w:rPr>
          <w:rFonts w:hint="eastAsia" w:ascii="宋体" w:hAnsi="宋体" w:cs="宋体"/>
          <w:b/>
          <w:color w:val="auto"/>
          <w:kern w:val="0"/>
          <w:sz w:val="32"/>
          <w:szCs w:val="32"/>
          <w:highlight w:val="none"/>
        </w:rPr>
        <w:t>七、商务技术偏离表</w:t>
      </w:r>
    </w:p>
    <w:tbl>
      <w:tblPr>
        <w:tblStyle w:val="63"/>
        <w:tblW w:w="89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180"/>
        <w:gridCol w:w="3062"/>
        <w:gridCol w:w="1923"/>
      </w:tblGrid>
      <w:tr w14:paraId="287D9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04DFED83">
            <w:pPr>
              <w:jc w:val="center"/>
              <w:rPr>
                <w:rFonts w:hint="eastAsia" w:ascii="宋体" w:hAnsi="宋体" w:cs="宋体"/>
                <w:b/>
                <w:bCs/>
                <w:color w:val="auto"/>
                <w:sz w:val="24"/>
                <w:highlight w:val="none"/>
              </w:rPr>
            </w:pPr>
            <w:r>
              <w:rPr>
                <w:rFonts w:hint="eastAsia" w:ascii="宋体" w:hAnsi="宋体" w:cs="宋体"/>
                <w:b/>
                <w:bCs/>
                <w:color w:val="auto"/>
                <w:sz w:val="24"/>
                <w:highlight w:val="none"/>
              </w:rPr>
              <w:t>序号</w:t>
            </w:r>
          </w:p>
        </w:tc>
        <w:tc>
          <w:tcPr>
            <w:tcW w:w="3180" w:type="dxa"/>
          </w:tcPr>
          <w:p w14:paraId="1DA77C28">
            <w:pPr>
              <w:jc w:val="center"/>
              <w:rPr>
                <w:rFonts w:hint="eastAsia"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062" w:type="dxa"/>
          </w:tcPr>
          <w:p w14:paraId="3D52BB89">
            <w:pPr>
              <w:jc w:val="center"/>
              <w:rPr>
                <w:rFonts w:hint="eastAsia"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923" w:type="dxa"/>
          </w:tcPr>
          <w:p w14:paraId="29F148AB">
            <w:pPr>
              <w:jc w:val="center"/>
              <w:rPr>
                <w:rFonts w:hint="eastAsia" w:ascii="宋体" w:hAnsi="宋体" w:cs="宋体"/>
                <w:b/>
                <w:bCs/>
                <w:color w:val="auto"/>
                <w:sz w:val="24"/>
                <w:highlight w:val="none"/>
              </w:rPr>
            </w:pPr>
            <w:r>
              <w:rPr>
                <w:rFonts w:hint="eastAsia" w:ascii="宋体" w:hAnsi="宋体" w:cs="宋体"/>
                <w:b/>
                <w:bCs/>
                <w:color w:val="auto"/>
                <w:sz w:val="24"/>
                <w:highlight w:val="none"/>
              </w:rPr>
              <w:t>偏离说明</w:t>
            </w:r>
          </w:p>
        </w:tc>
      </w:tr>
      <w:tr w14:paraId="6CE3E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740C2AF2">
            <w:pPr>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w:t>
            </w:r>
          </w:p>
        </w:tc>
        <w:tc>
          <w:tcPr>
            <w:tcW w:w="3180" w:type="dxa"/>
          </w:tcPr>
          <w:p w14:paraId="11D87928">
            <w:pPr>
              <w:jc w:val="center"/>
              <w:rPr>
                <w:rFonts w:hint="eastAsia" w:ascii="宋体" w:hAnsi="宋体" w:cs="宋体"/>
                <w:b/>
                <w:color w:val="auto"/>
                <w:kern w:val="0"/>
                <w:sz w:val="32"/>
                <w:szCs w:val="32"/>
                <w:highlight w:val="none"/>
              </w:rPr>
            </w:pPr>
          </w:p>
        </w:tc>
        <w:tc>
          <w:tcPr>
            <w:tcW w:w="3062" w:type="dxa"/>
          </w:tcPr>
          <w:p w14:paraId="38ACB518">
            <w:pPr>
              <w:jc w:val="center"/>
              <w:rPr>
                <w:rFonts w:hint="eastAsia" w:ascii="宋体" w:hAnsi="宋体" w:cs="宋体"/>
                <w:b/>
                <w:color w:val="auto"/>
                <w:kern w:val="0"/>
                <w:sz w:val="32"/>
                <w:szCs w:val="32"/>
                <w:highlight w:val="none"/>
              </w:rPr>
            </w:pPr>
          </w:p>
        </w:tc>
        <w:tc>
          <w:tcPr>
            <w:tcW w:w="1923" w:type="dxa"/>
          </w:tcPr>
          <w:p w14:paraId="54AC3116">
            <w:pPr>
              <w:jc w:val="center"/>
              <w:rPr>
                <w:rFonts w:hint="eastAsia" w:ascii="宋体" w:hAnsi="宋体" w:cs="宋体"/>
                <w:b/>
                <w:color w:val="auto"/>
                <w:kern w:val="0"/>
                <w:sz w:val="32"/>
                <w:szCs w:val="32"/>
                <w:highlight w:val="none"/>
              </w:rPr>
            </w:pPr>
          </w:p>
        </w:tc>
      </w:tr>
      <w:tr w14:paraId="286CE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7EB6F4C1">
            <w:pPr>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2</w:t>
            </w:r>
          </w:p>
        </w:tc>
        <w:tc>
          <w:tcPr>
            <w:tcW w:w="3180" w:type="dxa"/>
          </w:tcPr>
          <w:p w14:paraId="4BD89EB4">
            <w:pPr>
              <w:jc w:val="center"/>
              <w:rPr>
                <w:rFonts w:hint="eastAsia" w:ascii="宋体" w:hAnsi="宋体" w:cs="宋体"/>
                <w:b/>
                <w:color w:val="auto"/>
                <w:kern w:val="0"/>
                <w:sz w:val="32"/>
                <w:szCs w:val="32"/>
                <w:highlight w:val="none"/>
              </w:rPr>
            </w:pPr>
          </w:p>
        </w:tc>
        <w:tc>
          <w:tcPr>
            <w:tcW w:w="3062" w:type="dxa"/>
          </w:tcPr>
          <w:p w14:paraId="504D2C57">
            <w:pPr>
              <w:jc w:val="center"/>
              <w:rPr>
                <w:rFonts w:hint="eastAsia" w:ascii="宋体" w:hAnsi="宋体" w:cs="宋体"/>
                <w:b/>
                <w:color w:val="auto"/>
                <w:kern w:val="0"/>
                <w:sz w:val="32"/>
                <w:szCs w:val="32"/>
                <w:highlight w:val="none"/>
              </w:rPr>
            </w:pPr>
          </w:p>
        </w:tc>
        <w:tc>
          <w:tcPr>
            <w:tcW w:w="1923" w:type="dxa"/>
          </w:tcPr>
          <w:p w14:paraId="3BAAF45A">
            <w:pPr>
              <w:jc w:val="center"/>
              <w:rPr>
                <w:rFonts w:hint="eastAsia" w:ascii="宋体" w:hAnsi="宋体" w:cs="宋体"/>
                <w:b/>
                <w:color w:val="auto"/>
                <w:kern w:val="0"/>
                <w:sz w:val="32"/>
                <w:szCs w:val="32"/>
                <w:highlight w:val="none"/>
              </w:rPr>
            </w:pPr>
          </w:p>
        </w:tc>
      </w:tr>
      <w:tr w14:paraId="552D4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74C08EE0">
            <w:pPr>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w:t>
            </w:r>
          </w:p>
        </w:tc>
        <w:tc>
          <w:tcPr>
            <w:tcW w:w="3180" w:type="dxa"/>
          </w:tcPr>
          <w:p w14:paraId="1A361167">
            <w:pPr>
              <w:jc w:val="center"/>
              <w:rPr>
                <w:rFonts w:hint="eastAsia" w:ascii="宋体" w:hAnsi="宋体" w:cs="宋体"/>
                <w:b/>
                <w:color w:val="auto"/>
                <w:kern w:val="0"/>
                <w:sz w:val="32"/>
                <w:szCs w:val="32"/>
                <w:highlight w:val="none"/>
              </w:rPr>
            </w:pPr>
          </w:p>
        </w:tc>
        <w:tc>
          <w:tcPr>
            <w:tcW w:w="3062" w:type="dxa"/>
          </w:tcPr>
          <w:p w14:paraId="274650CB">
            <w:pPr>
              <w:jc w:val="center"/>
              <w:rPr>
                <w:rFonts w:hint="eastAsia" w:ascii="宋体" w:hAnsi="宋体" w:cs="宋体"/>
                <w:b/>
                <w:color w:val="auto"/>
                <w:kern w:val="0"/>
                <w:sz w:val="32"/>
                <w:szCs w:val="32"/>
                <w:highlight w:val="none"/>
              </w:rPr>
            </w:pPr>
          </w:p>
        </w:tc>
        <w:tc>
          <w:tcPr>
            <w:tcW w:w="1923" w:type="dxa"/>
          </w:tcPr>
          <w:p w14:paraId="4F965450">
            <w:pPr>
              <w:jc w:val="center"/>
              <w:rPr>
                <w:rFonts w:hint="eastAsia" w:ascii="宋体" w:hAnsi="宋体" w:cs="宋体"/>
                <w:b/>
                <w:color w:val="auto"/>
                <w:kern w:val="0"/>
                <w:sz w:val="32"/>
                <w:szCs w:val="32"/>
                <w:highlight w:val="none"/>
              </w:rPr>
            </w:pPr>
          </w:p>
        </w:tc>
      </w:tr>
    </w:tbl>
    <w:p w14:paraId="464A7582">
      <w:pPr>
        <w:jc w:val="left"/>
        <w:rPr>
          <w:rFonts w:hint="eastAsia"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318AC416">
      <w:pPr>
        <w:jc w:val="center"/>
        <w:rPr>
          <w:rFonts w:hint="eastAsia" w:ascii="宋体" w:hAnsi="宋体" w:cs="宋体"/>
          <w:b/>
          <w:color w:val="auto"/>
          <w:kern w:val="0"/>
          <w:sz w:val="32"/>
          <w:szCs w:val="32"/>
          <w:highlight w:val="none"/>
        </w:rPr>
      </w:pPr>
    </w:p>
    <w:p w14:paraId="33913AE3">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注：1.按本格式和要求提供。</w:t>
      </w:r>
    </w:p>
    <w:p w14:paraId="658CE776">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2.本表格所反映的偏离情况与“符合性审查资料”、“评标标准相应的商务技术资料”不一致的，以“符合性审查资料”、“评标标准相应的商务技术资料”为准。</w:t>
      </w:r>
    </w:p>
    <w:p w14:paraId="69988144">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3.投标人须保证：除商务技术偏离表列出的偏离外，投标人响应招标文件的全部非实质性要求。</w:t>
      </w:r>
    </w:p>
    <w:p w14:paraId="1AA40105">
      <w:pPr>
        <w:ind w:firstLine="1911" w:firstLineChars="595"/>
        <w:rPr>
          <w:rFonts w:hint="eastAsia" w:ascii="宋体" w:hAnsi="宋体" w:cs="宋体"/>
          <w:b/>
          <w:bCs/>
          <w:color w:val="auto"/>
          <w:sz w:val="32"/>
          <w:szCs w:val="32"/>
          <w:highlight w:val="none"/>
        </w:rPr>
      </w:pPr>
    </w:p>
    <w:p w14:paraId="20C7E533">
      <w:pPr>
        <w:ind w:firstLine="1911" w:firstLineChars="595"/>
        <w:rPr>
          <w:rFonts w:hint="eastAsia" w:ascii="宋体" w:hAnsi="宋体" w:cs="宋体"/>
          <w:b/>
          <w:bCs/>
          <w:color w:val="auto"/>
          <w:sz w:val="32"/>
          <w:szCs w:val="32"/>
          <w:highlight w:val="none"/>
        </w:rPr>
      </w:pPr>
    </w:p>
    <w:p w14:paraId="2FB09AD6">
      <w:pPr>
        <w:ind w:firstLine="1911" w:firstLineChars="595"/>
        <w:rPr>
          <w:rFonts w:hint="eastAsia" w:ascii="宋体" w:hAnsi="宋体" w:cs="宋体"/>
          <w:b/>
          <w:bCs/>
          <w:color w:val="auto"/>
          <w:sz w:val="32"/>
          <w:szCs w:val="32"/>
          <w:highlight w:val="none"/>
        </w:rPr>
      </w:pPr>
    </w:p>
    <w:p w14:paraId="2530DE42">
      <w:pPr>
        <w:widowControl/>
        <w:adjustRightInd/>
        <w:jc w:val="left"/>
        <w:rPr>
          <w:rFonts w:hint="eastAsia" w:ascii="宋体" w:hAnsi="宋体" w:cs="宋体"/>
          <w:b/>
          <w:bCs/>
          <w:color w:val="auto"/>
          <w:sz w:val="32"/>
          <w:szCs w:val="32"/>
          <w:highlight w:val="none"/>
        </w:rPr>
      </w:pPr>
      <w:r>
        <w:rPr>
          <w:rFonts w:ascii="宋体" w:hAnsi="宋体" w:cs="宋体"/>
          <w:b/>
          <w:bCs/>
          <w:color w:val="auto"/>
          <w:sz w:val="32"/>
          <w:szCs w:val="32"/>
          <w:highlight w:val="none"/>
        </w:rPr>
        <w:br w:type="page"/>
      </w:r>
    </w:p>
    <w:p w14:paraId="5ECB4DA3">
      <w:pPr>
        <w:ind w:firstLine="1911" w:firstLineChars="595"/>
        <w:rPr>
          <w:rFonts w:hint="eastAsia"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386E40E1">
      <w:pPr>
        <w:snapToGrid w:val="0"/>
        <w:spacing w:line="360" w:lineRule="auto"/>
        <w:rPr>
          <w:rFonts w:hint="eastAsia" w:ascii="宋体" w:hAnsi="宋体" w:cs="宋体"/>
          <w:color w:val="auto"/>
          <w:sz w:val="24"/>
          <w:highlight w:val="none"/>
        </w:rPr>
      </w:pPr>
    </w:p>
    <w:p w14:paraId="78BBC955">
      <w:pPr>
        <w:snapToGrid w:val="0"/>
        <w:spacing w:line="360" w:lineRule="auto"/>
        <w:rPr>
          <w:rFonts w:hint="eastAsia" w:ascii="宋体" w:hAnsi="宋体" w:cs="宋体"/>
          <w:color w:val="auto"/>
          <w:kern w:val="0"/>
          <w:sz w:val="24"/>
          <w:highlight w:val="none"/>
        </w:rPr>
      </w:pPr>
      <w:r>
        <w:rPr>
          <w:rFonts w:hint="eastAsia" w:ascii="宋体" w:hAnsi="宋体" w:cs="宋体"/>
          <w:color w:val="auto"/>
          <w:sz w:val="24"/>
          <w:highlight w:val="none"/>
        </w:rPr>
        <w:t>浙江省杭州生态环境监测中心、杭州意信招标代理有限公司</w:t>
      </w:r>
      <w:r>
        <w:rPr>
          <w:rFonts w:hint="eastAsia" w:ascii="宋体" w:hAnsi="宋体" w:cs="宋体"/>
          <w:color w:val="auto"/>
          <w:kern w:val="0"/>
          <w:sz w:val="24"/>
          <w:highlight w:val="none"/>
          <w:lang w:val="zh-CN"/>
        </w:rPr>
        <w:t>：</w:t>
      </w:r>
    </w:p>
    <w:p w14:paraId="5727BAAA">
      <w:pPr>
        <w:autoSpaceDE w:val="0"/>
        <w:autoSpaceDN w:val="0"/>
        <w:spacing w:line="360" w:lineRule="auto"/>
        <w:ind w:left="2" w:leftChars="1"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2A30DE1B">
      <w:pPr>
        <w:autoSpaceDE w:val="0"/>
        <w:autoSpaceDN w:val="0"/>
        <w:spacing w:line="360" w:lineRule="auto"/>
        <w:ind w:left="2" w:leftChars="1"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2FC57D30">
      <w:pPr>
        <w:autoSpaceDE w:val="0"/>
        <w:autoSpaceDN w:val="0"/>
        <w:spacing w:line="360" w:lineRule="auto"/>
        <w:ind w:left="2" w:leftChars="1"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466069F0">
      <w:pPr>
        <w:autoSpaceDE w:val="0"/>
        <w:autoSpaceDN w:val="0"/>
        <w:spacing w:line="360" w:lineRule="auto"/>
        <w:ind w:left="2" w:leftChars="1"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7BCCEB4F">
      <w:pPr>
        <w:autoSpaceDE w:val="0"/>
        <w:autoSpaceDN w:val="0"/>
        <w:spacing w:line="360" w:lineRule="auto"/>
        <w:ind w:left="2" w:leftChars="1"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7F6C2EB4">
      <w:pPr>
        <w:autoSpaceDE w:val="0"/>
        <w:autoSpaceDN w:val="0"/>
        <w:spacing w:line="360" w:lineRule="auto"/>
        <w:ind w:left="481" w:leftChars="229"/>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7448BD14">
      <w:pPr>
        <w:autoSpaceDE w:val="0"/>
        <w:autoSpaceDN w:val="0"/>
        <w:spacing w:line="360" w:lineRule="auto"/>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258A94B0">
      <w:pPr>
        <w:autoSpaceDE w:val="0"/>
        <w:autoSpaceDN w:val="0"/>
        <w:spacing w:line="360" w:lineRule="auto"/>
        <w:ind w:left="481" w:leftChars="229"/>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5076F77B">
      <w:pPr>
        <w:autoSpaceDE w:val="0"/>
        <w:autoSpaceDN w:val="0"/>
        <w:spacing w:line="360" w:lineRule="auto"/>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7F0117D3">
      <w:pPr>
        <w:autoSpaceDE w:val="0"/>
        <w:autoSpaceDN w:val="0"/>
        <w:spacing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67FBFA4D">
      <w:pPr>
        <w:autoSpaceDE w:val="0"/>
        <w:autoSpaceDN w:val="0"/>
        <w:spacing w:line="360" w:lineRule="auto"/>
        <w:ind w:left="2"/>
        <w:jc w:val="left"/>
        <w:rPr>
          <w:rFonts w:hint="eastAsia" w:ascii="宋体" w:hAnsi="宋体" w:cs="宋体"/>
          <w:color w:val="auto"/>
          <w:kern w:val="0"/>
          <w:sz w:val="24"/>
          <w:highlight w:val="none"/>
          <w:lang w:val="zh-CN"/>
        </w:rPr>
      </w:pPr>
    </w:p>
    <w:p w14:paraId="48BE5787">
      <w:pPr>
        <w:autoSpaceDE w:val="0"/>
        <w:autoSpaceDN w:val="0"/>
        <w:spacing w:line="360" w:lineRule="auto"/>
        <w:ind w:left="2"/>
        <w:jc w:val="left"/>
        <w:rPr>
          <w:rFonts w:hint="eastAsia" w:ascii="宋体" w:hAnsi="宋体" w:cs="宋体"/>
          <w:color w:val="auto"/>
          <w:kern w:val="0"/>
          <w:sz w:val="24"/>
          <w:highlight w:val="none"/>
          <w:lang w:val="zh-CN"/>
        </w:rPr>
      </w:pPr>
    </w:p>
    <w:p w14:paraId="4930C40A">
      <w:pPr>
        <w:autoSpaceDE w:val="0"/>
        <w:autoSpaceDN w:val="0"/>
        <w:spacing w:line="360" w:lineRule="auto"/>
        <w:ind w:left="2"/>
        <w:jc w:val="left"/>
        <w:rPr>
          <w:rFonts w:hint="eastAsia" w:ascii="宋体" w:hAnsi="宋体" w:cs="宋体"/>
          <w:color w:val="auto"/>
          <w:kern w:val="0"/>
          <w:sz w:val="24"/>
          <w:highlight w:val="none"/>
          <w:lang w:val="zh-CN"/>
        </w:rPr>
      </w:pPr>
    </w:p>
    <w:p w14:paraId="6EDD7FFB">
      <w:pPr>
        <w:autoSpaceDE w:val="0"/>
        <w:autoSpaceDN w:val="0"/>
        <w:spacing w:line="360" w:lineRule="auto"/>
        <w:ind w:left="2" w:leftChars="1" w:right="1120" w:firstLine="4560" w:firstLineChars="19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4283C3E8">
      <w:pPr>
        <w:spacing w:line="360" w:lineRule="auto"/>
        <w:ind w:left="4620" w:leftChars="2200"/>
        <w:rPr>
          <w:rFonts w:hint="eastAsia"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53FF81B5">
      <w:pPr>
        <w:spacing w:line="360" w:lineRule="auto"/>
        <w:jc w:val="center"/>
        <w:rPr>
          <w:rFonts w:hint="eastAsia" w:ascii="宋体" w:hAnsi="宋体" w:cs="宋体"/>
          <w:b/>
          <w:bCs/>
          <w:color w:val="auto"/>
          <w:sz w:val="24"/>
          <w:highlight w:val="none"/>
        </w:rPr>
      </w:pPr>
    </w:p>
    <w:p w14:paraId="0C1FE236">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14:paraId="3E35E2D8">
      <w:pPr>
        <w:spacing w:line="360" w:lineRule="auto"/>
        <w:jc w:val="center"/>
        <w:rPr>
          <w:rFonts w:hint="eastAsia" w:ascii="宋体" w:hAnsi="宋体" w:cs="宋体"/>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344C5F45">
      <w:pPr>
        <w:spacing w:line="360" w:lineRule="auto"/>
        <w:jc w:val="center"/>
        <w:outlineLvl w:val="0"/>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70EFBBFF">
      <w:pPr>
        <w:spacing w:line="360" w:lineRule="auto"/>
        <w:jc w:val="center"/>
        <w:outlineLvl w:val="0"/>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380C0EFD">
      <w:pPr>
        <w:spacing w:line="360" w:lineRule="auto"/>
        <w:jc w:val="center"/>
        <w:outlineLvl w:val="0"/>
        <w:rPr>
          <w:rFonts w:hint="eastAsia" w:ascii="宋体" w:hAnsi="宋体" w:cs="宋体"/>
          <w:b/>
          <w:color w:val="auto"/>
          <w:kern w:val="0"/>
          <w:sz w:val="36"/>
          <w:szCs w:val="36"/>
          <w:highlight w:val="none"/>
        </w:rPr>
      </w:pPr>
    </w:p>
    <w:p w14:paraId="41A7C25F">
      <w:pPr>
        <w:numPr>
          <w:ilvl w:val="0"/>
          <w:numId w:val="3"/>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开标一览表（报价表）………………………………………………………（页码）</w:t>
      </w:r>
    </w:p>
    <w:p w14:paraId="5BD894C5">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（2）中小企业声明函………………………………………………………………（页码）</w:t>
      </w:r>
    </w:p>
    <w:p w14:paraId="1ED036BD">
      <w:pPr>
        <w:pStyle w:val="80"/>
        <w:rPr>
          <w:rFonts w:hint="eastAsia"/>
          <w:color w:val="auto"/>
          <w:highlight w:val="none"/>
        </w:rPr>
      </w:pPr>
    </w:p>
    <w:p w14:paraId="34D0BD17">
      <w:pPr>
        <w:pStyle w:val="80"/>
        <w:rPr>
          <w:rFonts w:hint="eastAsia"/>
          <w:color w:val="auto"/>
          <w:highlight w:val="none"/>
        </w:rPr>
      </w:pPr>
    </w:p>
    <w:p w14:paraId="46F2D952">
      <w:pPr>
        <w:snapToGrid w:val="0"/>
        <w:spacing w:line="360" w:lineRule="auto"/>
        <w:ind w:right="480"/>
        <w:jc w:val="center"/>
        <w:rPr>
          <w:rFonts w:hint="eastAsia" w:ascii="宋体" w:hAnsi="宋体" w:cs="宋体"/>
          <w:b/>
          <w:color w:val="auto"/>
          <w:kern w:val="0"/>
          <w:sz w:val="32"/>
          <w:szCs w:val="32"/>
          <w:highlight w:val="none"/>
        </w:rPr>
      </w:pPr>
    </w:p>
    <w:p w14:paraId="6D8800F1">
      <w:pPr>
        <w:snapToGrid w:val="0"/>
        <w:spacing w:line="360" w:lineRule="auto"/>
        <w:ind w:right="480"/>
        <w:jc w:val="center"/>
        <w:rPr>
          <w:rFonts w:hint="eastAsia" w:ascii="宋体" w:hAnsi="宋体" w:cs="宋体"/>
          <w:b/>
          <w:color w:val="auto"/>
          <w:kern w:val="0"/>
          <w:sz w:val="32"/>
          <w:szCs w:val="32"/>
          <w:highlight w:val="none"/>
        </w:rPr>
      </w:pPr>
    </w:p>
    <w:p w14:paraId="15991BCF">
      <w:pPr>
        <w:snapToGrid w:val="0"/>
        <w:spacing w:line="360" w:lineRule="auto"/>
        <w:ind w:right="480"/>
        <w:jc w:val="center"/>
        <w:rPr>
          <w:rFonts w:hint="eastAsia" w:ascii="宋体" w:hAnsi="宋体" w:cs="宋体"/>
          <w:b/>
          <w:color w:val="auto"/>
          <w:kern w:val="0"/>
          <w:sz w:val="32"/>
          <w:szCs w:val="32"/>
          <w:highlight w:val="none"/>
        </w:rPr>
      </w:pPr>
    </w:p>
    <w:p w14:paraId="2DCC8A39">
      <w:pPr>
        <w:snapToGrid w:val="0"/>
        <w:spacing w:line="360" w:lineRule="auto"/>
        <w:ind w:right="480"/>
        <w:jc w:val="center"/>
        <w:rPr>
          <w:rFonts w:hint="eastAsia" w:ascii="宋体" w:hAnsi="宋体" w:cs="宋体"/>
          <w:b/>
          <w:color w:val="auto"/>
          <w:kern w:val="0"/>
          <w:sz w:val="32"/>
          <w:szCs w:val="32"/>
          <w:highlight w:val="none"/>
        </w:rPr>
      </w:pPr>
    </w:p>
    <w:p w14:paraId="1ADF8520">
      <w:pPr>
        <w:snapToGrid w:val="0"/>
        <w:spacing w:line="360" w:lineRule="auto"/>
        <w:ind w:right="480"/>
        <w:jc w:val="center"/>
        <w:rPr>
          <w:rFonts w:hint="eastAsia" w:ascii="宋体" w:hAnsi="宋体" w:cs="宋体"/>
          <w:b/>
          <w:color w:val="auto"/>
          <w:kern w:val="0"/>
          <w:sz w:val="32"/>
          <w:szCs w:val="32"/>
          <w:highlight w:val="none"/>
        </w:rPr>
      </w:pPr>
    </w:p>
    <w:p w14:paraId="0C02DCFE">
      <w:pPr>
        <w:snapToGrid w:val="0"/>
        <w:spacing w:line="360" w:lineRule="auto"/>
        <w:ind w:right="480"/>
        <w:jc w:val="center"/>
        <w:rPr>
          <w:rFonts w:hint="eastAsia" w:ascii="宋体" w:hAnsi="宋体" w:cs="宋体"/>
          <w:b/>
          <w:color w:val="auto"/>
          <w:kern w:val="0"/>
          <w:sz w:val="32"/>
          <w:szCs w:val="32"/>
          <w:highlight w:val="none"/>
        </w:rPr>
      </w:pPr>
    </w:p>
    <w:p w14:paraId="64E4B0DF">
      <w:pPr>
        <w:snapToGrid w:val="0"/>
        <w:spacing w:line="360" w:lineRule="auto"/>
        <w:ind w:right="480"/>
        <w:jc w:val="center"/>
        <w:rPr>
          <w:rFonts w:hint="eastAsia" w:ascii="宋体" w:hAnsi="宋体" w:cs="宋体"/>
          <w:b/>
          <w:color w:val="auto"/>
          <w:kern w:val="0"/>
          <w:sz w:val="32"/>
          <w:szCs w:val="32"/>
          <w:highlight w:val="none"/>
        </w:rPr>
      </w:pPr>
    </w:p>
    <w:p w14:paraId="3462487C">
      <w:pPr>
        <w:snapToGrid w:val="0"/>
        <w:spacing w:line="360" w:lineRule="auto"/>
        <w:ind w:right="480"/>
        <w:jc w:val="center"/>
        <w:rPr>
          <w:rFonts w:hint="eastAsia" w:ascii="宋体" w:hAnsi="宋体" w:cs="宋体"/>
          <w:b/>
          <w:color w:val="auto"/>
          <w:kern w:val="0"/>
          <w:sz w:val="32"/>
          <w:szCs w:val="32"/>
          <w:highlight w:val="none"/>
        </w:rPr>
      </w:pPr>
    </w:p>
    <w:p w14:paraId="39837EFC">
      <w:pPr>
        <w:snapToGrid w:val="0"/>
        <w:spacing w:line="360" w:lineRule="auto"/>
        <w:ind w:right="480"/>
        <w:jc w:val="center"/>
        <w:rPr>
          <w:rFonts w:hint="eastAsia" w:ascii="宋体" w:hAnsi="宋体" w:cs="宋体"/>
          <w:b/>
          <w:color w:val="auto"/>
          <w:kern w:val="0"/>
          <w:sz w:val="32"/>
          <w:szCs w:val="32"/>
          <w:highlight w:val="none"/>
        </w:rPr>
      </w:pPr>
    </w:p>
    <w:p w14:paraId="04AB5D65">
      <w:pPr>
        <w:snapToGrid w:val="0"/>
        <w:spacing w:line="360" w:lineRule="auto"/>
        <w:ind w:right="480"/>
        <w:jc w:val="center"/>
        <w:rPr>
          <w:rFonts w:hint="eastAsia" w:ascii="宋体" w:hAnsi="宋体" w:cs="宋体"/>
          <w:b/>
          <w:color w:val="auto"/>
          <w:kern w:val="0"/>
          <w:sz w:val="32"/>
          <w:szCs w:val="32"/>
          <w:highlight w:val="none"/>
        </w:rPr>
      </w:pPr>
    </w:p>
    <w:p w14:paraId="3D2AA8FC">
      <w:pPr>
        <w:snapToGrid w:val="0"/>
        <w:spacing w:line="360" w:lineRule="auto"/>
        <w:ind w:right="480"/>
        <w:jc w:val="center"/>
        <w:rPr>
          <w:rFonts w:hint="eastAsia" w:ascii="宋体" w:hAnsi="宋体" w:cs="宋体"/>
          <w:b/>
          <w:color w:val="auto"/>
          <w:kern w:val="0"/>
          <w:sz w:val="32"/>
          <w:szCs w:val="32"/>
          <w:highlight w:val="none"/>
        </w:rPr>
      </w:pPr>
    </w:p>
    <w:p w14:paraId="28A1955A">
      <w:pPr>
        <w:snapToGrid w:val="0"/>
        <w:spacing w:line="360" w:lineRule="auto"/>
        <w:ind w:right="480"/>
        <w:jc w:val="center"/>
        <w:rPr>
          <w:rFonts w:hint="eastAsia" w:ascii="宋体" w:hAnsi="宋体" w:cs="宋体"/>
          <w:b/>
          <w:color w:val="auto"/>
          <w:kern w:val="0"/>
          <w:sz w:val="32"/>
          <w:szCs w:val="32"/>
          <w:highlight w:val="none"/>
        </w:rPr>
      </w:pPr>
    </w:p>
    <w:p w14:paraId="59EB7450">
      <w:pPr>
        <w:snapToGrid w:val="0"/>
        <w:spacing w:line="360" w:lineRule="auto"/>
        <w:ind w:right="480"/>
        <w:jc w:val="center"/>
        <w:rPr>
          <w:rFonts w:hint="eastAsia" w:ascii="宋体" w:hAnsi="宋体" w:cs="宋体"/>
          <w:b/>
          <w:color w:val="auto"/>
          <w:kern w:val="0"/>
          <w:sz w:val="32"/>
          <w:szCs w:val="32"/>
          <w:highlight w:val="none"/>
        </w:rPr>
      </w:pPr>
    </w:p>
    <w:p w14:paraId="38D9FA01">
      <w:pPr>
        <w:snapToGrid w:val="0"/>
        <w:spacing w:line="360" w:lineRule="auto"/>
        <w:ind w:right="480"/>
        <w:jc w:val="center"/>
        <w:rPr>
          <w:rFonts w:hint="eastAsia" w:ascii="宋体" w:hAnsi="宋体" w:cs="宋体"/>
          <w:b/>
          <w:color w:val="auto"/>
          <w:kern w:val="0"/>
          <w:sz w:val="32"/>
          <w:szCs w:val="32"/>
          <w:highlight w:val="none"/>
        </w:rPr>
      </w:pPr>
    </w:p>
    <w:p w14:paraId="1D58C325">
      <w:pPr>
        <w:snapToGrid w:val="0"/>
        <w:spacing w:line="360" w:lineRule="auto"/>
        <w:ind w:right="480"/>
        <w:jc w:val="center"/>
        <w:rPr>
          <w:rFonts w:hint="eastAsia" w:ascii="宋体" w:hAnsi="宋体" w:cs="宋体"/>
          <w:b/>
          <w:color w:val="auto"/>
          <w:kern w:val="0"/>
          <w:sz w:val="32"/>
          <w:szCs w:val="32"/>
          <w:highlight w:val="none"/>
        </w:rPr>
      </w:pPr>
    </w:p>
    <w:p w14:paraId="7143208E">
      <w:pPr>
        <w:pStyle w:val="693"/>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3744D7AE">
      <w:pPr>
        <w:pStyle w:val="693"/>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6712FDDC">
      <w:pPr>
        <w:snapToGrid w:val="0"/>
        <w:spacing w:line="360" w:lineRule="auto"/>
        <w:rPr>
          <w:rFonts w:hint="eastAsia" w:ascii="宋体" w:hAnsi="宋体" w:cs="宋体"/>
          <w:color w:val="auto"/>
          <w:kern w:val="0"/>
          <w:sz w:val="24"/>
          <w:highlight w:val="none"/>
        </w:rPr>
      </w:pPr>
      <w:r>
        <w:rPr>
          <w:rFonts w:hint="eastAsia" w:ascii="宋体" w:hAnsi="宋体" w:cs="宋体"/>
          <w:color w:val="auto"/>
          <w:sz w:val="24"/>
          <w:highlight w:val="none"/>
        </w:rPr>
        <w:t>浙江省杭州生态环境监测中心、杭州意信招标代理有限公司</w:t>
      </w:r>
      <w:r>
        <w:rPr>
          <w:rFonts w:hint="eastAsia" w:ascii="宋体" w:hAnsi="宋体" w:cs="宋体"/>
          <w:color w:val="auto"/>
          <w:kern w:val="0"/>
          <w:sz w:val="24"/>
          <w:highlight w:val="none"/>
          <w:lang w:val="zh-CN"/>
        </w:rPr>
        <w:t>：</w:t>
      </w:r>
    </w:p>
    <w:p w14:paraId="5EA1BDFB">
      <w:pPr>
        <w:snapToGrid w:val="0"/>
        <w:spacing w:line="360" w:lineRule="auto"/>
        <w:ind w:firstLine="482"/>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rPr>
        <w:t>2025年度杭州市温室气体监测系统运维及碳排放反演与通量核算项目【招标编号：HZYX-HJ-25218GK】</w:t>
      </w:r>
      <w:r>
        <w:rPr>
          <w:rFonts w:hint="eastAsia" w:asciiTheme="minorEastAsia" w:hAnsiTheme="minorEastAsia" w:eastAsiaTheme="minorEastAsia" w:cstheme="minorEastAsia"/>
          <w:color w:val="auto"/>
          <w:sz w:val="24"/>
          <w:highlight w:val="none"/>
        </w:rPr>
        <w:t>之标项</w:t>
      </w:r>
      <w:r>
        <w:rPr>
          <w:rFonts w:hint="eastAsia" w:asciiTheme="minorEastAsia" w:hAnsiTheme="minorEastAsia" w:eastAsiaTheme="minorEastAsia" w:cstheme="minorEastAsia"/>
          <w:color w:val="auto"/>
          <w:sz w:val="24"/>
          <w:highlight w:val="none"/>
          <w:u w:val="single"/>
        </w:rPr>
        <w:t xml:space="preserve">              </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14:paraId="7E0236F2">
      <w:pPr>
        <w:spacing w:line="360" w:lineRule="auto"/>
        <w:jc w:val="center"/>
        <w:rPr>
          <w:rFonts w:hint="eastAsia"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6E16E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3602F047">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序号</w:t>
            </w:r>
          </w:p>
        </w:tc>
        <w:tc>
          <w:tcPr>
            <w:tcW w:w="992" w:type="dxa"/>
            <w:vAlign w:val="center"/>
          </w:tcPr>
          <w:p w14:paraId="29C8B221">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名称</w:t>
            </w:r>
          </w:p>
        </w:tc>
        <w:tc>
          <w:tcPr>
            <w:tcW w:w="2268" w:type="dxa"/>
          </w:tcPr>
          <w:p w14:paraId="136669C4">
            <w:pPr>
              <w:spacing w:line="360" w:lineRule="auto"/>
              <w:jc w:val="center"/>
              <w:rPr>
                <w:rFonts w:hint="eastAsia" w:ascii="宋体" w:hAnsi="宋体" w:cs="宋体"/>
                <w:b/>
                <w:color w:val="auto"/>
                <w:sz w:val="24"/>
                <w:highlight w:val="none"/>
              </w:rPr>
            </w:pPr>
          </w:p>
          <w:p w14:paraId="5AF44C82">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服务范围</w:t>
            </w:r>
          </w:p>
        </w:tc>
        <w:tc>
          <w:tcPr>
            <w:tcW w:w="2410" w:type="dxa"/>
            <w:vAlign w:val="center"/>
          </w:tcPr>
          <w:p w14:paraId="6927FBEE">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服务要求</w:t>
            </w:r>
          </w:p>
        </w:tc>
        <w:tc>
          <w:tcPr>
            <w:tcW w:w="2268" w:type="dxa"/>
            <w:vAlign w:val="center"/>
          </w:tcPr>
          <w:p w14:paraId="3DF8B819">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服务时间</w:t>
            </w:r>
          </w:p>
        </w:tc>
        <w:tc>
          <w:tcPr>
            <w:tcW w:w="2126" w:type="dxa"/>
            <w:vAlign w:val="center"/>
          </w:tcPr>
          <w:p w14:paraId="09BB5A5F">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服务标准</w:t>
            </w:r>
          </w:p>
        </w:tc>
        <w:tc>
          <w:tcPr>
            <w:tcW w:w="2127" w:type="dxa"/>
          </w:tcPr>
          <w:p w14:paraId="7386A655">
            <w:pPr>
              <w:spacing w:line="360" w:lineRule="auto"/>
              <w:jc w:val="center"/>
              <w:rPr>
                <w:rFonts w:hint="eastAsia" w:ascii="宋体" w:hAnsi="宋体" w:cs="宋体"/>
                <w:b/>
                <w:color w:val="auto"/>
                <w:sz w:val="24"/>
                <w:highlight w:val="none"/>
              </w:rPr>
            </w:pPr>
          </w:p>
          <w:p w14:paraId="0FA7F116">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服务人数</w:t>
            </w:r>
          </w:p>
        </w:tc>
        <w:tc>
          <w:tcPr>
            <w:tcW w:w="2126" w:type="dxa"/>
            <w:vAlign w:val="center"/>
          </w:tcPr>
          <w:p w14:paraId="38D8832D">
            <w:pPr>
              <w:spacing w:line="360" w:lineRule="auto"/>
              <w:jc w:val="center"/>
              <w:rPr>
                <w:rFonts w:hint="eastAsia" w:ascii="宋体" w:hAnsi="宋体" w:cs="宋体"/>
                <w:b/>
                <w:color w:val="auto"/>
                <w:sz w:val="24"/>
                <w:highlight w:val="none"/>
              </w:rPr>
            </w:pPr>
          </w:p>
          <w:p w14:paraId="652D394D">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备注（如果有）</w:t>
            </w:r>
          </w:p>
          <w:p w14:paraId="12FC24A7">
            <w:pPr>
              <w:spacing w:line="360" w:lineRule="auto"/>
              <w:jc w:val="center"/>
              <w:rPr>
                <w:rFonts w:hint="eastAsia" w:ascii="宋体" w:hAnsi="宋体" w:cs="宋体"/>
                <w:b/>
                <w:color w:val="auto"/>
                <w:sz w:val="24"/>
                <w:highlight w:val="none"/>
              </w:rPr>
            </w:pPr>
          </w:p>
        </w:tc>
      </w:tr>
      <w:tr w14:paraId="54EC4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7EBAF2E8">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992" w:type="dxa"/>
            <w:vAlign w:val="center"/>
          </w:tcPr>
          <w:p w14:paraId="6505B7C6">
            <w:pPr>
              <w:snapToGrid w:val="0"/>
              <w:spacing w:line="360" w:lineRule="auto"/>
              <w:jc w:val="center"/>
              <w:rPr>
                <w:rFonts w:hint="eastAsia" w:ascii="宋体" w:hAnsi="宋体" w:cs="宋体"/>
                <w:color w:val="auto"/>
                <w:sz w:val="24"/>
                <w:highlight w:val="none"/>
              </w:rPr>
            </w:pPr>
          </w:p>
        </w:tc>
        <w:tc>
          <w:tcPr>
            <w:tcW w:w="2268" w:type="dxa"/>
            <w:vAlign w:val="center"/>
          </w:tcPr>
          <w:p w14:paraId="27680CC2">
            <w:pPr>
              <w:snapToGrid w:val="0"/>
              <w:spacing w:line="360" w:lineRule="auto"/>
              <w:jc w:val="center"/>
              <w:rPr>
                <w:rFonts w:hint="eastAsia" w:ascii="宋体" w:hAnsi="宋体" w:cs="宋体"/>
                <w:color w:val="auto"/>
                <w:sz w:val="24"/>
                <w:highlight w:val="none"/>
              </w:rPr>
            </w:pPr>
          </w:p>
        </w:tc>
        <w:tc>
          <w:tcPr>
            <w:tcW w:w="2410" w:type="dxa"/>
            <w:vAlign w:val="center"/>
          </w:tcPr>
          <w:p w14:paraId="5DBE428B">
            <w:pPr>
              <w:snapToGrid w:val="0"/>
              <w:spacing w:line="360" w:lineRule="auto"/>
              <w:jc w:val="center"/>
              <w:rPr>
                <w:rFonts w:hint="eastAsia" w:ascii="宋体" w:hAnsi="宋体" w:cs="宋体"/>
                <w:color w:val="auto"/>
                <w:sz w:val="24"/>
                <w:highlight w:val="none"/>
              </w:rPr>
            </w:pPr>
          </w:p>
        </w:tc>
        <w:tc>
          <w:tcPr>
            <w:tcW w:w="2268" w:type="dxa"/>
            <w:vAlign w:val="center"/>
          </w:tcPr>
          <w:p w14:paraId="670BC70E">
            <w:pPr>
              <w:snapToGrid w:val="0"/>
              <w:spacing w:line="360" w:lineRule="auto"/>
              <w:jc w:val="center"/>
              <w:rPr>
                <w:rFonts w:hint="eastAsia" w:ascii="宋体" w:hAnsi="宋体" w:cs="宋体"/>
                <w:color w:val="auto"/>
                <w:sz w:val="24"/>
                <w:highlight w:val="none"/>
              </w:rPr>
            </w:pPr>
          </w:p>
        </w:tc>
        <w:tc>
          <w:tcPr>
            <w:tcW w:w="2126" w:type="dxa"/>
            <w:vAlign w:val="center"/>
          </w:tcPr>
          <w:p w14:paraId="49E047E4">
            <w:pPr>
              <w:spacing w:line="360" w:lineRule="auto"/>
              <w:jc w:val="center"/>
              <w:rPr>
                <w:rFonts w:hint="eastAsia" w:ascii="宋体" w:hAnsi="宋体" w:cs="宋体"/>
                <w:color w:val="auto"/>
                <w:sz w:val="24"/>
                <w:highlight w:val="none"/>
              </w:rPr>
            </w:pPr>
          </w:p>
        </w:tc>
        <w:tc>
          <w:tcPr>
            <w:tcW w:w="2127" w:type="dxa"/>
          </w:tcPr>
          <w:p w14:paraId="3C32CD92">
            <w:pPr>
              <w:spacing w:line="360" w:lineRule="auto"/>
              <w:jc w:val="center"/>
              <w:rPr>
                <w:rFonts w:hint="eastAsia" w:ascii="宋体" w:hAnsi="宋体" w:cs="宋体"/>
                <w:color w:val="auto"/>
                <w:sz w:val="24"/>
                <w:highlight w:val="none"/>
              </w:rPr>
            </w:pPr>
          </w:p>
        </w:tc>
        <w:tc>
          <w:tcPr>
            <w:tcW w:w="2126" w:type="dxa"/>
            <w:vAlign w:val="center"/>
          </w:tcPr>
          <w:p w14:paraId="0405286B">
            <w:pPr>
              <w:spacing w:line="360" w:lineRule="auto"/>
              <w:jc w:val="center"/>
              <w:rPr>
                <w:rFonts w:hint="eastAsia" w:ascii="宋体" w:hAnsi="宋体" w:cs="宋体"/>
                <w:color w:val="auto"/>
                <w:sz w:val="24"/>
                <w:highlight w:val="none"/>
              </w:rPr>
            </w:pPr>
          </w:p>
        </w:tc>
      </w:tr>
      <w:tr w14:paraId="18325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07011C44">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992" w:type="dxa"/>
            <w:vAlign w:val="center"/>
          </w:tcPr>
          <w:p w14:paraId="50A617F9">
            <w:pPr>
              <w:snapToGrid w:val="0"/>
              <w:spacing w:line="360" w:lineRule="auto"/>
              <w:jc w:val="center"/>
              <w:rPr>
                <w:rFonts w:hint="eastAsia" w:ascii="宋体" w:hAnsi="宋体" w:cs="宋体"/>
                <w:color w:val="auto"/>
                <w:sz w:val="24"/>
                <w:highlight w:val="none"/>
              </w:rPr>
            </w:pPr>
          </w:p>
        </w:tc>
        <w:tc>
          <w:tcPr>
            <w:tcW w:w="2268" w:type="dxa"/>
            <w:vAlign w:val="center"/>
          </w:tcPr>
          <w:p w14:paraId="0EF278F0">
            <w:pPr>
              <w:snapToGrid w:val="0"/>
              <w:spacing w:line="360" w:lineRule="auto"/>
              <w:jc w:val="center"/>
              <w:rPr>
                <w:rFonts w:hint="eastAsia" w:ascii="宋体" w:hAnsi="宋体" w:cs="宋体"/>
                <w:color w:val="auto"/>
                <w:sz w:val="24"/>
                <w:highlight w:val="none"/>
              </w:rPr>
            </w:pPr>
          </w:p>
        </w:tc>
        <w:tc>
          <w:tcPr>
            <w:tcW w:w="2410" w:type="dxa"/>
            <w:vAlign w:val="center"/>
          </w:tcPr>
          <w:p w14:paraId="07163BA0">
            <w:pPr>
              <w:snapToGrid w:val="0"/>
              <w:spacing w:line="360" w:lineRule="auto"/>
              <w:jc w:val="center"/>
              <w:rPr>
                <w:rFonts w:hint="eastAsia" w:ascii="宋体" w:hAnsi="宋体" w:cs="宋体"/>
                <w:color w:val="auto"/>
                <w:sz w:val="24"/>
                <w:highlight w:val="none"/>
              </w:rPr>
            </w:pPr>
          </w:p>
        </w:tc>
        <w:tc>
          <w:tcPr>
            <w:tcW w:w="2268" w:type="dxa"/>
            <w:vAlign w:val="center"/>
          </w:tcPr>
          <w:p w14:paraId="7AFA1195">
            <w:pPr>
              <w:snapToGrid w:val="0"/>
              <w:spacing w:line="360" w:lineRule="auto"/>
              <w:jc w:val="center"/>
              <w:rPr>
                <w:rFonts w:hint="eastAsia" w:ascii="宋体" w:hAnsi="宋体" w:cs="宋体"/>
                <w:color w:val="auto"/>
                <w:sz w:val="24"/>
                <w:highlight w:val="none"/>
              </w:rPr>
            </w:pPr>
          </w:p>
        </w:tc>
        <w:tc>
          <w:tcPr>
            <w:tcW w:w="2126" w:type="dxa"/>
            <w:vAlign w:val="center"/>
          </w:tcPr>
          <w:p w14:paraId="668184A0">
            <w:pPr>
              <w:spacing w:line="360" w:lineRule="auto"/>
              <w:jc w:val="center"/>
              <w:rPr>
                <w:rFonts w:hint="eastAsia" w:ascii="宋体" w:hAnsi="宋体" w:cs="宋体"/>
                <w:color w:val="auto"/>
                <w:sz w:val="24"/>
                <w:highlight w:val="none"/>
              </w:rPr>
            </w:pPr>
          </w:p>
        </w:tc>
        <w:tc>
          <w:tcPr>
            <w:tcW w:w="2127" w:type="dxa"/>
          </w:tcPr>
          <w:p w14:paraId="11C9E5F0">
            <w:pPr>
              <w:spacing w:line="360" w:lineRule="auto"/>
              <w:jc w:val="center"/>
              <w:rPr>
                <w:rFonts w:hint="eastAsia" w:ascii="宋体" w:hAnsi="宋体" w:cs="宋体"/>
                <w:color w:val="auto"/>
                <w:sz w:val="24"/>
                <w:highlight w:val="none"/>
              </w:rPr>
            </w:pPr>
          </w:p>
        </w:tc>
        <w:tc>
          <w:tcPr>
            <w:tcW w:w="2126" w:type="dxa"/>
            <w:vAlign w:val="center"/>
          </w:tcPr>
          <w:p w14:paraId="0986ECAD">
            <w:pPr>
              <w:spacing w:line="360" w:lineRule="auto"/>
              <w:jc w:val="center"/>
              <w:rPr>
                <w:rFonts w:hint="eastAsia" w:ascii="宋体" w:hAnsi="宋体" w:cs="宋体"/>
                <w:color w:val="auto"/>
                <w:sz w:val="24"/>
                <w:highlight w:val="none"/>
              </w:rPr>
            </w:pPr>
          </w:p>
        </w:tc>
      </w:tr>
      <w:tr w14:paraId="7CEDA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5F296C88">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w:t>
            </w:r>
          </w:p>
        </w:tc>
        <w:tc>
          <w:tcPr>
            <w:tcW w:w="992" w:type="dxa"/>
            <w:vAlign w:val="center"/>
          </w:tcPr>
          <w:p w14:paraId="533573F3">
            <w:pPr>
              <w:snapToGrid w:val="0"/>
              <w:spacing w:line="360" w:lineRule="auto"/>
              <w:jc w:val="center"/>
              <w:rPr>
                <w:rFonts w:hint="eastAsia" w:ascii="宋体" w:hAnsi="宋体" w:cs="宋体"/>
                <w:color w:val="auto"/>
                <w:sz w:val="24"/>
                <w:highlight w:val="none"/>
              </w:rPr>
            </w:pPr>
          </w:p>
        </w:tc>
        <w:tc>
          <w:tcPr>
            <w:tcW w:w="2268" w:type="dxa"/>
            <w:vAlign w:val="center"/>
          </w:tcPr>
          <w:p w14:paraId="44AE0340">
            <w:pPr>
              <w:snapToGrid w:val="0"/>
              <w:spacing w:line="360" w:lineRule="auto"/>
              <w:jc w:val="center"/>
              <w:rPr>
                <w:rFonts w:hint="eastAsia" w:ascii="宋体" w:hAnsi="宋体" w:cs="宋体"/>
                <w:color w:val="auto"/>
                <w:sz w:val="24"/>
                <w:highlight w:val="none"/>
              </w:rPr>
            </w:pPr>
          </w:p>
        </w:tc>
        <w:tc>
          <w:tcPr>
            <w:tcW w:w="2410" w:type="dxa"/>
            <w:vAlign w:val="center"/>
          </w:tcPr>
          <w:p w14:paraId="62BF7D26">
            <w:pPr>
              <w:snapToGrid w:val="0"/>
              <w:spacing w:line="360" w:lineRule="auto"/>
              <w:jc w:val="center"/>
              <w:rPr>
                <w:rFonts w:hint="eastAsia" w:ascii="宋体" w:hAnsi="宋体" w:cs="宋体"/>
                <w:color w:val="auto"/>
                <w:sz w:val="24"/>
                <w:highlight w:val="none"/>
              </w:rPr>
            </w:pPr>
          </w:p>
        </w:tc>
        <w:tc>
          <w:tcPr>
            <w:tcW w:w="2268" w:type="dxa"/>
            <w:vAlign w:val="center"/>
          </w:tcPr>
          <w:p w14:paraId="6730FEE8">
            <w:pPr>
              <w:snapToGrid w:val="0"/>
              <w:spacing w:line="360" w:lineRule="auto"/>
              <w:jc w:val="center"/>
              <w:rPr>
                <w:rFonts w:hint="eastAsia" w:ascii="宋体" w:hAnsi="宋体" w:cs="宋体"/>
                <w:color w:val="auto"/>
                <w:sz w:val="24"/>
                <w:highlight w:val="none"/>
              </w:rPr>
            </w:pPr>
          </w:p>
        </w:tc>
        <w:tc>
          <w:tcPr>
            <w:tcW w:w="2126" w:type="dxa"/>
            <w:vAlign w:val="center"/>
          </w:tcPr>
          <w:p w14:paraId="5DAFFDE5">
            <w:pPr>
              <w:spacing w:line="360" w:lineRule="auto"/>
              <w:jc w:val="center"/>
              <w:rPr>
                <w:rFonts w:hint="eastAsia" w:ascii="宋体" w:hAnsi="宋体" w:cs="宋体"/>
                <w:color w:val="auto"/>
                <w:sz w:val="24"/>
                <w:highlight w:val="none"/>
              </w:rPr>
            </w:pPr>
          </w:p>
        </w:tc>
        <w:tc>
          <w:tcPr>
            <w:tcW w:w="2127" w:type="dxa"/>
          </w:tcPr>
          <w:p w14:paraId="43AC1E72">
            <w:pPr>
              <w:spacing w:line="360" w:lineRule="auto"/>
              <w:jc w:val="center"/>
              <w:rPr>
                <w:rFonts w:hint="eastAsia" w:ascii="宋体" w:hAnsi="宋体" w:cs="宋体"/>
                <w:color w:val="auto"/>
                <w:sz w:val="24"/>
                <w:highlight w:val="none"/>
              </w:rPr>
            </w:pPr>
          </w:p>
        </w:tc>
        <w:tc>
          <w:tcPr>
            <w:tcW w:w="2126" w:type="dxa"/>
            <w:vAlign w:val="center"/>
          </w:tcPr>
          <w:p w14:paraId="3D18D69A">
            <w:pPr>
              <w:spacing w:line="360" w:lineRule="auto"/>
              <w:jc w:val="center"/>
              <w:rPr>
                <w:rFonts w:hint="eastAsia" w:ascii="宋体" w:hAnsi="宋体" w:cs="宋体"/>
                <w:color w:val="auto"/>
                <w:sz w:val="24"/>
                <w:highlight w:val="none"/>
              </w:rPr>
            </w:pPr>
          </w:p>
        </w:tc>
      </w:tr>
      <w:tr w14:paraId="314FE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45376BF1">
            <w:pPr>
              <w:spacing w:line="360" w:lineRule="auto"/>
              <w:jc w:val="center"/>
              <w:rPr>
                <w:rFonts w:hint="eastAsia" w:ascii="宋体" w:hAnsi="宋体" w:cs="宋体"/>
                <w:color w:val="auto"/>
                <w:sz w:val="24"/>
                <w:highlight w:val="none"/>
              </w:rPr>
            </w:pPr>
          </w:p>
        </w:tc>
        <w:tc>
          <w:tcPr>
            <w:tcW w:w="992" w:type="dxa"/>
            <w:vAlign w:val="center"/>
          </w:tcPr>
          <w:p w14:paraId="7A34D197">
            <w:pPr>
              <w:snapToGrid w:val="0"/>
              <w:spacing w:line="360" w:lineRule="auto"/>
              <w:jc w:val="center"/>
              <w:rPr>
                <w:rFonts w:hint="eastAsia" w:ascii="宋体" w:hAnsi="宋体" w:cs="宋体"/>
                <w:color w:val="auto"/>
                <w:sz w:val="24"/>
                <w:highlight w:val="none"/>
              </w:rPr>
            </w:pPr>
          </w:p>
        </w:tc>
        <w:tc>
          <w:tcPr>
            <w:tcW w:w="2268" w:type="dxa"/>
            <w:vAlign w:val="center"/>
          </w:tcPr>
          <w:p w14:paraId="57599447">
            <w:pPr>
              <w:snapToGrid w:val="0"/>
              <w:spacing w:line="360" w:lineRule="auto"/>
              <w:jc w:val="center"/>
              <w:rPr>
                <w:rFonts w:hint="eastAsia" w:ascii="宋体" w:hAnsi="宋体" w:cs="宋体"/>
                <w:color w:val="auto"/>
                <w:sz w:val="24"/>
                <w:highlight w:val="none"/>
              </w:rPr>
            </w:pPr>
          </w:p>
        </w:tc>
        <w:tc>
          <w:tcPr>
            <w:tcW w:w="2410" w:type="dxa"/>
            <w:vAlign w:val="center"/>
          </w:tcPr>
          <w:p w14:paraId="229A3C8A">
            <w:pPr>
              <w:snapToGrid w:val="0"/>
              <w:spacing w:line="360" w:lineRule="auto"/>
              <w:jc w:val="center"/>
              <w:rPr>
                <w:rFonts w:hint="eastAsia" w:ascii="宋体" w:hAnsi="宋体" w:cs="宋体"/>
                <w:color w:val="auto"/>
                <w:sz w:val="24"/>
                <w:highlight w:val="none"/>
              </w:rPr>
            </w:pPr>
          </w:p>
        </w:tc>
        <w:tc>
          <w:tcPr>
            <w:tcW w:w="2268" w:type="dxa"/>
            <w:vAlign w:val="center"/>
          </w:tcPr>
          <w:p w14:paraId="12113E52">
            <w:pPr>
              <w:snapToGrid w:val="0"/>
              <w:spacing w:line="360" w:lineRule="auto"/>
              <w:jc w:val="center"/>
              <w:rPr>
                <w:rFonts w:hint="eastAsia" w:ascii="宋体" w:hAnsi="宋体" w:cs="宋体"/>
                <w:color w:val="auto"/>
                <w:sz w:val="24"/>
                <w:highlight w:val="none"/>
              </w:rPr>
            </w:pPr>
          </w:p>
        </w:tc>
        <w:tc>
          <w:tcPr>
            <w:tcW w:w="2126" w:type="dxa"/>
            <w:vAlign w:val="center"/>
          </w:tcPr>
          <w:p w14:paraId="3A908E81">
            <w:pPr>
              <w:spacing w:line="360" w:lineRule="auto"/>
              <w:jc w:val="center"/>
              <w:rPr>
                <w:rFonts w:hint="eastAsia" w:ascii="宋体" w:hAnsi="宋体" w:cs="宋体"/>
                <w:color w:val="auto"/>
                <w:sz w:val="24"/>
                <w:highlight w:val="none"/>
              </w:rPr>
            </w:pPr>
          </w:p>
        </w:tc>
        <w:tc>
          <w:tcPr>
            <w:tcW w:w="2127" w:type="dxa"/>
          </w:tcPr>
          <w:p w14:paraId="56B7C5FA">
            <w:pPr>
              <w:spacing w:line="360" w:lineRule="auto"/>
              <w:jc w:val="center"/>
              <w:rPr>
                <w:rFonts w:hint="eastAsia" w:ascii="宋体" w:hAnsi="宋体" w:cs="宋体"/>
                <w:color w:val="auto"/>
                <w:sz w:val="24"/>
                <w:highlight w:val="none"/>
              </w:rPr>
            </w:pPr>
          </w:p>
        </w:tc>
        <w:tc>
          <w:tcPr>
            <w:tcW w:w="2126" w:type="dxa"/>
            <w:vAlign w:val="center"/>
          </w:tcPr>
          <w:p w14:paraId="6332DCDD">
            <w:pPr>
              <w:spacing w:line="360" w:lineRule="auto"/>
              <w:jc w:val="center"/>
              <w:rPr>
                <w:rFonts w:hint="eastAsia" w:ascii="宋体" w:hAnsi="宋体" w:cs="宋体"/>
                <w:color w:val="auto"/>
                <w:sz w:val="24"/>
                <w:highlight w:val="none"/>
              </w:rPr>
            </w:pPr>
          </w:p>
        </w:tc>
      </w:tr>
      <w:tr w14:paraId="57370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61DE0690">
            <w:pPr>
              <w:spacing w:line="360" w:lineRule="auto"/>
              <w:jc w:val="center"/>
              <w:rPr>
                <w:rFonts w:hint="eastAsia" w:ascii="宋体" w:hAnsi="宋体" w:cs="宋体"/>
                <w:color w:val="auto"/>
                <w:sz w:val="24"/>
                <w:highlight w:val="none"/>
              </w:rPr>
            </w:pPr>
          </w:p>
        </w:tc>
        <w:tc>
          <w:tcPr>
            <w:tcW w:w="992" w:type="dxa"/>
            <w:vAlign w:val="center"/>
          </w:tcPr>
          <w:p w14:paraId="1DAE9EED">
            <w:pPr>
              <w:snapToGrid w:val="0"/>
              <w:spacing w:line="360" w:lineRule="auto"/>
              <w:jc w:val="center"/>
              <w:rPr>
                <w:rFonts w:hint="eastAsia" w:ascii="宋体" w:hAnsi="宋体" w:cs="宋体"/>
                <w:color w:val="auto"/>
                <w:sz w:val="24"/>
                <w:highlight w:val="none"/>
              </w:rPr>
            </w:pPr>
          </w:p>
        </w:tc>
        <w:tc>
          <w:tcPr>
            <w:tcW w:w="2268" w:type="dxa"/>
            <w:vAlign w:val="center"/>
          </w:tcPr>
          <w:p w14:paraId="4F13B10E">
            <w:pPr>
              <w:snapToGrid w:val="0"/>
              <w:spacing w:line="360" w:lineRule="auto"/>
              <w:jc w:val="center"/>
              <w:rPr>
                <w:rFonts w:hint="eastAsia" w:ascii="宋体" w:hAnsi="宋体" w:cs="宋体"/>
                <w:color w:val="auto"/>
                <w:sz w:val="24"/>
                <w:highlight w:val="none"/>
              </w:rPr>
            </w:pPr>
          </w:p>
        </w:tc>
        <w:tc>
          <w:tcPr>
            <w:tcW w:w="2410" w:type="dxa"/>
            <w:vAlign w:val="center"/>
          </w:tcPr>
          <w:p w14:paraId="417C4073">
            <w:pPr>
              <w:snapToGrid w:val="0"/>
              <w:spacing w:line="360" w:lineRule="auto"/>
              <w:jc w:val="center"/>
              <w:rPr>
                <w:rFonts w:hint="eastAsia" w:ascii="宋体" w:hAnsi="宋体" w:cs="宋体"/>
                <w:color w:val="auto"/>
                <w:sz w:val="24"/>
                <w:highlight w:val="none"/>
              </w:rPr>
            </w:pPr>
          </w:p>
        </w:tc>
        <w:tc>
          <w:tcPr>
            <w:tcW w:w="2268" w:type="dxa"/>
            <w:vAlign w:val="center"/>
          </w:tcPr>
          <w:p w14:paraId="56C157DD">
            <w:pPr>
              <w:snapToGrid w:val="0"/>
              <w:spacing w:line="360" w:lineRule="auto"/>
              <w:jc w:val="center"/>
              <w:rPr>
                <w:rFonts w:hint="eastAsia" w:ascii="宋体" w:hAnsi="宋体" w:cs="宋体"/>
                <w:color w:val="auto"/>
                <w:sz w:val="24"/>
                <w:highlight w:val="none"/>
              </w:rPr>
            </w:pPr>
          </w:p>
        </w:tc>
        <w:tc>
          <w:tcPr>
            <w:tcW w:w="2126" w:type="dxa"/>
            <w:vAlign w:val="center"/>
          </w:tcPr>
          <w:p w14:paraId="52549C31">
            <w:pPr>
              <w:spacing w:line="360" w:lineRule="auto"/>
              <w:jc w:val="center"/>
              <w:rPr>
                <w:rFonts w:hint="eastAsia" w:ascii="宋体" w:hAnsi="宋体" w:cs="宋体"/>
                <w:color w:val="auto"/>
                <w:sz w:val="24"/>
                <w:highlight w:val="none"/>
              </w:rPr>
            </w:pPr>
          </w:p>
        </w:tc>
        <w:tc>
          <w:tcPr>
            <w:tcW w:w="2127" w:type="dxa"/>
          </w:tcPr>
          <w:p w14:paraId="12F8D4A7">
            <w:pPr>
              <w:spacing w:line="360" w:lineRule="auto"/>
              <w:jc w:val="center"/>
              <w:rPr>
                <w:rFonts w:hint="eastAsia" w:ascii="宋体" w:hAnsi="宋体" w:cs="宋体"/>
                <w:color w:val="auto"/>
                <w:sz w:val="24"/>
                <w:highlight w:val="none"/>
              </w:rPr>
            </w:pPr>
          </w:p>
        </w:tc>
        <w:tc>
          <w:tcPr>
            <w:tcW w:w="2126" w:type="dxa"/>
            <w:vAlign w:val="center"/>
          </w:tcPr>
          <w:p w14:paraId="6F02BDC4">
            <w:pPr>
              <w:spacing w:line="360" w:lineRule="auto"/>
              <w:jc w:val="center"/>
              <w:rPr>
                <w:rFonts w:hint="eastAsia" w:ascii="宋体" w:hAnsi="宋体" w:cs="宋体"/>
                <w:color w:val="auto"/>
                <w:sz w:val="24"/>
                <w:highlight w:val="none"/>
              </w:rPr>
            </w:pPr>
          </w:p>
        </w:tc>
      </w:tr>
      <w:tr w14:paraId="7854A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7498178B">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投标报价（小写）</w:t>
            </w:r>
          </w:p>
        </w:tc>
        <w:tc>
          <w:tcPr>
            <w:tcW w:w="8647" w:type="dxa"/>
            <w:gridSpan w:val="4"/>
          </w:tcPr>
          <w:p w14:paraId="09CC292F">
            <w:pPr>
              <w:spacing w:line="360" w:lineRule="auto"/>
              <w:jc w:val="center"/>
              <w:rPr>
                <w:rFonts w:hint="eastAsia" w:ascii="宋体" w:hAnsi="宋体" w:cs="宋体"/>
                <w:color w:val="auto"/>
                <w:sz w:val="24"/>
                <w:highlight w:val="none"/>
              </w:rPr>
            </w:pPr>
          </w:p>
        </w:tc>
      </w:tr>
      <w:tr w14:paraId="1E74D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61FC2AED">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投标报价（大写）</w:t>
            </w:r>
          </w:p>
        </w:tc>
        <w:tc>
          <w:tcPr>
            <w:tcW w:w="8647" w:type="dxa"/>
            <w:gridSpan w:val="4"/>
          </w:tcPr>
          <w:p w14:paraId="2207C09C">
            <w:pPr>
              <w:spacing w:line="360" w:lineRule="auto"/>
              <w:jc w:val="center"/>
              <w:rPr>
                <w:rFonts w:hint="eastAsia" w:ascii="宋体" w:hAnsi="宋体" w:cs="宋体"/>
                <w:color w:val="auto"/>
                <w:sz w:val="24"/>
                <w:highlight w:val="none"/>
              </w:rPr>
            </w:pPr>
          </w:p>
        </w:tc>
      </w:tr>
    </w:tbl>
    <w:p w14:paraId="02E1A8A5">
      <w:pPr>
        <w:snapToGrid w:val="0"/>
        <w:spacing w:line="360" w:lineRule="auto"/>
        <w:ind w:left="480"/>
        <w:rPr>
          <w:rFonts w:hint="eastAsia"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260F73B2">
      <w:pPr>
        <w:spacing w:line="360" w:lineRule="auto"/>
        <w:ind w:left="-2" w:leftChars="-1" w:firstLine="480" w:firstLineChars="2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w:t>
      </w:r>
      <w:r>
        <w:rPr>
          <w:rFonts w:hint="eastAsia" w:ascii="宋体" w:hAnsi="宋体" w:cs="宋体"/>
          <w:color w:val="auto"/>
          <w:kern w:val="0"/>
          <w:sz w:val="24"/>
          <w:highlight w:val="none"/>
          <w:lang w:val="zh-CN"/>
        </w:rPr>
        <w:t>。</w:t>
      </w:r>
    </w:p>
    <w:p w14:paraId="39D63E85">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color w:val="auto"/>
          <w:kern w:val="0"/>
          <w:sz w:val="24"/>
          <w:highlight w:val="none"/>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部分产品、服务单价为零的，视作已包含在总价中。</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6B295067">
      <w:pPr>
        <w:snapToGrid w:val="0"/>
        <w:spacing w:line="360" w:lineRule="auto"/>
        <w:ind w:firstLine="480" w:firstLineChars="200"/>
        <w:jc w:val="left"/>
        <w:rPr>
          <w:rFonts w:hint="eastAsia" w:ascii="宋体" w:hAnsi="宋体" w:cs="宋体"/>
          <w:b/>
          <w:color w:val="auto"/>
          <w:kern w:val="0"/>
          <w:sz w:val="24"/>
          <w:highlight w:val="none"/>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14:paraId="2AFE6253">
      <w:pPr>
        <w:pStyle w:val="693"/>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p>
    <w:p w14:paraId="7C0EDAFF">
      <w:pPr>
        <w:pStyle w:val="693"/>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14:paraId="60F46876">
      <w:pPr>
        <w:pStyle w:val="693"/>
        <w:keepNext w:val="0"/>
        <w:pageBreakBefore w:val="0"/>
        <w:tabs>
          <w:tab w:val="clear" w:pos="720"/>
        </w:tabs>
        <w:snapToGrid w:val="0"/>
        <w:spacing w:before="120" w:after="120"/>
        <w:ind w:firstLine="643"/>
        <w:outlineLvl w:val="9"/>
        <w:rPr>
          <w:rFonts w:hint="eastAsia" w:ascii="宋体" w:hAnsi="宋体" w:eastAsia="宋体" w:cs="宋体"/>
          <w:color w:val="auto"/>
          <w:sz w:val="32"/>
          <w:szCs w:val="32"/>
          <w:highlight w:val="none"/>
        </w:rPr>
      </w:pPr>
      <w:r>
        <w:rPr>
          <w:rFonts w:hint="eastAsia" w:ascii="宋体" w:hAnsi="宋体" w:eastAsia="宋体" w:cs="宋体"/>
          <w:color w:val="auto"/>
          <w:kern w:val="2"/>
          <w:sz w:val="32"/>
          <w:szCs w:val="32"/>
          <w:highlight w:val="none"/>
        </w:rPr>
        <w:t>二、</w:t>
      </w:r>
      <w:r>
        <w:rPr>
          <w:rFonts w:hint="eastAsia" w:ascii="宋体" w:hAnsi="宋体" w:eastAsia="宋体" w:cs="宋体"/>
          <w:color w:val="auto"/>
          <w:sz w:val="32"/>
          <w:szCs w:val="32"/>
          <w:highlight w:val="none"/>
        </w:rPr>
        <w:t>中小企业声明函（如果有）</w:t>
      </w:r>
    </w:p>
    <w:p w14:paraId="1B587294">
      <w:pPr>
        <w:widowControl/>
        <w:spacing w:line="360" w:lineRule="auto"/>
        <w:ind w:firstLine="120" w:firstLineChars="50"/>
        <w:jc w:val="left"/>
        <w:rPr>
          <w:rFonts w:hint="eastAsia"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2B3046F9">
      <w:pPr>
        <w:pStyle w:val="80"/>
        <w:ind w:firstLine="482"/>
        <w:rPr>
          <w:rFonts w:hint="eastAsia" w:ascii="宋体" w:hAnsi="宋体" w:cs="宋体"/>
          <w:b/>
          <w:color w:val="auto"/>
          <w:sz w:val="24"/>
          <w:highlight w:val="none"/>
        </w:rPr>
      </w:pPr>
    </w:p>
    <w:p w14:paraId="761F8290">
      <w:pPr>
        <w:pStyle w:val="80"/>
        <w:ind w:firstLine="482"/>
        <w:rPr>
          <w:rFonts w:hint="eastAsia" w:ascii="宋体" w:hAnsi="宋体" w:cs="宋体"/>
          <w:b/>
          <w:color w:val="auto"/>
          <w:sz w:val="24"/>
          <w:highlight w:val="none"/>
        </w:rPr>
      </w:pPr>
    </w:p>
    <w:p w14:paraId="31E0D2C9">
      <w:pPr>
        <w:pStyle w:val="693"/>
        <w:keepNext w:val="0"/>
        <w:pageBreakBefore w:val="0"/>
        <w:tabs>
          <w:tab w:val="clear" w:pos="720"/>
        </w:tabs>
        <w:snapToGrid w:val="0"/>
        <w:spacing w:before="120" w:after="120"/>
        <w:ind w:firstLine="643"/>
        <w:outlineLvl w:val="9"/>
        <w:rPr>
          <w:rFonts w:hint="eastAsia" w:ascii="宋体" w:hAnsi="宋体" w:eastAsia="宋体" w:cs="宋体"/>
          <w:b w:val="0"/>
          <w:color w:val="auto"/>
          <w:sz w:val="32"/>
          <w:szCs w:val="32"/>
          <w:highlight w:val="none"/>
        </w:rPr>
      </w:pPr>
    </w:p>
    <w:p w14:paraId="19034842">
      <w:pPr>
        <w:spacing w:line="360" w:lineRule="auto"/>
        <w:ind w:right="420" w:firstLine="3614" w:firstLineChars="1000"/>
        <w:rPr>
          <w:rFonts w:hint="eastAsia" w:ascii="宋体" w:hAnsi="宋体" w:cs="宋体"/>
          <w:b/>
          <w:color w:val="auto"/>
          <w:kern w:val="0"/>
          <w:sz w:val="36"/>
          <w:szCs w:val="36"/>
          <w:highlight w:val="none"/>
        </w:rPr>
      </w:pPr>
    </w:p>
    <w:p w14:paraId="2DF7BA49">
      <w:pPr>
        <w:spacing w:line="360" w:lineRule="auto"/>
        <w:ind w:right="420" w:firstLine="3614" w:firstLineChars="1000"/>
        <w:rPr>
          <w:rFonts w:hint="eastAsia" w:ascii="宋体" w:hAnsi="宋体" w:cs="宋体"/>
          <w:b/>
          <w:color w:val="auto"/>
          <w:kern w:val="0"/>
          <w:sz w:val="36"/>
          <w:szCs w:val="36"/>
          <w:highlight w:val="none"/>
        </w:rPr>
      </w:pPr>
    </w:p>
    <w:p w14:paraId="13B23FBD">
      <w:pPr>
        <w:spacing w:line="360" w:lineRule="auto"/>
        <w:ind w:right="420" w:firstLine="3614" w:firstLineChars="1000"/>
        <w:rPr>
          <w:rFonts w:hint="eastAsia" w:ascii="宋体" w:hAnsi="宋体" w:cs="宋体"/>
          <w:b/>
          <w:color w:val="auto"/>
          <w:kern w:val="0"/>
          <w:sz w:val="36"/>
          <w:szCs w:val="36"/>
          <w:highlight w:val="none"/>
        </w:rPr>
      </w:pPr>
    </w:p>
    <w:p w14:paraId="3843F87F">
      <w:pPr>
        <w:spacing w:line="360" w:lineRule="auto"/>
        <w:ind w:right="420" w:firstLine="3614" w:firstLineChars="1000"/>
        <w:rPr>
          <w:rFonts w:hint="eastAsia" w:ascii="宋体" w:hAnsi="宋体" w:cs="宋体"/>
          <w:b/>
          <w:color w:val="auto"/>
          <w:kern w:val="0"/>
          <w:sz w:val="36"/>
          <w:szCs w:val="36"/>
          <w:highlight w:val="none"/>
        </w:rPr>
      </w:pPr>
    </w:p>
    <w:p w14:paraId="22A0FAE1">
      <w:pPr>
        <w:spacing w:line="360" w:lineRule="auto"/>
        <w:ind w:right="420" w:firstLine="3614" w:firstLineChars="1000"/>
        <w:rPr>
          <w:rFonts w:hint="eastAsia" w:ascii="宋体" w:hAnsi="宋体" w:cs="宋体"/>
          <w:b/>
          <w:color w:val="auto"/>
          <w:kern w:val="0"/>
          <w:sz w:val="36"/>
          <w:szCs w:val="36"/>
          <w:highlight w:val="none"/>
        </w:rPr>
      </w:pPr>
    </w:p>
    <w:p w14:paraId="14C53BF1">
      <w:pPr>
        <w:spacing w:line="360" w:lineRule="auto"/>
        <w:ind w:right="420" w:firstLine="3614" w:firstLineChars="1000"/>
        <w:rPr>
          <w:rFonts w:hint="eastAsia" w:ascii="宋体" w:hAnsi="宋体" w:cs="宋体"/>
          <w:b/>
          <w:color w:val="auto"/>
          <w:kern w:val="0"/>
          <w:sz w:val="36"/>
          <w:szCs w:val="36"/>
          <w:highlight w:val="none"/>
        </w:rPr>
      </w:pPr>
    </w:p>
    <w:p w14:paraId="6D995AD9">
      <w:pPr>
        <w:spacing w:line="360" w:lineRule="auto"/>
        <w:ind w:right="420" w:firstLine="3614" w:firstLineChars="1000"/>
        <w:rPr>
          <w:rFonts w:hint="eastAsia" w:ascii="宋体" w:hAnsi="宋体" w:cs="宋体"/>
          <w:b/>
          <w:color w:val="auto"/>
          <w:kern w:val="0"/>
          <w:sz w:val="36"/>
          <w:szCs w:val="36"/>
          <w:highlight w:val="none"/>
        </w:rPr>
      </w:pPr>
    </w:p>
    <w:p w14:paraId="2F3F2FEB">
      <w:pPr>
        <w:spacing w:line="360" w:lineRule="auto"/>
        <w:ind w:right="420" w:firstLine="3614" w:firstLineChars="1000"/>
        <w:rPr>
          <w:rFonts w:hint="eastAsia" w:ascii="宋体" w:hAnsi="宋体" w:cs="宋体"/>
          <w:b/>
          <w:color w:val="auto"/>
          <w:kern w:val="0"/>
          <w:sz w:val="36"/>
          <w:szCs w:val="36"/>
          <w:highlight w:val="none"/>
        </w:rPr>
      </w:pPr>
    </w:p>
    <w:p w14:paraId="261E123B">
      <w:pPr>
        <w:spacing w:line="360" w:lineRule="auto"/>
        <w:ind w:right="420" w:firstLine="3614" w:firstLineChars="1000"/>
        <w:rPr>
          <w:rFonts w:hint="eastAsia" w:ascii="宋体" w:hAnsi="宋体" w:cs="宋体"/>
          <w:b/>
          <w:color w:val="auto"/>
          <w:kern w:val="0"/>
          <w:sz w:val="36"/>
          <w:szCs w:val="36"/>
          <w:highlight w:val="none"/>
        </w:rPr>
      </w:pPr>
    </w:p>
    <w:p w14:paraId="6AAE1C53">
      <w:pPr>
        <w:spacing w:line="360" w:lineRule="auto"/>
        <w:ind w:right="420" w:firstLine="3614" w:firstLineChars="1000"/>
        <w:rPr>
          <w:rFonts w:hint="eastAsia" w:ascii="宋体" w:hAnsi="宋体" w:cs="宋体"/>
          <w:b/>
          <w:color w:val="auto"/>
          <w:kern w:val="0"/>
          <w:sz w:val="36"/>
          <w:szCs w:val="36"/>
          <w:highlight w:val="none"/>
        </w:rPr>
      </w:pPr>
    </w:p>
    <w:p w14:paraId="34819384">
      <w:pPr>
        <w:spacing w:line="360" w:lineRule="auto"/>
        <w:ind w:right="420" w:firstLine="3614" w:firstLineChars="1000"/>
        <w:rPr>
          <w:rFonts w:hint="eastAsia" w:ascii="宋体" w:hAnsi="宋体" w:cs="宋体"/>
          <w:b/>
          <w:color w:val="auto"/>
          <w:kern w:val="0"/>
          <w:sz w:val="36"/>
          <w:szCs w:val="36"/>
          <w:highlight w:val="none"/>
        </w:rPr>
      </w:pPr>
    </w:p>
    <w:p w14:paraId="6A04EFFD">
      <w:pPr>
        <w:spacing w:line="360" w:lineRule="auto"/>
        <w:ind w:right="420" w:firstLine="3614" w:firstLineChars="1000"/>
        <w:rPr>
          <w:rFonts w:hint="eastAsia" w:ascii="宋体" w:hAnsi="宋体" w:cs="宋体"/>
          <w:b/>
          <w:color w:val="auto"/>
          <w:kern w:val="0"/>
          <w:sz w:val="36"/>
          <w:szCs w:val="36"/>
          <w:highlight w:val="none"/>
        </w:rPr>
      </w:pPr>
    </w:p>
    <w:p w14:paraId="5A77B039">
      <w:pPr>
        <w:pStyle w:val="3"/>
        <w:keepNext w:val="0"/>
        <w:keepLines w:val="0"/>
        <w:pageBreakBefore/>
        <w:widowControl/>
        <w:spacing w:before="100" w:beforeAutospacing="1" w:after="100" w:afterAutospacing="1" w:line="360" w:lineRule="auto"/>
        <w:ind w:left="1290" w:firstLine="3092" w:firstLineChars="700"/>
        <w:rPr>
          <w:rFonts w:hint="eastAsia" w:ascii="宋体" w:hAnsi="宋体" w:cs="宋体"/>
          <w:color w:val="auto"/>
          <w:highlight w:val="none"/>
        </w:rPr>
      </w:pPr>
      <w:r>
        <w:rPr>
          <w:rFonts w:hint="eastAsia" w:ascii="宋体" w:hAnsi="宋体" w:cs="宋体"/>
          <w:color w:val="auto"/>
          <w:highlight w:val="none"/>
        </w:rPr>
        <w:t>附件</w:t>
      </w:r>
    </w:p>
    <w:p w14:paraId="3CB06974">
      <w:pPr>
        <w:spacing w:line="360" w:lineRule="auto"/>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56CA4C73">
      <w:pPr>
        <w:spacing w:line="360" w:lineRule="auto"/>
        <w:jc w:val="center"/>
        <w:rPr>
          <w:rFonts w:hint="eastAsia" w:ascii="宋体" w:hAnsi="宋体" w:cs="宋体"/>
          <w:b/>
          <w:color w:val="auto"/>
          <w:spacing w:val="6"/>
          <w:sz w:val="32"/>
          <w:szCs w:val="32"/>
          <w:highlight w:val="none"/>
        </w:rPr>
      </w:pPr>
      <w:bookmarkStart w:id="521" w:name="OLE_LINK13"/>
      <w:bookmarkStart w:id="522" w:name="OLE_LINK14"/>
      <w:r>
        <w:rPr>
          <w:rFonts w:hint="eastAsia" w:ascii="宋体" w:hAnsi="宋体" w:cs="宋体"/>
          <w:b/>
          <w:color w:val="auto"/>
          <w:spacing w:val="6"/>
          <w:sz w:val="32"/>
          <w:szCs w:val="32"/>
          <w:highlight w:val="none"/>
        </w:rPr>
        <w:t>残疾人福利性单位声明函</w:t>
      </w:r>
    </w:p>
    <w:bookmarkEnd w:id="521"/>
    <w:bookmarkEnd w:id="522"/>
    <w:p w14:paraId="29E3B24B">
      <w:pPr>
        <w:spacing w:line="360" w:lineRule="auto"/>
        <w:rPr>
          <w:rFonts w:hint="eastAsia" w:ascii="宋体" w:hAnsi="宋体" w:cs="宋体"/>
          <w:b/>
          <w:color w:val="auto"/>
          <w:spacing w:val="6"/>
          <w:sz w:val="30"/>
          <w:szCs w:val="30"/>
          <w:highlight w:val="none"/>
        </w:rPr>
      </w:pPr>
    </w:p>
    <w:p w14:paraId="1F3BAAE9">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rPr>
        <w:t>(采购人)</w:t>
      </w:r>
      <w:r>
        <w:rPr>
          <w:rFonts w:hint="eastAsia" w:ascii="宋体" w:hAnsi="宋体" w:cs="宋体"/>
          <w:color w:val="auto"/>
          <w:sz w:val="24"/>
          <w:highlight w:val="none"/>
        </w:rPr>
        <w:t>_单位的_</w:t>
      </w:r>
      <w:r>
        <w:rPr>
          <w:rFonts w:hint="eastAsia" w:ascii="宋体" w:hAnsi="宋体" w:cs="宋体"/>
          <w:color w:val="auto"/>
          <w:sz w:val="24"/>
          <w:highlight w:val="none"/>
          <w:u w:val="single"/>
        </w:rPr>
        <w:t>（项目名称）</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4F1860F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754BF582">
      <w:pPr>
        <w:spacing w:line="360" w:lineRule="auto"/>
        <w:ind w:firstLine="480" w:firstLineChars="200"/>
        <w:rPr>
          <w:rFonts w:hint="eastAsia" w:ascii="宋体" w:hAnsi="宋体" w:cs="宋体"/>
          <w:color w:val="auto"/>
          <w:sz w:val="24"/>
          <w:highlight w:val="none"/>
        </w:rPr>
      </w:pPr>
    </w:p>
    <w:p w14:paraId="7E167502">
      <w:pPr>
        <w:spacing w:line="360" w:lineRule="auto"/>
        <w:ind w:firstLine="480" w:firstLineChars="200"/>
        <w:rPr>
          <w:rFonts w:hint="eastAsia" w:ascii="宋体" w:hAnsi="宋体" w:cs="宋体"/>
          <w:color w:val="auto"/>
          <w:sz w:val="24"/>
          <w:highlight w:val="none"/>
        </w:rPr>
      </w:pPr>
    </w:p>
    <w:p w14:paraId="3E93C670">
      <w:pPr>
        <w:tabs>
          <w:tab w:val="left" w:pos="4860"/>
        </w:tabs>
        <w:spacing w:line="360" w:lineRule="auto"/>
        <w:ind w:right="1560" w:firstLine="480" w:firstLineChars="200"/>
        <w:jc w:val="center"/>
        <w:rPr>
          <w:rFonts w:hint="eastAsia"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46308224">
      <w:pPr>
        <w:tabs>
          <w:tab w:val="left" w:pos="4860"/>
        </w:tabs>
        <w:spacing w:line="360" w:lineRule="auto"/>
        <w:ind w:right="1560" w:firstLine="480" w:firstLineChars="200"/>
        <w:jc w:val="center"/>
        <w:rPr>
          <w:rFonts w:hint="eastAsia" w:ascii="宋体" w:hAnsi="宋体" w:cs="宋体"/>
          <w:color w:val="auto"/>
          <w:sz w:val="24"/>
          <w:highlight w:val="none"/>
        </w:rPr>
      </w:pPr>
      <w:r>
        <w:rPr>
          <w:rFonts w:hint="eastAsia" w:ascii="宋体" w:hAnsi="宋体" w:cs="宋体"/>
          <w:color w:val="auto"/>
          <w:sz w:val="24"/>
          <w:highlight w:val="none"/>
        </w:rPr>
        <w:t xml:space="preserve">       日  期：</w:t>
      </w:r>
    </w:p>
    <w:p w14:paraId="4DFD758B">
      <w:pPr>
        <w:spacing w:line="360" w:lineRule="auto"/>
        <w:ind w:firstLine="480" w:firstLineChars="200"/>
        <w:rPr>
          <w:rFonts w:hint="eastAsia" w:ascii="宋体" w:hAnsi="宋体" w:cs="宋体"/>
          <w:color w:val="auto"/>
          <w:sz w:val="24"/>
          <w:highlight w:val="none"/>
        </w:rPr>
      </w:pPr>
    </w:p>
    <w:p w14:paraId="0F9346DE">
      <w:pPr>
        <w:spacing w:line="360" w:lineRule="auto"/>
        <w:ind w:firstLine="420" w:firstLineChars="200"/>
        <w:rPr>
          <w:rFonts w:hint="eastAsia" w:ascii="宋体" w:hAnsi="宋体" w:cs="宋体"/>
          <w:color w:val="auto"/>
          <w:highlight w:val="none"/>
        </w:rPr>
      </w:pPr>
    </w:p>
    <w:p w14:paraId="20125F4F">
      <w:pPr>
        <w:spacing w:line="360" w:lineRule="auto"/>
        <w:ind w:firstLine="420" w:firstLineChars="200"/>
        <w:rPr>
          <w:rFonts w:hint="eastAsia" w:ascii="宋体" w:hAnsi="宋体" w:cs="宋体"/>
          <w:color w:val="auto"/>
          <w:highlight w:val="none"/>
        </w:rPr>
      </w:pPr>
    </w:p>
    <w:p w14:paraId="7BDF1710">
      <w:pPr>
        <w:spacing w:line="360" w:lineRule="auto"/>
        <w:ind w:firstLine="420" w:firstLineChars="200"/>
        <w:rPr>
          <w:rFonts w:hint="eastAsia" w:ascii="宋体" w:hAnsi="宋体" w:cs="宋体"/>
          <w:color w:val="auto"/>
          <w:highlight w:val="none"/>
        </w:rPr>
      </w:pPr>
    </w:p>
    <w:p w14:paraId="3884B7F3">
      <w:pPr>
        <w:spacing w:line="360" w:lineRule="auto"/>
        <w:ind w:firstLine="420" w:firstLineChars="200"/>
        <w:rPr>
          <w:rFonts w:hint="eastAsia" w:ascii="宋体" w:hAnsi="宋体" w:cs="宋体"/>
          <w:color w:val="auto"/>
          <w:highlight w:val="none"/>
        </w:rPr>
      </w:pPr>
    </w:p>
    <w:p w14:paraId="5691B7EC">
      <w:pPr>
        <w:spacing w:line="360" w:lineRule="auto"/>
        <w:rPr>
          <w:rFonts w:hint="eastAsia" w:ascii="宋体" w:hAnsi="宋体" w:cs="宋体"/>
          <w:b/>
          <w:color w:val="auto"/>
          <w:sz w:val="24"/>
          <w:highlight w:val="none"/>
        </w:rPr>
      </w:pPr>
    </w:p>
    <w:p w14:paraId="2F49BFFD">
      <w:pPr>
        <w:spacing w:line="360" w:lineRule="auto"/>
        <w:rPr>
          <w:rFonts w:hint="eastAsia" w:ascii="宋体" w:hAnsi="宋体" w:cs="宋体"/>
          <w:b/>
          <w:color w:val="auto"/>
          <w:sz w:val="24"/>
          <w:highlight w:val="none"/>
        </w:rPr>
      </w:pPr>
    </w:p>
    <w:p w14:paraId="3B570BED">
      <w:pPr>
        <w:spacing w:line="360" w:lineRule="auto"/>
        <w:rPr>
          <w:rFonts w:hint="eastAsia" w:ascii="宋体" w:hAnsi="宋体" w:cs="宋体"/>
          <w:b/>
          <w:color w:val="auto"/>
          <w:sz w:val="24"/>
          <w:highlight w:val="none"/>
        </w:rPr>
      </w:pPr>
    </w:p>
    <w:p w14:paraId="157153B9">
      <w:pPr>
        <w:spacing w:line="360" w:lineRule="auto"/>
        <w:rPr>
          <w:rFonts w:hint="eastAsia" w:ascii="宋体" w:hAnsi="宋体" w:cs="宋体"/>
          <w:b/>
          <w:color w:val="auto"/>
          <w:sz w:val="24"/>
          <w:highlight w:val="none"/>
        </w:rPr>
      </w:pPr>
    </w:p>
    <w:p w14:paraId="37A5A4C4">
      <w:pPr>
        <w:spacing w:line="360" w:lineRule="auto"/>
        <w:rPr>
          <w:rFonts w:hint="eastAsia" w:ascii="宋体" w:hAnsi="宋体" w:cs="宋体"/>
          <w:b/>
          <w:color w:val="auto"/>
          <w:sz w:val="24"/>
          <w:highlight w:val="none"/>
        </w:rPr>
      </w:pPr>
    </w:p>
    <w:p w14:paraId="68AED4C2">
      <w:pPr>
        <w:spacing w:line="360" w:lineRule="auto"/>
        <w:rPr>
          <w:rFonts w:hint="eastAsia" w:ascii="宋体" w:hAnsi="宋体" w:cs="宋体"/>
          <w:b/>
          <w:color w:val="auto"/>
          <w:sz w:val="24"/>
          <w:highlight w:val="none"/>
        </w:rPr>
      </w:pPr>
    </w:p>
    <w:p w14:paraId="1625035A">
      <w:pP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24FE4440">
      <w:pPr>
        <w:spacing w:line="360" w:lineRule="auto"/>
        <w:jc w:val="left"/>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498D19B3">
      <w:pPr>
        <w:spacing w:line="360" w:lineRule="auto"/>
        <w:jc w:val="cente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451FC8AF">
      <w:pPr>
        <w:snapToGrid w:val="0"/>
        <w:spacing w:before="240" w:beforeLines="100" w:line="360" w:lineRule="auto"/>
        <w:rPr>
          <w:rFonts w:hint="eastAsia" w:ascii="宋体" w:hAnsi="宋体" w:cs="宋体"/>
          <w:bCs/>
          <w:color w:val="auto"/>
          <w:sz w:val="24"/>
          <w:highlight w:val="none"/>
        </w:rPr>
      </w:pPr>
      <w:r>
        <w:rPr>
          <w:rFonts w:hint="eastAsia" w:ascii="宋体" w:hAnsi="宋体" w:cs="宋体"/>
          <w:bCs/>
          <w:color w:val="auto"/>
          <w:sz w:val="24"/>
          <w:highlight w:val="none"/>
        </w:rPr>
        <w:t>一、质疑供应商基本信息</w:t>
      </w:r>
    </w:p>
    <w:p w14:paraId="6F62C78D">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3B8E4E3B">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5D5BF763">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2C2E7585">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0D5F4005">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1A27A4FC">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7DF10E9E">
      <w:pPr>
        <w:snapToGrid w:val="0"/>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二、质疑项目基本情况</w:t>
      </w:r>
    </w:p>
    <w:p w14:paraId="23CAB0A5">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31E77D7D">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18C5EC32">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7C02EE16">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1774BD7A">
      <w:pPr>
        <w:snapToGrid w:val="0"/>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三、质疑事项具体内容</w:t>
      </w:r>
    </w:p>
    <w:p w14:paraId="7495B1FB">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2DD9E105">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1A9A59F4">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u w:val="dotted"/>
        </w:rPr>
        <w:t xml:space="preserve">                                                       </w:t>
      </w:r>
    </w:p>
    <w:p w14:paraId="2E79B704">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0E6ED1F9">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4C79F5CD">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质疑事项2</w:t>
      </w:r>
    </w:p>
    <w:p w14:paraId="7DD7AA16">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p>
    <w:p w14:paraId="55A50E6B">
      <w:pPr>
        <w:snapToGrid w:val="0"/>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38270599">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4C0E998B">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签字(签章)：                   公章：                      </w:t>
      </w:r>
    </w:p>
    <w:p w14:paraId="672556F7">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日期：    </w:t>
      </w:r>
    </w:p>
    <w:p w14:paraId="1E862A08">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质疑函制作说明：</w:t>
      </w:r>
    </w:p>
    <w:p w14:paraId="1C0748C1">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5E7ED167">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42344C96">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6B6AED1B">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0017241E">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12D13764">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7F46BC69">
      <w:pPr>
        <w:widowControl/>
        <w:spacing w:line="360" w:lineRule="auto"/>
        <w:ind w:firstLine="600" w:firstLineChars="200"/>
        <w:jc w:val="left"/>
        <w:rPr>
          <w:rFonts w:hint="eastAsia" w:ascii="宋体" w:hAnsi="宋体" w:cs="宋体"/>
          <w:color w:val="auto"/>
          <w:sz w:val="30"/>
          <w:szCs w:val="30"/>
          <w:highlight w:val="none"/>
        </w:rPr>
      </w:pPr>
    </w:p>
    <w:p w14:paraId="57B701C5">
      <w:pPr>
        <w:spacing w:line="360" w:lineRule="auto"/>
        <w:jc w:val="center"/>
        <w:rPr>
          <w:rFonts w:hint="eastAsia" w:ascii="宋体" w:hAnsi="宋体" w:cs="宋体"/>
          <w:b/>
          <w:color w:val="auto"/>
          <w:spacing w:val="6"/>
          <w:sz w:val="32"/>
          <w:szCs w:val="32"/>
          <w:highlight w:val="none"/>
        </w:rPr>
      </w:pPr>
    </w:p>
    <w:p w14:paraId="22CBD37C">
      <w:pPr>
        <w:spacing w:line="360" w:lineRule="auto"/>
        <w:jc w:val="center"/>
        <w:rPr>
          <w:rFonts w:hint="eastAsia" w:ascii="宋体" w:hAnsi="宋体" w:cs="宋体"/>
          <w:b/>
          <w:color w:val="auto"/>
          <w:spacing w:val="6"/>
          <w:sz w:val="32"/>
          <w:szCs w:val="32"/>
          <w:highlight w:val="none"/>
        </w:rPr>
      </w:pPr>
    </w:p>
    <w:p w14:paraId="007D0BA0">
      <w:pPr>
        <w:spacing w:line="360" w:lineRule="auto"/>
        <w:jc w:val="center"/>
        <w:rPr>
          <w:rFonts w:hint="eastAsia" w:ascii="宋体" w:hAnsi="宋体" w:cs="宋体"/>
          <w:b/>
          <w:color w:val="auto"/>
          <w:spacing w:val="6"/>
          <w:sz w:val="32"/>
          <w:szCs w:val="32"/>
          <w:highlight w:val="none"/>
        </w:rPr>
      </w:pPr>
    </w:p>
    <w:p w14:paraId="5833A8DA">
      <w:pPr>
        <w:spacing w:line="360" w:lineRule="auto"/>
        <w:jc w:val="center"/>
        <w:rPr>
          <w:rFonts w:hint="eastAsia" w:ascii="宋体" w:hAnsi="宋体" w:cs="宋体"/>
          <w:b/>
          <w:color w:val="auto"/>
          <w:spacing w:val="6"/>
          <w:sz w:val="32"/>
          <w:szCs w:val="32"/>
          <w:highlight w:val="none"/>
        </w:rPr>
      </w:pPr>
    </w:p>
    <w:p w14:paraId="50E1A815">
      <w:pPr>
        <w:spacing w:line="360" w:lineRule="auto"/>
        <w:jc w:val="center"/>
        <w:rPr>
          <w:rFonts w:hint="eastAsia" w:ascii="宋体" w:hAnsi="宋体" w:cs="宋体"/>
          <w:b/>
          <w:color w:val="auto"/>
          <w:spacing w:val="6"/>
          <w:sz w:val="32"/>
          <w:szCs w:val="32"/>
          <w:highlight w:val="none"/>
        </w:rPr>
      </w:pPr>
    </w:p>
    <w:p w14:paraId="7BFA20B7">
      <w:pPr>
        <w:spacing w:line="360" w:lineRule="auto"/>
        <w:jc w:val="center"/>
        <w:rPr>
          <w:rFonts w:hint="eastAsia" w:ascii="宋体" w:hAnsi="宋体" w:cs="宋体"/>
          <w:b/>
          <w:color w:val="auto"/>
          <w:spacing w:val="6"/>
          <w:sz w:val="32"/>
          <w:szCs w:val="32"/>
          <w:highlight w:val="none"/>
        </w:rPr>
      </w:pPr>
    </w:p>
    <w:p w14:paraId="45C60CAF">
      <w:pPr>
        <w:spacing w:line="360" w:lineRule="auto"/>
        <w:jc w:val="center"/>
        <w:rPr>
          <w:rFonts w:hint="eastAsia" w:ascii="宋体" w:hAnsi="宋体" w:cs="宋体"/>
          <w:b/>
          <w:color w:val="auto"/>
          <w:spacing w:val="6"/>
          <w:sz w:val="32"/>
          <w:szCs w:val="32"/>
          <w:highlight w:val="none"/>
        </w:rPr>
      </w:pPr>
    </w:p>
    <w:p w14:paraId="59E16752">
      <w:pPr>
        <w:spacing w:line="360" w:lineRule="auto"/>
        <w:jc w:val="center"/>
        <w:rPr>
          <w:rFonts w:hint="eastAsia" w:ascii="宋体" w:hAnsi="宋体" w:cs="宋体"/>
          <w:b/>
          <w:color w:val="auto"/>
          <w:spacing w:val="6"/>
          <w:sz w:val="32"/>
          <w:szCs w:val="32"/>
          <w:highlight w:val="none"/>
        </w:rPr>
      </w:pPr>
    </w:p>
    <w:p w14:paraId="37459526">
      <w:pPr>
        <w:spacing w:line="360" w:lineRule="auto"/>
        <w:jc w:val="center"/>
        <w:rPr>
          <w:rFonts w:hint="eastAsia" w:ascii="宋体" w:hAnsi="宋体" w:cs="宋体"/>
          <w:b/>
          <w:color w:val="auto"/>
          <w:spacing w:val="6"/>
          <w:sz w:val="32"/>
          <w:szCs w:val="32"/>
          <w:highlight w:val="none"/>
        </w:rPr>
      </w:pPr>
    </w:p>
    <w:p w14:paraId="03779CEA">
      <w:pPr>
        <w:spacing w:line="360" w:lineRule="auto"/>
        <w:jc w:val="left"/>
        <w:rPr>
          <w:rFonts w:hint="eastAsia" w:ascii="宋体" w:hAnsi="宋体" w:cs="宋体"/>
          <w:b/>
          <w:color w:val="auto"/>
          <w:spacing w:val="6"/>
          <w:sz w:val="32"/>
          <w:szCs w:val="32"/>
          <w:highlight w:val="none"/>
        </w:rPr>
      </w:pPr>
    </w:p>
    <w:p w14:paraId="1ECB62C6">
      <w:pPr>
        <w:spacing w:line="360" w:lineRule="auto"/>
        <w:jc w:val="left"/>
        <w:rPr>
          <w:rFonts w:hint="eastAsia" w:ascii="宋体" w:hAnsi="宋体" w:cs="宋体"/>
          <w:b/>
          <w:color w:val="auto"/>
          <w:spacing w:val="6"/>
          <w:sz w:val="32"/>
          <w:szCs w:val="32"/>
          <w:highlight w:val="none"/>
        </w:rPr>
      </w:pPr>
    </w:p>
    <w:p w14:paraId="7B990E62">
      <w:pPr>
        <w:spacing w:line="360" w:lineRule="auto"/>
        <w:jc w:val="left"/>
        <w:rPr>
          <w:rFonts w:hint="eastAsia" w:ascii="宋体" w:hAnsi="宋体" w:cs="宋体"/>
          <w:b/>
          <w:color w:val="auto"/>
          <w:spacing w:val="6"/>
          <w:sz w:val="32"/>
          <w:szCs w:val="32"/>
          <w:highlight w:val="none"/>
        </w:rPr>
      </w:pPr>
    </w:p>
    <w:p w14:paraId="39C9B83E">
      <w:pP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0AADF912">
      <w:pPr>
        <w:spacing w:line="360" w:lineRule="auto"/>
        <w:jc w:val="left"/>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4F38D326">
      <w:pPr>
        <w:spacing w:line="360" w:lineRule="auto"/>
        <w:jc w:val="center"/>
        <w:rPr>
          <w:rFonts w:hint="eastAsia" w:ascii="宋体" w:hAnsi="宋体" w:cs="宋体"/>
          <w:b/>
          <w:color w:val="auto"/>
          <w:sz w:val="24"/>
          <w:highlight w:val="none"/>
        </w:rPr>
      </w:pPr>
    </w:p>
    <w:p w14:paraId="520927B4">
      <w:pPr>
        <w:spacing w:line="360" w:lineRule="auto"/>
        <w:jc w:val="cente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4445087F">
      <w:pPr>
        <w:spacing w:line="360" w:lineRule="auto"/>
        <w:rPr>
          <w:rFonts w:hint="eastAsia" w:ascii="宋体" w:hAnsi="宋体" w:cs="宋体"/>
          <w:color w:val="auto"/>
          <w:sz w:val="24"/>
          <w:highlight w:val="none"/>
        </w:rPr>
      </w:pPr>
      <w:r>
        <w:rPr>
          <w:rFonts w:hint="eastAsia" w:ascii="宋体" w:hAnsi="宋体" w:cs="宋体"/>
          <w:color w:val="auto"/>
          <w:sz w:val="24"/>
          <w:highlight w:val="none"/>
        </w:rPr>
        <w:t>一、投诉相关主体基本情况</w:t>
      </w:r>
    </w:p>
    <w:p w14:paraId="2763BD64">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38656338">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49C3689">
      <w:pPr>
        <w:tabs>
          <w:tab w:val="left" w:pos="6510"/>
        </w:tabs>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17E4DB6C">
      <w:pPr>
        <w:tabs>
          <w:tab w:val="left" w:pos="6510"/>
        </w:tabs>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41C273CF">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5BE1A12B">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79F0C7B5">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52A69D6">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72AEC9D">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4C433E0">
      <w:pPr>
        <w:spacing w:line="360" w:lineRule="auto"/>
        <w:rPr>
          <w:rFonts w:hint="eastAsia" w:ascii="宋体" w:hAnsi="宋体" w:cs="宋体"/>
          <w:color w:val="auto"/>
          <w:sz w:val="24"/>
          <w:highlight w:val="none"/>
        </w:rPr>
      </w:pPr>
      <w:r>
        <w:rPr>
          <w:rFonts w:hint="eastAsia" w:ascii="宋体" w:hAnsi="宋体" w:cs="宋体"/>
          <w:color w:val="auto"/>
          <w:sz w:val="24"/>
          <w:highlight w:val="none"/>
        </w:rPr>
        <w:t>被投诉人2</w:t>
      </w:r>
    </w:p>
    <w:p w14:paraId="26070759">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w:t>
      </w:r>
    </w:p>
    <w:p w14:paraId="76B19541">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5B7DA19">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936B1BF">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24DBCDC">
      <w:pPr>
        <w:spacing w:line="360" w:lineRule="auto"/>
        <w:rPr>
          <w:rFonts w:hint="eastAsia" w:ascii="宋体" w:hAnsi="宋体" w:cs="宋体"/>
          <w:color w:val="auto"/>
          <w:sz w:val="24"/>
          <w:highlight w:val="none"/>
        </w:rPr>
      </w:pPr>
      <w:r>
        <w:rPr>
          <w:rFonts w:hint="eastAsia" w:ascii="宋体" w:hAnsi="宋体" w:cs="宋体"/>
          <w:color w:val="auto"/>
          <w:sz w:val="24"/>
          <w:highlight w:val="none"/>
        </w:rPr>
        <w:t>二、投诉项目基本情况</w:t>
      </w:r>
    </w:p>
    <w:p w14:paraId="0B5320E9">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0F224E15">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321A4163">
      <w:pPr>
        <w:spacing w:line="360" w:lineRule="auto"/>
        <w:rPr>
          <w:rFonts w:hint="eastAsia"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44B50ED">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486C6565">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017AB09B">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5AD5E6C6">
      <w:pPr>
        <w:spacing w:line="360" w:lineRule="auto"/>
        <w:rPr>
          <w:rFonts w:hint="eastAsia" w:ascii="宋体" w:hAnsi="宋体" w:cs="宋体"/>
          <w:color w:val="auto"/>
          <w:sz w:val="24"/>
          <w:highlight w:val="none"/>
        </w:rPr>
      </w:pPr>
      <w:r>
        <w:rPr>
          <w:rFonts w:hint="eastAsia" w:ascii="宋体" w:hAnsi="宋体" w:cs="宋体"/>
          <w:color w:val="auto"/>
          <w:sz w:val="24"/>
          <w:highlight w:val="none"/>
        </w:rPr>
        <w:t>三、质疑基本情况</w:t>
      </w:r>
    </w:p>
    <w:p w14:paraId="5B032A2C">
      <w:pPr>
        <w:spacing w:line="360" w:lineRule="auto"/>
        <w:ind w:firstLine="480" w:firstLineChars="200"/>
        <w:rPr>
          <w:rFonts w:hint="eastAsia"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2375C309">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77C7FD11">
      <w:pPr>
        <w:spacing w:line="360" w:lineRule="auto"/>
        <w:ind w:firstLine="360" w:firstLineChars="150"/>
        <w:rPr>
          <w:rFonts w:hint="eastAsia"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4E447C59">
      <w:pPr>
        <w:spacing w:line="360" w:lineRule="auto"/>
        <w:rPr>
          <w:rFonts w:hint="eastAsia" w:ascii="宋体" w:hAnsi="宋体" w:cs="宋体"/>
          <w:color w:val="auto"/>
          <w:sz w:val="24"/>
          <w:highlight w:val="none"/>
        </w:rPr>
      </w:pPr>
      <w:r>
        <w:rPr>
          <w:rFonts w:hint="eastAsia" w:ascii="宋体" w:hAnsi="宋体" w:cs="宋体"/>
          <w:color w:val="auto"/>
          <w:sz w:val="24"/>
          <w:highlight w:val="none"/>
        </w:rPr>
        <w:t>四、投诉事项具体内容</w:t>
      </w:r>
    </w:p>
    <w:p w14:paraId="34632FE2">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5C30CADD">
      <w:pPr>
        <w:spacing w:line="360" w:lineRule="auto"/>
        <w:rPr>
          <w:rFonts w:hint="eastAsia"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56E3715A">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6E806734">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4F042A1B">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6DD01D28">
      <w:pPr>
        <w:spacing w:line="360" w:lineRule="auto"/>
        <w:rPr>
          <w:rFonts w:hint="eastAsia" w:ascii="宋体" w:hAnsi="宋体" w:cs="宋体"/>
          <w:color w:val="auto"/>
          <w:sz w:val="24"/>
          <w:highlight w:val="none"/>
        </w:rPr>
      </w:pPr>
      <w:r>
        <w:rPr>
          <w:rFonts w:hint="eastAsia" w:ascii="宋体" w:hAnsi="宋体" w:cs="宋体"/>
          <w:color w:val="auto"/>
          <w:sz w:val="24"/>
          <w:highlight w:val="none"/>
        </w:rPr>
        <w:t>投诉事项2</w:t>
      </w:r>
    </w:p>
    <w:p w14:paraId="63FB6F15">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w:t>
      </w:r>
    </w:p>
    <w:p w14:paraId="3FE153AB">
      <w:pPr>
        <w:spacing w:line="360" w:lineRule="auto"/>
        <w:rPr>
          <w:rFonts w:hint="eastAsia" w:ascii="宋体" w:hAnsi="宋体" w:cs="宋体"/>
          <w:color w:val="auto"/>
          <w:sz w:val="24"/>
          <w:highlight w:val="none"/>
        </w:rPr>
      </w:pPr>
      <w:r>
        <w:rPr>
          <w:rFonts w:hint="eastAsia" w:ascii="宋体" w:hAnsi="宋体" w:cs="宋体"/>
          <w:color w:val="auto"/>
          <w:sz w:val="24"/>
          <w:highlight w:val="none"/>
        </w:rPr>
        <w:t>五、与投诉事项相关的投诉请求</w:t>
      </w:r>
    </w:p>
    <w:p w14:paraId="42539532">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1B8F8359">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签字(签章)：                   公章：                      </w:t>
      </w:r>
    </w:p>
    <w:p w14:paraId="6BAE9B30">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日期：    </w:t>
      </w:r>
    </w:p>
    <w:p w14:paraId="24846093">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投诉书制作说明：</w:t>
      </w:r>
    </w:p>
    <w:p w14:paraId="05799CAE">
      <w:pPr>
        <w:widowControl/>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257C784F">
      <w:pPr>
        <w:widowControl/>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332031E9">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75278EDC">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09A07840">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6C31D922">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4F63DBCC">
      <w:pPr>
        <w:widowControl/>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44F3F10F">
      <w:pPr>
        <w:autoSpaceDE w:val="0"/>
        <w:autoSpaceDN w:val="0"/>
        <w:jc w:val="center"/>
        <w:rPr>
          <w:rFonts w:hint="eastAsia" w:ascii="宋体" w:hAnsi="宋体" w:cs="宋体"/>
          <w:b/>
          <w:color w:val="auto"/>
          <w:spacing w:val="6"/>
          <w:sz w:val="32"/>
          <w:szCs w:val="32"/>
          <w:highlight w:val="none"/>
        </w:rPr>
      </w:pPr>
    </w:p>
    <w:p w14:paraId="5D739F05">
      <w:pP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37A8631A">
      <w:pPr>
        <w:autoSpaceDE w:val="0"/>
        <w:autoSpaceDN w:val="0"/>
        <w:jc w:val="center"/>
        <w:rPr>
          <w:rFonts w:hint="eastAsia"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51EE9F95">
      <w:pPr>
        <w:spacing w:line="360" w:lineRule="auto"/>
        <w:rPr>
          <w:rFonts w:hint="eastAsia" w:ascii="宋体" w:hAnsi="宋体" w:cs="宋体"/>
          <w:color w:val="auto"/>
          <w:sz w:val="24"/>
          <w:highlight w:val="none"/>
          <w:u w:val="single"/>
        </w:rPr>
      </w:pPr>
    </w:p>
    <w:p w14:paraId="4A6CE760">
      <w:pPr>
        <w:spacing w:line="360" w:lineRule="auto"/>
        <w:rPr>
          <w:rFonts w:hint="eastAsia" w:ascii="宋体" w:hAnsi="宋体" w:cs="宋体"/>
          <w:color w:val="auto"/>
          <w:sz w:val="24"/>
          <w:highlight w:val="none"/>
        </w:rPr>
      </w:pPr>
      <w:r>
        <w:rPr>
          <w:rFonts w:hint="eastAsia" w:ascii="宋体" w:hAnsi="宋体" w:cs="宋体"/>
          <w:color w:val="auto"/>
          <w:sz w:val="24"/>
          <w:highlight w:val="none"/>
          <w:u w:val="single"/>
        </w:rPr>
        <w:t>（采购人）、（采购代理机构）：</w:t>
      </w:r>
    </w:p>
    <w:p w14:paraId="4EF53C5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你方组织的（项目名称）【招标编号：（采购编号）】</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3117E597">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特此说明。</w:t>
      </w:r>
    </w:p>
    <w:p w14:paraId="7CCF967D">
      <w:pPr>
        <w:spacing w:line="360" w:lineRule="auto"/>
        <w:ind w:firstLine="494"/>
        <w:rPr>
          <w:rFonts w:hint="eastAsia" w:ascii="宋体" w:hAnsi="宋体" w:cs="宋体"/>
          <w:color w:val="auto"/>
          <w:sz w:val="24"/>
          <w:highlight w:val="none"/>
        </w:rPr>
      </w:pPr>
    </w:p>
    <w:p w14:paraId="42CD21EF">
      <w:pPr>
        <w:spacing w:line="360" w:lineRule="auto"/>
        <w:ind w:firstLine="494"/>
        <w:rPr>
          <w:rFonts w:hint="eastAsia" w:ascii="宋体" w:hAnsi="宋体" w:cs="宋体"/>
          <w:color w:val="auto"/>
          <w:sz w:val="24"/>
          <w:highlight w:val="none"/>
        </w:rPr>
      </w:pPr>
    </w:p>
    <w:p w14:paraId="529BB6A6">
      <w:pPr>
        <w:spacing w:line="360" w:lineRule="auto"/>
        <w:ind w:firstLine="494"/>
        <w:rPr>
          <w:rFonts w:hint="eastAsia" w:ascii="宋体" w:hAnsi="宋体" w:cs="宋体"/>
          <w:color w:val="auto"/>
          <w:sz w:val="24"/>
          <w:highlight w:val="none"/>
        </w:rPr>
      </w:pPr>
    </w:p>
    <w:p w14:paraId="3ABADC91">
      <w:pPr>
        <w:spacing w:line="360" w:lineRule="auto"/>
        <w:ind w:firstLine="494"/>
        <w:rPr>
          <w:rFonts w:hint="eastAsia" w:ascii="宋体" w:hAnsi="宋体" w:cs="宋体"/>
          <w:color w:val="auto"/>
          <w:sz w:val="24"/>
          <w:highlight w:val="none"/>
        </w:rPr>
      </w:pPr>
    </w:p>
    <w:p w14:paraId="2DAC6D7C">
      <w:pPr>
        <w:spacing w:line="360" w:lineRule="auto"/>
        <w:ind w:right="480" w:firstLine="4080" w:firstLineChars="1700"/>
        <w:rPr>
          <w:rFonts w:hint="eastAsia" w:ascii="宋体" w:hAnsi="宋体" w:cs="宋体"/>
          <w:color w:val="auto"/>
          <w:sz w:val="24"/>
          <w:highlight w:val="none"/>
        </w:rPr>
      </w:pPr>
      <w:r>
        <w:rPr>
          <w:rFonts w:hint="eastAsia" w:ascii="宋体" w:hAnsi="宋体" w:cs="宋体"/>
          <w:color w:val="auto"/>
          <w:sz w:val="24"/>
          <w:highlight w:val="none"/>
        </w:rPr>
        <w:t>投标单位（法定名称章）：</w:t>
      </w:r>
    </w:p>
    <w:p w14:paraId="4AF0FA79">
      <w:pPr>
        <w:ind w:right="1440" w:firstLine="494"/>
        <w:jc w:val="center"/>
        <w:rPr>
          <w:rFonts w:hint="eastAsia" w:ascii="宋体" w:hAnsi="宋体" w:cs="宋体"/>
          <w:color w:val="auto"/>
          <w:sz w:val="24"/>
          <w:highlight w:val="none"/>
        </w:rPr>
      </w:pPr>
      <w:r>
        <w:rPr>
          <w:rFonts w:hint="eastAsia" w:ascii="宋体" w:hAnsi="宋体" w:cs="宋体"/>
          <w:color w:val="auto"/>
          <w:sz w:val="24"/>
          <w:highlight w:val="none"/>
        </w:rPr>
        <w:t xml:space="preserve">                              日期：       年     月     日</w:t>
      </w:r>
    </w:p>
    <w:p w14:paraId="19C5D84A">
      <w:pPr>
        <w:rPr>
          <w:rFonts w:hint="eastAsia" w:ascii="宋体" w:hAnsi="宋体" w:cs="宋体"/>
          <w:color w:val="auto"/>
          <w:sz w:val="24"/>
          <w:highlight w:val="none"/>
        </w:rPr>
      </w:pPr>
      <w:r>
        <w:rPr>
          <w:rFonts w:hint="eastAsia" w:ascii="宋体" w:hAnsi="宋体" w:cs="宋体"/>
          <w:b/>
          <w:bCs/>
          <w:color w:val="auto"/>
          <w:sz w:val="24"/>
          <w:highlight w:val="none"/>
        </w:rPr>
        <w:t>附：</w:t>
      </w:r>
    </w:p>
    <w:p w14:paraId="56074AAD">
      <w:pPr>
        <w:spacing w:line="360" w:lineRule="auto"/>
        <w:rPr>
          <w:rFonts w:hint="eastAsia"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70C8A6BC">
      <w:pPr>
        <w:autoSpaceDE w:val="0"/>
        <w:autoSpaceDN w:val="0"/>
        <w:jc w:val="center"/>
        <w:rPr>
          <w:rFonts w:hint="eastAsia" w:ascii="宋体" w:hAnsi="宋体" w:cs="宋体"/>
          <w:b/>
          <w:color w:val="auto"/>
          <w:spacing w:val="6"/>
          <w:sz w:val="32"/>
          <w:szCs w:val="32"/>
          <w:highlight w:val="none"/>
        </w:rPr>
      </w:pPr>
    </w:p>
    <w:p w14:paraId="5CB17CF8">
      <w:pPr>
        <w:autoSpaceDE w:val="0"/>
        <w:autoSpaceDN w:val="0"/>
        <w:jc w:val="center"/>
        <w:rPr>
          <w:rFonts w:hint="eastAsia" w:ascii="宋体" w:hAnsi="宋体" w:cs="宋体"/>
          <w:b/>
          <w:color w:val="auto"/>
          <w:spacing w:val="6"/>
          <w:sz w:val="32"/>
          <w:szCs w:val="32"/>
          <w:highlight w:val="none"/>
        </w:rPr>
      </w:pPr>
    </w:p>
    <w:p w14:paraId="20142DE8">
      <w:pPr>
        <w:autoSpaceDE w:val="0"/>
        <w:autoSpaceDN w:val="0"/>
        <w:jc w:val="center"/>
        <w:rPr>
          <w:rFonts w:hint="eastAsia" w:ascii="宋体" w:hAnsi="宋体" w:cs="宋体"/>
          <w:b/>
          <w:color w:val="auto"/>
          <w:spacing w:val="6"/>
          <w:sz w:val="32"/>
          <w:szCs w:val="32"/>
          <w:highlight w:val="none"/>
        </w:rPr>
      </w:pPr>
    </w:p>
    <w:p w14:paraId="4131E1C4">
      <w:pPr>
        <w:autoSpaceDE w:val="0"/>
        <w:autoSpaceDN w:val="0"/>
        <w:jc w:val="center"/>
        <w:rPr>
          <w:rFonts w:hint="eastAsia" w:ascii="宋体" w:hAnsi="宋体" w:cs="宋体"/>
          <w:b/>
          <w:color w:val="auto"/>
          <w:spacing w:val="6"/>
          <w:sz w:val="32"/>
          <w:szCs w:val="32"/>
          <w:highlight w:val="none"/>
        </w:rPr>
      </w:pPr>
    </w:p>
    <w:p w14:paraId="31AEF6CB">
      <w:pPr>
        <w:autoSpaceDE w:val="0"/>
        <w:autoSpaceDN w:val="0"/>
        <w:jc w:val="center"/>
        <w:rPr>
          <w:rFonts w:hint="eastAsia" w:ascii="宋体" w:hAnsi="宋体" w:cs="宋体"/>
          <w:b/>
          <w:color w:val="auto"/>
          <w:spacing w:val="6"/>
          <w:sz w:val="32"/>
          <w:szCs w:val="32"/>
          <w:highlight w:val="none"/>
        </w:rPr>
      </w:pPr>
    </w:p>
    <w:p w14:paraId="203E9460">
      <w:pPr>
        <w:autoSpaceDE w:val="0"/>
        <w:autoSpaceDN w:val="0"/>
        <w:jc w:val="center"/>
        <w:rPr>
          <w:rFonts w:hint="eastAsia" w:ascii="宋体" w:hAnsi="宋体" w:cs="宋体"/>
          <w:b/>
          <w:color w:val="auto"/>
          <w:spacing w:val="6"/>
          <w:sz w:val="32"/>
          <w:szCs w:val="32"/>
          <w:highlight w:val="none"/>
        </w:rPr>
      </w:pPr>
    </w:p>
    <w:p w14:paraId="1BCEFD6B">
      <w:pPr>
        <w:autoSpaceDE w:val="0"/>
        <w:autoSpaceDN w:val="0"/>
        <w:jc w:val="center"/>
        <w:rPr>
          <w:rFonts w:hint="eastAsia" w:ascii="宋体" w:hAnsi="宋体" w:cs="宋体"/>
          <w:b/>
          <w:color w:val="auto"/>
          <w:spacing w:val="6"/>
          <w:sz w:val="32"/>
          <w:szCs w:val="32"/>
          <w:highlight w:val="none"/>
        </w:rPr>
      </w:pPr>
    </w:p>
    <w:p w14:paraId="6EDCC3D7">
      <w:pPr>
        <w:autoSpaceDE w:val="0"/>
        <w:autoSpaceDN w:val="0"/>
        <w:jc w:val="center"/>
        <w:rPr>
          <w:rFonts w:hint="eastAsia" w:ascii="宋体" w:hAnsi="宋体" w:cs="宋体"/>
          <w:b/>
          <w:color w:val="auto"/>
          <w:spacing w:val="6"/>
          <w:sz w:val="32"/>
          <w:szCs w:val="32"/>
          <w:highlight w:val="none"/>
        </w:rPr>
      </w:pPr>
    </w:p>
    <w:p w14:paraId="2652045F">
      <w:pPr>
        <w:autoSpaceDE w:val="0"/>
        <w:autoSpaceDN w:val="0"/>
        <w:jc w:val="center"/>
        <w:rPr>
          <w:rFonts w:hint="eastAsia" w:ascii="宋体" w:hAnsi="宋体" w:cs="宋体"/>
          <w:b/>
          <w:color w:val="auto"/>
          <w:spacing w:val="6"/>
          <w:sz w:val="32"/>
          <w:szCs w:val="32"/>
          <w:highlight w:val="none"/>
        </w:rPr>
      </w:pPr>
    </w:p>
    <w:p w14:paraId="337E6E54">
      <w:pPr>
        <w:autoSpaceDE w:val="0"/>
        <w:autoSpaceDN w:val="0"/>
        <w:jc w:val="center"/>
        <w:rPr>
          <w:rFonts w:hint="eastAsia" w:ascii="宋体" w:hAnsi="宋体" w:cs="宋体"/>
          <w:b/>
          <w:color w:val="auto"/>
          <w:spacing w:val="6"/>
          <w:sz w:val="32"/>
          <w:szCs w:val="32"/>
          <w:highlight w:val="none"/>
        </w:rPr>
      </w:pPr>
    </w:p>
    <w:p w14:paraId="145B60BD">
      <w:pP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109AEC6F">
      <w:pPr>
        <w:autoSpaceDE w:val="0"/>
        <w:autoSpaceDN w:val="0"/>
        <w:spacing w:line="360" w:lineRule="auto"/>
        <w:jc w:val="center"/>
        <w:rPr>
          <w:rFonts w:hint="eastAsia"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14:paraId="226D1387">
      <w:pPr>
        <w:widowControl/>
        <w:spacing w:line="360" w:lineRule="auto"/>
        <w:ind w:firstLine="482" w:firstLineChars="200"/>
        <w:jc w:val="left"/>
        <w:rPr>
          <w:rFonts w:hint="eastAsia"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4D92D42B">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 xml:space="preserve">投标。 </w:t>
      </w:r>
    </w:p>
    <w:p w14:paraId="14E26352">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4C08F144">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授权代表根据招标文件规定及投标内容而对采购人、采购代理机构所作的任何合法承诺，包括书面澄清及响应等均对联合投标各方产生约束力。</w:t>
      </w:r>
    </w:p>
    <w:p w14:paraId="0E1CAB8D">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7CEDFEA2">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514E98D1">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4F496F74">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14:paraId="4F4593B3">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3B401CB5">
      <w:pPr>
        <w:snapToGrid w:val="0"/>
        <w:spacing w:line="360" w:lineRule="auto"/>
        <w:ind w:firstLine="576"/>
        <w:rPr>
          <w:rFonts w:hint="eastAsia"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523"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523"/>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524" w:name="_Hlk101133598"/>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524"/>
      <w:r>
        <w:rPr>
          <w:rFonts w:hint="eastAsia" w:ascii="宋体" w:hAnsi="宋体" w:cs="宋体"/>
          <w:b/>
          <w:color w:val="auto"/>
          <w:kern w:val="0"/>
          <w:sz w:val="24"/>
          <w:highlight w:val="none"/>
          <w:lang w:val="zh-CN"/>
        </w:rPr>
        <w:t>）</w:t>
      </w:r>
    </w:p>
    <w:p w14:paraId="259A2E10">
      <w:pPr>
        <w:spacing w:line="360" w:lineRule="auto"/>
        <w:ind w:firstLine="480" w:firstLineChars="200"/>
        <w:rPr>
          <w:rFonts w:hint="eastAsia" w:ascii="宋体" w:hAnsi="宋体" w:cs="宋体"/>
          <w:b/>
          <w:bCs/>
          <w:color w:val="auto"/>
          <w:kern w:val="0"/>
          <w:sz w:val="24"/>
          <w:highlight w:val="none"/>
          <w:lang w:val="zh-CN"/>
        </w:rPr>
      </w:pPr>
      <w:r>
        <w:rPr>
          <w:rFonts w:hint="eastAsia" w:ascii="宋体" w:hAnsi="宋体" w:cs="宋体"/>
          <w:color w:val="auto"/>
          <w:sz w:val="24"/>
          <w:highlight w:val="none"/>
        </w:rPr>
        <w:t>2、</w:t>
      </w:r>
      <w:bookmarkStart w:id="525"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525"/>
    </w:p>
    <w:p w14:paraId="26E5DB47">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5B1A06DC">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10861E7C">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044C387E">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7B1FEB26">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128D058C">
      <w:pPr>
        <w:snapToGrid w:val="0"/>
        <w:spacing w:line="360" w:lineRule="auto"/>
        <w:ind w:firstLine="5040" w:firstLineChars="21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471A7F56">
      <w:pPr>
        <w:snapToGrid w:val="0"/>
        <w:spacing w:line="360" w:lineRule="auto"/>
        <w:ind w:firstLine="5040" w:firstLineChars="21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5E93D7EA">
      <w:pPr>
        <w:snapToGrid w:val="0"/>
        <w:spacing w:line="360" w:lineRule="auto"/>
        <w:ind w:right="960"/>
        <w:jc w:val="center"/>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68CF0565">
      <w:pPr>
        <w:snapToGrid w:val="0"/>
        <w:spacing w:line="360" w:lineRule="auto"/>
        <w:jc w:val="righ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690EE847">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14:paraId="7BF1DDE8">
      <w:pPr>
        <w:autoSpaceDE w:val="0"/>
        <w:autoSpaceDN w:val="0"/>
        <w:jc w:val="center"/>
        <w:rPr>
          <w:rFonts w:hint="eastAsia" w:ascii="宋体" w:hAnsi="宋体" w:cs="宋体"/>
          <w:b/>
          <w:color w:val="auto"/>
          <w:spacing w:val="6"/>
          <w:sz w:val="32"/>
          <w:szCs w:val="32"/>
          <w:highlight w:val="none"/>
        </w:rPr>
      </w:pPr>
    </w:p>
    <w:p w14:paraId="08DAFFA0">
      <w:pPr>
        <w:autoSpaceDE w:val="0"/>
        <w:autoSpaceDN w:val="0"/>
        <w:jc w:val="center"/>
        <w:rPr>
          <w:rFonts w:hint="eastAsia" w:ascii="宋体" w:hAnsi="宋体" w:cs="宋体"/>
          <w:b/>
          <w:color w:val="auto"/>
          <w:spacing w:val="6"/>
          <w:sz w:val="32"/>
          <w:szCs w:val="32"/>
          <w:highlight w:val="none"/>
        </w:rPr>
      </w:pPr>
    </w:p>
    <w:p w14:paraId="548D57CB">
      <w:pPr>
        <w:autoSpaceDE w:val="0"/>
        <w:autoSpaceDN w:val="0"/>
        <w:jc w:val="center"/>
        <w:rPr>
          <w:rFonts w:hint="eastAsia" w:ascii="宋体" w:hAnsi="宋体" w:cs="宋体"/>
          <w:b/>
          <w:color w:val="auto"/>
          <w:spacing w:val="6"/>
          <w:sz w:val="32"/>
          <w:szCs w:val="32"/>
          <w:highlight w:val="none"/>
        </w:rPr>
      </w:pPr>
    </w:p>
    <w:p w14:paraId="4D6DE934">
      <w:pPr>
        <w:autoSpaceDE w:val="0"/>
        <w:autoSpaceDN w:val="0"/>
        <w:jc w:val="center"/>
        <w:rPr>
          <w:rFonts w:hint="eastAsia" w:ascii="宋体" w:hAnsi="宋体" w:cs="宋体"/>
          <w:b/>
          <w:color w:val="auto"/>
          <w:spacing w:val="6"/>
          <w:sz w:val="32"/>
          <w:szCs w:val="32"/>
          <w:highlight w:val="none"/>
        </w:rPr>
      </w:pPr>
    </w:p>
    <w:p w14:paraId="0C983D4C">
      <w:pPr>
        <w:autoSpaceDE w:val="0"/>
        <w:autoSpaceDN w:val="0"/>
        <w:jc w:val="center"/>
        <w:rPr>
          <w:rFonts w:hint="eastAsia" w:ascii="宋体" w:hAnsi="宋体" w:cs="宋体"/>
          <w:b/>
          <w:color w:val="auto"/>
          <w:spacing w:val="6"/>
          <w:sz w:val="32"/>
          <w:szCs w:val="32"/>
          <w:highlight w:val="none"/>
        </w:rPr>
      </w:pPr>
    </w:p>
    <w:p w14:paraId="47743213">
      <w:pPr>
        <w:autoSpaceDE w:val="0"/>
        <w:autoSpaceDN w:val="0"/>
        <w:jc w:val="center"/>
        <w:rPr>
          <w:rFonts w:hint="eastAsia" w:ascii="宋体" w:hAnsi="宋体" w:cs="宋体"/>
          <w:b/>
          <w:color w:val="auto"/>
          <w:spacing w:val="6"/>
          <w:sz w:val="32"/>
          <w:szCs w:val="32"/>
          <w:highlight w:val="none"/>
        </w:rPr>
      </w:pPr>
    </w:p>
    <w:p w14:paraId="4FB1D5D9">
      <w:pPr>
        <w:autoSpaceDE w:val="0"/>
        <w:autoSpaceDN w:val="0"/>
        <w:jc w:val="center"/>
        <w:rPr>
          <w:rFonts w:hint="eastAsia" w:ascii="宋体" w:hAnsi="宋体" w:cs="宋体"/>
          <w:b/>
          <w:color w:val="auto"/>
          <w:spacing w:val="6"/>
          <w:sz w:val="32"/>
          <w:szCs w:val="32"/>
          <w:highlight w:val="none"/>
        </w:rPr>
      </w:pPr>
    </w:p>
    <w:p w14:paraId="7465C297">
      <w:pPr>
        <w:autoSpaceDE w:val="0"/>
        <w:autoSpaceDN w:val="0"/>
        <w:jc w:val="center"/>
        <w:rPr>
          <w:rFonts w:hint="eastAsia" w:ascii="宋体" w:hAnsi="宋体" w:cs="宋体"/>
          <w:b/>
          <w:color w:val="auto"/>
          <w:spacing w:val="6"/>
          <w:sz w:val="32"/>
          <w:szCs w:val="32"/>
          <w:highlight w:val="none"/>
        </w:rPr>
      </w:pPr>
    </w:p>
    <w:p w14:paraId="7EE7161C">
      <w:pPr>
        <w:autoSpaceDE w:val="0"/>
        <w:autoSpaceDN w:val="0"/>
        <w:jc w:val="center"/>
        <w:rPr>
          <w:rFonts w:hint="eastAsia" w:ascii="宋体" w:hAnsi="宋体" w:cs="宋体"/>
          <w:b/>
          <w:color w:val="auto"/>
          <w:spacing w:val="6"/>
          <w:sz w:val="32"/>
          <w:szCs w:val="32"/>
          <w:highlight w:val="none"/>
        </w:rPr>
      </w:pPr>
    </w:p>
    <w:p w14:paraId="024828BC">
      <w:pPr>
        <w:autoSpaceDE w:val="0"/>
        <w:autoSpaceDN w:val="0"/>
        <w:jc w:val="center"/>
        <w:rPr>
          <w:rFonts w:hint="eastAsia" w:ascii="宋体" w:hAnsi="宋体" w:cs="宋体"/>
          <w:b/>
          <w:color w:val="auto"/>
          <w:spacing w:val="6"/>
          <w:sz w:val="32"/>
          <w:szCs w:val="32"/>
          <w:highlight w:val="none"/>
        </w:rPr>
      </w:pPr>
    </w:p>
    <w:p w14:paraId="254F71D1">
      <w:pPr>
        <w:autoSpaceDE w:val="0"/>
        <w:autoSpaceDN w:val="0"/>
        <w:jc w:val="center"/>
        <w:rPr>
          <w:rFonts w:hint="eastAsia" w:ascii="宋体" w:hAnsi="宋体" w:cs="宋体"/>
          <w:b/>
          <w:color w:val="auto"/>
          <w:spacing w:val="6"/>
          <w:sz w:val="32"/>
          <w:szCs w:val="32"/>
          <w:highlight w:val="none"/>
        </w:rPr>
      </w:pPr>
    </w:p>
    <w:p w14:paraId="73CE1745">
      <w:pPr>
        <w:autoSpaceDE w:val="0"/>
        <w:autoSpaceDN w:val="0"/>
        <w:jc w:val="center"/>
        <w:rPr>
          <w:rFonts w:hint="eastAsia" w:ascii="宋体" w:hAnsi="宋体" w:cs="宋体"/>
          <w:b/>
          <w:color w:val="auto"/>
          <w:spacing w:val="6"/>
          <w:sz w:val="32"/>
          <w:szCs w:val="32"/>
          <w:highlight w:val="none"/>
        </w:rPr>
      </w:pPr>
    </w:p>
    <w:p w14:paraId="445FB9B0">
      <w:pPr>
        <w:autoSpaceDE w:val="0"/>
        <w:autoSpaceDN w:val="0"/>
        <w:jc w:val="center"/>
        <w:rPr>
          <w:rFonts w:hint="eastAsia" w:ascii="宋体" w:hAnsi="宋体" w:cs="宋体"/>
          <w:b/>
          <w:color w:val="auto"/>
          <w:spacing w:val="6"/>
          <w:sz w:val="32"/>
          <w:szCs w:val="32"/>
          <w:highlight w:val="none"/>
        </w:rPr>
      </w:pPr>
    </w:p>
    <w:p w14:paraId="27636616">
      <w:pPr>
        <w:autoSpaceDE w:val="0"/>
        <w:autoSpaceDN w:val="0"/>
        <w:jc w:val="center"/>
        <w:rPr>
          <w:rFonts w:hint="eastAsia" w:ascii="宋体" w:hAnsi="宋体" w:cs="宋体"/>
          <w:b/>
          <w:color w:val="auto"/>
          <w:spacing w:val="6"/>
          <w:sz w:val="32"/>
          <w:szCs w:val="32"/>
          <w:highlight w:val="none"/>
        </w:rPr>
      </w:pPr>
    </w:p>
    <w:p w14:paraId="2B5028F8">
      <w:pPr>
        <w:autoSpaceDE w:val="0"/>
        <w:autoSpaceDN w:val="0"/>
        <w:jc w:val="center"/>
        <w:rPr>
          <w:rFonts w:hint="eastAsia" w:ascii="宋体" w:hAnsi="宋体" w:cs="宋体"/>
          <w:b/>
          <w:color w:val="auto"/>
          <w:spacing w:val="6"/>
          <w:sz w:val="32"/>
          <w:szCs w:val="32"/>
          <w:highlight w:val="none"/>
        </w:rPr>
      </w:pPr>
    </w:p>
    <w:p w14:paraId="3D4076CE">
      <w:pPr>
        <w:autoSpaceDE w:val="0"/>
        <w:autoSpaceDN w:val="0"/>
        <w:jc w:val="center"/>
        <w:rPr>
          <w:rFonts w:hint="eastAsia" w:ascii="宋体" w:hAnsi="宋体" w:cs="宋体"/>
          <w:b/>
          <w:color w:val="auto"/>
          <w:spacing w:val="6"/>
          <w:sz w:val="32"/>
          <w:szCs w:val="32"/>
          <w:highlight w:val="none"/>
        </w:rPr>
      </w:pPr>
    </w:p>
    <w:p w14:paraId="6D1A85F7">
      <w:pPr>
        <w:autoSpaceDE w:val="0"/>
        <w:autoSpaceDN w:val="0"/>
        <w:jc w:val="center"/>
        <w:rPr>
          <w:rFonts w:hint="eastAsia" w:ascii="宋体" w:hAnsi="宋体" w:cs="宋体"/>
          <w:b/>
          <w:color w:val="auto"/>
          <w:spacing w:val="6"/>
          <w:sz w:val="32"/>
          <w:szCs w:val="32"/>
          <w:highlight w:val="none"/>
        </w:rPr>
      </w:pPr>
    </w:p>
    <w:p w14:paraId="2D92395C">
      <w:pPr>
        <w:autoSpaceDE w:val="0"/>
        <w:autoSpaceDN w:val="0"/>
        <w:jc w:val="center"/>
        <w:rPr>
          <w:rFonts w:hint="eastAsia" w:ascii="宋体" w:hAnsi="宋体" w:cs="宋体"/>
          <w:b/>
          <w:color w:val="auto"/>
          <w:spacing w:val="6"/>
          <w:sz w:val="32"/>
          <w:szCs w:val="32"/>
          <w:highlight w:val="none"/>
        </w:rPr>
      </w:pPr>
    </w:p>
    <w:p w14:paraId="5DAF5629">
      <w:pPr>
        <w:autoSpaceDE w:val="0"/>
        <w:autoSpaceDN w:val="0"/>
        <w:jc w:val="center"/>
        <w:rPr>
          <w:rFonts w:hint="eastAsia" w:ascii="宋体" w:hAnsi="宋体" w:cs="宋体"/>
          <w:b/>
          <w:color w:val="auto"/>
          <w:spacing w:val="6"/>
          <w:sz w:val="32"/>
          <w:szCs w:val="32"/>
          <w:highlight w:val="none"/>
        </w:rPr>
      </w:pPr>
    </w:p>
    <w:p w14:paraId="2A8957A2">
      <w:pPr>
        <w:autoSpaceDE w:val="0"/>
        <w:autoSpaceDN w:val="0"/>
        <w:jc w:val="center"/>
        <w:rPr>
          <w:rFonts w:hint="eastAsia" w:ascii="宋体" w:hAnsi="宋体" w:cs="宋体"/>
          <w:b/>
          <w:color w:val="auto"/>
          <w:spacing w:val="6"/>
          <w:sz w:val="32"/>
          <w:szCs w:val="32"/>
          <w:highlight w:val="none"/>
        </w:rPr>
      </w:pPr>
    </w:p>
    <w:p w14:paraId="71F3BB8A">
      <w:pP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2E6E873C">
      <w:pPr>
        <w:snapToGrid w:val="0"/>
        <w:spacing w:line="360" w:lineRule="auto"/>
        <w:ind w:firstLine="3666" w:firstLineChars="1100"/>
        <w:rPr>
          <w:rFonts w:hint="eastAsia"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14:paraId="6146C410">
      <w:pPr>
        <w:widowControl/>
        <w:spacing w:line="360" w:lineRule="auto"/>
        <w:ind w:firstLine="120" w:firstLineChars="50"/>
        <w:jc w:val="left"/>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72DC8DA6">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12331278">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4C582E21">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6DEE8C17">
      <w:pPr>
        <w:pStyle w:val="4"/>
        <w:ind w:left="664" w:leftChars="316" w:firstLine="229" w:firstLineChars="95"/>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738141F8">
      <w:pPr>
        <w:rPr>
          <w:color w:val="auto"/>
          <w:highlight w:val="none"/>
        </w:rPr>
      </w:pPr>
      <w:r>
        <w:rPr>
          <w:rFonts w:hint="eastAsia"/>
          <w:color w:val="auto"/>
          <w:highlight w:val="none"/>
          <w:lang w:val="zh-CN"/>
        </w:rPr>
        <w:t xml:space="preserve"> </w:t>
      </w:r>
    </w:p>
    <w:p w14:paraId="40CCAB6C">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06D93078">
      <w:pPr>
        <w:snapToGrid w:val="0"/>
        <w:spacing w:line="360" w:lineRule="auto"/>
        <w:ind w:firstLine="576"/>
        <w:rPr>
          <w:rFonts w:hint="eastAsia"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55252417">
      <w:pPr>
        <w:spacing w:line="360" w:lineRule="auto"/>
        <w:ind w:firstLine="480" w:firstLineChars="200"/>
        <w:rPr>
          <w:rFonts w:hint="eastAsia"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14:paraId="0CE65E8D">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7CC5F2AD">
      <w:pPr>
        <w:snapToGrid w:val="0"/>
        <w:spacing w:line="360" w:lineRule="auto"/>
        <w:ind w:firstLine="576"/>
        <w:rPr>
          <w:rFonts w:hint="eastAsia" w:ascii="宋体" w:hAnsi="宋体" w:cs="宋体"/>
          <w:color w:val="auto"/>
          <w:highlight w:val="none"/>
          <w:u w:val="single"/>
        </w:rPr>
      </w:pPr>
      <w:r>
        <w:rPr>
          <w:rFonts w:hint="eastAsia" w:ascii="宋体" w:hAnsi="宋体" w:cs="宋体"/>
          <w:color w:val="auto"/>
          <w:highlight w:val="none"/>
          <w:u w:val="single"/>
        </w:rPr>
        <w:t xml:space="preserve">                                                                                  </w:t>
      </w:r>
    </w:p>
    <w:p w14:paraId="50FBE489">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6A7B4830">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168D5346">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46C0653E">
      <w:pPr>
        <w:snapToGrid w:val="0"/>
        <w:spacing w:line="360" w:lineRule="auto"/>
        <w:ind w:left="573" w:leftChars="273"/>
        <w:rPr>
          <w:rFonts w:hint="eastAsia"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5DF8D9EE">
      <w:pPr>
        <w:snapToGrid w:val="0"/>
        <w:spacing w:line="360" w:lineRule="auto"/>
        <w:ind w:left="573" w:leftChars="273"/>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2ECD7A92">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1BE3F73A">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13902ACA">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1CC63C23">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14:paraId="7BFDB964">
      <w:pPr>
        <w:snapToGrid w:val="0"/>
        <w:spacing w:line="360" w:lineRule="auto"/>
        <w:ind w:left="5758" w:leftChars="342" w:hanging="5040" w:hangingChars="2100"/>
        <w:rPr>
          <w:rFonts w:hint="eastAsia" w:ascii="宋体" w:hAnsi="宋体" w:cs="宋体"/>
          <w:color w:val="auto"/>
          <w:kern w:val="0"/>
          <w:sz w:val="24"/>
          <w:highlight w:val="none"/>
          <w:lang w:val="zh-CN"/>
        </w:rPr>
      </w:pP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  。                                           投标人名称(电子签名)：</w:t>
      </w:r>
    </w:p>
    <w:p w14:paraId="4FBE37C0">
      <w:pPr>
        <w:snapToGrid w:val="0"/>
        <w:spacing w:line="360" w:lineRule="auto"/>
        <w:jc w:val="righ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4F6D957E">
      <w:pPr>
        <w:snapToGrid w:val="0"/>
        <w:spacing w:line="360" w:lineRule="auto"/>
        <w:ind w:firstLine="5760" w:firstLineChars="2400"/>
        <w:rPr>
          <w:rFonts w:hint="eastAsia" w:ascii="宋体" w:hAnsi="宋体" w:cs="宋体"/>
          <w:color w:val="auto"/>
          <w:highlight w:val="none"/>
        </w:rPr>
      </w:pPr>
      <w:r>
        <w:rPr>
          <w:rFonts w:hint="eastAsia" w:ascii="宋体" w:hAnsi="宋体" w:cs="宋体"/>
          <w:color w:val="auto"/>
          <w:kern w:val="0"/>
          <w:sz w:val="24"/>
          <w:highlight w:val="none"/>
          <w:lang w:val="zh-CN"/>
        </w:rPr>
        <w:t>……</w:t>
      </w:r>
    </w:p>
    <w:p w14:paraId="3A0CED52">
      <w:pPr>
        <w:snapToGrid w:val="0"/>
        <w:spacing w:line="360" w:lineRule="auto"/>
        <w:ind w:left="5758" w:leftChars="342" w:hanging="5040" w:hangingChars="21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1CF947DF">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14:paraId="2246EAC3">
      <w:pPr>
        <w:autoSpaceDE w:val="0"/>
        <w:autoSpaceDN w:val="0"/>
        <w:jc w:val="center"/>
        <w:rPr>
          <w:rFonts w:hint="eastAsia" w:ascii="宋体" w:hAnsi="宋体" w:cs="宋体"/>
          <w:b/>
          <w:color w:val="auto"/>
          <w:spacing w:val="6"/>
          <w:sz w:val="32"/>
          <w:szCs w:val="32"/>
          <w:highlight w:val="none"/>
        </w:rPr>
      </w:pPr>
    </w:p>
    <w:p w14:paraId="15A90FE3">
      <w:pPr>
        <w:autoSpaceDE w:val="0"/>
        <w:autoSpaceDN w:val="0"/>
        <w:jc w:val="center"/>
        <w:rPr>
          <w:rFonts w:hint="eastAsia" w:ascii="宋体" w:hAnsi="宋体" w:cs="宋体"/>
          <w:b/>
          <w:color w:val="auto"/>
          <w:spacing w:val="6"/>
          <w:sz w:val="32"/>
          <w:szCs w:val="32"/>
          <w:highlight w:val="none"/>
        </w:rPr>
      </w:pPr>
    </w:p>
    <w:p w14:paraId="11D3312A">
      <w:pPr>
        <w:autoSpaceDE w:val="0"/>
        <w:autoSpaceDN w:val="0"/>
        <w:jc w:val="center"/>
        <w:rPr>
          <w:rFonts w:hint="eastAsia" w:ascii="宋体" w:hAnsi="宋体" w:cs="宋体"/>
          <w:b/>
          <w:color w:val="auto"/>
          <w:spacing w:val="6"/>
          <w:sz w:val="32"/>
          <w:szCs w:val="32"/>
          <w:highlight w:val="none"/>
        </w:rPr>
      </w:pPr>
    </w:p>
    <w:p w14:paraId="6E11C67C">
      <w:pPr>
        <w:autoSpaceDE w:val="0"/>
        <w:autoSpaceDN w:val="0"/>
        <w:jc w:val="center"/>
        <w:rPr>
          <w:rFonts w:hint="eastAsia" w:ascii="宋体" w:hAnsi="宋体" w:cs="宋体"/>
          <w:b/>
          <w:color w:val="auto"/>
          <w:spacing w:val="6"/>
          <w:sz w:val="32"/>
          <w:szCs w:val="32"/>
          <w:highlight w:val="none"/>
        </w:rPr>
      </w:pPr>
    </w:p>
    <w:p w14:paraId="3AF88606">
      <w:pPr>
        <w:autoSpaceDE w:val="0"/>
        <w:autoSpaceDN w:val="0"/>
        <w:jc w:val="center"/>
        <w:rPr>
          <w:rFonts w:hint="eastAsia" w:ascii="宋体" w:hAnsi="宋体" w:cs="宋体"/>
          <w:b/>
          <w:color w:val="auto"/>
          <w:spacing w:val="6"/>
          <w:sz w:val="32"/>
          <w:szCs w:val="32"/>
          <w:highlight w:val="none"/>
        </w:rPr>
      </w:pPr>
    </w:p>
    <w:p w14:paraId="6B3A5B22">
      <w:pPr>
        <w:autoSpaceDE w:val="0"/>
        <w:autoSpaceDN w:val="0"/>
        <w:jc w:val="center"/>
        <w:rPr>
          <w:rFonts w:hint="eastAsia" w:ascii="宋体" w:hAnsi="宋体" w:cs="宋体"/>
          <w:b/>
          <w:color w:val="auto"/>
          <w:spacing w:val="6"/>
          <w:sz w:val="32"/>
          <w:szCs w:val="32"/>
          <w:highlight w:val="none"/>
        </w:rPr>
      </w:pPr>
    </w:p>
    <w:p w14:paraId="38C72814">
      <w:pPr>
        <w:autoSpaceDE w:val="0"/>
        <w:autoSpaceDN w:val="0"/>
        <w:jc w:val="center"/>
        <w:rPr>
          <w:rFonts w:hint="eastAsia" w:ascii="宋体" w:hAnsi="宋体" w:cs="宋体"/>
          <w:b/>
          <w:color w:val="auto"/>
          <w:spacing w:val="6"/>
          <w:sz w:val="32"/>
          <w:szCs w:val="32"/>
          <w:highlight w:val="none"/>
        </w:rPr>
      </w:pPr>
    </w:p>
    <w:p w14:paraId="4B596381">
      <w:pPr>
        <w:autoSpaceDE w:val="0"/>
        <w:autoSpaceDN w:val="0"/>
        <w:jc w:val="center"/>
        <w:rPr>
          <w:rFonts w:hint="eastAsia" w:ascii="宋体" w:hAnsi="宋体" w:cs="宋体"/>
          <w:b/>
          <w:color w:val="auto"/>
          <w:spacing w:val="6"/>
          <w:sz w:val="32"/>
          <w:szCs w:val="32"/>
          <w:highlight w:val="none"/>
        </w:rPr>
      </w:pPr>
    </w:p>
    <w:p w14:paraId="3F4B1658">
      <w:pPr>
        <w:autoSpaceDE w:val="0"/>
        <w:autoSpaceDN w:val="0"/>
        <w:jc w:val="center"/>
        <w:rPr>
          <w:rFonts w:hint="eastAsia" w:ascii="宋体" w:hAnsi="宋体" w:cs="宋体"/>
          <w:b/>
          <w:color w:val="auto"/>
          <w:spacing w:val="6"/>
          <w:sz w:val="32"/>
          <w:szCs w:val="32"/>
          <w:highlight w:val="none"/>
        </w:rPr>
      </w:pPr>
    </w:p>
    <w:p w14:paraId="3EA4F693">
      <w:pPr>
        <w:autoSpaceDE w:val="0"/>
        <w:autoSpaceDN w:val="0"/>
        <w:jc w:val="center"/>
        <w:rPr>
          <w:rFonts w:hint="eastAsia" w:ascii="宋体" w:hAnsi="宋体" w:cs="宋体"/>
          <w:b/>
          <w:color w:val="auto"/>
          <w:spacing w:val="6"/>
          <w:sz w:val="32"/>
          <w:szCs w:val="32"/>
          <w:highlight w:val="none"/>
        </w:rPr>
      </w:pPr>
    </w:p>
    <w:p w14:paraId="59943F9D">
      <w:pPr>
        <w:autoSpaceDE w:val="0"/>
        <w:autoSpaceDN w:val="0"/>
        <w:jc w:val="center"/>
        <w:rPr>
          <w:rFonts w:hint="eastAsia" w:ascii="宋体" w:hAnsi="宋体" w:cs="宋体"/>
          <w:b/>
          <w:color w:val="auto"/>
          <w:spacing w:val="6"/>
          <w:sz w:val="32"/>
          <w:szCs w:val="32"/>
          <w:highlight w:val="none"/>
        </w:rPr>
      </w:pPr>
    </w:p>
    <w:p w14:paraId="27595E8D">
      <w:pPr>
        <w:autoSpaceDE w:val="0"/>
        <w:autoSpaceDN w:val="0"/>
        <w:jc w:val="center"/>
        <w:rPr>
          <w:rFonts w:hint="eastAsia" w:ascii="宋体" w:hAnsi="宋体" w:cs="宋体"/>
          <w:b/>
          <w:color w:val="auto"/>
          <w:spacing w:val="6"/>
          <w:sz w:val="32"/>
          <w:szCs w:val="32"/>
          <w:highlight w:val="none"/>
        </w:rPr>
      </w:pPr>
    </w:p>
    <w:p w14:paraId="2A8D0C02">
      <w:pPr>
        <w:autoSpaceDE w:val="0"/>
        <w:autoSpaceDN w:val="0"/>
        <w:jc w:val="center"/>
        <w:rPr>
          <w:rFonts w:hint="eastAsia" w:ascii="宋体" w:hAnsi="宋体" w:cs="宋体"/>
          <w:b/>
          <w:color w:val="auto"/>
          <w:spacing w:val="6"/>
          <w:sz w:val="32"/>
          <w:szCs w:val="32"/>
          <w:highlight w:val="none"/>
        </w:rPr>
      </w:pPr>
    </w:p>
    <w:p w14:paraId="001278D4">
      <w:pPr>
        <w:autoSpaceDE w:val="0"/>
        <w:autoSpaceDN w:val="0"/>
        <w:jc w:val="center"/>
        <w:rPr>
          <w:rFonts w:hint="eastAsia" w:ascii="宋体" w:hAnsi="宋体" w:cs="宋体"/>
          <w:b/>
          <w:color w:val="auto"/>
          <w:spacing w:val="6"/>
          <w:sz w:val="32"/>
          <w:szCs w:val="32"/>
          <w:highlight w:val="none"/>
        </w:rPr>
      </w:pPr>
    </w:p>
    <w:p w14:paraId="5FB21729">
      <w:pPr>
        <w:autoSpaceDE w:val="0"/>
        <w:autoSpaceDN w:val="0"/>
        <w:jc w:val="center"/>
        <w:rPr>
          <w:rFonts w:hint="eastAsia" w:ascii="宋体" w:hAnsi="宋体" w:cs="宋体"/>
          <w:b/>
          <w:color w:val="auto"/>
          <w:spacing w:val="6"/>
          <w:sz w:val="32"/>
          <w:szCs w:val="32"/>
          <w:highlight w:val="none"/>
        </w:rPr>
      </w:pPr>
    </w:p>
    <w:p w14:paraId="4E2F57F0">
      <w:pPr>
        <w:autoSpaceDE w:val="0"/>
        <w:autoSpaceDN w:val="0"/>
        <w:jc w:val="center"/>
        <w:rPr>
          <w:rFonts w:hint="eastAsia" w:ascii="宋体" w:hAnsi="宋体" w:cs="宋体"/>
          <w:b/>
          <w:color w:val="auto"/>
          <w:spacing w:val="6"/>
          <w:sz w:val="32"/>
          <w:szCs w:val="32"/>
          <w:highlight w:val="none"/>
        </w:rPr>
      </w:pPr>
    </w:p>
    <w:p w14:paraId="094D63B7">
      <w:pPr>
        <w:autoSpaceDE w:val="0"/>
        <w:autoSpaceDN w:val="0"/>
        <w:jc w:val="center"/>
        <w:rPr>
          <w:rFonts w:hint="eastAsia" w:ascii="宋体" w:hAnsi="宋体" w:cs="宋体"/>
          <w:b/>
          <w:color w:val="auto"/>
          <w:spacing w:val="6"/>
          <w:sz w:val="32"/>
          <w:szCs w:val="32"/>
          <w:highlight w:val="none"/>
        </w:rPr>
      </w:pPr>
    </w:p>
    <w:p w14:paraId="78F70891">
      <w:pPr>
        <w:autoSpaceDE w:val="0"/>
        <w:autoSpaceDN w:val="0"/>
        <w:jc w:val="center"/>
        <w:rPr>
          <w:rFonts w:hint="eastAsia" w:ascii="宋体" w:hAnsi="宋体" w:cs="宋体"/>
          <w:b/>
          <w:color w:val="auto"/>
          <w:spacing w:val="6"/>
          <w:sz w:val="32"/>
          <w:szCs w:val="32"/>
          <w:highlight w:val="none"/>
        </w:rPr>
      </w:pPr>
    </w:p>
    <w:p w14:paraId="38109F82">
      <w:pPr>
        <w:autoSpaceDE w:val="0"/>
        <w:autoSpaceDN w:val="0"/>
        <w:jc w:val="center"/>
        <w:rPr>
          <w:rFonts w:hint="eastAsia" w:ascii="宋体" w:hAnsi="宋体" w:cs="宋体"/>
          <w:b/>
          <w:color w:val="auto"/>
          <w:spacing w:val="6"/>
          <w:sz w:val="32"/>
          <w:szCs w:val="32"/>
          <w:highlight w:val="none"/>
        </w:rPr>
      </w:pPr>
    </w:p>
    <w:p w14:paraId="70C40961">
      <w:pPr>
        <w:autoSpaceDE w:val="0"/>
        <w:autoSpaceDN w:val="0"/>
        <w:jc w:val="center"/>
        <w:rPr>
          <w:rFonts w:hint="eastAsia" w:ascii="宋体" w:hAnsi="宋体" w:cs="宋体"/>
          <w:b/>
          <w:color w:val="auto"/>
          <w:spacing w:val="6"/>
          <w:sz w:val="32"/>
          <w:szCs w:val="32"/>
          <w:highlight w:val="none"/>
        </w:rPr>
      </w:pPr>
    </w:p>
    <w:p w14:paraId="2BA8AF32">
      <w:pPr>
        <w:rPr>
          <w:rFonts w:hint="eastAsia" w:ascii="宋体" w:hAnsi="宋体" w:cs="宋体"/>
          <w:b/>
          <w:color w:val="auto"/>
          <w:sz w:val="36"/>
          <w:szCs w:val="20"/>
          <w:highlight w:val="none"/>
        </w:rPr>
      </w:pPr>
      <w:r>
        <w:rPr>
          <w:rFonts w:hint="eastAsia" w:ascii="宋体" w:hAnsi="宋体" w:cs="宋体"/>
          <w:b/>
          <w:color w:val="auto"/>
          <w:sz w:val="36"/>
          <w:szCs w:val="20"/>
          <w:highlight w:val="none"/>
        </w:rPr>
        <w:br w:type="page"/>
      </w:r>
    </w:p>
    <w:p w14:paraId="0155ECCE">
      <w:pPr>
        <w:spacing w:line="360" w:lineRule="auto"/>
        <w:jc w:val="left"/>
        <w:outlineLvl w:val="0"/>
        <w:rPr>
          <w:rFonts w:hint="eastAsia" w:ascii="宋体" w:hAnsi="宋体" w:cs="宋体"/>
          <w:b/>
          <w:color w:val="auto"/>
          <w:sz w:val="36"/>
          <w:szCs w:val="20"/>
          <w:highlight w:val="none"/>
        </w:rPr>
      </w:pPr>
      <w:r>
        <w:rPr>
          <w:rFonts w:hint="eastAsia" w:ascii="宋体" w:hAnsi="宋体" w:cs="宋体"/>
          <w:b/>
          <w:color w:val="auto"/>
          <w:sz w:val="36"/>
          <w:szCs w:val="20"/>
          <w:highlight w:val="none"/>
        </w:rPr>
        <w:t>附件</w:t>
      </w:r>
      <w:r>
        <w:rPr>
          <w:rFonts w:ascii="宋体" w:hAnsi="宋体" w:cs="宋体"/>
          <w:b/>
          <w:color w:val="auto"/>
          <w:sz w:val="36"/>
          <w:szCs w:val="20"/>
          <w:highlight w:val="none"/>
        </w:rPr>
        <w:t>7</w:t>
      </w:r>
      <w:r>
        <w:rPr>
          <w:rFonts w:hint="eastAsia" w:ascii="宋体" w:hAnsi="宋体" w:cs="宋体"/>
          <w:b/>
          <w:color w:val="auto"/>
          <w:sz w:val="36"/>
          <w:szCs w:val="20"/>
          <w:highlight w:val="none"/>
        </w:rPr>
        <w:t>：中小企业声明函</w:t>
      </w:r>
    </w:p>
    <w:p w14:paraId="586A53EE">
      <w:pPr>
        <w:spacing w:line="360" w:lineRule="auto"/>
        <w:jc w:val="center"/>
        <w:rPr>
          <w:rFonts w:hint="eastAsia" w:ascii="宋体" w:hAnsi="宋体" w:cs="宋体"/>
          <w:color w:val="auto"/>
          <w:sz w:val="24"/>
          <w:highlight w:val="none"/>
          <w:u w:val="single"/>
        </w:rPr>
      </w:pPr>
    </w:p>
    <w:p w14:paraId="0222BB0A">
      <w:pPr>
        <w:spacing w:line="360" w:lineRule="auto"/>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096E2AF4">
      <w:pPr>
        <w:spacing w:line="360" w:lineRule="auto"/>
        <w:ind w:firstLine="360" w:firstLineChars="150"/>
        <w:jc w:val="left"/>
        <w:rPr>
          <w:rFonts w:hint="eastAsia"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（采购人）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（项目名称）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62728E95">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（采购文件中明确的所属行业）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5FD4E6F3">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 xml:space="preserve">（采购文件中明确的所属行业） </w:t>
      </w:r>
      <w:r>
        <w:rPr>
          <w:rFonts w:hint="eastAsia" w:ascii="宋体" w:hAnsi="宋体" w:cs="宋体"/>
          <w:color w:val="auto"/>
          <w:sz w:val="24"/>
          <w:highlight w:val="none"/>
        </w:rPr>
        <w:t xml:space="preserve">；承建（承接）企业为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05ACDA5D">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w:t>
      </w:r>
    </w:p>
    <w:p w14:paraId="5341CC58">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1E492C67">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78393C7D">
      <w:pPr>
        <w:spacing w:line="360" w:lineRule="auto"/>
        <w:ind w:right="1760"/>
        <w:jc w:val="right"/>
        <w:rPr>
          <w:rFonts w:hint="eastAsia" w:ascii="宋体" w:hAnsi="宋体" w:cs="宋体"/>
          <w:color w:val="auto"/>
          <w:sz w:val="24"/>
          <w:highlight w:val="none"/>
        </w:rPr>
      </w:pPr>
      <w:r>
        <w:rPr>
          <w:rFonts w:hint="eastAsia" w:ascii="宋体" w:hAnsi="宋体" w:cs="宋体"/>
          <w:color w:val="auto"/>
          <w:sz w:val="24"/>
          <w:highlight w:val="none"/>
        </w:rPr>
        <w:t>投标人名称（电子签名）：</w:t>
      </w:r>
    </w:p>
    <w:p w14:paraId="46D275C8">
      <w:pPr>
        <w:spacing w:line="360" w:lineRule="auto"/>
        <w:ind w:right="1120" w:firstLine="4680" w:firstLineChars="1950"/>
        <w:rPr>
          <w:rFonts w:hint="eastAsia" w:ascii="宋体" w:hAnsi="宋体" w:cs="宋体"/>
          <w:color w:val="auto"/>
          <w:sz w:val="24"/>
          <w:highlight w:val="none"/>
        </w:rPr>
      </w:pPr>
      <w:r>
        <w:rPr>
          <w:rFonts w:hint="eastAsia" w:ascii="宋体" w:hAnsi="宋体" w:cs="宋体"/>
          <w:color w:val="auto"/>
          <w:sz w:val="24"/>
          <w:highlight w:val="none"/>
        </w:rPr>
        <w:t>日 期：</w:t>
      </w:r>
    </w:p>
    <w:p w14:paraId="12FD4291">
      <w:pPr>
        <w:spacing w:line="360" w:lineRule="auto"/>
        <w:ind w:right="420" w:firstLine="480" w:firstLineChars="200"/>
        <w:rPr>
          <w:rFonts w:hint="eastAsia" w:ascii="宋体" w:hAnsi="宋体" w:cs="宋体"/>
          <w:color w:val="auto"/>
          <w:sz w:val="24"/>
          <w:highlight w:val="none"/>
        </w:rPr>
      </w:pPr>
      <w:r>
        <w:rPr>
          <w:rFonts w:hint="eastAsia" w:ascii="宋体" w:hAnsi="宋体" w:cs="宋体"/>
          <w:color w:val="auto"/>
          <w:sz w:val="24"/>
          <w:highlight w:val="none"/>
        </w:rPr>
        <w:t>注：①从业人员、营业收入、资产总额填报上一年度数据，无上一年度数据的新成立企业可不填报。②《中小企业声明函》中“标的名称”、“采购文件中明确的所属行业”依据招标文件第二部分投标人须知前附表中“采购标的及其对应的中小企业划分标准所属行业”的指引，逐一填写，不得缺漏。</w:t>
      </w: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UI Symbol"/>
    <w:panose1 w:val="00000000000000000000"/>
    <w:charset w:val="00"/>
    <w:family w:val="swiss"/>
    <w:pitch w:val="default"/>
    <w:sig w:usb0="00000000" w:usb1="00000000" w:usb2="00000000" w:usb3="00000000" w:csb0="00000001" w:csb1="00000000"/>
  </w:font>
  <w:font w:name="Segoe UI Symbol">
    <w:panose1 w:val="020B0502040204020203"/>
    <w:charset w:val="00"/>
    <w:family w:val="swiss"/>
    <w:pitch w:val="default"/>
    <w:sig w:usb0="800001E3" w:usb1="1200FFEF" w:usb2="00040000" w:usb3="04000000" w:csb0="00000001" w:csb1="4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0"/>
    <w:family w:val="swiss"/>
    <w:pitch w:val="default"/>
    <w:sig w:usb0="00000000" w:usb1="00000000" w:usb2="00000000" w:usb3="00000000" w:csb0="00000001"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A2C7D2">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E015CC">
    <w:pPr>
      <w:pStyle w:val="42"/>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187686">
    <w:pPr>
      <w:pStyle w:val="42"/>
      <w:framePr w:wrap="around" w:vAnchor="text" w:hAnchor="margin" w:xAlign="right" w:y="1"/>
      <w:rPr>
        <w:rStyle w:val="72"/>
      </w:rPr>
    </w:pPr>
    <w:r>
      <w:fldChar w:fldCharType="begin"/>
    </w:r>
    <w:r>
      <w:rPr>
        <w:rStyle w:val="72"/>
      </w:rPr>
      <w:instrText xml:space="preserve">PAGE  </w:instrText>
    </w:r>
    <w:r>
      <w:fldChar w:fldCharType="end"/>
    </w:r>
  </w:p>
  <w:p w14:paraId="1387CA20">
    <w:pPr>
      <w:pStyle w:val="42"/>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C30C4B">
    <w:pPr>
      <w:pStyle w:val="42"/>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526" w:name="_Toc131845147"/>
    <w:bookmarkStart w:id="527" w:name="_Toc91899912"/>
    <w:bookmarkStart w:id="528" w:name="_Toc164085800"/>
    <w:bookmarkStart w:id="529" w:name="_Toc36110187"/>
    <w:r>
      <w:rPr>
        <w:rFonts w:hint="eastAsia" w:ascii="仿宋_GB2312" w:eastAsia="仿宋_GB2312"/>
        <w:kern w:val="0"/>
        <w:szCs w:val="21"/>
      </w:rPr>
      <w:t xml:space="preserve"> 页</w:t>
    </w:r>
    <w:bookmarkEnd w:id="526"/>
    <w:bookmarkEnd w:id="527"/>
    <w:bookmarkEnd w:id="528"/>
    <w:bookmarkEnd w:id="529"/>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8733B6">
    <w:pPr>
      <w:pStyle w:val="42"/>
      <w:framePr w:wrap="around" w:vAnchor="text" w:hAnchor="margin" w:xAlign="right" w:y="1"/>
      <w:rPr>
        <w:rStyle w:val="72"/>
      </w:rPr>
    </w:pPr>
    <w:r>
      <w:fldChar w:fldCharType="begin"/>
    </w:r>
    <w:r>
      <w:rPr>
        <w:rStyle w:val="72"/>
      </w:rPr>
      <w:instrText xml:space="preserve">PAGE  </w:instrText>
    </w:r>
    <w:r>
      <w:fldChar w:fldCharType="end"/>
    </w:r>
  </w:p>
  <w:p w14:paraId="4DD78BD5">
    <w:pPr>
      <w:pStyle w:val="4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7AAE41">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3DF764">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54488C72">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C24A7D">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48B07C1F">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C4582C">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5A777789">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D82DF8">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1E6843D6">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DCD48E">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9D3219B">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D9CFDE">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360852B0">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EEE2AC">
    <w:pPr>
      <w:pStyle w:val="43"/>
      <w:pBdr>
        <w:bottom w:val="single" w:color="auto" w:sz="6" w:space="4"/>
      </w:pBdr>
      <w:jc w:val="right"/>
    </w:pPr>
    <w:r>
      <w:t></w:t>
    </w:r>
    <w:r>
      <w:rPr>
        <w:rFonts w:hint="eastAsia"/>
      </w:rPr>
      <w:t xml:space="preserve"> 浙江省杭州生态环境监测中心</w:t>
    </w:r>
    <w:r>
      <w:t>公开招标文件</w:t>
    </w:r>
  </w:p>
  <w:p w14:paraId="237AC08B">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80DE79">
    <w:pPr>
      <w:pStyle w:val="43"/>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3FA424">
    <w:pPr>
      <w:pStyle w:val="43"/>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rFonts w:hint="eastAsia"/>
        <w:lang w:val="zh-CN"/>
      </w:rPr>
      <w:t>浙江省杭州生态环境监测中心</w:t>
    </w:r>
    <w:r>
      <w:rPr>
        <w:lang w:val="zh-CN"/>
      </w:rPr>
      <w:t>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5989D8">
    <w:pPr>
      <w:pStyle w:val="43"/>
      <w:rPr>
        <w:rFonts w:ascii="仿宋_GB2312" w:eastAsia="仿宋_GB2312"/>
        <w:b/>
        <w:i/>
        <w:u w:val="single"/>
      </w:rPr>
    </w:pPr>
    <w:r>
      <w:t></w:t>
    </w:r>
    <w:r>
      <w:rPr>
        <w:rFonts w:hint="eastAsia"/>
      </w:rPr>
      <w:t xml:space="preserve">                                                  </w:t>
    </w:r>
    <w:r>
      <w:t xml:space="preserve">   </w:t>
    </w:r>
    <w:r>
      <w:rPr>
        <w:rFonts w:hint="eastAsia"/>
      </w:rPr>
      <w:t xml:space="preserve">    浙江省杭州生态环境监测中心</w:t>
    </w:r>
    <w:r>
      <w:t>公开招标文件</w:t>
    </w:r>
  </w:p>
  <w:p w14:paraId="7809EDF2">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BC3787">
    <w:pPr>
      <w:pStyle w:val="43"/>
    </w:pPr>
    <w:r>
      <w:t></w:t>
    </w:r>
    <w:r>
      <w:rPr>
        <w:rFonts w:hint="eastAsia"/>
      </w:rPr>
      <w:t xml:space="preserve">         </w:t>
    </w:r>
  </w:p>
  <w:p w14:paraId="07AAECD2">
    <w:pPr>
      <w:pStyle w:val="43"/>
    </w:pPr>
    <w:r>
      <w:rPr>
        <w:rFonts w:hint="eastAsia"/>
      </w:rPr>
      <w:t xml:space="preserve">                                                              浙江省杭州生态环境监测中心</w:t>
    </w:r>
    <w:r>
      <w:t>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0D5104">
    <w:pPr>
      <w:pStyle w:val="43"/>
      <w:rPr>
        <w:rFonts w:ascii="仿宋_GB2312" w:eastAsia="仿宋_GB2312"/>
        <w:b/>
        <w:i/>
        <w:u w:val="single"/>
      </w:rPr>
    </w:pPr>
    <w:r>
      <w:t></w:t>
    </w:r>
    <w:r>
      <w:rPr>
        <w:rFonts w:hint="eastAsia"/>
      </w:rPr>
      <w:t xml:space="preserve">                                            浙江省杭州生态环境监测中心</w:t>
    </w:r>
    <w:r>
      <w:t>公开招标文件</w:t>
    </w:r>
  </w:p>
  <w:p w14:paraId="3EE9ED08">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7FDC46">
    <w:pPr>
      <w:pStyle w:val="43"/>
      <w:jc w:val="right"/>
    </w:pPr>
    <w:r>
      <w:t></w:t>
    </w:r>
    <w:r>
      <w:rPr>
        <w:rFonts w:hint="eastAsia"/>
      </w:rPr>
      <w:t xml:space="preserve">                 </w:t>
    </w:r>
    <w:r>
      <w:t xml:space="preserve">                                </w:t>
    </w:r>
    <w:r>
      <w:rPr>
        <w:rFonts w:hint="eastAsia"/>
      </w:rPr>
      <w:t xml:space="preserve">         浙江省杭州生态环境监测中心</w:t>
    </w:r>
    <w:r>
      <w:t>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8E6627">
    <w:pPr>
      <w:pStyle w:val="43"/>
      <w:jc w:val="right"/>
      <w:rPr>
        <w:rFonts w:ascii="仿宋_GB2312" w:eastAsia="仿宋_GB2312"/>
        <w:b/>
        <w:i/>
        <w:u w:val="single"/>
      </w:rPr>
    </w:pPr>
    <w:r>
      <w:rPr>
        <w:rFonts w:hint="eastAsia"/>
      </w:rPr>
      <w:t xml:space="preserve">                                 浙江省杭州生态环境监测中心</w:t>
    </w:r>
    <w:r>
      <w:t>公开招标文件</w:t>
    </w:r>
  </w:p>
  <w:p w14:paraId="72F1D057">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8A5009">
    <w:pPr>
      <w:pStyle w:val="43"/>
      <w:jc w:val="right"/>
    </w:pPr>
    <w:r>
      <w:rPr>
        <w:rFonts w:hint="eastAsia"/>
      </w:rPr>
      <w:t xml:space="preserve">                                                                                                       浙江省杭州生态环境监测中心</w:t>
    </w:r>
    <w:r>
      <w:t>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2F6F46">
    <w:pPr>
      <w:pStyle w:val="43"/>
      <w:jc w:val="right"/>
      <w:rPr>
        <w:rFonts w:ascii="仿宋_GB2312" w:eastAsia="仿宋_GB2312"/>
        <w:b/>
        <w:i/>
        <w:iCs/>
        <w:u w:val="single"/>
      </w:rPr>
    </w:pPr>
    <w:r>
      <w:t></w:t>
    </w:r>
    <w:r>
      <w:rPr>
        <w:rFonts w:hint="eastAsia"/>
      </w:rPr>
      <w:t>浙江省杭州生态环境监测中心</w:t>
    </w:r>
    <w:r>
      <w:t>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E7EB9F"/>
    <w:multiLevelType w:val="singleLevel"/>
    <w:tmpl w:val="FDE7EB9F"/>
    <w:lvl w:ilvl="0" w:tentative="0">
      <w:start w:val="1"/>
      <w:numFmt w:val="decimal"/>
      <w:suff w:val="nothing"/>
      <w:lvlText w:val="%1）"/>
      <w:lvlJc w:val="left"/>
    </w:lvl>
  </w:abstractNum>
  <w:abstractNum w:abstractNumId="1">
    <w:nsid w:val="07722C3C"/>
    <w:multiLevelType w:val="singleLevel"/>
    <w:tmpl w:val="07722C3C"/>
    <w:lvl w:ilvl="0" w:tentative="0">
      <w:start w:val="1"/>
      <w:numFmt w:val="decimal"/>
      <w:suff w:val="nothing"/>
      <w:lvlText w:val="（%1）"/>
      <w:lvlJc w:val="left"/>
    </w:lvl>
  </w:abstractNum>
  <w:abstractNum w:abstractNumId="2">
    <w:nsid w:val="41892D21"/>
    <w:multiLevelType w:val="singleLevel"/>
    <w:tmpl w:val="41892D21"/>
    <w:lvl w:ilvl="0" w:tentative="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I1MzRhMDFkZWU4ZGJiNmQ5YzU0Nzg0NDRkMTNjNGU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0DB"/>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228"/>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8F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718"/>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5C44"/>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97C"/>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55F"/>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53EB"/>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2C53"/>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C87"/>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0E5"/>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583"/>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5F5"/>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02"/>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2D9"/>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D08D6"/>
    <w:rsid w:val="04AD5FA9"/>
    <w:rsid w:val="04AF1889"/>
    <w:rsid w:val="04F66F48"/>
    <w:rsid w:val="05251E14"/>
    <w:rsid w:val="05576B4E"/>
    <w:rsid w:val="056E4F9C"/>
    <w:rsid w:val="05A16594"/>
    <w:rsid w:val="05A7762D"/>
    <w:rsid w:val="05D9472B"/>
    <w:rsid w:val="060E5941"/>
    <w:rsid w:val="06110FAF"/>
    <w:rsid w:val="06493CA7"/>
    <w:rsid w:val="065A6178"/>
    <w:rsid w:val="066F1CF3"/>
    <w:rsid w:val="06912828"/>
    <w:rsid w:val="06930BB8"/>
    <w:rsid w:val="07245D42"/>
    <w:rsid w:val="07264C62"/>
    <w:rsid w:val="0779354C"/>
    <w:rsid w:val="077D74C4"/>
    <w:rsid w:val="07BE7084"/>
    <w:rsid w:val="07EB15C4"/>
    <w:rsid w:val="08061376"/>
    <w:rsid w:val="08274E21"/>
    <w:rsid w:val="08452D77"/>
    <w:rsid w:val="086401F8"/>
    <w:rsid w:val="08751CAA"/>
    <w:rsid w:val="087E4C40"/>
    <w:rsid w:val="08A871D0"/>
    <w:rsid w:val="08AE681E"/>
    <w:rsid w:val="08D66AD6"/>
    <w:rsid w:val="08DA33A3"/>
    <w:rsid w:val="08E80F13"/>
    <w:rsid w:val="09335624"/>
    <w:rsid w:val="0944690F"/>
    <w:rsid w:val="09535675"/>
    <w:rsid w:val="095F057D"/>
    <w:rsid w:val="09642282"/>
    <w:rsid w:val="09733572"/>
    <w:rsid w:val="09772C16"/>
    <w:rsid w:val="098353B5"/>
    <w:rsid w:val="099B24C0"/>
    <w:rsid w:val="09A92330"/>
    <w:rsid w:val="09B06B87"/>
    <w:rsid w:val="09C13146"/>
    <w:rsid w:val="09E04166"/>
    <w:rsid w:val="0A1C0718"/>
    <w:rsid w:val="0A3E7710"/>
    <w:rsid w:val="0A4E70E3"/>
    <w:rsid w:val="0A5B7E63"/>
    <w:rsid w:val="0AA374A5"/>
    <w:rsid w:val="0AAB7649"/>
    <w:rsid w:val="0AB95133"/>
    <w:rsid w:val="0ABC5606"/>
    <w:rsid w:val="0B30404E"/>
    <w:rsid w:val="0B4C6C14"/>
    <w:rsid w:val="0B547599"/>
    <w:rsid w:val="0B631A88"/>
    <w:rsid w:val="0B683D45"/>
    <w:rsid w:val="0B7F3F11"/>
    <w:rsid w:val="0B884417"/>
    <w:rsid w:val="0BC94431"/>
    <w:rsid w:val="0BF6188C"/>
    <w:rsid w:val="0BF73C91"/>
    <w:rsid w:val="0C082F01"/>
    <w:rsid w:val="0C0B2894"/>
    <w:rsid w:val="0C170175"/>
    <w:rsid w:val="0C571A41"/>
    <w:rsid w:val="0C5C1171"/>
    <w:rsid w:val="0C5E1CBC"/>
    <w:rsid w:val="0C615B50"/>
    <w:rsid w:val="0C8445DA"/>
    <w:rsid w:val="0C87121B"/>
    <w:rsid w:val="0CB961F9"/>
    <w:rsid w:val="0CC007F7"/>
    <w:rsid w:val="0CC617AC"/>
    <w:rsid w:val="0CE618DF"/>
    <w:rsid w:val="0CFE707A"/>
    <w:rsid w:val="0D063BDA"/>
    <w:rsid w:val="0D08375F"/>
    <w:rsid w:val="0D184CFB"/>
    <w:rsid w:val="0D4A7419"/>
    <w:rsid w:val="0D827401"/>
    <w:rsid w:val="0D84094E"/>
    <w:rsid w:val="0D8A00E9"/>
    <w:rsid w:val="0D8D589E"/>
    <w:rsid w:val="0D965E01"/>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0FD7617F"/>
    <w:rsid w:val="105D0DE5"/>
    <w:rsid w:val="10646583"/>
    <w:rsid w:val="107D4B15"/>
    <w:rsid w:val="108A3C80"/>
    <w:rsid w:val="10C26171"/>
    <w:rsid w:val="10F33360"/>
    <w:rsid w:val="10FC16EA"/>
    <w:rsid w:val="110F1D40"/>
    <w:rsid w:val="11266F33"/>
    <w:rsid w:val="118963A1"/>
    <w:rsid w:val="11C6522A"/>
    <w:rsid w:val="11DA4F25"/>
    <w:rsid w:val="11E104CC"/>
    <w:rsid w:val="11E20309"/>
    <w:rsid w:val="12255233"/>
    <w:rsid w:val="123F4E42"/>
    <w:rsid w:val="12530213"/>
    <w:rsid w:val="127723A9"/>
    <w:rsid w:val="12862074"/>
    <w:rsid w:val="12883966"/>
    <w:rsid w:val="129E45B4"/>
    <w:rsid w:val="12D81596"/>
    <w:rsid w:val="13072A44"/>
    <w:rsid w:val="135F4BE2"/>
    <w:rsid w:val="139B1A0A"/>
    <w:rsid w:val="139D25C7"/>
    <w:rsid w:val="13BF3CE4"/>
    <w:rsid w:val="13BF5BF2"/>
    <w:rsid w:val="13CE750E"/>
    <w:rsid w:val="13ED5A02"/>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D349C1"/>
    <w:rsid w:val="17F94FDA"/>
    <w:rsid w:val="1830729E"/>
    <w:rsid w:val="1870062C"/>
    <w:rsid w:val="18817102"/>
    <w:rsid w:val="18830A15"/>
    <w:rsid w:val="18852B28"/>
    <w:rsid w:val="188B5321"/>
    <w:rsid w:val="18D45952"/>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CD83537"/>
    <w:rsid w:val="1D266CE1"/>
    <w:rsid w:val="1D3963AF"/>
    <w:rsid w:val="1D6A673C"/>
    <w:rsid w:val="1D9247AE"/>
    <w:rsid w:val="1DA633ED"/>
    <w:rsid w:val="1DB567EC"/>
    <w:rsid w:val="1DF51A98"/>
    <w:rsid w:val="1E3D060F"/>
    <w:rsid w:val="1E3F7D2E"/>
    <w:rsid w:val="1E4134E4"/>
    <w:rsid w:val="1E5062B3"/>
    <w:rsid w:val="1E523514"/>
    <w:rsid w:val="1E714A66"/>
    <w:rsid w:val="1E802593"/>
    <w:rsid w:val="1E8B6156"/>
    <w:rsid w:val="1EA703CC"/>
    <w:rsid w:val="1EB7330C"/>
    <w:rsid w:val="1F0A0FF3"/>
    <w:rsid w:val="1F5771FF"/>
    <w:rsid w:val="1FD52DD5"/>
    <w:rsid w:val="1FE868A9"/>
    <w:rsid w:val="1FEA15B7"/>
    <w:rsid w:val="20034907"/>
    <w:rsid w:val="20173E4B"/>
    <w:rsid w:val="204E48BC"/>
    <w:rsid w:val="208921B3"/>
    <w:rsid w:val="20973DEB"/>
    <w:rsid w:val="20B26522"/>
    <w:rsid w:val="20B44310"/>
    <w:rsid w:val="211116EB"/>
    <w:rsid w:val="216133FC"/>
    <w:rsid w:val="218B707C"/>
    <w:rsid w:val="21D56769"/>
    <w:rsid w:val="21E52EF3"/>
    <w:rsid w:val="21FB5D7B"/>
    <w:rsid w:val="22015E94"/>
    <w:rsid w:val="220B1C3D"/>
    <w:rsid w:val="221D1D20"/>
    <w:rsid w:val="22334A87"/>
    <w:rsid w:val="226D06CE"/>
    <w:rsid w:val="22BE6801"/>
    <w:rsid w:val="233500BF"/>
    <w:rsid w:val="23377FF7"/>
    <w:rsid w:val="236B425F"/>
    <w:rsid w:val="23836192"/>
    <w:rsid w:val="23901F29"/>
    <w:rsid w:val="239C0061"/>
    <w:rsid w:val="23B908A4"/>
    <w:rsid w:val="23BC65C9"/>
    <w:rsid w:val="23E95BEF"/>
    <w:rsid w:val="23FD0064"/>
    <w:rsid w:val="24405E09"/>
    <w:rsid w:val="245375B0"/>
    <w:rsid w:val="24642C0A"/>
    <w:rsid w:val="24B22173"/>
    <w:rsid w:val="24B95AD9"/>
    <w:rsid w:val="24BE24DA"/>
    <w:rsid w:val="24CF5825"/>
    <w:rsid w:val="24D663E6"/>
    <w:rsid w:val="24D77F2B"/>
    <w:rsid w:val="25154913"/>
    <w:rsid w:val="252E43BF"/>
    <w:rsid w:val="253022B0"/>
    <w:rsid w:val="258B00E2"/>
    <w:rsid w:val="258B0A70"/>
    <w:rsid w:val="25A917A6"/>
    <w:rsid w:val="25BE27CC"/>
    <w:rsid w:val="25F74A5C"/>
    <w:rsid w:val="25F8629E"/>
    <w:rsid w:val="2628662C"/>
    <w:rsid w:val="262D45DE"/>
    <w:rsid w:val="26793695"/>
    <w:rsid w:val="26871DC8"/>
    <w:rsid w:val="269129F1"/>
    <w:rsid w:val="26A53EF9"/>
    <w:rsid w:val="26A94201"/>
    <w:rsid w:val="26AC274F"/>
    <w:rsid w:val="27044A29"/>
    <w:rsid w:val="271D34C8"/>
    <w:rsid w:val="276142BF"/>
    <w:rsid w:val="27783712"/>
    <w:rsid w:val="27907362"/>
    <w:rsid w:val="28333E1D"/>
    <w:rsid w:val="28454BD6"/>
    <w:rsid w:val="28455253"/>
    <w:rsid w:val="28551971"/>
    <w:rsid w:val="285B1C53"/>
    <w:rsid w:val="288051AE"/>
    <w:rsid w:val="289F7086"/>
    <w:rsid w:val="28C32028"/>
    <w:rsid w:val="28CC490F"/>
    <w:rsid w:val="28DE40AA"/>
    <w:rsid w:val="29345E77"/>
    <w:rsid w:val="29410E17"/>
    <w:rsid w:val="294C65AD"/>
    <w:rsid w:val="29806583"/>
    <w:rsid w:val="298B3C4C"/>
    <w:rsid w:val="29C030C8"/>
    <w:rsid w:val="29F26D24"/>
    <w:rsid w:val="2A15033F"/>
    <w:rsid w:val="2A1662C1"/>
    <w:rsid w:val="2A1C7367"/>
    <w:rsid w:val="2A2815FA"/>
    <w:rsid w:val="2A4E6962"/>
    <w:rsid w:val="2A6D6092"/>
    <w:rsid w:val="2A7D76B4"/>
    <w:rsid w:val="2B1C580A"/>
    <w:rsid w:val="2B437463"/>
    <w:rsid w:val="2B590E32"/>
    <w:rsid w:val="2B7807EE"/>
    <w:rsid w:val="2BA50BF7"/>
    <w:rsid w:val="2BBF00EC"/>
    <w:rsid w:val="2BC37CFD"/>
    <w:rsid w:val="2BD5237F"/>
    <w:rsid w:val="2BE536CE"/>
    <w:rsid w:val="2BE758D9"/>
    <w:rsid w:val="2C09049E"/>
    <w:rsid w:val="2C0A653C"/>
    <w:rsid w:val="2C191F85"/>
    <w:rsid w:val="2CE82D6F"/>
    <w:rsid w:val="2D343236"/>
    <w:rsid w:val="2DD15014"/>
    <w:rsid w:val="2DF72DE4"/>
    <w:rsid w:val="2E0220AF"/>
    <w:rsid w:val="2E1151D1"/>
    <w:rsid w:val="2E1F13C7"/>
    <w:rsid w:val="2E4B082A"/>
    <w:rsid w:val="2E5B31F7"/>
    <w:rsid w:val="2E5D4E86"/>
    <w:rsid w:val="2E5D790B"/>
    <w:rsid w:val="2E9A3C18"/>
    <w:rsid w:val="2EBB0FEE"/>
    <w:rsid w:val="2EC63002"/>
    <w:rsid w:val="2F0A6B38"/>
    <w:rsid w:val="2F6C2B6C"/>
    <w:rsid w:val="2F946CCB"/>
    <w:rsid w:val="2FC84AE8"/>
    <w:rsid w:val="2FD25781"/>
    <w:rsid w:val="2FDC745C"/>
    <w:rsid w:val="2FFD7934"/>
    <w:rsid w:val="30733ACD"/>
    <w:rsid w:val="308C3862"/>
    <w:rsid w:val="309379D8"/>
    <w:rsid w:val="30A270F7"/>
    <w:rsid w:val="30C31F80"/>
    <w:rsid w:val="30DF1478"/>
    <w:rsid w:val="30EC586F"/>
    <w:rsid w:val="310402C4"/>
    <w:rsid w:val="314550B7"/>
    <w:rsid w:val="319C6071"/>
    <w:rsid w:val="31AC537E"/>
    <w:rsid w:val="31E3679B"/>
    <w:rsid w:val="31E732FD"/>
    <w:rsid w:val="32517576"/>
    <w:rsid w:val="32BE5C2C"/>
    <w:rsid w:val="32FB6478"/>
    <w:rsid w:val="33263B3F"/>
    <w:rsid w:val="336963EB"/>
    <w:rsid w:val="33816EEB"/>
    <w:rsid w:val="33EB55CD"/>
    <w:rsid w:val="33EC4C02"/>
    <w:rsid w:val="33F0473A"/>
    <w:rsid w:val="340D2360"/>
    <w:rsid w:val="3410665D"/>
    <w:rsid w:val="34140F53"/>
    <w:rsid w:val="341E1D1F"/>
    <w:rsid w:val="34211214"/>
    <w:rsid w:val="342E63AB"/>
    <w:rsid w:val="34441E05"/>
    <w:rsid w:val="34950E68"/>
    <w:rsid w:val="34986E94"/>
    <w:rsid w:val="34AF62C9"/>
    <w:rsid w:val="34CB4388"/>
    <w:rsid w:val="34FA6E12"/>
    <w:rsid w:val="34FD7B87"/>
    <w:rsid w:val="354D7158"/>
    <w:rsid w:val="358D5588"/>
    <w:rsid w:val="35C336D9"/>
    <w:rsid w:val="35FC6014"/>
    <w:rsid w:val="360A392E"/>
    <w:rsid w:val="362F1FC2"/>
    <w:rsid w:val="363A3B40"/>
    <w:rsid w:val="365302AE"/>
    <w:rsid w:val="36607A0A"/>
    <w:rsid w:val="366E227C"/>
    <w:rsid w:val="366F2E0D"/>
    <w:rsid w:val="367B6A5C"/>
    <w:rsid w:val="36A74ADA"/>
    <w:rsid w:val="36AD60D5"/>
    <w:rsid w:val="36B224F9"/>
    <w:rsid w:val="36EC0CC9"/>
    <w:rsid w:val="373F410B"/>
    <w:rsid w:val="37B3452D"/>
    <w:rsid w:val="37EE7094"/>
    <w:rsid w:val="38296C89"/>
    <w:rsid w:val="383002EB"/>
    <w:rsid w:val="38586797"/>
    <w:rsid w:val="38BC0149"/>
    <w:rsid w:val="38D87D1C"/>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A51C4F"/>
    <w:rsid w:val="3CCE23CB"/>
    <w:rsid w:val="3CD02C70"/>
    <w:rsid w:val="3CD17D17"/>
    <w:rsid w:val="3D204412"/>
    <w:rsid w:val="3D3C7F39"/>
    <w:rsid w:val="3D440F09"/>
    <w:rsid w:val="3D4504A0"/>
    <w:rsid w:val="3D8734BB"/>
    <w:rsid w:val="3D9A11D4"/>
    <w:rsid w:val="3D9C4A3C"/>
    <w:rsid w:val="3DA16D89"/>
    <w:rsid w:val="3DA364BE"/>
    <w:rsid w:val="3DDE3790"/>
    <w:rsid w:val="3DE00F04"/>
    <w:rsid w:val="3DE041CB"/>
    <w:rsid w:val="3DEB4FC4"/>
    <w:rsid w:val="3E0C4997"/>
    <w:rsid w:val="3E0D48F6"/>
    <w:rsid w:val="3E1868B4"/>
    <w:rsid w:val="3E377251"/>
    <w:rsid w:val="3E42664B"/>
    <w:rsid w:val="3E5A7334"/>
    <w:rsid w:val="3E7B5D6B"/>
    <w:rsid w:val="3E843E66"/>
    <w:rsid w:val="3E8F51FE"/>
    <w:rsid w:val="3E926F87"/>
    <w:rsid w:val="3E9A59DE"/>
    <w:rsid w:val="3EA5765F"/>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D01505"/>
    <w:rsid w:val="42474939"/>
    <w:rsid w:val="424C3C57"/>
    <w:rsid w:val="42613FF3"/>
    <w:rsid w:val="42660D96"/>
    <w:rsid w:val="42795AF5"/>
    <w:rsid w:val="428667D2"/>
    <w:rsid w:val="42991672"/>
    <w:rsid w:val="42CD1CE0"/>
    <w:rsid w:val="42E1381E"/>
    <w:rsid w:val="42EB5DDF"/>
    <w:rsid w:val="42ED6459"/>
    <w:rsid w:val="42FE58DD"/>
    <w:rsid w:val="43174B3D"/>
    <w:rsid w:val="434B790E"/>
    <w:rsid w:val="4360274F"/>
    <w:rsid w:val="43977AB6"/>
    <w:rsid w:val="43A3342B"/>
    <w:rsid w:val="43C77C27"/>
    <w:rsid w:val="43DE09EE"/>
    <w:rsid w:val="43ED6D2E"/>
    <w:rsid w:val="43F91C1B"/>
    <w:rsid w:val="44002FAD"/>
    <w:rsid w:val="449101DD"/>
    <w:rsid w:val="44DE1391"/>
    <w:rsid w:val="451B225C"/>
    <w:rsid w:val="452410C9"/>
    <w:rsid w:val="45317DFB"/>
    <w:rsid w:val="456D3CE4"/>
    <w:rsid w:val="4579042C"/>
    <w:rsid w:val="457F0571"/>
    <w:rsid w:val="45851176"/>
    <w:rsid w:val="45C42E27"/>
    <w:rsid w:val="45C63B94"/>
    <w:rsid w:val="460E7DA5"/>
    <w:rsid w:val="46422483"/>
    <w:rsid w:val="4659254A"/>
    <w:rsid w:val="465B0637"/>
    <w:rsid w:val="465E3F0D"/>
    <w:rsid w:val="466A16E6"/>
    <w:rsid w:val="46893F2B"/>
    <w:rsid w:val="46C4686E"/>
    <w:rsid w:val="477B778F"/>
    <w:rsid w:val="478203EC"/>
    <w:rsid w:val="47B025FA"/>
    <w:rsid w:val="4809698F"/>
    <w:rsid w:val="4811697D"/>
    <w:rsid w:val="484A4A39"/>
    <w:rsid w:val="487A3E25"/>
    <w:rsid w:val="488B5503"/>
    <w:rsid w:val="48937E21"/>
    <w:rsid w:val="489A0361"/>
    <w:rsid w:val="48B466DB"/>
    <w:rsid w:val="48B94FF3"/>
    <w:rsid w:val="48E37AAB"/>
    <w:rsid w:val="48FD4B4C"/>
    <w:rsid w:val="490A68E0"/>
    <w:rsid w:val="491055FE"/>
    <w:rsid w:val="495F5B3E"/>
    <w:rsid w:val="496F77D7"/>
    <w:rsid w:val="497654FD"/>
    <w:rsid w:val="49B64211"/>
    <w:rsid w:val="49E56AF9"/>
    <w:rsid w:val="49F6167F"/>
    <w:rsid w:val="4A064FA0"/>
    <w:rsid w:val="4A16615C"/>
    <w:rsid w:val="4A4424D7"/>
    <w:rsid w:val="4A4F576F"/>
    <w:rsid w:val="4AB82D0F"/>
    <w:rsid w:val="4AEB7664"/>
    <w:rsid w:val="4AFD7C19"/>
    <w:rsid w:val="4B0567D1"/>
    <w:rsid w:val="4B236AAE"/>
    <w:rsid w:val="4B65492A"/>
    <w:rsid w:val="4B707271"/>
    <w:rsid w:val="4B9739F7"/>
    <w:rsid w:val="4BEE2503"/>
    <w:rsid w:val="4C245A30"/>
    <w:rsid w:val="4C26371E"/>
    <w:rsid w:val="4C4A0A4C"/>
    <w:rsid w:val="4CB6685F"/>
    <w:rsid w:val="4CC367FE"/>
    <w:rsid w:val="4D077F3C"/>
    <w:rsid w:val="4D123355"/>
    <w:rsid w:val="4D270648"/>
    <w:rsid w:val="4D2A3B31"/>
    <w:rsid w:val="4D312C52"/>
    <w:rsid w:val="4D681029"/>
    <w:rsid w:val="4D905305"/>
    <w:rsid w:val="4D964A72"/>
    <w:rsid w:val="4D9C1254"/>
    <w:rsid w:val="4DD65E14"/>
    <w:rsid w:val="4E730A5A"/>
    <w:rsid w:val="4E793892"/>
    <w:rsid w:val="4E800872"/>
    <w:rsid w:val="4EC569ED"/>
    <w:rsid w:val="4ED50EA1"/>
    <w:rsid w:val="4EEC050C"/>
    <w:rsid w:val="4F104EC3"/>
    <w:rsid w:val="4F47354A"/>
    <w:rsid w:val="4F6D4A83"/>
    <w:rsid w:val="4F911C54"/>
    <w:rsid w:val="4FBA4244"/>
    <w:rsid w:val="4FE625E0"/>
    <w:rsid w:val="5021480F"/>
    <w:rsid w:val="50962ECB"/>
    <w:rsid w:val="50A42E38"/>
    <w:rsid w:val="50A4577F"/>
    <w:rsid w:val="50B73D1F"/>
    <w:rsid w:val="50BD5BC9"/>
    <w:rsid w:val="50C11EEE"/>
    <w:rsid w:val="50E97CFC"/>
    <w:rsid w:val="50FA4028"/>
    <w:rsid w:val="510D65B7"/>
    <w:rsid w:val="511157AB"/>
    <w:rsid w:val="51132424"/>
    <w:rsid w:val="51366CC3"/>
    <w:rsid w:val="5142540C"/>
    <w:rsid w:val="518832C8"/>
    <w:rsid w:val="519D3C50"/>
    <w:rsid w:val="51A0432A"/>
    <w:rsid w:val="51A86090"/>
    <w:rsid w:val="51B7396D"/>
    <w:rsid w:val="51C53145"/>
    <w:rsid w:val="522E4CC3"/>
    <w:rsid w:val="5244713B"/>
    <w:rsid w:val="52615633"/>
    <w:rsid w:val="526F4DE4"/>
    <w:rsid w:val="52977FD4"/>
    <w:rsid w:val="52A25790"/>
    <w:rsid w:val="52A96B6F"/>
    <w:rsid w:val="52B45975"/>
    <w:rsid w:val="52CA29FF"/>
    <w:rsid w:val="52D94AA4"/>
    <w:rsid w:val="52EA3A62"/>
    <w:rsid w:val="52F50BB8"/>
    <w:rsid w:val="53097272"/>
    <w:rsid w:val="53544462"/>
    <w:rsid w:val="5373753A"/>
    <w:rsid w:val="5397158E"/>
    <w:rsid w:val="539E5E24"/>
    <w:rsid w:val="54013861"/>
    <w:rsid w:val="54136627"/>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B65CF8"/>
    <w:rsid w:val="55DC29B6"/>
    <w:rsid w:val="55DD4241"/>
    <w:rsid w:val="563621C2"/>
    <w:rsid w:val="566B6D1E"/>
    <w:rsid w:val="57032A2C"/>
    <w:rsid w:val="570F5219"/>
    <w:rsid w:val="575C79B8"/>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AA0910"/>
    <w:rsid w:val="59F80043"/>
    <w:rsid w:val="5A09252F"/>
    <w:rsid w:val="5A0B2778"/>
    <w:rsid w:val="5A2A7C7B"/>
    <w:rsid w:val="5A3E2560"/>
    <w:rsid w:val="5A5D3B6E"/>
    <w:rsid w:val="5A637A76"/>
    <w:rsid w:val="5A6D33BA"/>
    <w:rsid w:val="5A792B1F"/>
    <w:rsid w:val="5A874767"/>
    <w:rsid w:val="5AA85BE2"/>
    <w:rsid w:val="5AAD6F28"/>
    <w:rsid w:val="5AD63A24"/>
    <w:rsid w:val="5B2E1A1D"/>
    <w:rsid w:val="5B6563DF"/>
    <w:rsid w:val="5B843A1C"/>
    <w:rsid w:val="5B8735CB"/>
    <w:rsid w:val="5B873E3F"/>
    <w:rsid w:val="5BCD2560"/>
    <w:rsid w:val="5BD26DC8"/>
    <w:rsid w:val="5C02690E"/>
    <w:rsid w:val="5C196DA7"/>
    <w:rsid w:val="5C2A048C"/>
    <w:rsid w:val="5C80234E"/>
    <w:rsid w:val="5C8A680C"/>
    <w:rsid w:val="5CF35D1E"/>
    <w:rsid w:val="5D0C4701"/>
    <w:rsid w:val="5D0F0395"/>
    <w:rsid w:val="5D221076"/>
    <w:rsid w:val="5D397964"/>
    <w:rsid w:val="5D5A391C"/>
    <w:rsid w:val="5D5F10C0"/>
    <w:rsid w:val="5D7F0FB0"/>
    <w:rsid w:val="5D891B7B"/>
    <w:rsid w:val="5DAB5B22"/>
    <w:rsid w:val="5DAD38EE"/>
    <w:rsid w:val="5E006862"/>
    <w:rsid w:val="5E0207B9"/>
    <w:rsid w:val="5E090213"/>
    <w:rsid w:val="5E1834A1"/>
    <w:rsid w:val="5E261785"/>
    <w:rsid w:val="5E4A7017"/>
    <w:rsid w:val="5E552BBA"/>
    <w:rsid w:val="5E611C10"/>
    <w:rsid w:val="5E7A0F3F"/>
    <w:rsid w:val="5EFC7377"/>
    <w:rsid w:val="5F06174D"/>
    <w:rsid w:val="5F3A3602"/>
    <w:rsid w:val="5F45733B"/>
    <w:rsid w:val="5F6277C6"/>
    <w:rsid w:val="5F6D0B1D"/>
    <w:rsid w:val="5F8D0B82"/>
    <w:rsid w:val="5FBB49AD"/>
    <w:rsid w:val="5FCC5339"/>
    <w:rsid w:val="5FE34A5B"/>
    <w:rsid w:val="5FFE1E36"/>
    <w:rsid w:val="60232584"/>
    <w:rsid w:val="607330CE"/>
    <w:rsid w:val="60825176"/>
    <w:rsid w:val="609F2AC4"/>
    <w:rsid w:val="60FA2EE8"/>
    <w:rsid w:val="60FC0DF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627732"/>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6D28E3"/>
    <w:rsid w:val="668B6A45"/>
    <w:rsid w:val="67011F07"/>
    <w:rsid w:val="672F3F24"/>
    <w:rsid w:val="673E055F"/>
    <w:rsid w:val="67551CE3"/>
    <w:rsid w:val="67A22552"/>
    <w:rsid w:val="67B22DCC"/>
    <w:rsid w:val="67BE71AA"/>
    <w:rsid w:val="67D90273"/>
    <w:rsid w:val="67DE5875"/>
    <w:rsid w:val="67E55852"/>
    <w:rsid w:val="67EB1AB4"/>
    <w:rsid w:val="67FA1285"/>
    <w:rsid w:val="68373FF1"/>
    <w:rsid w:val="68551F4F"/>
    <w:rsid w:val="68694903"/>
    <w:rsid w:val="687C10C9"/>
    <w:rsid w:val="68840C16"/>
    <w:rsid w:val="68872541"/>
    <w:rsid w:val="68876EFB"/>
    <w:rsid w:val="68884654"/>
    <w:rsid w:val="689F444F"/>
    <w:rsid w:val="68B96DBB"/>
    <w:rsid w:val="68CA2805"/>
    <w:rsid w:val="68E937A3"/>
    <w:rsid w:val="68EA5E9D"/>
    <w:rsid w:val="690E57AB"/>
    <w:rsid w:val="691664E5"/>
    <w:rsid w:val="693E15D3"/>
    <w:rsid w:val="69627681"/>
    <w:rsid w:val="6977531D"/>
    <w:rsid w:val="69CC2BFF"/>
    <w:rsid w:val="69FD55B8"/>
    <w:rsid w:val="6A0B1C62"/>
    <w:rsid w:val="6A2406C8"/>
    <w:rsid w:val="6A885221"/>
    <w:rsid w:val="6ADE0BD1"/>
    <w:rsid w:val="6AE96859"/>
    <w:rsid w:val="6B147746"/>
    <w:rsid w:val="6B24787C"/>
    <w:rsid w:val="6B573233"/>
    <w:rsid w:val="6B5B6274"/>
    <w:rsid w:val="6B935D53"/>
    <w:rsid w:val="6BB9765C"/>
    <w:rsid w:val="6C196F71"/>
    <w:rsid w:val="6C226FCB"/>
    <w:rsid w:val="6C31226F"/>
    <w:rsid w:val="6C380D31"/>
    <w:rsid w:val="6C552F0B"/>
    <w:rsid w:val="6C8C67B7"/>
    <w:rsid w:val="6C9048E4"/>
    <w:rsid w:val="6C9D744C"/>
    <w:rsid w:val="6CB2342F"/>
    <w:rsid w:val="6D167928"/>
    <w:rsid w:val="6D26299B"/>
    <w:rsid w:val="6D4772EC"/>
    <w:rsid w:val="6D9078AF"/>
    <w:rsid w:val="6DAA3FEF"/>
    <w:rsid w:val="6DC0172B"/>
    <w:rsid w:val="6DCB690C"/>
    <w:rsid w:val="6DD41A5B"/>
    <w:rsid w:val="6DDE2AF4"/>
    <w:rsid w:val="6DF43C2E"/>
    <w:rsid w:val="6DF51CA3"/>
    <w:rsid w:val="6E280467"/>
    <w:rsid w:val="6E8335BD"/>
    <w:rsid w:val="6E8E12EF"/>
    <w:rsid w:val="6E972936"/>
    <w:rsid w:val="6ED446C5"/>
    <w:rsid w:val="6F0B01CF"/>
    <w:rsid w:val="6F167F22"/>
    <w:rsid w:val="6F2A7D94"/>
    <w:rsid w:val="6F7E53A4"/>
    <w:rsid w:val="6F8331F1"/>
    <w:rsid w:val="6FAE1A09"/>
    <w:rsid w:val="6FD75BF8"/>
    <w:rsid w:val="704B4683"/>
    <w:rsid w:val="706A4DCB"/>
    <w:rsid w:val="707723D0"/>
    <w:rsid w:val="70F5661B"/>
    <w:rsid w:val="71360107"/>
    <w:rsid w:val="713B688E"/>
    <w:rsid w:val="71D43752"/>
    <w:rsid w:val="71EC1E40"/>
    <w:rsid w:val="71EF202A"/>
    <w:rsid w:val="71F1796A"/>
    <w:rsid w:val="72154626"/>
    <w:rsid w:val="72262B5D"/>
    <w:rsid w:val="72283FF7"/>
    <w:rsid w:val="722E7212"/>
    <w:rsid w:val="723A0474"/>
    <w:rsid w:val="725923E4"/>
    <w:rsid w:val="72864BF7"/>
    <w:rsid w:val="729023FC"/>
    <w:rsid w:val="732B01F9"/>
    <w:rsid w:val="73753C7F"/>
    <w:rsid w:val="73852D9B"/>
    <w:rsid w:val="73C0646E"/>
    <w:rsid w:val="73E7CF11"/>
    <w:rsid w:val="73EC4A73"/>
    <w:rsid w:val="742222F5"/>
    <w:rsid w:val="74476126"/>
    <w:rsid w:val="74706664"/>
    <w:rsid w:val="74762096"/>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6FD013A"/>
    <w:rsid w:val="77052AA4"/>
    <w:rsid w:val="77136511"/>
    <w:rsid w:val="77340A39"/>
    <w:rsid w:val="77351FD0"/>
    <w:rsid w:val="77472422"/>
    <w:rsid w:val="77653E89"/>
    <w:rsid w:val="777F31F2"/>
    <w:rsid w:val="77D1700D"/>
    <w:rsid w:val="77EC04CC"/>
    <w:rsid w:val="7820319C"/>
    <w:rsid w:val="78775729"/>
    <w:rsid w:val="78882890"/>
    <w:rsid w:val="78A42DB0"/>
    <w:rsid w:val="78A656AB"/>
    <w:rsid w:val="78B2245C"/>
    <w:rsid w:val="78E172CC"/>
    <w:rsid w:val="78EA1D1F"/>
    <w:rsid w:val="7904172F"/>
    <w:rsid w:val="790F7E27"/>
    <w:rsid w:val="792A231A"/>
    <w:rsid w:val="79316829"/>
    <w:rsid w:val="797E66A9"/>
    <w:rsid w:val="798357AC"/>
    <w:rsid w:val="798518A4"/>
    <w:rsid w:val="79A97383"/>
    <w:rsid w:val="79E27E8B"/>
    <w:rsid w:val="79F850CE"/>
    <w:rsid w:val="79FD443C"/>
    <w:rsid w:val="7A1D1975"/>
    <w:rsid w:val="7A356A48"/>
    <w:rsid w:val="7A3E5150"/>
    <w:rsid w:val="7A4670D6"/>
    <w:rsid w:val="7A534B63"/>
    <w:rsid w:val="7A615382"/>
    <w:rsid w:val="7A67303B"/>
    <w:rsid w:val="7A6A22A1"/>
    <w:rsid w:val="7A813A3B"/>
    <w:rsid w:val="7AAB1D04"/>
    <w:rsid w:val="7ABA4368"/>
    <w:rsid w:val="7AD05746"/>
    <w:rsid w:val="7AD27EBD"/>
    <w:rsid w:val="7AD868F2"/>
    <w:rsid w:val="7B257FFD"/>
    <w:rsid w:val="7B273D20"/>
    <w:rsid w:val="7B343476"/>
    <w:rsid w:val="7B5A2978"/>
    <w:rsid w:val="7B5A7E4C"/>
    <w:rsid w:val="7B667AF9"/>
    <w:rsid w:val="7B7468F8"/>
    <w:rsid w:val="7BA9702E"/>
    <w:rsid w:val="7BEE0103"/>
    <w:rsid w:val="7C0A0FE4"/>
    <w:rsid w:val="7C125825"/>
    <w:rsid w:val="7C166385"/>
    <w:rsid w:val="7C254906"/>
    <w:rsid w:val="7C590818"/>
    <w:rsid w:val="7C7C10F6"/>
    <w:rsid w:val="7C853BEA"/>
    <w:rsid w:val="7C881368"/>
    <w:rsid w:val="7CE27788"/>
    <w:rsid w:val="7D0C32F1"/>
    <w:rsid w:val="7D0F408D"/>
    <w:rsid w:val="7D491C6C"/>
    <w:rsid w:val="7D5429C0"/>
    <w:rsid w:val="7D6E6D43"/>
    <w:rsid w:val="7D733B0F"/>
    <w:rsid w:val="7DB57A34"/>
    <w:rsid w:val="7DE60973"/>
    <w:rsid w:val="7DE83CDC"/>
    <w:rsid w:val="7DEF0916"/>
    <w:rsid w:val="7E1E5218"/>
    <w:rsid w:val="7E6E7FBE"/>
    <w:rsid w:val="7E9A4E1F"/>
    <w:rsid w:val="7EA7723A"/>
    <w:rsid w:val="7EF56FBB"/>
    <w:rsid w:val="7F0768EB"/>
    <w:rsid w:val="7F143BEC"/>
    <w:rsid w:val="7F482A2E"/>
    <w:rsid w:val="7F715AF2"/>
    <w:rsid w:val="7F886E69"/>
    <w:rsid w:val="BB7FA927"/>
    <w:rsid w:val="F5FFD31F"/>
    <w:rsid w:val="F6FF69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3"/>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7"/>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430"/>
    <w:qFormat/>
    <w:uiPriority w:val="0"/>
    <w:pPr>
      <w:autoSpaceDE w:val="0"/>
      <w:autoSpaceDN w:val="0"/>
      <w:spacing w:line="360" w:lineRule="auto"/>
    </w:pPr>
    <w:rPr>
      <w:rFonts w:ascii="宋体" w:hAnsi="Arial" w:cs="Arial"/>
      <w:snapToGrid w:val="0"/>
      <w:sz w:val="24"/>
      <w:szCs w:val="21"/>
      <w:lang w:val="zh-CN"/>
    </w:rPr>
  </w:style>
  <w:style w:type="paragraph" w:styleId="6">
    <w:name w:val="Normal Indent"/>
    <w:basedOn w:val="1"/>
    <w:link w:val="193"/>
    <w:qFormat/>
    <w:uiPriority w:val="0"/>
    <w:pPr>
      <w:widowControl/>
      <w:snapToGrid w:val="0"/>
      <w:spacing w:line="480" w:lineRule="exact"/>
      <w:ind w:firstLine="567"/>
    </w:pPr>
    <w:rPr>
      <w:rFonts w:ascii="宋体"/>
      <w:snapToGrid w:val="0"/>
      <w:color w:val="000000"/>
      <w:kern w:val="28"/>
      <w:sz w:val="28"/>
      <w:szCs w:val="20"/>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caption"/>
    <w:basedOn w:val="1"/>
    <w:next w:val="1"/>
    <w:link w:val="229"/>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02"/>
    <w:qFormat/>
    <w:uiPriority w:val="0"/>
    <w:pPr>
      <w:shd w:val="clear" w:color="auto" w:fill="000080"/>
    </w:pPr>
  </w:style>
  <w:style w:type="paragraph" w:styleId="20">
    <w:name w:val="annotation text"/>
    <w:basedOn w:val="1"/>
    <w:link w:val="344"/>
    <w:qFormat/>
    <w:uiPriority w:val="99"/>
    <w:pPr>
      <w:jc w:val="left"/>
    </w:pPr>
  </w:style>
  <w:style w:type="paragraph" w:styleId="21">
    <w:name w:val="Salutation"/>
    <w:basedOn w:val="1"/>
    <w:next w:val="1"/>
    <w:link w:val="298"/>
    <w:qFormat/>
    <w:uiPriority w:val="0"/>
    <w:rPr>
      <w:rFonts w:ascii="仿宋_GB2312" w:eastAsia="仿宋_GB2312"/>
      <w:sz w:val="28"/>
      <w:szCs w:val="20"/>
    </w:rPr>
  </w:style>
  <w:style w:type="paragraph" w:styleId="22">
    <w:name w:val="Body Text 3"/>
    <w:basedOn w:val="1"/>
    <w:link w:val="330"/>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Indent"/>
    <w:basedOn w:val="1"/>
    <w:next w:val="25"/>
    <w:link w:val="265"/>
    <w:qFormat/>
    <w:uiPriority w:val="0"/>
    <w:pPr>
      <w:spacing w:line="480" w:lineRule="exact"/>
      <w:ind w:firstLine="480" w:firstLineChars="200"/>
    </w:pPr>
    <w:rPr>
      <w:rFonts w:ascii="宋体" w:hAnsi="宋体"/>
      <w:sz w:val="24"/>
    </w:rPr>
  </w:style>
  <w:style w:type="paragraph" w:styleId="25">
    <w:name w:val="Body Text First Indent 2"/>
    <w:basedOn w:val="24"/>
    <w:next w:val="26"/>
    <w:link w:val="121"/>
    <w:qFormat/>
    <w:uiPriority w:val="0"/>
    <w:pPr>
      <w:adjustRightInd/>
      <w:spacing w:after="120" w:line="240" w:lineRule="auto"/>
      <w:ind w:left="420" w:leftChars="200" w:firstLine="210"/>
    </w:pPr>
    <w:rPr>
      <w:sz w:val="21"/>
    </w:rPr>
  </w:style>
  <w:style w:type="paragraph" w:styleId="26">
    <w:name w:val="Body Text First Indent"/>
    <w:basedOn w:val="2"/>
    <w:next w:val="27"/>
    <w:link w:val="321"/>
    <w:qFormat/>
    <w:uiPriority w:val="0"/>
    <w:pPr>
      <w:ind w:firstLine="420"/>
    </w:pPr>
    <w:rPr>
      <w:rFonts w:hAnsi="Calibri" w:cs="Times New Roman"/>
      <w:snapToGrid/>
      <w:szCs w:val="20"/>
    </w:rPr>
  </w:style>
  <w:style w:type="paragraph" w:styleId="27">
    <w:name w:val="toc 6"/>
    <w:basedOn w:val="1"/>
    <w:next w:val="1"/>
    <w:qFormat/>
    <w:uiPriority w:val="0"/>
    <w:pPr>
      <w:ind w:left="2100" w:leftChars="1000"/>
    </w:pPr>
  </w:style>
  <w:style w:type="paragraph" w:styleId="28">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9">
    <w:name w:val="List 2"/>
    <w:basedOn w:val="1"/>
    <w:qFormat/>
    <w:uiPriority w:val="0"/>
    <w:pPr>
      <w:adjustRightInd/>
      <w:spacing w:line="360" w:lineRule="auto"/>
      <w:ind w:left="100" w:leftChars="200" w:hanging="200" w:hangingChars="200"/>
    </w:pPr>
    <w:rPr>
      <w:rFonts w:eastAsia="微软雅黑"/>
    </w:rPr>
  </w:style>
  <w:style w:type="paragraph" w:styleId="30">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219"/>
    <w:qFormat/>
    <w:uiPriority w:val="0"/>
    <w:pPr>
      <w:widowControl/>
      <w:adjustRightInd/>
      <w:ind w:firstLine="200" w:firstLineChars="200"/>
      <w:jc w:val="left"/>
    </w:pPr>
    <w:rPr>
      <w:rFonts w:ascii="宋体" w:hAnsi="宋体"/>
      <w:i/>
      <w:iCs/>
      <w:kern w:val="0"/>
      <w:sz w:val="24"/>
    </w:rPr>
  </w:style>
  <w:style w:type="paragraph" w:styleId="33">
    <w:name w:val="toc 5"/>
    <w:basedOn w:val="1"/>
    <w:next w:val="1"/>
    <w:qFormat/>
    <w:uiPriority w:val="0"/>
    <w:pPr>
      <w:ind w:left="1680" w:leftChars="800"/>
    </w:pPr>
  </w:style>
  <w:style w:type="paragraph" w:styleId="34">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link w:val="125"/>
    <w:qFormat/>
    <w:uiPriority w:val="0"/>
    <w:rPr>
      <w:rFonts w:ascii="宋体" w:hAnsi="Courier New" w:cs="Arial"/>
      <w:snapToGrid w:val="0"/>
      <w:szCs w:val="21"/>
    </w:rPr>
  </w:style>
  <w:style w:type="paragraph" w:styleId="36">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qFormat/>
    <w:uiPriority w:val="0"/>
    <w:pPr>
      <w:ind w:left="2940" w:leftChars="1400"/>
    </w:pPr>
  </w:style>
  <w:style w:type="paragraph" w:styleId="38">
    <w:name w:val="Date"/>
    <w:basedOn w:val="1"/>
    <w:next w:val="1"/>
    <w:link w:val="181"/>
    <w:qFormat/>
    <w:uiPriority w:val="0"/>
    <w:pPr>
      <w:ind w:left="100" w:leftChars="2500"/>
    </w:pPr>
    <w:rPr>
      <w:rFonts w:ascii="宋体"/>
      <w:sz w:val="24"/>
      <w:szCs w:val="21"/>
      <w:lang w:val="zh-CN"/>
    </w:rPr>
  </w:style>
  <w:style w:type="paragraph" w:styleId="39">
    <w:name w:val="Body Text Indent 2"/>
    <w:basedOn w:val="1"/>
    <w:link w:val="308"/>
    <w:qFormat/>
    <w:uiPriority w:val="0"/>
    <w:pPr>
      <w:spacing w:line="360" w:lineRule="auto"/>
      <w:ind w:firstLine="601"/>
      <w:textAlignment w:val="baseline"/>
    </w:pPr>
    <w:rPr>
      <w:rFonts w:ascii="宋体"/>
      <w:kern w:val="0"/>
      <w:sz w:val="28"/>
      <w:szCs w:val="20"/>
    </w:rPr>
  </w:style>
  <w:style w:type="paragraph" w:styleId="40">
    <w:name w:val="endnote text"/>
    <w:basedOn w:val="1"/>
    <w:link w:val="932"/>
    <w:qFormat/>
    <w:uiPriority w:val="0"/>
    <w:rPr>
      <w:lang w:val="zh-CN"/>
    </w:rPr>
  </w:style>
  <w:style w:type="paragraph" w:styleId="41">
    <w:name w:val="Balloon Text"/>
    <w:basedOn w:val="1"/>
    <w:link w:val="188"/>
    <w:qFormat/>
    <w:uiPriority w:val="0"/>
    <w:rPr>
      <w:sz w:val="18"/>
      <w:szCs w:val="18"/>
    </w:rPr>
  </w:style>
  <w:style w:type="paragraph" w:styleId="42">
    <w:name w:val="footer"/>
    <w:basedOn w:val="1"/>
    <w:link w:val="383"/>
    <w:qFormat/>
    <w:uiPriority w:val="99"/>
    <w:pPr>
      <w:tabs>
        <w:tab w:val="center" w:pos="4153"/>
        <w:tab w:val="right" w:pos="8306"/>
      </w:tabs>
      <w:snapToGrid w:val="0"/>
      <w:jc w:val="left"/>
    </w:pPr>
    <w:rPr>
      <w:sz w:val="18"/>
      <w:szCs w:val="18"/>
    </w:rPr>
  </w:style>
  <w:style w:type="paragraph" w:styleId="43">
    <w:name w:val="header"/>
    <w:basedOn w:val="1"/>
    <w:link w:val="392"/>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345"/>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qFormat/>
    <w:uiPriority w:val="0"/>
  </w:style>
  <w:style w:type="paragraph" w:styleId="46">
    <w:name w:val="toc 4"/>
    <w:basedOn w:val="1"/>
    <w:next w:val="1"/>
    <w:qFormat/>
    <w:uiPriority w:val="0"/>
    <w:pPr>
      <w:ind w:left="1260" w:leftChars="600"/>
    </w:pPr>
  </w:style>
  <w:style w:type="paragraph" w:styleId="47">
    <w:name w:val="index heading"/>
    <w:basedOn w:val="1"/>
    <w:next w:val="48"/>
    <w:qFormat/>
    <w:uiPriority w:val="0"/>
    <w:pPr>
      <w:adjustRightInd/>
      <w:ind w:firstLine="200" w:firstLineChars="200"/>
    </w:pPr>
  </w:style>
  <w:style w:type="paragraph" w:styleId="48">
    <w:name w:val="index 1"/>
    <w:basedOn w:val="1"/>
    <w:next w:val="1"/>
    <w:qFormat/>
    <w:uiPriority w:val="0"/>
    <w:pPr>
      <w:adjustRightInd/>
      <w:spacing w:line="360" w:lineRule="auto"/>
      <w:ind w:firstLine="200" w:firstLineChars="200"/>
      <w:jc w:val="center"/>
    </w:pPr>
    <w:rPr>
      <w:sz w:val="24"/>
      <w:szCs w:val="20"/>
    </w:rPr>
  </w:style>
  <w:style w:type="paragraph" w:styleId="49">
    <w:name w:val="Subtitle"/>
    <w:link w:val="13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qFormat/>
    <w:uiPriority w:val="0"/>
    <w:pPr>
      <w:tabs>
        <w:tab w:val="left" w:pos="902"/>
      </w:tabs>
      <w:adjustRightInd/>
      <w:spacing w:line="400" w:lineRule="exact"/>
      <w:ind w:left="902" w:hanging="420"/>
    </w:pPr>
    <w:rPr>
      <w:sz w:val="24"/>
      <w:szCs w:val="20"/>
    </w:rPr>
  </w:style>
  <w:style w:type="paragraph" w:styleId="51">
    <w:name w:val="List"/>
    <w:basedOn w:val="1"/>
    <w:qFormat/>
    <w:uiPriority w:val="0"/>
    <w:pPr>
      <w:ind w:left="200" w:hanging="200" w:hangingChars="200"/>
    </w:pPr>
  </w:style>
  <w:style w:type="paragraph" w:styleId="52">
    <w:name w:val="footnote text"/>
    <w:basedOn w:val="6"/>
    <w:link w:val="310"/>
    <w:qFormat/>
    <w:uiPriority w:val="0"/>
    <w:pPr>
      <w:adjustRightInd/>
      <w:snapToGrid/>
      <w:spacing w:before="60" w:after="60" w:line="300" w:lineRule="exact"/>
      <w:ind w:firstLine="0"/>
    </w:pPr>
    <w:rPr>
      <w:rFonts w:ascii="Calibri"/>
      <w:snapToGrid/>
      <w:color w:val="0000FF"/>
      <w:kern w:val="0"/>
      <w:sz w:val="21"/>
    </w:r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75"/>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302"/>
    <w:qFormat/>
    <w:uiPriority w:val="0"/>
    <w:pPr>
      <w:spacing w:after="120" w:line="480" w:lineRule="auto"/>
    </w:pPr>
  </w:style>
  <w:style w:type="paragraph" w:styleId="58">
    <w:name w:val="HTML Preformatted"/>
    <w:basedOn w:val="1"/>
    <w:link w:val="3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86"/>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20"/>
    <w:next w:val="20"/>
    <w:link w:val="96"/>
    <w:qFormat/>
    <w:uiPriority w:val="0"/>
    <w:rPr>
      <w:b/>
      <w:bCs/>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0">
    <w:name w:val="正文空2字"/>
    <w:basedOn w:val="81"/>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1">
    <w:name w:val="左对齐正文"/>
    <w:qFormat/>
    <w:uiPriority w:val="99"/>
    <w:rPr>
      <w:rFonts w:ascii="Calibri" w:hAnsi="Calibri" w:eastAsia="仿宋_GB2312" w:cs="Calibri"/>
      <w:kern w:val="2"/>
      <w:sz w:val="32"/>
      <w:szCs w:val="32"/>
      <w:lang w:val="en-US" w:eastAsia="zh-CN" w:bidi="ar-SA"/>
    </w:rPr>
  </w:style>
  <w:style w:type="character" w:customStyle="1" w:styleId="82">
    <w:name w:val="表格非标题文字 Char"/>
    <w:link w:val="83"/>
    <w:qFormat/>
    <w:uiPriority w:val="0"/>
    <w:rPr>
      <w:rFonts w:ascii="Futura Bk" w:hAnsi="Futura Bk"/>
      <w:kern w:val="2"/>
      <w:sz w:val="18"/>
      <w:szCs w:val="21"/>
      <w:lang w:val="en-US" w:eastAsia="zh-CN" w:bidi="ar-SA"/>
    </w:rPr>
  </w:style>
  <w:style w:type="paragraph" w:customStyle="1" w:styleId="83">
    <w:name w:val="表格非标题文字"/>
    <w:link w:val="82"/>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qFormat/>
    <w:locked/>
    <w:uiPriority w:val="0"/>
    <w:rPr>
      <w:rFonts w:ascii="宋体" w:hAnsi="宋体"/>
      <w:sz w:val="24"/>
    </w:rPr>
  </w:style>
  <w:style w:type="paragraph" w:customStyle="1" w:styleId="85">
    <w:name w:val="*正文"/>
    <w:basedOn w:val="1"/>
    <w:link w:val="84"/>
    <w:qFormat/>
    <w:uiPriority w:val="0"/>
    <w:pPr>
      <w:snapToGrid w:val="0"/>
      <w:spacing w:line="360" w:lineRule="auto"/>
      <w:ind w:firstLine="482"/>
      <w:jc w:val="left"/>
    </w:pPr>
    <w:rPr>
      <w:rFonts w:ascii="宋体" w:hAnsi="宋体"/>
      <w:kern w:val="0"/>
      <w:sz w:val="24"/>
      <w:szCs w:val="20"/>
    </w:rPr>
  </w:style>
  <w:style w:type="character" w:customStyle="1" w:styleId="86">
    <w:name w:val="Char Char71"/>
    <w:semiHidden/>
    <w:qFormat/>
    <w:uiPriority w:val="0"/>
    <w:rPr>
      <w:rFonts w:eastAsia="宋体"/>
      <w:kern w:val="2"/>
      <w:sz w:val="21"/>
      <w:szCs w:val="24"/>
      <w:lang w:val="en-US" w:eastAsia="zh-CN" w:bidi="ar-SA"/>
    </w:rPr>
  </w:style>
  <w:style w:type="character" w:customStyle="1" w:styleId="87">
    <w:name w:val="Char Char6"/>
    <w:qFormat/>
    <w:uiPriority w:val="0"/>
    <w:rPr>
      <w:rFonts w:eastAsia="宋体"/>
      <w:kern w:val="2"/>
      <w:sz w:val="21"/>
      <w:szCs w:val="24"/>
      <w:lang w:val="en-US" w:eastAsia="zh-CN" w:bidi="ar-SA"/>
    </w:rPr>
  </w:style>
  <w:style w:type="character" w:customStyle="1" w:styleId="88">
    <w:name w:val="正文缩进 Char"/>
    <w:qFormat/>
    <w:uiPriority w:val="0"/>
    <w:rPr>
      <w:rFonts w:eastAsia="宋体"/>
      <w:kern w:val="2"/>
      <w:sz w:val="21"/>
      <w:lang w:val="en-US" w:eastAsia="zh-CN"/>
    </w:rPr>
  </w:style>
  <w:style w:type="character" w:customStyle="1" w:styleId="89">
    <w:name w:val="正文首行缩进 Char1"/>
    <w:qFormat/>
    <w:uiPriority w:val="0"/>
    <w:rPr>
      <w:rFonts w:ascii="宋体" w:hAnsi="Times New Roman" w:eastAsia="宋体" w:cs="Times New Roman"/>
      <w:snapToGrid w:val="0"/>
      <w:kern w:val="2"/>
      <w:sz w:val="24"/>
      <w:szCs w:val="21"/>
      <w:lang w:val="zh-CN"/>
    </w:rPr>
  </w:style>
  <w:style w:type="character" w:customStyle="1" w:styleId="90">
    <w:name w:val="Char Char28"/>
    <w:qFormat/>
    <w:uiPriority w:val="6"/>
    <w:rPr>
      <w:rFonts w:ascii="仿宋_GB2312" w:hAnsi="仿宋_GB2312" w:eastAsia="仿宋_GB2312"/>
      <w:kern w:val="1"/>
      <w:sz w:val="28"/>
    </w:rPr>
  </w:style>
  <w:style w:type="character" w:customStyle="1" w:styleId="9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qFormat/>
    <w:uiPriority w:val="6"/>
    <w:rPr>
      <w:rFonts w:ascii="Times New Roman" w:hAnsi="Times New Roman" w:eastAsia="黑体" w:cs="Times New Roman"/>
      <w:b/>
      <w:kern w:val="0"/>
      <w:sz w:val="24"/>
      <w:szCs w:val="24"/>
    </w:rPr>
  </w:style>
  <w:style w:type="character" w:customStyle="1" w:styleId="93">
    <w:name w:val="U_正文 Char"/>
    <w:link w:val="94"/>
    <w:qFormat/>
    <w:uiPriority w:val="0"/>
    <w:rPr>
      <w:sz w:val="24"/>
      <w:szCs w:val="24"/>
    </w:rPr>
  </w:style>
  <w:style w:type="paragraph" w:customStyle="1" w:styleId="94">
    <w:name w:val="U_正文"/>
    <w:basedOn w:val="1"/>
    <w:link w:val="93"/>
    <w:qFormat/>
    <w:uiPriority w:val="0"/>
    <w:pPr>
      <w:adjustRightInd/>
      <w:spacing w:beforeLines="20" w:afterLines="20" w:line="300" w:lineRule="auto"/>
      <w:ind w:firstLine="200" w:firstLineChars="200"/>
    </w:pPr>
    <w:rPr>
      <w:kern w:val="0"/>
      <w:sz w:val="24"/>
    </w:rPr>
  </w:style>
  <w:style w:type="character" w:customStyle="1" w:styleId="95">
    <w:name w:val="HTML 地址 Char1"/>
    <w:qFormat/>
    <w:uiPriority w:val="0"/>
    <w:rPr>
      <w:rFonts w:ascii="Times New Roman" w:hAnsi="Times New Roman" w:eastAsia="宋体" w:cs="Times New Roman"/>
      <w:i/>
      <w:iCs/>
      <w:szCs w:val="24"/>
    </w:rPr>
  </w:style>
  <w:style w:type="character" w:customStyle="1" w:styleId="96">
    <w:name w:val="批注主题 字符"/>
    <w:link w:val="61"/>
    <w:qFormat/>
    <w:uiPriority w:val="0"/>
    <w:rPr>
      <w:b/>
      <w:bCs/>
      <w:kern w:val="2"/>
      <w:sz w:val="21"/>
      <w:szCs w:val="24"/>
    </w:rPr>
  </w:style>
  <w:style w:type="character" w:customStyle="1" w:styleId="97">
    <w:name w:val="Char Char51"/>
    <w:qFormat/>
    <w:uiPriority w:val="0"/>
    <w:rPr>
      <w:rFonts w:ascii="宋体" w:hAnsi="Courier New" w:eastAsia="宋体"/>
      <w:kern w:val="2"/>
      <w:sz w:val="21"/>
      <w:lang w:val="en-US" w:eastAsia="zh-CN"/>
    </w:rPr>
  </w:style>
  <w:style w:type="character" w:customStyle="1" w:styleId="98">
    <w:name w:val="表正文 Char"/>
    <w:qFormat/>
    <w:uiPriority w:val="0"/>
    <w:rPr>
      <w:rFonts w:ascii="宋体" w:eastAsia="宋体"/>
      <w:snapToGrid w:val="0"/>
      <w:color w:val="000000"/>
      <w:kern w:val="28"/>
      <w:sz w:val="28"/>
      <w:lang w:val="en-US" w:eastAsia="zh-CN" w:bidi="ar-SA"/>
    </w:rPr>
  </w:style>
  <w:style w:type="character" w:customStyle="1" w:styleId="99">
    <w:name w:val="Char Char34"/>
    <w:qFormat/>
    <w:uiPriority w:val="6"/>
    <w:rPr>
      <w:b/>
      <w:kern w:val="1"/>
      <w:sz w:val="28"/>
      <w:szCs w:val="28"/>
    </w:rPr>
  </w:style>
  <w:style w:type="character" w:customStyle="1" w:styleId="10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qFormat/>
    <w:uiPriority w:val="0"/>
    <w:rPr>
      <w:rFonts w:ascii="宋体" w:hAnsi="宋体" w:eastAsia="宋体"/>
      <w:kern w:val="2"/>
      <w:sz w:val="24"/>
      <w:lang w:bidi="ar-SA"/>
    </w:rPr>
  </w:style>
  <w:style w:type="paragraph" w:customStyle="1" w:styleId="102">
    <w:name w:val="哈哈正文"/>
    <w:basedOn w:val="1"/>
    <w:link w:val="101"/>
    <w:qFormat/>
    <w:uiPriority w:val="0"/>
    <w:pPr>
      <w:adjustRightInd/>
      <w:spacing w:line="360" w:lineRule="auto"/>
      <w:ind w:firstLine="200" w:firstLineChars="200"/>
    </w:pPr>
    <w:rPr>
      <w:rFonts w:ascii="宋体" w:hAnsi="宋体"/>
      <w:sz w:val="24"/>
      <w:szCs w:val="20"/>
    </w:rPr>
  </w:style>
  <w:style w:type="character" w:customStyle="1" w:styleId="103">
    <w:name w:val="未处理的提及1"/>
    <w:qFormat/>
    <w:uiPriority w:val="0"/>
    <w:rPr>
      <w:color w:val="808080"/>
      <w:shd w:val="clear" w:color="auto" w:fill="E6E6E6"/>
    </w:rPr>
  </w:style>
  <w:style w:type="character" w:customStyle="1" w:styleId="104">
    <w:name w:val="txt"/>
    <w:qFormat/>
    <w:uiPriority w:val="0"/>
    <w:rPr>
      <w:rFonts w:ascii="仿宋_GB2312" w:eastAsia="微软雅黑"/>
      <w:b/>
      <w:kern w:val="2"/>
      <w:sz w:val="32"/>
      <w:szCs w:val="32"/>
      <w:lang w:val="en-US" w:eastAsia="zh-CN" w:bidi="ar-SA"/>
    </w:rPr>
  </w:style>
  <w:style w:type="character" w:customStyle="1" w:styleId="105">
    <w:name w:val="二级标题 Char Char"/>
    <w:qFormat/>
    <w:uiPriority w:val="0"/>
    <w:rPr>
      <w:rFonts w:ascii="宋体" w:hAnsi="宋体" w:eastAsia="宋体"/>
      <w:b/>
      <w:snapToGrid w:val="0"/>
      <w:kern w:val="2"/>
      <w:sz w:val="24"/>
      <w:szCs w:val="24"/>
      <w:lang w:val="en-US" w:eastAsia="zh-CN" w:bidi="ar-SA"/>
    </w:rPr>
  </w:style>
  <w:style w:type="character" w:customStyle="1" w:styleId="106">
    <w:name w:val="Char Char32"/>
    <w:qFormat/>
    <w:uiPriority w:val="6"/>
    <w:rPr>
      <w:b/>
      <w:kern w:val="1"/>
      <w:sz w:val="24"/>
      <w:szCs w:val="24"/>
    </w:rPr>
  </w:style>
  <w:style w:type="character" w:customStyle="1" w:styleId="107">
    <w:name w:val="PI Char1"/>
    <w:qFormat/>
    <w:uiPriority w:val="0"/>
    <w:rPr>
      <w:rFonts w:ascii="宋体" w:hAnsi="宋体"/>
      <w:kern w:val="2"/>
      <w:sz w:val="24"/>
      <w:szCs w:val="24"/>
    </w:rPr>
  </w:style>
  <w:style w:type="character" w:customStyle="1" w:styleId="108">
    <w:name w:val="tw4winTerm"/>
    <w:qFormat/>
    <w:uiPriority w:val="0"/>
    <w:rPr>
      <w:color w:val="0000FF"/>
    </w:rPr>
  </w:style>
  <w:style w:type="character" w:customStyle="1" w:styleId="109">
    <w:name w:val="Footer Char"/>
    <w:qFormat/>
    <w:locked/>
    <w:uiPriority w:val="0"/>
    <w:rPr>
      <w:rFonts w:eastAsia="宋体"/>
      <w:kern w:val="2"/>
      <w:sz w:val="18"/>
      <w:lang w:val="en-US" w:eastAsia="zh-CN" w:bidi="ar-SA"/>
    </w:rPr>
  </w:style>
  <w:style w:type="character" w:customStyle="1" w:styleId="110">
    <w:name w:val="普通文字 Char Char1"/>
    <w:qFormat/>
    <w:uiPriority w:val="0"/>
    <w:rPr>
      <w:rFonts w:ascii="宋体" w:hAnsi="Courier New"/>
      <w:kern w:val="2"/>
      <w:sz w:val="21"/>
    </w:rPr>
  </w:style>
  <w:style w:type="character" w:customStyle="1" w:styleId="111">
    <w:name w:val="Char Char101"/>
    <w:qFormat/>
    <w:uiPriority w:val="6"/>
    <w:rPr>
      <w:rFonts w:ascii="宋体" w:hAnsi="宋体"/>
      <w:kern w:val="2"/>
      <w:sz w:val="21"/>
      <w:szCs w:val="24"/>
      <w:lang w:val="en-US" w:eastAsia="zh-CN"/>
    </w:rPr>
  </w:style>
  <w:style w:type="character" w:customStyle="1" w:styleId="112">
    <w:name w:val="标题 4 Char"/>
    <w:qFormat/>
    <w:uiPriority w:val="0"/>
    <w:rPr>
      <w:rFonts w:ascii="Arial" w:hAnsi="Arial" w:eastAsia="黑体"/>
      <w:b/>
      <w:kern w:val="2"/>
      <w:sz w:val="28"/>
    </w:rPr>
  </w:style>
  <w:style w:type="character" w:customStyle="1" w:styleId="113">
    <w:name w:val="链接"/>
    <w:qFormat/>
    <w:uiPriority w:val="0"/>
    <w:rPr>
      <w:color w:val="0000FF"/>
      <w:sz w:val="21"/>
      <w:szCs w:val="21"/>
      <w:u w:val="single"/>
    </w:rPr>
  </w:style>
  <w:style w:type="character" w:customStyle="1" w:styleId="114">
    <w:name w:val="h4 Char"/>
    <w:qFormat/>
    <w:uiPriority w:val="0"/>
    <w:rPr>
      <w:rFonts w:ascii="Arial" w:hAnsi="Arial" w:eastAsia="黑体"/>
      <w:b/>
      <w:bCs/>
      <w:kern w:val="2"/>
      <w:sz w:val="28"/>
      <w:szCs w:val="28"/>
      <w:lang w:val="zh-CN" w:eastAsia="zh-CN" w:bidi="ar-SA"/>
    </w:rPr>
  </w:style>
  <w:style w:type="character" w:customStyle="1" w:styleId="115">
    <w:name w:val="5正文 Char"/>
    <w:link w:val="116"/>
    <w:qFormat/>
    <w:uiPriority w:val="0"/>
    <w:rPr>
      <w:rFonts w:ascii="仿宋_GB2312" w:hAnsi="微软雅黑" w:eastAsia="仿宋_GB2312"/>
      <w:sz w:val="28"/>
      <w:szCs w:val="21"/>
    </w:rPr>
  </w:style>
  <w:style w:type="paragraph" w:customStyle="1" w:styleId="116">
    <w:name w:val="5正文"/>
    <w:basedOn w:val="1"/>
    <w:link w:val="115"/>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qFormat/>
    <w:uiPriority w:val="9"/>
    <w:rPr>
      <w:b/>
      <w:bCs/>
      <w:kern w:val="2"/>
      <w:sz w:val="32"/>
      <w:szCs w:val="32"/>
    </w:rPr>
  </w:style>
  <w:style w:type="character" w:customStyle="1" w:styleId="118">
    <w:name w:val="样式6 Char"/>
    <w:qFormat/>
    <w:uiPriority w:val="0"/>
    <w:rPr>
      <w:rFonts w:ascii="仿宋_GB2312" w:hAnsi="宋体" w:eastAsia="仿宋_GB2312"/>
      <w:b/>
      <w:bCs/>
      <w:kern w:val="2"/>
      <w:sz w:val="24"/>
      <w:szCs w:val="24"/>
      <w:lang w:val="en-US" w:eastAsia="zh-CN" w:bidi="ar-SA"/>
    </w:rPr>
  </w:style>
  <w:style w:type="character" w:customStyle="1" w:styleId="119">
    <w:name w:val="Char Char14"/>
    <w:qFormat/>
    <w:uiPriority w:val="6"/>
    <w:rPr>
      <w:rFonts w:ascii="黑体" w:hAnsi="黑体" w:eastAsia="黑体"/>
    </w:rPr>
  </w:style>
  <w:style w:type="character" w:customStyle="1" w:styleId="120">
    <w:name w:val="Heading 2 Hidden Char"/>
    <w:qFormat/>
    <w:uiPriority w:val="0"/>
    <w:rPr>
      <w:rFonts w:ascii="仿宋_GB2312" w:eastAsia="仿宋_GB2312"/>
      <w:b/>
      <w:bCs/>
      <w:kern w:val="2"/>
      <w:sz w:val="24"/>
      <w:szCs w:val="24"/>
      <w:lang w:val="zh-CN" w:eastAsia="zh-CN" w:bidi="ar-SA"/>
    </w:rPr>
  </w:style>
  <w:style w:type="character" w:customStyle="1" w:styleId="121">
    <w:name w:val="正文文本首行缩进 2 字符"/>
    <w:link w:val="25"/>
    <w:qFormat/>
    <w:uiPriority w:val="0"/>
    <w:rPr>
      <w:rFonts w:ascii="宋体" w:hAnsi="宋体"/>
      <w:kern w:val="2"/>
      <w:sz w:val="21"/>
      <w:szCs w:val="24"/>
    </w:rPr>
  </w:style>
  <w:style w:type="character" w:customStyle="1" w:styleId="122">
    <w:name w:val="font11"/>
    <w:qFormat/>
    <w:uiPriority w:val="0"/>
    <w:rPr>
      <w:rFonts w:hint="default" w:ascii="Times New Roman" w:hAnsi="Times New Roman" w:cs="Times New Roman"/>
      <w:color w:val="000000"/>
      <w:sz w:val="22"/>
      <w:szCs w:val="22"/>
      <w:u w:val="none"/>
    </w:rPr>
  </w:style>
  <w:style w:type="character" w:customStyle="1" w:styleId="123">
    <w:name w:val="表正文 Char1"/>
    <w:qFormat/>
    <w:uiPriority w:val="0"/>
    <w:rPr>
      <w:rFonts w:ascii="宋体" w:eastAsia="宋体"/>
      <w:snapToGrid w:val="0"/>
      <w:color w:val="000000"/>
      <w:kern w:val="28"/>
      <w:sz w:val="28"/>
    </w:rPr>
  </w:style>
  <w:style w:type="character" w:customStyle="1" w:styleId="124">
    <w:name w:val="blue1"/>
    <w:basedOn w:val="69"/>
    <w:qFormat/>
    <w:uiPriority w:val="0"/>
    <w:rPr>
      <w:rFonts w:ascii="Arial" w:hAnsi="Arial" w:eastAsia="黑体" w:cs="Arial"/>
      <w:snapToGrid w:val="0"/>
      <w:kern w:val="0"/>
      <w:szCs w:val="21"/>
    </w:rPr>
  </w:style>
  <w:style w:type="character" w:customStyle="1" w:styleId="125">
    <w:name w:val="纯文本 字符1"/>
    <w:link w:val="35"/>
    <w:qFormat/>
    <w:uiPriority w:val="0"/>
    <w:rPr>
      <w:rFonts w:ascii="宋体" w:hAnsi="Courier New" w:eastAsia="宋体" w:cs="Arial"/>
      <w:snapToGrid w:val="0"/>
      <w:kern w:val="2"/>
      <w:sz w:val="21"/>
      <w:szCs w:val="21"/>
      <w:lang w:val="en-US" w:eastAsia="zh-CN" w:bidi="ar-SA"/>
    </w:rPr>
  </w:style>
  <w:style w:type="character" w:customStyle="1" w:styleId="126">
    <w:name w:val="标书1 Char"/>
    <w:qFormat/>
    <w:uiPriority w:val="0"/>
    <w:rPr>
      <w:rFonts w:eastAsia="宋体"/>
      <w:b/>
      <w:bCs/>
      <w:kern w:val="44"/>
      <w:sz w:val="44"/>
      <w:szCs w:val="44"/>
      <w:lang w:val="en-US" w:eastAsia="zh-CN" w:bidi="ar-SA"/>
    </w:rPr>
  </w:style>
  <w:style w:type="character" w:customStyle="1" w:styleId="127">
    <w:name w:val="样式5 Char"/>
    <w:qFormat/>
    <w:uiPriority w:val="0"/>
    <w:rPr>
      <w:rFonts w:ascii="仿宋_GB2312" w:hAnsi="仿宋" w:eastAsia="仿宋_GB2312"/>
      <w:kern w:val="2"/>
      <w:sz w:val="24"/>
      <w:szCs w:val="24"/>
    </w:rPr>
  </w:style>
  <w:style w:type="character" w:customStyle="1" w:styleId="128">
    <w:name w:val="样式4 Char"/>
    <w:qFormat/>
    <w:uiPriority w:val="0"/>
    <w:rPr>
      <w:rFonts w:ascii="仿宋_GB2312" w:hAnsi="仿宋" w:eastAsia="仿宋_GB2312"/>
      <w:b/>
      <w:kern w:val="2"/>
      <w:sz w:val="32"/>
      <w:szCs w:val="32"/>
      <w:lang w:bidi="ar-SA"/>
    </w:rPr>
  </w:style>
  <w:style w:type="character" w:customStyle="1" w:styleId="129">
    <w:name w:val="插图说明 Char"/>
    <w:qFormat/>
    <w:uiPriority w:val="0"/>
    <w:rPr>
      <w:rFonts w:eastAsia="黑体"/>
      <w:sz w:val="24"/>
      <w:lang w:val="en-US" w:eastAsia="zh-CN"/>
    </w:rPr>
  </w:style>
  <w:style w:type="character" w:customStyle="1" w:styleId="130">
    <w:name w:val="正文2 Char Char"/>
    <w:link w:val="131"/>
    <w:qFormat/>
    <w:uiPriority w:val="0"/>
    <w:rPr>
      <w:rFonts w:eastAsia="宋体"/>
      <w:kern w:val="2"/>
      <w:sz w:val="24"/>
      <w:lang w:val="en-US" w:eastAsia="zh-CN" w:bidi="ar-SA"/>
    </w:rPr>
  </w:style>
  <w:style w:type="paragraph" w:customStyle="1" w:styleId="131">
    <w:name w:val="正文2"/>
    <w:basedOn w:val="1"/>
    <w:link w:val="130"/>
    <w:qFormat/>
    <w:uiPriority w:val="0"/>
    <w:pPr>
      <w:spacing w:before="156" w:line="360" w:lineRule="auto"/>
      <w:ind w:firstLine="510" w:firstLineChars="200"/>
    </w:pPr>
    <w:rPr>
      <w:sz w:val="24"/>
      <w:szCs w:val="20"/>
    </w:rPr>
  </w:style>
  <w:style w:type="character" w:customStyle="1" w:styleId="132">
    <w:name w:val="Char Char24"/>
    <w:qFormat/>
    <w:uiPriority w:val="6"/>
    <w:rPr>
      <w:kern w:val="1"/>
      <w:sz w:val="21"/>
    </w:rPr>
  </w:style>
  <w:style w:type="character" w:customStyle="1" w:styleId="133">
    <w:name w:val="副标题 字符"/>
    <w:link w:val="49"/>
    <w:qFormat/>
    <w:uiPriority w:val="0"/>
    <w:rPr>
      <w:rFonts w:ascii="Arial" w:hAnsi="Arial" w:eastAsia="隶书"/>
      <w:b/>
      <w:bCs/>
      <w:kern w:val="28"/>
      <w:sz w:val="44"/>
      <w:szCs w:val="32"/>
      <w:lang w:val="en-US" w:eastAsia="zh-CN" w:bidi="ar-SA"/>
    </w:rPr>
  </w:style>
  <w:style w:type="character" w:customStyle="1" w:styleId="134">
    <w:name w:val="普通文字 Char1 Char"/>
    <w:qFormat/>
    <w:uiPriority w:val="0"/>
    <w:rPr>
      <w:rFonts w:ascii="宋体" w:hAnsi="Courier New" w:eastAsia="宋体"/>
      <w:kern w:val="2"/>
      <w:sz w:val="21"/>
      <w:szCs w:val="24"/>
      <w:lang w:val="en-US" w:eastAsia="zh-CN" w:bidi="ar-SA"/>
    </w:rPr>
  </w:style>
  <w:style w:type="character" w:customStyle="1" w:styleId="135">
    <w:name w:val="h3 Char1"/>
    <w:qFormat/>
    <w:uiPriority w:val="0"/>
    <w:rPr>
      <w:rFonts w:eastAsia="宋体"/>
      <w:b/>
      <w:bCs/>
      <w:kern w:val="2"/>
      <w:sz w:val="32"/>
      <w:szCs w:val="32"/>
      <w:lang w:bidi="ar-SA"/>
    </w:rPr>
  </w:style>
  <w:style w:type="character" w:customStyle="1" w:styleId="136">
    <w:name w:val="标题 Char1"/>
    <w:qFormat/>
    <w:uiPriority w:val="0"/>
    <w:rPr>
      <w:rFonts w:ascii="Cambria" w:hAnsi="Cambria" w:eastAsia="宋体" w:cs="Times New Roman"/>
      <w:b/>
      <w:bCs/>
      <w:sz w:val="32"/>
      <w:szCs w:val="32"/>
      <w:lang w:bidi="ar-SA"/>
    </w:rPr>
  </w:style>
  <w:style w:type="character" w:customStyle="1" w:styleId="137">
    <w:name w:val="gf正文1 Char"/>
    <w:qFormat/>
    <w:uiPriority w:val="0"/>
    <w:rPr>
      <w:rFonts w:ascii="宋体" w:hAnsi="宋体" w:eastAsia="宋体" w:cs="宋体"/>
      <w:kern w:val="2"/>
      <w:sz w:val="24"/>
      <w:szCs w:val="24"/>
      <w:lang w:val="en-US" w:eastAsia="zh-CN" w:bidi="ar-SA"/>
    </w:rPr>
  </w:style>
  <w:style w:type="character" w:customStyle="1" w:styleId="138">
    <w:name w:val="正文文本缩进 Char1"/>
    <w:qFormat/>
    <w:uiPriority w:val="0"/>
    <w:rPr>
      <w:rFonts w:ascii="Calibri" w:hAnsi="Calibri"/>
      <w:sz w:val="28"/>
    </w:rPr>
  </w:style>
  <w:style w:type="character" w:customStyle="1" w:styleId="139">
    <w:name w:val="No Spacing Char"/>
    <w:link w:val="140"/>
    <w:qFormat/>
    <w:uiPriority w:val="1"/>
    <w:rPr>
      <w:sz w:val="22"/>
      <w:szCs w:val="22"/>
      <w:lang w:val="en-US" w:eastAsia="zh-CN" w:bidi="ar-SA"/>
    </w:rPr>
  </w:style>
  <w:style w:type="paragraph" w:customStyle="1" w:styleId="140">
    <w:name w:val="无间隔1"/>
    <w:link w:val="139"/>
    <w:qFormat/>
    <w:uiPriority w:val="1"/>
    <w:rPr>
      <w:rFonts w:ascii="Times New Roman" w:hAnsi="Times New Roman" w:eastAsia="宋体" w:cs="Times New Roman"/>
      <w:sz w:val="22"/>
      <w:szCs w:val="22"/>
      <w:lang w:val="en-US" w:eastAsia="zh-CN" w:bidi="ar-SA"/>
    </w:rPr>
  </w:style>
  <w:style w:type="character" w:customStyle="1" w:styleId="141">
    <w:name w:val="样式7 Char"/>
    <w:qFormat/>
    <w:uiPriority w:val="0"/>
    <w:rPr>
      <w:rFonts w:ascii="仿宋_GB2312" w:hAnsi="仿宋" w:eastAsia="仿宋_GB2312"/>
      <w:b/>
      <w:kern w:val="2"/>
      <w:sz w:val="24"/>
      <w:szCs w:val="24"/>
    </w:rPr>
  </w:style>
  <w:style w:type="character" w:customStyle="1" w:styleId="142">
    <w:name w:val="font12gray1"/>
    <w:qFormat/>
    <w:uiPriority w:val="0"/>
    <w:rPr>
      <w:rFonts w:ascii="仿宋_GB2312" w:eastAsia="微软雅黑"/>
      <w:b/>
      <w:spacing w:val="300"/>
      <w:kern w:val="2"/>
      <w:sz w:val="18"/>
      <w:szCs w:val="18"/>
      <w:lang w:val="en-US" w:eastAsia="zh-CN" w:bidi="ar-SA"/>
    </w:rPr>
  </w:style>
  <w:style w:type="character" w:customStyle="1" w:styleId="143">
    <w:name w:val="Char Char7"/>
    <w:semiHidden/>
    <w:qFormat/>
    <w:uiPriority w:val="0"/>
    <w:rPr>
      <w:rFonts w:eastAsia="宋体"/>
      <w:kern w:val="2"/>
      <w:sz w:val="21"/>
      <w:szCs w:val="24"/>
      <w:lang w:val="en-US" w:eastAsia="zh-CN" w:bidi="ar-SA"/>
    </w:rPr>
  </w:style>
  <w:style w:type="character" w:customStyle="1" w:styleId="144">
    <w:name w:val="表名 Char"/>
    <w:qFormat/>
    <w:uiPriority w:val="0"/>
    <w:rPr>
      <w:rFonts w:eastAsia="宋体"/>
      <w:b/>
      <w:bCs/>
      <w:kern w:val="2"/>
      <w:sz w:val="24"/>
      <w:szCs w:val="24"/>
      <w:lang w:val="en-US" w:eastAsia="zh-CN" w:bidi="ar-SA"/>
    </w:rPr>
  </w:style>
  <w:style w:type="character" w:customStyle="1" w:styleId="145">
    <w:name w:val="Document Map Char"/>
    <w:qFormat/>
    <w:locked/>
    <w:uiPriority w:val="0"/>
    <w:rPr>
      <w:rFonts w:eastAsia="宋体"/>
      <w:kern w:val="2"/>
      <w:sz w:val="21"/>
      <w:szCs w:val="24"/>
      <w:lang w:val="en-US" w:eastAsia="zh-CN" w:bidi="ar-SA"/>
    </w:rPr>
  </w:style>
  <w:style w:type="character" w:customStyle="1" w:styleId="146">
    <w:name w:val="font41"/>
    <w:qFormat/>
    <w:uiPriority w:val="0"/>
    <w:rPr>
      <w:rFonts w:hint="eastAsia" w:ascii="仿宋_GB2312" w:eastAsia="仿宋_GB2312" w:cs="仿宋_GB2312"/>
      <w:color w:val="000000"/>
      <w:sz w:val="22"/>
      <w:szCs w:val="22"/>
      <w:u w:val="none"/>
    </w:rPr>
  </w:style>
  <w:style w:type="character" w:customStyle="1" w:styleId="147">
    <w:name w:val="标题 6 字符"/>
    <w:link w:val="9"/>
    <w:qFormat/>
    <w:uiPriority w:val="0"/>
    <w:rPr>
      <w:rFonts w:ascii="Arial" w:hAnsi="Arial" w:eastAsia="黑体"/>
      <w:b/>
      <w:bCs/>
      <w:kern w:val="2"/>
      <w:sz w:val="24"/>
      <w:szCs w:val="24"/>
    </w:rPr>
  </w:style>
  <w:style w:type="character" w:customStyle="1" w:styleId="148">
    <w:name w:val="纯文本 Char_0"/>
    <w:link w:val="149"/>
    <w:qFormat/>
    <w:uiPriority w:val="0"/>
    <w:rPr>
      <w:rFonts w:ascii="宋体" w:hAnsi="Courier New"/>
      <w:kern w:val="2"/>
      <w:sz w:val="21"/>
      <w:szCs w:val="21"/>
      <w:lang w:val="en-US" w:eastAsia="zh-CN"/>
    </w:rPr>
  </w:style>
  <w:style w:type="paragraph" w:customStyle="1" w:styleId="149">
    <w:name w:val="纯文本_0_0"/>
    <w:basedOn w:val="150"/>
    <w:link w:val="148"/>
    <w:qFormat/>
    <w:uiPriority w:val="0"/>
    <w:rPr>
      <w:rFonts w:ascii="宋体" w:hAnsi="Courier New"/>
      <w:szCs w:val="21"/>
    </w:rPr>
  </w:style>
  <w:style w:type="paragraph" w:customStyle="1" w:styleId="15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qFormat/>
    <w:locked/>
    <w:uiPriority w:val="0"/>
    <w:rPr>
      <w:rFonts w:eastAsia="宋体"/>
      <w:kern w:val="2"/>
      <w:sz w:val="18"/>
      <w:szCs w:val="18"/>
      <w:lang w:val="en-US" w:eastAsia="zh-CN" w:bidi="ar-SA"/>
    </w:rPr>
  </w:style>
  <w:style w:type="character" w:customStyle="1" w:styleId="152">
    <w:name w:val="正文 项目2 Char"/>
    <w:basedOn w:val="153"/>
    <w:qFormat/>
    <w:uiPriority w:val="0"/>
    <w:rPr>
      <w:rFonts w:ascii="仿宋_GB2312" w:hAnsi="仿宋_GB2312" w:eastAsia="仿宋_GB2312"/>
      <w:kern w:val="2"/>
      <w:sz w:val="24"/>
      <w:lang w:bidi="ar-SA"/>
    </w:rPr>
  </w:style>
  <w:style w:type="character" w:customStyle="1" w:styleId="153">
    <w:name w:val="正文 项目 Char"/>
    <w:qFormat/>
    <w:uiPriority w:val="0"/>
    <w:rPr>
      <w:rFonts w:ascii="仿宋_GB2312" w:hAnsi="仿宋_GB2312" w:eastAsia="仿宋_GB2312"/>
      <w:kern w:val="2"/>
      <w:sz w:val="24"/>
      <w:lang w:bidi="ar-SA"/>
    </w:rPr>
  </w:style>
  <w:style w:type="character" w:customStyle="1" w:styleId="154">
    <w:name w:val="h Char Char1"/>
    <w:qFormat/>
    <w:uiPriority w:val="0"/>
    <w:rPr>
      <w:rFonts w:eastAsia="宋体"/>
      <w:kern w:val="2"/>
      <w:sz w:val="18"/>
      <w:szCs w:val="18"/>
      <w:lang w:val="en-US" w:eastAsia="zh-CN" w:bidi="ar-SA"/>
    </w:rPr>
  </w:style>
  <w:style w:type="character" w:customStyle="1" w:styleId="155">
    <w:name w:val="Char Char27"/>
    <w:qFormat/>
    <w:uiPriority w:val="6"/>
    <w:rPr>
      <w:rFonts w:ascii="宋体" w:hAnsi="宋体" w:eastAsia="宋体"/>
      <w:color w:val="000000"/>
      <w:kern w:val="1"/>
      <w:sz w:val="28"/>
      <w:lang w:val="en-US" w:eastAsia="zh-CN" w:bidi="ar-SA"/>
    </w:rPr>
  </w:style>
  <w:style w:type="character" w:customStyle="1" w:styleId="156">
    <w:name w:val="px14"/>
    <w:qFormat/>
    <w:uiPriority w:val="0"/>
    <w:rPr>
      <w:rFonts w:ascii="仿宋_GB2312" w:eastAsia="微软雅黑" w:cs="Times New Roman"/>
      <w:b/>
      <w:kern w:val="2"/>
      <w:sz w:val="32"/>
      <w:szCs w:val="32"/>
      <w:lang w:val="en-US" w:eastAsia="zh-CN" w:bidi="ar-SA"/>
    </w:rPr>
  </w:style>
  <w:style w:type="character" w:customStyle="1" w:styleId="157">
    <w:name w:val="HTML 预设格式 Char1"/>
    <w:qFormat/>
    <w:uiPriority w:val="0"/>
    <w:rPr>
      <w:rFonts w:ascii="Courier New" w:hAnsi="Courier New" w:eastAsia="宋体" w:cs="Courier New"/>
      <w:sz w:val="20"/>
      <w:szCs w:val="20"/>
    </w:rPr>
  </w:style>
  <w:style w:type="character" w:customStyle="1" w:styleId="158">
    <w:name w:val="普通文字 Char1"/>
    <w:qFormat/>
    <w:uiPriority w:val="0"/>
    <w:rPr>
      <w:rFonts w:ascii="宋体" w:hAnsi="Courier New" w:eastAsia="宋体"/>
      <w:kern w:val="2"/>
      <w:sz w:val="21"/>
      <w:lang w:val="en-US" w:eastAsia="zh-CN"/>
    </w:rPr>
  </w:style>
  <w:style w:type="character" w:customStyle="1" w:styleId="159">
    <w:name w:val="hei16b1"/>
    <w:qFormat/>
    <w:uiPriority w:val="0"/>
    <w:rPr>
      <w:rFonts w:hint="default" w:ascii="Arial" w:hAnsi="Arial" w:cs="Arial"/>
      <w:b/>
      <w:bCs/>
      <w:color w:val="000000"/>
      <w:sz w:val="24"/>
      <w:szCs w:val="24"/>
    </w:rPr>
  </w:style>
  <w:style w:type="character" w:customStyle="1" w:styleId="160">
    <w:name w:val="正文（绿盟科技） Char"/>
    <w:link w:val="161"/>
    <w:qFormat/>
    <w:uiPriority w:val="0"/>
    <w:rPr>
      <w:rFonts w:ascii="Arial" w:hAnsi="Arial"/>
      <w:sz w:val="21"/>
      <w:szCs w:val="21"/>
    </w:rPr>
  </w:style>
  <w:style w:type="paragraph" w:customStyle="1" w:styleId="161">
    <w:name w:val="正文（绿盟科技）"/>
    <w:link w:val="160"/>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qFormat/>
    <w:uiPriority w:val="6"/>
    <w:rPr>
      <w:rFonts w:ascii="宋体" w:hAnsi="宋体"/>
      <w:i/>
      <w:sz w:val="24"/>
      <w:szCs w:val="24"/>
    </w:rPr>
  </w:style>
  <w:style w:type="character" w:customStyle="1" w:styleId="163">
    <w:name w:val="页脚 Char"/>
    <w:qFormat/>
    <w:uiPriority w:val="0"/>
    <w:rPr>
      <w:rFonts w:eastAsia="仿宋_GB2312"/>
      <w:kern w:val="2"/>
      <w:sz w:val="18"/>
      <w:lang w:val="en-US" w:eastAsia="zh-CN"/>
    </w:rPr>
  </w:style>
  <w:style w:type="character" w:customStyle="1" w:styleId="164">
    <w:name w:val="批注主题 Char"/>
    <w:qFormat/>
    <w:uiPriority w:val="0"/>
    <w:rPr>
      <w:rFonts w:eastAsia="宋体"/>
      <w:b/>
      <w:bCs/>
      <w:kern w:val="2"/>
      <w:sz w:val="21"/>
      <w:szCs w:val="24"/>
      <w:lang w:val="en-US" w:eastAsia="zh-CN" w:bidi="ar-SA"/>
    </w:rPr>
  </w:style>
  <w:style w:type="character" w:customStyle="1" w:styleId="165">
    <w:name w:val="Comment Text Char"/>
    <w:qFormat/>
    <w:locked/>
    <w:uiPriority w:val="0"/>
    <w:rPr>
      <w:rFonts w:ascii="宋体" w:hAnsi="宋体" w:eastAsia="宋体"/>
      <w:kern w:val="2"/>
      <w:sz w:val="24"/>
      <w:lang w:val="en-US" w:eastAsia="zh-CN" w:bidi="ar-SA"/>
    </w:rPr>
  </w:style>
  <w:style w:type="character" w:customStyle="1" w:styleId="166">
    <w:name w:val="标题 2 字符"/>
    <w:qFormat/>
    <w:uiPriority w:val="1"/>
    <w:rPr>
      <w:rFonts w:ascii="仿宋_GB2312" w:hAnsi="Times New Roman" w:eastAsia="仿宋_GB2312" w:cs="Times New Roman"/>
      <w:b/>
      <w:kern w:val="2"/>
      <w:sz w:val="24"/>
      <w:lang w:val="zh-CN"/>
    </w:rPr>
  </w:style>
  <w:style w:type="character" w:customStyle="1" w:styleId="167">
    <w:name w:val="Char Char72"/>
    <w:qFormat/>
    <w:uiPriority w:val="0"/>
    <w:rPr>
      <w:rFonts w:eastAsia="宋体"/>
      <w:kern w:val="2"/>
      <w:sz w:val="21"/>
      <w:szCs w:val="24"/>
      <w:lang w:val="en-US" w:eastAsia="zh-CN" w:bidi="ar-SA"/>
    </w:rPr>
  </w:style>
  <w:style w:type="character" w:customStyle="1" w:styleId="168">
    <w:name w:val="正文文本缩进 Char2"/>
    <w:qFormat/>
    <w:uiPriority w:val="0"/>
    <w:rPr>
      <w:rFonts w:ascii="Times New Roman" w:hAnsi="Times New Roman" w:eastAsia="宋体" w:cs="Times New Roman"/>
      <w:snapToGrid w:val="0"/>
      <w:kern w:val="0"/>
      <w:szCs w:val="24"/>
    </w:rPr>
  </w:style>
  <w:style w:type="character" w:customStyle="1" w:styleId="169">
    <w:name w:val="样式2 Char"/>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qFormat/>
    <w:uiPriority w:val="0"/>
    <w:rPr>
      <w:sz w:val="32"/>
    </w:rPr>
  </w:style>
  <w:style w:type="paragraph" w:customStyle="1" w:styleId="171">
    <w:name w:val="表格名称"/>
    <w:basedOn w:val="4"/>
    <w:link w:val="170"/>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qFormat/>
    <w:uiPriority w:val="0"/>
    <w:rPr>
      <w:rFonts w:eastAsia="宋体"/>
      <w:b/>
      <w:sz w:val="24"/>
      <w:lang w:val="en-GB" w:eastAsia="zh-CN" w:bidi="ar-SA"/>
    </w:rPr>
  </w:style>
  <w:style w:type="character" w:customStyle="1" w:styleId="173">
    <w:name w:val="c7 style3"/>
    <w:qFormat/>
    <w:uiPriority w:val="0"/>
  </w:style>
  <w:style w:type="character" w:customStyle="1" w:styleId="174">
    <w:name w:val="正文文本 3 Char1"/>
    <w:semiHidden/>
    <w:qFormat/>
    <w:uiPriority w:val="99"/>
    <w:rPr>
      <w:rFonts w:ascii="Times New Roman" w:hAnsi="Times New Roman" w:eastAsia="宋体" w:cs="Times New Roman"/>
      <w:sz w:val="16"/>
      <w:szCs w:val="16"/>
    </w:rPr>
  </w:style>
  <w:style w:type="character" w:customStyle="1" w:styleId="175">
    <w:name w:val="tw4winInternal"/>
    <w:qFormat/>
    <w:uiPriority w:val="0"/>
    <w:rPr>
      <w:rFonts w:ascii="Courier New" w:hAnsi="Courier New" w:cs="Courier New"/>
      <w:color w:val="FF0000"/>
      <w:lang w:val="en-US" w:eastAsia="zh-CN"/>
    </w:rPr>
  </w:style>
  <w:style w:type="character" w:customStyle="1" w:styleId="176">
    <w:name w:val="Char Char10"/>
    <w:semiHidden/>
    <w:qFormat/>
    <w:uiPriority w:val="0"/>
    <w:rPr>
      <w:rFonts w:ascii="宋体" w:hAnsi="宋体"/>
      <w:kern w:val="2"/>
      <w:sz w:val="21"/>
      <w:szCs w:val="24"/>
      <w:lang w:val="en-US" w:eastAsia="zh-CN"/>
    </w:rPr>
  </w:style>
  <w:style w:type="character" w:customStyle="1" w:styleId="177">
    <w:name w:val="shadow11"/>
    <w:qFormat/>
    <w:uiPriority w:val="0"/>
    <w:rPr>
      <w:color w:val="000000"/>
      <w:sz w:val="21"/>
    </w:rPr>
  </w:style>
  <w:style w:type="character" w:customStyle="1" w:styleId="178">
    <w:name w:val="正文非缩进 Char3"/>
    <w:qFormat/>
    <w:uiPriority w:val="0"/>
    <w:rPr>
      <w:rFonts w:ascii="宋体" w:eastAsia="宋体"/>
      <w:snapToGrid w:val="0"/>
      <w:color w:val="000000"/>
      <w:kern w:val="28"/>
      <w:sz w:val="28"/>
      <w:lang w:val="en-US" w:eastAsia="zh-CN" w:bidi="ar-SA"/>
    </w:rPr>
  </w:style>
  <w:style w:type="character" w:customStyle="1" w:styleId="179">
    <w:name w:val="Char Char"/>
    <w:qFormat/>
    <w:uiPriority w:val="0"/>
    <w:rPr>
      <w:rFonts w:ascii="宋体" w:hAnsi="Courier New" w:eastAsia="宋体"/>
      <w:kern w:val="2"/>
      <w:sz w:val="21"/>
      <w:lang w:val="en-US" w:eastAsia="zh-CN" w:bidi="ar-SA"/>
    </w:rPr>
  </w:style>
  <w:style w:type="character" w:customStyle="1" w:styleId="180">
    <w:name w:val="签名 Char1"/>
    <w:qFormat/>
    <w:uiPriority w:val="0"/>
    <w:rPr>
      <w:rFonts w:ascii="Times New Roman" w:hAnsi="Times New Roman" w:eastAsia="宋体" w:cs="Times New Roman"/>
      <w:szCs w:val="24"/>
    </w:rPr>
  </w:style>
  <w:style w:type="character" w:customStyle="1" w:styleId="181">
    <w:name w:val="日期 字符"/>
    <w:link w:val="38"/>
    <w:qFormat/>
    <w:uiPriority w:val="0"/>
    <w:rPr>
      <w:rFonts w:ascii="宋体"/>
      <w:kern w:val="2"/>
      <w:sz w:val="24"/>
      <w:szCs w:val="21"/>
      <w:lang w:val="zh-CN"/>
    </w:rPr>
  </w:style>
  <w:style w:type="character" w:customStyle="1" w:styleId="182">
    <w:name w:val="标题 9 字符"/>
    <w:link w:val="12"/>
    <w:qFormat/>
    <w:uiPriority w:val="0"/>
    <w:rPr>
      <w:rFonts w:ascii="Arial" w:hAnsi="Arial" w:eastAsia="黑体"/>
      <w:kern w:val="2"/>
      <w:sz w:val="21"/>
      <w:szCs w:val="21"/>
    </w:rPr>
  </w:style>
  <w:style w:type="character" w:customStyle="1" w:styleId="183">
    <w:name w:val="Char Char18"/>
    <w:qFormat/>
    <w:uiPriority w:val="6"/>
    <w:rPr>
      <w:rFonts w:ascii="宋体" w:hAnsi="宋体"/>
      <w:sz w:val="28"/>
    </w:rPr>
  </w:style>
  <w:style w:type="character" w:customStyle="1" w:styleId="184">
    <w:name w:val="批注文字 Char"/>
    <w:qFormat/>
    <w:uiPriority w:val="99"/>
    <w:rPr>
      <w:kern w:val="2"/>
      <w:sz w:val="21"/>
      <w:szCs w:val="24"/>
    </w:rPr>
  </w:style>
  <w:style w:type="character" w:customStyle="1" w:styleId="185">
    <w:name w:val="Char Char22"/>
    <w:qFormat/>
    <w:uiPriority w:val="6"/>
    <w:rPr>
      <w:rFonts w:ascii="宋体" w:hAnsi="宋体"/>
      <w:kern w:val="1"/>
      <w:sz w:val="24"/>
      <w:szCs w:val="24"/>
    </w:rPr>
  </w:style>
  <w:style w:type="character" w:customStyle="1" w:styleId="186">
    <w:name w:val="pt141"/>
    <w:qFormat/>
    <w:uiPriority w:val="0"/>
    <w:rPr>
      <w:color w:val="330066"/>
      <w:sz w:val="22"/>
      <w:szCs w:val="22"/>
    </w:rPr>
  </w:style>
  <w:style w:type="character" w:customStyle="1" w:styleId="187">
    <w:name w:val="正文文本缩进 2 Char1"/>
    <w:semiHidden/>
    <w:qFormat/>
    <w:uiPriority w:val="99"/>
    <w:rPr>
      <w:rFonts w:ascii="Times New Roman" w:hAnsi="Times New Roman" w:eastAsia="宋体" w:cs="Times New Roman"/>
      <w:szCs w:val="24"/>
    </w:rPr>
  </w:style>
  <w:style w:type="character" w:customStyle="1" w:styleId="188">
    <w:name w:val="批注框文本 字符1"/>
    <w:link w:val="41"/>
    <w:qFormat/>
    <w:uiPriority w:val="0"/>
    <w:rPr>
      <w:kern w:val="2"/>
      <w:sz w:val="18"/>
      <w:szCs w:val="18"/>
    </w:rPr>
  </w:style>
  <w:style w:type="character" w:customStyle="1" w:styleId="189">
    <w:name w:val="Char Char611"/>
    <w:qFormat/>
    <w:uiPriority w:val="0"/>
    <w:rPr>
      <w:rFonts w:eastAsia="宋体"/>
      <w:kern w:val="2"/>
      <w:sz w:val="21"/>
      <w:szCs w:val="24"/>
      <w:lang w:val="en-US" w:eastAsia="zh-CN" w:bidi="ar-SA"/>
    </w:rPr>
  </w:style>
  <w:style w:type="character" w:customStyle="1" w:styleId="190">
    <w:name w:val="highlight1"/>
    <w:qFormat/>
    <w:uiPriority w:val="0"/>
    <w:rPr>
      <w:rFonts w:ascii="仿宋_GB2312" w:eastAsia="微软雅黑"/>
      <w:b/>
      <w:kern w:val="2"/>
      <w:sz w:val="23"/>
      <w:szCs w:val="23"/>
      <w:lang w:val="en-US" w:eastAsia="zh-CN" w:bidi="ar-SA"/>
    </w:rPr>
  </w:style>
  <w:style w:type="character" w:customStyle="1" w:styleId="191">
    <w:name w:val="my正文 Char"/>
    <w:link w:val="192"/>
    <w:qFormat/>
    <w:locked/>
    <w:uiPriority w:val="0"/>
    <w:rPr>
      <w:rFonts w:ascii="Tahoma" w:hAnsi="Tahoma"/>
      <w:sz w:val="24"/>
      <w:szCs w:val="24"/>
    </w:rPr>
  </w:style>
  <w:style w:type="paragraph" w:customStyle="1" w:styleId="192">
    <w:name w:val="my正文"/>
    <w:basedOn w:val="1"/>
    <w:link w:val="191"/>
    <w:qFormat/>
    <w:uiPriority w:val="0"/>
    <w:pPr>
      <w:adjustRightInd/>
      <w:spacing w:line="360" w:lineRule="auto"/>
      <w:ind w:firstLine="480" w:firstLineChars="200"/>
    </w:pPr>
    <w:rPr>
      <w:rFonts w:ascii="Tahoma" w:hAnsi="Tahoma"/>
      <w:kern w:val="0"/>
      <w:sz w:val="24"/>
    </w:rPr>
  </w:style>
  <w:style w:type="character" w:customStyle="1" w:styleId="193">
    <w:name w:val="正文缩进 字符2"/>
    <w:link w:val="6"/>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qFormat/>
    <w:uiPriority w:val="0"/>
    <w:rPr>
      <w:color w:val="0000FF"/>
      <w:sz w:val="21"/>
    </w:rPr>
  </w:style>
  <w:style w:type="character" w:customStyle="1" w:styleId="195">
    <w:name w:val="页眉 Char"/>
    <w:qFormat/>
    <w:uiPriority w:val="0"/>
    <w:rPr>
      <w:rFonts w:eastAsia="仿宋_GB2312"/>
      <w:kern w:val="2"/>
      <w:sz w:val="18"/>
      <w:lang w:val="en-US" w:eastAsia="zh-CN"/>
    </w:rPr>
  </w:style>
  <w:style w:type="character" w:customStyle="1" w:styleId="196">
    <w:name w:val="FA正文 Char Char"/>
    <w:qFormat/>
    <w:uiPriority w:val="0"/>
    <w:rPr>
      <w:rFonts w:hAnsi="宋体"/>
      <w:kern w:val="2"/>
      <w:sz w:val="24"/>
      <w:lang w:bidi="ar-SA"/>
    </w:rPr>
  </w:style>
  <w:style w:type="character" w:customStyle="1" w:styleId="197">
    <w:name w:val="纯文本 字符"/>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qFormat/>
    <w:uiPriority w:val="0"/>
    <w:rPr>
      <w:rFonts w:ascii="宋体" w:hAnsi="宋体"/>
      <w:b/>
      <w:bCs/>
      <w:snapToGrid/>
      <w:sz w:val="28"/>
    </w:rPr>
  </w:style>
  <w:style w:type="paragraph" w:customStyle="1" w:styleId="199">
    <w:name w:val="3级"/>
    <w:basedOn w:val="200"/>
    <w:link w:val="198"/>
    <w:qFormat/>
    <w:uiPriority w:val="0"/>
    <w:pPr>
      <w:ind w:left="0" w:right="466" w:firstLine="288"/>
    </w:pPr>
    <w:rPr>
      <w:rFonts w:hAnsi="宋体"/>
      <w:snapToGrid/>
    </w:rPr>
  </w:style>
  <w:style w:type="paragraph" w:customStyle="1" w:styleId="200">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qFormat/>
    <w:uiPriority w:val="0"/>
    <w:rPr>
      <w:rFonts w:ascii="仿宋_GB2312" w:eastAsia="微软雅黑"/>
      <w:b/>
      <w:kern w:val="2"/>
      <w:sz w:val="32"/>
      <w:szCs w:val="32"/>
      <w:lang w:val="en-US" w:eastAsia="zh-CN" w:bidi="ar-SA"/>
    </w:rPr>
  </w:style>
  <w:style w:type="character" w:customStyle="1" w:styleId="202">
    <w:name w:val="文档结构图 字符"/>
    <w:link w:val="19"/>
    <w:qFormat/>
    <w:uiPriority w:val="0"/>
    <w:rPr>
      <w:kern w:val="2"/>
      <w:sz w:val="21"/>
      <w:szCs w:val="24"/>
      <w:shd w:val="clear" w:color="auto" w:fill="000080"/>
    </w:rPr>
  </w:style>
  <w:style w:type="character" w:customStyle="1" w:styleId="203">
    <w:name w:val="H6 Char"/>
    <w:qFormat/>
    <w:uiPriority w:val="0"/>
    <w:rPr>
      <w:rFonts w:ascii="Arial" w:hAnsi="Arial" w:eastAsia="黑体"/>
      <w:b/>
      <w:bCs/>
      <w:kern w:val="2"/>
      <w:sz w:val="24"/>
      <w:szCs w:val="24"/>
    </w:rPr>
  </w:style>
  <w:style w:type="character" w:customStyle="1" w:styleId="204">
    <w:name w:val="Char Char91"/>
    <w:qFormat/>
    <w:uiPriority w:val="0"/>
    <w:rPr>
      <w:rFonts w:eastAsia="宋体"/>
      <w:kern w:val="2"/>
      <w:sz w:val="18"/>
      <w:szCs w:val="18"/>
      <w:lang w:val="en-US" w:eastAsia="zh-CN" w:bidi="ar-SA"/>
    </w:rPr>
  </w:style>
  <w:style w:type="character" w:customStyle="1" w:styleId="205">
    <w:name w:val="副标题 Char1"/>
    <w:qFormat/>
    <w:uiPriority w:val="0"/>
    <w:rPr>
      <w:rFonts w:ascii="Cambria" w:hAnsi="Cambria" w:eastAsia="宋体" w:cs="Times New Roman"/>
      <w:b/>
      <w:bCs/>
      <w:snapToGrid w:val="0"/>
      <w:kern w:val="28"/>
      <w:sz w:val="32"/>
      <w:szCs w:val="32"/>
    </w:rPr>
  </w:style>
  <w:style w:type="character" w:customStyle="1" w:styleId="206">
    <w:name w:val="font61"/>
    <w:qFormat/>
    <w:uiPriority w:val="0"/>
    <w:rPr>
      <w:rFonts w:hint="eastAsia" w:ascii="仿宋" w:hAnsi="仿宋" w:eastAsia="仿宋" w:cs="仿宋"/>
      <w:color w:val="000000"/>
      <w:sz w:val="20"/>
      <w:szCs w:val="20"/>
      <w:u w:val="none"/>
    </w:rPr>
  </w:style>
  <w:style w:type="character" w:customStyle="1" w:styleId="20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qFormat/>
    <w:uiPriority w:val="0"/>
    <w:rPr>
      <w:rFonts w:eastAsia="宋体"/>
      <w:b/>
      <w:bCs/>
      <w:kern w:val="2"/>
      <w:sz w:val="21"/>
      <w:szCs w:val="24"/>
      <w:lang w:val="en-US" w:eastAsia="zh-CN" w:bidi="ar-SA"/>
    </w:rPr>
  </w:style>
  <w:style w:type="character" w:customStyle="1" w:styleId="209">
    <w:name w:val="标题 2 Char"/>
    <w:qFormat/>
    <w:uiPriority w:val="0"/>
    <w:rPr>
      <w:rFonts w:ascii="Arial" w:hAnsi="Arial" w:eastAsia="黑体"/>
      <w:b/>
      <w:kern w:val="2"/>
      <w:sz w:val="32"/>
      <w:lang w:val="en-US" w:eastAsia="zh-CN"/>
    </w:rPr>
  </w:style>
  <w:style w:type="character" w:customStyle="1" w:styleId="210">
    <w:name w:val="maywed421"/>
    <w:qFormat/>
    <w:uiPriority w:val="0"/>
    <w:rPr>
      <w:color w:val="366FB6"/>
      <w:u w:val="none"/>
    </w:rPr>
  </w:style>
  <w:style w:type="character" w:customStyle="1" w:styleId="211">
    <w:name w:val="正文文本缩进 Char"/>
    <w:qFormat/>
    <w:uiPriority w:val="0"/>
    <w:rPr>
      <w:rFonts w:ascii="宋体" w:hAnsi="宋体"/>
      <w:kern w:val="2"/>
      <w:sz w:val="24"/>
      <w:szCs w:val="24"/>
    </w:rPr>
  </w:style>
  <w:style w:type="character" w:customStyle="1" w:styleId="212">
    <w:name w:val="Char Char102"/>
    <w:semiHidden/>
    <w:qFormat/>
    <w:uiPriority w:val="0"/>
    <w:rPr>
      <w:rFonts w:ascii="宋体" w:hAnsi="宋体"/>
      <w:kern w:val="2"/>
      <w:sz w:val="21"/>
      <w:szCs w:val="24"/>
      <w:lang w:val="en-US" w:eastAsia="zh-CN"/>
    </w:rPr>
  </w:style>
  <w:style w:type="character" w:customStyle="1" w:styleId="213">
    <w:name w:val="页眉 Char1"/>
    <w:qFormat/>
    <w:uiPriority w:val="0"/>
    <w:rPr>
      <w:rFonts w:eastAsia="宋体"/>
      <w:kern w:val="2"/>
      <w:sz w:val="18"/>
      <w:szCs w:val="18"/>
      <w:lang w:val="en-US" w:eastAsia="zh-CN" w:bidi="ar-SA"/>
    </w:rPr>
  </w:style>
  <w:style w:type="character" w:customStyle="1" w:styleId="214">
    <w:name w:val="md"/>
    <w:basedOn w:val="69"/>
    <w:qFormat/>
    <w:uiPriority w:val="0"/>
    <w:rPr>
      <w:rFonts w:ascii="Arial" w:hAnsi="Arial" w:eastAsia="黑体" w:cs="Arial"/>
      <w:snapToGrid w:val="0"/>
      <w:kern w:val="0"/>
      <w:szCs w:val="21"/>
    </w:rPr>
  </w:style>
  <w:style w:type="character" w:customStyle="1" w:styleId="215">
    <w:name w:val="big1"/>
    <w:qFormat/>
    <w:uiPriority w:val="0"/>
    <w:rPr>
      <w:rFonts w:hint="eastAsia" w:ascii="宋体" w:hAnsi="宋体" w:eastAsia="宋体"/>
      <w:color w:val="333333"/>
      <w:sz w:val="22"/>
      <w:szCs w:val="22"/>
    </w:rPr>
  </w:style>
  <w:style w:type="character" w:customStyle="1" w:styleId="216">
    <w:name w:val="Char Char311"/>
    <w:qFormat/>
    <w:uiPriority w:val="0"/>
    <w:rPr>
      <w:rFonts w:eastAsia="宋体"/>
      <w:kern w:val="2"/>
      <w:sz w:val="21"/>
      <w:szCs w:val="24"/>
      <w:lang w:val="en-US" w:eastAsia="zh-CN" w:bidi="ar-SA"/>
    </w:rPr>
  </w:style>
  <w:style w:type="character" w:customStyle="1" w:styleId="217">
    <w:name w:val="Char Char81"/>
    <w:qFormat/>
    <w:uiPriority w:val="6"/>
    <w:rPr>
      <w:rFonts w:eastAsia="宋体"/>
      <w:b/>
      <w:sz w:val="24"/>
      <w:lang w:val="en-GB" w:eastAsia="zh-CN"/>
    </w:rPr>
  </w:style>
  <w:style w:type="character" w:customStyle="1" w:styleId="218">
    <w:name w:val="样式3 Char"/>
    <w:basedOn w:val="169"/>
    <w:qFormat/>
    <w:uiPriority w:val="0"/>
    <w:rPr>
      <w:rFonts w:ascii="仿宋_GB2312" w:hAnsi="仿宋" w:eastAsia="仿宋_GB2312" w:cs="仿宋_GB2312"/>
      <w:sz w:val="32"/>
      <w:szCs w:val="30"/>
      <w:lang w:val="zh-CN"/>
    </w:rPr>
  </w:style>
  <w:style w:type="character" w:customStyle="1" w:styleId="219">
    <w:name w:val="HTML 地址 字符"/>
    <w:link w:val="32"/>
    <w:qFormat/>
    <w:uiPriority w:val="0"/>
    <w:rPr>
      <w:rFonts w:ascii="宋体" w:hAnsi="宋体"/>
      <w:i/>
      <w:iCs/>
      <w:sz w:val="24"/>
      <w:szCs w:val="24"/>
    </w:rPr>
  </w:style>
  <w:style w:type="character" w:customStyle="1" w:styleId="220">
    <w:name w:val="正文首行缩进 2 Char1"/>
    <w:qFormat/>
    <w:uiPriority w:val="0"/>
    <w:rPr>
      <w:rFonts w:ascii="Times New Roman" w:hAnsi="Times New Roman" w:eastAsia="宋体" w:cs="Times New Roman"/>
      <w:kern w:val="2"/>
      <w:sz w:val="24"/>
      <w:szCs w:val="24"/>
    </w:rPr>
  </w:style>
  <w:style w:type="character" w:customStyle="1" w:styleId="221">
    <w:name w:val="副标题 Char2"/>
    <w:qFormat/>
    <w:uiPriority w:val="0"/>
    <w:rPr>
      <w:rFonts w:ascii="Cambria" w:hAnsi="Cambria" w:eastAsia="宋体" w:cs="Times New Roman"/>
      <w:b/>
      <w:bCs/>
      <w:snapToGrid w:val="0"/>
      <w:kern w:val="28"/>
      <w:sz w:val="32"/>
      <w:szCs w:val="32"/>
    </w:rPr>
  </w:style>
  <w:style w:type="character" w:customStyle="1" w:styleId="222">
    <w:name w:val="标题4-dyf Char"/>
    <w:link w:val="223"/>
    <w:qFormat/>
    <w:uiPriority w:val="0"/>
    <w:rPr>
      <w:rFonts w:ascii="Cambria" w:hAnsi="Cambria"/>
      <w:b/>
      <w:bCs/>
      <w:color w:val="000000"/>
      <w:kern w:val="2"/>
      <w:sz w:val="21"/>
      <w:szCs w:val="21"/>
    </w:rPr>
  </w:style>
  <w:style w:type="paragraph" w:customStyle="1" w:styleId="223">
    <w:name w:val="标题4-dyf"/>
    <w:basedOn w:val="7"/>
    <w:link w:val="222"/>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qFormat/>
    <w:uiPriority w:val="0"/>
    <w:rPr>
      <w:rFonts w:ascii="宋体" w:hAnsi="宋体" w:eastAsia="宋体"/>
      <w:color w:val="333333"/>
      <w:sz w:val="21"/>
      <w:szCs w:val="21"/>
      <w:u w:val="none"/>
    </w:rPr>
  </w:style>
  <w:style w:type="character" w:customStyle="1" w:styleId="225">
    <w:name w:val="冯 Char"/>
    <w:link w:val="226"/>
    <w:qFormat/>
    <w:uiPriority w:val="0"/>
    <w:rPr>
      <w:rFonts w:ascii="宋体" w:hAnsi="宋体"/>
      <w:color w:val="000000"/>
      <w:sz w:val="24"/>
      <w:szCs w:val="24"/>
    </w:rPr>
  </w:style>
  <w:style w:type="paragraph" w:customStyle="1" w:styleId="226">
    <w:name w:val="冯"/>
    <w:basedOn w:val="1"/>
    <w:link w:val="225"/>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qFormat/>
    <w:locked/>
    <w:uiPriority w:val="0"/>
    <w:rPr>
      <w:rFonts w:eastAsia="宋体"/>
      <w:kern w:val="2"/>
      <w:sz w:val="18"/>
      <w:szCs w:val="18"/>
      <w:lang w:val="en-US" w:eastAsia="zh-CN" w:bidi="ar-SA"/>
    </w:rPr>
  </w:style>
  <w:style w:type="character" w:customStyle="1" w:styleId="228">
    <w:name w:val="Char Char12"/>
    <w:qFormat/>
    <w:uiPriority w:val="0"/>
    <w:rPr>
      <w:rFonts w:ascii="仿宋_GB2312" w:eastAsia="仿宋_GB2312"/>
      <w:b/>
      <w:bCs/>
      <w:kern w:val="2"/>
      <w:sz w:val="24"/>
      <w:szCs w:val="24"/>
      <w:lang w:val="zh-CN" w:eastAsia="zh-CN" w:bidi="ar-SA"/>
    </w:rPr>
  </w:style>
  <w:style w:type="character" w:customStyle="1" w:styleId="229">
    <w:name w:val="题注 字符"/>
    <w:link w:val="17"/>
    <w:qFormat/>
    <w:uiPriority w:val="0"/>
    <w:rPr>
      <w:b/>
      <w:kern w:val="2"/>
      <w:sz w:val="28"/>
    </w:rPr>
  </w:style>
  <w:style w:type="character" w:customStyle="1" w:styleId="230">
    <w:name w:val="普通文字 Char3"/>
    <w:qFormat/>
    <w:uiPriority w:val="0"/>
    <w:rPr>
      <w:rFonts w:ascii="宋体" w:hAnsi="Courier New" w:eastAsia="宋体"/>
      <w:kern w:val="2"/>
      <w:sz w:val="21"/>
      <w:lang w:val="en-US" w:eastAsia="zh-CN" w:bidi="ar-SA"/>
    </w:rPr>
  </w:style>
  <w:style w:type="character" w:customStyle="1" w:styleId="231">
    <w:name w:val="公文正文 Char"/>
    <w:qFormat/>
    <w:uiPriority w:val="0"/>
    <w:rPr>
      <w:rFonts w:ascii="仿宋_GB2312" w:eastAsia="仿宋_GB2312"/>
      <w:kern w:val="2"/>
      <w:sz w:val="24"/>
      <w:szCs w:val="24"/>
      <w:lang w:val="en-US" w:eastAsia="zh-CN" w:bidi="ar-SA"/>
    </w:rPr>
  </w:style>
  <w:style w:type="character" w:customStyle="1" w:styleId="232">
    <w:name w:val="正文首行缩进 Char Char Char Char Char"/>
    <w:qFormat/>
    <w:uiPriority w:val="0"/>
    <w:rPr>
      <w:rFonts w:ascii="宋体"/>
      <w:kern w:val="2"/>
      <w:sz w:val="24"/>
      <w:lang w:val="zh-CN"/>
    </w:rPr>
  </w:style>
  <w:style w:type="character" w:customStyle="1" w:styleId="233">
    <w:name w:val="PI Char"/>
    <w:qFormat/>
    <w:uiPriority w:val="0"/>
    <w:rPr>
      <w:rFonts w:ascii="宋体" w:hAnsi="宋体" w:eastAsia="宋体"/>
      <w:kern w:val="2"/>
      <w:sz w:val="24"/>
      <w:szCs w:val="24"/>
      <w:lang w:val="en-US" w:eastAsia="zh-CN" w:bidi="ar-SA"/>
    </w:rPr>
  </w:style>
  <w:style w:type="character" w:customStyle="1" w:styleId="234">
    <w:name w:val="Default Char"/>
    <w:link w:val="235"/>
    <w:qFormat/>
    <w:uiPriority w:val="0"/>
    <w:rPr>
      <w:rFonts w:ascii="仿宋_GB2312" w:eastAsia="仿宋_GB2312" w:cs="仿宋_GB2312"/>
      <w:color w:val="000000"/>
      <w:sz w:val="24"/>
      <w:szCs w:val="24"/>
      <w:lang w:val="en-US" w:eastAsia="zh-CN" w:bidi="ar-SA"/>
    </w:rPr>
  </w:style>
  <w:style w:type="paragraph" w:customStyle="1" w:styleId="235">
    <w:name w:val="Default"/>
    <w:link w:val="23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6">
    <w:name w:val="style91"/>
    <w:qFormat/>
    <w:uiPriority w:val="0"/>
    <w:rPr>
      <w:color w:val="333333"/>
    </w:rPr>
  </w:style>
  <w:style w:type="character" w:customStyle="1" w:styleId="237">
    <w:name w:val="列出段落 Char2"/>
    <w:qFormat/>
    <w:uiPriority w:val="34"/>
    <w:rPr>
      <w:rFonts w:ascii="Calibri" w:hAnsi="Calibri"/>
      <w:kern w:val="2"/>
      <w:sz w:val="28"/>
    </w:rPr>
  </w:style>
  <w:style w:type="character" w:customStyle="1" w:styleId="238">
    <w:name w:val="mdeck"/>
    <w:qFormat/>
    <w:uiPriority w:val="0"/>
    <w:rPr>
      <w:rFonts w:ascii="仿宋_GB2312" w:eastAsia="微软雅黑"/>
      <w:b/>
      <w:kern w:val="2"/>
      <w:sz w:val="32"/>
      <w:szCs w:val="32"/>
      <w:lang w:val="en-US" w:eastAsia="zh-CN" w:bidi="ar-SA"/>
    </w:rPr>
  </w:style>
  <w:style w:type="character" w:customStyle="1" w:styleId="239">
    <w:name w:val="unnamed11"/>
    <w:qFormat/>
    <w:uiPriority w:val="0"/>
    <w:rPr>
      <w:sz w:val="20"/>
      <w:szCs w:val="20"/>
    </w:rPr>
  </w:style>
  <w:style w:type="character" w:customStyle="1" w:styleId="240">
    <w:name w:val="正文文本 Char2"/>
    <w:semiHidden/>
    <w:qFormat/>
    <w:uiPriority w:val="99"/>
    <w:rPr>
      <w:rFonts w:ascii="Times New Roman" w:hAnsi="Times New Roman" w:eastAsia="宋体" w:cs="Times New Roman"/>
      <w:snapToGrid w:val="0"/>
      <w:kern w:val="0"/>
      <w:szCs w:val="24"/>
    </w:rPr>
  </w:style>
  <w:style w:type="character" w:customStyle="1" w:styleId="241">
    <w:name w:val="标书正文格式 Char"/>
    <w:qFormat/>
    <w:uiPriority w:val="0"/>
    <w:rPr>
      <w:rFonts w:eastAsia="楷体_GB2312"/>
      <w:kern w:val="2"/>
      <w:sz w:val="24"/>
      <w:szCs w:val="24"/>
      <w:lang w:bidi="ar-SA"/>
    </w:rPr>
  </w:style>
  <w:style w:type="character" w:customStyle="1" w:styleId="242">
    <w:name w:val="Char Char11"/>
    <w:qFormat/>
    <w:locked/>
    <w:uiPriority w:val="0"/>
    <w:rPr>
      <w:rFonts w:ascii="宋体" w:hAnsi="宋体" w:eastAsia="宋体"/>
      <w:b/>
      <w:kern w:val="2"/>
      <w:sz w:val="24"/>
      <w:szCs w:val="24"/>
      <w:lang w:val="en-US" w:eastAsia="zh-CN" w:bidi="ar-SA"/>
    </w:rPr>
  </w:style>
  <w:style w:type="character" w:customStyle="1" w:styleId="243">
    <w:name w:val="ca-131"/>
    <w:qFormat/>
    <w:uiPriority w:val="0"/>
    <w:rPr>
      <w:rFonts w:hint="eastAsia" w:ascii="仿宋_GB2312" w:eastAsia="仿宋_GB2312"/>
      <w:b/>
      <w:bCs/>
      <w:color w:val="000000"/>
      <w:spacing w:val="-20"/>
      <w:sz w:val="24"/>
      <w:szCs w:val="24"/>
    </w:rPr>
  </w:style>
  <w:style w:type="character" w:customStyle="1" w:styleId="244">
    <w:name w:val="tw4winMark"/>
    <w:qFormat/>
    <w:uiPriority w:val="0"/>
    <w:rPr>
      <w:rFonts w:ascii="Courier New" w:hAnsi="Courier New" w:cs="Courier New"/>
      <w:vanish/>
      <w:color w:val="800080"/>
      <w:sz w:val="24"/>
      <w:szCs w:val="24"/>
      <w:vertAlign w:val="subscript"/>
    </w:rPr>
  </w:style>
  <w:style w:type="character" w:customStyle="1" w:styleId="245">
    <w:name w:val="正文样式 Char"/>
    <w:link w:val="246"/>
    <w:qFormat/>
    <w:uiPriority w:val="0"/>
    <w:rPr>
      <w:rFonts w:ascii="Calibri" w:hAnsi="Calibri"/>
      <w:sz w:val="24"/>
      <w:szCs w:val="24"/>
    </w:rPr>
  </w:style>
  <w:style w:type="paragraph" w:customStyle="1" w:styleId="246">
    <w:name w:val="正文样式"/>
    <w:basedOn w:val="1"/>
    <w:link w:val="245"/>
    <w:qFormat/>
    <w:uiPriority w:val="0"/>
    <w:pPr>
      <w:adjustRightInd/>
      <w:spacing w:line="360" w:lineRule="auto"/>
      <w:ind w:firstLine="480" w:firstLineChars="200"/>
    </w:pPr>
    <w:rPr>
      <w:kern w:val="0"/>
      <w:sz w:val="24"/>
    </w:rPr>
  </w:style>
  <w:style w:type="character" w:customStyle="1" w:styleId="247">
    <w:name w:val="表正文 Char3"/>
    <w:qFormat/>
    <w:uiPriority w:val="0"/>
    <w:rPr>
      <w:rFonts w:eastAsia="宋体"/>
    </w:rPr>
  </w:style>
  <w:style w:type="character" w:customStyle="1" w:styleId="248">
    <w:name w:val="H5 Char"/>
    <w:qFormat/>
    <w:uiPriority w:val="0"/>
    <w:rPr>
      <w:b/>
      <w:bCs/>
      <w:kern w:val="2"/>
      <w:sz w:val="28"/>
      <w:szCs w:val="28"/>
    </w:rPr>
  </w:style>
  <w:style w:type="character" w:customStyle="1" w:styleId="249">
    <w:name w:val="Char Char3"/>
    <w:qFormat/>
    <w:uiPriority w:val="0"/>
    <w:rPr>
      <w:rFonts w:eastAsia="宋体"/>
      <w:kern w:val="2"/>
      <w:sz w:val="21"/>
      <w:szCs w:val="24"/>
      <w:lang w:val="en-US" w:eastAsia="zh-CN" w:bidi="ar-SA"/>
    </w:rPr>
  </w:style>
  <w:style w:type="character" w:customStyle="1" w:styleId="250">
    <w:name w:val="正文 编号 Char"/>
    <w:qFormat/>
    <w:uiPriority w:val="0"/>
    <w:rPr>
      <w:rFonts w:ascii="仿宋_GB2312" w:hAnsi="仿宋_GB2312" w:eastAsia="仿宋_GB2312"/>
      <w:kern w:val="2"/>
      <w:sz w:val="24"/>
      <w:lang w:bidi="ar-SA"/>
    </w:rPr>
  </w:style>
  <w:style w:type="character" w:customStyle="1" w:styleId="251">
    <w:name w:val="question-title2"/>
    <w:qFormat/>
    <w:uiPriority w:val="6"/>
    <w:rPr>
      <w:rFonts w:ascii="Arial" w:hAnsi="Arial" w:eastAsia="黑体" w:cs="Arial"/>
      <w:snapToGrid w:val="0"/>
      <w:kern w:val="0"/>
      <w:szCs w:val="21"/>
    </w:rPr>
  </w:style>
  <w:style w:type="character" w:customStyle="1" w:styleId="252">
    <w:name w:val="gf正文1 Char Char"/>
    <w:link w:val="253"/>
    <w:qFormat/>
    <w:uiPriority w:val="0"/>
    <w:rPr>
      <w:rFonts w:ascii="宋体" w:hAnsi="宋体" w:cs="宋体"/>
      <w:kern w:val="2"/>
      <w:sz w:val="24"/>
      <w:szCs w:val="24"/>
    </w:rPr>
  </w:style>
  <w:style w:type="paragraph" w:customStyle="1" w:styleId="253">
    <w:name w:val="gf正文1"/>
    <w:basedOn w:val="1"/>
    <w:link w:val="252"/>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qFormat/>
    <w:uiPriority w:val="6"/>
    <w:rPr>
      <w:rFonts w:ascii="宋体" w:hAnsi="宋体"/>
      <w:kern w:val="1"/>
      <w:sz w:val="21"/>
    </w:rPr>
  </w:style>
  <w:style w:type="character" w:customStyle="1" w:styleId="255">
    <w:name w:val="正文缩进 Char3"/>
    <w:qFormat/>
    <w:uiPriority w:val="0"/>
    <w:rPr>
      <w:rFonts w:ascii="宋体" w:eastAsia="宋体"/>
      <w:snapToGrid w:val="0"/>
      <w:color w:val="000000"/>
      <w:kern w:val="28"/>
      <w:sz w:val="28"/>
      <w:lang w:val="en-US" w:eastAsia="zh-CN" w:bidi="ar-SA"/>
    </w:rPr>
  </w:style>
  <w:style w:type="character" w:customStyle="1" w:styleId="256">
    <w:name w:val="列出段落 Char1"/>
    <w:link w:val="257"/>
    <w:qFormat/>
    <w:uiPriority w:val="0"/>
    <w:rPr>
      <w:rFonts w:ascii="Calibri" w:hAnsi="Calibri"/>
      <w:sz w:val="24"/>
      <w:lang w:eastAsia="en-US"/>
    </w:rPr>
  </w:style>
  <w:style w:type="paragraph" w:customStyle="1" w:styleId="257">
    <w:name w:val="列表1"/>
    <w:basedOn w:val="1"/>
    <w:next w:val="258"/>
    <w:link w:val="256"/>
    <w:qFormat/>
    <w:uiPriority w:val="0"/>
    <w:pPr>
      <w:widowControl/>
      <w:adjustRightInd/>
      <w:spacing w:after="200" w:line="360" w:lineRule="auto"/>
      <w:ind w:left="720" w:firstLine="200" w:firstLineChars="200"/>
      <w:jc w:val="left"/>
    </w:pPr>
    <w:rPr>
      <w:kern w:val="0"/>
      <w:sz w:val="24"/>
      <w:szCs w:val="20"/>
      <w:lang w:eastAsia="en-US"/>
    </w:rPr>
  </w:style>
  <w:style w:type="paragraph" w:styleId="258">
    <w:name w:val="List Paragraph"/>
    <w:basedOn w:val="1"/>
    <w:qFormat/>
    <w:uiPriority w:val="34"/>
    <w:pPr>
      <w:spacing w:line="360" w:lineRule="auto"/>
      <w:ind w:firstLine="200" w:firstLineChars="200"/>
    </w:pPr>
    <w:rPr>
      <w:rFonts w:eastAsia="楷体_GB2312" w:cs="Lucida Sans"/>
      <w:sz w:val="24"/>
    </w:rPr>
  </w:style>
  <w:style w:type="character" w:customStyle="1" w:styleId="259">
    <w:name w:val="Char Char8"/>
    <w:qFormat/>
    <w:uiPriority w:val="0"/>
    <w:rPr>
      <w:rFonts w:eastAsia="宋体"/>
      <w:b/>
      <w:sz w:val="24"/>
      <w:lang w:val="en-GB" w:eastAsia="zh-CN"/>
    </w:rPr>
  </w:style>
  <w:style w:type="character" w:customStyle="1" w:styleId="260">
    <w:name w:val="Normal Indent Char Char"/>
    <w:qFormat/>
    <w:uiPriority w:val="0"/>
    <w:rPr>
      <w:rFonts w:eastAsia="宋体"/>
      <w:kern w:val="2"/>
      <w:sz w:val="21"/>
      <w:lang w:val="en-US" w:eastAsia="zh-CN" w:bidi="ar-SA"/>
    </w:rPr>
  </w:style>
  <w:style w:type="character" w:customStyle="1" w:styleId="261">
    <w:name w:val="列表段落 字符"/>
    <w:qFormat/>
    <w:uiPriority w:val="99"/>
  </w:style>
  <w:style w:type="character" w:customStyle="1" w:styleId="262">
    <w:name w:val="Ò³Ã¼ Char Char1"/>
    <w:qFormat/>
    <w:uiPriority w:val="0"/>
    <w:rPr>
      <w:rFonts w:eastAsia="宋体"/>
      <w:kern w:val="2"/>
      <w:sz w:val="18"/>
      <w:szCs w:val="18"/>
      <w:lang w:val="en-US" w:eastAsia="zh-CN" w:bidi="ar-SA"/>
    </w:rPr>
  </w:style>
  <w:style w:type="character" w:customStyle="1" w:styleId="263">
    <w:name w:val="方案正文 Char"/>
    <w:qFormat/>
    <w:uiPriority w:val="0"/>
    <w:rPr>
      <w:rFonts w:ascii="仿宋_GB2312" w:eastAsia="仿宋_GB2312"/>
      <w:b/>
      <w:color w:val="000000"/>
      <w:kern w:val="2"/>
      <w:sz w:val="24"/>
      <w:lang w:val="en-US" w:eastAsia="zh-CN" w:bidi="ar-SA"/>
    </w:rPr>
  </w:style>
  <w:style w:type="character" w:customStyle="1" w:styleId="264">
    <w:name w:val="Char Char30"/>
    <w:qFormat/>
    <w:uiPriority w:val="6"/>
    <w:rPr>
      <w:rFonts w:ascii="Arial" w:hAnsi="Arial" w:eastAsia="黑体"/>
      <w:kern w:val="1"/>
      <w:sz w:val="21"/>
      <w:szCs w:val="21"/>
    </w:rPr>
  </w:style>
  <w:style w:type="character" w:customStyle="1" w:styleId="265">
    <w:name w:val="正文文本缩进 字符1"/>
    <w:link w:val="24"/>
    <w:qFormat/>
    <w:uiPriority w:val="0"/>
    <w:rPr>
      <w:rFonts w:ascii="宋体" w:hAnsi="宋体"/>
      <w:kern w:val="2"/>
      <w:sz w:val="24"/>
      <w:szCs w:val="24"/>
    </w:rPr>
  </w:style>
  <w:style w:type="character" w:customStyle="1" w:styleId="266">
    <w:name w:val="font01"/>
    <w:qFormat/>
    <w:uiPriority w:val="0"/>
    <w:rPr>
      <w:rFonts w:hint="eastAsia" w:ascii="微软雅黑" w:hAnsi="微软雅黑" w:eastAsia="微软雅黑" w:cs="微软雅黑"/>
      <w:color w:val="000000"/>
      <w:sz w:val="20"/>
      <w:szCs w:val="20"/>
      <w:u w:val="none"/>
    </w:rPr>
  </w:style>
  <w:style w:type="character" w:customStyle="1" w:styleId="267">
    <w:name w:val="Char Char20"/>
    <w:qFormat/>
    <w:uiPriority w:val="6"/>
    <w:rPr>
      <w:kern w:val="1"/>
      <w:sz w:val="24"/>
    </w:rPr>
  </w:style>
  <w:style w:type="character" w:customStyle="1" w:styleId="268">
    <w:name w:val="tw4winExternal"/>
    <w:qFormat/>
    <w:uiPriority w:val="0"/>
    <w:rPr>
      <w:rFonts w:ascii="Courier New" w:hAnsi="Courier New" w:cs="Courier New"/>
      <w:color w:val="808080"/>
      <w:lang w:val="en-US" w:eastAsia="zh-CN"/>
    </w:rPr>
  </w:style>
  <w:style w:type="character" w:customStyle="1" w:styleId="269">
    <w:name w:val="标题 4 Char1"/>
    <w:qFormat/>
    <w:uiPriority w:val="9"/>
    <w:rPr>
      <w:rFonts w:ascii="Cambria" w:hAnsi="Cambria" w:eastAsia="宋体" w:cs="Times New Roman"/>
      <w:b/>
      <w:bCs/>
      <w:kern w:val="2"/>
      <w:sz w:val="28"/>
      <w:szCs w:val="28"/>
    </w:rPr>
  </w:style>
  <w:style w:type="character" w:customStyle="1" w:styleId="270">
    <w:name w:val="批注文字 Char2"/>
    <w:qFormat/>
    <w:uiPriority w:val="99"/>
    <w:rPr>
      <w:rFonts w:ascii="Times New Roman" w:hAnsi="Times New Roman" w:eastAsia="宋体" w:cs="Times New Roman"/>
      <w:snapToGrid w:val="0"/>
      <w:kern w:val="0"/>
      <w:szCs w:val="24"/>
    </w:rPr>
  </w:style>
  <w:style w:type="character" w:customStyle="1" w:styleId="271">
    <w:name w:val="正文文本 2 Char"/>
    <w:qFormat/>
    <w:uiPriority w:val="0"/>
    <w:rPr>
      <w:rFonts w:eastAsia="宋体"/>
      <w:kern w:val="2"/>
      <w:sz w:val="21"/>
      <w:szCs w:val="24"/>
      <w:lang w:val="en-US" w:eastAsia="zh-CN" w:bidi="ar-SA"/>
    </w:rPr>
  </w:style>
  <w:style w:type="character" w:customStyle="1" w:styleId="272">
    <w:name w:val="Ò³Ã¼ Char Char"/>
    <w:qFormat/>
    <w:uiPriority w:val="0"/>
    <w:rPr>
      <w:rFonts w:eastAsia="宋体"/>
      <w:kern w:val="2"/>
      <w:sz w:val="18"/>
      <w:lang w:val="en-US" w:eastAsia="zh-CN" w:bidi="ar-SA"/>
    </w:rPr>
  </w:style>
  <w:style w:type="character" w:customStyle="1" w:styleId="273">
    <w:name w:val="message1"/>
    <w:qFormat/>
    <w:uiPriority w:val="0"/>
    <w:rPr>
      <w:rFonts w:hint="default" w:ascii="Tahoma" w:hAnsi="Tahoma" w:cs="Tahoma"/>
      <w:sz w:val="18"/>
      <w:szCs w:val="18"/>
    </w:rPr>
  </w:style>
  <w:style w:type="character" w:customStyle="1" w:styleId="274">
    <w:name w:val="Char Char23"/>
    <w:qFormat/>
    <w:uiPriority w:val="6"/>
    <w:rPr>
      <w:color w:val="0000FF"/>
      <w:sz w:val="21"/>
    </w:rPr>
  </w:style>
  <w:style w:type="character" w:customStyle="1" w:styleId="275">
    <w:name w:val="批注框文本 字符"/>
    <w:qFormat/>
    <w:uiPriority w:val="0"/>
    <w:rPr>
      <w:rFonts w:ascii="Arial" w:hAnsi="Arial" w:eastAsia="黑体" w:cs="Arial"/>
      <w:snapToGrid w:val="0"/>
      <w:kern w:val="0"/>
      <w:sz w:val="18"/>
      <w:szCs w:val="18"/>
    </w:rPr>
  </w:style>
  <w:style w:type="character" w:customStyle="1" w:styleId="276">
    <w:name w:val="纯文本 Char2"/>
    <w:semiHidden/>
    <w:qFormat/>
    <w:uiPriority w:val="99"/>
    <w:rPr>
      <w:rFonts w:ascii="宋体" w:hAnsi="Courier New" w:eastAsia="宋体" w:cs="Courier New"/>
    </w:rPr>
  </w:style>
  <w:style w:type="character" w:customStyle="1" w:styleId="277">
    <w:name w:val="Char Char25"/>
    <w:qFormat/>
    <w:uiPriority w:val="6"/>
    <w:rPr>
      <w:rFonts w:ascii="宋体" w:hAnsi="宋体"/>
      <w:kern w:val="1"/>
      <w:sz w:val="24"/>
      <w:lang w:val="zh-CN"/>
    </w:rPr>
  </w:style>
  <w:style w:type="character" w:customStyle="1" w:styleId="278">
    <w:name w:val="Char Char411"/>
    <w:qFormat/>
    <w:uiPriority w:val="0"/>
    <w:rPr>
      <w:rFonts w:eastAsia="宋体"/>
      <w:b/>
      <w:sz w:val="24"/>
      <w:lang w:val="en-GB" w:eastAsia="zh-CN" w:bidi="ar-SA"/>
    </w:rPr>
  </w:style>
  <w:style w:type="character" w:customStyle="1" w:styleId="279">
    <w:name w:val="Heading 7 Char"/>
    <w:qFormat/>
    <w:locked/>
    <w:uiPriority w:val="0"/>
    <w:rPr>
      <w:rFonts w:ascii="宋体" w:hAnsi="宋体" w:eastAsia="宋体"/>
      <w:b/>
      <w:bCs/>
      <w:kern w:val="2"/>
      <w:sz w:val="24"/>
      <w:szCs w:val="24"/>
      <w:lang w:val="en-US" w:eastAsia="zh-CN" w:bidi="ar-SA"/>
    </w:rPr>
  </w:style>
  <w:style w:type="character" w:customStyle="1" w:styleId="280">
    <w:name w:val="此正文 Char"/>
    <w:link w:val="281"/>
    <w:qFormat/>
    <w:uiPriority w:val="0"/>
    <w:rPr>
      <w:kern w:val="2"/>
      <w:sz w:val="24"/>
      <w:szCs w:val="24"/>
    </w:rPr>
  </w:style>
  <w:style w:type="paragraph" w:customStyle="1" w:styleId="281">
    <w:name w:val="此正文"/>
    <w:basedOn w:val="1"/>
    <w:link w:val="280"/>
    <w:qFormat/>
    <w:uiPriority w:val="0"/>
    <w:pPr>
      <w:adjustRightInd/>
      <w:spacing w:line="360" w:lineRule="auto"/>
      <w:ind w:firstLine="200" w:firstLineChars="200"/>
    </w:pPr>
    <w:rPr>
      <w:sz w:val="24"/>
    </w:rPr>
  </w:style>
  <w:style w:type="character" w:customStyle="1" w:styleId="282">
    <w:name w:val="Char Char2"/>
    <w:qFormat/>
    <w:uiPriority w:val="0"/>
    <w:rPr>
      <w:rFonts w:eastAsia="宋体"/>
      <w:b/>
      <w:bCs/>
      <w:kern w:val="2"/>
      <w:sz w:val="21"/>
      <w:szCs w:val="24"/>
      <w:lang w:val="en-US" w:eastAsia="zh-CN" w:bidi="ar-SA"/>
    </w:rPr>
  </w:style>
  <w:style w:type="character" w:customStyle="1" w:styleId="283">
    <w:name w:val="标题 1 字符1"/>
    <w:link w:val="3"/>
    <w:qFormat/>
    <w:uiPriority w:val="9"/>
    <w:rPr>
      <w:b/>
      <w:bCs/>
      <w:kern w:val="44"/>
      <w:sz w:val="44"/>
      <w:szCs w:val="44"/>
    </w:rPr>
  </w:style>
  <w:style w:type="character" w:customStyle="1" w:styleId="284">
    <w:name w:val="Footer-Even Char1"/>
    <w:qFormat/>
    <w:uiPriority w:val="0"/>
    <w:rPr>
      <w:rFonts w:eastAsia="宋体"/>
      <w:kern w:val="2"/>
      <w:sz w:val="18"/>
      <w:szCs w:val="18"/>
      <w:lang w:val="en-US" w:eastAsia="zh-CN" w:bidi="ar-SA"/>
    </w:rPr>
  </w:style>
  <w:style w:type="character" w:customStyle="1" w:styleId="285">
    <w:name w:val="Char Char29"/>
    <w:qFormat/>
    <w:uiPriority w:val="6"/>
    <w:rPr>
      <w:rFonts w:ascii="Arial" w:hAnsi="Arial" w:eastAsia="微软雅黑"/>
      <w:b/>
      <w:kern w:val="1"/>
      <w:sz w:val="44"/>
      <w:szCs w:val="32"/>
      <w:lang w:val="en-US" w:eastAsia="zh-CN" w:bidi="ar-SA"/>
    </w:rPr>
  </w:style>
  <w:style w:type="character" w:customStyle="1" w:styleId="286">
    <w:name w:val="标题 字符"/>
    <w:link w:val="60"/>
    <w:qFormat/>
    <w:uiPriority w:val="10"/>
    <w:rPr>
      <w:b/>
      <w:sz w:val="24"/>
      <w:lang w:val="en-GB"/>
    </w:rPr>
  </w:style>
  <w:style w:type="character" w:customStyle="1" w:styleId="287">
    <w:name w:val="font81"/>
    <w:qFormat/>
    <w:uiPriority w:val="0"/>
    <w:rPr>
      <w:rFonts w:ascii="微软雅黑" w:hAnsi="微软雅黑" w:eastAsia="微软雅黑" w:cs="微软雅黑"/>
      <w:color w:val="000000"/>
      <w:sz w:val="20"/>
      <w:szCs w:val="20"/>
      <w:u w:val="none"/>
    </w:rPr>
  </w:style>
  <w:style w:type="character" w:customStyle="1" w:styleId="288">
    <w:name w:val="Char Char312"/>
    <w:qFormat/>
    <w:uiPriority w:val="0"/>
    <w:rPr>
      <w:rFonts w:ascii="Times New Roman" w:hAnsi="Times New Roman" w:eastAsia="宋体" w:cs="Times New Roman"/>
      <w:b/>
      <w:kern w:val="2"/>
      <w:sz w:val="32"/>
      <w:szCs w:val="24"/>
      <w:lang w:val="en-US" w:eastAsia="zh-CN" w:bidi="ar-SA"/>
    </w:rPr>
  </w:style>
  <w:style w:type="character" w:customStyle="1" w:styleId="289">
    <w:name w:val="t21"/>
    <w:qFormat/>
    <w:uiPriority w:val="0"/>
    <w:rPr>
      <w:rFonts w:ascii="仿宋_GB2312" w:eastAsia="微软雅黑"/>
      <w:b/>
      <w:kern w:val="2"/>
      <w:sz w:val="23"/>
      <w:szCs w:val="23"/>
      <w:lang w:val="en-US" w:eastAsia="zh-CN" w:bidi="ar-SA"/>
    </w:rPr>
  </w:style>
  <w:style w:type="character" w:customStyle="1" w:styleId="290">
    <w:name w:val="样式8 Char"/>
    <w:qFormat/>
    <w:uiPriority w:val="0"/>
    <w:rPr>
      <w:rFonts w:ascii="仿宋_GB2312" w:hAnsi="宋体" w:eastAsia="仿宋_GB2312"/>
      <w:b/>
      <w:bCs/>
      <w:kern w:val="2"/>
      <w:sz w:val="24"/>
      <w:szCs w:val="24"/>
    </w:rPr>
  </w:style>
  <w:style w:type="character" w:customStyle="1" w:styleId="291">
    <w:name w:val="表格 Char Char"/>
    <w:qFormat/>
    <w:uiPriority w:val="0"/>
    <w:rPr>
      <w:rFonts w:ascii="宋体" w:hAnsi="宋体" w:eastAsia="宋体"/>
      <w:lang w:bidi="ar-SA"/>
    </w:rPr>
  </w:style>
  <w:style w:type="character" w:customStyle="1" w:styleId="292">
    <w:name w:val="正文文本 字符1"/>
    <w:qFormat/>
    <w:uiPriority w:val="0"/>
    <w:rPr>
      <w:rFonts w:ascii="Calibri" w:hAnsi="Calibri" w:eastAsia="黑体" w:cs="Arial"/>
      <w:snapToGrid w:val="0"/>
      <w:kern w:val="2"/>
      <w:sz w:val="28"/>
      <w:szCs w:val="21"/>
    </w:rPr>
  </w:style>
  <w:style w:type="character" w:customStyle="1" w:styleId="293">
    <w:name w:val="标题 5 字符"/>
    <w:link w:val="8"/>
    <w:qFormat/>
    <w:uiPriority w:val="9"/>
    <w:rPr>
      <w:b/>
      <w:bCs/>
      <w:kern w:val="2"/>
      <w:sz w:val="28"/>
      <w:szCs w:val="28"/>
    </w:rPr>
  </w:style>
  <w:style w:type="character" w:customStyle="1" w:styleId="294">
    <w:name w:val="标题 6 Char1"/>
    <w:qFormat/>
    <w:uiPriority w:val="0"/>
    <w:rPr>
      <w:rFonts w:ascii="Arial" w:hAnsi="Arial" w:eastAsia="黑体" w:cs="Times New Roman"/>
      <w:b/>
      <w:sz w:val="24"/>
      <w:szCs w:val="20"/>
      <w:lang w:bidi="ar-SA"/>
    </w:rPr>
  </w:style>
  <w:style w:type="character" w:customStyle="1" w:styleId="295">
    <w:name w:val="带编号样式 Char"/>
    <w:qFormat/>
    <w:uiPriority w:val="0"/>
    <w:rPr>
      <w:rFonts w:ascii="仿宋_GB2312" w:eastAsia="仿宋_GB2312"/>
      <w:color w:val="000000"/>
      <w:sz w:val="24"/>
      <w:lang w:bidi="ar-SA"/>
    </w:rPr>
  </w:style>
  <w:style w:type="character" w:customStyle="1" w:styleId="296">
    <w:name w:val="unnamed31"/>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qFormat/>
    <w:uiPriority w:val="0"/>
    <w:rPr>
      <w:rFonts w:ascii="宋体" w:eastAsia="宋体"/>
      <w:kern w:val="2"/>
      <w:sz w:val="24"/>
      <w:szCs w:val="24"/>
      <w:lang w:val="zh-CN" w:bidi="ar-SA"/>
    </w:rPr>
  </w:style>
  <w:style w:type="character" w:customStyle="1" w:styleId="298">
    <w:name w:val="称呼 字符"/>
    <w:link w:val="21"/>
    <w:qFormat/>
    <w:uiPriority w:val="0"/>
    <w:rPr>
      <w:rFonts w:ascii="仿宋_GB2312" w:eastAsia="仿宋_GB2312"/>
      <w:kern w:val="2"/>
      <w:sz w:val="28"/>
    </w:rPr>
  </w:style>
  <w:style w:type="character" w:customStyle="1" w:styleId="299">
    <w:name w:val="文本正文 Char Char"/>
    <w:qFormat/>
    <w:locked/>
    <w:uiPriority w:val="0"/>
    <w:rPr>
      <w:sz w:val="24"/>
      <w:lang w:bidi="ar-SA"/>
    </w:rPr>
  </w:style>
  <w:style w:type="character" w:customStyle="1" w:styleId="300">
    <w:name w:val="正文缩进 字符"/>
    <w:qFormat/>
    <w:uiPriority w:val="0"/>
    <w:rPr>
      <w:rFonts w:ascii="宋体" w:eastAsia="宋体"/>
      <w:snapToGrid w:val="0"/>
      <w:color w:val="000000"/>
      <w:kern w:val="28"/>
      <w:sz w:val="28"/>
      <w:lang w:val="en-US" w:eastAsia="zh-CN" w:bidi="ar-SA"/>
    </w:rPr>
  </w:style>
  <w:style w:type="character" w:customStyle="1" w:styleId="301">
    <w:name w:val="HTML 预设格式 字符"/>
    <w:link w:val="58"/>
    <w:qFormat/>
    <w:uiPriority w:val="0"/>
    <w:rPr>
      <w:rFonts w:ascii="黑体" w:hAnsi="Courier New" w:eastAsia="黑体"/>
    </w:rPr>
  </w:style>
  <w:style w:type="character" w:customStyle="1" w:styleId="302">
    <w:name w:val="正文文本 2 字符1"/>
    <w:link w:val="57"/>
    <w:qFormat/>
    <w:uiPriority w:val="0"/>
    <w:rPr>
      <w:kern w:val="2"/>
      <w:sz w:val="21"/>
      <w:szCs w:val="24"/>
    </w:rPr>
  </w:style>
  <w:style w:type="character" w:customStyle="1" w:styleId="303">
    <w:name w:val="样式 样式 标题 4h4H4Fab-4T5Ref Heading 1rh1Heading sqlsect 1.2.3.... +... Char"/>
    <w:link w:val="304"/>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qFormat/>
    <w:uiPriority w:val="0"/>
    <w:pPr>
      <w:tabs>
        <w:tab w:val="left" w:pos="2356"/>
      </w:tabs>
    </w:pPr>
  </w:style>
  <w:style w:type="paragraph" w:customStyle="1" w:styleId="305">
    <w:name w:val="样式 标题 4h4H4Fab-4T5Ref Heading 1rh1Heading sqlsect 1.2.3...."/>
    <w:basedOn w:val="7"/>
    <w:link w:val="41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qFormat/>
    <w:uiPriority w:val="0"/>
    <w:rPr>
      <w:rFonts w:ascii="宋体" w:eastAsia="宋体"/>
      <w:snapToGrid w:val="0"/>
      <w:color w:val="000000"/>
      <w:kern w:val="28"/>
      <w:sz w:val="28"/>
      <w:lang w:val="en-US" w:eastAsia="zh-CN" w:bidi="ar-SA"/>
    </w:rPr>
  </w:style>
  <w:style w:type="character" w:customStyle="1" w:styleId="307">
    <w:name w:val="标题 7 字符"/>
    <w:link w:val="10"/>
    <w:qFormat/>
    <w:uiPriority w:val="0"/>
    <w:rPr>
      <w:b/>
      <w:bCs/>
      <w:kern w:val="2"/>
      <w:sz w:val="24"/>
      <w:szCs w:val="24"/>
    </w:rPr>
  </w:style>
  <w:style w:type="character" w:customStyle="1" w:styleId="308">
    <w:name w:val="正文文本缩进 2 字符"/>
    <w:link w:val="39"/>
    <w:qFormat/>
    <w:uiPriority w:val="0"/>
    <w:rPr>
      <w:rFonts w:ascii="宋体"/>
      <w:sz w:val="28"/>
    </w:rPr>
  </w:style>
  <w:style w:type="character" w:customStyle="1" w:styleId="309">
    <w:name w:val="Char Char5"/>
    <w:qFormat/>
    <w:uiPriority w:val="0"/>
    <w:rPr>
      <w:rFonts w:ascii="宋体" w:hAnsi="Courier New" w:eastAsia="宋体"/>
      <w:kern w:val="2"/>
      <w:sz w:val="21"/>
      <w:lang w:val="en-US" w:eastAsia="zh-CN"/>
    </w:rPr>
  </w:style>
  <w:style w:type="character" w:customStyle="1" w:styleId="310">
    <w:name w:val="脚注文本 字符"/>
    <w:link w:val="52"/>
    <w:qFormat/>
    <w:uiPriority w:val="0"/>
    <w:rPr>
      <w:color w:val="0000FF"/>
      <w:sz w:val="21"/>
    </w:rPr>
  </w:style>
  <w:style w:type="character" w:customStyle="1" w:styleId="311">
    <w:name w:val="称呼 Char1"/>
    <w:qFormat/>
    <w:uiPriority w:val="0"/>
    <w:rPr>
      <w:rFonts w:ascii="Times New Roman" w:hAnsi="Times New Roman" w:eastAsia="宋体" w:cs="Times New Roman"/>
      <w:szCs w:val="24"/>
    </w:rPr>
  </w:style>
  <w:style w:type="character" w:customStyle="1" w:styleId="312">
    <w:name w:val="正文1 Char"/>
    <w:qFormat/>
    <w:uiPriority w:val="0"/>
    <w:rPr>
      <w:rFonts w:ascii="宋体" w:eastAsia="宋体"/>
      <w:snapToGrid w:val="0"/>
      <w:color w:val="000000"/>
      <w:kern w:val="28"/>
      <w:sz w:val="28"/>
      <w:lang w:val="en-US" w:eastAsia="zh-CN" w:bidi="ar-SA"/>
    </w:rPr>
  </w:style>
  <w:style w:type="character" w:customStyle="1" w:styleId="313">
    <w:name w:val="正文缩进 Char1"/>
    <w:qFormat/>
    <w:uiPriority w:val="0"/>
    <w:rPr>
      <w:rFonts w:ascii="宋体" w:eastAsia="宋体"/>
      <w:snapToGrid w:val="0"/>
      <w:color w:val="000000"/>
      <w:kern w:val="28"/>
      <w:sz w:val="28"/>
      <w:lang w:val="en-US" w:eastAsia="zh-CN" w:bidi="ar-SA"/>
    </w:rPr>
  </w:style>
  <w:style w:type="character" w:customStyle="1" w:styleId="314">
    <w:name w:val="font21"/>
    <w:qFormat/>
    <w:uiPriority w:val="0"/>
    <w:rPr>
      <w:rFonts w:hint="eastAsia" w:ascii="宋体" w:hAnsi="宋体" w:eastAsia="宋体"/>
      <w:kern w:val="2"/>
      <w:sz w:val="28"/>
      <w:szCs w:val="28"/>
      <w:lang w:val="en-US" w:eastAsia="zh-CN" w:bidi="ar-SA"/>
    </w:rPr>
  </w:style>
  <w:style w:type="character" w:customStyle="1" w:styleId="315">
    <w:name w:val="Char Char26"/>
    <w:qFormat/>
    <w:uiPriority w:val="6"/>
    <w:rPr>
      <w:kern w:val="1"/>
      <w:sz w:val="21"/>
      <w:szCs w:val="24"/>
    </w:rPr>
  </w:style>
  <w:style w:type="character" w:customStyle="1" w:styleId="316">
    <w:name w:val="Item List Char"/>
    <w:link w:val="317"/>
    <w:qFormat/>
    <w:uiPriority w:val="0"/>
    <w:rPr>
      <w:rFonts w:ascii="Arial"/>
      <w:bCs/>
      <w:sz w:val="21"/>
      <w:szCs w:val="21"/>
      <w:lang w:val="en-US" w:eastAsia="zh-CN" w:bidi="ar-SA"/>
    </w:rPr>
  </w:style>
  <w:style w:type="paragraph" w:customStyle="1" w:styleId="317">
    <w:name w:val="Item List"/>
    <w:link w:val="31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qFormat/>
    <w:uiPriority w:val="0"/>
    <w:rPr>
      <w:rFonts w:ascii="Times New Roman" w:hAnsi="Times New Roman" w:eastAsia="宋体" w:cs="Times New Roman"/>
      <w:sz w:val="18"/>
      <w:szCs w:val="18"/>
    </w:rPr>
  </w:style>
  <w:style w:type="character" w:customStyle="1" w:styleId="319">
    <w:name w:val="纯文本 Char1"/>
    <w:link w:val="320"/>
    <w:qFormat/>
    <w:uiPriority w:val="0"/>
    <w:rPr>
      <w:rFonts w:ascii="宋体" w:hAnsi="Courier New"/>
    </w:rPr>
  </w:style>
  <w:style w:type="paragraph" w:customStyle="1" w:styleId="320">
    <w:name w:val="纯文本1"/>
    <w:basedOn w:val="1"/>
    <w:link w:val="319"/>
    <w:qFormat/>
    <w:uiPriority w:val="0"/>
    <w:pPr>
      <w:adjustRightInd/>
    </w:pPr>
    <w:rPr>
      <w:rFonts w:ascii="宋体" w:hAnsi="Courier New"/>
      <w:kern w:val="0"/>
      <w:sz w:val="20"/>
      <w:szCs w:val="20"/>
    </w:rPr>
  </w:style>
  <w:style w:type="character" w:customStyle="1" w:styleId="321">
    <w:name w:val="正文文本首行缩进 字符"/>
    <w:link w:val="26"/>
    <w:qFormat/>
    <w:uiPriority w:val="0"/>
    <w:rPr>
      <w:rFonts w:ascii="宋体"/>
      <w:kern w:val="2"/>
      <w:sz w:val="24"/>
      <w:lang w:val="zh-CN"/>
    </w:rPr>
  </w:style>
  <w:style w:type="character" w:customStyle="1" w:styleId="322">
    <w:name w:val="h3 Char"/>
    <w:qFormat/>
    <w:uiPriority w:val="0"/>
    <w:rPr>
      <w:rFonts w:eastAsia="宋体"/>
      <w:b/>
      <w:kern w:val="2"/>
      <w:sz w:val="32"/>
      <w:lang w:val="en-US" w:eastAsia="zh-CN" w:bidi="ar-SA"/>
    </w:rPr>
  </w:style>
  <w:style w:type="character" w:customStyle="1" w:styleId="323">
    <w:name w:val="dandyren_title1"/>
    <w:qFormat/>
    <w:uiPriority w:val="0"/>
    <w:rPr>
      <w:b/>
      <w:bCs/>
      <w:color w:val="FF6633"/>
      <w:sz w:val="18"/>
      <w:szCs w:val="18"/>
    </w:rPr>
  </w:style>
  <w:style w:type="character" w:customStyle="1" w:styleId="324">
    <w:name w:val="Char Char31"/>
    <w:qFormat/>
    <w:uiPriority w:val="6"/>
    <w:rPr>
      <w:rFonts w:ascii="Arial" w:hAnsi="Arial" w:eastAsia="黑体"/>
      <w:kern w:val="1"/>
      <w:sz w:val="24"/>
      <w:szCs w:val="24"/>
    </w:rPr>
  </w:style>
  <w:style w:type="character" w:customStyle="1" w:styleId="325">
    <w:name w:val="h Char1"/>
    <w:qFormat/>
    <w:uiPriority w:val="0"/>
    <w:rPr>
      <w:sz w:val="18"/>
      <w:szCs w:val="18"/>
    </w:rPr>
  </w:style>
  <w:style w:type="character" w:customStyle="1" w:styleId="326">
    <w:name w:val="solutionfonts"/>
    <w:qFormat/>
    <w:uiPriority w:val="0"/>
  </w:style>
  <w:style w:type="character" w:customStyle="1" w:styleId="327">
    <w:name w:val="标题 4 字符1"/>
    <w:link w:val="7"/>
    <w:qFormat/>
    <w:uiPriority w:val="9"/>
    <w:rPr>
      <w:rFonts w:ascii="Arial" w:hAnsi="Arial" w:eastAsia="黑体"/>
      <w:b/>
      <w:bCs/>
      <w:kern w:val="2"/>
      <w:sz w:val="28"/>
      <w:szCs w:val="28"/>
      <w:lang w:val="zh-CN"/>
    </w:rPr>
  </w:style>
  <w:style w:type="character" w:customStyle="1" w:styleId="328">
    <w:name w:val="首行缩进 Char"/>
    <w:qFormat/>
    <w:uiPriority w:val="0"/>
    <w:rPr>
      <w:rFonts w:ascii="宋体" w:eastAsia="宋体"/>
      <w:kern w:val="2"/>
      <w:sz w:val="24"/>
      <w:lang w:val="en-US" w:eastAsia="zh-CN" w:bidi="ar-SA"/>
    </w:rPr>
  </w:style>
  <w:style w:type="character" w:customStyle="1" w:styleId="329">
    <w:name w:val="Char Char52"/>
    <w:qFormat/>
    <w:uiPriority w:val="0"/>
    <w:rPr>
      <w:rFonts w:ascii="宋体" w:hAnsi="Courier New" w:eastAsia="宋体"/>
      <w:kern w:val="2"/>
      <w:sz w:val="21"/>
      <w:lang w:val="en-US" w:eastAsia="zh-CN"/>
    </w:rPr>
  </w:style>
  <w:style w:type="character" w:customStyle="1" w:styleId="330">
    <w:name w:val="正文文本 3 字符"/>
    <w:link w:val="22"/>
    <w:qFormat/>
    <w:uiPriority w:val="0"/>
    <w:rPr>
      <w:kern w:val="2"/>
      <w:sz w:val="21"/>
    </w:rPr>
  </w:style>
  <w:style w:type="character" w:customStyle="1" w:styleId="331">
    <w:name w:val="font31"/>
    <w:qFormat/>
    <w:uiPriority w:val="0"/>
    <w:rPr>
      <w:rFonts w:hint="eastAsia" w:ascii="仿宋" w:hAnsi="仿宋" w:eastAsia="仿宋" w:cs="仿宋"/>
      <w:color w:val="000000"/>
      <w:sz w:val="20"/>
      <w:szCs w:val="20"/>
      <w:u w:val="none"/>
    </w:rPr>
  </w:style>
  <w:style w:type="character" w:customStyle="1" w:styleId="332">
    <w:name w:val="正文说明 Char"/>
    <w:link w:val="333"/>
    <w:qFormat/>
    <w:uiPriority w:val="0"/>
    <w:rPr>
      <w:sz w:val="24"/>
      <w:szCs w:val="24"/>
    </w:rPr>
  </w:style>
  <w:style w:type="paragraph" w:customStyle="1" w:styleId="333">
    <w:name w:val="正文说明"/>
    <w:basedOn w:val="1"/>
    <w:link w:val="332"/>
    <w:qFormat/>
    <w:uiPriority w:val="0"/>
    <w:pPr>
      <w:adjustRightInd/>
      <w:spacing w:line="360" w:lineRule="auto"/>
    </w:pPr>
    <w:rPr>
      <w:kern w:val="0"/>
      <w:sz w:val="24"/>
    </w:rPr>
  </w:style>
  <w:style w:type="character" w:customStyle="1" w:styleId="334">
    <w:name w:val="脚注文本 Char1"/>
    <w:qFormat/>
    <w:uiPriority w:val="0"/>
    <w:rPr>
      <w:rFonts w:ascii="Times New Roman" w:hAnsi="Times New Roman" w:eastAsia="宋体" w:cs="Times New Roman"/>
      <w:sz w:val="18"/>
      <w:szCs w:val="18"/>
    </w:rPr>
  </w:style>
  <w:style w:type="character" w:customStyle="1" w:styleId="335">
    <w:name w:val="Char Char1211"/>
    <w:qFormat/>
    <w:uiPriority w:val="0"/>
    <w:rPr>
      <w:rFonts w:ascii="仿宋_GB2312" w:eastAsia="仿宋_GB2312"/>
      <w:b/>
      <w:bCs/>
      <w:kern w:val="2"/>
      <w:sz w:val="24"/>
      <w:szCs w:val="24"/>
      <w:lang w:val="zh-CN" w:eastAsia="zh-CN" w:bidi="ar-SA"/>
    </w:rPr>
  </w:style>
  <w:style w:type="character" w:customStyle="1" w:styleId="336">
    <w:name w:val="标题 Char"/>
    <w:qFormat/>
    <w:uiPriority w:val="0"/>
    <w:rPr>
      <w:rFonts w:eastAsia="宋体"/>
      <w:b/>
      <w:sz w:val="24"/>
      <w:lang w:val="en-GB" w:eastAsia="zh-CN" w:bidi="ar-SA"/>
    </w:rPr>
  </w:style>
  <w:style w:type="character" w:customStyle="1" w:styleId="337">
    <w:name w:val="Char Char35"/>
    <w:qFormat/>
    <w:uiPriority w:val="6"/>
    <w:rPr>
      <w:rFonts w:ascii="Arial" w:hAnsi="Arial" w:eastAsia="黑体"/>
      <w:b/>
      <w:kern w:val="1"/>
      <w:sz w:val="28"/>
      <w:szCs w:val="28"/>
      <w:lang w:val="zh-CN"/>
    </w:rPr>
  </w:style>
  <w:style w:type="character" w:customStyle="1" w:styleId="338">
    <w:name w:val="纯文本 Char Char Char"/>
    <w:qFormat/>
    <w:uiPriority w:val="0"/>
    <w:rPr>
      <w:rFonts w:ascii="宋体" w:hAnsi="Courier New" w:eastAsia="宋体"/>
      <w:kern w:val="2"/>
      <w:sz w:val="21"/>
      <w:lang w:val="en-US" w:eastAsia="zh-CN" w:bidi="ar-SA"/>
    </w:rPr>
  </w:style>
  <w:style w:type="character" w:customStyle="1" w:styleId="339">
    <w:name w:val="Table Text Char"/>
    <w:link w:val="340"/>
    <w:qFormat/>
    <w:uiPriority w:val="0"/>
    <w:rPr>
      <w:sz w:val="24"/>
      <w:szCs w:val="24"/>
    </w:rPr>
  </w:style>
  <w:style w:type="paragraph" w:customStyle="1" w:styleId="340">
    <w:name w:val="Table Text"/>
    <w:basedOn w:val="1"/>
    <w:link w:val="339"/>
    <w:qFormat/>
    <w:uiPriority w:val="0"/>
    <w:pPr>
      <w:widowControl/>
      <w:spacing w:before="60" w:after="60"/>
      <w:jc w:val="left"/>
    </w:pPr>
    <w:rPr>
      <w:kern w:val="0"/>
      <w:sz w:val="24"/>
    </w:rPr>
  </w:style>
  <w:style w:type="character" w:customStyle="1" w:styleId="341">
    <w:name w:val="正文1 Char1"/>
    <w:qFormat/>
    <w:uiPriority w:val="0"/>
    <w:rPr>
      <w:rFonts w:ascii="仿宋_GB2312" w:hAnsi="Courier New" w:eastAsia="仿宋_GB2312"/>
      <w:kern w:val="28"/>
      <w:sz w:val="24"/>
      <w:szCs w:val="24"/>
      <w:lang w:val="en-US" w:eastAsia="zh-CN"/>
    </w:rPr>
  </w:style>
  <w:style w:type="character" w:customStyle="1" w:styleId="342">
    <w:name w:val="页脚 Char1"/>
    <w:qFormat/>
    <w:uiPriority w:val="0"/>
    <w:rPr>
      <w:rFonts w:eastAsia="宋体"/>
      <w:kern w:val="2"/>
      <w:sz w:val="18"/>
      <w:szCs w:val="18"/>
      <w:lang w:val="en-US" w:eastAsia="zh-CN" w:bidi="ar-SA"/>
    </w:rPr>
  </w:style>
  <w:style w:type="character" w:customStyle="1" w:styleId="343">
    <w:name w:val="Bold"/>
    <w:qFormat/>
    <w:uiPriority w:val="0"/>
    <w:rPr>
      <w:rFonts w:ascii="Arial" w:hAnsi="Arial" w:eastAsia="黑体" w:cs="Times New Roman"/>
      <w:b/>
      <w:kern w:val="2"/>
      <w:sz w:val="32"/>
      <w:szCs w:val="32"/>
      <w:lang w:val="en-US" w:eastAsia="zh-CN" w:bidi="ar-SA"/>
    </w:rPr>
  </w:style>
  <w:style w:type="character" w:customStyle="1" w:styleId="344">
    <w:name w:val="批注文字 字符1"/>
    <w:link w:val="20"/>
    <w:qFormat/>
    <w:uiPriority w:val="99"/>
    <w:rPr>
      <w:kern w:val="2"/>
      <w:sz w:val="21"/>
      <w:szCs w:val="24"/>
    </w:rPr>
  </w:style>
  <w:style w:type="character" w:customStyle="1" w:styleId="345">
    <w:name w:val="签名 字符"/>
    <w:link w:val="44"/>
    <w:qFormat/>
    <w:uiPriority w:val="0"/>
    <w:rPr>
      <w:rFonts w:eastAsia="仿宋_GB2312"/>
      <w:sz w:val="24"/>
    </w:rPr>
  </w:style>
  <w:style w:type="character" w:customStyle="1" w:styleId="346">
    <w:name w:val="hui3"/>
    <w:qFormat/>
    <w:uiPriority w:val="0"/>
    <w:rPr>
      <w:color w:val="333333"/>
    </w:rPr>
  </w:style>
  <w:style w:type="character" w:customStyle="1" w:styleId="347">
    <w:name w:val="Char Char17"/>
    <w:qFormat/>
    <w:uiPriority w:val="6"/>
    <w:rPr>
      <w:rFonts w:eastAsia="仿宋_GB2312"/>
      <w:sz w:val="24"/>
    </w:rPr>
  </w:style>
  <w:style w:type="character" w:customStyle="1" w:styleId="348">
    <w:name w:val="标题 4 字符"/>
    <w:qFormat/>
    <w:uiPriority w:val="9"/>
    <w:rPr>
      <w:rFonts w:ascii="等线 Light" w:hAnsi="等线 Light" w:eastAsia="等线 Light" w:cs="Times New Roman"/>
      <w:b/>
      <w:bCs/>
      <w:snapToGrid w:val="0"/>
      <w:kern w:val="0"/>
      <w:sz w:val="28"/>
      <w:szCs w:val="28"/>
    </w:rPr>
  </w:style>
  <w:style w:type="character" w:customStyle="1" w:styleId="349">
    <w:name w:val="Char Char37"/>
    <w:qFormat/>
    <w:uiPriority w:val="6"/>
    <w:rPr>
      <w:b/>
      <w:kern w:val="1"/>
      <w:sz w:val="44"/>
      <w:szCs w:val="44"/>
    </w:rPr>
  </w:style>
  <w:style w:type="character" w:customStyle="1" w:styleId="350">
    <w:name w:val="列出段落 Char"/>
    <w:qFormat/>
    <w:uiPriority w:val="0"/>
    <w:rPr>
      <w:rFonts w:eastAsia="楷体_GB2312" w:cs="Lucida Sans"/>
      <w:kern w:val="2"/>
      <w:sz w:val="24"/>
      <w:szCs w:val="24"/>
      <w:lang w:val="en-US" w:eastAsia="zh-CN" w:bidi="ar-SA"/>
    </w:rPr>
  </w:style>
  <w:style w:type="character" w:customStyle="1" w:styleId="351">
    <w:name w:val="正文文本缩进 3 Char1"/>
    <w:semiHidden/>
    <w:qFormat/>
    <w:uiPriority w:val="99"/>
    <w:rPr>
      <w:rFonts w:ascii="Times New Roman" w:hAnsi="Times New Roman" w:eastAsia="宋体" w:cs="Times New Roman"/>
      <w:sz w:val="16"/>
      <w:szCs w:val="16"/>
    </w:rPr>
  </w:style>
  <w:style w:type="character" w:customStyle="1" w:styleId="352">
    <w:name w:val="公文正文 Char Char"/>
    <w:link w:val="353"/>
    <w:qFormat/>
    <w:uiPriority w:val="0"/>
    <w:rPr>
      <w:rFonts w:ascii="仿宋_GB2312" w:eastAsia="仿宋_GB2312"/>
      <w:kern w:val="2"/>
      <w:sz w:val="24"/>
      <w:szCs w:val="24"/>
    </w:rPr>
  </w:style>
  <w:style w:type="paragraph" w:customStyle="1" w:styleId="353">
    <w:name w:val="公文正文"/>
    <w:basedOn w:val="1"/>
    <w:link w:val="352"/>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qFormat/>
    <w:uiPriority w:val="0"/>
    <w:rPr>
      <w:rFonts w:eastAsia="宋体"/>
      <w:sz w:val="24"/>
      <w:szCs w:val="24"/>
      <w:lang w:val="en-US" w:eastAsia="zh-CN" w:bidi="ar-SA"/>
    </w:rPr>
  </w:style>
  <w:style w:type="character" w:customStyle="1" w:styleId="355">
    <w:name w:val="标题 1 Char Char"/>
    <w:qFormat/>
    <w:uiPriority w:val="0"/>
    <w:rPr>
      <w:rFonts w:hint="eastAsia" w:ascii="宋体" w:hAnsi="宋体" w:eastAsia="宋体"/>
      <w:b/>
      <w:spacing w:val="-2"/>
      <w:sz w:val="24"/>
      <w:lang w:val="en-US" w:eastAsia="zh-CN" w:bidi="ar-SA"/>
    </w:rPr>
  </w:style>
  <w:style w:type="character" w:customStyle="1" w:styleId="356">
    <w:name w:val="正文（缩进2汉字） Char"/>
    <w:link w:val="357"/>
    <w:qFormat/>
    <w:uiPriority w:val="0"/>
    <w:rPr>
      <w:rFonts w:ascii="宋体"/>
    </w:rPr>
  </w:style>
  <w:style w:type="paragraph" w:customStyle="1" w:styleId="357">
    <w:name w:val="正文（缩进2汉字）"/>
    <w:basedOn w:val="1"/>
    <w:link w:val="35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字符"/>
    <w:link w:val="11"/>
    <w:qFormat/>
    <w:uiPriority w:val="0"/>
    <w:rPr>
      <w:rFonts w:ascii="Arial" w:hAnsi="Arial" w:eastAsia="黑体"/>
      <w:kern w:val="2"/>
      <w:sz w:val="24"/>
      <w:szCs w:val="24"/>
    </w:rPr>
  </w:style>
  <w:style w:type="character" w:customStyle="1" w:styleId="359">
    <w:name w:val="标书表格字体格式 Char"/>
    <w:qFormat/>
    <w:uiPriority w:val="0"/>
    <w:rPr>
      <w:kern w:val="2"/>
      <w:sz w:val="21"/>
      <w:szCs w:val="24"/>
      <w:lang w:bidi="ar-SA"/>
    </w:rPr>
  </w:style>
  <w:style w:type="character" w:customStyle="1" w:styleId="360">
    <w:name w:val="tw4winError"/>
    <w:qFormat/>
    <w:uiPriority w:val="0"/>
    <w:rPr>
      <w:rFonts w:ascii="Courier New" w:hAnsi="Courier New" w:cs="Courier New"/>
      <w:color w:val="00FF00"/>
      <w:sz w:val="40"/>
      <w:szCs w:val="40"/>
    </w:rPr>
  </w:style>
  <w:style w:type="character" w:customStyle="1" w:styleId="361">
    <w:name w:val="Body Text(ch) Char Char"/>
    <w:qFormat/>
    <w:uiPriority w:val="0"/>
    <w:rPr>
      <w:rFonts w:ascii="宋体"/>
      <w:kern w:val="2"/>
      <w:sz w:val="24"/>
      <w:szCs w:val="21"/>
      <w:lang w:val="zh-CN"/>
    </w:rPr>
  </w:style>
  <w:style w:type="character" w:customStyle="1" w:styleId="362">
    <w:name w:val="正文首行缩进两字 Char"/>
    <w:qFormat/>
    <w:uiPriority w:val="0"/>
    <w:rPr>
      <w:sz w:val="24"/>
      <w:szCs w:val="24"/>
      <w:lang w:val="en-US" w:eastAsia="zh-CN" w:bidi="ar-SA"/>
    </w:rPr>
  </w:style>
  <w:style w:type="character" w:customStyle="1" w:styleId="363">
    <w:name w:val="正文文本 Char"/>
    <w:qFormat/>
    <w:uiPriority w:val="0"/>
    <w:rPr>
      <w:rFonts w:eastAsia="宋体"/>
      <w:kern w:val="2"/>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字符"/>
    <w:link w:val="54"/>
    <w:qFormat/>
    <w:uiPriority w:val="0"/>
    <w:rPr>
      <w:kern w:val="2"/>
      <w:sz w:val="24"/>
    </w:rPr>
  </w:style>
  <w:style w:type="character" w:customStyle="1" w:styleId="376">
    <w:name w:val="日期 Char1"/>
    <w:semiHidden/>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字符2"/>
    <w:link w:val="42"/>
    <w:qFormat/>
    <w:locked/>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字符2"/>
    <w:link w:val="43"/>
    <w:qFormat/>
    <w:uiPriority w:val="99"/>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156" w:afterLines="50"/>
      <w:ind w:firstLine="200" w:firstLineChars="200"/>
    </w:pPr>
    <w:rPr>
      <w:kern w:val="0"/>
      <w:sz w:val="24"/>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 w:val="24"/>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5"/>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标题 1 字符"/>
    <w:qFormat/>
    <w:uiPriority w:val="9"/>
    <w:rPr>
      <w:rFonts w:ascii="Arial" w:hAnsi="Arial" w:eastAsia="黑体" w:cs="Arial"/>
      <w:b/>
      <w:bCs/>
      <w:snapToGrid w:val="0"/>
      <w:kern w:val="44"/>
      <w:sz w:val="44"/>
      <w:szCs w:val="44"/>
    </w:rPr>
  </w:style>
  <w:style w:type="character" w:customStyle="1" w:styleId="421">
    <w:name w:val="style36"/>
    <w:basedOn w:val="69"/>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6"/>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字符"/>
    <w:link w:val="2"/>
    <w:qFormat/>
    <w:uiPriority w:val="0"/>
    <w:rPr>
      <w:rFonts w:ascii="宋体" w:hAnsi="Arial" w:eastAsia="宋体" w:cs="Arial"/>
      <w:snapToGrid w:val="0"/>
      <w:kern w:val="2"/>
      <w:sz w:val="24"/>
      <w:szCs w:val="21"/>
      <w:lang w:val="zh-CN" w:eastAsia="zh-CN" w:bidi="ar-SA"/>
    </w:rPr>
  </w:style>
  <w:style w:type="character" w:customStyle="1" w:styleId="431">
    <w:name w:val="gray6"/>
    <w:basedOn w:val="69"/>
    <w:qFormat/>
    <w:uiPriority w:val="0"/>
    <w:rPr>
      <w:rFonts w:ascii="Arial" w:hAnsi="Arial" w:eastAsia="黑体" w:cs="Arial"/>
      <w:snapToGrid w:val="0"/>
      <w:kern w:val="0"/>
      <w:szCs w:val="21"/>
    </w:rPr>
  </w:style>
  <w:style w:type="character" w:customStyle="1" w:styleId="432">
    <w:name w:val="hui"/>
    <w:basedOn w:val="69"/>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7"/>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qFormat/>
    <w:uiPriority w:val="0"/>
    <w:pPr>
      <w:tabs>
        <w:tab w:val="left" w:pos="2790"/>
        <w:tab w:val="left" w:pos="4230"/>
      </w:tabs>
      <w:spacing w:before="312" w:beforeLines="100"/>
      <w:jc w:val="left"/>
    </w:p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4"/>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spacing w:before="0" w:after="0"/>
      <w:outlineLvl w:val="5"/>
    </w:pPr>
  </w:style>
  <w:style w:type="paragraph" w:customStyle="1" w:styleId="474">
    <w:name w:val="5级标题"/>
    <w:basedOn w:val="475"/>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5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3">
    <w:name w:val="No Spacing"/>
    <w:basedOn w:val="1"/>
    <w:link w:val="933"/>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4"/>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5"/>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8"/>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1"/>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5"/>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6"/>
    <w:qFormat/>
    <w:uiPriority w:val="0"/>
    <w:pPr>
      <w:adjustRightInd/>
      <w:ind w:firstLine="200" w:firstLineChars="200"/>
    </w:pPr>
    <w:rPr>
      <w:rFonts w:ascii="Arial" w:hAnsi="Arial"/>
      <w:spacing w:val="-5"/>
      <w:kern w:val="0"/>
      <w:sz w:val="24"/>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26"/>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7"/>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5"/>
    <w:next w:val="235"/>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5"/>
    <w:next w:val="235"/>
    <w:qFormat/>
    <w:uiPriority w:val="0"/>
    <w:rPr>
      <w:rFonts w:ascii="宋体" w:eastAsia="宋体" w:cs="Times New Roman"/>
      <w:color w:val="auto"/>
    </w:rPr>
  </w:style>
  <w:style w:type="paragraph" w:customStyle="1" w:styleId="55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156"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5"/>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7"/>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3"/>
    <w:qFormat/>
    <w:uiPriority w:val="0"/>
    <w:pPr>
      <w:tabs>
        <w:tab w:val="left" w:pos="840"/>
      </w:tabs>
      <w:adjustRightInd/>
      <w:ind w:left="840" w:hanging="420"/>
    </w:pPr>
  </w:style>
  <w:style w:type="paragraph" w:customStyle="1" w:styleId="626">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 w:val="24"/>
      <w:szCs w:val="20"/>
    </w:rPr>
  </w:style>
  <w:style w:type="paragraph" w:customStyle="1" w:styleId="628">
    <w:name w:val="表格"/>
    <w:basedOn w:val="1"/>
    <w:qFormat/>
    <w:uiPriority w:val="0"/>
    <w:pPr>
      <w:snapToGrid w:val="0"/>
      <w:ind w:firstLine="42" w:firstLineChars="21"/>
    </w:pPr>
    <w:rPr>
      <w:rFonts w:ascii="宋体" w:hAnsi="宋体"/>
      <w:kern w:val="0"/>
      <w:sz w:val="20"/>
      <w:szCs w:val="20"/>
    </w:rPr>
  </w:style>
  <w:style w:type="paragraph" w:customStyle="1" w:styleId="629">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31"/>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qFormat/>
    <w:uiPriority w:val="0"/>
    <w:pPr>
      <w:adjustRightInd/>
      <w:ind w:firstLine="200" w:firstLineChars="200"/>
    </w:pPr>
    <w:rPr>
      <w:rFonts w:ascii="Tahoma" w:hAnsi="Tahoma"/>
      <w:sz w:val="24"/>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156"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 w:val="24"/>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0" w:beforeLines="0" w:after="0" w:afterLines="0"/>
      <w:ind w:left="1680"/>
      <w:outlineLvl w:val="2"/>
    </w:pPr>
  </w:style>
  <w:style w:type="paragraph" w:customStyle="1" w:styleId="658">
    <w:name w:val="章标题"/>
    <w:next w:val="64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6"/>
    <w:pPr>
      <w:widowControl/>
      <w:adjustRightInd/>
      <w:ind w:left="720" w:hanging="720"/>
    </w:pPr>
    <w:rPr>
      <w:color w:val="000000"/>
      <w:kern w:val="0"/>
      <w:sz w:val="24"/>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7"/>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rPr>
      <w:sz w:val="24"/>
    </w:rPr>
  </w:style>
  <w:style w:type="paragraph" w:customStyle="1" w:styleId="700">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after="160"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rPr>
      <w:sz w:val="24"/>
    </w:r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9"/>
    <w:qFormat/>
    <w:uiPriority w:val="0"/>
    <w:pPr>
      <w:spacing w:after="120" w:line="480" w:lineRule="auto"/>
      <w:ind w:left="420" w:leftChars="200"/>
    </w:pPr>
    <w:rPr>
      <w:sz w:val="24"/>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5"/>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 w:val="24"/>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rPr>
      <w:sz w:val="24"/>
    </w:r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 w:val="24"/>
      <w:szCs w:val="20"/>
    </w:rPr>
  </w:style>
  <w:style w:type="paragraph" w:customStyle="1" w:styleId="746">
    <w:name w:val="_标题2"/>
    <w:basedOn w:val="713"/>
    <w:next w:val="713"/>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qFormat/>
    <w:uiPriority w:val="0"/>
    <w:pPr>
      <w:adjustRightInd/>
    </w:pPr>
    <w:rPr>
      <w:rFonts w:ascii="Tahoma" w:hAnsi="Tahoma"/>
      <w:sz w:val="24"/>
    </w:rPr>
  </w:style>
  <w:style w:type="paragraph" w:customStyle="1" w:styleId="754">
    <w:name w:val="Char Char Char Char11"/>
    <w:basedOn w:val="1"/>
    <w:qFormat/>
    <w:uiPriority w:val="0"/>
    <w:rPr>
      <w:rFonts w:ascii="Tahoma" w:hAnsi="Tahoma"/>
      <w:sz w:val="24"/>
      <w:szCs w:val="20"/>
    </w:rPr>
  </w:style>
  <w:style w:type="paragraph" w:customStyle="1" w:styleId="7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 w:val="24"/>
      <w:szCs w:val="20"/>
    </w:rPr>
  </w:style>
  <w:style w:type="paragraph" w:customStyle="1" w:styleId="7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
    <w:qFormat/>
    <w:uiPriority w:val="0"/>
    <w:pPr>
      <w:autoSpaceDE/>
      <w:autoSpaceDN/>
      <w:snapToGrid w:val="0"/>
      <w:ind w:firstLine="480" w:firstLineChars="200"/>
    </w:pPr>
    <w:rPr>
      <w:rFonts w:ascii="Times New Roman"/>
      <w:szCs w:val="24"/>
      <w:lang w:val="en-US"/>
    </w:rPr>
  </w:style>
  <w:style w:type="paragraph" w:customStyle="1" w:styleId="770">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rPr>
      <w:rFonts w:ascii="宋体" w:hAnsi="Times New Roman" w:eastAsia="宋体" w:cs="Times New Roman"/>
      <w:kern w:val="2"/>
      <w:lang w:val="en-US" w:eastAsia="zh-CN" w:bidi="ar-SA"/>
    </w:rPr>
  </w:style>
  <w:style w:type="paragraph" w:customStyle="1" w:styleId="772">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 w:val="24"/>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5"/>
    <w:next w:val="54"/>
    <w:qFormat/>
    <w:uiPriority w:val="0"/>
    <w:pPr>
      <w:tabs>
        <w:tab w:val="clear" w:pos="900"/>
      </w:tabs>
      <w:spacing w:after="0" w:line="360" w:lineRule="auto"/>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0"/>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qFormat/>
    <w:uiPriority w:val="0"/>
    <w:pPr>
      <w:tabs>
        <w:tab w:val="left" w:pos="2940"/>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2">
    <w:name w:val="单元格左对齐"/>
    <w:basedOn w:val="1"/>
    <w:qFormat/>
    <w:uiPriority w:val="0"/>
    <w:pPr>
      <w:adjustRightInd/>
      <w:spacing w:line="360" w:lineRule="auto"/>
    </w:pPr>
    <w:rPr>
      <w:sz w:val="24"/>
    </w:rPr>
  </w:style>
  <w:style w:type="paragraph" w:customStyle="1" w:styleId="803">
    <w:name w:val="正文主体"/>
    <w:basedOn w:val="624"/>
    <w:qFormat/>
    <w:uiPriority w:val="0"/>
  </w:style>
  <w:style w:type="paragraph" w:customStyle="1" w:styleId="8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qFormat/>
    <w:uiPriority w:val="0"/>
    <w:pPr>
      <w:adjustRightInd/>
      <w:spacing w:line="360" w:lineRule="auto"/>
      <w:ind w:firstLine="480" w:firstLineChars="200"/>
    </w:pPr>
    <w:rPr>
      <w:sz w:val="24"/>
      <w:szCs w:val="20"/>
    </w:rPr>
  </w:style>
  <w:style w:type="paragraph" w:customStyle="1" w:styleId="808">
    <w:name w:val="P1"/>
    <w:basedOn w:val="1"/>
    <w:qFormat/>
    <w:uiPriority w:val="0"/>
    <w:pPr>
      <w:adjustRightInd/>
      <w:spacing w:line="288" w:lineRule="auto"/>
      <w:ind w:firstLine="425" w:firstLineChars="200"/>
    </w:pPr>
  </w:style>
  <w:style w:type="paragraph" w:customStyle="1" w:styleId="809">
    <w:name w:val="列表内容"/>
    <w:basedOn w:val="1"/>
    <w:next w:val="1"/>
    <w:qFormat/>
    <w:uiPriority w:val="0"/>
    <w:pPr>
      <w:widowControl/>
      <w:tabs>
        <w:tab w:val="left" w:pos="840"/>
      </w:tabs>
      <w:ind w:left="840" w:hanging="420"/>
      <w:jc w:val="left"/>
    </w:pPr>
    <w:rPr>
      <w:kern w:val="0"/>
      <w:sz w:val="18"/>
    </w:rPr>
  </w:style>
  <w:style w:type="paragraph" w:customStyle="1" w:styleId="810">
    <w:name w:val="Char Char11 Char Char Char1"/>
    <w:basedOn w:val="1"/>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2">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qFormat/>
    <w:uiPriority w:val="0"/>
    <w:pPr>
      <w:spacing w:line="360" w:lineRule="auto"/>
    </w:pPr>
    <w:rPr>
      <w:szCs w:val="20"/>
    </w:rPr>
  </w:style>
  <w:style w:type="paragraph" w:customStyle="1" w:styleId="81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qFormat/>
    <w:uiPriority w:val="0"/>
    <w:rPr>
      <w:rFonts w:ascii="仿宋_GB2312" w:eastAsia="仿宋_GB2312"/>
      <w:b/>
      <w:sz w:val="32"/>
      <w:szCs w:val="32"/>
    </w:rPr>
  </w:style>
  <w:style w:type="paragraph" w:customStyle="1" w:styleId="82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qFormat/>
    <w:uiPriority w:val="0"/>
    <w:pPr>
      <w:adjustRightInd/>
      <w:spacing w:line="360" w:lineRule="auto"/>
      <w:ind w:firstLine="480"/>
    </w:pPr>
    <w:rPr>
      <w:rFonts w:cs="宋体"/>
      <w:sz w:val="24"/>
      <w:szCs w:val="20"/>
    </w:rPr>
  </w:style>
  <w:style w:type="paragraph" w:customStyle="1" w:styleId="823">
    <w:name w:val="Char Char4 Char Char"/>
    <w:basedOn w:val="1"/>
    <w:qFormat/>
    <w:uiPriority w:val="0"/>
    <w:pPr>
      <w:widowControl/>
      <w:adjustRightInd/>
      <w:spacing w:after="160" w:line="240" w:lineRule="exact"/>
      <w:jc w:val="left"/>
    </w:pPr>
  </w:style>
  <w:style w:type="paragraph" w:customStyle="1" w:styleId="82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qFormat/>
    <w:uiPriority w:val="0"/>
    <w:pPr>
      <w:spacing w:line="360" w:lineRule="auto"/>
    </w:pPr>
    <w:rPr>
      <w:szCs w:val="20"/>
    </w:rPr>
  </w:style>
  <w:style w:type="paragraph" w:customStyle="1" w:styleId="82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qFormat/>
    <w:uiPriority w:val="0"/>
    <w:pPr>
      <w:adjustRightInd/>
      <w:ind w:firstLine="200" w:firstLineChars="200"/>
    </w:pPr>
    <w:rPr>
      <w:rFonts w:ascii="Tahoma" w:hAnsi="Tahoma"/>
      <w:sz w:val="24"/>
      <w:szCs w:val="20"/>
    </w:rPr>
  </w:style>
  <w:style w:type="paragraph" w:customStyle="1" w:styleId="83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qFormat/>
    <w:uiPriority w:val="0"/>
    <w:pPr>
      <w:tabs>
        <w:tab w:val="left" w:pos="0"/>
      </w:tabs>
      <w:ind w:left="900" w:firstLine="0" w:firstLineChars="0"/>
    </w:pPr>
  </w:style>
  <w:style w:type="paragraph" w:customStyle="1" w:styleId="836">
    <w:name w:val="Bulleted List"/>
    <w:basedOn w:val="1"/>
    <w:qFormat/>
    <w:uiPriority w:val="0"/>
    <w:pPr>
      <w:tabs>
        <w:tab w:val="left" w:pos="1260"/>
      </w:tabs>
      <w:adjustRightInd/>
      <w:ind w:left="1260" w:hanging="420"/>
    </w:pPr>
  </w:style>
  <w:style w:type="paragraph" w:customStyle="1" w:styleId="837">
    <w:name w:val="样式 正文文本缩进 2 + 仿宋_GB2312 黑色 行距: 1.5 倍行距"/>
    <w:basedOn w:val="39"/>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qFormat/>
    <w:uiPriority w:val="0"/>
    <w:rPr>
      <w:rFonts w:ascii="Tahoma" w:hAnsi="Tahoma" w:cs="仿宋_GB2312"/>
      <w:sz w:val="24"/>
      <w:szCs w:val="20"/>
    </w:rPr>
  </w:style>
  <w:style w:type="paragraph" w:customStyle="1" w:styleId="840">
    <w:name w:val="正文1"/>
    <w:basedOn w:val="34"/>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仿宋_GB2312" w:eastAsia="仿宋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仿宋_GB2312" w:eastAsia="仿宋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qFormat/>
    <w:uiPriority w:val="0"/>
    <w:pPr>
      <w:widowControl/>
      <w:spacing w:after="160" w:line="240" w:lineRule="exact"/>
      <w:jc w:val="left"/>
    </w:pPr>
    <w:rPr>
      <w:rFonts w:eastAsia="仿宋_GB2312"/>
      <w:sz w:val="28"/>
    </w:rPr>
  </w:style>
  <w:style w:type="paragraph" w:customStyle="1" w:styleId="861">
    <w:name w:val="Char21"/>
    <w:basedOn w:val="1"/>
    <w:qFormat/>
    <w:uiPriority w:val="0"/>
    <w:pPr>
      <w:adjustRightInd/>
      <w:ind w:firstLine="200" w:firstLineChars="200"/>
    </w:pPr>
    <w:rPr>
      <w:rFonts w:ascii="仿宋_GB2312" w:eastAsia="仿宋_GB2312"/>
      <w:b/>
      <w:sz w:val="32"/>
      <w:szCs w:val="32"/>
    </w:rPr>
  </w:style>
  <w:style w:type="paragraph" w:customStyle="1" w:styleId="862">
    <w:name w:val="列表段落1"/>
    <w:basedOn w:val="1"/>
    <w:qFormat/>
    <w:uiPriority w:val="34"/>
    <w:pPr>
      <w:adjustRightInd/>
      <w:ind w:right="238" w:firstLine="420"/>
    </w:pPr>
    <w:rPr>
      <w:rFonts w:ascii="Calibri" w:hAnsi="Calibri"/>
      <w:sz w:val="24"/>
    </w:rPr>
  </w:style>
  <w:style w:type="paragraph" w:customStyle="1" w:styleId="863">
    <w:name w:val="Char Char110"/>
    <w:basedOn w:val="1"/>
    <w:qFormat/>
    <w:uiPriority w:val="6"/>
    <w:pPr>
      <w:spacing w:line="360" w:lineRule="auto"/>
    </w:pPr>
    <w:rPr>
      <w:rFonts w:ascii="Tahoma" w:hAnsi="Tahoma"/>
      <w:sz w:val="24"/>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仿宋_GB2312"/>
      <w:sz w:val="24"/>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6"/>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3">
    <w:name w:val="_Style 12"/>
    <w:basedOn w:val="19"/>
    <w:qFormat/>
    <w:uiPriority w:val="0"/>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58"/>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2"/>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 w:val="24"/>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仿宋_GB2312" w:eastAsia="仿宋_GB2312"/>
      <w:b/>
      <w:sz w:val="32"/>
      <w:szCs w:val="32"/>
    </w:rPr>
  </w:style>
  <w:style w:type="paragraph" w:customStyle="1" w:styleId="886">
    <w:name w:val="正文箭头"/>
    <w:basedOn w:val="538"/>
    <w:qFormat/>
    <w:uiPriority w:val="0"/>
  </w:style>
  <w:style w:type="paragraph" w:customStyle="1" w:styleId="887">
    <w:name w:val="U_编号2"/>
    <w:basedOn w:val="1"/>
    <w:qFormat/>
    <w:uiPriority w:val="0"/>
    <w:pPr>
      <w:tabs>
        <w:tab w:val="left" w:pos="785"/>
      </w:tabs>
      <w:adjustRightInd/>
      <w:spacing w:beforeLines="10" w:afterLines="10" w:line="300" w:lineRule="auto"/>
    </w:pPr>
    <w:rPr>
      <w:sz w:val="24"/>
    </w:r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仿宋_GB2312"/>
      <w:sz w:val="28"/>
    </w:rPr>
  </w:style>
  <w:style w:type="paragraph" w:customStyle="1" w:styleId="893">
    <w:name w:val="表格 内容"/>
    <w:basedOn w:val="729"/>
    <w:qFormat/>
    <w:uiPriority w:val="0"/>
    <w:rPr>
      <w:b w:val="0"/>
      <w:sz w:val="20"/>
    </w:rPr>
  </w:style>
  <w:style w:type="paragraph" w:customStyle="1" w:styleId="894">
    <w:name w:val="正文首行缩进1"/>
    <w:basedOn w:val="2"/>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8"/>
    <w:next w:val="1"/>
    <w:qFormat/>
    <w:uiPriority w:val="0"/>
    <w:pPr>
      <w:tabs>
        <w:tab w:val="left" w:pos="1080"/>
      </w:tabs>
      <w:ind w:left="1080" w:hanging="1080"/>
    </w:pPr>
  </w:style>
  <w:style w:type="paragraph" w:customStyle="1" w:styleId="897">
    <w:name w:val="数字标题1"/>
    <w:basedOn w:val="3"/>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 w:val="24"/>
      <w:szCs w:val="20"/>
    </w:rPr>
  </w:style>
  <w:style w:type="paragraph" w:customStyle="1" w:styleId="905">
    <w:name w:val="Char Char113"/>
    <w:basedOn w:val="1"/>
    <w:qFormat/>
    <w:uiPriority w:val="0"/>
    <w:pPr>
      <w:widowControl/>
      <w:spacing w:after="160" w:line="240" w:lineRule="exact"/>
      <w:jc w:val="left"/>
    </w:pPr>
    <w:rPr>
      <w:rFonts w:eastAsia="仿宋_GB2312"/>
      <w:sz w:val="28"/>
    </w:rPr>
  </w:style>
  <w:style w:type="paragraph" w:customStyle="1" w:styleId="90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qFormat/>
    <w:uiPriority w:val="34"/>
    <w:pPr>
      <w:adjustRightInd/>
      <w:ind w:firstLine="420" w:firstLineChars="200"/>
    </w:pPr>
    <w:rPr>
      <w:rFonts w:eastAsia="仿宋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after="160" w:line="240" w:lineRule="exact"/>
      <w:jc w:val="left"/>
    </w:pPr>
    <w:rPr>
      <w:rFonts w:eastAsia="仿宋_GB2312"/>
      <w:sz w:val="28"/>
    </w:rPr>
  </w:style>
  <w:style w:type="paragraph" w:customStyle="1" w:styleId="914">
    <w:name w:val="正文 图"/>
    <w:basedOn w:val="443"/>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2"/>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rPr>
      <w:sz w:val="24"/>
    </w:rPr>
  </w:style>
  <w:style w:type="table" w:customStyle="1" w:styleId="921">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locked/>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尾注文本 字符"/>
    <w:link w:val="40"/>
    <w:qFormat/>
    <w:uiPriority w:val="0"/>
    <w:rPr>
      <w:kern w:val="2"/>
      <w:sz w:val="21"/>
      <w:szCs w:val="24"/>
      <w:lang w:val="zh-CN"/>
    </w:rPr>
  </w:style>
  <w:style w:type="character" w:customStyle="1" w:styleId="933">
    <w:name w:val="无间隔 字符"/>
    <w:link w:val="483"/>
    <w:qFormat/>
    <w:uiPriority w:val="99"/>
    <w:rPr>
      <w:kern w:val="2"/>
      <w:sz w:val="21"/>
      <w:szCs w:val="22"/>
    </w:rPr>
  </w:style>
  <w:style w:type="character" w:customStyle="1" w:styleId="934">
    <w:name w:val="标准文本 Char Char"/>
    <w:link w:val="935"/>
    <w:qFormat/>
    <w:uiPriority w:val="0"/>
    <w:rPr>
      <w:rFonts w:cs="宋体"/>
      <w:kern w:val="2"/>
      <w:sz w:val="24"/>
    </w:rPr>
  </w:style>
  <w:style w:type="paragraph" w:customStyle="1" w:styleId="935">
    <w:name w:val="标准文本"/>
    <w:basedOn w:val="1"/>
    <w:link w:val="934"/>
    <w:qFormat/>
    <w:uiPriority w:val="0"/>
    <w:pPr>
      <w:adjustRightInd/>
      <w:spacing w:line="360" w:lineRule="auto"/>
      <w:ind w:firstLine="480" w:firstLineChars="200"/>
    </w:pPr>
    <w:rPr>
      <w:rFonts w:cs="宋体"/>
      <w:sz w:val="24"/>
      <w:szCs w:val="20"/>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正文文本缩进 字符"/>
    <w:qFormat/>
    <w:uiPriority w:val="0"/>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258"/>
    <w:qFormat/>
    <w:uiPriority w:val="34"/>
    <w:pPr>
      <w:adjustRightInd/>
      <w:ind w:firstLine="420" w:firstLineChars="200"/>
    </w:pPr>
  </w:style>
  <w:style w:type="paragraph" w:customStyle="1" w:styleId="95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snapToGrid w:val="0"/>
      <w:jc w:val="left"/>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qFormat/>
    <w:uiPriority w:val="0"/>
    <w:pPr>
      <w:autoSpaceDE w:val="0"/>
      <w:autoSpaceDN w:val="0"/>
      <w:spacing w:before="100" w:after="100"/>
      <w:ind w:left="360" w:right="360"/>
      <w:jc w:val="left"/>
    </w:pPr>
    <w:rPr>
      <w:kern w:val="0"/>
      <w:sz w:val="24"/>
      <w:szCs w:val="20"/>
    </w:rPr>
  </w:style>
  <w:style w:type="paragraph" w:customStyle="1" w:styleId="956">
    <w:name w:val="p1"/>
    <w:basedOn w:val="1"/>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0"/>
    <w:pPr>
      <w:adjustRightInd/>
      <w:jc w:val="left"/>
    </w:pPr>
    <w:rPr>
      <w:rFonts w:ascii="Calibri" w:hAnsi="Calibri"/>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69"/>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paragraph" w:customStyle="1" w:styleId="964">
    <w:name w:val="修订4"/>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117</Pages>
  <Words>5173</Words>
  <Characters>5651</Characters>
  <DocSecurity>0</DocSecurity>
  <Lines>2374</Lines>
  <Paragraphs>2471</Paragraphs>
  <ScaleCrop>false</ScaleCrop>
  <LinksUpToDate>false</LinksUpToDate>
  <CharactersWithSpaces>6058</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2021-12-28T03:06:00Z</cp:lastPrinted>
  <dcterms:created xsi:type="dcterms:W3CDTF">2025-06-20T01:51:00Z</dcterms:created>
  <dcterms:modified xsi:type="dcterms:W3CDTF">2025-07-02T07:20:42Z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EFC9ABA984E92A5EC6BEBA67F5A65918_43</vt:lpwstr>
  </property>
  <property fmtid="{D5CDD505-2E9C-101B-9397-08002B2CF9AE}" pid="5" name="KSOTemplateDocerSaveRecord">
    <vt:lpwstr>eyJoZGlkIjoiNjRmNGNlZTY2MDQ1NzUzMzMwYzJmNDNjNGVmOWVhYmYiLCJ1c2VySWQiOiIxMDY2MzMzMDExIn0=</vt:lpwstr>
  </property>
</Properties>
</file>